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6" w:firstLine="0"/>
        <w:jc w:val="right"/>
        <w:rPr>
          <w:sz w:val="16"/>
        </w:rPr>
      </w:pPr>
      <w:r>
        <w:rPr/>
        <w:drawing>
          <wp:anchor distT="0" distB="0" distL="0" distR="0" allowOverlap="1" layoutInCell="1" locked="0" behindDoc="1" simplePos="0" relativeHeight="268406159">
            <wp:simplePos x="0" y="0"/>
            <wp:positionH relativeFrom="page">
              <wp:posOffset>6219443</wp:posOffset>
            </wp:positionH>
            <wp:positionV relativeFrom="paragraph">
              <wp:posOffset>242744</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014 </w:t>
      </w:r>
      <w:r>
        <w:rPr>
          <w:sz w:val="16"/>
        </w:rPr>
        <w:t>号</w:t>
      </w:r>
    </w:p>
    <w:p>
      <w:pPr>
        <w:pStyle w:val="BodyText"/>
        <w:spacing w:before="0"/>
        <w:rPr>
          <w:sz w:val="18"/>
        </w:rPr>
      </w:pPr>
    </w:p>
    <w:p>
      <w:pPr>
        <w:pStyle w:val="BodyText"/>
        <w:spacing w:before="0"/>
        <w:rPr>
          <w:sz w:val="18"/>
        </w:rPr>
      </w:pPr>
    </w:p>
    <w:p>
      <w:pPr>
        <w:pStyle w:val="BodyText"/>
        <w:spacing w:before="0"/>
        <w:rPr>
          <w:sz w:val="18"/>
        </w:rPr>
      </w:pPr>
    </w:p>
    <w:p>
      <w:pPr>
        <w:pStyle w:val="BodyText"/>
        <w:spacing w:before="6"/>
        <w:rPr>
          <w:sz w:val="19"/>
        </w:rPr>
      </w:pPr>
    </w:p>
    <w:p>
      <w:pPr>
        <w:spacing w:line="668" w:lineRule="exact" w:before="0"/>
        <w:ind w:left="2965" w:right="0" w:firstLine="0"/>
        <w:jc w:val="left"/>
        <w:rPr>
          <w:sz w:val="16"/>
        </w:rPr>
      </w:pPr>
      <w:r>
        <w:rPr>
          <w:position w:val="-11"/>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position w:val="-11"/>
        </w:rPr>
      </w:r>
      <w:r>
        <w:rPr>
          <w:rFonts w:ascii="Times New Roman" w:eastAsia="Times New Roman"/>
          <w:sz w:val="20"/>
        </w:rPr>
        <w:t>                          </w:t>
      </w:r>
      <w:r>
        <w:rPr>
          <w:rFonts w:ascii="Times New Roman" w:eastAsia="Times New Roman"/>
          <w:spacing w:val="7"/>
          <w:sz w:val="20"/>
        </w:rPr>
        <w:t> </w:t>
      </w:r>
      <w:r>
        <w:rPr>
          <w:w w:val="95"/>
          <w:sz w:val="16"/>
        </w:rPr>
        <w:t>请扫描以查询验证条款</w:t>
      </w:r>
    </w:p>
    <w:p>
      <w:pPr>
        <w:pStyle w:val="Heading1"/>
        <w:spacing w:line="553" w:lineRule="exact"/>
        <w:ind w:left="1298"/>
      </w:pPr>
      <w:r>
        <w:rPr>
          <w:w w:val="95"/>
        </w:rPr>
        <w:t>附加鑫囍年年提前给付重大疾病保险条款</w:t>
      </w:r>
    </w:p>
    <w:p>
      <w:pPr>
        <w:spacing w:before="204"/>
        <w:ind w:left="1954" w:right="2290" w:firstLine="0"/>
        <w:jc w:val="center"/>
        <w:rPr>
          <w:b/>
          <w:sz w:val="44"/>
        </w:rPr>
      </w:pPr>
      <w:r>
        <w:rPr>
          <w:b/>
          <w:w w:val="95"/>
          <w:sz w:val="44"/>
        </w:rPr>
        <w:t>阅读指引</w:t>
      </w:r>
    </w:p>
    <w:p>
      <w:pPr>
        <w:pStyle w:val="BodyText"/>
        <w:spacing w:before="234"/>
        <w:ind w:left="2016" w:right="229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0"/>
        <w:rPr>
          <w:sz w:val="24"/>
        </w:rPr>
      </w:pPr>
    </w:p>
    <w:p>
      <w:pPr>
        <w:pStyle w:val="Heading4"/>
        <w:tabs>
          <w:tab w:pos="1278" w:val="left" w:leader="none"/>
        </w:tabs>
        <w:spacing w:line="865" w:lineRule="exact"/>
        <w:ind w:left="266"/>
        <w:rPr>
          <w:rFonts w:ascii="宋体" w:hAnsi="宋体" w:eastAsia="宋体" w:hint="eastAsia"/>
        </w:rPr>
      </w:pPr>
      <w:r>
        <w:rPr/>
        <w:drawing>
          <wp:anchor distT="0" distB="0" distL="0" distR="0" allowOverlap="1" layoutInCell="1" locked="0" behindDoc="1" simplePos="0" relativeHeight="268406135">
            <wp:simplePos x="0" y="0"/>
            <wp:positionH relativeFrom="page">
              <wp:posOffset>504062</wp:posOffset>
            </wp:positionH>
            <wp:positionV relativeFrom="paragraph">
              <wp:posOffset>-90774</wp:posOffset>
            </wp:positionV>
            <wp:extent cx="6557009" cy="728319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7009" cy="7283195"/>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6"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6"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6"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340"/>
        </w:sectPr>
      </w:pPr>
    </w:p>
    <w:p>
      <w:pPr>
        <w:pStyle w:val="Heading4"/>
        <w:spacing w:line="276" w:lineRule="exact"/>
        <w:ind w:left="1289"/>
      </w:pPr>
      <w:r>
        <w:rPr>
          <w:rFonts w:ascii="宋体" w:eastAsia="宋体" w:hint="eastAsia"/>
        </w:rPr>
        <w:t>1.</w:t>
      </w:r>
      <w:r>
        <w:rPr/>
        <w:t>您与我们订立的合同</w:t>
      </w:r>
    </w:p>
    <w:p>
      <w:pPr>
        <w:pStyle w:val="ListParagraph"/>
        <w:numPr>
          <w:ilvl w:val="1"/>
          <w:numId w:val="2"/>
        </w:numPr>
        <w:tabs>
          <w:tab w:pos="1920" w:val="left" w:leader="none"/>
        </w:tabs>
        <w:spacing w:line="240" w:lineRule="auto" w:before="13" w:after="0"/>
        <w:ind w:left="1919" w:right="0" w:hanging="420"/>
        <w:jc w:val="left"/>
        <w:rPr>
          <w:sz w:val="21"/>
        </w:rPr>
      </w:pPr>
      <w:r>
        <w:rPr>
          <w:sz w:val="21"/>
        </w:rPr>
        <w:t>合同构成</w:t>
      </w:r>
    </w:p>
    <w:p>
      <w:pPr>
        <w:pStyle w:val="ListParagraph"/>
        <w:numPr>
          <w:ilvl w:val="1"/>
          <w:numId w:val="2"/>
        </w:numPr>
        <w:tabs>
          <w:tab w:pos="1920" w:val="left" w:leader="none"/>
        </w:tabs>
        <w:spacing w:line="240" w:lineRule="auto" w:before="37" w:after="0"/>
        <w:ind w:left="1919" w:right="0" w:hanging="419"/>
        <w:jc w:val="left"/>
        <w:rPr>
          <w:sz w:val="21"/>
        </w:rPr>
      </w:pPr>
      <w:r>
        <w:rPr>
          <w:sz w:val="21"/>
        </w:rPr>
        <w:t>合同成立与生效</w:t>
      </w:r>
    </w:p>
    <w:p>
      <w:pPr>
        <w:pStyle w:val="ListParagraph"/>
        <w:numPr>
          <w:ilvl w:val="1"/>
          <w:numId w:val="2"/>
        </w:numPr>
        <w:tabs>
          <w:tab w:pos="1920" w:val="left" w:leader="none"/>
        </w:tabs>
        <w:spacing w:line="240" w:lineRule="auto" w:before="37" w:after="0"/>
        <w:ind w:left="1919" w:right="0" w:hanging="419"/>
        <w:jc w:val="left"/>
        <w:rPr>
          <w:sz w:val="21"/>
        </w:rPr>
      </w:pPr>
      <w:r>
        <w:rPr>
          <w:spacing w:val="-1"/>
          <w:sz w:val="21"/>
        </w:rPr>
        <w:t>投保年龄</w:t>
      </w:r>
    </w:p>
    <w:p>
      <w:pPr>
        <w:pStyle w:val="ListParagraph"/>
        <w:numPr>
          <w:ilvl w:val="1"/>
          <w:numId w:val="2"/>
        </w:numPr>
        <w:tabs>
          <w:tab w:pos="1920" w:val="left" w:leader="none"/>
        </w:tabs>
        <w:spacing w:line="260" w:lineRule="exact" w:before="37" w:after="0"/>
        <w:ind w:left="1919" w:right="0" w:hanging="419"/>
        <w:jc w:val="left"/>
        <w:rPr>
          <w:sz w:val="21"/>
        </w:rPr>
      </w:pPr>
      <w:r>
        <w:rPr>
          <w:sz w:val="21"/>
        </w:rPr>
        <w:t>犹豫期</w:t>
      </w:r>
    </w:p>
    <w:p>
      <w:pPr>
        <w:pStyle w:val="Heading4"/>
        <w:spacing w:line="351" w:lineRule="exact"/>
        <w:ind w:left="1289"/>
      </w:pPr>
      <w:r>
        <w:rPr>
          <w:rFonts w:ascii="宋体" w:eastAsia="宋体" w:hint="eastAsia"/>
        </w:rPr>
        <w:t>2.</w:t>
      </w:r>
      <w:r>
        <w:rPr/>
        <w:t>我们提供的保障</w:t>
      </w:r>
    </w:p>
    <w:p>
      <w:pPr>
        <w:pStyle w:val="ListParagraph"/>
        <w:numPr>
          <w:ilvl w:val="1"/>
          <w:numId w:val="3"/>
        </w:numPr>
        <w:tabs>
          <w:tab w:pos="1920" w:val="left" w:leader="none"/>
        </w:tabs>
        <w:spacing w:line="240" w:lineRule="auto" w:before="13" w:after="0"/>
        <w:ind w:left="1919" w:right="0" w:hanging="420"/>
        <w:jc w:val="left"/>
        <w:rPr>
          <w:sz w:val="21"/>
        </w:rPr>
      </w:pPr>
      <w:r>
        <w:rPr>
          <w:sz w:val="21"/>
        </w:rPr>
        <w:t>保险责任</w:t>
      </w:r>
    </w:p>
    <w:p>
      <w:pPr>
        <w:pStyle w:val="ListParagraph"/>
        <w:numPr>
          <w:ilvl w:val="1"/>
          <w:numId w:val="3"/>
        </w:numPr>
        <w:tabs>
          <w:tab w:pos="1920" w:val="left" w:leader="none"/>
        </w:tabs>
        <w:spacing w:line="240" w:lineRule="auto" w:before="37" w:after="0"/>
        <w:ind w:left="1919" w:right="0" w:hanging="420"/>
        <w:jc w:val="left"/>
        <w:rPr>
          <w:sz w:val="21"/>
        </w:rPr>
      </w:pPr>
      <w:r>
        <w:rPr>
          <w:sz w:val="21"/>
        </w:rPr>
        <w:t>责任免除</w:t>
      </w:r>
    </w:p>
    <w:p>
      <w:pPr>
        <w:pStyle w:val="ListParagraph"/>
        <w:numPr>
          <w:ilvl w:val="1"/>
          <w:numId w:val="3"/>
        </w:numPr>
        <w:tabs>
          <w:tab w:pos="1920" w:val="left" w:leader="none"/>
        </w:tabs>
        <w:spacing w:line="240" w:lineRule="auto" w:before="37" w:after="0"/>
        <w:ind w:left="1919" w:right="0" w:hanging="420"/>
        <w:jc w:val="left"/>
        <w:rPr>
          <w:sz w:val="21"/>
        </w:rPr>
      </w:pPr>
      <w:r>
        <w:rPr>
          <w:sz w:val="21"/>
        </w:rPr>
        <w:t>保险金额</w:t>
      </w:r>
    </w:p>
    <w:p>
      <w:pPr>
        <w:pStyle w:val="ListParagraph"/>
        <w:numPr>
          <w:ilvl w:val="1"/>
          <w:numId w:val="3"/>
        </w:numPr>
        <w:tabs>
          <w:tab w:pos="1920" w:val="left" w:leader="none"/>
        </w:tabs>
        <w:spacing w:line="260" w:lineRule="exact" w:before="37" w:after="0"/>
        <w:ind w:left="1919" w:right="0" w:hanging="420"/>
        <w:jc w:val="left"/>
        <w:rPr>
          <w:sz w:val="21"/>
        </w:rPr>
      </w:pPr>
      <w:r>
        <w:rPr>
          <w:sz w:val="21"/>
        </w:rPr>
        <w:t>保险期间</w:t>
      </w:r>
    </w:p>
    <w:p>
      <w:pPr>
        <w:pStyle w:val="Heading4"/>
        <w:spacing w:line="351" w:lineRule="exact"/>
        <w:ind w:left="1289"/>
      </w:pPr>
      <w:r>
        <w:rPr>
          <w:rFonts w:ascii="宋体" w:eastAsia="宋体" w:hint="eastAsia"/>
        </w:rPr>
        <w:t>3.</w:t>
      </w:r>
      <w:r>
        <w:rPr/>
        <w:t>保险金的申请</w:t>
      </w:r>
    </w:p>
    <w:p>
      <w:pPr>
        <w:pStyle w:val="ListParagraph"/>
        <w:numPr>
          <w:ilvl w:val="1"/>
          <w:numId w:val="4"/>
        </w:numPr>
        <w:tabs>
          <w:tab w:pos="1920" w:val="left" w:leader="none"/>
        </w:tabs>
        <w:spacing w:line="240" w:lineRule="auto" w:before="13" w:after="0"/>
        <w:ind w:left="1919" w:right="0" w:hanging="420"/>
        <w:jc w:val="left"/>
        <w:rPr>
          <w:sz w:val="21"/>
        </w:rPr>
      </w:pPr>
      <w:r>
        <w:rPr>
          <w:sz w:val="21"/>
        </w:rPr>
        <w:t>受益人</w:t>
      </w:r>
    </w:p>
    <w:p>
      <w:pPr>
        <w:pStyle w:val="ListParagraph"/>
        <w:numPr>
          <w:ilvl w:val="1"/>
          <w:numId w:val="4"/>
        </w:numPr>
        <w:tabs>
          <w:tab w:pos="1920" w:val="left" w:leader="none"/>
        </w:tabs>
        <w:spacing w:line="240" w:lineRule="auto" w:before="37" w:after="0"/>
        <w:ind w:left="1919" w:right="0" w:hanging="419"/>
        <w:jc w:val="left"/>
        <w:rPr>
          <w:sz w:val="21"/>
        </w:rPr>
      </w:pPr>
      <w:r>
        <w:rPr>
          <w:sz w:val="21"/>
        </w:rPr>
        <w:t>保险事故通知</w:t>
      </w:r>
    </w:p>
    <w:p>
      <w:pPr>
        <w:pStyle w:val="ListParagraph"/>
        <w:numPr>
          <w:ilvl w:val="1"/>
          <w:numId w:val="4"/>
        </w:numPr>
        <w:tabs>
          <w:tab w:pos="1920" w:val="left" w:leader="none"/>
        </w:tabs>
        <w:spacing w:line="240" w:lineRule="auto" w:before="37" w:after="0"/>
        <w:ind w:left="1919" w:right="0" w:hanging="419"/>
        <w:jc w:val="left"/>
        <w:rPr>
          <w:sz w:val="21"/>
        </w:rPr>
      </w:pPr>
      <w:r>
        <w:rPr>
          <w:spacing w:val="-1"/>
          <w:sz w:val="21"/>
        </w:rPr>
        <w:t>保险金申请</w:t>
      </w:r>
    </w:p>
    <w:p>
      <w:pPr>
        <w:pStyle w:val="ListParagraph"/>
        <w:numPr>
          <w:ilvl w:val="1"/>
          <w:numId w:val="4"/>
        </w:numPr>
        <w:tabs>
          <w:tab w:pos="1920" w:val="left" w:leader="none"/>
        </w:tabs>
        <w:spacing w:line="240" w:lineRule="auto" w:before="37" w:after="0"/>
        <w:ind w:left="1919" w:right="0" w:hanging="420"/>
        <w:jc w:val="left"/>
        <w:rPr>
          <w:sz w:val="21"/>
        </w:rPr>
      </w:pPr>
      <w:r>
        <w:rPr>
          <w:sz w:val="21"/>
        </w:rPr>
        <w:t>保险金的给付</w:t>
      </w:r>
    </w:p>
    <w:p>
      <w:pPr>
        <w:pStyle w:val="ListParagraph"/>
        <w:numPr>
          <w:ilvl w:val="1"/>
          <w:numId w:val="4"/>
        </w:numPr>
        <w:tabs>
          <w:tab w:pos="1920" w:val="left" w:leader="none"/>
        </w:tabs>
        <w:spacing w:line="240" w:lineRule="auto" w:before="37" w:after="0"/>
        <w:ind w:left="1919" w:right="0" w:hanging="420"/>
        <w:jc w:val="left"/>
        <w:rPr>
          <w:sz w:val="21"/>
        </w:rPr>
      </w:pPr>
      <w:r>
        <w:rPr>
          <w:sz w:val="21"/>
        </w:rPr>
        <w:t>诉讼时效</w:t>
      </w:r>
    </w:p>
    <w:p>
      <w:pPr>
        <w:pStyle w:val="Heading4"/>
        <w:spacing w:line="276" w:lineRule="exact"/>
        <w:ind w:left="1289"/>
      </w:pPr>
      <w:r>
        <w:rPr>
          <w:b w:val="0"/>
        </w:rPr>
        <w:br w:type="column"/>
      </w:r>
      <w:r>
        <w:rPr>
          <w:rFonts w:ascii="宋体" w:eastAsia="宋体" w:hint="eastAsia"/>
        </w:rPr>
        <w:t>4.</w:t>
      </w:r>
      <w:r>
        <w:rPr/>
        <w:t>保险费的交纳</w:t>
      </w:r>
    </w:p>
    <w:p>
      <w:pPr>
        <w:pStyle w:val="ListParagraph"/>
        <w:numPr>
          <w:ilvl w:val="1"/>
          <w:numId w:val="5"/>
        </w:numPr>
        <w:tabs>
          <w:tab w:pos="1920" w:val="left" w:leader="none"/>
        </w:tabs>
        <w:spacing w:line="240" w:lineRule="auto" w:before="13" w:after="0"/>
        <w:ind w:left="1919" w:right="0" w:hanging="419"/>
        <w:jc w:val="left"/>
        <w:rPr>
          <w:sz w:val="21"/>
        </w:rPr>
      </w:pPr>
      <w:r>
        <w:rPr>
          <w:spacing w:val="-1"/>
          <w:sz w:val="21"/>
        </w:rPr>
        <w:t>保险费的交纳</w:t>
      </w:r>
    </w:p>
    <w:p>
      <w:pPr>
        <w:pStyle w:val="ListParagraph"/>
        <w:numPr>
          <w:ilvl w:val="1"/>
          <w:numId w:val="5"/>
        </w:numPr>
        <w:tabs>
          <w:tab w:pos="1920" w:val="left" w:leader="none"/>
        </w:tabs>
        <w:spacing w:line="260" w:lineRule="exact" w:before="37" w:after="0"/>
        <w:ind w:left="1919" w:right="0" w:hanging="419"/>
        <w:jc w:val="left"/>
        <w:rPr>
          <w:sz w:val="21"/>
        </w:rPr>
      </w:pPr>
      <w:r>
        <w:rPr>
          <w:sz w:val="21"/>
        </w:rPr>
        <w:t>宽限期</w:t>
      </w:r>
    </w:p>
    <w:p>
      <w:pPr>
        <w:pStyle w:val="Heading4"/>
        <w:spacing w:line="351" w:lineRule="exact"/>
        <w:ind w:left="1289"/>
      </w:pPr>
      <w:r>
        <w:rPr>
          <w:rFonts w:ascii="宋体" w:eastAsia="宋体" w:hint="eastAsia"/>
        </w:rPr>
        <w:t>5.</w:t>
      </w:r>
      <w:r>
        <w:rPr/>
        <w:t>现金价值权益</w:t>
      </w:r>
    </w:p>
    <w:p>
      <w:pPr>
        <w:pStyle w:val="BodyText"/>
        <w:spacing w:line="260" w:lineRule="exact" w:before="13"/>
        <w:ind w:left="1500"/>
      </w:pPr>
      <w:r>
        <w:rPr/>
        <w:t>5.1 本附加合同现金价值</w:t>
      </w:r>
    </w:p>
    <w:p>
      <w:pPr>
        <w:pStyle w:val="Heading4"/>
        <w:spacing w:line="351" w:lineRule="exact"/>
        <w:ind w:left="1289"/>
      </w:pPr>
      <w:r>
        <w:rPr>
          <w:rFonts w:ascii="宋体" w:eastAsia="宋体" w:hint="eastAsia"/>
        </w:rPr>
        <w:t>6.</w:t>
      </w:r>
      <w:r>
        <w:rPr/>
        <w:t>合同中止和复效</w:t>
      </w:r>
    </w:p>
    <w:p>
      <w:pPr>
        <w:pStyle w:val="ListParagraph"/>
        <w:numPr>
          <w:ilvl w:val="1"/>
          <w:numId w:val="6"/>
        </w:numPr>
        <w:tabs>
          <w:tab w:pos="1920" w:val="left" w:leader="none"/>
        </w:tabs>
        <w:spacing w:line="240" w:lineRule="auto" w:before="13" w:after="0"/>
        <w:ind w:left="1919" w:right="0" w:hanging="419"/>
        <w:jc w:val="left"/>
        <w:rPr>
          <w:sz w:val="21"/>
        </w:rPr>
      </w:pPr>
      <w:r>
        <w:rPr>
          <w:sz w:val="21"/>
        </w:rPr>
        <w:t>合同中止</w:t>
      </w:r>
    </w:p>
    <w:p>
      <w:pPr>
        <w:pStyle w:val="ListParagraph"/>
        <w:numPr>
          <w:ilvl w:val="1"/>
          <w:numId w:val="6"/>
        </w:numPr>
        <w:tabs>
          <w:tab w:pos="1920" w:val="left" w:leader="none"/>
        </w:tabs>
        <w:spacing w:line="260" w:lineRule="exact" w:before="36" w:after="0"/>
        <w:ind w:left="1919" w:right="0" w:hanging="419"/>
        <w:jc w:val="left"/>
        <w:rPr>
          <w:sz w:val="21"/>
        </w:rPr>
      </w:pPr>
      <w:r>
        <w:rPr>
          <w:sz w:val="21"/>
        </w:rPr>
        <w:t>合同复效</w:t>
      </w:r>
    </w:p>
    <w:p>
      <w:pPr>
        <w:pStyle w:val="Heading4"/>
        <w:spacing w:line="351" w:lineRule="exact"/>
        <w:ind w:left="1289"/>
      </w:pPr>
      <w:r>
        <w:rPr>
          <w:rFonts w:ascii="宋体" w:eastAsia="宋体" w:hint="eastAsia"/>
        </w:rPr>
        <w:t>7.</w:t>
      </w:r>
      <w:r>
        <w:rPr/>
        <w:t>合同解除和变更</w:t>
      </w:r>
    </w:p>
    <w:p>
      <w:pPr>
        <w:pStyle w:val="ListParagraph"/>
        <w:numPr>
          <w:ilvl w:val="1"/>
          <w:numId w:val="7"/>
        </w:numPr>
        <w:tabs>
          <w:tab w:pos="1867" w:val="left" w:leader="none"/>
        </w:tabs>
        <w:spacing w:line="240" w:lineRule="auto" w:before="14" w:after="0"/>
        <w:ind w:left="1866" w:right="0" w:hanging="367"/>
        <w:jc w:val="left"/>
        <w:rPr>
          <w:sz w:val="21"/>
        </w:rPr>
      </w:pPr>
      <w:r>
        <w:rPr>
          <w:sz w:val="21"/>
        </w:rPr>
        <w:t>您解除合同的手续及风险</w:t>
      </w:r>
    </w:p>
    <w:p>
      <w:pPr>
        <w:pStyle w:val="ListParagraph"/>
        <w:numPr>
          <w:ilvl w:val="1"/>
          <w:numId w:val="7"/>
        </w:numPr>
        <w:tabs>
          <w:tab w:pos="1920" w:val="left" w:leader="none"/>
        </w:tabs>
        <w:spacing w:line="240" w:lineRule="auto" w:before="37" w:after="0"/>
        <w:ind w:left="1919" w:right="0" w:hanging="420"/>
        <w:jc w:val="left"/>
        <w:rPr>
          <w:sz w:val="21"/>
        </w:rPr>
      </w:pPr>
      <w:r>
        <w:rPr>
          <w:sz w:val="21"/>
        </w:rPr>
        <w:t>合同变更</w:t>
      </w:r>
    </w:p>
    <w:p>
      <w:pPr>
        <w:pStyle w:val="ListParagraph"/>
        <w:numPr>
          <w:ilvl w:val="1"/>
          <w:numId w:val="7"/>
        </w:numPr>
        <w:tabs>
          <w:tab w:pos="1920" w:val="left" w:leader="none"/>
        </w:tabs>
        <w:spacing w:line="260" w:lineRule="exact" w:before="37" w:after="0"/>
        <w:ind w:left="1919" w:right="0" w:hanging="420"/>
        <w:jc w:val="left"/>
        <w:rPr>
          <w:sz w:val="21"/>
        </w:rPr>
      </w:pPr>
      <w:r>
        <w:rPr>
          <w:sz w:val="21"/>
        </w:rPr>
        <w:t>联系方式变更</w:t>
      </w:r>
    </w:p>
    <w:p>
      <w:pPr>
        <w:pStyle w:val="Heading4"/>
        <w:spacing w:line="351" w:lineRule="exact"/>
        <w:ind w:left="1289"/>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340"/>
          <w:cols w:num="2" w:equalWidth="0">
            <w:col w:w="3398" w:space="1222"/>
            <w:col w:w="627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附加鑫囍年年提前给付重大疾病保险条款</w:t>
      </w:r>
    </w:p>
    <w:p>
      <w:pPr>
        <w:pStyle w:val="BodyText"/>
        <w:spacing w:before="234"/>
        <w:ind w:left="1643"/>
      </w:pPr>
      <w:r>
        <w:rPr/>
        <w:t>（华夏保发[2010]111 号文，2010 年 3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7"/>
        </w:rPr>
        <w:t>与我们之间订立的“附加鑫囍年年提前给付重大疾病保险合同”。</w:t>
      </w:r>
    </w:p>
    <w:p>
      <w:pPr>
        <w:pStyle w:val="BodyText"/>
        <w:spacing w:before="12"/>
        <w:rPr>
          <w:sz w:val="14"/>
        </w:rPr>
      </w:pPr>
    </w:p>
    <w:p>
      <w:pPr>
        <w:pStyle w:val="Heading2"/>
        <w:tabs>
          <w:tab w:pos="913"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72;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12" w:val="left" w:leader="none"/>
          <w:tab w:pos="913"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13" w:val="left" w:leader="none"/>
          <w:tab w:pos="914" w:val="left" w:leader="none"/>
          <w:tab w:pos="3006" w:val="left" w:leader="none"/>
        </w:tabs>
        <w:spacing w:line="240" w:lineRule="auto" w:before="1" w:after="0"/>
        <w:ind w:left="913" w:right="0" w:hanging="693"/>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13" w:val="left" w:leader="none"/>
          <w:tab w:pos="914"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13" w:val="left" w:leader="none"/>
          <w:tab w:pos="914" w:val="left" w:leader="none"/>
          <w:tab w:pos="3006" w:val="left" w:leader="none"/>
        </w:tabs>
        <w:spacing w:line="240" w:lineRule="auto" w:before="0" w:after="0"/>
        <w:ind w:left="913" w:right="0" w:hanging="693"/>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13"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096;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12" w:val="left" w:leader="none"/>
          <w:tab w:pos="913" w:val="left" w:leader="none"/>
          <w:tab w:pos="3006" w:val="left" w:leader="none"/>
        </w:tabs>
        <w:spacing w:line="240" w:lineRule="auto" w:before="35" w:after="0"/>
        <w:ind w:left="3006" w:right="0" w:hanging="2786"/>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before="46"/>
      </w:pPr>
      <w:r>
        <w:rPr/>
        <w:t>提前给付重大疾病保险金</w:t>
      </w:r>
    </w:p>
    <w:p>
      <w:pPr>
        <w:spacing w:line="273" w:lineRule="auto" w:before="36"/>
        <w:ind w:left="788" w:right="113" w:hanging="417"/>
        <w:jc w:val="left"/>
        <w:rPr>
          <w:sz w:val="21"/>
        </w:rPr>
      </w:pPr>
      <w:r>
        <w:rPr/>
        <w:br w:type="column"/>
      </w:r>
      <w:r>
        <w:rPr>
          <w:spacing w:val="-8"/>
          <w:sz w:val="21"/>
        </w:rPr>
        <w:t>一、若被保险人于本附加合同生效或最后一次复效之日起 </w:t>
      </w:r>
      <w:r>
        <w:rPr>
          <w:sz w:val="21"/>
        </w:rPr>
        <w:t>90</w:t>
      </w:r>
      <w:r>
        <w:rPr>
          <w:spacing w:val="-2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71"/>
      </w:pPr>
      <w:r>
        <w:rPr/>
        <w:t>二、若被保险人因意外伤害，或于本附加合同生效或最后一次复效之日起 90 日</w:t>
      </w:r>
    </w:p>
    <w:p>
      <w:pPr>
        <w:spacing w:after="0"/>
        <w:sectPr>
          <w:type w:val="continuous"/>
          <w:pgSz w:w="11910" w:h="16840"/>
          <w:pgMar w:top="220" w:bottom="280" w:left="740" w:right="740"/>
          <w:cols w:num="2" w:equalWidth="0">
            <w:col w:w="2595" w:space="40"/>
            <w:col w:w="7795"/>
          </w:cols>
        </w:sectPr>
      </w:pPr>
    </w:p>
    <w:p>
      <w:pPr>
        <w:spacing w:line="261" w:lineRule="auto" w:before="19"/>
        <w:ind w:left="3006" w:right="216" w:firstLine="0"/>
        <w:jc w:val="both"/>
        <w:rPr>
          <w:sz w:val="21"/>
        </w:rPr>
      </w:pPr>
      <w:r>
        <w:rPr>
          <w:sz w:val="21"/>
        </w:rPr>
        <w:t>后因意外伤害以外的原因导致初次患本附加合同所列的重大疾病，我们将按本</w:t>
      </w:r>
      <w:r>
        <w:rPr>
          <w:spacing w:val="-2"/>
          <w:sz w:val="21"/>
        </w:rPr>
        <w:t>附加合同载明的保险金额的 </w:t>
      </w:r>
      <w:r>
        <w:rPr>
          <w:sz w:val="21"/>
        </w:rPr>
        <w:t>3</w:t>
      </w:r>
      <w:r>
        <w:rPr>
          <w:spacing w:val="-5"/>
          <w:sz w:val="21"/>
        </w:rPr>
        <w:t> 倍给付提前给付重大疾病保险金，本附加合同及</w:t>
      </w:r>
      <w:r>
        <w:rPr>
          <w:spacing w:val="-5"/>
          <w:w w:val="95"/>
          <w:sz w:val="21"/>
        </w:rPr>
        <w:t>所附主合同继续有效，同时本附加合同的</w:t>
      </w:r>
      <w:r>
        <w:rPr>
          <w:b/>
          <w:spacing w:val="-5"/>
          <w:w w:val="95"/>
          <w:sz w:val="21"/>
        </w:rPr>
        <w:t>现金价值</w:t>
      </w:r>
      <w:r>
        <w:rPr>
          <w:spacing w:val="-5"/>
          <w:w w:val="95"/>
          <w:sz w:val="21"/>
        </w:rPr>
        <w:t>减少为零，</w:t>
      </w:r>
      <w:r>
        <w:rPr>
          <w:rFonts w:ascii="黑体" w:eastAsia="黑体" w:hint="eastAsia"/>
          <w:b/>
          <w:i/>
          <w:spacing w:val="-5"/>
          <w:w w:val="95"/>
          <w:sz w:val="22"/>
        </w:rPr>
        <w:t>所附主合同的保  险金额按照我们给付的提前给付重大疾病保险金等额减少</w:t>
      </w:r>
      <w:r>
        <w:rPr>
          <w:spacing w:val="-5"/>
          <w:w w:val="95"/>
          <w:sz w:val="21"/>
        </w:rPr>
        <w:t>，</w:t>
      </w:r>
      <w:r>
        <w:rPr>
          <w:rFonts w:ascii="黑体" w:eastAsia="黑体" w:hint="eastAsia"/>
          <w:b/>
          <w:i/>
          <w:spacing w:val="-5"/>
          <w:w w:val="95"/>
          <w:sz w:val="22"/>
        </w:rPr>
        <w:t>所附主合同的身故</w:t>
      </w:r>
      <w:r>
        <w:rPr>
          <w:rFonts w:ascii="黑体" w:eastAsia="黑体" w:hint="eastAsia"/>
          <w:b/>
          <w:i/>
          <w:spacing w:val="-6"/>
          <w:w w:val="95"/>
          <w:sz w:val="22"/>
        </w:rPr>
        <w:t>保险金给付额度变更为等额减少后的主合同保险金额的 </w:t>
      </w:r>
      <w:r>
        <w:rPr>
          <w:rFonts w:ascii="黑体" w:eastAsia="黑体" w:hint="eastAsia"/>
          <w:b/>
          <w:i/>
          <w:w w:val="95"/>
          <w:sz w:val="22"/>
        </w:rPr>
        <w:t>3</w:t>
      </w:r>
      <w:r>
        <w:rPr>
          <w:rFonts w:ascii="黑体" w:eastAsia="黑体" w:hint="eastAsia"/>
          <w:b/>
          <w:i/>
          <w:spacing w:val="-6"/>
          <w:w w:val="95"/>
          <w:sz w:val="22"/>
        </w:rPr>
        <w:t> 倍，所附主合同的保险费按照等额减少后的主合同保险金额计算，所附主合同的Th存年金、满期年金的领取金额按照等额减少前的主合同保险金额计算</w:t>
      </w:r>
      <w:r>
        <w:rPr>
          <w:rFonts w:ascii="黑体" w:eastAsia="黑体" w:hint="eastAsia"/>
          <w:b/>
          <w:i/>
          <w:spacing w:val="-143"/>
          <w:w w:val="95"/>
          <w:sz w:val="22"/>
        </w:rPr>
        <w:t>。</w:t>
      </w:r>
      <w:r>
        <w:rPr>
          <w:rFonts w:ascii="黑体" w:eastAsia="黑体" w:hint="eastAsia"/>
          <w:b/>
          <w:i/>
          <w:w w:val="95"/>
          <w:sz w:val="22"/>
        </w:rPr>
        <w:t>（</w:t>
      </w:r>
      <w:r>
        <w:rPr>
          <w:rFonts w:ascii="黑体" w:eastAsia="黑体" w:hint="eastAsia"/>
          <w:b/>
          <w:i/>
          <w:spacing w:val="-5"/>
          <w:w w:val="95"/>
          <w:sz w:val="22"/>
        </w:rPr>
        <w:t>详细情况见附录：案例演示</w:t>
      </w:r>
      <w:r>
        <w:rPr>
          <w:rFonts w:ascii="黑体" w:eastAsia="黑体" w:hint="eastAsia"/>
          <w:b/>
          <w:i/>
          <w:spacing w:val="-105"/>
          <w:w w:val="95"/>
          <w:sz w:val="22"/>
        </w:rPr>
        <w:t>）</w:t>
      </w:r>
      <w:r>
        <w:rPr>
          <w:w w:val="95"/>
          <w:sz w:val="21"/>
        </w:rPr>
        <w:t>。</w:t>
      </w:r>
    </w:p>
    <w:p>
      <w:pPr>
        <w:pStyle w:val="BodyText"/>
        <w:spacing w:before="11"/>
        <w:rPr>
          <w:sz w:val="15"/>
        </w:rPr>
      </w:pPr>
    </w:p>
    <w:p>
      <w:pPr>
        <w:spacing w:after="0"/>
        <w:rPr>
          <w:sz w:val="15"/>
        </w:rPr>
        <w:sectPr>
          <w:pgSz w:w="11910" w:h="16840"/>
          <w:pgMar w:header="0" w:footer="442" w:top="1100" w:bottom="640" w:left="740" w:right="740"/>
        </w:sectPr>
      </w:pPr>
    </w:p>
    <w:p>
      <w:pPr>
        <w:pStyle w:val="Heading2"/>
        <w:spacing w:line="184" w:lineRule="auto"/>
      </w:pPr>
      <w:r>
        <w:rPr/>
        <w:t>第二次重大疾病保险金</w:t>
      </w:r>
    </w:p>
    <w:p>
      <w:pPr>
        <w:pStyle w:val="BodyText"/>
        <w:spacing w:line="273" w:lineRule="auto" w:before="35"/>
        <w:ind w:left="371" w:right="277"/>
      </w:pPr>
      <w:r>
        <w:rPr/>
        <w:br w:type="column"/>
      </w:r>
      <w:r>
        <w:rPr/>
        <w:t>若同一被保险人已领取提前给付重大疾病保险金，并且自提前给付重大疾病确</w:t>
      </w:r>
      <w:r>
        <w:rPr>
          <w:spacing w:val="-8"/>
        </w:rPr>
        <w:t>诊之日算起满 </w:t>
      </w:r>
      <w:r>
        <w:rPr/>
        <w:t>365</w:t>
      </w:r>
      <w:r>
        <w:rPr>
          <w:spacing w:val="-8"/>
        </w:rPr>
        <w:t> 日后初次患提前给付重大疾病所属组别以外其他两组中的任</w:t>
      </w:r>
    </w:p>
    <w:p>
      <w:pPr>
        <w:pStyle w:val="BodyText"/>
        <w:spacing w:line="273" w:lineRule="auto" w:before="7"/>
        <w:ind w:left="371" w:right="277"/>
      </w:pPr>
      <w:r>
        <w:rPr>
          <w:spacing w:val="-3"/>
        </w:rPr>
        <w:t>何一种重大疾病，我们将按本附加合同载明的保险金额的 </w:t>
      </w:r>
      <w:r>
        <w:rPr/>
        <w:t>3</w:t>
      </w:r>
      <w:r>
        <w:rPr>
          <w:spacing w:val="-8"/>
        </w:rPr>
        <w:t> 倍给付第二次重大疾病保险金，同时本附加合同终止。</w:t>
      </w:r>
    </w:p>
    <w:p>
      <w:pPr>
        <w:spacing w:after="0" w:line="273" w:lineRule="auto"/>
        <w:sectPr>
          <w:type w:val="continuous"/>
          <w:pgSz w:w="11910" w:h="16840"/>
          <w:pgMar w:top="220" w:bottom="280" w:left="740" w:right="740"/>
          <w:cols w:num="2" w:equalWidth="0">
            <w:col w:w="2595" w:space="40"/>
            <w:col w:w="7795"/>
          </w:cols>
        </w:sectPr>
      </w:pPr>
    </w:p>
    <w:p>
      <w:pPr>
        <w:pStyle w:val="BodyText"/>
        <w:spacing w:before="12"/>
        <w:rPr>
          <w:sz w:val="20"/>
        </w:rPr>
      </w:pPr>
    </w:p>
    <w:p>
      <w:pPr>
        <w:spacing w:after="0"/>
        <w:rPr>
          <w:sz w:val="20"/>
        </w:rPr>
        <w:sectPr>
          <w:type w:val="continuous"/>
          <w:pgSz w:w="11910" w:h="16840"/>
          <w:pgMar w:top="220" w:bottom="280" w:left="740" w:right="740"/>
        </w:sectPr>
      </w:pPr>
    </w:p>
    <w:p>
      <w:pPr>
        <w:pStyle w:val="Heading2"/>
        <w:spacing w:line="182" w:lineRule="auto" w:before="50"/>
      </w:pPr>
      <w:r>
        <w:rPr/>
        <w:t>重大疾病保险费豁免</w:t>
      </w:r>
    </w:p>
    <w:p>
      <w:pPr>
        <w:pStyle w:val="BodyText"/>
        <w:spacing w:line="273" w:lineRule="auto" w:before="36"/>
        <w:ind w:left="371" w:right="277"/>
      </w:pPr>
      <w:r>
        <w:rPr/>
        <w:br w:type="column"/>
      </w:r>
      <w:r>
        <w:rPr/>
        <w:t>若被保险人已领取提前给付重大疾病保险金，我们将豁免本附加合同自提前给付重大疾病确诊之日以后的各期保险费。</w:t>
      </w:r>
    </w:p>
    <w:p>
      <w:pPr>
        <w:spacing w:after="0" w:line="273" w:lineRule="auto"/>
        <w:sectPr>
          <w:type w:val="continuous"/>
          <w:pgSz w:w="11910" w:h="16840"/>
          <w:pgMar w:top="220" w:bottom="280" w:left="740" w:right="740"/>
          <w:cols w:num="2" w:equalWidth="0">
            <w:col w:w="2595" w:space="40"/>
            <w:col w:w="7795"/>
          </w:cols>
        </w:sectPr>
      </w:pPr>
    </w:p>
    <w:p>
      <w:pPr>
        <w:pStyle w:val="BodyText"/>
        <w:spacing w:before="13"/>
        <w:rPr>
          <w:sz w:val="12"/>
        </w:rPr>
      </w:pPr>
    </w:p>
    <w:p>
      <w:pPr>
        <w:pStyle w:val="Heading3"/>
        <w:numPr>
          <w:ilvl w:val="1"/>
          <w:numId w:val="9"/>
        </w:numPr>
        <w:tabs>
          <w:tab w:pos="913" w:val="left" w:leader="none"/>
          <w:tab w:pos="914" w:val="left" w:leader="none"/>
          <w:tab w:pos="3006" w:val="left" w:leader="none"/>
        </w:tabs>
        <w:spacing w:line="240" w:lineRule="auto" w:before="34" w:after="0"/>
        <w:ind w:left="913" w:right="0" w:hanging="69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913" w:val="left" w:leader="none"/>
          <w:tab w:pos="3006" w:val="left" w:leader="none"/>
        </w:tabs>
        <w:spacing w:line="273" w:lineRule="auto" w:before="0" w:after="0"/>
        <w:ind w:left="3006" w:right="275" w:hanging="2786"/>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4"/>
        <w:rPr>
          <w:sz w:val="19"/>
        </w:rPr>
      </w:pPr>
    </w:p>
    <w:p>
      <w:pPr>
        <w:pStyle w:val="ListParagraph"/>
        <w:numPr>
          <w:ilvl w:val="1"/>
          <w:numId w:val="9"/>
        </w:numPr>
        <w:tabs>
          <w:tab w:pos="913" w:val="left" w:leader="none"/>
          <w:tab w:pos="3006" w:val="left" w:leader="none"/>
        </w:tabs>
        <w:spacing w:line="273" w:lineRule="auto" w:before="1" w:after="0"/>
        <w:ind w:left="3006" w:right="274" w:hanging="2786"/>
        <w:jc w:val="both"/>
        <w:rPr>
          <w:sz w:val="21"/>
        </w:rPr>
      </w:pPr>
      <w:r>
        <w:rPr>
          <w:b/>
          <w:sz w:val="21"/>
        </w:rPr>
        <w:t>保险期间</w:t>
        <w:tab/>
      </w:r>
      <w:r>
        <w:rPr>
          <w:sz w:val="21"/>
        </w:rPr>
        <w:t>本附加合同的保险期间与主合同一致，自本附加合同生效日零时起算。所附主合同终止的，本附加合同同时终止。若被保险人在所附主合同生效后</w:t>
      </w:r>
      <w:r>
        <w:rPr>
          <w:spacing w:val="-53"/>
          <w:sz w:val="21"/>
        </w:rPr>
        <w:t> </w:t>
      </w:r>
      <w:r>
        <w:rPr>
          <w:sz w:val="21"/>
        </w:rPr>
        <w:t>180</w:t>
      </w:r>
      <w:r>
        <w:rPr>
          <w:spacing w:val="-52"/>
          <w:sz w:val="21"/>
        </w:rPr>
        <w:t> </w:t>
      </w:r>
      <w:r>
        <w:rPr>
          <w:sz w:val="21"/>
        </w:rPr>
        <w:t>日内</w:t>
      </w:r>
    </w:p>
    <w:p>
      <w:pPr>
        <w:pStyle w:val="BodyText"/>
        <w:spacing w:line="273" w:lineRule="auto" w:before="8"/>
        <w:ind w:left="3006" w:right="275"/>
      </w:pPr>
      <w:r>
        <w:rPr/>
        <w:t>（</w:t>
      </w:r>
      <w:r>
        <w:rPr>
          <w:spacing w:val="-18"/>
        </w:rPr>
        <w:t>含第 </w:t>
      </w:r>
      <w:r>
        <w:rPr/>
        <w:t>180</w:t>
      </w:r>
      <w:r>
        <w:rPr>
          <w:spacing w:val="-27"/>
        </w:rPr>
        <w:t> 日</w:t>
      </w:r>
      <w:r>
        <w:rPr/>
        <w:t>）身故，本附加合同与所附主合同同时终止，我们向您无息返还本附加合同的已交保险费。</w:t>
      </w:r>
    </w:p>
    <w:p>
      <w:pPr>
        <w:pStyle w:val="BodyText"/>
        <w:spacing w:before="3"/>
        <w:rPr>
          <w:sz w:val="19"/>
        </w:rPr>
      </w:pPr>
    </w:p>
    <w:p>
      <w:pPr>
        <w:tabs>
          <w:tab w:pos="913" w:val="left" w:leader="none"/>
        </w:tabs>
        <w:spacing w:line="556" w:lineRule="exact" w:before="0"/>
        <w:ind w:left="220" w:right="0" w:firstLine="0"/>
        <w:jc w:val="left"/>
        <w:rPr>
          <w:b/>
          <w:sz w:val="24"/>
        </w:rPr>
      </w:pPr>
      <w:r>
        <w:rPr/>
        <w:pict>
          <v:group style="position:absolute;margin-left:42.599998pt;margin-top:31.161146pt;width:510.1pt;height:1pt;mso-position-horizontal-relative:page;mso-position-vertical-relative:paragraph;z-index:1120;mso-wrap-distance-left:0;mso-wrap-distance-right:0" coordorigin="852,623" coordsize="10202,20">
            <v:line style="position:absolute" from="852,633" to="3659,633" stroked="true" strokeweight=".96002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position w:val="-3"/>
          <w:sz w:val="40"/>
        </w:rPr>
        <w:t>O</w:t>
        <w:tab/>
      </w:r>
      <w:r>
        <w:rPr>
          <w:b/>
          <w:w w:val="95"/>
          <w:sz w:val="24"/>
        </w:rPr>
        <w:t>保险金的申请</w:t>
      </w:r>
    </w:p>
    <w:p>
      <w:pPr>
        <w:spacing w:after="0" w:line="556" w:lineRule="exact"/>
        <w:jc w:val="left"/>
        <w:rPr>
          <w:sz w:val="24"/>
        </w:rPr>
        <w:sectPr>
          <w:type w:val="continuous"/>
          <w:pgSz w:w="11910" w:h="16840"/>
          <w:pgMar w:top="220" w:bottom="280" w:left="740" w:right="740"/>
        </w:sectPr>
      </w:pPr>
    </w:p>
    <w:p>
      <w:pPr>
        <w:pStyle w:val="ListParagraph"/>
        <w:numPr>
          <w:ilvl w:val="1"/>
          <w:numId w:val="10"/>
        </w:numPr>
        <w:tabs>
          <w:tab w:pos="913" w:val="left" w:leader="none"/>
          <w:tab w:pos="914" w:val="left" w:leader="none"/>
          <w:tab w:pos="3006" w:val="left" w:leader="none"/>
        </w:tabs>
        <w:spacing w:line="240" w:lineRule="auto" w:before="19" w:after="0"/>
        <w:ind w:left="3006" w:right="0" w:hanging="2786"/>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10"/>
        </w:numPr>
        <w:tabs>
          <w:tab w:pos="914" w:val="left" w:leader="none"/>
        </w:tabs>
        <w:spacing w:line="266" w:lineRule="auto" w:before="0" w:after="0"/>
        <w:ind w:left="3006" w:right="218" w:hanging="2786"/>
        <w:jc w:val="both"/>
        <w:rPr>
          <w:sz w:val="21"/>
        </w:rPr>
      </w:pPr>
      <w:r>
        <w:rPr>
          <w:b/>
          <w:spacing w:val="1"/>
          <w:sz w:val="21"/>
        </w:rPr>
        <w:t>保险事故通知      </w:t>
      </w:r>
      <w:r>
        <w:rPr>
          <w:spacing w:val="-8"/>
          <w:sz w:val="21"/>
        </w:rPr>
        <w:t>您、被保险人或受益人应于知道保险事故发生之日起 </w:t>
      </w:r>
      <w:r>
        <w:rPr>
          <w:sz w:val="21"/>
        </w:rPr>
        <w:t>10</w:t>
      </w:r>
      <w:r>
        <w:rPr>
          <w:spacing w:val="-11"/>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4"/>
        <w:rPr>
          <w:sz w:val="18"/>
        </w:rPr>
      </w:pPr>
    </w:p>
    <w:p>
      <w:pPr>
        <w:pStyle w:val="ListParagraph"/>
        <w:numPr>
          <w:ilvl w:val="1"/>
          <w:numId w:val="10"/>
        </w:numPr>
        <w:tabs>
          <w:tab w:pos="913" w:val="left" w:leader="none"/>
          <w:tab w:pos="914" w:val="left" w:leader="none"/>
          <w:tab w:pos="3006" w:val="left" w:leader="none"/>
        </w:tabs>
        <w:spacing w:line="240" w:lineRule="auto" w:before="0" w:after="0"/>
        <w:ind w:left="3006" w:right="0" w:hanging="2786"/>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before="36"/>
        <w:ind w:left="3426" w:right="275"/>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重大疾病保险金申请</w:t>
      </w:r>
    </w:p>
    <w:p>
      <w:pPr>
        <w:pStyle w:val="BodyText"/>
        <w:spacing w:line="273" w:lineRule="auto" w:before="36"/>
        <w:ind w:left="371" w:right="220"/>
      </w:pPr>
      <w:r>
        <w:rPr/>
        <w:br w:type="column"/>
      </w:r>
      <w:r>
        <w:rPr/>
        <w:t>申请重大疾病保险金的，申请人须填写保险金给付申请书，并向我们提供下列资料：</w:t>
      </w:r>
    </w:p>
    <w:p>
      <w:pPr>
        <w:pStyle w:val="BodyText"/>
        <w:spacing w:line="273" w:lineRule="auto" w:before="8"/>
        <w:ind w:left="371" w:right="4687"/>
      </w:pPr>
      <w:r>
        <w:rPr/>
        <w:t>(一)保险合同；            (二)申请人的有效身份证件；</w:t>
      </w:r>
    </w:p>
    <w:p>
      <w:pPr>
        <w:pStyle w:val="BodyText"/>
        <w:spacing w:line="273" w:lineRule="auto" w:before="8"/>
        <w:ind w:left="791" w:right="219" w:hanging="420"/>
      </w:pPr>
      <w:r>
        <w:rPr/>
        <w:t>(三)由</w:t>
      </w:r>
      <w:r>
        <w:rPr>
          <w:b/>
        </w:rPr>
        <w:t>医疗机构</w:t>
      </w:r>
      <w:r>
        <w:rPr/>
        <w:t>出具的可证明被保险人患重大疾病的诊断证明和诊断所患重大疾病必需的检查报告；</w:t>
      </w:r>
    </w:p>
    <w:p>
      <w:pPr>
        <w:pStyle w:val="BodyText"/>
        <w:spacing w:before="8"/>
        <w:ind w:left="371"/>
      </w:pPr>
      <w:r>
        <w:rPr/>
        <w:t>(四)所能提供的与确认保险事故的性质、原因、伤害程度等有关的其他资料。</w:t>
      </w:r>
    </w:p>
    <w:p>
      <w:pPr>
        <w:pStyle w:val="BodyText"/>
        <w:spacing w:before="3"/>
        <w:rPr>
          <w:sz w:val="20"/>
        </w:rPr>
      </w:pPr>
    </w:p>
    <w:p>
      <w:pPr>
        <w:pStyle w:val="BodyText"/>
        <w:spacing w:line="273" w:lineRule="auto" w:before="0"/>
        <w:ind w:left="371" w:right="220"/>
      </w:pPr>
      <w:r>
        <w:rPr/>
        <w:t>二、保险金作为被保险人遗产时，申请人还须提供可证明合法继承权的相关权利文件。</w:t>
      </w:r>
    </w:p>
    <w:p>
      <w:pPr>
        <w:pStyle w:val="BodyText"/>
        <w:spacing w:before="7"/>
        <w:ind w:left="369"/>
      </w:pPr>
      <w:r>
        <w:rPr/>
        <w:t>三、上述申请资料不完整的，我们将及时一次性通知申请人补充提供有关资料。</w:t>
      </w:r>
    </w:p>
    <w:p>
      <w:pPr>
        <w:spacing w:after="0"/>
        <w:sectPr>
          <w:type w:val="continuous"/>
          <w:pgSz w:w="11910" w:h="16840"/>
          <w:pgMar w:top="220" w:bottom="280" w:left="740" w:right="740"/>
          <w:cols w:num="2" w:equalWidth="0">
            <w:col w:w="2595" w:space="40"/>
            <w:col w:w="7795"/>
          </w:cols>
        </w:sectPr>
      </w:pPr>
    </w:p>
    <w:p>
      <w:pPr>
        <w:pStyle w:val="BodyText"/>
        <w:spacing w:before="0"/>
        <w:rPr>
          <w:sz w:val="18"/>
        </w:rPr>
      </w:pPr>
    </w:p>
    <w:p>
      <w:pPr>
        <w:pStyle w:val="ListParagraph"/>
        <w:numPr>
          <w:ilvl w:val="1"/>
          <w:numId w:val="10"/>
        </w:numPr>
        <w:tabs>
          <w:tab w:pos="913" w:val="left" w:leader="none"/>
          <w:tab w:pos="914" w:val="left" w:leader="none"/>
          <w:tab w:pos="3006" w:val="left" w:leader="none"/>
        </w:tabs>
        <w:spacing w:line="240" w:lineRule="auto" w:before="35" w:after="0"/>
        <w:ind w:left="913" w:right="0" w:hanging="693"/>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1" w:after="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711" w:hRule="atLeast"/>
        </w:trPr>
        <w:tc>
          <w:tcPr>
            <w:tcW w:w="633"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67"/>
              <w:rPr>
                <w:b/>
                <w:sz w:val="21"/>
              </w:rPr>
            </w:pPr>
            <w:r>
              <w:rPr>
                <w:b/>
                <w:w w:val="95"/>
                <w:sz w:val="21"/>
              </w:rPr>
              <w:t>诉讼时效</w:t>
            </w:r>
          </w:p>
        </w:tc>
        <w:tc>
          <w:tcPr>
            <w:tcW w:w="7631" w:type="dxa"/>
          </w:tcPr>
          <w:p>
            <w:pPr>
              <w:pStyle w:val="TableParagraph"/>
              <w:spacing w:line="210" w:lineRule="exact"/>
              <w:ind w:left="322"/>
              <w:rPr>
                <w:sz w:val="21"/>
              </w:rPr>
            </w:pPr>
            <w:r>
              <w:rPr>
                <w:sz w:val="21"/>
              </w:rPr>
              <w:t>申请人向我们请求给付保险金的诉讼时效期间为 2 年，自其知道或应当知道保</w:t>
            </w:r>
          </w:p>
          <w:p>
            <w:pPr>
              <w:pStyle w:val="TableParagraph"/>
              <w:spacing w:before="37"/>
              <w:ind w:left="322"/>
              <w:rPr>
                <w:sz w:val="21"/>
              </w:rPr>
            </w:pPr>
            <w:r>
              <w:rPr>
                <w:sz w:val="21"/>
              </w:rPr>
              <w:t>险事故发生之日起计算。</w:t>
            </w:r>
          </w:p>
        </w:tc>
      </w:tr>
      <w:tr>
        <w:trPr>
          <w:trHeight w:val="712" w:hRule="atLeast"/>
        </w:trPr>
        <w:tc>
          <w:tcPr>
            <w:tcW w:w="63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68"/>
              <w:rPr>
                <w:b/>
                <w:sz w:val="24"/>
              </w:rPr>
            </w:pPr>
            <w:r>
              <w:rPr>
                <w:b/>
                <w:w w:val="95"/>
                <w:sz w:val="24"/>
              </w:rPr>
              <w:t>保险费的交纳</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68"/>
              <w:rPr>
                <w:b/>
                <w:sz w:val="21"/>
              </w:rPr>
            </w:pPr>
            <w:r>
              <w:rPr>
                <w:b/>
                <w:w w:val="95"/>
                <w:sz w:val="21"/>
              </w:rPr>
              <w:t>保险费的交纳</w:t>
            </w:r>
          </w:p>
        </w:tc>
        <w:tc>
          <w:tcPr>
            <w:tcW w:w="7631" w:type="dxa"/>
            <w:tcBorders>
              <w:top w:val="single" w:sz="8" w:space="0" w:color="000000"/>
            </w:tcBorders>
          </w:tcPr>
          <w:p>
            <w:pPr>
              <w:pStyle w:val="TableParagraph"/>
              <w:spacing w:before="9"/>
              <w:rPr>
                <w:sz w:val="14"/>
              </w:rPr>
            </w:pPr>
          </w:p>
          <w:p>
            <w:pPr>
              <w:pStyle w:val="TableParagraph"/>
              <w:spacing w:line="255" w:lineRule="exact"/>
              <w:ind w:left="356"/>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13"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w:t>
      </w:r>
    </w:p>
    <w:p>
      <w:pPr>
        <w:spacing w:after="0" w:line="273" w:lineRule="auto"/>
        <w:sectPr>
          <w:type w:val="continuous"/>
          <w:pgSz w:w="11910" w:h="16840"/>
          <w:pgMar w:top="220" w:bottom="280" w:left="740" w:right="740"/>
        </w:sectPr>
      </w:pPr>
    </w:p>
    <w:p>
      <w:pPr>
        <w:pStyle w:val="BodyText"/>
        <w:spacing w:before="0"/>
        <w:rPr>
          <w:sz w:val="42"/>
        </w:rPr>
      </w:pPr>
    </w:p>
    <w:p>
      <w:pPr>
        <w:pStyle w:val="BodyText"/>
        <w:spacing w:before="6"/>
        <w:rPr>
          <w:sz w:val="40"/>
        </w:rPr>
      </w:pPr>
    </w:p>
    <w:p>
      <w:pPr>
        <w:tabs>
          <w:tab w:pos="913" w:val="left" w:leader="none"/>
        </w:tabs>
        <w:spacing w:before="0"/>
        <w:ind w:left="220"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19"/>
        <w:ind w:left="640"/>
      </w:pPr>
      <w:r>
        <w:rPr/>
        <w:br w:type="column"/>
      </w:r>
      <w:r>
        <w:rPr/>
        <w:t>扣减您欠交的保险费。</w:t>
      </w:r>
    </w:p>
    <w:p>
      <w:pPr>
        <w:pStyle w:val="BodyText"/>
        <w:spacing w:line="273" w:lineRule="auto"/>
        <w:ind w:left="640" w:right="242" w:hanging="420"/>
      </w:pPr>
      <w:r>
        <w:rPr/>
        <w:t>二、若您宽限期结束之后仍未支付保险费，则本附加合同自宽限期满的次日零时起中止。</w:t>
      </w:r>
    </w:p>
    <w:p>
      <w:pPr>
        <w:spacing w:after="0" w:line="273" w:lineRule="auto"/>
        <w:sectPr>
          <w:pgSz w:w="11910" w:h="16840"/>
          <w:pgMar w:header="0" w:footer="442" w:top="1100" w:bottom="640" w:left="740" w:right="740"/>
          <w:cols w:num="2" w:equalWidth="0">
            <w:col w:w="2360" w:space="460"/>
            <w:col w:w="7610"/>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740" w:right="740"/>
        </w:sectPr>
      </w:pPr>
    </w:p>
    <w:p>
      <w:pPr>
        <w:pStyle w:val="Heading4"/>
        <w:tabs>
          <w:tab w:pos="913" w:val="left" w:leader="none"/>
        </w:tabs>
        <w:spacing w:line="273" w:lineRule="auto" w:before="36"/>
        <w:ind w:left="913" w:hanging="694"/>
        <w:rPr>
          <w:rFonts w:ascii="宋体" w:eastAsia="宋体" w:hint="eastAsia"/>
        </w:rPr>
      </w:pPr>
      <w:r>
        <w:rPr>
          <w:rFonts w:ascii="宋体" w:eastAsia="宋体" w:hint="eastAsia"/>
        </w:rPr>
        <w:t>5.1</w:t>
        <w:tab/>
      </w:r>
      <w:r>
        <w:rPr>
          <w:rFonts w:ascii="宋体" w:eastAsia="宋体" w:hint="eastAsia"/>
          <w:w w:val="95"/>
        </w:rPr>
        <w:t>本附加合同现金价 </w:t>
      </w:r>
      <w:r>
        <w:rPr>
          <w:rFonts w:ascii="宋体" w:eastAsia="宋体" w:hint="eastAsia"/>
        </w:rPr>
        <w:t>值</w:t>
      </w:r>
    </w:p>
    <w:p>
      <w:pPr>
        <w:pStyle w:val="ListParagraph"/>
        <w:numPr>
          <w:ilvl w:val="0"/>
          <w:numId w:val="11"/>
        </w:numPr>
        <w:tabs>
          <w:tab w:pos="913" w:val="left" w:leader="none"/>
          <w:tab w:pos="914" w:val="left" w:leader="none"/>
        </w:tabs>
        <w:spacing w:line="240" w:lineRule="auto" w:before="132" w:after="0"/>
        <w:ind w:left="913" w:right="0" w:hanging="693"/>
        <w:jc w:val="left"/>
        <w:rPr>
          <w:b/>
          <w:sz w:val="24"/>
        </w:rPr>
      </w:pPr>
      <w:r>
        <w:rPr>
          <w:b/>
          <w:sz w:val="24"/>
        </w:rPr>
        <w:t>合同中止和复效</w:t>
      </w:r>
    </w:p>
    <w:p>
      <w:pPr>
        <w:pStyle w:val="BodyText"/>
        <w:spacing w:line="273" w:lineRule="auto" w:before="36"/>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40" w:right="740"/>
          <w:cols w:num="2" w:equalWidth="0">
            <w:col w:w="2601" w:space="185"/>
            <w:col w:w="7644"/>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5"/>
        <w:rPr>
          <w:sz w:val="11"/>
        </w:rPr>
      </w:pPr>
    </w:p>
    <w:p>
      <w:pPr>
        <w:pStyle w:val="ListParagraph"/>
        <w:numPr>
          <w:ilvl w:val="1"/>
          <w:numId w:val="12"/>
        </w:numPr>
        <w:tabs>
          <w:tab w:pos="912" w:val="left" w:leader="none"/>
          <w:tab w:pos="913"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10"/>
        <w:rPr>
          <w:sz w:val="18"/>
        </w:rPr>
      </w:pPr>
    </w:p>
    <w:p>
      <w:pPr>
        <w:pStyle w:val="ListParagraph"/>
        <w:numPr>
          <w:ilvl w:val="1"/>
          <w:numId w:val="12"/>
        </w:numPr>
        <w:tabs>
          <w:tab w:pos="912" w:val="left" w:leader="none"/>
          <w:tab w:pos="913"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13" w:val="left" w:leader="none"/>
        </w:tabs>
        <w:spacing w:line="557" w:lineRule="exact" w:before="0"/>
        <w:ind w:left="220" w:right="0" w:firstLine="0"/>
        <w:jc w:val="left"/>
        <w:rPr>
          <w:b/>
          <w:sz w:val="24"/>
        </w:rPr>
      </w:pPr>
      <w:r>
        <w:rPr/>
        <w:pict>
          <v:group style="position:absolute;margin-left:42.599998pt;margin-top:31.19298pt;width:510.1pt;height:1pt;mso-position-horizontal-relative:page;mso-position-vertical-relative:paragraph;z-index:1192;mso-wrap-distance-left:0;mso-wrap-distance-right:0" coordorigin="852,624" coordsize="10202,20">
            <v:line style="position:absolute" from="852,633" to="3659,633" stroked="true" strokeweight=".96002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40" w:right="740"/>
        </w:sectPr>
      </w:pPr>
    </w:p>
    <w:p>
      <w:pPr>
        <w:pStyle w:val="Heading4"/>
        <w:numPr>
          <w:ilvl w:val="1"/>
          <w:numId w:val="13"/>
        </w:numPr>
        <w:tabs>
          <w:tab w:pos="913" w:val="left" w:leader="none"/>
          <w:tab w:pos="914" w:val="left" w:leader="none"/>
        </w:tabs>
        <w:spacing w:line="273" w:lineRule="auto" w:before="35" w:after="0"/>
        <w:ind w:left="913" w:right="0" w:hanging="693"/>
        <w:jc w:val="left"/>
        <w:rPr>
          <w:rFonts w:ascii="宋体" w:eastAsia="宋体" w:hint="eastAsia"/>
        </w:rPr>
      </w:pPr>
      <w:r>
        <w:rPr>
          <w:rFonts w:ascii="宋体" w:eastAsia="宋体" w:hint="eastAsia"/>
        </w:rPr>
        <w:t>您解除合同的手续</w:t>
      </w:r>
      <w:r>
        <w:rPr>
          <w:rFonts w:ascii="宋体" w:eastAsia="宋体" w:hint="eastAsia"/>
          <w:w w:val="95"/>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220" w:bottom="280" w:left="740" w:right="740"/>
          <w:cols w:num="2" w:equalWidth="0">
            <w:col w:w="2601" w:space="185"/>
            <w:col w:w="7644"/>
          </w:cols>
        </w:sectPr>
      </w:pPr>
    </w:p>
    <w:p>
      <w:pPr>
        <w:pStyle w:val="BodyText"/>
        <w:spacing w:before="6"/>
        <w:rPr>
          <w:sz w:val="17"/>
        </w:rPr>
      </w:pPr>
    </w:p>
    <w:p>
      <w:pPr>
        <w:pStyle w:val="ListParagraph"/>
        <w:numPr>
          <w:ilvl w:val="1"/>
          <w:numId w:val="13"/>
        </w:numPr>
        <w:tabs>
          <w:tab w:pos="912" w:val="left" w:leader="none"/>
          <w:tab w:pos="913" w:val="left" w:leader="none"/>
          <w:tab w:pos="3006" w:val="left" w:leader="none"/>
        </w:tabs>
        <w:spacing w:line="240" w:lineRule="auto" w:before="36" w:after="0"/>
        <w:ind w:left="912" w:right="0" w:hanging="692"/>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14" w:val="left" w:leader="none"/>
        </w:tabs>
        <w:spacing w:line="273" w:lineRule="auto" w:before="0" w:after="0"/>
        <w:ind w:left="3006" w:right="275" w:hanging="2786"/>
        <w:jc w:val="both"/>
        <w:rPr>
          <w:sz w:val="21"/>
        </w:rPr>
      </w:pPr>
      <w:r>
        <w:rPr>
          <w:b/>
          <w:spacing w:val="5"/>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13" w:val="left" w:leader="none"/>
        </w:tabs>
        <w:spacing w:line="556" w:lineRule="exact" w:before="0"/>
        <w:ind w:left="220" w:right="0" w:firstLine="0"/>
        <w:jc w:val="left"/>
        <w:rPr>
          <w:b/>
          <w:sz w:val="24"/>
        </w:rPr>
      </w:pPr>
      <w:r>
        <w:rPr/>
        <w:pict>
          <v:group style="position:absolute;margin-left:42.599998pt;margin-top:31.176941pt;width:510.1pt;height:1pt;mso-position-horizontal-relative:page;mso-position-vertical-relative:paragraph;z-index:1216;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13" w:val="left" w:leader="none"/>
          <w:tab w:pos="915" w:val="left" w:leader="none"/>
          <w:tab w:pos="3006" w:val="left" w:leader="none"/>
        </w:tabs>
        <w:spacing w:line="273" w:lineRule="auto" w:before="35" w:after="0"/>
        <w:ind w:left="3006" w:right="112" w:hanging="2786"/>
        <w:jc w:val="left"/>
        <w:rPr>
          <w:sz w:val="21"/>
        </w:rPr>
      </w:pPr>
      <w:r>
        <w:rPr>
          <w:b/>
          <w:sz w:val="21"/>
        </w:rPr>
        <w:t>周岁</w:t>
        <w:tab/>
      </w:r>
      <w:r>
        <w:rPr>
          <w:sz w:val="21"/>
        </w:rPr>
        <w:t>指按法定身份证明文件中记载的出生日期计算的年龄</w:t>
      </w:r>
      <w:r>
        <w:rPr>
          <w:spacing w:val="-4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40" w:right="740"/>
        </w:sectPr>
      </w:pPr>
    </w:p>
    <w:p>
      <w:pPr>
        <w:pStyle w:val="ListParagraph"/>
        <w:numPr>
          <w:ilvl w:val="1"/>
          <w:numId w:val="14"/>
        </w:numPr>
        <w:tabs>
          <w:tab w:pos="813" w:val="left" w:leader="none"/>
          <w:tab w:pos="814" w:val="left" w:leader="none"/>
          <w:tab w:pos="2906" w:val="left" w:leader="none"/>
        </w:tabs>
        <w:spacing w:line="273" w:lineRule="auto" w:before="9" w:after="0"/>
        <w:ind w:left="2906" w:right="275"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13" w:val="left" w:leader="none"/>
          <w:tab w:pos="814"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13" w:val="left" w:leader="none"/>
          <w:tab w:pos="814"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戒酒、护理、养老等非以直接诊治病人为目的的医疗机构。</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15"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320" w:bottom="640" w:left="840" w:right="740"/>
        </w:sectPr>
      </w:pPr>
    </w:p>
    <w:p>
      <w:pPr>
        <w:pStyle w:val="Heading4"/>
        <w:numPr>
          <w:ilvl w:val="1"/>
          <w:numId w:val="14"/>
        </w:numPr>
        <w:tabs>
          <w:tab w:pos="813" w:val="left" w:leader="none"/>
          <w:tab w:pos="815" w:val="left" w:leader="none"/>
        </w:tabs>
        <w:spacing w:line="273" w:lineRule="auto" w:before="36" w:after="0"/>
        <w:ind w:left="813" w:right="0" w:hanging="694"/>
        <w:jc w:val="left"/>
        <w:rPr>
          <w:rFonts w:ascii="宋体" w:eastAsia="宋体" w:hint="eastAsia"/>
        </w:rPr>
      </w:pPr>
      <w:r>
        <w:rPr>
          <w:rFonts w:ascii="宋体" w:eastAsia="宋体" w:hint="eastAsia"/>
        </w:rPr>
        <w:t>无合法有效驾驶证</w:t>
      </w:r>
      <w:r>
        <w:rPr>
          <w:rFonts w:ascii="宋体" w:eastAsia="宋体" w:hint="eastAsia"/>
          <w:w w:val="95"/>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220" w:bottom="280" w:left="840" w:right="740"/>
          <w:cols w:num="2" w:equalWidth="0">
            <w:col w:w="2501" w:space="286"/>
            <w:col w:w="7543"/>
          </w:cols>
        </w:sectPr>
      </w:pPr>
    </w:p>
    <w:p>
      <w:pPr>
        <w:pStyle w:val="BodyText"/>
        <w:spacing w:before="3"/>
        <w:rPr>
          <w:sz w:val="15"/>
        </w:rPr>
      </w:pPr>
    </w:p>
    <w:p>
      <w:pPr>
        <w:pStyle w:val="ListParagraph"/>
        <w:numPr>
          <w:ilvl w:val="1"/>
          <w:numId w:val="14"/>
        </w:numPr>
        <w:tabs>
          <w:tab w:pos="813" w:val="left" w:leader="none"/>
          <w:tab w:pos="814" w:val="left" w:leader="none"/>
          <w:tab w:pos="2906" w:val="left" w:leader="none"/>
        </w:tabs>
        <w:spacing w:line="240" w:lineRule="auto" w:before="35" w:after="0"/>
        <w:ind w:left="813" w:right="0" w:hanging="694"/>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220" w:bottom="280" w:left="840" w:right="740"/>
        </w:sectPr>
      </w:pPr>
    </w:p>
    <w:p>
      <w:pPr>
        <w:pStyle w:val="Heading4"/>
        <w:numPr>
          <w:ilvl w:val="1"/>
          <w:numId w:val="14"/>
        </w:numPr>
        <w:tabs>
          <w:tab w:pos="814" w:val="left" w:leader="none"/>
          <w:tab w:pos="815" w:val="left" w:leader="none"/>
        </w:tabs>
        <w:spacing w:line="273" w:lineRule="auto" w:before="42" w:after="0"/>
        <w:ind w:left="813" w:right="0" w:hanging="693"/>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56" w:lineRule="auto" w:before="42"/>
        <w:ind w:left="120" w:right="218"/>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w:t>
      </w:r>
    </w:p>
    <w:p>
      <w:pPr>
        <w:spacing w:after="0" w:line="256" w:lineRule="auto"/>
        <w:sectPr>
          <w:type w:val="continuous"/>
          <w:pgSz w:w="11910" w:h="16840"/>
          <w:pgMar w:top="220" w:bottom="280" w:left="840" w:right="740"/>
          <w:cols w:num="2" w:equalWidth="0">
            <w:col w:w="2501" w:space="286"/>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2082"/>
        <w:gridCol w:w="7510"/>
      </w:tblGrid>
      <w:tr>
        <w:trPr>
          <w:trHeight w:val="260" w:hRule="atLeast"/>
        </w:trPr>
        <w:tc>
          <w:tcPr>
            <w:tcW w:w="2691" w:type="dxa"/>
            <w:gridSpan w:val="2"/>
            <w:vMerge w:val="restart"/>
          </w:tcPr>
          <w:p>
            <w:pPr>
              <w:pStyle w:val="TableParagraph"/>
              <w:rPr>
                <w:rFonts w:ascii="Times New Roman"/>
                <w:sz w:val="20"/>
              </w:rPr>
            </w:pPr>
          </w:p>
        </w:tc>
        <w:tc>
          <w:tcPr>
            <w:tcW w:w="7510" w:type="dxa"/>
          </w:tcPr>
          <w:p>
            <w:pPr>
              <w:pStyle w:val="TableParagraph"/>
              <w:spacing w:line="210" w:lineRule="exact"/>
              <w:ind w:left="145"/>
              <w:rPr>
                <w:sz w:val="21"/>
              </w:rPr>
            </w:pPr>
            <w:r>
              <w:rPr>
                <w:sz w:val="21"/>
              </w:rPr>
              <w:t>检测到艾滋病病毒或其抗体呈阳性，没有出现临床症状或体征的，为感染艾滋</w:t>
            </w:r>
          </w:p>
        </w:tc>
      </w:tr>
      <w:tr>
        <w:trPr>
          <w:trHeight w:val="415" w:hRule="atLeast"/>
        </w:trPr>
        <w:tc>
          <w:tcPr>
            <w:tcW w:w="2691" w:type="dxa"/>
            <w:gridSpan w:val="2"/>
            <w:vMerge/>
            <w:tcBorders>
              <w:top w:val="nil"/>
            </w:tcBorders>
          </w:tcPr>
          <w:p>
            <w:pPr>
              <w:rPr>
                <w:sz w:val="2"/>
                <w:szCs w:val="2"/>
              </w:rPr>
            </w:pPr>
          </w:p>
        </w:tc>
        <w:tc>
          <w:tcPr>
            <w:tcW w:w="7510" w:type="dxa"/>
          </w:tcPr>
          <w:p>
            <w:pPr>
              <w:pStyle w:val="TableParagraph"/>
              <w:spacing w:line="261" w:lineRule="exact"/>
              <w:ind w:left="145"/>
              <w:rPr>
                <w:sz w:val="21"/>
              </w:rPr>
            </w:pPr>
            <w:r>
              <w:rPr>
                <w:sz w:val="21"/>
              </w:rPr>
              <w:t>病病毒；若同时出现了明显临床症状或体征的，为患艾滋病。</w:t>
            </w:r>
          </w:p>
        </w:tc>
      </w:tr>
      <w:tr>
        <w:trPr>
          <w:trHeight w:val="435" w:hRule="atLeast"/>
        </w:trPr>
        <w:tc>
          <w:tcPr>
            <w:tcW w:w="609" w:type="dxa"/>
          </w:tcPr>
          <w:p>
            <w:pPr>
              <w:pStyle w:val="TableParagraph"/>
              <w:spacing w:before="109"/>
              <w:ind w:left="50"/>
              <w:rPr>
                <w:b/>
                <w:sz w:val="21"/>
              </w:rPr>
            </w:pPr>
            <w:r>
              <w:rPr>
                <w:b/>
                <w:sz w:val="21"/>
              </w:rPr>
              <w:t>8.16</w:t>
            </w:r>
          </w:p>
        </w:tc>
        <w:tc>
          <w:tcPr>
            <w:tcW w:w="2082" w:type="dxa"/>
          </w:tcPr>
          <w:p>
            <w:pPr>
              <w:pStyle w:val="TableParagraph"/>
              <w:spacing w:before="109"/>
              <w:ind w:left="135"/>
              <w:rPr>
                <w:b/>
                <w:sz w:val="21"/>
              </w:rPr>
            </w:pPr>
            <w:r>
              <w:rPr>
                <w:b/>
                <w:w w:val="95"/>
                <w:sz w:val="21"/>
              </w:rPr>
              <w:t>初次患本附加合同</w:t>
            </w:r>
          </w:p>
        </w:tc>
        <w:tc>
          <w:tcPr>
            <w:tcW w:w="7510" w:type="dxa"/>
          </w:tcPr>
          <w:p>
            <w:pPr>
              <w:pStyle w:val="TableParagraph"/>
              <w:spacing w:before="89"/>
              <w:ind w:left="145"/>
              <w:rPr>
                <w:sz w:val="21"/>
              </w:rPr>
            </w:pPr>
            <w:r>
              <w:rPr>
                <w:sz w:val="21"/>
              </w:rPr>
              <w:t>指被保险人患同时符合以下条件的重大疾病：</w:t>
            </w:r>
          </w:p>
        </w:tc>
      </w:tr>
      <w:tr>
        <w:trPr>
          <w:trHeight w:val="504" w:hRule="atLeast"/>
        </w:trPr>
        <w:tc>
          <w:tcPr>
            <w:tcW w:w="609" w:type="dxa"/>
          </w:tcPr>
          <w:p>
            <w:pPr>
              <w:pStyle w:val="TableParagraph"/>
              <w:rPr>
                <w:rFonts w:ascii="Times New Roman"/>
                <w:sz w:val="20"/>
              </w:rPr>
            </w:pPr>
          </w:p>
        </w:tc>
        <w:tc>
          <w:tcPr>
            <w:tcW w:w="2082" w:type="dxa"/>
          </w:tcPr>
          <w:p>
            <w:pPr>
              <w:pStyle w:val="TableParagraph"/>
              <w:spacing w:line="261" w:lineRule="exact"/>
              <w:ind w:left="134"/>
              <w:rPr>
                <w:b/>
                <w:sz w:val="21"/>
              </w:rPr>
            </w:pPr>
            <w:r>
              <w:rPr>
                <w:b/>
                <w:w w:val="95"/>
                <w:sz w:val="21"/>
              </w:rPr>
              <w:t>所列的重大疾病</w:t>
            </w:r>
          </w:p>
        </w:tc>
        <w:tc>
          <w:tcPr>
            <w:tcW w:w="7510" w:type="dxa"/>
          </w:tcPr>
          <w:p>
            <w:pPr>
              <w:pStyle w:val="TableParagraph"/>
              <w:spacing w:line="200" w:lineRule="exact"/>
              <w:ind w:left="145"/>
              <w:rPr>
                <w:sz w:val="21"/>
              </w:rPr>
            </w:pPr>
            <w:r>
              <w:rPr>
                <w:sz w:val="21"/>
              </w:rPr>
              <w:t>（1）被保险人自出生后首次出现该重大疾病之症状体征；</w:t>
            </w:r>
          </w:p>
          <w:p>
            <w:pPr>
              <w:pStyle w:val="TableParagraph"/>
              <w:spacing w:line="274" w:lineRule="exact"/>
              <w:ind w:left="145"/>
              <w:rPr>
                <w:sz w:val="21"/>
              </w:rPr>
            </w:pPr>
            <w:r>
              <w:rPr>
                <w:sz w:val="21"/>
              </w:rPr>
              <w:t>（2）被保险人在本附加合同有效期间内首次出现该重大疾病之症状体征并被确</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诊患该重大疾病；</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（3）该重大疾病之症状体征符合本附加合同的定义；</w:t>
            </w:r>
          </w:p>
        </w:tc>
      </w:tr>
      <w:tr>
        <w:trPr>
          <w:trHeight w:val="27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（4）该重大疾病已在本附加合同中列明。</w:t>
            </w:r>
          </w:p>
        </w:tc>
      </w:tr>
      <w:tr>
        <w:trPr>
          <w:trHeight w:val="30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8" w:lineRule="exact"/>
              <w:ind w:left="145"/>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7" w:lineRule="exact"/>
              <w:ind w:left="145"/>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09" w:type="dxa"/>
          </w:tcPr>
          <w:p>
            <w:pPr>
              <w:pStyle w:val="TableParagraph"/>
              <w:spacing w:before="90"/>
              <w:ind w:left="50"/>
              <w:rPr>
                <w:b/>
                <w:sz w:val="21"/>
              </w:rPr>
            </w:pPr>
            <w:r>
              <w:rPr>
                <w:b/>
                <w:sz w:val="21"/>
              </w:rPr>
              <w:t>8.17</w:t>
            </w:r>
          </w:p>
        </w:tc>
        <w:tc>
          <w:tcPr>
            <w:tcW w:w="2082" w:type="dxa"/>
          </w:tcPr>
          <w:p>
            <w:pPr>
              <w:pStyle w:val="TableParagraph"/>
              <w:spacing w:before="90"/>
              <w:ind w:left="135"/>
              <w:rPr>
                <w:b/>
                <w:sz w:val="21"/>
              </w:rPr>
            </w:pPr>
            <w:r>
              <w:rPr>
                <w:b/>
                <w:sz w:val="21"/>
              </w:rPr>
              <w:t>重大疾病</w:t>
            </w:r>
          </w:p>
        </w:tc>
        <w:tc>
          <w:tcPr>
            <w:tcW w:w="7510" w:type="dxa"/>
          </w:tcPr>
          <w:p>
            <w:pPr>
              <w:pStyle w:val="TableParagraph"/>
              <w:spacing w:before="90"/>
              <w:ind w:left="145"/>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生明确诊断。</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疾病定义，第 25 至第 35 项为我们增加的疾病种类并自行制定的疾病定义。</w:t>
            </w:r>
          </w:p>
        </w:tc>
      </w:tr>
      <w:tr>
        <w:trPr>
          <w:trHeight w:val="334" w:hRule="atLeast"/>
        </w:trPr>
        <w:tc>
          <w:tcPr>
            <w:tcW w:w="609" w:type="dxa"/>
          </w:tcPr>
          <w:p>
            <w:pPr>
              <w:pStyle w:val="TableParagraph"/>
              <w:rPr>
                <w:rFonts w:ascii="Times New Roman"/>
                <w:sz w:val="20"/>
              </w:rPr>
            </w:pPr>
          </w:p>
        </w:tc>
        <w:tc>
          <w:tcPr>
            <w:tcW w:w="2082" w:type="dxa"/>
          </w:tcPr>
          <w:p>
            <w:pPr>
              <w:pStyle w:val="TableParagraph"/>
              <w:spacing w:line="289" w:lineRule="exact"/>
              <w:ind w:left="134"/>
              <w:rPr>
                <w:rFonts w:ascii="Microsoft JhengHei" w:eastAsia="Microsoft JhengHei" w:hint="eastAsia"/>
                <w:b/>
                <w:sz w:val="21"/>
              </w:rPr>
            </w:pPr>
            <w:r>
              <w:rPr>
                <w:rFonts w:ascii="Microsoft JhengHei" w:eastAsia="Microsoft JhengHei" w:hint="eastAsia"/>
                <w:b/>
                <w:w w:val="95"/>
                <w:sz w:val="21"/>
              </w:rPr>
              <w:t>1、恶性肿瘤</w:t>
            </w:r>
          </w:p>
        </w:tc>
        <w:tc>
          <w:tcPr>
            <w:tcW w:w="7510" w:type="dxa"/>
          </w:tcPr>
          <w:p>
            <w:pPr>
              <w:pStyle w:val="TableParagraph"/>
              <w:spacing w:before="7"/>
              <w:ind w:left="145"/>
              <w:rPr>
                <w:sz w:val="21"/>
              </w:rPr>
            </w:pPr>
            <w:r>
              <w:rPr>
                <w:sz w:val="21"/>
              </w:rPr>
              <w:t>指恶性细胞不受控制的进行性增长和扩散，浸润和破坏周围正常组织，可以经</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血管、淋巴管和体腔扩散转移到身体其它部位的疾病。经病理学检查结果明确</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诊断，临床诊断属于世界卫生组织《疾病和有关健康问题的国际统计分类》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（ICD-10）的恶性肿瘤范畴。下列疾病不在保障范围内：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（1）原位癌；</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（2）相当于Binet 分期方案 A 期程度的慢性淋巴细胞白血病；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（3）相当于Ann Arbor 分期方案 I 期程度的何杰金氏病；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1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（6）感染艾滋病病毒或患艾滋病期间所患恶性肿瘤。</w:t>
            </w:r>
          </w:p>
        </w:tc>
      </w:tr>
      <w:tr>
        <w:trPr>
          <w:trHeight w:val="418" w:hRule="atLeast"/>
        </w:trPr>
        <w:tc>
          <w:tcPr>
            <w:tcW w:w="609" w:type="dxa"/>
          </w:tcPr>
          <w:p>
            <w:pPr>
              <w:pStyle w:val="TableParagraph"/>
              <w:rPr>
                <w:rFonts w:ascii="Times New Roman"/>
                <w:sz w:val="20"/>
              </w:rPr>
            </w:pPr>
          </w:p>
        </w:tc>
        <w:tc>
          <w:tcPr>
            <w:tcW w:w="2082" w:type="dxa"/>
          </w:tcPr>
          <w:p>
            <w:pPr>
              <w:pStyle w:val="TableParagraph"/>
              <w:spacing w:before="8"/>
              <w:ind w:left="134"/>
              <w:rPr>
                <w:rFonts w:ascii="Microsoft JhengHei" w:eastAsia="Microsoft JhengHei" w:hint="eastAsia"/>
                <w:b/>
                <w:sz w:val="21"/>
              </w:rPr>
            </w:pPr>
            <w:r>
              <w:rPr>
                <w:rFonts w:ascii="Microsoft JhengHei" w:eastAsia="Microsoft JhengHei" w:hint="eastAsia"/>
                <w:b/>
                <w:sz w:val="21"/>
              </w:rPr>
              <w:t>2、急性心ft梗塞</w:t>
            </w:r>
          </w:p>
        </w:tc>
        <w:tc>
          <w:tcPr>
            <w:tcW w:w="7510" w:type="dxa"/>
          </w:tcPr>
          <w:p>
            <w:pPr>
              <w:pStyle w:val="TableParagraph"/>
              <w:spacing w:before="91"/>
              <w:ind w:left="145"/>
              <w:rPr>
                <w:sz w:val="21"/>
              </w:rPr>
            </w:pPr>
            <w:r>
              <w:rPr>
                <w:sz w:val="21"/>
              </w:rPr>
              <w:t>指因冠状动脉阻塞导致的相应区域供血不足造成部分心肌坏死。须满足下列至</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少三项条件：</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（1）典型临床表现，例如急性胸痛等；</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（2）新近的心电图改变提示急性心肌梗塞；</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（3）心肌酶或肌钙蛋白有诊断意义的升高，或呈符合急性心肌梗塞的动态性变</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化；</w:t>
            </w:r>
          </w:p>
        </w:tc>
      </w:tr>
      <w:tr>
        <w:trPr>
          <w:trHeight w:val="41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23"/>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32" w:hRule="atLeast"/>
        </w:trPr>
        <w:tc>
          <w:tcPr>
            <w:tcW w:w="609" w:type="dxa"/>
          </w:tcPr>
          <w:p>
            <w:pPr>
              <w:pStyle w:val="TableParagraph"/>
              <w:rPr>
                <w:rFonts w:ascii="Times New Roman"/>
                <w:sz w:val="20"/>
              </w:rPr>
            </w:pPr>
          </w:p>
        </w:tc>
        <w:tc>
          <w:tcPr>
            <w:tcW w:w="2082" w:type="dxa"/>
          </w:tcPr>
          <w:p>
            <w:pPr>
              <w:pStyle w:val="TableParagraph"/>
              <w:spacing w:before="25"/>
              <w:ind w:left="134"/>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510" w:type="dxa"/>
          </w:tcPr>
          <w:p>
            <w:pPr>
              <w:pStyle w:val="TableParagraph"/>
              <w:spacing w:before="101"/>
              <w:ind w:left="145"/>
              <w:rPr>
                <w:sz w:val="21"/>
              </w:rPr>
            </w:pPr>
            <w:r>
              <w:rPr>
                <w:sz w:val="21"/>
              </w:rPr>
              <w:t>指因脑血管的突发病变引起脑血管出血、栓塞或梗塞，并导致神经系统永久性</w:t>
            </w:r>
          </w:p>
        </w:tc>
      </w:tr>
      <w:tr>
        <w:trPr>
          <w:trHeight w:val="306"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6" w:lineRule="exact"/>
              <w:ind w:left="145"/>
              <w:rPr>
                <w:sz w:val="21"/>
              </w:rPr>
            </w:pPr>
            <w:r>
              <w:rPr>
                <w:sz w:val="21"/>
              </w:rPr>
              <w:t>功能障碍。神经系统永久性的功能障碍，指疾病确诊 180 天后，仍遗留下列一</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种或一种以上障碍：</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（1）一肢或一肢以上肢体机能完全丧失；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（2）语言能力或咀嚼吞咽能力完全丧失；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（3）自主生活能力完全丧失，无法独立完成六项基本日常生活活动中的三项或</w:t>
            </w:r>
          </w:p>
        </w:tc>
      </w:tr>
      <w:tr>
        <w:trPr>
          <w:trHeight w:val="42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三项以上。</w:t>
            </w:r>
          </w:p>
        </w:tc>
      </w:tr>
      <w:tr>
        <w:trPr>
          <w:trHeight w:val="427" w:hRule="atLeast"/>
        </w:trPr>
        <w:tc>
          <w:tcPr>
            <w:tcW w:w="609" w:type="dxa"/>
          </w:tcPr>
          <w:p>
            <w:pPr>
              <w:pStyle w:val="TableParagraph"/>
              <w:rPr>
                <w:rFonts w:ascii="Times New Roman"/>
                <w:sz w:val="20"/>
              </w:rPr>
            </w:pPr>
          </w:p>
        </w:tc>
        <w:tc>
          <w:tcPr>
            <w:tcW w:w="2082" w:type="dxa"/>
          </w:tcPr>
          <w:p>
            <w:pPr>
              <w:pStyle w:val="TableParagraph"/>
              <w:spacing w:before="18"/>
              <w:ind w:left="134"/>
              <w:rPr>
                <w:rFonts w:ascii="Microsoft JhengHei" w:eastAsia="Microsoft JhengHei" w:hint="eastAsia"/>
                <w:b/>
                <w:sz w:val="21"/>
              </w:rPr>
            </w:pPr>
            <w:r>
              <w:rPr>
                <w:rFonts w:ascii="Microsoft JhengHei" w:eastAsia="Microsoft JhengHei" w:hint="eastAsia"/>
                <w:b/>
                <w:w w:val="95"/>
                <w:sz w:val="21"/>
              </w:rPr>
              <w:t>4、重大器官移植术</w:t>
            </w:r>
          </w:p>
        </w:tc>
        <w:tc>
          <w:tcPr>
            <w:tcW w:w="7510" w:type="dxa"/>
          </w:tcPr>
          <w:p>
            <w:pPr>
              <w:pStyle w:val="TableParagraph"/>
              <w:spacing w:before="101"/>
              <w:ind w:left="145"/>
              <w:rPr>
                <w:sz w:val="21"/>
              </w:rPr>
            </w:pPr>
            <w:r>
              <w:rPr>
                <w:sz w:val="21"/>
              </w:rPr>
              <w:t>重大器官移植术，指因相应器官功能衰竭，已经实施了肾脏、肝脏、心脏或肺</w:t>
            </w:r>
          </w:p>
        </w:tc>
      </w:tr>
      <w:tr>
        <w:trPr>
          <w:trHeight w:val="311"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或造血干细胞移植</w:t>
            </w:r>
          </w:p>
        </w:tc>
        <w:tc>
          <w:tcPr>
            <w:tcW w:w="7510" w:type="dxa"/>
          </w:tcPr>
          <w:p>
            <w:pPr>
              <w:pStyle w:val="TableParagraph"/>
              <w:spacing w:line="262" w:lineRule="exact"/>
              <w:ind w:left="145"/>
              <w:rPr>
                <w:sz w:val="21"/>
              </w:rPr>
            </w:pPr>
            <w:r>
              <w:rPr>
                <w:sz w:val="21"/>
              </w:rPr>
              <w:t>脏的异体移植手术。</w:t>
            </w:r>
          </w:p>
        </w:tc>
      </w:tr>
      <w:tr>
        <w:trPr>
          <w:trHeight w:val="314"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术</w:t>
            </w:r>
          </w:p>
        </w:tc>
        <w:tc>
          <w:tcPr>
            <w:tcW w:w="7510" w:type="dxa"/>
          </w:tcPr>
          <w:p>
            <w:pPr>
              <w:pStyle w:val="TableParagraph"/>
              <w:spacing w:line="262" w:lineRule="exact"/>
              <w:ind w:left="145"/>
              <w:rPr>
                <w:sz w:val="21"/>
              </w:rPr>
            </w:pPr>
            <w:r>
              <w:rPr>
                <w:sz w:val="21"/>
              </w:rPr>
              <w:t>造血干细胞移植术，指因造血功能损害或造血系统恶性肿瘤，已经实施了造血</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干细胞（包括骨髓造血干细胞、外周造血干细胞和脐血造血干细胞）的异体移</w:t>
            </w:r>
          </w:p>
        </w:tc>
      </w:tr>
      <w:tr>
        <w:trPr>
          <w:trHeight w:val="260" w:hRule="atLeast"/>
        </w:trPr>
        <w:tc>
          <w:tcPr>
            <w:tcW w:w="609" w:type="dxa"/>
          </w:tcPr>
          <w:p>
            <w:pPr>
              <w:pStyle w:val="TableParagraph"/>
              <w:rPr>
                <w:rFonts w:ascii="Times New Roman"/>
                <w:sz w:val="18"/>
              </w:rPr>
            </w:pPr>
          </w:p>
        </w:tc>
        <w:tc>
          <w:tcPr>
            <w:tcW w:w="2082" w:type="dxa"/>
          </w:tcPr>
          <w:p>
            <w:pPr>
              <w:pStyle w:val="TableParagraph"/>
              <w:rPr>
                <w:rFonts w:ascii="Times New Roman"/>
                <w:sz w:val="18"/>
              </w:rPr>
            </w:pPr>
          </w:p>
        </w:tc>
        <w:tc>
          <w:tcPr>
            <w:tcW w:w="7510" w:type="dxa"/>
          </w:tcPr>
          <w:p>
            <w:pPr>
              <w:pStyle w:val="TableParagraph"/>
              <w:spacing w:line="241" w:lineRule="exact"/>
              <w:ind w:left="145"/>
              <w:rPr>
                <w:sz w:val="21"/>
              </w:rPr>
            </w:pPr>
            <w:r>
              <w:rPr>
                <w:sz w:val="21"/>
              </w:rPr>
              <w:t>植手术。</w:t>
            </w:r>
          </w:p>
        </w:tc>
      </w:tr>
    </w:tbl>
    <w:p>
      <w:pPr>
        <w:spacing w:after="0" w:line="241" w:lineRule="exact"/>
        <w:rPr>
          <w:sz w:val="21"/>
        </w:rPr>
        <w:sectPr>
          <w:pgSz w:w="11910" w:h="16840"/>
          <w:pgMar w:header="0" w:footer="442" w:top="1180" w:bottom="640" w:left="800" w:right="680"/>
        </w:sectPr>
      </w:pPr>
    </w:p>
    <w:p>
      <w:pPr>
        <w:pStyle w:val="BodyText"/>
        <w:tabs>
          <w:tab w:pos="2206" w:val="left" w:leader="none"/>
        </w:tabs>
        <w:spacing w:line="312" w:lineRule="exact" w:before="14"/>
        <w:ind w:left="2206" w:right="112" w:hanging="2093"/>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206" w:val="left" w:leader="none"/>
        </w:tabs>
        <w:spacing w:line="261" w:lineRule="auto" w:before="149"/>
        <w:ind w:left="2206" w:right="219" w:hanging="2093"/>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206" w:val="left" w:leader="none"/>
        </w:tabs>
        <w:spacing w:line="261" w:lineRule="auto" w:before="157"/>
        <w:ind w:left="2206" w:right="275" w:hanging="2093"/>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40" w:right="740"/>
        </w:sectPr>
      </w:pPr>
    </w:p>
    <w:p>
      <w:pPr>
        <w:pStyle w:val="Heading4"/>
        <w:spacing w:line="204" w:lineRule="auto" w:before="11"/>
      </w:pPr>
      <w:r>
        <w:rPr>
          <w:w w:val="95"/>
        </w:rPr>
        <w:t>8、急性或亚急性重</w:t>
      </w:r>
      <w:r>
        <w:rPr/>
        <w:t>症肝炎</w:t>
      </w:r>
    </w:p>
    <w:p>
      <w:pPr>
        <w:pStyle w:val="BodyText"/>
        <w:spacing w:line="273" w:lineRule="auto" w:before="40"/>
        <w:ind w:left="113" w:right="220"/>
      </w:pPr>
      <w:r>
        <w:rPr/>
        <w:br w:type="column"/>
      </w:r>
      <w:r>
        <w:rPr/>
        <w:t>指因肝炎病毒感染引起肝组织弥漫性坏死，导致急性肝功能衰竭，且经血清学或病毒学检查证实，并须满足下列全部条件：</w:t>
      </w:r>
    </w:p>
    <w:p>
      <w:pPr>
        <w:pStyle w:val="BodyText"/>
        <w:spacing w:before="7"/>
        <w:ind w:left="113"/>
      </w:pPr>
      <w:r>
        <w:rPr/>
        <w:t>（1）重度黄疸或黄疸迅速加重；</w:t>
      </w:r>
    </w:p>
    <w:p>
      <w:pPr>
        <w:pStyle w:val="BodyText"/>
        <w:spacing w:before="36"/>
        <w:ind w:left="113"/>
      </w:pPr>
      <w:r>
        <w:rPr/>
        <w:t>（2）肝性脑病；</w:t>
      </w:r>
    </w:p>
    <w:p>
      <w:pPr>
        <w:pStyle w:val="BodyText"/>
        <w:spacing w:before="36"/>
        <w:ind w:left="113"/>
      </w:pPr>
      <w:r>
        <w:rPr/>
        <w:t>（3）B 超或其他影像学检查显示肝脏体积急速萎缩；</w:t>
      </w:r>
    </w:p>
    <w:p>
      <w:pPr>
        <w:pStyle w:val="BodyText"/>
        <w:spacing w:before="36"/>
        <w:ind w:left="113"/>
      </w:pPr>
      <w:r>
        <w:rPr/>
        <w:t>（4）肝功能指标进行性恶化。</w:t>
      </w:r>
    </w:p>
    <w:p>
      <w:pPr>
        <w:spacing w:after="0"/>
        <w:sectPr>
          <w:type w:val="continuous"/>
          <w:pgSz w:w="11910" w:h="16840"/>
          <w:pgMar w:top="220" w:bottom="280" w:left="1540" w:right="740"/>
          <w:cols w:num="2" w:equalWidth="0">
            <w:col w:w="1916" w:space="176"/>
            <w:col w:w="7538"/>
          </w:cols>
        </w:sectPr>
      </w:pPr>
    </w:p>
    <w:p>
      <w:pPr>
        <w:pStyle w:val="BodyText"/>
        <w:spacing w:before="7"/>
        <w:rPr>
          <w:sz w:val="17"/>
        </w:rPr>
      </w:pPr>
    </w:p>
    <w:p>
      <w:pPr>
        <w:pStyle w:val="BodyText"/>
        <w:tabs>
          <w:tab w:pos="2206" w:val="left" w:leader="none"/>
        </w:tabs>
        <w:spacing w:line="312" w:lineRule="exact" w:before="35"/>
        <w:ind w:left="2206" w:right="216" w:hanging="2093"/>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3"/>
        <w:ind w:left="2206"/>
      </w:pPr>
      <w:r>
        <w:rPr/>
        <w:t>（1）实际实施了开颅进行的脑肿瘤完全切除或部分切除的手术；</w:t>
      </w:r>
    </w:p>
    <w:p>
      <w:pPr>
        <w:pStyle w:val="BodyText"/>
        <w:spacing w:before="36"/>
        <w:ind w:left="2206"/>
      </w:pPr>
      <w:r>
        <w:rPr/>
        <w:t>（2）实际实施了对脑肿瘤进行的放射治疗。</w:t>
      </w:r>
    </w:p>
    <w:p>
      <w:pPr>
        <w:pStyle w:val="BodyText"/>
        <w:spacing w:before="36"/>
        <w:ind w:left="2206"/>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10、慢性肝功能衰竭</w:t>
      </w:r>
      <w:r>
        <w:rPr/>
        <w:t>失代偿期</w:t>
      </w:r>
    </w:p>
    <w:p>
      <w:pPr>
        <w:pStyle w:val="BodyText"/>
        <w:spacing w:before="40"/>
        <w:ind w:left="113"/>
      </w:pPr>
      <w:r>
        <w:rPr/>
        <w:br w:type="column"/>
      </w:r>
      <w:r>
        <w:rPr/>
        <w:t>指因慢性肝脏疾病导致肝功能衰竭，须满足下列全部条件：</w:t>
      </w:r>
    </w:p>
    <w:p>
      <w:pPr>
        <w:pStyle w:val="BodyText"/>
        <w:ind w:left="113"/>
      </w:pPr>
      <w:r>
        <w:rPr/>
        <w:t>（1）持续性黄疸；</w:t>
      </w:r>
    </w:p>
    <w:p>
      <w:pPr>
        <w:pStyle w:val="BodyText"/>
        <w:ind w:left="113"/>
      </w:pPr>
      <w:r>
        <w:rPr/>
        <w:t>（2）腹水；</w:t>
      </w:r>
    </w:p>
    <w:p>
      <w:pPr>
        <w:pStyle w:val="BodyText"/>
        <w:ind w:left="113"/>
      </w:pPr>
      <w:r>
        <w:rPr/>
        <w:t>（3）肝性脑病；</w:t>
      </w:r>
    </w:p>
    <w:p>
      <w:pPr>
        <w:pStyle w:val="BodyText"/>
        <w:spacing w:line="273" w:lineRule="auto"/>
        <w:ind w:left="113" w:right="2271"/>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1"/>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11、脑炎后遗症或脑</w:t>
      </w:r>
      <w:r>
        <w:rPr/>
        <w:t>膜炎后遗症</w:t>
      </w:r>
    </w:p>
    <w:p>
      <w:pPr>
        <w:pStyle w:val="BodyText"/>
        <w:spacing w:line="273" w:lineRule="auto" w:before="40"/>
        <w:ind w:left="113"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13"/>
      </w:pPr>
      <w:r>
        <w:rPr/>
        <w:t>（1）一肢或一肢以上肢体机能完全丧失；</w:t>
      </w:r>
    </w:p>
    <w:p>
      <w:pPr>
        <w:pStyle w:val="BodyText"/>
        <w:ind w:left="113"/>
      </w:pPr>
      <w:r>
        <w:rPr/>
        <w:t>（2）语言能力或咀嚼吞咽能力完全丧失；</w:t>
      </w:r>
    </w:p>
    <w:p>
      <w:pPr>
        <w:pStyle w:val="BodyText"/>
        <w:spacing w:line="273" w:lineRule="auto"/>
        <w:ind w:left="113" w:right="158"/>
      </w:pPr>
      <w:r>
        <w:rPr/>
        <w:t>（3）自主生活能力完全丧失，无法独立完成六项基本日常生活活动中的三项或三项以上。</w:t>
      </w:r>
    </w:p>
    <w:p>
      <w:pPr>
        <w:spacing w:after="0" w:line="273" w:lineRule="auto"/>
        <w:sectPr>
          <w:type w:val="continuous"/>
          <w:pgSz w:w="11910" w:h="16840"/>
          <w:pgMar w:top="220" w:bottom="280" w:left="1540" w:right="740"/>
          <w:cols w:num="2" w:equalWidth="0">
            <w:col w:w="1963" w:space="130"/>
            <w:col w:w="7537"/>
          </w:cols>
        </w:sectPr>
      </w:pPr>
    </w:p>
    <w:p>
      <w:pPr>
        <w:pStyle w:val="BodyText"/>
        <w:spacing w:before="11"/>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12、双耳失聪－三周</w:t>
      </w:r>
      <w:r>
        <w:rPr/>
        <w:t>岁始理赔</w:t>
      </w:r>
    </w:p>
    <w:p>
      <w:pPr>
        <w:pStyle w:val="BodyText"/>
        <w:spacing w:line="273" w:lineRule="auto" w:before="40"/>
        <w:ind w:left="113"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3"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13、双目失明－三周</w:t>
      </w:r>
      <w:r>
        <w:rPr/>
        <w:t>岁始理赔</w:t>
      </w:r>
    </w:p>
    <w:p>
      <w:pPr>
        <w:pStyle w:val="BodyText"/>
        <w:spacing w:line="273" w:lineRule="auto" w:before="19"/>
        <w:ind w:left="113" w:right="220"/>
      </w:pPr>
      <w:r>
        <w:rPr/>
        <w:br w:type="column"/>
      </w:r>
      <w:r>
        <w:rPr/>
        <w:t>指因疾病或意外伤害导致双眼视力永久不可逆性丧失，双眼中较好眼须满足下列至少一项条件：</w:t>
      </w:r>
    </w:p>
    <w:p>
      <w:pPr>
        <w:pStyle w:val="BodyText"/>
        <w:spacing w:before="7"/>
        <w:ind w:left="113"/>
      </w:pPr>
      <w:r>
        <w:rPr/>
        <w:t>（1）眼球缺失或摘除；</w:t>
      </w:r>
    </w:p>
    <w:p>
      <w:pPr>
        <w:pStyle w:val="BodyText"/>
        <w:spacing w:line="273" w:lineRule="auto" w:before="36"/>
        <w:ind w:left="113"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3"/>
      </w:pPr>
      <w:r>
        <w:rPr/>
        <w:t>（3）视野半径小于 5 度。</w:t>
      </w:r>
    </w:p>
    <w:p>
      <w:pPr>
        <w:pStyle w:val="BodyText"/>
        <w:spacing w:line="273" w:lineRule="auto"/>
        <w:ind w:left="113"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11"/>
        <w:rPr>
          <w:sz w:val="14"/>
        </w:rPr>
      </w:pPr>
    </w:p>
    <w:p>
      <w:pPr>
        <w:pStyle w:val="BodyText"/>
        <w:tabs>
          <w:tab w:pos="2206" w:val="left" w:leader="none"/>
        </w:tabs>
        <w:spacing w:line="312" w:lineRule="exact" w:before="36"/>
        <w:ind w:left="2206" w:right="275" w:hanging="2093"/>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206" w:val="left" w:leader="none"/>
        </w:tabs>
        <w:spacing w:before="152"/>
        <w:ind w:left="113"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16、严重阿尔茨海默</w:t>
      </w:r>
      <w:r>
        <w:rPr/>
        <w:t>病—限七十周岁前发病</w:t>
      </w:r>
    </w:p>
    <w:p>
      <w:pPr>
        <w:pStyle w:val="BodyText"/>
        <w:spacing w:line="273" w:lineRule="auto" w:before="40"/>
        <w:ind w:left="113"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3"/>
      </w:pPr>
      <w:r>
        <w:rPr/>
        <w:t>神经官能症和精神疾病不在保障范围内。</w:t>
      </w:r>
    </w:p>
    <w:p>
      <w:pPr>
        <w:spacing w:after="0"/>
        <w:sectPr>
          <w:type w:val="continuous"/>
          <w:pgSz w:w="11910" w:h="16840"/>
          <w:pgMar w:top="220" w:bottom="280" w:left="1540" w:right="740"/>
          <w:cols w:num="2" w:equalWidth="0">
            <w:col w:w="1991" w:space="102"/>
            <w:col w:w="7537"/>
          </w:cols>
        </w:sectPr>
      </w:pPr>
    </w:p>
    <w:p>
      <w:pPr>
        <w:pStyle w:val="BodyText"/>
        <w:spacing w:before="1"/>
        <w:rPr>
          <w:sz w:val="17"/>
        </w:rPr>
      </w:pPr>
    </w:p>
    <w:p>
      <w:pPr>
        <w:pStyle w:val="BodyText"/>
        <w:tabs>
          <w:tab w:pos="2206" w:val="left" w:leader="none"/>
        </w:tabs>
        <w:spacing w:line="312" w:lineRule="exact" w:before="35"/>
        <w:ind w:left="2206" w:right="219" w:hanging="2093"/>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20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206"/>
      </w:pPr>
      <w:r>
        <w:rPr/>
        <w:t>（1）一肢或一肢以上肢体机能完全丧失；</w:t>
      </w:r>
    </w:p>
    <w:p>
      <w:pPr>
        <w:pStyle w:val="BodyText"/>
        <w:ind w:left="2206"/>
      </w:pPr>
      <w:r>
        <w:rPr/>
        <w:t>（2）语言能力或咀嚼吞咽能力完全丧失；</w:t>
      </w:r>
    </w:p>
    <w:p>
      <w:pPr>
        <w:pStyle w:val="BodyText"/>
        <w:spacing w:line="273" w:lineRule="auto"/>
        <w:ind w:left="2206" w:right="158"/>
      </w:pPr>
      <w:r>
        <w:rPr/>
        <w:t>（3）自主生活能力完全丧失，无法独立完成六项基本日常生活活动中的三项或三项以上。</w:t>
      </w:r>
    </w:p>
    <w:p>
      <w:pPr>
        <w:pStyle w:val="BodyText"/>
        <w:tabs>
          <w:tab w:pos="2206" w:val="left" w:leader="none"/>
        </w:tabs>
        <w:spacing w:line="261" w:lineRule="auto" w:before="147"/>
        <w:ind w:left="2206" w:right="220" w:hanging="2093"/>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7"/>
        <w:ind w:left="2206"/>
      </w:pPr>
      <w:r>
        <w:rPr/>
        <w:t>（1）药物治疗无法控制病情；</w:t>
      </w:r>
    </w:p>
    <w:p>
      <w:pPr>
        <w:pStyle w:val="BodyText"/>
        <w:spacing w:line="273" w:lineRule="auto" w:before="36"/>
        <w:ind w:left="2206" w:right="158"/>
      </w:pPr>
      <w:r>
        <w:rPr/>
        <w:t>（2）自主生活能力完全丧失，无法独立完成六项基本日常生活活动中的三项或三项以上。</w:t>
      </w:r>
    </w:p>
    <w:p>
      <w:pPr>
        <w:pStyle w:val="BodyText"/>
        <w:spacing w:before="7"/>
        <w:ind w:left="2206"/>
      </w:pPr>
      <w:r>
        <w:rPr/>
        <w:t>继发性帕金森综合征不在保障范围内。</w:t>
      </w:r>
    </w:p>
    <w:p>
      <w:pPr>
        <w:tabs>
          <w:tab w:pos="2206" w:val="left" w:leader="none"/>
        </w:tabs>
        <w:spacing w:line="261" w:lineRule="auto" w:before="178"/>
        <w:ind w:left="2206" w:right="219" w:hanging="2093"/>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20" w:bottom="280" w:left="1540" w:right="740"/>
        </w:sectPr>
      </w:pPr>
    </w:p>
    <w:p>
      <w:pPr>
        <w:pStyle w:val="Heading4"/>
        <w:spacing w:line="204" w:lineRule="auto" w:before="10"/>
      </w:pPr>
      <w:r>
        <w:rPr>
          <w:w w:val="95"/>
        </w:rPr>
        <w:t>20、严重原发性肺动</w:t>
      </w:r>
      <w:r>
        <w:rPr/>
        <w:t>脉高压</w:t>
      </w:r>
    </w:p>
    <w:p>
      <w:pPr>
        <w:pStyle w:val="BodyText"/>
        <w:spacing w:line="273" w:lineRule="auto" w:before="39"/>
        <w:ind w:left="113"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40" w:right="740"/>
          <w:cols w:num="2" w:equalWidth="0">
            <w:col w:w="1991" w:space="102"/>
            <w:col w:w="7537"/>
          </w:cols>
        </w:sectPr>
      </w:pPr>
    </w:p>
    <w:p>
      <w:pPr>
        <w:pStyle w:val="BodyText"/>
        <w:spacing w:before="11"/>
        <w:rPr>
          <w:sz w:val="13"/>
        </w:rPr>
      </w:pPr>
    </w:p>
    <w:p>
      <w:pPr>
        <w:spacing w:after="0"/>
        <w:rPr>
          <w:sz w:val="13"/>
        </w:rPr>
        <w:sectPr>
          <w:type w:val="continuous"/>
          <w:pgSz w:w="11910" w:h="16840"/>
          <w:pgMar w:top="220" w:bottom="280" w:left="1540" w:right="740"/>
        </w:sectPr>
      </w:pPr>
    </w:p>
    <w:p>
      <w:pPr>
        <w:pStyle w:val="Heading4"/>
        <w:spacing w:line="204" w:lineRule="auto" w:before="11"/>
      </w:pPr>
      <w:r>
        <w:rPr>
          <w:w w:val="95"/>
        </w:rPr>
        <w:t>21、严重运动神经元</w:t>
      </w:r>
      <w:r>
        <w:rPr/>
        <w:t>病</w:t>
      </w:r>
    </w:p>
    <w:p>
      <w:pPr>
        <w:pStyle w:val="BodyText"/>
        <w:spacing w:line="273" w:lineRule="auto" w:before="40"/>
        <w:ind w:left="113"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22、语言能力丧失－ </w:t>
      </w:r>
      <w:r>
        <w:rPr/>
        <w:t>三岁始理赔</w:t>
      </w:r>
    </w:p>
    <w:p>
      <w:pPr>
        <w:pStyle w:val="BodyText"/>
        <w:spacing w:line="273" w:lineRule="auto" w:before="19"/>
        <w:ind w:left="113"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3"/>
      </w:pPr>
      <w:r>
        <w:rPr/>
        <w:t>精神心理因素所致的语言能力丧失不在保障范围内。</w:t>
      </w:r>
    </w:p>
    <w:p>
      <w:pPr>
        <w:pStyle w:val="BodyText"/>
        <w:spacing w:line="273" w:lineRule="auto" w:before="36"/>
        <w:ind w:left="113"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5"/>
        <w:rPr>
          <w:sz w:val="15"/>
        </w:rPr>
      </w:pPr>
    </w:p>
    <w:p>
      <w:pPr>
        <w:spacing w:after="0"/>
        <w:rPr>
          <w:sz w:val="15"/>
        </w:rPr>
        <w:sectPr>
          <w:type w:val="continuous"/>
          <w:pgSz w:w="11910" w:h="16840"/>
          <w:pgMar w:top="220" w:bottom="280" w:left="1540" w:right="740"/>
        </w:sectPr>
      </w:pPr>
    </w:p>
    <w:p>
      <w:pPr>
        <w:pStyle w:val="Heading4"/>
        <w:spacing w:line="204" w:lineRule="auto" w:before="11"/>
      </w:pPr>
      <w:r>
        <w:rPr>
          <w:w w:val="95"/>
        </w:rPr>
        <w:t>23、重型再生障碍性</w:t>
      </w:r>
      <w:r>
        <w:rPr/>
        <w:t>贫血</w:t>
      </w:r>
    </w:p>
    <w:p>
      <w:pPr>
        <w:pStyle w:val="BodyText"/>
        <w:spacing w:line="273" w:lineRule="auto" w:before="40"/>
        <w:ind w:left="113" w:right="52"/>
      </w:pPr>
      <w:r>
        <w:rPr/>
        <w:br w:type="column"/>
      </w:r>
      <w:r>
        <w:rPr/>
        <w:t>指因骨髓造血功能慢性持续性衰竭导致的贫血、中性粒细胞减少及血小板减少， 须满足下列全部条件：</w:t>
      </w:r>
    </w:p>
    <w:p>
      <w:pPr>
        <w:pStyle w:val="BodyText"/>
        <w:spacing w:before="8"/>
        <w:ind w:left="113"/>
      </w:pPr>
      <w:r>
        <w:rPr/>
        <w:t>（1）骨髓穿刺检查或骨髓活检结果支持诊断；</w:t>
      </w:r>
    </w:p>
    <w:p>
      <w:pPr>
        <w:pStyle w:val="BodyText"/>
        <w:ind w:left="113"/>
      </w:pPr>
      <w:r>
        <w:rPr/>
        <w:t>（2）外周血象必须具备以下三项条件：</w:t>
      </w:r>
    </w:p>
    <w:p>
      <w:pPr>
        <w:pStyle w:val="BodyText"/>
        <w:ind w:left="533"/>
      </w:pPr>
      <w:r>
        <w:rPr/>
        <w:t>①中性粒细胞绝对值≤0.5×10</w:t>
      </w:r>
      <w:r>
        <w:rPr>
          <w:position w:val="11"/>
          <w:sz w:val="11"/>
        </w:rPr>
        <w:t>9</w:t>
      </w:r>
      <w:r>
        <w:rPr/>
        <w:t>/L；</w:t>
      </w:r>
    </w:p>
    <w:p>
      <w:pPr>
        <w:pStyle w:val="BodyText"/>
        <w:ind w:left="533"/>
      </w:pPr>
      <w:r>
        <w:rPr/>
        <w:t>②网织红细胞＜1%；</w:t>
      </w:r>
    </w:p>
    <w:p>
      <w:pPr>
        <w:pStyle w:val="BodyText"/>
        <w:spacing w:before="36"/>
        <w:ind w:left="533"/>
      </w:pPr>
      <w:r>
        <w:rPr/>
        <w:t>③血小板绝对值≤20×10</w:t>
      </w:r>
      <w:r>
        <w:rPr>
          <w:position w:val="11"/>
          <w:sz w:val="11"/>
        </w:rPr>
        <w:t>9</w:t>
      </w:r>
      <w:r>
        <w:rPr/>
        <w:t>/L。</w:t>
      </w:r>
    </w:p>
    <w:p>
      <w:pPr>
        <w:spacing w:after="0"/>
        <w:sectPr>
          <w:type w:val="continuous"/>
          <w:pgSz w:w="11910" w:h="16840"/>
          <w:pgMar w:top="220" w:bottom="280" w:left="1540" w:right="740"/>
          <w:cols w:num="2" w:equalWidth="0">
            <w:col w:w="1991" w:space="102"/>
            <w:col w:w="7537"/>
          </w:cols>
        </w:sectPr>
      </w:pPr>
    </w:p>
    <w:p>
      <w:pPr>
        <w:pStyle w:val="BodyText"/>
        <w:spacing w:before="12"/>
        <w:rPr>
          <w:sz w:val="17"/>
        </w:rPr>
      </w:pPr>
    </w:p>
    <w:p>
      <w:pPr>
        <w:tabs>
          <w:tab w:pos="2206" w:val="left" w:leader="none"/>
        </w:tabs>
        <w:spacing w:line="318" w:lineRule="exact" w:before="0"/>
        <w:ind w:left="2206" w:right="0" w:hanging="2093"/>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206" w:right="220"/>
      </w:pPr>
      <w:r>
        <w:rPr/>
        <w:t>动脉血管的手术。主动脉指胸主动脉和腹主动脉，不包括胸主动脉和腹主动脉的分支血管。</w:t>
      </w:r>
    </w:p>
    <w:p>
      <w:pPr>
        <w:pStyle w:val="BodyText"/>
        <w:spacing w:before="9"/>
        <w:ind w:left="2206"/>
      </w:pPr>
      <w:r>
        <w:rPr/>
        <w:t>动脉内血管成形术不在保障范围内。</w:t>
      </w:r>
    </w:p>
    <w:p>
      <w:pPr>
        <w:pStyle w:val="BodyText"/>
        <w:spacing w:before="2"/>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25、慢性呼吸功能衰</w:t>
      </w:r>
      <w:r>
        <w:rPr/>
        <w:t>竭</w:t>
      </w:r>
    </w:p>
    <w:p>
      <w:pPr>
        <w:pStyle w:val="BodyText"/>
        <w:spacing w:line="273" w:lineRule="auto" w:before="40"/>
        <w:ind w:left="113" w:right="220"/>
      </w:pPr>
      <w:r>
        <w:rPr/>
        <w:br w:type="column"/>
      </w:r>
      <w:r>
        <w:rPr/>
        <w:t>慢性肺部疾病导致永久不可逆性的慢性呼吸功能衰竭。慢性呼吸功能衰竭必须明确诊断并满足下列全部条件：</w:t>
      </w:r>
    </w:p>
    <w:p>
      <w:pPr>
        <w:pStyle w:val="BodyText"/>
        <w:spacing w:before="7"/>
        <w:ind w:left="113"/>
      </w:pPr>
      <w:r>
        <w:rPr/>
        <w:t>（1）休息时出现呼吸困难；</w:t>
      </w:r>
    </w:p>
    <w:p>
      <w:pPr>
        <w:pStyle w:val="BodyText"/>
        <w:spacing w:before="36"/>
        <w:ind w:left="113"/>
      </w:pPr>
      <w:r>
        <w:rPr/>
        <w:t>（2）动脉血氧分压（PaO2）&lt;50mmHg；</w:t>
      </w:r>
    </w:p>
    <w:p>
      <w:pPr>
        <w:pStyle w:val="BodyText"/>
        <w:spacing w:before="36"/>
        <w:ind w:left="113"/>
      </w:pPr>
      <w:r>
        <w:rPr/>
        <w:t>（3）动脉血氧饱和度（SaO2）&lt;80％；</w:t>
      </w:r>
    </w:p>
    <w:p>
      <w:pPr>
        <w:pStyle w:val="BodyText"/>
        <w:spacing w:before="36"/>
        <w:ind w:left="113"/>
      </w:pPr>
      <w:r>
        <w:rPr/>
        <w:t>（4）因缺氧必须接受持续的输氧治疗。</w:t>
      </w:r>
    </w:p>
    <w:p>
      <w:pPr>
        <w:spacing w:after="0"/>
        <w:sectPr>
          <w:type w:val="continuous"/>
          <w:pgSz w:w="11910" w:h="16840"/>
          <w:pgMar w:top="220" w:bottom="280" w:left="1540" w:right="740"/>
          <w:cols w:num="2" w:equalWidth="0">
            <w:col w:w="1991" w:space="102"/>
            <w:col w:w="7537"/>
          </w:cols>
        </w:sectPr>
      </w:pPr>
    </w:p>
    <w:p>
      <w:pPr>
        <w:pStyle w:val="BodyText"/>
        <w:spacing w:before="2"/>
        <w:rPr>
          <w:sz w:val="19"/>
        </w:rPr>
      </w:pPr>
    </w:p>
    <w:p>
      <w:pPr>
        <w:pStyle w:val="BodyText"/>
        <w:spacing w:line="312" w:lineRule="exact" w:before="36"/>
        <w:ind w:left="2206" w:right="220" w:hanging="2093"/>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206"/>
      </w:pPr>
      <w:r>
        <w:rPr/>
        <w:t>（1）移动：自己从一个房间到另一个房间；或者</w:t>
      </w:r>
    </w:p>
    <w:p>
      <w:pPr>
        <w:pStyle w:val="BodyText"/>
        <w:ind w:left="2206"/>
      </w:pPr>
      <w:r>
        <w:rPr/>
        <w:t>（2）进食：自己从已准备好的碗或碟中取食物放入口中。</w:t>
      </w:r>
    </w:p>
    <w:p>
      <w:pPr>
        <w:tabs>
          <w:tab w:pos="2206" w:val="left" w:leader="none"/>
        </w:tabs>
        <w:spacing w:before="177"/>
        <w:ind w:left="113"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206"/>
      </w:pPr>
      <w:r>
        <w:rPr/>
        <w:t>（1）符合坏死性筋膜炎的一般临床表现；</w:t>
      </w:r>
    </w:p>
    <w:p>
      <w:pPr>
        <w:pStyle w:val="BodyText"/>
        <w:ind w:left="2206"/>
      </w:pPr>
      <w:r>
        <w:rPr/>
        <w:t>（2）细菌培养检出致病菌；</w:t>
      </w:r>
    </w:p>
    <w:p>
      <w:pPr>
        <w:pStyle w:val="BodyText"/>
        <w:spacing w:line="273" w:lineRule="auto"/>
        <w:ind w:left="2206" w:right="112" w:hanging="1"/>
      </w:pPr>
      <w:r>
        <w:rPr>
          <w:spacing w:val="-26"/>
        </w:rPr>
        <w:t>（3）</w:t>
      </w:r>
      <w:r>
        <w:rPr>
          <w:spacing w:val="-6"/>
        </w:rPr>
        <w:t>出现广泛性肌肉及软组织坏死，并导致身体受影响部位永久完全失去功能。所谓永久完全失去功能是指受影响部位的功能丧失超过六个月者。</w:t>
      </w:r>
    </w:p>
    <w:p>
      <w:pPr>
        <w:pStyle w:val="BodyText"/>
        <w:spacing w:before="8"/>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28、急性坏死性胰腺</w:t>
      </w:r>
      <w:r>
        <w:rPr/>
        <w:t>炎</w:t>
      </w:r>
    </w:p>
    <w:p>
      <w:pPr>
        <w:pStyle w:val="BodyText"/>
        <w:spacing w:line="273" w:lineRule="auto" w:before="39"/>
        <w:ind w:left="113"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6"/>
        <w:rPr>
          <w:sz w:val="19"/>
        </w:rPr>
      </w:pPr>
    </w:p>
    <w:p>
      <w:pPr>
        <w:spacing w:after="0"/>
        <w:rPr>
          <w:sz w:val="19"/>
        </w:rPr>
        <w:sectPr>
          <w:type w:val="continuous"/>
          <w:pgSz w:w="11910" w:h="16840"/>
          <w:pgMar w:top="220" w:bottom="280" w:left="1540" w:right="740"/>
        </w:sectPr>
      </w:pPr>
    </w:p>
    <w:p>
      <w:pPr>
        <w:pStyle w:val="Heading4"/>
        <w:spacing w:line="204" w:lineRule="auto" w:before="11"/>
      </w:pPr>
      <w:r>
        <w:rPr/>
        <w:t>29、全身性重症ft无力</w:t>
      </w:r>
    </w:p>
    <w:p>
      <w:pPr>
        <w:pStyle w:val="BodyText"/>
        <w:spacing w:line="273" w:lineRule="auto" w:before="40"/>
        <w:ind w:left="113"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3"/>
      </w:pPr>
      <w:r>
        <w:rPr/>
        <w:t>（1）经药物治疗和胸腺切除治疗一年以上仍无法控制病情；</w:t>
      </w:r>
    </w:p>
    <w:p>
      <w:pPr>
        <w:pStyle w:val="BodyText"/>
        <w:spacing w:line="273" w:lineRule="auto"/>
        <w:ind w:left="113"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BodyText"/>
        <w:tabs>
          <w:tab w:pos="2206" w:val="left" w:leader="none"/>
        </w:tabs>
        <w:spacing w:line="312" w:lineRule="exact" w:before="14"/>
        <w:ind w:left="2206" w:right="118" w:hanging="2093"/>
        <w:jc w:val="both"/>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59"/>
        </w:rPr>
        <w:t>。</w:t>
      </w:r>
      <w:r>
        <w:rPr/>
        <w:t>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40" w:right="840"/>
        </w:sectPr>
      </w:pPr>
    </w:p>
    <w:p>
      <w:pPr>
        <w:pStyle w:val="Heading4"/>
        <w:spacing w:line="204" w:lineRule="auto" w:before="11"/>
      </w:pPr>
      <w:r>
        <w:rPr>
          <w:w w:val="95"/>
        </w:rPr>
        <w:t>31、严重类风湿性关</w:t>
      </w:r>
      <w:r>
        <w:rPr/>
        <w:t>节炎</w:t>
      </w:r>
    </w:p>
    <w:p>
      <w:pPr>
        <w:pStyle w:val="BodyText"/>
        <w:spacing w:line="273" w:lineRule="auto" w:before="40"/>
        <w:ind w:left="113"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3"/>
        <w:jc w:val="both"/>
      </w:pPr>
      <w:r>
        <w:rPr/>
        <w:t>（1）晨僵；</w:t>
      </w:r>
    </w:p>
    <w:p>
      <w:pPr>
        <w:pStyle w:val="BodyText"/>
        <w:spacing w:before="36"/>
        <w:ind w:left="113"/>
        <w:jc w:val="both"/>
      </w:pPr>
      <w:r>
        <w:rPr/>
        <w:t>（2）对称性关节炎；</w:t>
      </w:r>
    </w:p>
    <w:p>
      <w:pPr>
        <w:pStyle w:val="BodyText"/>
        <w:spacing w:before="36"/>
        <w:ind w:left="113"/>
        <w:jc w:val="both"/>
      </w:pPr>
      <w:r>
        <w:rPr/>
        <w:t>（3）类风湿性皮下结节；</w:t>
      </w:r>
    </w:p>
    <w:p>
      <w:pPr>
        <w:pStyle w:val="BodyText"/>
        <w:spacing w:before="36"/>
        <w:ind w:left="113"/>
        <w:jc w:val="both"/>
      </w:pPr>
      <w:r>
        <w:rPr/>
        <w:t>（4）类风湿因子滴度升高；</w:t>
      </w:r>
    </w:p>
    <w:p>
      <w:pPr>
        <w:pStyle w:val="BodyText"/>
        <w:spacing w:before="36"/>
        <w:ind w:left="11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40" w:right="840"/>
          <w:cols w:num="2" w:equalWidth="0">
            <w:col w:w="1991" w:space="102"/>
            <w:col w:w="7437"/>
          </w:cols>
        </w:sectPr>
      </w:pPr>
    </w:p>
    <w:p>
      <w:pPr>
        <w:pStyle w:val="BodyText"/>
        <w:spacing w:before="11"/>
        <w:rPr>
          <w:sz w:val="15"/>
        </w:rPr>
      </w:pPr>
    </w:p>
    <w:p>
      <w:pPr>
        <w:spacing w:after="0"/>
        <w:rPr>
          <w:sz w:val="15"/>
        </w:rPr>
        <w:sectPr>
          <w:type w:val="continuous"/>
          <w:pgSz w:w="11910" w:h="16840"/>
          <w:pgMar w:top="220" w:bottom="280" w:left="1540" w:right="840"/>
        </w:sectPr>
      </w:pPr>
    </w:p>
    <w:p>
      <w:pPr>
        <w:pStyle w:val="Heading4"/>
        <w:spacing w:line="295" w:lineRule="exact"/>
      </w:pPr>
      <w:r>
        <w:rPr>
          <w:w w:val="95"/>
        </w:rPr>
        <w:t>32、系统性红斑狼疮</w:t>
      </w:r>
    </w:p>
    <w:p>
      <w:pPr>
        <w:spacing w:line="204" w:lineRule="auto" w:before="28"/>
        <w:ind w:left="113" w:right="123"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3"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3"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3"/>
        <w:jc w:val="both"/>
      </w:pPr>
      <w:r>
        <w:rPr/>
        <w:t>世界卫生组织（WHO）狼疮性肾炎分型：</w:t>
      </w:r>
    </w:p>
    <w:p>
      <w:pPr>
        <w:pStyle w:val="ListParagraph"/>
        <w:numPr>
          <w:ilvl w:val="0"/>
          <w:numId w:val="16"/>
        </w:numPr>
        <w:tabs>
          <w:tab w:pos="324" w:val="left" w:leader="none"/>
        </w:tabs>
        <w:spacing w:line="240" w:lineRule="auto" w:before="37" w:after="0"/>
        <w:ind w:left="323" w:right="0" w:hanging="210"/>
        <w:jc w:val="both"/>
        <w:rPr>
          <w:sz w:val="21"/>
        </w:rPr>
      </w:pPr>
      <w:r>
        <w:rPr>
          <w:sz w:val="21"/>
        </w:rPr>
        <w:t>型（微小病变型）</w:t>
      </w:r>
      <w:r>
        <w:rPr>
          <w:spacing w:val="2"/>
          <w:sz w:val="21"/>
        </w:rPr>
        <w:t>       镜下阴性，尿液正常</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型（系膜病变型）      中度蛋白尿，偶有尿沉渣改变</w:t>
      </w:r>
    </w:p>
    <w:p>
      <w:pPr>
        <w:pStyle w:val="ListParagraph"/>
        <w:numPr>
          <w:ilvl w:val="0"/>
          <w:numId w:val="16"/>
        </w:numPr>
        <w:tabs>
          <w:tab w:pos="534" w:val="left" w:leader="none"/>
        </w:tabs>
        <w:spacing w:line="240" w:lineRule="auto" w:before="37" w:after="0"/>
        <w:ind w:left="533"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型（弥漫增生型）      急性肾炎伴有尿沉渣改变及／或肾病综合征</w:t>
      </w:r>
    </w:p>
    <w:p>
      <w:pPr>
        <w:pStyle w:val="ListParagraph"/>
        <w:numPr>
          <w:ilvl w:val="0"/>
          <w:numId w:val="16"/>
        </w:numPr>
        <w:tabs>
          <w:tab w:pos="367" w:val="left" w:leader="none"/>
          <w:tab w:pos="2886" w:val="left" w:leader="none"/>
        </w:tabs>
        <w:spacing w:line="240" w:lineRule="auto" w:before="37" w:after="0"/>
        <w:ind w:left="366"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540" w:right="840"/>
          <w:cols w:num="2" w:equalWidth="0">
            <w:col w:w="1991" w:space="102"/>
            <w:col w:w="7437"/>
          </w:cols>
        </w:sectPr>
      </w:pPr>
    </w:p>
    <w:p>
      <w:pPr>
        <w:pStyle w:val="BodyText"/>
        <w:spacing w:before="0"/>
        <w:rPr>
          <w:sz w:val="20"/>
        </w:rPr>
      </w:pPr>
    </w:p>
    <w:p>
      <w:pPr>
        <w:pStyle w:val="BodyText"/>
        <w:spacing w:before="12"/>
      </w:pPr>
    </w:p>
    <w:p>
      <w:pPr>
        <w:spacing w:after="0"/>
        <w:sectPr>
          <w:type w:val="continuous"/>
          <w:pgSz w:w="11910" w:h="16840"/>
          <w:pgMar w:top="220" w:bottom="280" w:left="1540" w:right="840"/>
        </w:sectPr>
      </w:pPr>
    </w:p>
    <w:p>
      <w:pPr>
        <w:pStyle w:val="Heading4"/>
        <w:spacing w:line="204" w:lineRule="auto" w:before="11"/>
      </w:pPr>
      <w:r>
        <w:rPr>
          <w:w w:val="95"/>
        </w:rPr>
        <w:t>33</w:t>
      </w:r>
      <w:r>
        <w:rPr>
          <w:spacing w:val="-7"/>
          <w:w w:val="95"/>
        </w:rPr>
        <w:t>、因职业关系导致</w:t>
      </w:r>
      <w:r>
        <w:rPr>
          <w:spacing w:val="-7"/>
        </w:rPr>
        <w:t>的人类免疫缺陷病</w:t>
      </w:r>
      <w:r>
        <w:rPr>
          <w:spacing w:val="-1"/>
          <w:w w:val="95"/>
        </w:rPr>
        <w:t>毒（HIV）</w:t>
      </w:r>
      <w:r>
        <w:rPr>
          <w:w w:val="95"/>
        </w:rPr>
        <w:t>感染</w:t>
      </w:r>
    </w:p>
    <w:p>
      <w:pPr>
        <w:pStyle w:val="BodyText"/>
        <w:spacing w:line="273" w:lineRule="auto" w:before="40"/>
        <w:ind w:left="113"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3" w:right="58"/>
      </w:pPr>
      <w:r>
        <w:rPr/>
        <w:t>（1）感染必须是在被保险人正在从事其职业工作中发生，该职业必须属于以下列表内的职业；</w:t>
      </w:r>
    </w:p>
    <w:p>
      <w:pPr>
        <w:pStyle w:val="BodyText"/>
        <w:spacing w:before="7"/>
        <w:ind w:left="113"/>
      </w:pPr>
      <w:r>
        <w:rPr/>
        <w:t>（2）血清转化必须出现在事故发生后的 6 个月以内；</w:t>
      </w:r>
    </w:p>
    <w:p>
      <w:pPr>
        <w:pStyle w:val="BodyText"/>
        <w:spacing w:line="273" w:lineRule="auto"/>
        <w:ind w:left="113"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13"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8"/>
        <w:ind w:left="113"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40" w:right="840"/>
          <w:cols w:num="2" w:equalWidth="0">
            <w:col w:w="1991" w:space="102"/>
            <w:col w:w="7437"/>
          </w:cols>
        </w:sectPr>
      </w:pPr>
    </w:p>
    <w:p>
      <w:pPr>
        <w:pStyle w:val="Heading4"/>
        <w:spacing w:line="204" w:lineRule="auto"/>
        <w:ind w:left="793"/>
      </w:pPr>
      <w:r>
        <w:rPr>
          <w:w w:val="95"/>
        </w:rPr>
        <w:t>34、经输血导致的人</w:t>
      </w:r>
      <w:r>
        <w:rPr/>
        <w:t>类免疫缺陷病毒</w:t>
      </w:r>
    </w:p>
    <w:p>
      <w:pPr>
        <w:spacing w:line="312" w:lineRule="exact" w:before="9"/>
        <w:ind w:left="79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5"/>
      </w:pPr>
      <w:r>
        <w:rPr/>
        <w:br w:type="column"/>
      </w:r>
      <w:r>
        <w:rPr/>
        <w:t>被保险人感染上人类免疫缺陷病毒（HIV）并且满足下列全部条件：</w:t>
      </w:r>
    </w:p>
    <w:p>
      <w:pPr>
        <w:pStyle w:val="BodyText"/>
        <w:ind w:left="175"/>
      </w:pPr>
      <w:r>
        <w:rPr/>
        <w:t>（1）在保障起始日或复效日之后，被保险人因输血而感染 HIV；</w:t>
      </w:r>
    </w:p>
    <w:p>
      <w:pPr>
        <w:pStyle w:val="BodyText"/>
        <w:spacing w:line="273" w:lineRule="auto"/>
        <w:ind w:left="175" w:right="176"/>
      </w:pPr>
      <w:r>
        <w:rPr/>
        <w:t>（2）提供输血治疗的输血中心或医院出具该项输血感染属医疗责任事故的报告，或法院终审裁定为医疗责任并且不准上诉；</w:t>
      </w:r>
    </w:p>
    <w:p>
      <w:pPr>
        <w:pStyle w:val="BodyText"/>
        <w:spacing w:before="7"/>
        <w:ind w:left="175"/>
      </w:pPr>
      <w:r>
        <w:rPr/>
        <w:t>（3）受感染的被保险人不是血友病患者。</w:t>
      </w:r>
    </w:p>
    <w:p>
      <w:pPr>
        <w:pStyle w:val="BodyText"/>
        <w:spacing w:before="36"/>
        <w:ind w:left="175"/>
      </w:pPr>
      <w:r>
        <w:rPr/>
        <w:t>在任何治愈艾滋病（AIDS）或阻止 HIV 病毒作用的疗法被发现以后，或能防止</w:t>
      </w:r>
    </w:p>
    <w:p>
      <w:pPr>
        <w:pStyle w:val="BodyText"/>
        <w:spacing w:before="36"/>
        <w:ind w:left="175"/>
      </w:pPr>
      <w:r>
        <w:rPr/>
        <w:t>AIDS 发生的医疗方法被研究出来以后，本保障将不再予以赔付。</w:t>
      </w:r>
    </w:p>
    <w:p>
      <w:pPr>
        <w:pStyle w:val="BodyText"/>
        <w:spacing w:line="264" w:lineRule="auto" w:before="36"/>
        <w:ind w:left="175"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1" w:space="40"/>
            <w:col w:w="7559"/>
          </w:cols>
        </w:sectPr>
      </w:pPr>
    </w:p>
    <w:p>
      <w:pPr>
        <w:pStyle w:val="BodyText"/>
        <w:spacing w:before="6"/>
        <w:rPr>
          <w:sz w:val="15"/>
        </w:rPr>
      </w:pPr>
    </w:p>
    <w:p>
      <w:pPr>
        <w:pStyle w:val="BodyText"/>
        <w:tabs>
          <w:tab w:pos="2886" w:val="left" w:leader="none"/>
        </w:tabs>
        <w:spacing w:line="312" w:lineRule="exact" w:before="36"/>
        <w:ind w:left="2886" w:right="235" w:hanging="2093"/>
        <w:jc w:val="both"/>
      </w:pPr>
      <w:r>
        <w:rPr>
          <w:rFonts w:ascii="Microsoft JhengHei" w:eastAsia="Microsoft JhengHei" w:hint="eastAsia"/>
          <w:b/>
          <w:position w:val="2"/>
        </w:rPr>
        <w:t>35、严重克隆病</w:t>
        <w:tab/>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793"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p>
      <w:pPr>
        <w:spacing w:after="0" w:line="275" w:lineRule="exact"/>
        <w:rPr>
          <w:sz w:val="21"/>
        </w:rPr>
        <w:sectPr>
          <w:type w:val="continuous"/>
          <w:pgSz w:w="11910" w:h="16840"/>
          <w:pgMar w:top="220" w:bottom="280" w:left="860" w:right="780"/>
        </w:sectPr>
      </w:pPr>
    </w:p>
    <w:p>
      <w:pPr>
        <w:pStyle w:val="BodyText"/>
        <w:spacing w:before="19"/>
        <w:ind w:left="821"/>
      </w:pPr>
      <w:r>
        <w:rPr/>
        <w:t>附录：案例演示</w:t>
      </w:r>
    </w:p>
    <w:p>
      <w:pPr>
        <w:pStyle w:val="BodyText"/>
        <w:ind w:left="821"/>
      </w:pPr>
      <w:r>
        <w:rPr/>
        <w:t>假设您投保的主合同鑫囍年年年金保险（分红型）的保险金额为 100,000 元，保险费为 3,000 元/年，本附</w:t>
      </w:r>
    </w:p>
    <w:p>
      <w:pPr>
        <w:pStyle w:val="BodyText"/>
        <w:ind w:left="821"/>
      </w:pPr>
      <w:r>
        <w:rPr/>
        <w:t>加合同保险金额为 100,000 元。若被保险人因意外伤害，或于本附加合同生效或最后一次复效之日起 90 日</w:t>
      </w:r>
    </w:p>
    <w:p>
      <w:pPr>
        <w:pStyle w:val="BodyText"/>
        <w:spacing w:line="273" w:lineRule="auto"/>
        <w:ind w:left="821" w:right="817"/>
      </w:pPr>
      <w:r>
        <w:rPr/>
        <w:t>后因意外伤害以外的原因导致初次患本附加合同所列的重大疾病，则我们按本附加合同载明的保险金额的 3 倍给付提前给付重大疾病保险金，同时主合同的保险利益将按以下情形变化：</w:t>
      </w:r>
    </w:p>
    <w:p>
      <w:pPr>
        <w:pStyle w:val="BodyText"/>
        <w:spacing w:before="7"/>
        <w:rPr>
          <w:sz w:val="2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4936"/>
        <w:gridCol w:w="4905"/>
      </w:tblGrid>
      <w:tr>
        <w:trPr>
          <w:trHeight w:val="525" w:hRule="atLeast"/>
        </w:trPr>
        <w:tc>
          <w:tcPr>
            <w:tcW w:w="1440" w:type="dxa"/>
          </w:tcPr>
          <w:p>
            <w:pPr>
              <w:pStyle w:val="TableParagraph"/>
              <w:rPr>
                <w:rFonts w:ascii="Times New Roman"/>
                <w:sz w:val="20"/>
              </w:rPr>
            </w:pPr>
          </w:p>
        </w:tc>
        <w:tc>
          <w:tcPr>
            <w:tcW w:w="4936" w:type="dxa"/>
          </w:tcPr>
          <w:p>
            <w:pPr>
              <w:pStyle w:val="TableParagraph"/>
              <w:spacing w:before="99"/>
              <w:ind w:left="886"/>
              <w:rPr>
                <w:b/>
                <w:sz w:val="21"/>
              </w:rPr>
            </w:pPr>
            <w:r>
              <w:rPr>
                <w:b/>
                <w:w w:val="95"/>
                <w:sz w:val="21"/>
              </w:rPr>
              <w:t>提前给付重大疾病保险金理赔之前</w:t>
            </w:r>
          </w:p>
        </w:tc>
        <w:tc>
          <w:tcPr>
            <w:tcW w:w="4905" w:type="dxa"/>
          </w:tcPr>
          <w:p>
            <w:pPr>
              <w:pStyle w:val="TableParagraph"/>
              <w:spacing w:before="99"/>
              <w:ind w:left="870"/>
              <w:rPr>
                <w:b/>
                <w:sz w:val="21"/>
              </w:rPr>
            </w:pPr>
            <w:r>
              <w:rPr>
                <w:b/>
                <w:w w:val="95"/>
                <w:sz w:val="21"/>
              </w:rPr>
              <w:t>提前给付重大疾病保险金理赔之后</w:t>
            </w:r>
          </w:p>
        </w:tc>
      </w:tr>
      <w:tr>
        <w:trPr>
          <w:trHeight w:val="639" w:hRule="atLeast"/>
        </w:trPr>
        <w:tc>
          <w:tcPr>
            <w:tcW w:w="1440" w:type="dxa"/>
          </w:tcPr>
          <w:p>
            <w:pPr>
              <w:pStyle w:val="TableParagraph"/>
              <w:spacing w:line="273" w:lineRule="auto"/>
              <w:ind w:left="14" w:right="153"/>
              <w:rPr>
                <w:sz w:val="21"/>
              </w:rPr>
            </w:pPr>
            <w:r>
              <w:rPr>
                <w:sz w:val="21"/>
              </w:rPr>
              <w:t>所附主合同的保险金额</w:t>
            </w:r>
          </w:p>
        </w:tc>
        <w:tc>
          <w:tcPr>
            <w:tcW w:w="4936" w:type="dxa"/>
          </w:tcPr>
          <w:p>
            <w:pPr>
              <w:pStyle w:val="TableParagraph"/>
              <w:ind w:left="14"/>
              <w:rPr>
                <w:sz w:val="21"/>
              </w:rPr>
            </w:pPr>
            <w:r>
              <w:rPr>
                <w:rFonts w:ascii="Times New Roman" w:eastAsia="Times New Roman"/>
                <w:sz w:val="21"/>
              </w:rPr>
              <w:t>100,000 </w:t>
            </w:r>
            <w:r>
              <w:rPr>
                <w:sz w:val="21"/>
              </w:rPr>
              <w:t>元</w:t>
            </w:r>
          </w:p>
        </w:tc>
        <w:tc>
          <w:tcPr>
            <w:tcW w:w="4905" w:type="dxa"/>
          </w:tcPr>
          <w:p>
            <w:pPr>
              <w:pStyle w:val="TableParagraph"/>
              <w:ind w:left="13"/>
              <w:rPr>
                <w:sz w:val="21"/>
              </w:rPr>
            </w:pPr>
            <w:r>
              <w:rPr>
                <w:rFonts w:ascii="Times New Roman" w:eastAsia="Times New Roman"/>
                <w:sz w:val="21"/>
              </w:rPr>
              <w:t>0 </w:t>
            </w:r>
            <w:r>
              <w:rPr>
                <w:sz w:val="21"/>
              </w:rPr>
              <w:t>元（</w:t>
            </w:r>
            <w:r>
              <w:rPr>
                <w:rFonts w:ascii="Times New Roman" w:eastAsia="Times New Roman"/>
                <w:sz w:val="21"/>
              </w:rPr>
              <w:t>=100,000-100,000</w:t>
            </w:r>
            <w:r>
              <w:rPr>
                <w:sz w:val="21"/>
              </w:rPr>
              <w:t>）</w:t>
            </w:r>
          </w:p>
        </w:tc>
      </w:tr>
      <w:tr>
        <w:trPr>
          <w:trHeight w:val="628" w:hRule="atLeast"/>
        </w:trPr>
        <w:tc>
          <w:tcPr>
            <w:tcW w:w="1440" w:type="dxa"/>
          </w:tcPr>
          <w:p>
            <w:pPr>
              <w:pStyle w:val="TableParagraph"/>
              <w:spacing w:line="273" w:lineRule="auto"/>
              <w:ind w:left="4" w:right="163"/>
              <w:rPr>
                <w:sz w:val="21"/>
              </w:rPr>
            </w:pPr>
            <w:r>
              <w:rPr>
                <w:sz w:val="21"/>
              </w:rPr>
              <w:t>所附主合同的保险费</w:t>
            </w:r>
          </w:p>
        </w:tc>
        <w:tc>
          <w:tcPr>
            <w:tcW w:w="4936" w:type="dxa"/>
          </w:tcPr>
          <w:p>
            <w:pPr>
              <w:pStyle w:val="TableParagraph"/>
              <w:spacing w:line="280" w:lineRule="exact"/>
              <w:ind w:left="14"/>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c>
          <w:tcPr>
            <w:tcW w:w="4905" w:type="dxa"/>
          </w:tcPr>
          <w:p>
            <w:pPr>
              <w:pStyle w:val="TableParagraph"/>
              <w:spacing w:line="280" w:lineRule="exact"/>
              <w:ind w:left="13"/>
              <w:rPr>
                <w:sz w:val="21"/>
              </w:rPr>
            </w:pPr>
            <w:r>
              <w:rPr>
                <w:rFonts w:ascii="Times New Roman" w:hAnsi="Times New Roman" w:eastAsia="Times New Roman"/>
                <w:sz w:val="21"/>
              </w:rPr>
              <w:t>0 </w:t>
            </w:r>
            <w:r>
              <w:rPr>
                <w:sz w:val="21"/>
              </w:rPr>
              <w:t>元</w:t>
            </w:r>
            <w:r>
              <w:rPr>
                <w:rFonts w:ascii="Times New Roman" w:hAnsi="Times New Roman" w:eastAsia="Times New Roman"/>
                <w:sz w:val="21"/>
              </w:rPr>
              <w:t>/</w:t>
            </w:r>
            <w:r>
              <w:rPr>
                <w:sz w:val="21"/>
              </w:rPr>
              <w:t>年（</w:t>
            </w:r>
            <w:r>
              <w:rPr>
                <w:rFonts w:ascii="Times New Roman" w:hAnsi="Times New Roman" w:eastAsia="Times New Roman"/>
                <w:sz w:val="21"/>
              </w:rPr>
              <w:t>=3,000/100,000</w:t>
            </w:r>
            <w:r>
              <w:rPr>
                <w:sz w:val="21"/>
              </w:rPr>
              <w:t>×</w:t>
            </w:r>
            <w:r>
              <w:rPr>
                <w:rFonts w:ascii="Times New Roman" w:hAnsi="Times New Roman" w:eastAsia="Times New Roman"/>
                <w:sz w:val="21"/>
              </w:rPr>
              <w:t>0</w:t>
            </w:r>
            <w:r>
              <w:rPr>
                <w:sz w:val="21"/>
              </w:rPr>
              <w:t>）</w:t>
            </w:r>
          </w:p>
        </w:tc>
      </w:tr>
      <w:tr>
        <w:trPr>
          <w:trHeight w:val="639" w:hRule="atLeast"/>
        </w:trPr>
        <w:tc>
          <w:tcPr>
            <w:tcW w:w="1440" w:type="dxa"/>
          </w:tcPr>
          <w:p>
            <w:pPr>
              <w:pStyle w:val="TableParagraph"/>
              <w:spacing w:line="273" w:lineRule="auto"/>
              <w:ind w:left="4" w:right="163"/>
              <w:rPr>
                <w:sz w:val="21"/>
              </w:rPr>
            </w:pPr>
            <w:r>
              <w:rPr>
                <w:sz w:val="21"/>
              </w:rPr>
              <w:t>所附主合同的身故保险金</w:t>
            </w:r>
          </w:p>
        </w:tc>
        <w:tc>
          <w:tcPr>
            <w:tcW w:w="4936" w:type="dxa"/>
          </w:tcPr>
          <w:p>
            <w:pPr>
              <w:pStyle w:val="TableParagraph"/>
              <w:ind w:left="14"/>
              <w:rPr>
                <w:sz w:val="21"/>
              </w:rPr>
            </w:pPr>
            <w:r>
              <w:rPr>
                <w:rFonts w:ascii="Times New Roman" w:eastAsia="Times New Roman"/>
                <w:sz w:val="21"/>
              </w:rPr>
              <w:t>300,000 </w:t>
            </w:r>
            <w:r>
              <w:rPr>
                <w:sz w:val="21"/>
              </w:rPr>
              <w:t>元</w:t>
            </w:r>
          </w:p>
        </w:tc>
        <w:tc>
          <w:tcPr>
            <w:tcW w:w="4905" w:type="dxa"/>
          </w:tcPr>
          <w:p>
            <w:pPr>
              <w:pStyle w:val="TableParagraph"/>
              <w:ind w:left="13"/>
              <w:rPr>
                <w:sz w:val="21"/>
              </w:rPr>
            </w:pPr>
            <w:r>
              <w:rPr>
                <w:rFonts w:ascii="Times New Roman" w:hAnsi="Times New Roman" w:eastAsia="Times New Roman"/>
                <w:sz w:val="21"/>
              </w:rPr>
              <w:t>0 </w:t>
            </w:r>
            <w:r>
              <w:rPr>
                <w:sz w:val="21"/>
              </w:rPr>
              <w:t>元（</w:t>
            </w:r>
            <w:r>
              <w:rPr>
                <w:rFonts w:ascii="Times New Roman" w:hAnsi="Times New Roman" w:eastAsia="Times New Roman"/>
                <w:sz w:val="21"/>
              </w:rPr>
              <w:t>=3</w:t>
            </w:r>
            <w:r>
              <w:rPr>
                <w:sz w:val="21"/>
              </w:rPr>
              <w:t>×</w:t>
            </w:r>
            <w:r>
              <w:rPr>
                <w:rFonts w:ascii="Times New Roman" w:hAnsi="Times New Roman" w:eastAsia="Times New Roman"/>
                <w:sz w:val="21"/>
              </w:rPr>
              <w:t>0</w:t>
            </w:r>
            <w:r>
              <w:rPr>
                <w:sz w:val="21"/>
              </w:rPr>
              <w:t>）</w:t>
            </w:r>
          </w:p>
        </w:tc>
      </w:tr>
      <w:tr>
        <w:trPr>
          <w:trHeight w:val="2199" w:hRule="atLeast"/>
        </w:trPr>
        <w:tc>
          <w:tcPr>
            <w:tcW w:w="1440" w:type="dxa"/>
          </w:tcPr>
          <w:p>
            <w:pPr>
              <w:pStyle w:val="TableParagraph"/>
              <w:rPr>
                <w:sz w:val="20"/>
              </w:rPr>
            </w:pPr>
          </w:p>
          <w:p>
            <w:pPr>
              <w:pStyle w:val="TableParagraph"/>
              <w:rPr>
                <w:sz w:val="20"/>
              </w:rPr>
            </w:pPr>
          </w:p>
          <w:p>
            <w:pPr>
              <w:pStyle w:val="TableParagraph"/>
              <w:spacing w:before="8"/>
              <w:rPr>
                <w:sz w:val="19"/>
              </w:rPr>
            </w:pPr>
          </w:p>
          <w:p>
            <w:pPr>
              <w:pStyle w:val="TableParagraph"/>
              <w:spacing w:line="273" w:lineRule="auto"/>
              <w:ind w:left="4" w:right="163"/>
              <w:rPr>
                <w:sz w:val="21"/>
              </w:rPr>
            </w:pPr>
            <w:r>
              <w:rPr>
                <w:sz w:val="21"/>
              </w:rPr>
              <w:t>所附主合同的生存年金</w:t>
            </w:r>
          </w:p>
        </w:tc>
        <w:tc>
          <w:tcPr>
            <w:tcW w:w="4936" w:type="dxa"/>
          </w:tcPr>
          <w:p>
            <w:pPr>
              <w:pStyle w:val="TableParagraph"/>
              <w:ind w:left="14"/>
              <w:rPr>
                <w:sz w:val="21"/>
              </w:rPr>
            </w:pPr>
            <w:r>
              <w:rPr>
                <w:rFonts w:ascii="Times New Roman" w:hAnsi="Times New Roman" w:eastAsia="Times New Roman"/>
                <w:sz w:val="21"/>
              </w:rPr>
              <w:t>65 </w:t>
            </w:r>
            <w:r>
              <w:rPr>
                <w:sz w:val="21"/>
              </w:rPr>
              <w:t>周岁保单周年日 </w:t>
            </w:r>
            <w:r>
              <w:rPr>
                <w:rFonts w:ascii="Times New Roman" w:hAnsi="Times New Roman" w:eastAsia="Times New Roman"/>
                <w:sz w:val="21"/>
              </w:rPr>
              <w:t>40,000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40%</w:t>
            </w:r>
            <w:r>
              <w:rPr>
                <w:sz w:val="21"/>
              </w:rPr>
              <w:t>）</w:t>
            </w:r>
          </w:p>
          <w:p>
            <w:pPr>
              <w:pStyle w:val="TableParagraph"/>
              <w:spacing w:before="20"/>
              <w:ind w:left="14" w:right="-29"/>
              <w:rPr>
                <w:sz w:val="21"/>
              </w:rPr>
            </w:pPr>
            <w:r>
              <w:rPr>
                <w:rFonts w:ascii="Times New Roman" w:hAnsi="Times New Roman" w:eastAsia="Times New Roman"/>
                <w:sz w:val="21"/>
              </w:rPr>
              <w:t>66-70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8,000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8%</w:t>
            </w:r>
            <w:r>
              <w:rPr>
                <w:sz w:val="21"/>
              </w:rPr>
              <w:t>）</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71-75 </w:t>
            </w:r>
            <w:r>
              <w:rPr>
                <w:spacing w:val="-6"/>
                <w:sz w:val="21"/>
              </w:rPr>
              <w:t>周岁保单周年日每年 </w:t>
            </w:r>
            <w:r>
              <w:rPr>
                <w:rFonts w:ascii="Times New Roman" w:hAnsi="Times New Roman" w:eastAsia="Times New Roman"/>
                <w:sz w:val="21"/>
              </w:rPr>
              <w:t>8,500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8.5%</w:t>
            </w:r>
          </w:p>
          <w:p>
            <w:pPr>
              <w:pStyle w:val="TableParagraph"/>
              <w:spacing w:before="20"/>
              <w:ind w:left="14" w:right="-29"/>
              <w:rPr>
                <w:sz w:val="21"/>
              </w:rPr>
            </w:pPr>
            <w:r>
              <w:rPr>
                <w:rFonts w:ascii="Times New Roman" w:hAnsi="Times New Roman" w:eastAsia="Times New Roman"/>
                <w:sz w:val="21"/>
              </w:rPr>
              <w:t>76-80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9,000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9%</w:t>
            </w:r>
            <w:r>
              <w:rPr>
                <w:sz w:val="21"/>
              </w:rPr>
              <w:t>）</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81-85 </w:t>
            </w:r>
            <w:r>
              <w:rPr>
                <w:spacing w:val="-6"/>
                <w:sz w:val="21"/>
              </w:rPr>
              <w:t>周岁保单周年日每年 </w:t>
            </w:r>
            <w:r>
              <w:rPr>
                <w:rFonts w:ascii="Times New Roman" w:hAnsi="Times New Roman" w:eastAsia="Times New Roman"/>
                <w:sz w:val="21"/>
              </w:rPr>
              <w:t>9,500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9.5%</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86-87 </w:t>
            </w:r>
            <w:r>
              <w:rPr>
                <w:spacing w:val="-7"/>
                <w:sz w:val="21"/>
              </w:rPr>
              <w:t>周岁保单周年日每年 </w:t>
            </w:r>
            <w:r>
              <w:rPr>
                <w:rFonts w:ascii="Times New Roman" w:hAnsi="Times New Roman" w:eastAsia="Times New Roman"/>
                <w:sz w:val="21"/>
              </w:rPr>
              <w:t>10,000 </w:t>
            </w:r>
            <w:r>
              <w:rPr>
                <w:spacing w:val="-105"/>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10%</w:t>
            </w:r>
          </w:p>
        </w:tc>
        <w:tc>
          <w:tcPr>
            <w:tcW w:w="4905" w:type="dxa"/>
          </w:tcPr>
          <w:p>
            <w:pPr>
              <w:pStyle w:val="TableParagraph"/>
              <w:ind w:left="13"/>
              <w:rPr>
                <w:sz w:val="21"/>
              </w:rPr>
            </w:pPr>
            <w:r>
              <w:rPr>
                <w:sz w:val="21"/>
              </w:rPr>
              <w:t>不变</w:t>
            </w:r>
          </w:p>
          <w:p>
            <w:pPr>
              <w:pStyle w:val="TableParagraph"/>
              <w:spacing w:before="8"/>
              <w:rPr>
                <w:sz w:val="26"/>
              </w:rPr>
            </w:pPr>
          </w:p>
          <w:p>
            <w:pPr>
              <w:pStyle w:val="TableParagraph"/>
              <w:ind w:left="-121"/>
              <w:rPr>
                <w:sz w:val="21"/>
              </w:rPr>
            </w:pPr>
            <w:r>
              <w:rPr>
                <w:sz w:val="21"/>
              </w:rPr>
              <w:t>）</w:t>
            </w:r>
          </w:p>
          <w:p>
            <w:pPr>
              <w:pStyle w:val="TableParagraph"/>
              <w:spacing w:before="8"/>
              <w:rPr>
                <w:sz w:val="26"/>
              </w:rPr>
            </w:pPr>
          </w:p>
          <w:p>
            <w:pPr>
              <w:pStyle w:val="TableParagraph"/>
              <w:ind w:left="-121"/>
              <w:rPr>
                <w:sz w:val="21"/>
              </w:rPr>
            </w:pPr>
            <w:r>
              <w:rPr>
                <w:sz w:val="21"/>
              </w:rPr>
              <w:t>）</w:t>
            </w:r>
          </w:p>
          <w:p>
            <w:pPr>
              <w:pStyle w:val="TableParagraph"/>
              <w:spacing w:before="36"/>
              <w:ind w:left="-122"/>
              <w:rPr>
                <w:sz w:val="21"/>
              </w:rPr>
            </w:pPr>
            <w:r>
              <w:rPr>
                <w:sz w:val="21"/>
              </w:rPr>
              <w:t>）</w:t>
            </w:r>
          </w:p>
        </w:tc>
      </w:tr>
      <w:tr>
        <w:trPr>
          <w:trHeight w:val="639" w:hRule="atLeast"/>
        </w:trPr>
        <w:tc>
          <w:tcPr>
            <w:tcW w:w="1440" w:type="dxa"/>
          </w:tcPr>
          <w:p>
            <w:pPr>
              <w:pStyle w:val="TableParagraph"/>
              <w:spacing w:line="273" w:lineRule="auto"/>
              <w:ind w:left="4" w:right="163"/>
              <w:rPr>
                <w:sz w:val="21"/>
              </w:rPr>
            </w:pPr>
            <w:r>
              <w:rPr>
                <w:sz w:val="21"/>
              </w:rPr>
              <w:t>所附主合同的满期年金</w:t>
            </w:r>
          </w:p>
        </w:tc>
        <w:tc>
          <w:tcPr>
            <w:tcW w:w="4936" w:type="dxa"/>
          </w:tcPr>
          <w:p>
            <w:pPr>
              <w:pStyle w:val="TableParagraph"/>
              <w:ind w:left="14"/>
              <w:rPr>
                <w:sz w:val="21"/>
              </w:rPr>
            </w:pPr>
            <w:r>
              <w:rPr>
                <w:rFonts w:ascii="Times New Roman" w:hAnsi="Times New Roman" w:eastAsia="Times New Roman"/>
                <w:sz w:val="21"/>
              </w:rPr>
              <w:t>100,000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100%</w:t>
            </w:r>
            <w:r>
              <w:rPr>
                <w:sz w:val="21"/>
              </w:rPr>
              <w:t>）</w:t>
            </w:r>
          </w:p>
        </w:tc>
        <w:tc>
          <w:tcPr>
            <w:tcW w:w="4905" w:type="dxa"/>
          </w:tcPr>
          <w:p>
            <w:pPr>
              <w:pStyle w:val="TableParagraph"/>
              <w:ind w:left="13"/>
              <w:rPr>
                <w:sz w:val="21"/>
              </w:rPr>
            </w:pPr>
            <w:r>
              <w:rPr>
                <w:sz w:val="21"/>
              </w:rPr>
              <w:t>不变</w:t>
            </w:r>
          </w:p>
        </w:tc>
      </w:tr>
    </w:tbl>
    <w:sectPr>
      <w:pgSz w:w="11910" w:h="16840"/>
      <w:pgMar w:header="0" w:footer="442" w:top="1100" w:bottom="640" w:left="20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32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3" w:hanging="211"/>
        <w:jc w:val="left"/>
      </w:pPr>
      <w:rPr>
        <w:rFonts w:hint="default"/>
        <w:spacing w:val="-2"/>
        <w:w w:val="100"/>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3" w:hanging="211"/>
      </w:pPr>
      <w:rPr>
        <w:rFonts w:hint="default"/>
      </w:rPr>
    </w:lvl>
    <w:lvl w:ilvl="4">
      <w:start w:val="0"/>
      <w:numFmt w:val="bullet"/>
      <w:lvlText w:val="•"/>
      <w:lvlJc w:val="left"/>
      <w:pPr>
        <w:ind w:left="3164" w:hanging="211"/>
      </w:pPr>
      <w:rPr>
        <w:rFonts w:hint="default"/>
      </w:rPr>
    </w:lvl>
    <w:lvl w:ilvl="5">
      <w:start w:val="0"/>
      <w:numFmt w:val="bullet"/>
      <w:lvlText w:val="•"/>
      <w:lvlJc w:val="left"/>
      <w:pPr>
        <w:ind w:left="3875" w:hanging="211"/>
      </w:pPr>
      <w:rPr>
        <w:rFonts w:hint="default"/>
      </w:rPr>
    </w:lvl>
    <w:lvl w:ilvl="6">
      <w:start w:val="0"/>
      <w:numFmt w:val="bullet"/>
      <w:lvlText w:val="•"/>
      <w:lvlJc w:val="left"/>
      <w:pPr>
        <w:ind w:left="4586" w:hanging="211"/>
      </w:pPr>
      <w:rPr>
        <w:rFonts w:hint="default"/>
      </w:rPr>
    </w:lvl>
    <w:lvl w:ilvl="7">
      <w:start w:val="0"/>
      <w:numFmt w:val="bullet"/>
      <w:lvlText w:val="•"/>
      <w:lvlJc w:val="left"/>
      <w:pPr>
        <w:ind w:left="5298" w:hanging="211"/>
      </w:pPr>
      <w:rPr>
        <w:rFonts w:hint="default"/>
      </w:rPr>
    </w:lvl>
    <w:lvl w:ilvl="8">
      <w:start w:val="0"/>
      <w:numFmt w:val="bullet"/>
      <w:lvlText w:val="•"/>
      <w:lvlJc w:val="left"/>
      <w:pPr>
        <w:ind w:left="6009"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3006" w:hanging="695"/>
        <w:jc w:val="left"/>
      </w:pPr>
      <w:rPr>
        <w:rFonts w:hint="default"/>
      </w:rPr>
    </w:lvl>
    <w:lvl w:ilvl="1">
      <w:start w:val="1"/>
      <w:numFmt w:val="decimal"/>
      <w:lvlText w:val="%1.%2"/>
      <w:lvlJc w:val="left"/>
      <w:pPr>
        <w:ind w:left="3006" w:hanging="695"/>
        <w:jc w:val="right"/>
      </w:pPr>
      <w:rPr>
        <w:rFonts w:hint="default" w:ascii="宋体" w:hAnsi="宋体" w:eastAsia="宋体" w:cs="宋体"/>
        <w:b/>
        <w:bCs/>
        <w:w w:val="99"/>
        <w:sz w:val="21"/>
        <w:szCs w:val="21"/>
      </w:rPr>
    </w:lvl>
    <w:lvl w:ilvl="2">
      <w:start w:val="0"/>
      <w:numFmt w:val="bullet"/>
      <w:lvlText w:val="•"/>
      <w:lvlJc w:val="left"/>
      <w:pPr>
        <w:ind w:left="4484" w:hanging="695"/>
      </w:pPr>
      <w:rPr>
        <w:rFonts w:hint="default"/>
      </w:rPr>
    </w:lvl>
    <w:lvl w:ilvl="3">
      <w:start w:val="0"/>
      <w:numFmt w:val="bullet"/>
      <w:lvlText w:val="•"/>
      <w:lvlJc w:val="left"/>
      <w:pPr>
        <w:ind w:left="5227" w:hanging="695"/>
      </w:pPr>
      <w:rPr>
        <w:rFonts w:hint="default"/>
      </w:rPr>
    </w:lvl>
    <w:lvl w:ilvl="4">
      <w:start w:val="0"/>
      <w:numFmt w:val="bullet"/>
      <w:lvlText w:val="•"/>
      <w:lvlJc w:val="left"/>
      <w:pPr>
        <w:ind w:left="5969" w:hanging="695"/>
      </w:pPr>
      <w:rPr>
        <w:rFonts w:hint="default"/>
      </w:rPr>
    </w:lvl>
    <w:lvl w:ilvl="5">
      <w:start w:val="0"/>
      <w:numFmt w:val="bullet"/>
      <w:lvlText w:val="•"/>
      <w:lvlJc w:val="left"/>
      <w:pPr>
        <w:ind w:left="6712" w:hanging="695"/>
      </w:pPr>
      <w:rPr>
        <w:rFonts w:hint="default"/>
      </w:rPr>
    </w:lvl>
    <w:lvl w:ilvl="6">
      <w:start w:val="0"/>
      <w:numFmt w:val="bullet"/>
      <w:lvlText w:val="•"/>
      <w:lvlJc w:val="left"/>
      <w:pPr>
        <w:ind w:left="7454" w:hanging="695"/>
      </w:pPr>
      <w:rPr>
        <w:rFonts w:hint="default"/>
      </w:rPr>
    </w:lvl>
    <w:lvl w:ilvl="7">
      <w:start w:val="0"/>
      <w:numFmt w:val="bullet"/>
      <w:lvlText w:val="•"/>
      <w:lvlJc w:val="left"/>
      <w:pPr>
        <w:ind w:left="8197" w:hanging="695"/>
      </w:pPr>
      <w:rPr>
        <w:rFonts w:hint="default"/>
      </w:rPr>
    </w:lvl>
    <w:lvl w:ilvl="8">
      <w:start w:val="0"/>
      <w:numFmt w:val="bullet"/>
      <w:lvlText w:val="•"/>
      <w:lvlJc w:val="left"/>
      <w:pPr>
        <w:ind w:left="8939" w:hanging="695"/>
      </w:pPr>
      <w:rPr>
        <w:rFonts w:hint="default"/>
      </w:rPr>
    </w:lvl>
  </w:abstractNum>
  <w:abstractNum w:abstractNumId="12">
    <w:multiLevelType w:val="hybridMultilevel"/>
    <w:lvl w:ilvl="0">
      <w:start w:val="7"/>
      <w:numFmt w:val="decimal"/>
      <w:lvlText w:val="%1"/>
      <w:lvlJc w:val="left"/>
      <w:pPr>
        <w:ind w:left="913" w:hanging="694"/>
        <w:jc w:val="left"/>
      </w:pPr>
      <w:rPr>
        <w:rFonts w:hint="default"/>
      </w:rPr>
    </w:lvl>
    <w:lvl w:ilvl="1">
      <w:start w:val="1"/>
      <w:numFmt w:val="decimal"/>
      <w:lvlText w:val="%1.%2"/>
      <w:lvlJc w:val="left"/>
      <w:pPr>
        <w:ind w:left="913" w:hanging="694"/>
        <w:jc w:val="left"/>
      </w:pPr>
      <w:rPr>
        <w:rFonts w:hint="default" w:ascii="宋体" w:hAnsi="宋体" w:eastAsia="宋体" w:cs="宋体"/>
        <w:b/>
        <w:bCs/>
        <w:spacing w:val="0"/>
        <w:w w:val="99"/>
        <w:sz w:val="21"/>
        <w:szCs w:val="21"/>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11">
    <w:multiLevelType w:val="hybridMultilevel"/>
    <w:lvl w:ilvl="0">
      <w:start w:val="6"/>
      <w:numFmt w:val="decimal"/>
      <w:lvlText w:val="%1"/>
      <w:lvlJc w:val="left"/>
      <w:pPr>
        <w:ind w:left="3006" w:hanging="693"/>
        <w:jc w:val="left"/>
      </w:pPr>
      <w:rPr>
        <w:rFonts w:hint="default"/>
      </w:rPr>
    </w:lvl>
    <w:lvl w:ilvl="1">
      <w:start w:val="1"/>
      <w:numFmt w:val="decimal"/>
      <w:lvlText w:val="%1.%2"/>
      <w:lvlJc w:val="left"/>
      <w:pPr>
        <w:ind w:left="3006" w:hanging="693"/>
        <w:jc w:val="left"/>
      </w:pPr>
      <w:rPr>
        <w:rFonts w:hint="default" w:ascii="宋体" w:hAnsi="宋体" w:eastAsia="宋体" w:cs="宋体"/>
        <w:b/>
        <w:bCs/>
        <w:w w:val="99"/>
        <w:sz w:val="21"/>
        <w:szCs w:val="21"/>
      </w:rPr>
    </w:lvl>
    <w:lvl w:ilvl="2">
      <w:start w:val="0"/>
      <w:numFmt w:val="bullet"/>
      <w:lvlText w:val="•"/>
      <w:lvlJc w:val="left"/>
      <w:pPr>
        <w:ind w:left="4484" w:hanging="693"/>
      </w:pPr>
      <w:rPr>
        <w:rFonts w:hint="default"/>
      </w:rPr>
    </w:lvl>
    <w:lvl w:ilvl="3">
      <w:start w:val="0"/>
      <w:numFmt w:val="bullet"/>
      <w:lvlText w:val="•"/>
      <w:lvlJc w:val="left"/>
      <w:pPr>
        <w:ind w:left="5227" w:hanging="693"/>
      </w:pPr>
      <w:rPr>
        <w:rFonts w:hint="default"/>
      </w:rPr>
    </w:lvl>
    <w:lvl w:ilvl="4">
      <w:start w:val="0"/>
      <w:numFmt w:val="bullet"/>
      <w:lvlText w:val="•"/>
      <w:lvlJc w:val="left"/>
      <w:pPr>
        <w:ind w:left="5969" w:hanging="693"/>
      </w:pPr>
      <w:rPr>
        <w:rFonts w:hint="default"/>
      </w:rPr>
    </w:lvl>
    <w:lvl w:ilvl="5">
      <w:start w:val="0"/>
      <w:numFmt w:val="bullet"/>
      <w:lvlText w:val="•"/>
      <w:lvlJc w:val="left"/>
      <w:pPr>
        <w:ind w:left="6712" w:hanging="693"/>
      </w:pPr>
      <w:rPr>
        <w:rFonts w:hint="default"/>
      </w:rPr>
    </w:lvl>
    <w:lvl w:ilvl="6">
      <w:start w:val="0"/>
      <w:numFmt w:val="bullet"/>
      <w:lvlText w:val="•"/>
      <w:lvlJc w:val="left"/>
      <w:pPr>
        <w:ind w:left="7454" w:hanging="693"/>
      </w:pPr>
      <w:rPr>
        <w:rFonts w:hint="default"/>
      </w:rPr>
    </w:lvl>
    <w:lvl w:ilvl="7">
      <w:start w:val="0"/>
      <w:numFmt w:val="bullet"/>
      <w:lvlText w:val="•"/>
      <w:lvlJc w:val="left"/>
      <w:pPr>
        <w:ind w:left="8197" w:hanging="693"/>
      </w:pPr>
      <w:rPr>
        <w:rFonts w:hint="default"/>
      </w:rPr>
    </w:lvl>
    <w:lvl w:ilvl="8">
      <w:start w:val="0"/>
      <w:numFmt w:val="bullet"/>
      <w:lvlText w:val="•"/>
      <w:lvlJc w:val="left"/>
      <w:pPr>
        <w:ind w:left="8939" w:hanging="693"/>
      </w:pPr>
      <w:rPr>
        <w:rFonts w:hint="default"/>
      </w:rPr>
    </w:lvl>
  </w:abstractNum>
  <w:abstractNum w:abstractNumId="10">
    <w:multiLevelType w:val="hybridMultilevel"/>
    <w:lvl w:ilvl="0">
      <w:start w:val="0"/>
      <w:numFmt w:val="bullet"/>
      <w:lvlText w:val="◉"/>
      <w:lvlJc w:val="left"/>
      <w:pPr>
        <w:ind w:left="913" w:hanging="694"/>
      </w:pPr>
      <w:rPr>
        <w:rFonts w:hint="default" w:ascii="Yu Gothic" w:hAnsi="Yu Gothic" w:eastAsia="Yu Gothic" w:cs="Yu Gothic"/>
        <w:b/>
        <w:bCs/>
        <w:w w:val="89"/>
        <w:position w:val="-3"/>
        <w:sz w:val="40"/>
        <w:szCs w:val="40"/>
      </w:rPr>
    </w:lvl>
    <w:lvl w:ilvl="1">
      <w:start w:val="0"/>
      <w:numFmt w:val="bullet"/>
      <w:lvlText w:val="•"/>
      <w:lvlJc w:val="left"/>
      <w:pPr>
        <w:ind w:left="1088" w:hanging="694"/>
      </w:pPr>
      <w:rPr>
        <w:rFonts w:hint="default"/>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9">
    <w:multiLevelType w:val="hybridMultilevel"/>
    <w:lvl w:ilvl="0">
      <w:start w:val="3"/>
      <w:numFmt w:val="decimal"/>
      <w:lvlText w:val="%1"/>
      <w:lvlJc w:val="left"/>
      <w:pPr>
        <w:ind w:left="3006" w:hanging="694"/>
        <w:jc w:val="left"/>
      </w:pPr>
      <w:rPr>
        <w:rFonts w:hint="default"/>
      </w:rPr>
    </w:lvl>
    <w:lvl w:ilvl="1">
      <w:start w:val="1"/>
      <w:numFmt w:val="decimal"/>
      <w:lvlText w:val="%1.%2"/>
      <w:lvlJc w:val="left"/>
      <w:pPr>
        <w:ind w:left="3006" w:hanging="694"/>
        <w:jc w:val="left"/>
      </w:pPr>
      <w:rPr>
        <w:rFonts w:hint="default" w:ascii="宋体" w:hAnsi="宋体" w:eastAsia="宋体" w:cs="宋体"/>
        <w:b/>
        <w:bCs/>
        <w:w w:val="99"/>
        <w:sz w:val="21"/>
        <w:szCs w:val="21"/>
      </w:rPr>
    </w:lvl>
    <w:lvl w:ilvl="2">
      <w:start w:val="0"/>
      <w:numFmt w:val="bullet"/>
      <w:lvlText w:val="•"/>
      <w:lvlJc w:val="left"/>
      <w:pPr>
        <w:ind w:left="4484" w:hanging="694"/>
      </w:pPr>
      <w:rPr>
        <w:rFonts w:hint="default"/>
      </w:rPr>
    </w:lvl>
    <w:lvl w:ilvl="3">
      <w:start w:val="0"/>
      <w:numFmt w:val="bullet"/>
      <w:lvlText w:val="•"/>
      <w:lvlJc w:val="left"/>
      <w:pPr>
        <w:ind w:left="5227" w:hanging="694"/>
      </w:pPr>
      <w:rPr>
        <w:rFonts w:hint="default"/>
      </w:rPr>
    </w:lvl>
    <w:lvl w:ilvl="4">
      <w:start w:val="0"/>
      <w:numFmt w:val="bullet"/>
      <w:lvlText w:val="•"/>
      <w:lvlJc w:val="left"/>
      <w:pPr>
        <w:ind w:left="5969" w:hanging="694"/>
      </w:pPr>
      <w:rPr>
        <w:rFonts w:hint="default"/>
      </w:rPr>
    </w:lvl>
    <w:lvl w:ilvl="5">
      <w:start w:val="0"/>
      <w:numFmt w:val="bullet"/>
      <w:lvlText w:val="•"/>
      <w:lvlJc w:val="left"/>
      <w:pPr>
        <w:ind w:left="6712" w:hanging="694"/>
      </w:pPr>
      <w:rPr>
        <w:rFonts w:hint="default"/>
      </w:rPr>
    </w:lvl>
    <w:lvl w:ilvl="6">
      <w:start w:val="0"/>
      <w:numFmt w:val="bullet"/>
      <w:lvlText w:val="•"/>
      <w:lvlJc w:val="left"/>
      <w:pPr>
        <w:ind w:left="7454" w:hanging="694"/>
      </w:pPr>
      <w:rPr>
        <w:rFonts w:hint="default"/>
      </w:rPr>
    </w:lvl>
    <w:lvl w:ilvl="7">
      <w:start w:val="0"/>
      <w:numFmt w:val="bullet"/>
      <w:lvlText w:val="•"/>
      <w:lvlJc w:val="left"/>
      <w:pPr>
        <w:ind w:left="8197" w:hanging="694"/>
      </w:pPr>
      <w:rPr>
        <w:rFonts w:hint="default"/>
      </w:rPr>
    </w:lvl>
    <w:lvl w:ilvl="8">
      <w:start w:val="0"/>
      <w:numFmt w:val="bullet"/>
      <w:lvlText w:val="•"/>
      <w:lvlJc w:val="left"/>
      <w:pPr>
        <w:ind w:left="8939" w:hanging="694"/>
      </w:pPr>
      <w:rPr>
        <w:rFonts w:hint="default"/>
      </w:rPr>
    </w:lvl>
  </w:abstractNum>
  <w:abstractNum w:abstractNumId="8">
    <w:multiLevelType w:val="hybridMultilevel"/>
    <w:lvl w:ilvl="0">
      <w:start w:val="2"/>
      <w:numFmt w:val="decimal"/>
      <w:lvlText w:val="%1"/>
      <w:lvlJc w:val="left"/>
      <w:pPr>
        <w:ind w:left="912" w:hanging="693"/>
        <w:jc w:val="left"/>
      </w:pPr>
      <w:rPr>
        <w:rFonts w:hint="default"/>
      </w:rPr>
    </w:lvl>
    <w:lvl w:ilvl="1">
      <w:start w:val="1"/>
      <w:numFmt w:val="decimal"/>
      <w:lvlText w:val="%1.%2"/>
      <w:lvlJc w:val="left"/>
      <w:pPr>
        <w:ind w:left="3006" w:hanging="693"/>
        <w:jc w:val="left"/>
      </w:pPr>
      <w:rPr>
        <w:rFonts w:hint="default"/>
        <w:b/>
        <w:bCs/>
        <w:w w:val="99"/>
      </w:rPr>
    </w:lvl>
    <w:lvl w:ilvl="2">
      <w:start w:val="0"/>
      <w:numFmt w:val="bullet"/>
      <w:lvlText w:val="•"/>
      <w:lvlJc w:val="left"/>
      <w:pPr>
        <w:ind w:left="3824" w:hanging="693"/>
      </w:pPr>
      <w:rPr>
        <w:rFonts w:hint="default"/>
      </w:rPr>
    </w:lvl>
    <w:lvl w:ilvl="3">
      <w:start w:val="0"/>
      <w:numFmt w:val="bullet"/>
      <w:lvlText w:val="•"/>
      <w:lvlJc w:val="left"/>
      <w:pPr>
        <w:ind w:left="4649" w:hanging="693"/>
      </w:pPr>
      <w:rPr>
        <w:rFonts w:hint="default"/>
      </w:rPr>
    </w:lvl>
    <w:lvl w:ilvl="4">
      <w:start w:val="0"/>
      <w:numFmt w:val="bullet"/>
      <w:lvlText w:val="•"/>
      <w:lvlJc w:val="left"/>
      <w:pPr>
        <w:ind w:left="5474" w:hanging="693"/>
      </w:pPr>
      <w:rPr>
        <w:rFonts w:hint="default"/>
      </w:rPr>
    </w:lvl>
    <w:lvl w:ilvl="5">
      <w:start w:val="0"/>
      <w:numFmt w:val="bullet"/>
      <w:lvlText w:val="•"/>
      <w:lvlJc w:val="left"/>
      <w:pPr>
        <w:ind w:left="6299" w:hanging="693"/>
      </w:pPr>
      <w:rPr>
        <w:rFonts w:hint="default"/>
      </w:rPr>
    </w:lvl>
    <w:lvl w:ilvl="6">
      <w:start w:val="0"/>
      <w:numFmt w:val="bullet"/>
      <w:lvlText w:val="•"/>
      <w:lvlJc w:val="left"/>
      <w:pPr>
        <w:ind w:left="7124" w:hanging="693"/>
      </w:pPr>
      <w:rPr>
        <w:rFonts w:hint="default"/>
      </w:rPr>
    </w:lvl>
    <w:lvl w:ilvl="7">
      <w:start w:val="0"/>
      <w:numFmt w:val="bullet"/>
      <w:lvlText w:val="•"/>
      <w:lvlJc w:val="left"/>
      <w:pPr>
        <w:ind w:left="7949" w:hanging="693"/>
      </w:pPr>
      <w:rPr>
        <w:rFonts w:hint="default"/>
      </w:rPr>
    </w:lvl>
    <w:lvl w:ilvl="8">
      <w:start w:val="0"/>
      <w:numFmt w:val="bullet"/>
      <w:lvlText w:val="•"/>
      <w:lvlJc w:val="left"/>
      <w:pPr>
        <w:ind w:left="8774" w:hanging="693"/>
      </w:pPr>
      <w:rPr>
        <w:rFonts w:hint="default"/>
      </w:rPr>
    </w:lvl>
  </w:abstractNum>
  <w:abstractNum w:abstractNumId="7">
    <w:multiLevelType w:val="hybridMultilevel"/>
    <w:lvl w:ilvl="0">
      <w:start w:val="1"/>
      <w:numFmt w:val="decimal"/>
      <w:lvlText w:val="%1"/>
      <w:lvlJc w:val="left"/>
      <w:pPr>
        <w:ind w:left="912" w:hanging="693"/>
        <w:jc w:val="left"/>
      </w:pPr>
      <w:rPr>
        <w:rFonts w:hint="default"/>
      </w:rPr>
    </w:lvl>
    <w:lvl w:ilvl="1">
      <w:start w:val="1"/>
      <w:numFmt w:val="decimal"/>
      <w:lvlText w:val="%1.%2"/>
      <w:lvlJc w:val="left"/>
      <w:pPr>
        <w:ind w:left="3028" w:hanging="693"/>
        <w:jc w:val="left"/>
      </w:pPr>
      <w:rPr>
        <w:rFonts w:hint="default" w:ascii="宋体" w:hAnsi="宋体" w:eastAsia="宋体" w:cs="宋体"/>
        <w:b/>
        <w:bCs/>
        <w:w w:val="99"/>
        <w:sz w:val="21"/>
        <w:szCs w:val="21"/>
      </w:rPr>
    </w:lvl>
    <w:lvl w:ilvl="2">
      <w:start w:val="0"/>
      <w:numFmt w:val="bullet"/>
      <w:lvlText w:val="•"/>
      <w:lvlJc w:val="left"/>
      <w:pPr>
        <w:ind w:left="3842" w:hanging="693"/>
      </w:pPr>
      <w:rPr>
        <w:rFonts w:hint="default"/>
      </w:rPr>
    </w:lvl>
    <w:lvl w:ilvl="3">
      <w:start w:val="0"/>
      <w:numFmt w:val="bullet"/>
      <w:lvlText w:val="•"/>
      <w:lvlJc w:val="left"/>
      <w:pPr>
        <w:ind w:left="4665" w:hanging="693"/>
      </w:pPr>
      <w:rPr>
        <w:rFonts w:hint="default"/>
      </w:rPr>
    </w:lvl>
    <w:lvl w:ilvl="4">
      <w:start w:val="0"/>
      <w:numFmt w:val="bullet"/>
      <w:lvlText w:val="•"/>
      <w:lvlJc w:val="left"/>
      <w:pPr>
        <w:ind w:left="5488" w:hanging="693"/>
      </w:pPr>
      <w:rPr>
        <w:rFonts w:hint="default"/>
      </w:rPr>
    </w:lvl>
    <w:lvl w:ilvl="5">
      <w:start w:val="0"/>
      <w:numFmt w:val="bullet"/>
      <w:lvlText w:val="•"/>
      <w:lvlJc w:val="left"/>
      <w:pPr>
        <w:ind w:left="6310" w:hanging="693"/>
      </w:pPr>
      <w:rPr>
        <w:rFonts w:hint="default"/>
      </w:rPr>
    </w:lvl>
    <w:lvl w:ilvl="6">
      <w:start w:val="0"/>
      <w:numFmt w:val="bullet"/>
      <w:lvlText w:val="•"/>
      <w:lvlJc w:val="left"/>
      <w:pPr>
        <w:ind w:left="7133" w:hanging="693"/>
      </w:pPr>
      <w:rPr>
        <w:rFonts w:hint="default"/>
      </w:rPr>
    </w:lvl>
    <w:lvl w:ilvl="7">
      <w:start w:val="0"/>
      <w:numFmt w:val="bullet"/>
      <w:lvlText w:val="•"/>
      <w:lvlJc w:val="left"/>
      <w:pPr>
        <w:ind w:left="7956" w:hanging="693"/>
      </w:pPr>
      <w:rPr>
        <w:rFonts w:hint="default"/>
      </w:rPr>
    </w:lvl>
    <w:lvl w:ilvl="8">
      <w:start w:val="0"/>
      <w:numFmt w:val="bullet"/>
      <w:lvlText w:val="•"/>
      <w:lvlJc w:val="left"/>
      <w:pPr>
        <w:ind w:left="8778" w:hanging="693"/>
      </w:pPr>
      <w:rPr>
        <w:rFonts w:hint="default"/>
      </w:rPr>
    </w:lvl>
  </w:abstractNum>
  <w:abstractNum w:abstractNumId="6">
    <w:multiLevelType w:val="hybridMultilevel"/>
    <w:lvl w:ilvl="0">
      <w:start w:val="7"/>
      <w:numFmt w:val="decimal"/>
      <w:lvlText w:val="%1"/>
      <w:lvlJc w:val="left"/>
      <w:pPr>
        <w:ind w:left="1866" w:hanging="368"/>
        <w:jc w:val="left"/>
      </w:pPr>
      <w:rPr>
        <w:rFonts w:hint="default"/>
      </w:rPr>
    </w:lvl>
    <w:lvl w:ilvl="1">
      <w:start w:val="1"/>
      <w:numFmt w:val="decimal"/>
      <w:lvlText w:val="%1.%2"/>
      <w:lvlJc w:val="left"/>
      <w:pPr>
        <w:ind w:left="1866" w:hanging="368"/>
        <w:jc w:val="left"/>
      </w:pPr>
      <w:rPr>
        <w:rFonts w:hint="default" w:ascii="宋体" w:hAnsi="宋体" w:eastAsia="宋体" w:cs="宋体"/>
        <w:spacing w:val="-1"/>
        <w:w w:val="100"/>
        <w:sz w:val="21"/>
        <w:szCs w:val="21"/>
      </w:rPr>
    </w:lvl>
    <w:lvl w:ilvl="2">
      <w:start w:val="0"/>
      <w:numFmt w:val="bullet"/>
      <w:lvlText w:val="•"/>
      <w:lvlJc w:val="left"/>
      <w:pPr>
        <w:ind w:left="2740" w:hanging="368"/>
      </w:pPr>
      <w:rPr>
        <w:rFonts w:hint="default"/>
      </w:rPr>
    </w:lvl>
    <w:lvl w:ilvl="3">
      <w:start w:val="0"/>
      <w:numFmt w:val="bullet"/>
      <w:lvlText w:val="•"/>
      <w:lvlJc w:val="left"/>
      <w:pPr>
        <w:ind w:left="3181" w:hanging="368"/>
      </w:pPr>
      <w:rPr>
        <w:rFonts w:hint="default"/>
      </w:rPr>
    </w:lvl>
    <w:lvl w:ilvl="4">
      <w:start w:val="0"/>
      <w:numFmt w:val="bullet"/>
      <w:lvlText w:val="•"/>
      <w:lvlJc w:val="left"/>
      <w:pPr>
        <w:ind w:left="3621" w:hanging="368"/>
      </w:pPr>
      <w:rPr>
        <w:rFonts w:hint="default"/>
      </w:rPr>
    </w:lvl>
    <w:lvl w:ilvl="5">
      <w:start w:val="0"/>
      <w:numFmt w:val="bullet"/>
      <w:lvlText w:val="•"/>
      <w:lvlJc w:val="left"/>
      <w:pPr>
        <w:ind w:left="4062" w:hanging="368"/>
      </w:pPr>
      <w:rPr>
        <w:rFonts w:hint="default"/>
      </w:rPr>
    </w:lvl>
    <w:lvl w:ilvl="6">
      <w:start w:val="0"/>
      <w:numFmt w:val="bullet"/>
      <w:lvlText w:val="•"/>
      <w:lvlJc w:val="left"/>
      <w:pPr>
        <w:ind w:left="4502" w:hanging="368"/>
      </w:pPr>
      <w:rPr>
        <w:rFonts w:hint="default"/>
      </w:rPr>
    </w:lvl>
    <w:lvl w:ilvl="7">
      <w:start w:val="0"/>
      <w:numFmt w:val="bullet"/>
      <w:lvlText w:val="•"/>
      <w:lvlJc w:val="left"/>
      <w:pPr>
        <w:ind w:left="4943" w:hanging="368"/>
      </w:pPr>
      <w:rPr>
        <w:rFonts w:hint="default"/>
      </w:rPr>
    </w:lvl>
    <w:lvl w:ilvl="8">
      <w:start w:val="0"/>
      <w:numFmt w:val="bullet"/>
      <w:lvlText w:val="•"/>
      <w:lvlJc w:val="left"/>
      <w:pPr>
        <w:ind w:left="5383" w:hanging="368"/>
      </w:pPr>
      <w:rPr>
        <w:rFonts w:hint="default"/>
      </w:rPr>
    </w:lvl>
  </w:abstractNum>
  <w:abstractNum w:abstractNumId="5">
    <w:multiLevelType w:val="hybridMultilevel"/>
    <w:lvl w:ilvl="0">
      <w:start w:val="6"/>
      <w:numFmt w:val="decimal"/>
      <w:lvlText w:val="%1"/>
      <w:lvlJc w:val="left"/>
      <w:pPr>
        <w:ind w:left="1919" w:hanging="419"/>
        <w:jc w:val="left"/>
      </w:pPr>
      <w:rPr>
        <w:rFonts w:hint="default"/>
      </w:rPr>
    </w:lvl>
    <w:lvl w:ilvl="1">
      <w:start w:val="1"/>
      <w:numFmt w:val="decimal"/>
      <w:lvlText w:val="%1.%2"/>
      <w:lvlJc w:val="left"/>
      <w:pPr>
        <w:ind w:left="1919" w:hanging="419"/>
        <w:jc w:val="left"/>
      </w:pPr>
      <w:rPr>
        <w:rFonts w:hint="default" w:ascii="宋体" w:hAnsi="宋体" w:eastAsia="宋体" w:cs="宋体"/>
        <w:spacing w:val="-1"/>
        <w:w w:val="100"/>
        <w:sz w:val="21"/>
        <w:szCs w:val="21"/>
      </w:rPr>
    </w:lvl>
    <w:lvl w:ilvl="2">
      <w:start w:val="0"/>
      <w:numFmt w:val="bullet"/>
      <w:lvlText w:val="•"/>
      <w:lvlJc w:val="left"/>
      <w:pPr>
        <w:ind w:left="2788" w:hanging="419"/>
      </w:pPr>
      <w:rPr>
        <w:rFonts w:hint="default"/>
      </w:rPr>
    </w:lvl>
    <w:lvl w:ilvl="3">
      <w:start w:val="0"/>
      <w:numFmt w:val="bullet"/>
      <w:lvlText w:val="•"/>
      <w:lvlJc w:val="left"/>
      <w:pPr>
        <w:ind w:left="3223" w:hanging="419"/>
      </w:pPr>
      <w:rPr>
        <w:rFonts w:hint="default"/>
      </w:rPr>
    </w:lvl>
    <w:lvl w:ilvl="4">
      <w:start w:val="0"/>
      <w:numFmt w:val="bullet"/>
      <w:lvlText w:val="•"/>
      <w:lvlJc w:val="left"/>
      <w:pPr>
        <w:ind w:left="3657" w:hanging="419"/>
      </w:pPr>
      <w:rPr>
        <w:rFonts w:hint="default"/>
      </w:rPr>
    </w:lvl>
    <w:lvl w:ilvl="5">
      <w:start w:val="0"/>
      <w:numFmt w:val="bullet"/>
      <w:lvlText w:val="•"/>
      <w:lvlJc w:val="left"/>
      <w:pPr>
        <w:ind w:left="4092" w:hanging="419"/>
      </w:pPr>
      <w:rPr>
        <w:rFonts w:hint="default"/>
      </w:rPr>
    </w:lvl>
    <w:lvl w:ilvl="6">
      <w:start w:val="0"/>
      <w:numFmt w:val="bullet"/>
      <w:lvlText w:val="•"/>
      <w:lvlJc w:val="left"/>
      <w:pPr>
        <w:ind w:left="4526" w:hanging="419"/>
      </w:pPr>
      <w:rPr>
        <w:rFonts w:hint="default"/>
      </w:rPr>
    </w:lvl>
    <w:lvl w:ilvl="7">
      <w:start w:val="0"/>
      <w:numFmt w:val="bullet"/>
      <w:lvlText w:val="•"/>
      <w:lvlJc w:val="left"/>
      <w:pPr>
        <w:ind w:left="4961" w:hanging="419"/>
      </w:pPr>
      <w:rPr>
        <w:rFonts w:hint="default"/>
      </w:rPr>
    </w:lvl>
    <w:lvl w:ilvl="8">
      <w:start w:val="0"/>
      <w:numFmt w:val="bullet"/>
      <w:lvlText w:val="•"/>
      <w:lvlJc w:val="left"/>
      <w:pPr>
        <w:ind w:left="5395" w:hanging="419"/>
      </w:pPr>
      <w:rPr>
        <w:rFonts w:hint="default"/>
      </w:rPr>
    </w:lvl>
  </w:abstractNum>
  <w:abstractNum w:abstractNumId="4">
    <w:multiLevelType w:val="hybridMultilevel"/>
    <w:lvl w:ilvl="0">
      <w:start w:val="4"/>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788" w:hanging="420"/>
      </w:pPr>
      <w:rPr>
        <w:rFonts w:hint="default"/>
      </w:rPr>
    </w:lvl>
    <w:lvl w:ilvl="3">
      <w:start w:val="0"/>
      <w:numFmt w:val="bullet"/>
      <w:lvlText w:val="•"/>
      <w:lvlJc w:val="left"/>
      <w:pPr>
        <w:ind w:left="3223" w:hanging="420"/>
      </w:pPr>
      <w:rPr>
        <w:rFonts w:hint="default"/>
      </w:rPr>
    </w:lvl>
    <w:lvl w:ilvl="4">
      <w:start w:val="0"/>
      <w:numFmt w:val="bullet"/>
      <w:lvlText w:val="•"/>
      <w:lvlJc w:val="left"/>
      <w:pPr>
        <w:ind w:left="3657" w:hanging="420"/>
      </w:pPr>
      <w:rPr>
        <w:rFonts w:hint="default"/>
      </w:rPr>
    </w:lvl>
    <w:lvl w:ilvl="5">
      <w:start w:val="0"/>
      <w:numFmt w:val="bullet"/>
      <w:lvlText w:val="•"/>
      <w:lvlJc w:val="left"/>
      <w:pPr>
        <w:ind w:left="4092" w:hanging="420"/>
      </w:pPr>
      <w:rPr>
        <w:rFonts w:hint="default"/>
      </w:rPr>
    </w:lvl>
    <w:lvl w:ilvl="6">
      <w:start w:val="0"/>
      <w:numFmt w:val="bullet"/>
      <w:lvlText w:val="•"/>
      <w:lvlJc w:val="left"/>
      <w:pPr>
        <w:ind w:left="4526" w:hanging="420"/>
      </w:pPr>
      <w:rPr>
        <w:rFonts w:hint="default"/>
      </w:rPr>
    </w:lvl>
    <w:lvl w:ilvl="7">
      <w:start w:val="0"/>
      <w:numFmt w:val="bullet"/>
      <w:lvlText w:val="•"/>
      <w:lvlJc w:val="left"/>
      <w:pPr>
        <w:ind w:left="4961" w:hanging="420"/>
      </w:pPr>
      <w:rPr>
        <w:rFonts w:hint="default"/>
      </w:rPr>
    </w:lvl>
    <w:lvl w:ilvl="8">
      <w:start w:val="0"/>
      <w:numFmt w:val="bullet"/>
      <w:lvlText w:val="•"/>
      <w:lvlJc w:val="left"/>
      <w:pPr>
        <w:ind w:left="5395" w:hanging="420"/>
      </w:pPr>
      <w:rPr>
        <w:rFonts w:hint="default"/>
      </w:rPr>
    </w:lvl>
  </w:abstractNum>
  <w:abstractNum w:abstractNumId="3">
    <w:multiLevelType w:val="hybridMultilevel"/>
    <w:lvl w:ilvl="0">
      <w:start w:val="3"/>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2">
    <w:multiLevelType w:val="hybridMultilevel"/>
    <w:lvl w:ilvl="0">
      <w:start w:val="2"/>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1">
    <w:multiLevelType w:val="hybridMultilevel"/>
    <w:lvl w:ilvl="0">
      <w:start w:val="1"/>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82" w:hanging="420"/>
      </w:pPr>
      <w:rPr>
        <w:rFonts w:hint="default"/>
      </w:rPr>
    </w:lvl>
    <w:lvl w:ilvl="2">
      <w:start w:val="0"/>
      <w:numFmt w:val="bullet"/>
      <w:lvlText w:val="•"/>
      <w:lvlJc w:val="left"/>
      <w:pPr>
        <w:ind w:left="3504" w:hanging="420"/>
      </w:pPr>
      <w:rPr>
        <w:rFonts w:hint="default"/>
      </w:rPr>
    </w:lvl>
    <w:lvl w:ilvl="3">
      <w:start w:val="0"/>
      <w:numFmt w:val="bullet"/>
      <w:lvlText w:val="•"/>
      <w:lvlJc w:val="left"/>
      <w:pPr>
        <w:ind w:left="4427" w:hanging="420"/>
      </w:pPr>
      <w:rPr>
        <w:rFonts w:hint="default"/>
      </w:rPr>
    </w:lvl>
    <w:lvl w:ilvl="4">
      <w:start w:val="0"/>
      <w:numFmt w:val="bullet"/>
      <w:lvlText w:val="•"/>
      <w:lvlJc w:val="left"/>
      <w:pPr>
        <w:ind w:left="5349" w:hanging="420"/>
      </w:pPr>
      <w:rPr>
        <w:rFonts w:hint="default"/>
      </w:rPr>
    </w:lvl>
    <w:lvl w:ilvl="5">
      <w:start w:val="0"/>
      <w:numFmt w:val="bullet"/>
      <w:lvlText w:val="•"/>
      <w:lvlJc w:val="left"/>
      <w:pPr>
        <w:ind w:left="6272" w:hanging="420"/>
      </w:pPr>
      <w:rPr>
        <w:rFonts w:hint="default"/>
      </w:rPr>
    </w:lvl>
    <w:lvl w:ilvl="6">
      <w:start w:val="0"/>
      <w:numFmt w:val="bullet"/>
      <w:lvlText w:val="•"/>
      <w:lvlJc w:val="left"/>
      <w:pPr>
        <w:ind w:left="7194" w:hanging="420"/>
      </w:pPr>
      <w:rPr>
        <w:rFonts w:hint="default"/>
      </w:rPr>
    </w:lvl>
    <w:lvl w:ilvl="7">
      <w:start w:val="0"/>
      <w:numFmt w:val="bullet"/>
      <w:lvlText w:val="•"/>
      <w:lvlJc w:val="left"/>
      <w:pPr>
        <w:ind w:left="8117" w:hanging="420"/>
      </w:pPr>
      <w:rPr>
        <w:rFonts w:hint="default"/>
      </w:rPr>
    </w:lvl>
    <w:lvl w:ilvl="8">
      <w:start w:val="0"/>
      <w:numFmt w:val="bullet"/>
      <w:lvlText w:val="•"/>
      <w:lvlJc w:val="left"/>
      <w:pPr>
        <w:ind w:left="9039"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238"/>
      <w:outlineLvl w:val="1"/>
    </w:pPr>
    <w:rPr>
      <w:rFonts w:ascii="宋体" w:hAnsi="宋体" w:eastAsia="宋体" w:cs="宋体"/>
      <w:b/>
      <w:bCs/>
      <w:sz w:val="44"/>
      <w:szCs w:val="44"/>
    </w:rPr>
  </w:style>
  <w:style w:styleId="Heading2" w:type="paragraph">
    <w:name w:val="Heading 2"/>
    <w:basedOn w:val="Normal"/>
    <w:uiPriority w:val="1"/>
    <w:qFormat/>
    <w:pPr>
      <w:spacing w:before="45"/>
      <w:ind w:left="91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1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&lt;4D6963726F736F667420576F7264202D20323031325F303134BBAACFC4B8BDBCD3F6CE87D6C4EAC4EACCE1C7B0B8F8B8B6D6D8B4F3BCB2B2A1B1A3CFD5CCF5BFEE&gt;</dc:title>
  <dcterms:created xsi:type="dcterms:W3CDTF">2018-10-20T00:05:38Z</dcterms:created>
  <dcterms:modified xsi:type="dcterms:W3CDTF">2018-10-20T00:05:38Z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