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511392" cy="50292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11392" cy="502920"/>
                    </a:xfrm>
                    <a:prstGeom prst="rect">
                      <a:avLst/>
                    </a:prstGeom>
                  </pic:spPr>
                </pic:pic>
              </a:graphicData>
            </a:graphic>
          </wp:inline>
        </w:drawing>
      </w:r>
      <w:r>
        <w:rPr>
          <w:rFonts w:ascii="Times New Roman"/>
          <w:sz w:val="20"/>
        </w:rPr>
      </w:r>
    </w:p>
    <w:p>
      <w:pPr>
        <w:pStyle w:val="BodyText"/>
        <w:spacing w:before="5"/>
        <w:rPr>
          <w:rFonts w:ascii="Times New Roman"/>
          <w:sz w:val="15"/>
        </w:rPr>
      </w:pPr>
      <w:r>
        <w:rPr/>
        <w:drawing>
          <wp:anchor distT="0" distB="0" distL="0" distR="0" allowOverlap="1" layoutInCell="1" locked="0" behindDoc="0" simplePos="0" relativeHeight="0">
            <wp:simplePos x="0" y="0"/>
            <wp:positionH relativeFrom="page">
              <wp:posOffset>2700654</wp:posOffset>
            </wp:positionH>
            <wp:positionV relativeFrom="paragraph">
              <wp:posOffset>137668</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2820" w:right="0" w:firstLine="0"/>
        <w:jc w:val="center"/>
        <w:rPr>
          <w:b/>
          <w:sz w:val="30"/>
        </w:rPr>
      </w:pPr>
      <w:r>
        <w:rPr>
          <w:b/>
          <w:sz w:val="30"/>
        </w:rPr>
        <w:t>太平附加幸福成长少儿重大疾病保险条款</w:t>
      </w:r>
    </w:p>
    <w:p>
      <w:pPr>
        <w:pStyle w:val="BodyText"/>
        <w:rPr>
          <w:b/>
          <w:sz w:val="30"/>
        </w:rPr>
      </w:pPr>
    </w:p>
    <w:p>
      <w:pPr>
        <w:pStyle w:val="BodyText"/>
        <w:spacing w:before="3"/>
        <w:rPr>
          <w:b/>
          <w:sz w:val="24"/>
        </w:rPr>
      </w:pPr>
    </w:p>
    <w:p>
      <w:pPr>
        <w:spacing w:before="1"/>
        <w:ind w:left="2816" w:right="0" w:firstLine="0"/>
        <w:jc w:val="center"/>
        <w:rPr>
          <w:b/>
          <w:sz w:val="28"/>
        </w:rPr>
      </w:pPr>
      <w:r>
        <w:rPr>
          <w:b/>
          <w:sz w:val="28"/>
        </w:rPr>
        <w:t>特别提示</w:t>
      </w:r>
    </w:p>
    <w:p>
      <w:pPr>
        <w:spacing w:before="29"/>
        <w:ind w:left="73" w:right="64" w:firstLine="0"/>
        <w:jc w:val="center"/>
        <w:rPr>
          <w:sz w:val="18"/>
        </w:rPr>
      </w:pPr>
      <w:r>
        <w:rPr/>
        <w:br w:type="column"/>
      </w:r>
      <w:r>
        <w:rPr>
          <w:sz w:val="18"/>
        </w:rPr>
        <w:t>太平人寿</w:t>
      </w:r>
      <w:r>
        <w:rPr>
          <w:rFonts w:ascii="Times New Roman" w:eastAsia="Times New Roman"/>
          <w:sz w:val="18"/>
        </w:rPr>
        <w:t>[2014]</w:t>
      </w:r>
      <w:r>
        <w:rPr>
          <w:sz w:val="18"/>
        </w:rPr>
        <w:t>疾病保险 </w:t>
      </w:r>
      <w:r>
        <w:rPr>
          <w:rFonts w:ascii="Times New Roman" w:eastAsia="Times New Roman"/>
          <w:sz w:val="18"/>
        </w:rPr>
        <w:t>029 </w:t>
      </w:r>
      <w:r>
        <w:rPr>
          <w:sz w:val="18"/>
        </w:rPr>
        <w:t>号</w:t>
      </w:r>
    </w:p>
    <w:p>
      <w:pPr>
        <w:pStyle w:val="BodyText"/>
        <w:spacing w:before="1"/>
        <w:rPr>
          <w:sz w:val="3"/>
        </w:rPr>
      </w:pPr>
    </w:p>
    <w:p>
      <w:pPr>
        <w:pStyle w:val="BodyText"/>
        <w:ind w:left="796"/>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40"/>
        <w:ind w:left="73" w:right="47" w:firstLine="0"/>
        <w:jc w:val="center"/>
        <w:rPr>
          <w:sz w:val="18"/>
        </w:rPr>
      </w:pPr>
      <w:r>
        <w:rPr>
          <w:sz w:val="18"/>
        </w:rPr>
        <w:t>请扫描以查询验证条款</w:t>
      </w:r>
    </w:p>
    <w:p>
      <w:pPr>
        <w:spacing w:after="0"/>
        <w:jc w:val="center"/>
        <w:rPr>
          <w:sz w:val="18"/>
        </w:rPr>
        <w:sectPr>
          <w:type w:val="continuous"/>
          <w:pgSz w:w="11910" w:h="16160"/>
          <w:pgMar w:top="560" w:bottom="280" w:left="500" w:right="220"/>
          <w:cols w:num="2" w:equalWidth="0">
            <w:col w:w="8246" w:space="262"/>
            <w:col w:w="2682"/>
          </w:cols>
        </w:sectPr>
      </w:pPr>
    </w:p>
    <w:p>
      <w:pPr>
        <w:pStyle w:val="BodyText"/>
        <w:rPr>
          <w:sz w:val="20"/>
        </w:rPr>
      </w:pPr>
    </w:p>
    <w:p>
      <w:pPr>
        <w:pStyle w:val="BodyText"/>
        <w:rPr>
          <w:sz w:val="20"/>
        </w:rPr>
      </w:pPr>
    </w:p>
    <w:p>
      <w:pPr>
        <w:pStyle w:val="BodyText"/>
        <w:spacing w:before="1"/>
        <w:rPr>
          <w:sz w:val="16"/>
        </w:rPr>
      </w:pPr>
    </w:p>
    <w:p>
      <w:pPr>
        <w:spacing w:before="26"/>
        <w:ind w:left="1058" w:right="0" w:firstLine="0"/>
        <w:jc w:val="left"/>
        <w:rPr>
          <w:sz w:val="24"/>
        </w:rPr>
      </w:pPr>
      <w:r>
        <w:rPr>
          <w:sz w:val="24"/>
        </w:rPr>
        <w:t>感谢您选择了太平人寿保险有限公司。</w:t>
      </w:r>
    </w:p>
    <w:p>
      <w:pPr>
        <w:spacing w:line="549" w:lineRule="auto" w:before="46"/>
        <w:ind w:left="1060" w:right="24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76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1"/>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第二十一条</w:t>
      </w:r>
    </w:p>
    <w:p>
      <w:pPr>
        <w:pStyle w:val="BodyText"/>
        <w:rPr>
          <w:b/>
          <w:sz w:val="26"/>
        </w:rPr>
      </w:pPr>
    </w:p>
    <w:p>
      <w:pPr>
        <w:pStyle w:val="BodyText"/>
        <w:spacing w:before="8"/>
        <w:rPr>
          <w:b/>
          <w:sz w:val="29"/>
        </w:rPr>
      </w:pPr>
    </w:p>
    <w:p>
      <w:pPr>
        <w:spacing w:line="276" w:lineRule="auto" w:before="0"/>
        <w:ind w:left="1058" w:right="5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BodyText"/>
        <w:spacing w:before="43"/>
        <w:ind w:left="4833" w:right="4952"/>
        <w:jc w:val="center"/>
      </w:pPr>
      <w:r>
        <w:rPr/>
        <w:t>第</w:t>
      </w:r>
      <w:r>
        <w:rPr>
          <w:rFonts w:ascii="Times New Roman" w:eastAsia="Times New Roman"/>
        </w:rPr>
        <w:t>1</w:t>
      </w:r>
      <w:r>
        <w:rPr/>
        <w:t>页，共</w:t>
      </w:r>
      <w:r>
        <w:rPr>
          <w:rFonts w:ascii="Times New Roman" w:eastAsia="Times New Roman"/>
        </w:rPr>
        <w:t>13</w:t>
      </w:r>
      <w:r>
        <w:rPr/>
        <w:t>页</w:t>
      </w:r>
    </w:p>
    <w:p>
      <w:pPr>
        <w:spacing w:after="0"/>
        <w:jc w:val="center"/>
        <w:sectPr>
          <w:type w:val="continuous"/>
          <w:pgSz w:w="11910" w:h="16160"/>
          <w:pgMar w:top="560" w:bottom="280" w:left="500" w:right="220"/>
        </w:sectPr>
      </w:pPr>
    </w:p>
    <w:p>
      <w:pPr>
        <w:tabs>
          <w:tab w:pos="858" w:val="left" w:leader="none"/>
        </w:tabs>
        <w:spacing w:before="8"/>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spacing w:before="42"/>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2">
            <w:r>
              <w:rPr/>
              <w:t>第十条</w:t>
              <w:tab/>
              <w:t>宽限期</w:t>
              <w:tab/>
            </w:r>
            <w:r>
              <w:rPr>
                <w:rFonts w:ascii="Times New Roman" w:eastAsia="Times New Roman"/>
              </w:rPr>
              <w:t>5</w:t>
            </w:r>
          </w:hyperlink>
        </w:p>
        <w:p>
          <w:pPr>
            <w:pStyle w:val="TOC1"/>
            <w:tabs>
              <w:tab w:pos="1377" w:val="left" w:leader="none"/>
              <w:tab w:pos="10015" w:val="right" w:leader="dot"/>
            </w:tabs>
            <w:spacing w:before="42"/>
            <w:rPr>
              <w:rFonts w:ascii="Times New Roman" w:eastAsia="Times New Roman"/>
            </w:rPr>
          </w:pPr>
          <w:hyperlink w:history="true" w:anchor="_bookmark13">
            <w:r>
              <w:rPr/>
              <w:t>第四部分</w:t>
              <w:tab/>
              <w:t>如何申请保险金</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742" w:val="left" w:leader="none"/>
              <w:tab w:pos="10013" w:val="right" w:leader="dot"/>
            </w:tabs>
            <w:spacing w:before="63"/>
            <w:rPr>
              <w:rFonts w:ascii="Times New Roman" w:eastAsia="Times New Roman"/>
            </w:rPr>
          </w:pPr>
          <w:hyperlink w:history="true" w:anchor="_bookmark15">
            <w:r>
              <w:rPr/>
              <w:t>第十二条</w:t>
              <w:tab/>
              <w:t>保险事故通知</w:t>
              <w:tab/>
            </w:r>
            <w:r>
              <w:rPr>
                <w:rFonts w:ascii="Times New Roman" w:eastAsia="Times New Roman"/>
              </w:rPr>
              <w:t>6</w:t>
            </w:r>
          </w:hyperlink>
        </w:p>
        <w:p>
          <w:pPr>
            <w:pStyle w:val="TOC2"/>
            <w:tabs>
              <w:tab w:pos="1742" w:val="left" w:leader="none"/>
              <w:tab w:pos="10013" w:val="right" w:leader="dot"/>
            </w:tabs>
            <w:spacing w:before="63"/>
            <w:rPr>
              <w:rFonts w:ascii="Times New Roman" w:eastAsia="Times New Roman"/>
            </w:rPr>
          </w:pPr>
          <w:hyperlink w:history="true" w:anchor="_bookmark16">
            <w:r>
              <w:rPr/>
              <w:t>第十三条</w:t>
              <w:tab/>
              <w:t>诉讼时效</w:t>
              <w:tab/>
            </w:r>
            <w:r>
              <w:rPr>
                <w:rFonts w:ascii="Times New Roman" w:eastAsia="Times New Roman"/>
              </w:rPr>
              <w:t>6</w:t>
            </w:r>
          </w:hyperlink>
        </w:p>
        <w:p>
          <w:pPr>
            <w:pStyle w:val="TOC2"/>
            <w:tabs>
              <w:tab w:pos="1742" w:val="left" w:leader="none"/>
              <w:tab w:pos="10013" w:val="right" w:leader="dot"/>
            </w:tabs>
            <w:spacing w:before="63"/>
            <w:rPr>
              <w:rFonts w:ascii="Times New Roman" w:eastAsia="Times New Roman"/>
            </w:rPr>
          </w:pPr>
          <w:hyperlink w:history="true" w:anchor="_bookmark17">
            <w:r>
              <w:rPr/>
              <w:t>第十四条</w:t>
              <w:tab/>
              <w:t>保险金及豁免保险费申请</w:t>
              <w:tab/>
            </w:r>
            <w:r>
              <w:rPr>
                <w:rFonts w:ascii="Times New Roman" w:eastAsia="Times New Roman"/>
              </w:rPr>
              <w:t>6</w:t>
            </w:r>
          </w:hyperlink>
        </w:p>
        <w:p>
          <w:pPr>
            <w:pStyle w:val="TOC2"/>
            <w:tabs>
              <w:tab w:pos="1742" w:val="left" w:leader="none"/>
              <w:tab w:pos="10013" w:val="right" w:leader="dot"/>
            </w:tabs>
            <w:spacing w:before="63"/>
            <w:rPr>
              <w:rFonts w:ascii="Times New Roman" w:eastAsia="Times New Roman"/>
            </w:rPr>
          </w:pPr>
          <w:hyperlink w:history="true" w:anchor="_bookmark18">
            <w:r>
              <w:rPr/>
              <w:t>第十五条</w:t>
              <w:tab/>
              <w:t>保险金给付</w:t>
              <w:tab/>
            </w:r>
            <w:r>
              <w:rPr>
                <w:rFonts w:ascii="Times New Roman" w:eastAsia="Times New Roman"/>
              </w:rPr>
              <w:t>7</w:t>
            </w:r>
          </w:hyperlink>
        </w:p>
        <w:p>
          <w:pPr>
            <w:pStyle w:val="TOC2"/>
            <w:tabs>
              <w:tab w:pos="1742" w:val="left" w:leader="none"/>
              <w:tab w:pos="10013" w:val="right" w:leader="dot"/>
            </w:tabs>
            <w:spacing w:before="63"/>
            <w:rPr>
              <w:rFonts w:ascii="Times New Roman" w:eastAsia="Times New Roman"/>
            </w:rPr>
          </w:pPr>
          <w:hyperlink w:history="true" w:anchor="_bookmark19">
            <w:r>
              <w:rPr/>
              <w:t>第十六条</w:t>
              <w:tab/>
              <w:t>司法鉴定</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20">
            <w:r>
              <w:rPr/>
              <w:t>第十七条</w:t>
              <w:tab/>
              <w:t>失踪处理</w:t>
              <w:tab/>
            </w:r>
            <w:r>
              <w:rPr>
                <w:rFonts w:ascii="Times New Roman" w:eastAsia="Times New Roman"/>
              </w:rPr>
              <w:t>7</w:t>
            </w:r>
          </w:hyperlink>
        </w:p>
        <w:p>
          <w:pPr>
            <w:pStyle w:val="TOC1"/>
            <w:tabs>
              <w:tab w:pos="1377" w:val="left" w:leader="none"/>
              <w:tab w:pos="10015" w:val="right" w:leader="dot"/>
            </w:tabs>
            <w:rPr>
              <w:rFonts w:ascii="Times New Roman" w:eastAsia="Times New Roman"/>
            </w:rPr>
          </w:pPr>
          <w:hyperlink w:history="true" w:anchor="_bookmark21">
            <w:r>
              <w:rPr/>
              <w:t>第五部分</w:t>
              <w:tab/>
              <w:t>您还享有哪些权益</w:t>
              <w:tab/>
            </w:r>
            <w:r>
              <w:rPr>
                <w:rFonts w:ascii="Times New Roman" w:eastAsia="Times New Roman"/>
              </w:rPr>
              <w:t>8</w:t>
            </w:r>
          </w:hyperlink>
        </w:p>
        <w:p>
          <w:pPr>
            <w:pStyle w:val="TOC2"/>
            <w:tabs>
              <w:tab w:pos="1742" w:val="left" w:leader="none"/>
              <w:tab w:pos="10013" w:val="right" w:leader="dot"/>
            </w:tabs>
            <w:spacing w:before="41"/>
            <w:rPr>
              <w:rFonts w:ascii="Times New Roman" w:eastAsia="Times New Roman"/>
            </w:rPr>
          </w:pPr>
          <w:hyperlink w:history="true" w:anchor="_bookmark22">
            <w:r>
              <w:rPr/>
              <w:t>第十八条</w:t>
              <w:tab/>
              <w:t>合同内容的变更权</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3">
            <w:r>
              <w:rPr/>
              <w:t>第十九条</w:t>
              <w:tab/>
              <w:t>合同效力的中止与恢复</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4">
            <w:r>
              <w:rPr/>
              <w:t>第二十条</w:t>
              <w:tab/>
              <w:t>犹豫期</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5">
            <w:r>
              <w:rPr/>
              <w:t>第二十一条</w:t>
              <w:tab/>
              <w:t>您解除合同的手续及风险</w:t>
              <w:tab/>
            </w:r>
            <w:r>
              <w:rPr>
                <w:rFonts w:ascii="Times New Roman" w:eastAsia="Times New Roman"/>
              </w:rPr>
              <w:t>8</w:t>
            </w:r>
          </w:hyperlink>
        </w:p>
        <w:p>
          <w:pPr>
            <w:pStyle w:val="TOC1"/>
            <w:tabs>
              <w:tab w:pos="1377" w:val="left" w:leader="none"/>
              <w:tab w:pos="10015" w:val="right" w:leader="dot"/>
            </w:tabs>
            <w:rPr>
              <w:rFonts w:ascii="Times New Roman" w:eastAsia="Times New Roman"/>
            </w:rPr>
          </w:pPr>
          <w:hyperlink w:history="true" w:anchor="_bookmark26">
            <w:r>
              <w:rPr/>
              <w:t>第六部分</w:t>
              <w:tab/>
              <w:t>您必须了解的其他</w:t>
            </w:r>
            <w:r>
              <w:rPr>
                <w:spacing w:val="-3"/>
              </w:rPr>
              <w:t>事</w:t>
            </w:r>
            <w:r>
              <w:rPr/>
              <w:t>项</w:t>
              <w:tab/>
            </w:r>
            <w:r>
              <w:rPr>
                <w:rFonts w:ascii="Times New Roman" w:eastAsia="Times New Roman"/>
              </w:rPr>
              <w:t>8</w:t>
            </w:r>
          </w:hyperlink>
        </w:p>
        <w:p>
          <w:pPr>
            <w:pStyle w:val="TOC2"/>
            <w:tabs>
              <w:tab w:pos="1742" w:val="left" w:leader="none"/>
              <w:tab w:pos="10013" w:val="right" w:leader="dot"/>
            </w:tabs>
            <w:spacing w:before="41"/>
            <w:rPr>
              <w:rFonts w:ascii="Times New Roman" w:eastAsia="Times New Roman"/>
            </w:rPr>
          </w:pPr>
          <w:hyperlink w:history="true" w:anchor="_bookmark27">
            <w:r>
              <w:rPr/>
              <w:t>第二十二条</w:t>
              <w:tab/>
              <w:t>明确说明与如实告知</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8">
            <w:r>
              <w:rPr/>
              <w:t>第二十三条</w:t>
              <w:tab/>
              <w:t>我们合同解除权的限制</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29">
            <w:r>
              <w:rPr/>
              <w:t>第二十四条</w:t>
              <w:tab/>
              <w:t>年龄错误</w:t>
              <w:tab/>
            </w:r>
            <w:r>
              <w:rPr>
                <w:rFonts w:ascii="Times New Roman" w:eastAsia="Times New Roman"/>
              </w:rPr>
              <w:t>9</w:t>
            </w:r>
          </w:hyperlink>
        </w:p>
        <w:p>
          <w:pPr>
            <w:pStyle w:val="TOC2"/>
            <w:tabs>
              <w:tab w:pos="1742" w:val="left" w:leader="none"/>
              <w:tab w:pos="10013" w:val="right" w:leader="dot"/>
            </w:tabs>
            <w:spacing w:before="63"/>
            <w:rPr>
              <w:rFonts w:ascii="Times New Roman" w:eastAsia="Times New Roman"/>
            </w:rPr>
          </w:pPr>
          <w:hyperlink w:history="true" w:anchor="_bookmark30">
            <w:r>
              <w:rPr/>
              <w:t>第二十五条</w:t>
              <w:tab/>
              <w:t>性别错误</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1">
            <w:r>
              <w:rPr/>
              <w:t>第二十六条</w:t>
              <w:tab/>
              <w:t>未还款项</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2">
            <w:r>
              <w:rPr/>
              <w:t>第二十七条</w:t>
              <w:tab/>
              <w:t>保险合同的终止</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3">
            <w:r>
              <w:rPr/>
              <w:t>第二十八条</w:t>
              <w:tab/>
              <w:t>联系方式的变更</w:t>
              <w:tab/>
            </w:r>
            <w:r>
              <w:rPr>
                <w:rFonts w:ascii="Times New Roman" w:eastAsia="Times New Roman"/>
              </w:rPr>
              <w:t>9</w:t>
            </w:r>
          </w:hyperlink>
        </w:p>
        <w:p>
          <w:pPr>
            <w:pStyle w:val="TOC2"/>
            <w:tabs>
              <w:tab w:pos="1742" w:val="left" w:leader="none"/>
              <w:tab w:pos="10017" w:val="right" w:leader="dot"/>
            </w:tabs>
            <w:rPr>
              <w:rFonts w:ascii="Times New Roman" w:eastAsia="Times New Roman"/>
            </w:rPr>
          </w:pPr>
          <w:hyperlink w:history="true" w:anchor="_bookmark34">
            <w:r>
              <w:rPr/>
              <w:t>第二十九条</w:t>
              <w:tab/>
              <w:t>争议处理</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5">
            <w:r>
              <w:rPr/>
              <w:t>第三十条</w:t>
              <w:tab/>
              <w:t>少儿重大疾病的种类及定义</w:t>
              <w:tab/>
            </w:r>
            <w:r>
              <w:rPr>
                <w:rFonts w:ascii="Times New Roman" w:eastAsia="Times New Roman"/>
              </w:rPr>
              <w:t>10</w:t>
            </w:r>
          </w:hyperlink>
        </w:p>
        <w:p>
          <w:pPr>
            <w:pStyle w:val="TOC1"/>
            <w:tabs>
              <w:tab w:pos="1377" w:val="left" w:leader="none"/>
              <w:tab w:pos="10015" w:val="right" w:leader="dot"/>
            </w:tabs>
            <w:rPr>
              <w:rFonts w:ascii="Times New Roman" w:eastAsia="Times New Roman"/>
            </w:rPr>
          </w:pPr>
          <w:hyperlink w:history="true" w:anchor="_bookmark36">
            <w:r>
              <w:rPr/>
              <w:t>附表一：</w:t>
              <w:tab/>
              <w:t>本附加合同所指的</w:t>
            </w:r>
            <w:r>
              <w:rPr>
                <w:spacing w:val="-3"/>
              </w:rPr>
              <w:t>全</w:t>
            </w:r>
            <w:r>
              <w:rPr/>
              <w:t>残</w:t>
            </w:r>
            <w:r>
              <w:rPr>
                <w:spacing w:val="-3"/>
              </w:rPr>
              <w:t>状</w:t>
            </w:r>
            <w:r>
              <w:rPr/>
              <w:t>态</w:t>
              <w:tab/>
            </w:r>
            <w:r>
              <w:rPr>
                <w:rFonts w:ascii="Times New Roman" w:eastAsia="Times New Roman"/>
              </w:rPr>
              <w:t>13</w:t>
            </w:r>
          </w:hyperlink>
        </w:p>
      </w:sdtContent>
    </w:sdt>
    <w:p>
      <w:pPr>
        <w:spacing w:after="0"/>
        <w:rPr>
          <w:rFonts w:ascii="Times New Roman" w:eastAsia="Times New Roman"/>
        </w:rPr>
        <w:sectPr>
          <w:footerReference w:type="default" r:id="rId8"/>
          <w:pgSz w:w="11910" w:h="16160"/>
          <w:pgMar w:footer="686" w:header="0" w:top="1380" w:bottom="88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117" w:firstLine="420"/>
      </w:pPr>
      <w:r>
        <w:rPr>
          <w:spacing w:val="-3"/>
        </w:rPr>
        <w:t>本附加合同依您的申请，可附加于我们提供的主合同《太平幸福成长教育金两全保险</w:t>
      </w:r>
      <w:r>
        <w:rPr/>
        <w:t>（</w:t>
      </w:r>
      <w:r>
        <w:rPr>
          <w:spacing w:val="-1"/>
        </w:rPr>
        <w:t>分红型</w:t>
      </w:r>
      <w:r>
        <w:rPr>
          <w:spacing w:val="-106"/>
        </w:rPr>
        <w:t>）</w:t>
      </w:r>
      <w:r>
        <w:rPr>
          <w:spacing w:val="-104"/>
        </w:rPr>
        <w:t>》</w:t>
      </w:r>
      <w:r>
        <w:rPr/>
        <w:t>（</w:t>
      </w:r>
      <w:r>
        <w:rPr>
          <w:spacing w:val="-2"/>
        </w:rPr>
        <w:t>以下</w:t>
      </w:r>
      <w:r>
        <w:rPr>
          <w:spacing w:val="-18"/>
          <w:w w:val="100"/>
        </w:rPr>
        <w:t>简称“主合同”</w:t>
      </w:r>
      <w:r>
        <w:rPr>
          <w:w w:val="100"/>
        </w:rPr>
        <w:t>）</w:t>
      </w:r>
      <w:r>
        <w:rPr>
          <w:spacing w:val="-3"/>
          <w:w w:val="100"/>
        </w:rPr>
        <w:t>之上，经我们审核同意，并在保险单或批注中列明后生效。</w:t>
      </w:r>
    </w:p>
    <w:p>
      <w:pPr>
        <w:pStyle w:val="BodyText"/>
        <w:spacing w:line="273" w:lineRule="auto" w:before="7"/>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15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line="256" w:lineRule="auto" w:before="37"/>
        <w:ind w:left="117" w:right="114" w:firstLine="420"/>
      </w:pPr>
      <w:r>
        <w:rPr/>
        <w:t>本附加合同的保险期间自本附加合同生效日零时起至被保险人年满 </w:t>
      </w:r>
      <w:r>
        <w:rPr>
          <w:rFonts w:ascii="Times New Roman" w:eastAsia="Times New Roman"/>
        </w:rPr>
        <w:t>25 </w:t>
      </w:r>
      <w:r>
        <w:rPr/>
        <w:t>周岁后的首个</w:t>
      </w:r>
      <w:r>
        <w:rPr>
          <w:b/>
        </w:rPr>
        <w:t>保险单周年日</w:t>
      </w:r>
      <w:r>
        <w:rPr>
          <w:rFonts w:ascii="Times New Roman" w:eastAsia="Times New Roman"/>
          <w:b/>
          <w:vertAlign w:val="superscript"/>
        </w:rPr>
        <w:t>4</w:t>
      </w:r>
      <w:r>
        <w:rPr>
          <w:rFonts w:ascii="Times New Roman" w:eastAsia="Times New Roman"/>
          <w:b/>
          <w:vertAlign w:val="baseline"/>
        </w:rPr>
      </w:r>
      <w:r>
        <w:rPr>
          <w:vertAlign w:val="baseline"/>
        </w:rPr>
        <w:t>零时止，并在保险单上载明。</w:t>
      </w:r>
    </w:p>
    <w:p>
      <w:pPr>
        <w:pStyle w:val="BodyText"/>
        <w:spacing w:before="5"/>
        <w:rPr>
          <w:sz w:val="23"/>
        </w:rPr>
      </w:pPr>
    </w:p>
    <w:p>
      <w:pPr>
        <w:pStyle w:val="Heading1"/>
        <w:tabs>
          <w:tab w:pos="1418" w:val="left" w:leader="none"/>
        </w:tabs>
        <w:ind w:right="2"/>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line="273" w:lineRule="auto" w:before="36"/>
        <w:ind w:left="117" w:right="120" w:firstLine="420"/>
      </w:pPr>
      <w:r>
        <w:rPr/>
        <w:t>本附加合同的基本保险金额由您和我们约定，并在保险单或批注上列明。如果该金额发生变更，则以变更后的金额为基本保险金额。</w:t>
      </w:r>
    </w:p>
    <w:p>
      <w:pPr>
        <w:pStyle w:val="BodyText"/>
        <w:spacing w:before="5"/>
        <w:rPr>
          <w:sz w:val="24"/>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left="117" w:right="117" w:firstLine="420"/>
      </w:pPr>
      <w:r>
        <w:rPr>
          <w:spacing w:val="-3"/>
        </w:rPr>
        <w:t>自本附加合同</w:t>
      </w:r>
      <w:r>
        <w:rPr>
          <w:b/>
        </w:rPr>
        <w:t>申请日</w:t>
      </w:r>
      <w:r>
        <w:rPr>
          <w:rFonts w:ascii="Times New Roman" w:eastAsia="Times New Roman"/>
          <w:b/>
          <w:vertAlign w:val="superscript"/>
        </w:rPr>
        <w:t>5</w:t>
      </w:r>
      <w:r>
        <w:rPr>
          <w:rFonts w:ascii="Times New Roman" w:eastAsia="Times New Roman"/>
          <w:b/>
          <w:vertAlign w:val="baseline"/>
        </w:rPr>
      </w:r>
      <w:r>
        <w:rPr>
          <w:spacing w:val="-3"/>
          <w:vertAlign w:val="baseline"/>
        </w:rPr>
        <w:t>次日零时起</w:t>
      </w:r>
      <w:r>
        <w:rPr>
          <w:rFonts w:ascii="Times New Roman" w:eastAsia="Times New Roman"/>
          <w:vertAlign w:val="baseline"/>
        </w:rPr>
        <w:t>90</w:t>
      </w:r>
      <w:r>
        <w:rPr>
          <w:spacing w:val="-7"/>
          <w:vertAlign w:val="baseline"/>
        </w:rPr>
        <w:t>日为等待期。如果本附加合同曾一次或多次恢复效力，则自每次合同</w:t>
      </w:r>
      <w:r>
        <w:rPr>
          <w:spacing w:val="-3"/>
          <w:vertAlign w:val="baseline"/>
        </w:rPr>
        <w:t>效力恢复之日零时起</w:t>
      </w:r>
      <w:r>
        <w:rPr>
          <w:rFonts w:ascii="Times New Roman" w:eastAsia="Times New Roman"/>
          <w:vertAlign w:val="baseline"/>
        </w:rPr>
        <w:t>90</w:t>
      </w:r>
      <w:r>
        <w:rPr>
          <w:spacing w:val="-2"/>
          <w:vertAlign w:val="baseline"/>
        </w:rPr>
        <w:t>日均为等待期。</w:t>
      </w:r>
    </w:p>
    <w:p>
      <w:pPr>
        <w:pStyle w:val="BodyText"/>
        <w:spacing w:before="2"/>
        <w:rPr>
          <w:sz w:val="24"/>
        </w:rPr>
      </w:pPr>
    </w:p>
    <w:p>
      <w:pPr>
        <w:pStyle w:val="Heading2"/>
        <w:tabs>
          <w:tab w:pos="969" w:val="left" w:leader="none"/>
        </w:tabs>
        <w:spacing w:before="1"/>
      </w:pPr>
      <w:bookmarkStart w:name="_bookmark8" w:id="9"/>
      <w:bookmarkEnd w:id="9"/>
      <w:r>
        <w:rPr>
          <w:b w:val="0"/>
        </w:rPr>
      </w:r>
      <w:r>
        <w:rPr/>
        <w:t>第七条</w:t>
        <w:tab/>
        <w:t>保险责任</w:t>
      </w:r>
    </w:p>
    <w:p>
      <w:pPr>
        <w:pStyle w:val="BodyText"/>
        <w:spacing w:line="273" w:lineRule="auto" w:before="37"/>
        <w:ind w:left="538" w:right="989"/>
      </w:pPr>
      <w:r>
        <w:rPr/>
        <w:t>在本附加合同保险期间内且本附加合同有效，我们按照下列约定承担给付相应保险金的责任： 一、少儿重大疾病保险金</w:t>
      </w:r>
    </w:p>
    <w:p>
      <w:pPr>
        <w:pStyle w:val="ListParagraph"/>
        <w:numPr>
          <w:ilvl w:val="0"/>
          <w:numId w:val="2"/>
        </w:numPr>
        <w:tabs>
          <w:tab w:pos="805" w:val="left" w:leader="none"/>
        </w:tabs>
        <w:spacing w:line="240" w:lineRule="auto" w:before="8"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7</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8</w:t>
      </w:r>
      <w:r>
        <w:rPr>
          <w:rFonts w:ascii="Times New Roman" w:eastAsia="Times New Roman"/>
          <w:b/>
          <w:spacing w:val="2"/>
          <w:sz w:val="21"/>
          <w:vertAlign w:val="baseline"/>
        </w:rPr>
      </w:r>
      <w:r>
        <w:rPr>
          <w:spacing w:val="5"/>
          <w:sz w:val="21"/>
          <w:vertAlign w:val="baseline"/>
        </w:rPr>
        <w:t>确诊</w:t>
      </w:r>
    </w:p>
    <w:p>
      <w:pPr>
        <w:pStyle w:val="BodyText"/>
        <w:spacing w:before="12"/>
        <w:rPr>
          <w:sz w:val="28"/>
        </w:rPr>
      </w:pPr>
      <w:r>
        <w:rPr/>
        <w:pict>
          <v:line style="position:absolute;mso-position-horizontal-relative:page;mso-position-vertical-relative:paragraph;z-index:1072;mso-wrap-distance-left:0;mso-wrap-distance-right:0" from="53.880001pt,21.126635pt" to="197.930001pt,21.126635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指按照身份证、户口簿、护照、军人证等有效身份证件中记载的出生日期计算的年龄。</w:t>
      </w:r>
    </w:p>
    <w:p>
      <w:pPr>
        <w:pStyle w:val="BodyText"/>
        <w:spacing w:line="272"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ind w:left="117"/>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ind w:left="117"/>
        <w:rPr>
          <w:rFonts w:ascii="楷体" w:eastAsia="楷体" w:hint="eastAsia"/>
        </w:rPr>
      </w:pPr>
      <w:r>
        <w:rPr>
          <w:rFonts w:ascii="楷体" w:eastAsia="楷体" w:hint="eastAsia"/>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申请日：</w:t>
      </w:r>
      <w:r>
        <w:rPr>
          <w:rFonts w:ascii="楷体" w:eastAsia="楷体" w:hint="eastAsia"/>
          <w:sz w:val="21"/>
        </w:rPr>
        <w:t>指您向我们申请本附加合同时的申请日期。</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6</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3" w:lineRule="exact"/>
        <w:ind w:left="117"/>
        <w:rPr>
          <w:rFonts w:ascii="楷体" w:eastAsia="楷体" w:hint="eastAsia"/>
        </w:rPr>
      </w:pPr>
      <w:r>
        <w:rPr>
          <w:rFonts w:ascii="Times New Roman" w:eastAsia="Times New Roman"/>
          <w:position w:val="10"/>
          <w:sz w:val="14"/>
        </w:rPr>
        <w:t>7</w:t>
      </w:r>
      <w:r>
        <w:rPr>
          <w:rFonts w:ascii="楷体" w:eastAsia="楷体" w:hint="eastAsia"/>
          <w:b/>
        </w:rPr>
        <w:t>发病：</w:t>
      </w:r>
      <w:r>
        <w:rPr>
          <w:rFonts w:ascii="楷体" w:eastAsia="楷体" w:hint="eastAsia"/>
        </w:rPr>
        <w:t>指被保险人出现本附加合同所界定疾病的前兆或异常的身体状况，或已经显现足以使一般人士引起注</w:t>
      </w:r>
    </w:p>
    <w:p>
      <w:pPr>
        <w:spacing w:after="0" w:line="273" w:lineRule="exact"/>
        <w:rPr>
          <w:rFonts w:ascii="楷体" w:eastAsia="楷体" w:hint="eastAsia"/>
        </w:rPr>
        <w:sectPr>
          <w:pgSz w:w="11910" w:h="16160"/>
          <w:pgMar w:header="0" w:footer="686" w:top="1520" w:bottom="880" w:left="960" w:right="800"/>
        </w:sectPr>
      </w:pPr>
    </w:p>
    <w:p>
      <w:pPr>
        <w:pStyle w:val="BodyText"/>
        <w:spacing w:line="273" w:lineRule="auto" w:before="7"/>
        <w:ind w:left="117" w:right="217"/>
        <w:jc w:val="both"/>
      </w:pPr>
      <w:r>
        <w:rPr/>
        <w:t>初次患上一种或多种本附加合同第三十条所定义的少儿重大疾病，我们按本附加合同当时的基本保险金额给付少儿重大疾病保险金，同时本附加合同终止。</w:t>
      </w:r>
    </w:p>
    <w:p>
      <w:pPr>
        <w:pStyle w:val="ListParagraph"/>
        <w:numPr>
          <w:ilvl w:val="0"/>
          <w:numId w:val="2"/>
        </w:numPr>
        <w:tabs>
          <w:tab w:pos="807" w:val="left" w:leader="none"/>
        </w:tabs>
        <w:spacing w:line="264" w:lineRule="auto" w:before="7" w:after="0"/>
        <w:ind w:left="117" w:right="217" w:firstLine="421"/>
        <w:jc w:val="both"/>
        <w:rPr>
          <w:sz w:val="21"/>
        </w:rPr>
      </w:pPr>
      <w:r>
        <w:rPr>
          <w:sz w:val="21"/>
        </w:rPr>
        <w:t>如果被保险人因意外伤害事故以外的原因经医院确诊初次患上本附加合同第三十条所定义的少儿重</w:t>
      </w:r>
      <w:r>
        <w:rPr>
          <w:spacing w:val="-3"/>
          <w:sz w:val="21"/>
        </w:rPr>
        <w:t>大疾病，并且首次发病时间在等待期内，我们按本附加合同的实际已交纳保险费给付少儿重大疾病保险金， 同时本附加合同终止。</w:t>
      </w:r>
    </w:p>
    <w:p>
      <w:pPr>
        <w:pStyle w:val="BodyText"/>
        <w:spacing w:before="16"/>
        <w:ind w:left="552"/>
      </w:pPr>
      <w:r>
        <w:rPr/>
        <w:t>二、白血病额外给付保险金</w:t>
      </w:r>
    </w:p>
    <w:p>
      <w:pPr>
        <w:pStyle w:val="BodyText"/>
        <w:spacing w:line="273" w:lineRule="auto" w:before="37"/>
        <w:ind w:left="117" w:right="217" w:firstLine="420"/>
        <w:jc w:val="both"/>
      </w:pPr>
      <w:r>
        <w:rPr/>
        <w:t>如果被保险人因意外伤害事故或等待期后因意外伤害事故以外的原因导致首次发病并经医院确诊初次患上本附加合同第三十条所定义的白血病，我们在给付上述少儿重大疾病保险金的同时，按本附加合同当时的基本保险金额的 </w:t>
      </w:r>
      <w:r>
        <w:rPr>
          <w:rFonts w:ascii="Times New Roman" w:eastAsia="Times New Roman"/>
        </w:rPr>
        <w:t>30%</w:t>
      </w:r>
      <w:r>
        <w:rPr/>
        <w:t>给付白血病额外给付保险金，同时本附加合同终止。</w:t>
      </w:r>
    </w:p>
    <w:p>
      <w:pPr>
        <w:pStyle w:val="BodyText"/>
        <w:spacing w:line="264" w:lineRule="exact"/>
        <w:ind w:left="552"/>
      </w:pPr>
      <w:r>
        <w:rPr/>
        <w:t>三、身故保险金</w:t>
      </w:r>
    </w:p>
    <w:p>
      <w:pPr>
        <w:pStyle w:val="BodyText"/>
        <w:spacing w:line="273" w:lineRule="auto" w:before="37"/>
        <w:ind w:left="117" w:right="219" w:firstLine="420"/>
      </w:pPr>
      <w:r>
        <w:rPr/>
        <w:t>如果被保险人在本附加合同保险期间内身故，我们按被保险人身故时本附加合同的实际已交纳保险费给付身故保险金，同时本附加合同终止。</w:t>
      </w:r>
    </w:p>
    <w:p>
      <w:pPr>
        <w:pStyle w:val="BodyText"/>
        <w:spacing w:before="7"/>
        <w:ind w:left="538"/>
      </w:pPr>
      <w:r>
        <w:rPr/>
        <w:t>四、投保人身故豁免保险费</w:t>
      </w:r>
    </w:p>
    <w:p>
      <w:pPr>
        <w:pStyle w:val="BodyText"/>
        <w:spacing w:line="261" w:lineRule="auto" w:before="44"/>
        <w:ind w:left="117" w:right="217" w:firstLine="420"/>
      </w:pPr>
      <w:r>
        <w:rPr>
          <w:spacing w:val="-7"/>
        </w:rPr>
        <w:t>如果您在年满 </w:t>
      </w:r>
      <w:r>
        <w:rPr/>
        <w:t>55</w:t>
      </w:r>
      <w:r>
        <w:rPr>
          <w:spacing w:val="-11"/>
        </w:rPr>
        <w:t> 周岁前身故，我们将豁免您身故后至约定的交费期满之间您应该交纳的各期保险费，但</w:t>
      </w:r>
      <w:r>
        <w:rPr>
          <w:spacing w:val="-3"/>
        </w:rPr>
        <w:t>不包含您身故之日前所欠交的保险费及利息。</w:t>
      </w:r>
    </w:p>
    <w:p>
      <w:pPr>
        <w:pStyle w:val="BodyText"/>
        <w:spacing w:line="256" w:lineRule="auto" w:before="6"/>
        <w:ind w:left="538" w:right="4660"/>
      </w:pPr>
      <w:r>
        <w:rPr/>
        <w:t>在保险期间内变更投保人的，我们将不予豁免保险费。五、投保人全残豁免保险费</w:t>
      </w:r>
    </w:p>
    <w:p>
      <w:pPr>
        <w:pStyle w:val="BodyText"/>
        <w:spacing w:before="29"/>
        <w:ind w:left="538"/>
      </w:pPr>
      <w:r>
        <w:rPr>
          <w:spacing w:val="-2"/>
          <w:w w:val="100"/>
        </w:rPr>
        <w:t>如果您在年满</w:t>
      </w:r>
      <w:r>
        <w:rPr>
          <w:spacing w:val="-36"/>
        </w:rPr>
        <w:t> </w:t>
      </w:r>
      <w:r>
        <w:rPr>
          <w:w w:val="100"/>
        </w:rPr>
        <w:t>55</w:t>
      </w:r>
      <w:r>
        <w:rPr>
          <w:spacing w:val="-36"/>
        </w:rPr>
        <w:t> </w:t>
      </w:r>
      <w:r>
        <w:rPr>
          <w:spacing w:val="-3"/>
          <w:w w:val="100"/>
        </w:rPr>
        <w:t>周岁前因疾病导致本附加合同所指全残（详见附表一：本附加合同所指的全残状态</w:t>
      </w:r>
      <w:r>
        <w:rPr>
          <w:spacing w:val="-108"/>
          <w:w w:val="100"/>
        </w:rPr>
        <w:t>）</w:t>
      </w:r>
      <w:r>
        <w:rPr>
          <w:w w:val="100"/>
        </w:rPr>
        <w:t>，</w:t>
      </w:r>
    </w:p>
    <w:p>
      <w:pPr>
        <w:pStyle w:val="BodyText"/>
        <w:spacing w:line="254" w:lineRule="auto" w:before="24"/>
        <w:ind w:left="117" w:right="212"/>
        <w:jc w:val="both"/>
      </w:pPr>
      <w:r>
        <w:rPr>
          <w:spacing w:val="-4"/>
        </w:rPr>
        <w:t>或遭受意外伤害事故，且自该事故发生之日起 </w:t>
      </w:r>
      <w:r>
        <w:rPr>
          <w:rFonts w:ascii="Times New Roman" w:eastAsia="Times New Roman"/>
        </w:rPr>
        <w:t>180 </w:t>
      </w:r>
      <w:r>
        <w:rPr>
          <w:spacing w:val="-3"/>
        </w:rPr>
        <w:t>日内因该事故导致本附加合同所指全残，我们将豁免您在鉴定为全残后至约定的交费期满之间您应该交纳的各期保险费，但不包含您全残之日前所欠交的保险费及利息。</w:t>
      </w:r>
    </w:p>
    <w:p>
      <w:pPr>
        <w:pStyle w:val="BodyText"/>
        <w:spacing w:before="12"/>
        <w:ind w:left="538"/>
      </w:pPr>
      <w:r>
        <w:rPr/>
        <w:t>在保险期间内变更投保人的，我们将不予豁免保险费。</w:t>
      </w:r>
    </w:p>
    <w:p>
      <w:pPr>
        <w:pStyle w:val="BodyText"/>
        <w:spacing w:before="3"/>
        <w:rPr>
          <w:sz w:val="25"/>
        </w:rPr>
      </w:pPr>
    </w:p>
    <w:p>
      <w:pPr>
        <w:pStyle w:val="BodyText"/>
        <w:spacing w:line="273" w:lineRule="auto"/>
        <w:ind w:left="117" w:right="219" w:firstLine="420"/>
      </w:pPr>
      <w:r>
        <w:rPr/>
        <w:t>我们只给付本附加合同保险责任中约定的少儿重大疾病保险金和身故保险金其中的一项保险金，且以一次为限。</w:t>
      </w:r>
    </w:p>
    <w:p>
      <w:pPr>
        <w:pStyle w:val="BodyText"/>
        <w:spacing w:before="5"/>
        <w:rPr>
          <w:sz w:val="24"/>
        </w:rPr>
      </w:pPr>
    </w:p>
    <w:p>
      <w:pPr>
        <w:pStyle w:val="Heading2"/>
        <w:tabs>
          <w:tab w:pos="969" w:val="left" w:leader="none"/>
        </w:tabs>
      </w:pPr>
      <w:bookmarkStart w:name="_bookmark9" w:id="10"/>
      <w:bookmarkEnd w:id="10"/>
      <w:r>
        <w:rPr>
          <w:b w:val="0"/>
        </w:rPr>
      </w:r>
      <w:r>
        <w:rPr/>
        <w:t>第八条</w:t>
        <w:tab/>
        <w:t>责任免除</w:t>
      </w:r>
    </w:p>
    <w:p>
      <w:pPr>
        <w:pStyle w:val="BodyText"/>
        <w:spacing w:before="15"/>
        <w:ind w:left="117" w:right="222" w:firstLine="420"/>
        <w:rPr>
          <w:rFonts w:ascii="黑体" w:eastAsia="黑体" w:hint="eastAsia"/>
        </w:rPr>
      </w:pPr>
      <w:r>
        <w:rPr>
          <w:rFonts w:ascii="黑体" w:eastAsia="黑体" w:hint="eastAsia"/>
        </w:rPr>
        <w:t>一、因下列情形之一导致被保险人患上本附加合同所定义的少儿重大疾病的，我们不承担给付相应保险金的责任：</w:t>
      </w:r>
    </w:p>
    <w:p>
      <w:pPr>
        <w:pStyle w:val="ListParagraph"/>
        <w:numPr>
          <w:ilvl w:val="0"/>
          <w:numId w:val="3"/>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3"/>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酒后驾驶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pacing w:val="-1"/>
          <w:sz w:val="21"/>
          <w:vertAlign w:val="baseline"/>
        </w:rPr>
        <w:t>的机动车；</w:t>
      </w:r>
    </w:p>
    <w:p>
      <w:pPr>
        <w:pStyle w:val="BodyText"/>
        <w:spacing w:before="5"/>
        <w:rPr>
          <w:rFonts w:ascii="黑体"/>
          <w:sz w:val="14"/>
        </w:rPr>
      </w:pPr>
      <w:r>
        <w:rPr/>
        <w:pict>
          <v:line style="position:absolute;mso-position-horizontal-relative:page;mso-position-vertical-relative:paragraph;z-index:1096;mso-wrap-distance-left:0;mso-wrap-distance-right:0" from="53.880001pt,11.63649pt" to="197.930001pt,11.63649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楷体" w:eastAsia="楷体" w:hint="eastAsia"/>
        </w:rPr>
        <w:t>意并寻求诊断、治疗或护理的病症，但不包括本附加合同生效或恢复效力前的任何疾病或症状。</w:t>
      </w:r>
    </w:p>
    <w:p>
      <w:pPr>
        <w:pStyle w:val="BodyText"/>
        <w:spacing w:line="272" w:lineRule="exact"/>
        <w:ind w:left="117"/>
        <w:rPr>
          <w:rFonts w:ascii="楷体" w:eastAsia="楷体" w:hint="eastAsia"/>
        </w:rPr>
      </w:pPr>
      <w:r>
        <w:rPr>
          <w:rFonts w:ascii="Times New Roman" w:eastAsia="Times New Roman"/>
          <w:position w:val="10"/>
          <w:sz w:val="14"/>
        </w:rPr>
        <w:t>8</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79"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64" w:lineRule="exact"/>
        <w:ind w:left="117"/>
        <w:rPr>
          <w:rFonts w:ascii="楷体" w:eastAsia="楷体" w:hint="eastAsia"/>
        </w:rPr>
      </w:pPr>
      <w:r>
        <w:rPr>
          <w:rFonts w:ascii="Times New Roman" w:eastAsia="Times New Roman"/>
          <w:position w:val="10"/>
          <w:sz w:val="14"/>
        </w:rPr>
        <w:t>9</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6"/>
        </w:rPr>
        <w:t>）</w:t>
      </w:r>
      <w:r>
        <w:rPr>
          <w:rFonts w:ascii="楷体" w:eastAsia="楷体" w:hint="eastAsia"/>
          <w:spacing w:val="-3"/>
        </w:rPr>
        <w:t>、吗啡、大麻、可卡因以及国家规</w:t>
      </w:r>
    </w:p>
    <w:p>
      <w:pPr>
        <w:pStyle w:val="BodyText"/>
        <w:spacing w:line="237" w:lineRule="auto" w:before="1"/>
        <w:ind w:left="117" w:right="246"/>
        <w:rPr>
          <w:rFonts w:ascii="楷体" w:eastAsia="楷体" w:hint="eastAsia"/>
        </w:rPr>
      </w:pPr>
      <w:r>
        <w:rPr>
          <w:rFonts w:ascii="楷体" w:eastAsia="楷体" w:hint="eastAsia"/>
        </w:rPr>
        <w:t>定管制的其他能够使人形成瘾癖的麻醉药品和精神药品，但不包括由医生开具并遵医嘱使用的用于治疗疾病但含有毒品成分的处方药品。</w:t>
      </w:r>
    </w:p>
    <w:p>
      <w:pPr>
        <w:pStyle w:val="BodyText"/>
        <w:spacing w:line="272" w:lineRule="exact"/>
        <w:ind w:left="117"/>
        <w:rPr>
          <w:rFonts w:ascii="楷体" w:eastAsia="楷体" w:hint="eastAsia"/>
        </w:rPr>
      </w:pPr>
      <w:r>
        <w:rPr>
          <w:rFonts w:ascii="Times New Roman" w:eastAsia="Times New Roman"/>
          <w:position w:val="10"/>
          <w:sz w:val="14"/>
        </w:rPr>
        <w:t>10</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ind w:left="117"/>
        <w:rPr>
          <w:rFonts w:ascii="楷体" w:eastAsia="楷体" w:hint="eastAsia"/>
        </w:rPr>
      </w:pPr>
      <w:r>
        <w:rPr>
          <w:rFonts w:ascii="楷体" w:eastAsia="楷体" w:hint="eastAsia"/>
        </w:rPr>
        <w:t>公安机关交通管理部门依据《道路交通安全法》的规定认定为饮酒后驾驶或醉酒后驾驶。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11</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8"/>
        <w:ind w:left="117"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88" w:lineRule="exact"/>
        <w:ind w:left="117"/>
        <w:rPr>
          <w:rFonts w:ascii="楷体" w:eastAsia="楷体" w:hint="eastAsia"/>
        </w:rPr>
      </w:pPr>
      <w:r>
        <w:rPr>
          <w:rFonts w:ascii="Times New Roman" w:eastAsia="Times New Roman"/>
          <w:w w:val="99"/>
          <w:position w:val="10"/>
          <w:sz w:val="14"/>
        </w:rPr>
        <w:t>12</w:t>
      </w:r>
      <w:r>
        <w:rPr>
          <w:rFonts w:ascii="楷体" w:eastAsia="楷体" w:hint="eastAsia"/>
          <w:b/>
          <w:spacing w:val="-1"/>
          <w:w w:val="100"/>
        </w:rPr>
        <w:t>无有效行驶证：</w:t>
      </w:r>
      <w:r>
        <w:rPr>
          <w:rFonts w:ascii="楷体" w:eastAsia="楷体" w:hint="eastAsia"/>
          <w:spacing w:val="-16"/>
          <w:w w:val="100"/>
        </w:rPr>
        <w:t>指下列情形之一：</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12"/>
          <w:w w:val="100"/>
        </w:rPr>
        <w:t>机动车被依法注销登记的；</w:t>
      </w:r>
      <w:r>
        <w:rPr>
          <w:rFonts w:ascii="楷体" w:eastAsia="楷体" w:hint="eastAsia"/>
          <w:spacing w:val="-1"/>
          <w:w w:val="100"/>
        </w:rPr>
        <w:t>（</w:t>
      </w:r>
      <w:r>
        <w:rPr>
          <w:rFonts w:ascii="Times New Roman" w:eastAsia="Times New Roman"/>
          <w:w w:val="100"/>
        </w:rPr>
        <w:t>2</w:t>
      </w:r>
      <w:r>
        <w:rPr>
          <w:rFonts w:ascii="楷体" w:eastAsia="楷体" w:hint="eastAsia"/>
          <w:spacing w:val="-3"/>
          <w:w w:val="100"/>
        </w:rPr>
        <w:t>）未依法按时进行或通过机动车安全</w:t>
      </w:r>
    </w:p>
    <w:p>
      <w:pPr>
        <w:spacing w:after="0" w:line="288" w:lineRule="exact"/>
        <w:rPr>
          <w:rFonts w:ascii="楷体" w:eastAsia="楷体" w:hint="eastAsia"/>
        </w:rPr>
        <w:sectPr>
          <w:footerReference w:type="default" r:id="rId9"/>
          <w:pgSz w:w="11910" w:h="16160"/>
          <w:pgMar w:footer="670" w:header="0" w:top="1360" w:bottom="860" w:left="960" w:right="700"/>
        </w:sectPr>
      </w:pPr>
    </w:p>
    <w:p>
      <w:pPr>
        <w:pStyle w:val="ListParagraph"/>
        <w:numPr>
          <w:ilvl w:val="0"/>
          <w:numId w:val="3"/>
        </w:numPr>
        <w:tabs>
          <w:tab w:pos="803" w:val="left" w:leader="none"/>
        </w:tabs>
        <w:spacing w:line="282" w:lineRule="exact" w:before="66"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pacing w:val="-3"/>
          <w:sz w:val="21"/>
          <w:vertAlign w:val="baseline"/>
        </w:rPr>
        <w:t>，但本附加合同另有约定的除外；</w:t>
      </w:r>
    </w:p>
    <w:p>
      <w:pPr>
        <w:pStyle w:val="ListParagraph"/>
        <w:numPr>
          <w:ilvl w:val="0"/>
          <w:numId w:val="3"/>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3"/>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pacing w:val="-3"/>
          <w:sz w:val="21"/>
          <w:vertAlign w:val="baseline"/>
        </w:rPr>
        <w:t>，但本附加合同另有约定的除外。</w:t>
      </w:r>
    </w:p>
    <w:p>
      <w:pPr>
        <w:pStyle w:val="BodyText"/>
        <w:spacing w:before="2"/>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项情形导致被保险人患上本附加合同所定义的少儿重大疾病的，本附加合同终止，您已交</w:t>
      </w:r>
    </w:p>
    <w:p>
      <w:pPr>
        <w:pStyle w:val="BodyText"/>
        <w:spacing w:before="21"/>
        <w:ind w:left="117"/>
        <w:rPr>
          <w:rFonts w:ascii="黑体" w:eastAsia="黑体" w:hint="eastAsia"/>
        </w:rPr>
      </w:pPr>
      <w:r>
        <w:rPr>
          <w:rFonts w:ascii="黑体" w:eastAsia="黑体" w:hint="eastAsia"/>
        </w:rPr>
        <w:t>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16</w:t>
      </w:r>
      <w:r>
        <w:rPr>
          <w:rFonts w:ascii="Times New Roman" w:eastAsia="Times New Roman"/>
          <w:b/>
          <w:vertAlign w:val="baseline"/>
        </w:rPr>
      </w:r>
      <w:r>
        <w:rPr>
          <w:rFonts w:ascii="黑体" w:eastAsia="黑体" w:hint="eastAsia"/>
          <w:vertAlign w:val="baseline"/>
        </w:rPr>
        <w:t>。</w:t>
      </w:r>
    </w:p>
    <w:p>
      <w:pPr>
        <w:pStyle w:val="BodyText"/>
        <w:spacing w:line="273" w:lineRule="auto" w:before="21"/>
        <w:ind w:left="117" w:right="159" w:firstLine="420"/>
        <w:rPr>
          <w:rFonts w:ascii="黑体" w:eastAsia="黑体" w:hint="eastAsia"/>
        </w:rPr>
      </w:pPr>
      <w:r>
        <w:rPr>
          <w:rFonts w:ascii="黑体" w:eastAsia="黑体" w:hint="eastAsia"/>
        </w:rPr>
        <w:t>发Th上述其他情形导致被保险人患上本附加合同所定义的少儿重大疾病的，本附加合同终止，我们向您退还保险单的现金价值。</w:t>
      </w:r>
    </w:p>
    <w:p>
      <w:pPr>
        <w:pStyle w:val="BodyText"/>
        <w:spacing w:before="7"/>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4"/>
        </w:numPr>
        <w:tabs>
          <w:tab w:pos="803" w:val="left" w:leader="none"/>
        </w:tabs>
        <w:spacing w:line="282" w:lineRule="exact" w:before="15" w:after="0"/>
        <w:ind w:left="117" w:right="0" w:firstLine="421"/>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4"/>
        </w:numPr>
        <w:tabs>
          <w:tab w:pos="803" w:val="left" w:leader="none"/>
        </w:tabs>
        <w:spacing w:line="225" w:lineRule="auto" w:before="7" w:after="0"/>
        <w:ind w:left="117" w:right="111" w:firstLine="421"/>
        <w:jc w:val="left"/>
        <w:rPr>
          <w:rFonts w:ascii="黑体" w:eastAsia="黑体" w:hint="eastAsia"/>
          <w:sz w:val="21"/>
        </w:rPr>
      </w:pPr>
      <w:r>
        <w:rPr>
          <w:rFonts w:ascii="黑体" w:eastAsia="黑体" w:hint="eastAsia"/>
          <w:spacing w:val="-4"/>
          <w:sz w:val="21"/>
        </w:rPr>
        <w:t>被保险人自本附加合同成立或者合同效力恢复之日起 </w:t>
      </w:r>
      <w:r>
        <w:rPr>
          <w:rFonts w:ascii="Times New Roman" w:eastAsia="Times New Roman"/>
          <w:sz w:val="21"/>
        </w:rPr>
        <w:t>2</w:t>
      </w:r>
      <w:r>
        <w:rPr>
          <w:rFonts w:ascii="Times New Roman" w:eastAsia="Times New Roman"/>
          <w:spacing w:val="40"/>
          <w:sz w:val="21"/>
        </w:rPr>
        <w:t> </w:t>
      </w:r>
      <w:r>
        <w:rPr>
          <w:rFonts w:ascii="黑体" w:eastAsia="黑体" w:hint="eastAsia"/>
          <w:spacing w:val="-6"/>
          <w:sz w:val="21"/>
        </w:rPr>
        <w:t>年内自杀，但被保险人自杀时为</w:t>
      </w:r>
      <w:r>
        <w:rPr>
          <w:rFonts w:ascii="黑体" w:eastAsia="黑体" w:hint="eastAsia"/>
          <w:b/>
          <w:spacing w:val="-1"/>
          <w:sz w:val="21"/>
        </w:rPr>
        <w:t>无民事行为能力人</w:t>
      </w:r>
      <w:r>
        <w:rPr>
          <w:rFonts w:ascii="Times New Roman" w:eastAsia="Times New Roman"/>
          <w:b/>
          <w:spacing w:val="-1"/>
          <w:sz w:val="21"/>
          <w:vertAlign w:val="superscript"/>
        </w:rPr>
        <w:t>17</w:t>
      </w:r>
      <w:r>
        <w:rPr>
          <w:rFonts w:ascii="Times New Roman" w:eastAsia="Times New Roman"/>
          <w:b/>
          <w:spacing w:val="-1"/>
          <w:sz w:val="21"/>
          <w:vertAlign w:val="baseline"/>
        </w:rPr>
      </w:r>
      <w:r>
        <w:rPr>
          <w:rFonts w:ascii="黑体" w:eastAsia="黑体" w:hint="eastAsia"/>
          <w:spacing w:val="-2"/>
          <w:sz w:val="21"/>
          <w:vertAlign w:val="baseline"/>
        </w:rPr>
        <w:t>的除外；</w:t>
      </w:r>
    </w:p>
    <w:p>
      <w:pPr>
        <w:pStyle w:val="ListParagraph"/>
        <w:numPr>
          <w:ilvl w:val="0"/>
          <w:numId w:val="4"/>
        </w:numPr>
        <w:tabs>
          <w:tab w:pos="803" w:val="left" w:leader="none"/>
        </w:tabs>
        <w:spacing w:line="263" w:lineRule="exact" w:before="0" w:after="0"/>
        <w:ind w:left="117" w:right="0" w:firstLine="421"/>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4"/>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4"/>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82" w:lineRule="exact" w:before="0" w:after="0"/>
        <w:ind w:left="117" w:right="0" w:firstLine="421"/>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before="1"/>
        <w:ind w:left="117" w:right="18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项情形导致被保险人身故的，本附加合同终止，您已交足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line="273" w:lineRule="auto" w:before="22"/>
        <w:ind w:left="494" w:right="1088" w:hanging="17"/>
        <w:rPr>
          <w:rFonts w:ascii="黑体" w:eastAsia="黑体" w:hint="eastAsia"/>
        </w:rPr>
      </w:pPr>
      <w:r>
        <w:rPr>
          <w:rFonts w:ascii="黑体" w:eastAsia="黑体" w:hint="eastAsia"/>
        </w:rPr>
        <w:t>发Th上述其他情形导致被保险人身故的，本附加合同终止，我们向您退还保险单的现金价值。因本条第二款情形之一导致投保人身故或全残的，我们不承担相应豁免保险费的责任。</w:t>
      </w:r>
    </w:p>
    <w:p>
      <w:pPr>
        <w:pStyle w:val="BodyText"/>
        <w:spacing w:before="4"/>
        <w:rPr>
          <w:rFonts w:ascii="黑体"/>
          <w:sz w:val="22"/>
        </w:rPr>
      </w:pPr>
    </w:p>
    <w:p>
      <w:pPr>
        <w:pStyle w:val="Heading1"/>
        <w:tabs>
          <w:tab w:pos="1418" w:val="left" w:leader="none"/>
        </w:tabs>
        <w:ind w:right="39"/>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spacing w:before="1"/>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本附加合同的保险费交费方式及交费日期与主合同一致。</w:t>
      </w:r>
    </w:p>
    <w:p>
      <w:pPr>
        <w:pStyle w:val="BodyText"/>
        <w:spacing w:before="8"/>
        <w:rPr>
          <w:sz w:val="26"/>
        </w:rPr>
      </w:pPr>
    </w:p>
    <w:p>
      <w:pPr>
        <w:pStyle w:val="Heading2"/>
        <w:tabs>
          <w:tab w:pos="1197" w:val="left" w:leader="none"/>
        </w:tabs>
      </w:pPr>
      <w:bookmarkStart w:name="_bookmark12" w:id="13"/>
      <w:bookmarkEnd w:id="13"/>
      <w:r>
        <w:rPr>
          <w:b w:val="0"/>
        </w:rPr>
      </w:r>
      <w:r>
        <w:rPr/>
        <w:t>第十条</w:t>
        <w:tab/>
        <w:t>宽限期</w:t>
      </w:r>
    </w:p>
    <w:p>
      <w:pPr>
        <w:pStyle w:val="BodyText"/>
        <w:spacing w:line="264" w:lineRule="auto" w:before="36"/>
        <w:ind w:left="117" w:right="154" w:firstLine="420"/>
        <w:jc w:val="both"/>
      </w:pPr>
      <w:r>
        <w:rPr>
          <w:spacing w:val="-3"/>
        </w:rPr>
        <w:t>分期支付保险费的，您支付首期保险费后，除本附加合同另有约定外，如果您到期未支付保险费，自保</w:t>
      </w:r>
      <w:r>
        <w:rPr>
          <w:spacing w:val="-6"/>
        </w:rPr>
        <w:t>险费约定支付日的次日零时起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18</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before="15"/>
        <w:ind w:left="538"/>
      </w:pPr>
      <w:r>
        <w:rPr/>
        <w:t>如果您宽限期结束之后仍未支付保险费，则本附加合同自宽限期满的次日零时起效力中止。</w:t>
      </w:r>
    </w:p>
    <w:p>
      <w:pPr>
        <w:pStyle w:val="BodyText"/>
        <w:spacing w:before="1"/>
        <w:rPr>
          <w:sz w:val="10"/>
        </w:rPr>
      </w:pPr>
      <w:r>
        <w:rPr/>
        <w:pict>
          <v:line style="position:absolute;mso-position-horizontal-relative:page;mso-position-vertical-relative:paragraph;z-index:1120;mso-wrap-distance-left:0;mso-wrap-distance-right:0" from="53.880001pt,8.811251pt" to="197.930001pt,8.811251pt" stroked="true" strokeweight=".48004pt" strokecolor="#000000">
            <v:stroke dashstyle="solid"/>
            <w10:wrap type="topAndBottom"/>
          </v:line>
        </w:pict>
      </w:r>
    </w:p>
    <w:p>
      <w:pPr>
        <w:pStyle w:val="BodyText"/>
        <w:spacing w:line="273" w:lineRule="exact" w:before="35"/>
        <w:ind w:left="117"/>
        <w:rPr>
          <w:rFonts w:ascii="楷体" w:eastAsia="楷体" w:hint="eastAsia"/>
        </w:rPr>
      </w:pPr>
      <w:r>
        <w:rPr>
          <w:rFonts w:ascii="楷体" w:eastAsia="楷体" w:hint="eastAsia"/>
        </w:rPr>
        <w:t>技术检验。</w:t>
      </w:r>
    </w:p>
    <w:p>
      <w:pPr>
        <w:pStyle w:val="BodyText"/>
        <w:spacing w:line="230" w:lineRule="auto" w:before="9"/>
        <w:ind w:left="117" w:right="152"/>
        <w:rPr>
          <w:rFonts w:ascii="楷体" w:eastAsia="楷体" w:hint="eastAsia"/>
        </w:rPr>
      </w:pPr>
      <w:r>
        <w:rPr>
          <w:rFonts w:ascii="Times New Roman" w:eastAsia="Times New Roman"/>
          <w:position w:val="10"/>
          <w:sz w:val="14"/>
        </w:rPr>
        <w:t>13</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69" w:lineRule="exact"/>
        <w:ind w:left="117"/>
        <w:rPr>
          <w:rFonts w:ascii="楷体" w:eastAsia="楷体" w:hint="eastAsia"/>
        </w:rPr>
      </w:pPr>
      <w:r>
        <w:rPr>
          <w:rFonts w:ascii="Times New Roman" w:eastAsia="Times New Roman"/>
          <w:position w:val="10"/>
          <w:sz w:val="14"/>
        </w:rPr>
        <w:t>14</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ind w:left="117"/>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15</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ind w:left="117"/>
        <w:rPr>
          <w:rFonts w:ascii="楷体" w:eastAsia="楷体" w:hint="eastAsia"/>
        </w:rPr>
      </w:pPr>
      <w:r>
        <w:rPr>
          <w:rFonts w:ascii="Times New Roman" w:eastAsia="Times New Roman"/>
          <w:position w:val="10"/>
          <w:sz w:val="14"/>
        </w:rPr>
        <w:t>16</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ind w:left="117" w:right="186"/>
        <w:rPr>
          <w:rFonts w:ascii="楷体" w:eastAsia="楷体" w:hint="eastAsia"/>
        </w:rPr>
      </w:pPr>
      <w:r>
        <w:rPr>
          <w:rFonts w:ascii="楷体" w:eastAsia="楷体" w:hint="eastAsia"/>
        </w:rPr>
        <w:t>金额。每个保单年度末本附加合同所具有的现金价值在保险单或批注上列明。每个保单年度中，本附加合同所具有的现金价值根据本附加合同实际经过的天数计算。</w:t>
      </w:r>
    </w:p>
    <w:p>
      <w:pPr>
        <w:pStyle w:val="BodyText"/>
        <w:ind w:left="117" w:right="154"/>
        <w:rPr>
          <w:rFonts w:ascii="楷体" w:eastAsia="楷体" w:hint="eastAsia"/>
        </w:rPr>
      </w:pPr>
      <w:r>
        <w:rPr>
          <w:rFonts w:ascii="Times New Roman" w:eastAsia="Times New Roman"/>
          <w:position w:val="10"/>
          <w:sz w:val="14"/>
        </w:rPr>
        <w:t>17</w:t>
      </w:r>
      <w:r>
        <w:rPr>
          <w:rFonts w:ascii="楷体" w:eastAsia="楷体" w:hint="eastAsia"/>
          <w:b/>
          <w:spacing w:val="-7"/>
        </w:rPr>
        <w:t>无民事行为能力人：</w:t>
      </w:r>
      <w:r>
        <w:rPr>
          <w:rFonts w:ascii="楷体" w:eastAsia="楷体" w:hint="eastAsia"/>
          <w:spacing w:val="-7"/>
        </w:rPr>
        <w:t>一种是指十周岁以下的未成年人，另一种是指不能辨认自己行为的精神病人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line="272" w:lineRule="exact" w:before="2"/>
        <w:ind w:left="117" w:right="0" w:firstLine="0"/>
        <w:jc w:val="left"/>
        <w:rPr>
          <w:rFonts w:ascii="楷体" w:eastAsia="楷体" w:hint="eastAsia"/>
          <w:sz w:val="21"/>
        </w:rPr>
      </w:pPr>
      <w:r>
        <w:rPr>
          <w:rFonts w:ascii="Times New Roman" w:eastAsia="Times New Roman"/>
          <w:position w:val="10"/>
          <w:sz w:val="14"/>
        </w:rPr>
        <w:t>18</w:t>
      </w:r>
      <w:r>
        <w:rPr>
          <w:rFonts w:ascii="楷体" w:eastAsia="楷体" w:hint="eastAsia"/>
          <w:b/>
          <w:sz w:val="21"/>
        </w:rPr>
        <w:t>保险事故：</w:t>
      </w:r>
      <w:r>
        <w:rPr>
          <w:rFonts w:ascii="楷体" w:eastAsia="楷体" w:hint="eastAsia"/>
          <w:sz w:val="21"/>
        </w:rPr>
        <w:t>指本附加合同约定的保险责任范围内的事故。</w:t>
      </w:r>
    </w:p>
    <w:p>
      <w:pPr>
        <w:spacing w:after="0" w:line="272" w:lineRule="exact"/>
        <w:jc w:val="left"/>
        <w:rPr>
          <w:rFonts w:ascii="楷体" w:eastAsia="楷体" w:hint="eastAsia"/>
          <w:sz w:val="21"/>
        </w:rPr>
        <w:sectPr>
          <w:footerReference w:type="default" r:id="rId10"/>
          <w:pgSz w:w="11910" w:h="16160"/>
          <w:pgMar w:footer="631" w:header="0" w:top="1280" w:bottom="820" w:left="960" w:right="760"/>
          <w:pgNumType w:start="5"/>
        </w:sectPr>
      </w:pPr>
    </w:p>
    <w:p>
      <w:pPr>
        <w:pStyle w:val="BodyText"/>
        <w:spacing w:before="7"/>
        <w:ind w:left="538"/>
      </w:pPr>
      <w:r>
        <w:rPr/>
        <w:t>在本附加合同效力中止期间，我们不承担保险责任。</w:t>
      </w:r>
    </w:p>
    <w:p>
      <w:pPr>
        <w:pStyle w:val="BodyText"/>
        <w:spacing w:before="7"/>
        <w:rPr>
          <w:sz w:val="24"/>
        </w:rPr>
      </w:pPr>
    </w:p>
    <w:p>
      <w:pPr>
        <w:pStyle w:val="Heading1"/>
        <w:tabs>
          <w:tab w:pos="1418" w:val="left" w:leader="none"/>
        </w:tabs>
        <w:ind w:right="100"/>
      </w:pPr>
      <w:bookmarkStart w:name="_bookmark13" w:id="14"/>
      <w:bookmarkEnd w:id="14"/>
      <w:r>
        <w:rPr>
          <w:b w:val="0"/>
        </w:rPr>
      </w:r>
      <w:r>
        <w:rPr/>
        <w:t>第四部分</w:t>
        <w:tab/>
      </w:r>
      <w:r>
        <w:rPr>
          <w:w w:val="95"/>
        </w:rPr>
        <w:t>如何申请保险金</w:t>
      </w:r>
    </w:p>
    <w:p>
      <w:pPr>
        <w:pStyle w:val="BodyText"/>
        <w:spacing w:before="10"/>
        <w:rPr>
          <w:b/>
          <w:sz w:val="25"/>
        </w:rPr>
      </w:pPr>
    </w:p>
    <w:p>
      <w:pPr>
        <w:pStyle w:val="Heading2"/>
        <w:tabs>
          <w:tab w:pos="1286" w:val="left" w:leader="none"/>
        </w:tabs>
      </w:pPr>
      <w:r>
        <w:rPr/>
        <w:t>第十一条</w:t>
        <w:tab/>
      </w:r>
      <w:bookmarkStart w:name="_bookmark14" w:id="15"/>
      <w:bookmarkEnd w:id="15"/>
      <w:r>
        <w:rPr/>
        <w:t>受</w:t>
      </w:r>
      <w:r>
        <w:rPr/>
        <w:t>益人</w:t>
      </w:r>
    </w:p>
    <w:p>
      <w:pPr>
        <w:pStyle w:val="BodyText"/>
        <w:spacing w:line="273" w:lineRule="auto" w:before="36"/>
        <w:ind w:left="538" w:right="1509"/>
      </w:pPr>
      <w:r>
        <w:rPr/>
        <w:t>除另有约定外，少儿重大疾病保险金、白血病额外给付保险金的受益人为被保险人本人。您或被保险人可指定一人或多人为身故保险金受益人。</w:t>
      </w:r>
    </w:p>
    <w:p>
      <w:pPr>
        <w:pStyle w:val="BodyText"/>
        <w:spacing w:line="273" w:lineRule="auto" w:before="7"/>
        <w:ind w:left="117" w:right="2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0"/>
        <w:ind w:left="117" w:right="2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7"/>
        <w:ind w:left="117" w:right="220" w:firstLine="420"/>
      </w:pPr>
      <w:r>
        <w:rPr/>
        <w:t>被保险人身故后，有下列情形之一的，保险金作为被保险人的遗产，由我们依照《中华人民共和国继承法》的规定履行给付保险金的义务：</w:t>
      </w:r>
    </w:p>
    <w:p>
      <w:pPr>
        <w:pStyle w:val="BodyText"/>
        <w:spacing w:line="273" w:lineRule="auto" w:before="8"/>
        <w:ind w:left="538" w:right="4449"/>
      </w:pPr>
      <w:r>
        <w:rPr/>
        <w:t>一、没有指定受益人，或者受益人指定不明无法确定的； 二、受益人先于被保险人身故，没有其他受益人的；</w:t>
      </w:r>
    </w:p>
    <w:p>
      <w:pPr>
        <w:pStyle w:val="BodyText"/>
        <w:spacing w:before="8"/>
        <w:ind w:left="538"/>
      </w:pPr>
      <w:r>
        <w:rPr/>
        <w:t>三、受益人依法丧失受益权或者放弃受益权，没有其他受益人的。</w:t>
      </w:r>
    </w:p>
    <w:p>
      <w:pPr>
        <w:pStyle w:val="BodyText"/>
        <w:spacing w:before="37"/>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8"/>
        <w:rPr>
          <w:sz w:val="26"/>
        </w:rPr>
      </w:pPr>
    </w:p>
    <w:p>
      <w:pPr>
        <w:pStyle w:val="Heading2"/>
        <w:tabs>
          <w:tab w:pos="1197" w:val="left" w:leader="none"/>
        </w:tabs>
        <w:spacing w:before="1"/>
      </w:pPr>
      <w:bookmarkStart w:name="_bookmark15" w:id="16"/>
      <w:bookmarkEnd w:id="16"/>
      <w:r>
        <w:rPr>
          <w:b w:val="0"/>
        </w:rPr>
      </w:r>
      <w:r>
        <w:rPr/>
        <w:t>第十二条</w:t>
        <w:tab/>
        <w:t>保险事故通知</w:t>
      </w:r>
    </w:p>
    <w:p>
      <w:pPr>
        <w:pStyle w:val="BodyText"/>
        <w:spacing w:before="37"/>
        <w:ind w:left="538"/>
      </w:pPr>
      <w:r>
        <w:rPr/>
        <w:t>您或受益人知道保险事故后应当在 </w:t>
      </w:r>
      <w:r>
        <w:rPr>
          <w:rFonts w:ascii="Times New Roman" w:eastAsia="Times New Roman"/>
        </w:rPr>
        <w:t>10 </w:t>
      </w:r>
      <w:r>
        <w:rPr/>
        <w:t>日内通知我们。</w:t>
      </w:r>
    </w:p>
    <w:p>
      <w:pPr>
        <w:spacing w:line="273" w:lineRule="auto" w:before="20"/>
        <w:ind w:left="117" w:right="115"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5"/>
          <w:sz w:val="21"/>
        </w:rPr>
        <w:t>，但我们通过其他途径已经及时知道或者应当及时知道保</w:t>
      </w:r>
      <w:r>
        <w:rPr>
          <w:spacing w:val="-4"/>
          <w:sz w:val="21"/>
        </w:rPr>
        <w:t>险事故发生或者虽未及时通知但不影响我们确定保险事故的性质、原因、损失程度的除外。</w:t>
      </w:r>
    </w:p>
    <w:p>
      <w:pPr>
        <w:pStyle w:val="BodyText"/>
        <w:spacing w:before="5"/>
        <w:rPr>
          <w:sz w:val="24"/>
        </w:rPr>
      </w:pPr>
    </w:p>
    <w:p>
      <w:pPr>
        <w:pStyle w:val="Heading2"/>
        <w:tabs>
          <w:tab w:pos="1197" w:val="left" w:leader="none"/>
        </w:tabs>
      </w:pPr>
      <w:bookmarkStart w:name="_bookmark16" w:id="17"/>
      <w:bookmarkEnd w:id="17"/>
      <w:r>
        <w:rPr>
          <w:b w:val="0"/>
        </w:rPr>
      </w:r>
      <w:r>
        <w:rPr/>
        <w:t>第十三条</w:t>
        <w:tab/>
        <w:t>诉讼时效</w:t>
      </w:r>
    </w:p>
    <w:p>
      <w:pPr>
        <w:pStyle w:val="BodyText"/>
        <w:spacing w:line="273" w:lineRule="auto" w:before="37"/>
        <w:ind w:left="117" w:right="220" w:firstLine="420"/>
      </w:pPr>
      <w:r>
        <w:rPr/>
        <w:t>人寿保险以外的其他保险的被保险人或者受益人，向我们请求赔偿或者给付保险金的诉讼时效期间为二年，自其知道或者应当知道保险事故发生之日起计算。</w:t>
      </w:r>
    </w:p>
    <w:p>
      <w:pPr>
        <w:pStyle w:val="BodyText"/>
        <w:spacing w:line="273" w:lineRule="auto" w:before="7"/>
        <w:ind w:left="117" w:right="220" w:firstLine="420"/>
      </w:pPr>
      <w:r>
        <w:rPr/>
        <w:t>人寿保险的被保险人或者受益人向我们请求给付保险金的诉讼时效期间为五年，自其知道或者应当知道保险事故发生之日起计算。</w:t>
      </w:r>
    </w:p>
    <w:p>
      <w:pPr>
        <w:pStyle w:val="BodyText"/>
        <w:spacing w:before="5"/>
        <w:rPr>
          <w:sz w:val="24"/>
        </w:rPr>
      </w:pPr>
    </w:p>
    <w:p>
      <w:pPr>
        <w:pStyle w:val="Heading2"/>
        <w:tabs>
          <w:tab w:pos="1197" w:val="left" w:leader="none"/>
        </w:tabs>
      </w:pPr>
      <w:bookmarkStart w:name="_bookmark17" w:id="18"/>
      <w:bookmarkEnd w:id="18"/>
      <w:r>
        <w:rPr>
          <w:b w:val="0"/>
        </w:rPr>
      </w:r>
      <w:r>
        <w:rPr/>
        <w:t>第十四条</w:t>
        <w:tab/>
        <w:t>保险金及豁免保险</w:t>
      </w:r>
      <w:r>
        <w:rPr>
          <w:spacing w:val="-3"/>
        </w:rPr>
        <w:t>费</w:t>
      </w:r>
      <w:r>
        <w:rPr/>
        <w:t>申请</w:t>
      </w:r>
    </w:p>
    <w:p>
      <w:pPr>
        <w:pStyle w:val="BodyText"/>
        <w:spacing w:before="36"/>
        <w:ind w:left="538"/>
      </w:pPr>
      <w:r>
        <w:rPr/>
        <w:t>一、少儿重大疾病保险金、白血病额外给付保险金的申请</w:t>
      </w:r>
    </w:p>
    <w:p>
      <w:pPr>
        <w:pStyle w:val="BodyText"/>
        <w:spacing w:line="273" w:lineRule="auto" w:before="36"/>
        <w:ind w:left="117" w:right="219" w:firstLine="420"/>
      </w:pPr>
      <w:r>
        <w:rPr/>
        <w:t>在申请少儿重大疾病保险金或白血病额外给付保险金时，由相应保险金的受益人作为申请人填写保险金给付申请书，并提供下列证明和资料：</w:t>
      </w:r>
    </w:p>
    <w:p>
      <w:pPr>
        <w:pStyle w:val="ListParagraph"/>
        <w:numPr>
          <w:ilvl w:val="0"/>
          <w:numId w:val="5"/>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5"/>
        </w:numPr>
        <w:tabs>
          <w:tab w:pos="803" w:val="left" w:leader="none"/>
        </w:tabs>
        <w:spacing w:line="240" w:lineRule="auto" w:before="21"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w:t>
      </w:r>
    </w:p>
    <w:p>
      <w:pPr>
        <w:pStyle w:val="ListParagraph"/>
        <w:numPr>
          <w:ilvl w:val="0"/>
          <w:numId w:val="5"/>
        </w:numPr>
        <w:tabs>
          <w:tab w:pos="803" w:val="left" w:leader="none"/>
        </w:tabs>
        <w:spacing w:line="240" w:lineRule="auto" w:before="21" w:after="0"/>
        <w:ind w:left="538" w:right="0" w:firstLine="0"/>
        <w:jc w:val="left"/>
        <w:rPr>
          <w:sz w:val="21"/>
        </w:rPr>
      </w:pPr>
      <w:r>
        <w:rPr>
          <w:spacing w:val="-3"/>
          <w:sz w:val="21"/>
        </w:rPr>
        <w:t>医院出具的附有被保险人病理、血液及其它科学方法检验报告等诊断证明文件；</w:t>
      </w:r>
    </w:p>
    <w:p>
      <w:pPr>
        <w:pStyle w:val="BodyText"/>
        <w:spacing w:before="10"/>
        <w:rPr>
          <w:sz w:val="10"/>
        </w:rPr>
      </w:pPr>
      <w:r>
        <w:rPr/>
        <w:pict>
          <v:line style="position:absolute;mso-position-horizontal-relative:page;mso-position-vertical-relative:paragraph;z-index:1144;mso-wrap-distance-left:0;mso-wrap-distance-right:0" from="53.880001pt,9.243905pt" to="197.930001pt,9.243905pt" stroked="true" strokeweight=".48004pt" strokecolor="#000000">
            <v:stroke dashstyle="solid"/>
            <w10:wrap type="topAndBottom"/>
          </v:line>
        </w:pict>
      </w:r>
    </w:p>
    <w:p>
      <w:pPr>
        <w:spacing w:line="273" w:lineRule="exact" w:before="35"/>
        <w:ind w:left="117" w:right="0" w:firstLine="0"/>
        <w:jc w:val="left"/>
        <w:rPr>
          <w:rFonts w:ascii="楷体" w:eastAsia="楷体" w:hint="eastAsia"/>
          <w:sz w:val="21"/>
        </w:rPr>
      </w:pPr>
      <w:r>
        <w:rPr>
          <w:rFonts w:ascii="Times New Roman" w:eastAsia="Times New Roman"/>
          <w:spacing w:val="-1"/>
          <w:position w:val="10"/>
          <w:sz w:val="14"/>
        </w:rPr>
        <w:t>19</w:t>
      </w:r>
      <w:r>
        <w:rPr>
          <w:rFonts w:ascii="楷体" w:eastAsia="楷体" w:hint="eastAsia"/>
          <w:b/>
          <w:spacing w:val="-9"/>
          <w:sz w:val="21"/>
        </w:rPr>
        <w:t>限制民事行为能力人：</w:t>
      </w:r>
      <w:r>
        <w:rPr>
          <w:rFonts w:ascii="楷体" w:eastAsia="楷体" w:hint="eastAsia"/>
          <w:spacing w:val="-8"/>
          <w:sz w:val="21"/>
        </w:rPr>
        <w:t>一种是指十周岁以上的未成年人，另一种是指不能完全辨认自己行为的精神病人</w:t>
      </w:r>
      <w:r>
        <w:rPr>
          <w:rFonts w:ascii="楷体" w:eastAsia="楷体" w:hint="eastAsia"/>
          <w:spacing w:val="-180"/>
          <w:sz w:val="21"/>
        </w:rPr>
        <w:t>。</w:t>
      </w:r>
      <w:r>
        <w:rPr>
          <w:rFonts w:ascii="楷体" w:eastAsia="楷体" w:hint="eastAsia"/>
          <w:spacing w:val="-3"/>
          <w:sz w:val="21"/>
        </w:rPr>
        <w:t>（</w:t>
      </w:r>
      <w:r>
        <w:rPr>
          <w:rFonts w:ascii="楷体" w:eastAsia="楷体" w:hint="eastAsia"/>
          <w:sz w:val="21"/>
        </w:rPr>
        <w:t>根</w:t>
      </w:r>
    </w:p>
    <w:p>
      <w:pPr>
        <w:pStyle w:val="BodyText"/>
        <w:spacing w:line="272" w:lineRule="exact"/>
        <w:ind w:left="117"/>
        <w:rPr>
          <w:rFonts w:ascii="楷体" w:eastAsia="楷体" w:hint="eastAsia"/>
        </w:rPr>
      </w:pPr>
      <w:r>
        <w:rPr>
          <w:rFonts w:ascii="楷体" w:eastAsia="楷体" w:hint="eastAsia"/>
        </w:rPr>
        <w:t>据《中华人民共和国民法通则》第十二条及第十三条规定）</w:t>
      </w:r>
    </w:p>
    <w:p>
      <w:pPr>
        <w:pStyle w:val="BodyText"/>
        <w:spacing w:line="273" w:lineRule="exact"/>
        <w:ind w:left="117"/>
        <w:rPr>
          <w:rFonts w:ascii="楷体" w:eastAsia="楷体" w:hint="eastAsia"/>
        </w:rPr>
      </w:pPr>
      <w:r>
        <w:rPr>
          <w:rFonts w:ascii="Times New Roman" w:eastAsia="Times New Roman"/>
          <w:position w:val="10"/>
          <w:sz w:val="14"/>
        </w:rPr>
        <w:t>20</w:t>
      </w:r>
      <w:r>
        <w:rPr>
          <w:rFonts w:ascii="楷体" w:eastAsia="楷体" w:hint="eastAsia"/>
          <w:b/>
        </w:rPr>
        <w:t>有效身份证件：</w:t>
      </w:r>
      <w:r>
        <w:rPr>
          <w:rFonts w:ascii="楷体" w:eastAsia="楷体" w:hint="eastAsia"/>
        </w:rPr>
        <w:t>指身份证、户口簿、护照、军人证等。户口簿的使用仅限于十六周岁以下尚未申领身份证</w:t>
      </w:r>
    </w:p>
    <w:p>
      <w:pPr>
        <w:pStyle w:val="BodyText"/>
        <w:spacing w:line="273" w:lineRule="exact"/>
        <w:ind w:left="117"/>
        <w:rPr>
          <w:rFonts w:ascii="楷体" w:eastAsia="楷体" w:hint="eastAsia"/>
        </w:rPr>
      </w:pPr>
      <w:r>
        <w:rPr>
          <w:rFonts w:ascii="楷体" w:eastAsia="楷体" w:hint="eastAsia"/>
        </w:rPr>
        <w:t>的未成年人。</w:t>
      </w:r>
    </w:p>
    <w:p>
      <w:pPr>
        <w:spacing w:after="0" w:line="273" w:lineRule="exact"/>
        <w:rPr>
          <w:rFonts w:ascii="楷体" w:eastAsia="楷体" w:hint="eastAsia"/>
        </w:rPr>
        <w:sectPr>
          <w:pgSz w:w="11910" w:h="16160"/>
          <w:pgMar w:header="0" w:footer="631" w:top="1360" w:bottom="880" w:left="960" w:right="700"/>
        </w:sectPr>
      </w:pPr>
    </w:p>
    <w:p>
      <w:pPr>
        <w:pStyle w:val="ListParagraph"/>
        <w:numPr>
          <w:ilvl w:val="0"/>
          <w:numId w:val="5"/>
        </w:numPr>
        <w:tabs>
          <w:tab w:pos="803" w:val="left" w:leader="none"/>
        </w:tabs>
        <w:spacing w:line="256" w:lineRule="auto" w:before="27" w:after="0"/>
        <w:ind w:left="538" w:right="3038"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2"/>
        <w:ind w:left="117" w:right="120" w:firstLine="420"/>
      </w:pPr>
      <w:r>
        <w:rPr/>
        <w:t>在申请身故保险金时，由身故保险金的受益人作为申请人填写保险金给付申请书，并提供下列证明和资料：</w:t>
      </w:r>
    </w:p>
    <w:p>
      <w:pPr>
        <w:pStyle w:val="ListParagraph"/>
        <w:numPr>
          <w:ilvl w:val="0"/>
          <w:numId w:val="6"/>
        </w:numPr>
        <w:tabs>
          <w:tab w:pos="803" w:val="left" w:leader="none"/>
        </w:tabs>
        <w:spacing w:line="240" w:lineRule="auto" w:before="8" w:after="0"/>
        <w:ind w:left="538" w:right="0" w:firstLine="0"/>
        <w:jc w:val="left"/>
        <w:rPr>
          <w:sz w:val="21"/>
        </w:rPr>
      </w:pPr>
      <w:r>
        <w:rPr>
          <w:spacing w:val="-3"/>
          <w:sz w:val="21"/>
        </w:rPr>
        <w:t>保险合同；</w:t>
      </w:r>
    </w:p>
    <w:p>
      <w:pPr>
        <w:pStyle w:val="ListParagraph"/>
        <w:numPr>
          <w:ilvl w:val="0"/>
          <w:numId w:val="6"/>
        </w:numPr>
        <w:tabs>
          <w:tab w:pos="803" w:val="left" w:leader="none"/>
        </w:tabs>
        <w:spacing w:line="240" w:lineRule="auto" w:before="21" w:after="0"/>
        <w:ind w:left="538" w:right="0" w:firstLine="0"/>
        <w:jc w:val="left"/>
        <w:rPr>
          <w:sz w:val="21"/>
        </w:rPr>
      </w:pPr>
      <w:r>
        <w:rPr>
          <w:spacing w:val="-3"/>
          <w:sz w:val="21"/>
        </w:rPr>
        <w:t>受益人的有效身份证件；</w:t>
      </w:r>
    </w:p>
    <w:p>
      <w:pPr>
        <w:pStyle w:val="ListParagraph"/>
        <w:numPr>
          <w:ilvl w:val="0"/>
          <w:numId w:val="6"/>
        </w:numPr>
        <w:tabs>
          <w:tab w:pos="803" w:val="left" w:leader="none"/>
        </w:tabs>
        <w:spacing w:line="240" w:lineRule="auto" w:before="21" w:after="0"/>
        <w:ind w:left="538" w:right="0" w:firstLine="0"/>
        <w:jc w:val="left"/>
        <w:rPr>
          <w:sz w:val="21"/>
        </w:rPr>
      </w:pPr>
      <w:r>
        <w:rPr>
          <w:spacing w:val="-3"/>
          <w:sz w:val="21"/>
        </w:rPr>
        <w:t>国家卫生行政部门认定的医疗机构、公安部门或其他相关机构出具的被保险人的死亡证明；</w:t>
      </w:r>
    </w:p>
    <w:p>
      <w:pPr>
        <w:pStyle w:val="ListParagraph"/>
        <w:numPr>
          <w:ilvl w:val="0"/>
          <w:numId w:val="6"/>
        </w:numPr>
        <w:tabs>
          <w:tab w:pos="803" w:val="left" w:leader="none"/>
        </w:tabs>
        <w:spacing w:line="256" w:lineRule="auto" w:before="21" w:after="0"/>
        <w:ind w:left="538" w:right="3038" w:firstLine="0"/>
        <w:jc w:val="left"/>
        <w:rPr>
          <w:sz w:val="21"/>
        </w:rPr>
      </w:pPr>
      <w:r>
        <w:rPr>
          <w:spacing w:val="-3"/>
          <w:sz w:val="21"/>
        </w:rPr>
        <w:t>所能提供的与确认保险事故的性质、原因等有关的其他证明和资料。三、投保人身故豁免保险费或投保人全残豁免保险费的申请</w:t>
      </w:r>
    </w:p>
    <w:p>
      <w:pPr>
        <w:pStyle w:val="BodyText"/>
        <w:spacing w:line="273" w:lineRule="auto" w:before="22"/>
        <w:ind w:left="117" w:right="120" w:firstLine="420"/>
      </w:pPr>
      <w:r>
        <w:rPr/>
        <w:t>在申请投保人身故豁免保险费或投保人全残豁免保险费时，申请人应填写保险金给付申请书，并提供以下证明和资料：</w:t>
      </w:r>
    </w:p>
    <w:p>
      <w:pPr>
        <w:pStyle w:val="ListParagraph"/>
        <w:numPr>
          <w:ilvl w:val="0"/>
          <w:numId w:val="7"/>
        </w:numPr>
        <w:tabs>
          <w:tab w:pos="803" w:val="left" w:leader="none"/>
        </w:tabs>
        <w:spacing w:line="240" w:lineRule="auto" w:before="8" w:after="0"/>
        <w:ind w:left="117" w:right="0" w:firstLine="421"/>
        <w:jc w:val="left"/>
        <w:rPr>
          <w:sz w:val="21"/>
        </w:rPr>
      </w:pPr>
      <w:r>
        <w:rPr>
          <w:spacing w:val="-3"/>
          <w:sz w:val="21"/>
        </w:rPr>
        <w:t>保险合同；</w:t>
      </w:r>
    </w:p>
    <w:p>
      <w:pPr>
        <w:pStyle w:val="ListParagraph"/>
        <w:numPr>
          <w:ilvl w:val="0"/>
          <w:numId w:val="7"/>
        </w:numPr>
        <w:tabs>
          <w:tab w:pos="803" w:val="left" w:leader="none"/>
        </w:tabs>
        <w:spacing w:line="240" w:lineRule="auto" w:before="21" w:after="0"/>
        <w:ind w:left="117" w:right="0" w:firstLine="421"/>
        <w:jc w:val="left"/>
        <w:rPr>
          <w:sz w:val="21"/>
        </w:rPr>
      </w:pPr>
      <w:r>
        <w:rPr>
          <w:spacing w:val="-3"/>
          <w:sz w:val="21"/>
        </w:rPr>
        <w:t>申请人的有效身份证件；</w:t>
      </w:r>
    </w:p>
    <w:p>
      <w:pPr>
        <w:pStyle w:val="ListParagraph"/>
        <w:numPr>
          <w:ilvl w:val="0"/>
          <w:numId w:val="7"/>
        </w:numPr>
        <w:tabs>
          <w:tab w:pos="803" w:val="left" w:leader="none"/>
        </w:tabs>
        <w:spacing w:line="240" w:lineRule="auto" w:before="21" w:after="0"/>
        <w:ind w:left="117" w:right="0" w:firstLine="421"/>
        <w:jc w:val="left"/>
        <w:rPr>
          <w:sz w:val="21"/>
        </w:rPr>
      </w:pPr>
      <w:r>
        <w:rPr>
          <w:spacing w:val="-3"/>
          <w:sz w:val="21"/>
        </w:rPr>
        <w:t>被保险人的有效身份证件；</w:t>
      </w:r>
    </w:p>
    <w:p>
      <w:pPr>
        <w:pStyle w:val="ListParagraph"/>
        <w:numPr>
          <w:ilvl w:val="0"/>
          <w:numId w:val="7"/>
        </w:numPr>
        <w:tabs>
          <w:tab w:pos="803" w:val="left" w:leader="none"/>
        </w:tabs>
        <w:spacing w:line="256" w:lineRule="auto" w:before="21" w:after="0"/>
        <w:ind w:left="117" w:right="117" w:firstLine="421"/>
        <w:jc w:val="left"/>
        <w:rPr>
          <w:sz w:val="21"/>
        </w:rPr>
      </w:pPr>
      <w:r>
        <w:rPr>
          <w:spacing w:val="-5"/>
          <w:sz w:val="21"/>
        </w:rPr>
        <w:t>国家卫生行政部门认定的医疗机构、公安部门或其他相关机构出具的投保人的死亡证明</w:t>
      </w:r>
      <w:r>
        <w:rPr>
          <w:sz w:val="21"/>
        </w:rPr>
        <w:t>（</w:t>
      </w:r>
      <w:r>
        <w:rPr>
          <w:spacing w:val="-3"/>
          <w:sz w:val="21"/>
        </w:rPr>
        <w:t>申请投保人</w:t>
      </w:r>
      <w:r>
        <w:rPr>
          <w:spacing w:val="-3"/>
          <w:w w:val="100"/>
          <w:sz w:val="21"/>
        </w:rPr>
        <w:t>身故豁免保险费时需要提供</w:t>
      </w:r>
      <w:r>
        <w:rPr>
          <w:spacing w:val="-106"/>
          <w:w w:val="100"/>
          <w:sz w:val="21"/>
        </w:rPr>
        <w:t>）</w:t>
      </w:r>
      <w:r>
        <w:rPr>
          <w:w w:val="100"/>
          <w:sz w:val="21"/>
        </w:rPr>
        <w:t>；</w:t>
      </w:r>
    </w:p>
    <w:p>
      <w:pPr>
        <w:pStyle w:val="ListParagraph"/>
        <w:numPr>
          <w:ilvl w:val="0"/>
          <w:numId w:val="7"/>
        </w:numPr>
        <w:tabs>
          <w:tab w:pos="803" w:val="left" w:leader="none"/>
        </w:tabs>
        <w:spacing w:line="240" w:lineRule="auto" w:before="22" w:after="0"/>
        <w:ind w:left="117" w:right="0" w:firstLine="421"/>
        <w:jc w:val="left"/>
        <w:rPr>
          <w:sz w:val="21"/>
        </w:rPr>
      </w:pPr>
      <w:r>
        <w:rPr>
          <w:spacing w:val="-3"/>
          <w:w w:val="100"/>
          <w:sz w:val="21"/>
        </w:rPr>
        <w:t>医院或法定伤残鉴定机构出具的投保人残疾证明或资料</w:t>
      </w:r>
      <w:r>
        <w:rPr>
          <w:w w:val="100"/>
          <w:sz w:val="21"/>
        </w:rPr>
        <w:t>（</w:t>
      </w:r>
      <w:r>
        <w:rPr>
          <w:spacing w:val="-3"/>
          <w:w w:val="100"/>
          <w:sz w:val="21"/>
        </w:rPr>
        <w:t>申请投保人全残豁免保险费时需要提供</w:t>
      </w:r>
      <w:r>
        <w:rPr>
          <w:spacing w:val="-108"/>
          <w:w w:val="100"/>
          <w:sz w:val="21"/>
        </w:rPr>
        <w:t>）</w:t>
      </w:r>
      <w:r>
        <w:rPr>
          <w:w w:val="100"/>
          <w:sz w:val="21"/>
        </w:rPr>
        <w:t>；</w:t>
      </w:r>
    </w:p>
    <w:p>
      <w:pPr>
        <w:pStyle w:val="ListParagraph"/>
        <w:numPr>
          <w:ilvl w:val="0"/>
          <w:numId w:val="7"/>
        </w:numPr>
        <w:tabs>
          <w:tab w:pos="803" w:val="left" w:leader="none"/>
        </w:tabs>
        <w:spacing w:line="240" w:lineRule="auto" w:before="20" w:after="0"/>
        <w:ind w:left="117" w:right="0" w:firstLine="421"/>
        <w:jc w:val="left"/>
        <w:rPr>
          <w:sz w:val="21"/>
        </w:rPr>
      </w:pPr>
      <w:r>
        <w:rPr>
          <w:spacing w:val="-3"/>
          <w:sz w:val="21"/>
        </w:rPr>
        <w:t>所能提供的与确认保险事故的性质、原因等有关的其他证明和资料。</w:t>
      </w:r>
    </w:p>
    <w:p>
      <w:pPr>
        <w:pStyle w:val="BodyText"/>
        <w:spacing w:line="273" w:lineRule="auto" w:before="20"/>
        <w:ind w:left="117" w:right="118" w:firstLine="420"/>
        <w:jc w:val="both"/>
      </w:pPr>
      <w:r>
        <w:rPr/>
        <w:t>对于申请投保人全残豁免保险费的，保险费的豁免生效后，我们有权要求投保人提供投保人持续全残证明，或到医院或法定伤残机构接受体检，检查费由我们承担。如果投保人不能提供持续全残证明且未能按我们的要求进行体检，以证实其持续全残的，我们有权停止豁免保险费。</w:t>
      </w:r>
    </w:p>
    <w:p>
      <w:pPr>
        <w:pStyle w:val="BodyText"/>
        <w:spacing w:before="5"/>
        <w:rPr>
          <w:sz w:val="24"/>
        </w:rPr>
      </w:pPr>
    </w:p>
    <w:p>
      <w:pPr>
        <w:pStyle w:val="BodyText"/>
        <w:spacing w:line="273" w:lineRule="auto"/>
        <w:ind w:left="117" w:right="1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5"/>
        <w:rPr>
          <w:sz w:val="24"/>
        </w:rPr>
      </w:pPr>
    </w:p>
    <w:p>
      <w:pPr>
        <w:pStyle w:val="Heading2"/>
        <w:tabs>
          <w:tab w:pos="1197" w:val="left" w:leader="none"/>
        </w:tabs>
      </w:pPr>
      <w:bookmarkStart w:name="_bookmark18" w:id="19"/>
      <w:bookmarkEnd w:id="19"/>
      <w:r>
        <w:rPr>
          <w:b w:val="0"/>
        </w:rPr>
      </w:r>
      <w:r>
        <w:rPr/>
        <w:t>第十五条</w:t>
        <w:tab/>
        <w:t>保险金给付</w:t>
      </w:r>
    </w:p>
    <w:p>
      <w:pPr>
        <w:pStyle w:val="BodyText"/>
        <w:spacing w:before="37"/>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1"/>
        <w:ind w:left="117" w:right="4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0"/>
        <w:ind w:left="117" w:right="117"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6"/>
        <w:rPr>
          <w:sz w:val="25"/>
        </w:rPr>
      </w:pPr>
    </w:p>
    <w:p>
      <w:pPr>
        <w:pStyle w:val="Heading2"/>
        <w:tabs>
          <w:tab w:pos="1197" w:val="left" w:leader="none"/>
        </w:tabs>
      </w:pPr>
      <w:bookmarkStart w:name="_bookmark19" w:id="20"/>
      <w:bookmarkEnd w:id="20"/>
      <w:r>
        <w:rPr>
          <w:b w:val="0"/>
        </w:rPr>
      </w:r>
      <w:r>
        <w:rPr/>
        <w:t>第十六条</w:t>
        <w:tab/>
        <w:t>司法鉴定</w:t>
      </w:r>
    </w:p>
    <w:p>
      <w:pPr>
        <w:pStyle w:val="BodyText"/>
        <w:spacing w:before="36"/>
        <w:ind w:left="538"/>
      </w:pPr>
      <w:r>
        <w:rPr/>
        <w:t>如果被保险人身故，我们有权要求司法鉴定机构对保险事故进行鉴定。</w:t>
      </w:r>
    </w:p>
    <w:p>
      <w:pPr>
        <w:pStyle w:val="BodyText"/>
        <w:spacing w:before="8"/>
        <w:rPr>
          <w:sz w:val="26"/>
        </w:rPr>
      </w:pPr>
    </w:p>
    <w:p>
      <w:pPr>
        <w:pStyle w:val="Heading2"/>
        <w:tabs>
          <w:tab w:pos="1197" w:val="left" w:leader="none"/>
        </w:tabs>
      </w:pPr>
      <w:bookmarkStart w:name="_bookmark20" w:id="21"/>
      <w:bookmarkEnd w:id="21"/>
      <w:r>
        <w:rPr>
          <w:b w:val="0"/>
        </w:rPr>
      </w:r>
      <w:r>
        <w:rPr/>
        <w:t>第十七条</w:t>
        <w:tab/>
        <w:t>失踪处理</w:t>
      </w:r>
    </w:p>
    <w:p>
      <w:pPr>
        <w:pStyle w:val="BodyText"/>
        <w:spacing w:line="264" w:lineRule="auto" w:before="36"/>
        <w:ind w:left="117" w:right="112" w:firstLine="420"/>
        <w:jc w:val="both"/>
      </w:pPr>
      <w:r>
        <w:rPr>
          <w:spacing w:val="-3"/>
        </w:rPr>
        <w:t>在本附加合同保险期间内且本附加合同有效，如果被保险人失踪，且经法院宣告死亡，申请人可以向我</w:t>
      </w:r>
      <w:r>
        <w:rPr>
          <w:spacing w:val="-12"/>
        </w:rPr>
        <w:t>们申请身故保险金，我们以法院判决宣告之被保险人死亡日为被保险人死亡的日期，并且按第七条</w:t>
      </w:r>
      <w:r>
        <w:rPr>
          <w:rFonts w:ascii="Times New Roman" w:hAnsi="Times New Roman" w:eastAsia="Times New Roman"/>
        </w:rPr>
        <w:t>“</w:t>
      </w:r>
      <w:r>
        <w:rPr>
          <w:spacing w:val="-2"/>
        </w:rPr>
        <w:t>保险责任</w:t>
      </w:r>
      <w:r>
        <w:rPr>
          <w:rFonts w:ascii="Times New Roman" w:hAnsi="Times New Roman" w:eastAsia="Times New Roman"/>
        </w:rPr>
        <w:t>” </w:t>
      </w:r>
      <w:r>
        <w:rPr>
          <w:spacing w:val="-2"/>
        </w:rPr>
        <w:t>第三款处理。</w:t>
      </w:r>
    </w:p>
    <w:p>
      <w:pPr>
        <w:spacing w:after="0" w:line="264" w:lineRule="auto"/>
        <w:jc w:val="both"/>
        <w:sectPr>
          <w:pgSz w:w="11910" w:h="16160"/>
          <w:pgMar w:header="0" w:footer="631" w:top="1340" w:bottom="900" w:left="960" w:right="800"/>
        </w:sectPr>
      </w:pPr>
    </w:p>
    <w:p>
      <w:pPr>
        <w:pStyle w:val="BodyText"/>
        <w:spacing w:before="27"/>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1"/>
        <w:ind w:left="117"/>
      </w:pPr>
      <w:r>
        <w:rPr/>
        <w:t>日内，向我们退还已领取的身故保险金。退还保险金后，本附加合同的效力由您和我们协商处理。</w:t>
      </w:r>
    </w:p>
    <w:p>
      <w:pPr>
        <w:pStyle w:val="BodyText"/>
        <w:spacing w:line="273" w:lineRule="auto" w:before="37"/>
        <w:ind w:left="117" w:right="117" w:firstLine="420"/>
        <w:jc w:val="both"/>
      </w:pPr>
      <w:r>
        <w:rPr/>
        <w:t>在本附加合同保险期间内且本附加合同有效，如果投保人失踪，且经法院宣告死亡，申请人可以向我们申请投保人身故豁免保险费，我们以法院判决宣告之投保人死亡日为投保人死亡的日期，并且按本附加合同第七条</w:t>
      </w:r>
      <w:r>
        <w:rPr>
          <w:rFonts w:ascii="Times New Roman" w:hAnsi="Times New Roman" w:eastAsia="Times New Roman"/>
        </w:rPr>
        <w:t>“</w:t>
      </w:r>
      <w:r>
        <w:rPr/>
        <w:t>保险责任</w:t>
      </w:r>
      <w:r>
        <w:rPr>
          <w:rFonts w:ascii="Times New Roman" w:hAnsi="Times New Roman" w:eastAsia="Times New Roman"/>
        </w:rPr>
        <w:t>”</w:t>
      </w:r>
      <w:r>
        <w:rPr/>
        <w:t>第四款处理。</w:t>
      </w:r>
    </w:p>
    <w:p>
      <w:pPr>
        <w:pStyle w:val="BodyText"/>
        <w:spacing w:line="256" w:lineRule="auto"/>
        <w:ind w:left="117" w:right="114" w:firstLine="420"/>
      </w:pPr>
      <w:r>
        <w:rPr>
          <w:spacing w:val="-8"/>
        </w:rPr>
        <w:t>如果投保人在宣告死亡后重新出现或确知其下落，被保险人或其监护人应在知道投保人生还之日起 </w:t>
      </w:r>
      <w:r>
        <w:rPr>
          <w:rFonts w:ascii="Times New Roman" w:eastAsia="Times New Roman"/>
        </w:rPr>
        <w:t>30 </w:t>
      </w:r>
      <w:r>
        <w:rPr/>
        <w:t>日</w:t>
      </w:r>
      <w:r>
        <w:rPr>
          <w:spacing w:val="-3"/>
        </w:rPr>
        <w:t>内，向我们无息退还到期但已豁免的保险费。</w:t>
      </w:r>
    </w:p>
    <w:p>
      <w:pPr>
        <w:pStyle w:val="BodyText"/>
        <w:spacing w:before="3"/>
        <w:rPr>
          <w:sz w:val="24"/>
        </w:rPr>
      </w:pPr>
    </w:p>
    <w:p>
      <w:pPr>
        <w:pStyle w:val="Heading1"/>
        <w:tabs>
          <w:tab w:pos="1418" w:val="left" w:leader="none"/>
        </w:tabs>
        <w:spacing w:before="1"/>
      </w:pPr>
      <w:bookmarkStart w:name="_bookmark21" w:id="22"/>
      <w:bookmarkEnd w:id="22"/>
      <w:r>
        <w:rPr>
          <w:b w:val="0"/>
        </w:rPr>
      </w:r>
      <w:r>
        <w:rPr/>
        <w:t>第五部分</w:t>
        <w:tab/>
      </w:r>
      <w:r>
        <w:rPr>
          <w:w w:val="95"/>
        </w:rPr>
        <w:t>您还享有哪些权益</w:t>
      </w:r>
    </w:p>
    <w:p>
      <w:pPr>
        <w:pStyle w:val="BodyText"/>
        <w:spacing w:before="10"/>
        <w:rPr>
          <w:b/>
          <w:sz w:val="25"/>
        </w:rPr>
      </w:pPr>
    </w:p>
    <w:p>
      <w:pPr>
        <w:pStyle w:val="Heading2"/>
        <w:tabs>
          <w:tab w:pos="1197" w:val="left" w:leader="none"/>
        </w:tabs>
      </w:pPr>
      <w:bookmarkStart w:name="_bookmark22" w:id="23"/>
      <w:bookmarkEnd w:id="23"/>
      <w:r>
        <w:rPr>
          <w:b w:val="0"/>
        </w:rPr>
      </w:r>
      <w:r>
        <w:rPr/>
        <w:t>第十八条</w:t>
        <w:tab/>
        <w:t>合同内容的变更权</w:t>
      </w:r>
    </w:p>
    <w:p>
      <w:pPr>
        <w:pStyle w:val="BodyText"/>
        <w:spacing w:line="273" w:lineRule="auto" w:before="37"/>
        <w:ind w:left="117" w:right="120" w:firstLine="420"/>
      </w:pPr>
      <w:r>
        <w:rPr/>
        <w:t>您和我们协商同意后，有权变更本附加合同的有关内容，并由我们在保险单或保险凭证上批注，或签订合同变更的书面协议。</w:t>
      </w:r>
    </w:p>
    <w:p>
      <w:pPr>
        <w:pStyle w:val="BodyText"/>
        <w:spacing w:before="5"/>
        <w:rPr>
          <w:sz w:val="24"/>
        </w:rPr>
      </w:pPr>
    </w:p>
    <w:p>
      <w:pPr>
        <w:pStyle w:val="Heading2"/>
        <w:tabs>
          <w:tab w:pos="1197" w:val="left" w:leader="none"/>
        </w:tabs>
      </w:pPr>
      <w:bookmarkStart w:name="_bookmark23" w:id="24"/>
      <w:bookmarkEnd w:id="24"/>
      <w:r>
        <w:rPr>
          <w:b w:val="0"/>
        </w:rPr>
      </w:r>
      <w:r>
        <w:rPr/>
        <w:t>第十九条</w:t>
        <w:tab/>
        <w:t>合同效力的中止与</w:t>
      </w:r>
      <w:r>
        <w:rPr>
          <w:spacing w:val="-3"/>
        </w:rPr>
        <w:t>恢复</w:t>
      </w:r>
    </w:p>
    <w:p>
      <w:pPr>
        <w:spacing w:before="36"/>
        <w:ind w:left="538" w:right="0" w:firstLine="0"/>
        <w:jc w:val="left"/>
        <w:rPr>
          <w:b/>
          <w:sz w:val="21"/>
        </w:rPr>
      </w:pPr>
      <w:r>
        <w:rPr>
          <w:b/>
          <w:sz w:val="21"/>
        </w:rPr>
        <w:t>在本附加合同效力中止期间，我们不承担保险责任。</w:t>
      </w:r>
    </w:p>
    <w:p>
      <w:pPr>
        <w:pStyle w:val="BodyText"/>
        <w:spacing w:before="36"/>
        <w:ind w:left="538"/>
      </w:pPr>
      <w:r>
        <w:rPr/>
        <w:t>本附加合同效力中止后 </w:t>
      </w:r>
      <w:r>
        <w:rPr>
          <w:rFonts w:ascii="Times New Roman" w:eastAsia="Times New Roman"/>
        </w:rPr>
        <w:t>2 </w:t>
      </w:r>
      <w:r>
        <w:rPr/>
        <w:t>年内，您可以申请恢复合同效力。</w:t>
      </w:r>
    </w:p>
    <w:p>
      <w:pPr>
        <w:pStyle w:val="BodyText"/>
        <w:spacing w:line="273" w:lineRule="auto" w:before="20"/>
        <w:ind w:left="117" w:right="120" w:firstLine="420"/>
      </w:pPr>
      <w:r>
        <w:rPr/>
        <w:t>因欠交保险费导致合同效力中止的，经我们与您协商并达成协议，在您补交保险费及累积利息之日起， 合同效力恢复。</w:t>
      </w:r>
    </w:p>
    <w:p>
      <w:pPr>
        <w:pStyle w:val="BodyText"/>
        <w:spacing w:line="256" w:lineRule="auto" w:before="7"/>
        <w:ind w:left="117" w:right="71" w:firstLine="420"/>
      </w:pPr>
      <w:r>
        <w:rPr/>
        <w:t>自本附加合同效力中止之日起满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7"/>
        <w:rPr>
          <w:sz w:val="25"/>
        </w:rPr>
      </w:pPr>
    </w:p>
    <w:p>
      <w:pPr>
        <w:pStyle w:val="Heading2"/>
        <w:tabs>
          <w:tab w:pos="1433" w:val="left" w:leader="none"/>
        </w:tabs>
      </w:pPr>
      <w:bookmarkStart w:name="_bookmark24" w:id="25"/>
      <w:bookmarkEnd w:id="25"/>
      <w:r>
        <w:rPr>
          <w:b w:val="0"/>
        </w:rPr>
      </w:r>
      <w:r>
        <w:rPr/>
        <w:t>第二十条</w:t>
        <w:tab/>
        <w:t>犹豫期</w:t>
      </w:r>
    </w:p>
    <w:p>
      <w:pPr>
        <w:pStyle w:val="BodyText"/>
        <w:spacing w:before="36"/>
        <w:ind w:left="538"/>
      </w:pPr>
      <w:r>
        <w:rPr/>
        <w:t>您在收到本附加合同并书面签收之日起可享有 </w:t>
      </w:r>
      <w:r>
        <w:rPr>
          <w:rFonts w:ascii="Times New Roman" w:eastAsia="Times New Roman"/>
        </w:rPr>
        <w:t>15 </w:t>
      </w:r>
      <w:r>
        <w:rPr/>
        <w:t>日的犹豫期，在犹豫期内要求解除本附加合同的，在我</w:t>
      </w:r>
    </w:p>
    <w:p>
      <w:pPr>
        <w:pStyle w:val="BodyText"/>
        <w:spacing w:line="256" w:lineRule="auto" w:before="20"/>
        <w:ind w:left="117" w:right="11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费后，无息退还已交保险费。</w:t>
      </w:r>
    </w:p>
    <w:p>
      <w:pPr>
        <w:pStyle w:val="BodyText"/>
        <w:spacing w:before="6"/>
        <w:rPr>
          <w:sz w:val="25"/>
        </w:rPr>
      </w:pPr>
    </w:p>
    <w:p>
      <w:pPr>
        <w:pStyle w:val="Heading2"/>
        <w:tabs>
          <w:tab w:pos="1433" w:val="left" w:leader="none"/>
        </w:tabs>
      </w:pPr>
      <w:bookmarkStart w:name="_bookmark25" w:id="26"/>
      <w:bookmarkEnd w:id="26"/>
      <w:r>
        <w:rPr>
          <w:b w:val="0"/>
        </w:rPr>
      </w:r>
      <w:r>
        <w:rPr/>
        <w:t>第二十一条</w:t>
        <w:tab/>
        <w:t>您解除合同的手续</w:t>
      </w:r>
      <w:r>
        <w:rPr>
          <w:spacing w:val="-3"/>
        </w:rPr>
        <w:t>及</w:t>
      </w:r>
      <w:r>
        <w:rPr/>
        <w:t>风险</w:t>
      </w:r>
    </w:p>
    <w:p>
      <w:pPr>
        <w:pStyle w:val="BodyText"/>
        <w:spacing w:line="273" w:lineRule="auto" w:before="36"/>
        <w:ind w:left="538" w:right="1617"/>
      </w:pPr>
      <w:r>
        <w:rPr/>
        <w:t>如您在犹豫期后申请解除本附加合同，请填写解除合同申请书并向我们提供下列资料： 一、保险合同；</w:t>
      </w:r>
    </w:p>
    <w:p>
      <w:pPr>
        <w:pStyle w:val="BodyText"/>
        <w:spacing w:before="7"/>
        <w:ind w:left="538"/>
      </w:pPr>
      <w:r>
        <w:rPr/>
        <w:t>二、您的有效身份证件。</w:t>
      </w:r>
    </w:p>
    <w:p>
      <w:pPr>
        <w:pStyle w:val="BodyText"/>
        <w:spacing w:line="256" w:lineRule="auto" w:before="37"/>
        <w:ind w:left="117" w:right="1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3"/>
        <w:ind w:left="538"/>
      </w:pPr>
      <w:r>
        <w:rPr/>
        <w:t>您犹豫期后解除合同会遭受一定损失。</w:t>
      </w:r>
    </w:p>
    <w:p>
      <w:pPr>
        <w:pStyle w:val="BodyText"/>
        <w:spacing w:before="7"/>
        <w:rPr>
          <w:sz w:val="24"/>
        </w:rPr>
      </w:pPr>
    </w:p>
    <w:p>
      <w:pPr>
        <w:pStyle w:val="Heading1"/>
        <w:tabs>
          <w:tab w:pos="1418" w:val="left" w:leader="none"/>
        </w:tabs>
        <w:ind w:right="2"/>
      </w:pPr>
      <w:bookmarkStart w:name="_bookmark26" w:id="27"/>
      <w:bookmarkEnd w:id="27"/>
      <w:r>
        <w:rPr>
          <w:b w:val="0"/>
        </w:rPr>
      </w:r>
      <w:r>
        <w:rPr/>
        <w:t>第六部分</w:t>
        <w:tab/>
      </w:r>
      <w:r>
        <w:rPr>
          <w:w w:val="95"/>
        </w:rPr>
        <w:t>您必须了解的其他事项</w:t>
      </w:r>
    </w:p>
    <w:p>
      <w:pPr>
        <w:pStyle w:val="BodyText"/>
        <w:spacing w:before="10"/>
        <w:rPr>
          <w:b/>
          <w:sz w:val="25"/>
        </w:rPr>
      </w:pPr>
    </w:p>
    <w:p>
      <w:pPr>
        <w:pStyle w:val="Heading2"/>
        <w:tabs>
          <w:tab w:pos="1377" w:val="left" w:leader="none"/>
        </w:tabs>
      </w:pPr>
      <w:bookmarkStart w:name="_bookmark27" w:id="28"/>
      <w:bookmarkEnd w:id="28"/>
      <w:r>
        <w:rPr>
          <w:b w:val="0"/>
        </w:rPr>
      </w:r>
      <w:r>
        <w:rPr/>
        <w:t>第二十二条</w:t>
        <w:tab/>
        <w:t>明确说明与如实告知</w:t>
      </w:r>
    </w:p>
    <w:p>
      <w:pPr>
        <w:pStyle w:val="BodyText"/>
        <w:spacing w:before="44"/>
        <w:ind w:left="538"/>
      </w:pPr>
      <w:r>
        <w:rPr/>
        <w:t>订立本附加合同时，我们应向您说明本附加合同的内容。</w:t>
      </w:r>
    </w:p>
    <w:p>
      <w:pPr>
        <w:pStyle w:val="BodyText"/>
        <w:spacing w:line="261" w:lineRule="auto" w:before="25"/>
        <w:ind w:left="117"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6"/>
        <w:ind w:left="538"/>
      </w:pPr>
      <w:r>
        <w:rPr/>
        <w:t>我们就您和被保险人的有关情况提出询问，您应当如实告知。</w:t>
      </w:r>
    </w:p>
    <w:p>
      <w:pPr>
        <w:spacing w:before="25"/>
        <w:ind w:left="540" w:right="0" w:firstLine="0"/>
        <w:jc w:val="left"/>
        <w:rPr>
          <w:b/>
          <w:sz w:val="21"/>
        </w:rPr>
      </w:pPr>
      <w:r>
        <w:rPr>
          <w:b/>
          <w:sz w:val="21"/>
        </w:rPr>
        <w:t>如果您故意或者因重大过失未履行前款规定的如实告知义务，足以影响我们决定是否同意承保或者提高</w:t>
      </w:r>
    </w:p>
    <w:p>
      <w:pPr>
        <w:spacing w:after="0"/>
        <w:jc w:val="left"/>
        <w:rPr>
          <w:sz w:val="21"/>
        </w:rPr>
        <w:sectPr>
          <w:pgSz w:w="11910" w:h="16160"/>
          <w:pgMar w:header="0" w:footer="631" w:top="1340" w:bottom="900" w:left="960" w:right="800"/>
        </w:sectPr>
      </w:pPr>
    </w:p>
    <w:p>
      <w:pPr>
        <w:spacing w:before="14"/>
        <w:ind w:left="117" w:right="0" w:firstLine="0"/>
        <w:jc w:val="left"/>
        <w:rPr>
          <w:b/>
          <w:sz w:val="21"/>
        </w:rPr>
      </w:pPr>
      <w:r>
        <w:rPr>
          <w:b/>
          <w:sz w:val="21"/>
        </w:rPr>
        <w:t>保险费率的，我们有权解除本附加合同。</w:t>
      </w:r>
    </w:p>
    <w:p>
      <w:pPr>
        <w:spacing w:line="261" w:lineRule="auto" w:before="25"/>
        <w:ind w:left="117" w:right="117" w:firstLine="422"/>
        <w:jc w:val="both"/>
        <w:rPr>
          <w:b/>
          <w:sz w:val="21"/>
        </w:rPr>
      </w:pPr>
      <w:r>
        <w:rPr>
          <w:b/>
          <w:sz w:val="21"/>
        </w:rPr>
        <w:t>如果您故意不履行如实告知义务，对于本附加合同解除前发生的保险事故，我们不承担给付保险金的责任，并不退还保险费。</w:t>
      </w:r>
    </w:p>
    <w:p>
      <w:pPr>
        <w:spacing w:line="261" w:lineRule="auto" w:before="6"/>
        <w:ind w:left="117" w:right="117" w:firstLine="422"/>
        <w:jc w:val="both"/>
        <w:rPr>
          <w:b/>
          <w:sz w:val="21"/>
        </w:rPr>
      </w:pPr>
      <w:r>
        <w:rPr>
          <w:b/>
          <w:sz w:val="21"/>
        </w:rPr>
        <w:t>如果您因重大过失未履行如实告知义务，对保险事故的发生有严重影响的，对于本附加合同解除前发生的保险事故，我们不承担给付保险金的责任，但应当退还保险费。</w:t>
      </w:r>
    </w:p>
    <w:p>
      <w:pPr>
        <w:pStyle w:val="BodyText"/>
        <w:spacing w:line="261" w:lineRule="auto" w:before="6"/>
        <w:ind w:left="117" w:right="120" w:firstLine="420"/>
        <w:jc w:val="both"/>
      </w:pPr>
      <w:r>
        <w:rPr/>
        <w:t>我们在合同订立时已经知道您未如实告知的情况的，我们不得解除合同；发生保险事故的，我们承担给付保险金的责任。</w:t>
      </w:r>
    </w:p>
    <w:p>
      <w:pPr>
        <w:pStyle w:val="BodyText"/>
        <w:spacing w:before="10"/>
        <w:rPr>
          <w:sz w:val="23"/>
        </w:rPr>
      </w:pPr>
    </w:p>
    <w:p>
      <w:pPr>
        <w:pStyle w:val="Heading2"/>
        <w:tabs>
          <w:tab w:pos="1377" w:val="left" w:leader="none"/>
        </w:tabs>
      </w:pPr>
      <w:bookmarkStart w:name="_bookmark28" w:id="29"/>
      <w:bookmarkEnd w:id="29"/>
      <w:r>
        <w:rPr>
          <w:b w:val="0"/>
        </w:rPr>
      </w:r>
      <w:r>
        <w:rPr/>
        <w:t>第二十三条</w:t>
        <w:tab/>
        <w:t>我们合同解除权的</w:t>
      </w:r>
      <w:r>
        <w:rPr>
          <w:spacing w:val="-3"/>
        </w:rPr>
        <w:t>限</w:t>
      </w:r>
      <w:r>
        <w:rPr/>
        <w:t>制</w:t>
      </w:r>
    </w:p>
    <w:p>
      <w:pPr>
        <w:pStyle w:val="BodyText"/>
        <w:spacing w:before="37"/>
        <w:ind w:left="538"/>
      </w:pPr>
      <w:r>
        <w:rPr/>
        <w:t>前条规定的合同解除权，自我们知道有解除事由之日起，超过 </w:t>
      </w:r>
      <w:r>
        <w:rPr>
          <w:rFonts w:ascii="Times New Roman" w:eastAsia="Times New Roman"/>
        </w:rPr>
        <w:t>30 </w:t>
      </w:r>
      <w:r>
        <w:rPr/>
        <w:t>日不行使而消灭。自本附加合同成立之</w:t>
      </w:r>
    </w:p>
    <w:p>
      <w:pPr>
        <w:pStyle w:val="BodyText"/>
        <w:spacing w:before="21"/>
        <w:ind w:left="117"/>
      </w:pPr>
      <w:r>
        <w:rPr/>
        <w:t>日起超过 </w:t>
      </w:r>
      <w:r>
        <w:rPr>
          <w:rFonts w:ascii="Times New Roman" w:eastAsia="Times New Roman"/>
        </w:rPr>
        <w:t>2 </w:t>
      </w:r>
      <w:r>
        <w:rPr/>
        <w:t>年的，我们不得解除合同；发生保险事故的，我们承担给付保险金的责任。</w:t>
      </w:r>
    </w:p>
    <w:p>
      <w:pPr>
        <w:pStyle w:val="BodyText"/>
        <w:spacing w:before="6"/>
        <w:rPr>
          <w:sz w:val="25"/>
        </w:rPr>
      </w:pPr>
    </w:p>
    <w:p>
      <w:pPr>
        <w:pStyle w:val="Heading2"/>
        <w:tabs>
          <w:tab w:pos="1377" w:val="left" w:leader="none"/>
        </w:tabs>
      </w:pPr>
      <w:bookmarkStart w:name="_bookmark29" w:id="30"/>
      <w:bookmarkEnd w:id="30"/>
      <w:r>
        <w:rPr>
          <w:b w:val="0"/>
        </w:rPr>
      </w:r>
      <w:r>
        <w:rPr/>
        <w:t>第二十四条</w:t>
        <w:tab/>
        <w:t>年龄错误</w:t>
      </w:r>
    </w:p>
    <w:p>
      <w:pPr>
        <w:pStyle w:val="BodyText"/>
        <w:spacing w:line="273" w:lineRule="auto" w:before="36"/>
        <w:ind w:left="117" w:right="120" w:firstLine="420"/>
        <w:jc w:val="both"/>
      </w:pPr>
      <w:r>
        <w:rPr/>
        <w:t>您在申请投保时，应将与有效身份证件相符的被保险人的出生日期在投保单上填明，如果发生错误按照下列方式办理：</w:t>
      </w:r>
    </w:p>
    <w:p>
      <w:pPr>
        <w:spacing w:line="264" w:lineRule="auto" w:before="7"/>
        <w:ind w:left="117" w:right="114" w:firstLine="420"/>
        <w:jc w:val="both"/>
        <w:rPr>
          <w:sz w:val="21"/>
        </w:rPr>
      </w:pPr>
      <w:r>
        <w:rPr>
          <w:spacing w:val="-2"/>
          <w:sz w:val="21"/>
        </w:rPr>
        <w:t>一、</w:t>
      </w:r>
      <w:r>
        <w:rPr>
          <w:b/>
          <w:spacing w:val="-3"/>
          <w:sz w:val="21"/>
        </w:rPr>
        <w:t>您申报的被保险人年龄不真实，并且其真实年龄不符合本附加合同约定投保年龄限制的，在保险事</w:t>
      </w:r>
      <w:r>
        <w:rPr>
          <w:b/>
          <w:spacing w:val="-8"/>
          <w:sz w:val="21"/>
        </w:rPr>
        <w:t>故发生之前我们有权解除合同，并向您退还保险单的现金价值。</w:t>
      </w:r>
      <w:r>
        <w:rPr>
          <w:spacing w:val="-3"/>
          <w:sz w:val="21"/>
        </w:rPr>
        <w:t>我们行使合同解除权适用</w:t>
      </w:r>
      <w:r>
        <w:rPr>
          <w:rFonts w:ascii="Times New Roman" w:hAnsi="Times New Roman" w:eastAsia="Times New Roman"/>
          <w:spacing w:val="-3"/>
          <w:sz w:val="21"/>
        </w:rPr>
        <w:t>“</w:t>
      </w:r>
      <w:r>
        <w:rPr>
          <w:spacing w:val="-3"/>
          <w:sz w:val="21"/>
        </w:rPr>
        <w:t>我们合同解除权的限制</w:t>
      </w:r>
      <w:r>
        <w:rPr>
          <w:rFonts w:ascii="Times New Roman" w:hAnsi="Times New Roman" w:eastAsia="Times New Roman"/>
          <w:spacing w:val="-3"/>
          <w:sz w:val="21"/>
        </w:rPr>
        <w:t>”</w:t>
      </w:r>
      <w:r>
        <w:rPr>
          <w:spacing w:val="-2"/>
          <w:sz w:val="21"/>
        </w:rPr>
        <w:t>的规定。</w:t>
      </w:r>
    </w:p>
    <w:p>
      <w:pPr>
        <w:pStyle w:val="BodyText"/>
        <w:spacing w:line="273" w:lineRule="auto"/>
        <w:ind w:left="117" w:right="119" w:firstLine="420"/>
        <w:jc w:val="both"/>
      </w:pPr>
      <w:r>
        <w:rPr/>
        <w:t>二、您申报的被保险人年龄不真实，致使您实付保险费少于应付保险费的，我们有权更正并要求您补交保险费。若已经发生保险事故，在给付保险金时按实付保险费和应付保险费的比例给付。</w:t>
      </w:r>
    </w:p>
    <w:p>
      <w:pPr>
        <w:pStyle w:val="BodyText"/>
        <w:spacing w:line="273" w:lineRule="auto" w:before="9"/>
        <w:ind w:left="117" w:right="120" w:firstLine="420"/>
        <w:jc w:val="both"/>
      </w:pPr>
      <w:r>
        <w:rPr/>
        <w:t>三、您申报的被保险人年龄不真实，致使您实付保险费多于应付保险费的，我们会将多收的保险费退还给您。</w:t>
      </w:r>
    </w:p>
    <w:p>
      <w:pPr>
        <w:pStyle w:val="BodyText"/>
        <w:spacing w:before="5"/>
        <w:rPr>
          <w:sz w:val="24"/>
        </w:rPr>
      </w:pPr>
    </w:p>
    <w:p>
      <w:pPr>
        <w:pStyle w:val="Heading2"/>
        <w:tabs>
          <w:tab w:pos="1377" w:val="left" w:leader="none"/>
        </w:tabs>
      </w:pPr>
      <w:bookmarkStart w:name="_bookmark30" w:id="31"/>
      <w:bookmarkEnd w:id="31"/>
      <w:r>
        <w:rPr>
          <w:b w:val="0"/>
        </w:rPr>
      </w:r>
      <w:r>
        <w:rPr/>
        <w:t>第二十五条</w:t>
        <w:tab/>
        <w:t>性别错误</w:t>
      </w:r>
    </w:p>
    <w:p>
      <w:pPr>
        <w:pStyle w:val="BodyText"/>
        <w:spacing w:line="273" w:lineRule="auto" w:before="37"/>
        <w:ind w:left="117" w:right="120" w:firstLine="420"/>
        <w:jc w:val="both"/>
      </w:pPr>
      <w:r>
        <w:rPr/>
        <w:t>您在申请投保时，应将与有效身份证件相符的被保险人的性别在投保单上填明，如果发生错误按照下列方式办理：</w:t>
      </w:r>
    </w:p>
    <w:p>
      <w:pPr>
        <w:pStyle w:val="BodyText"/>
        <w:spacing w:line="273" w:lineRule="auto" w:before="8"/>
        <w:ind w:left="117" w:right="119" w:firstLine="420"/>
        <w:jc w:val="both"/>
      </w:pPr>
      <w:r>
        <w:rPr/>
        <w:t>一、您申报的被保险人性别不真实，致使您实付保险费少于应付保险费的，我们有权更正并要求您补交保险费。若已经发生保险事故，在给付保险金时按实付保险费和应付保险费的比例给付。</w:t>
      </w:r>
    </w:p>
    <w:p>
      <w:pPr>
        <w:pStyle w:val="BodyText"/>
        <w:spacing w:line="273" w:lineRule="auto" w:before="8"/>
        <w:ind w:left="117" w:right="120" w:firstLine="420"/>
        <w:jc w:val="both"/>
      </w:pPr>
      <w:r>
        <w:rPr/>
        <w:t>二、您申报的被保险人性别不真实，致使您实付保险费多于应付保险费的，我们会将多收的保险费退还给您。</w:t>
      </w:r>
    </w:p>
    <w:p>
      <w:pPr>
        <w:pStyle w:val="BodyText"/>
        <w:spacing w:before="2"/>
        <w:rPr>
          <w:sz w:val="23"/>
        </w:rPr>
      </w:pPr>
    </w:p>
    <w:p>
      <w:pPr>
        <w:pStyle w:val="Heading2"/>
        <w:tabs>
          <w:tab w:pos="1377" w:val="left" w:leader="none"/>
        </w:tabs>
      </w:pPr>
      <w:bookmarkStart w:name="_bookmark31" w:id="32"/>
      <w:bookmarkEnd w:id="32"/>
      <w:r>
        <w:rPr>
          <w:b w:val="0"/>
        </w:rPr>
      </w:r>
      <w:r>
        <w:rPr/>
        <w:t>第二十六条</w:t>
        <w:tab/>
        <w:t>未还款项</w:t>
      </w:r>
    </w:p>
    <w:p>
      <w:pPr>
        <w:pStyle w:val="BodyText"/>
        <w:spacing w:line="273" w:lineRule="auto" w:before="13"/>
        <w:ind w:left="117" w:right="120" w:firstLine="420"/>
        <w:jc w:val="both"/>
      </w:pPr>
      <w:r>
        <w:rPr/>
        <w:t>我们在给付各项保险金、退还现金价值或返还保险费时，如果您有欠交的保险费或其他未还款项，我们会在扣除上述款项后给付。</w:t>
      </w:r>
    </w:p>
    <w:p>
      <w:pPr>
        <w:pStyle w:val="BodyText"/>
        <w:spacing w:before="5"/>
        <w:rPr>
          <w:sz w:val="24"/>
        </w:rPr>
      </w:pPr>
    </w:p>
    <w:p>
      <w:pPr>
        <w:pStyle w:val="Heading2"/>
        <w:tabs>
          <w:tab w:pos="1447" w:val="left" w:leader="none"/>
        </w:tabs>
      </w:pPr>
      <w:bookmarkStart w:name="_bookmark32" w:id="33"/>
      <w:bookmarkEnd w:id="33"/>
      <w:r>
        <w:rPr>
          <w:b w:val="0"/>
        </w:rPr>
      </w:r>
      <w:r>
        <w:rPr/>
        <w:t>第二十七条</w:t>
        <w:tab/>
        <w:t>保险合同的终止</w:t>
      </w:r>
    </w:p>
    <w:p>
      <w:pPr>
        <w:pStyle w:val="BodyText"/>
        <w:spacing w:line="273" w:lineRule="auto" w:before="36"/>
        <w:ind w:left="538" w:right="2880"/>
        <w:jc w:val="both"/>
      </w:pPr>
      <w:r>
        <w:rPr/>
        <w:t>除本附加合同另有约定外，本附加合同在发生下列情况之一时自动终止： 一、我们已按本附加合同的约定给付少儿重大疾病保险金或身故保险金； 二、主合同解除或终止；</w:t>
      </w:r>
    </w:p>
    <w:p>
      <w:pPr>
        <w:pStyle w:val="BodyText"/>
        <w:spacing w:before="7"/>
        <w:ind w:left="538"/>
      </w:pPr>
      <w:r>
        <w:rPr/>
        <w:t>三、本附加合同内约定的其他终止情况。</w:t>
      </w:r>
    </w:p>
    <w:p>
      <w:pPr>
        <w:pStyle w:val="BodyText"/>
        <w:spacing w:before="8"/>
        <w:rPr>
          <w:sz w:val="26"/>
        </w:rPr>
      </w:pPr>
    </w:p>
    <w:p>
      <w:pPr>
        <w:pStyle w:val="Heading2"/>
        <w:tabs>
          <w:tab w:pos="1447" w:val="left" w:leader="none"/>
        </w:tabs>
      </w:pPr>
      <w:bookmarkStart w:name="_bookmark33" w:id="34"/>
      <w:bookmarkEnd w:id="34"/>
      <w:r>
        <w:rPr>
          <w:b w:val="0"/>
        </w:rPr>
      </w:r>
      <w:r>
        <w:rPr/>
        <w:t>第二十八条</w:t>
        <w:tab/>
        <w:t>联系方式的变更</w:t>
      </w:r>
    </w:p>
    <w:p>
      <w:pPr>
        <w:pStyle w:val="BodyText"/>
        <w:spacing w:line="273" w:lineRule="auto" w:before="36"/>
        <w:ind w:left="117" w:right="148" w:firstLine="420"/>
        <w:jc w:val="both"/>
      </w:pPr>
      <w:r>
        <w:rPr/>
        <w:t>为了保障您的权益，如果您的联系方式（如联系地址、联系电话、电子邮箱等）发生变化，请及时通知我们。否则，我们将按已知的最后联系方式与您联系。</w:t>
      </w:r>
    </w:p>
    <w:p>
      <w:pPr>
        <w:spacing w:after="0" w:line="273" w:lineRule="auto"/>
        <w:jc w:val="both"/>
        <w:sectPr>
          <w:pgSz w:w="11910" w:h="16160"/>
          <w:pgMar w:header="0" w:footer="631" w:top="1360" w:bottom="900" w:left="960" w:right="800"/>
        </w:sectPr>
      </w:pPr>
    </w:p>
    <w:p>
      <w:pPr>
        <w:pStyle w:val="BodyText"/>
        <w:spacing w:before="5"/>
        <w:rPr>
          <w:sz w:val="9"/>
        </w:rPr>
      </w:pPr>
    </w:p>
    <w:p>
      <w:pPr>
        <w:pStyle w:val="Heading2"/>
        <w:spacing w:before="37"/>
        <w:ind w:left="317"/>
      </w:pPr>
      <w:bookmarkStart w:name="_bookmark34" w:id="35"/>
      <w:bookmarkEnd w:id="35"/>
      <w:r>
        <w:rPr>
          <w:b w:val="0"/>
        </w:rPr>
      </w:r>
      <w:r>
        <w:rPr/>
        <w:t>第二十九条争议处理</w:t>
      </w:r>
    </w:p>
    <w:p>
      <w:pPr>
        <w:pStyle w:val="BodyText"/>
        <w:spacing w:before="37"/>
        <w:ind w:left="738"/>
      </w:pPr>
      <w:r>
        <w:rPr/>
        <w:t>在合同履行过程中，双方发生争议时，可以从下列两种方式中选择一种争议处理方式：</w:t>
      </w:r>
    </w:p>
    <w:p>
      <w:pPr>
        <w:pStyle w:val="BodyText"/>
        <w:spacing w:line="273" w:lineRule="auto" w:before="37"/>
        <w:ind w:left="738" w:right="557"/>
      </w:pPr>
      <w:r>
        <w:rPr/>
        <w:t>一、因履行本合同发生的争议，由双方协商解决，协商不成的，由双方达成仲裁协议通过仲裁解决； 二、因履行本合同发生的争议，由双方协商解决，协商不成的，依法向人民法院起诉。</w:t>
      </w:r>
    </w:p>
    <w:p>
      <w:pPr>
        <w:tabs>
          <w:tab w:pos="1577" w:val="left" w:leader="none"/>
        </w:tabs>
        <w:spacing w:line="544" w:lineRule="auto" w:before="7"/>
        <w:ind w:left="317" w:right="2660" w:firstLine="420"/>
        <w:jc w:val="left"/>
        <w:rPr>
          <w:b/>
          <w:sz w:val="21"/>
        </w:rPr>
      </w:pPr>
      <w:r>
        <w:rPr/>
        <w:pict>
          <v:shape style="position:absolute;margin-left:43.880001pt;margin-top:48.171551pt;width:516.35pt;height:465.2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4"/>
                    <w:gridCol w:w="7422"/>
                  </w:tblGrid>
                  <w:tr>
                    <w:trPr>
                      <w:trHeight w:val="925" w:hRule="atLeast"/>
                    </w:trPr>
                    <w:tc>
                      <w:tcPr>
                        <w:tcW w:w="10326" w:type="dxa"/>
                        <w:gridSpan w:val="2"/>
                      </w:tcPr>
                      <w:p>
                        <w:pPr>
                          <w:pStyle w:val="TableParagraph"/>
                          <w:spacing w:line="270" w:lineRule="exact"/>
                          <w:ind w:left="620"/>
                          <w:rPr>
                            <w:sz w:val="21"/>
                          </w:rPr>
                        </w:pPr>
                        <w:r>
                          <w:rPr>
                            <w:sz w:val="21"/>
                          </w:rPr>
                          <w:t>本附加合同所保障的少儿重大疾病，是指被保险人经</w:t>
                        </w:r>
                        <w:r>
                          <w:rPr>
                            <w:b/>
                            <w:sz w:val="21"/>
                          </w:rPr>
                          <w:t>专科医生</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明确诊断初次发生下列疾病或初次达到下</w:t>
                        </w:r>
                      </w:p>
                      <w:p>
                        <w:pPr>
                          <w:pStyle w:val="TableParagraph"/>
                          <w:spacing w:before="21"/>
                          <w:ind w:left="200"/>
                          <w:rPr>
                            <w:sz w:val="21"/>
                          </w:rPr>
                        </w:pPr>
                        <w:r>
                          <w:rPr>
                            <w:sz w:val="21"/>
                          </w:rPr>
                          <w:t>列疾病状态或在医院初次接受下列手术。</w:t>
                        </w:r>
                      </w:p>
                      <w:p>
                        <w:pPr>
                          <w:pStyle w:val="TableParagraph"/>
                          <w:spacing w:before="37"/>
                          <w:ind w:left="620"/>
                          <w:rPr>
                            <w:sz w:val="21"/>
                          </w:rPr>
                        </w:pPr>
                        <w:r>
                          <w:rPr>
                            <w:sz w:val="21"/>
                          </w:rPr>
                          <w:t>本附加合同指的少儿重大疾病包括以下</w:t>
                        </w:r>
                        <w:r>
                          <w:rPr>
                            <w:b/>
                            <w:sz w:val="21"/>
                          </w:rPr>
                          <w:t>十三</w:t>
                        </w:r>
                        <w:r>
                          <w:rPr>
                            <w:sz w:val="21"/>
                          </w:rPr>
                          <w:t>种：</w:t>
                        </w:r>
                      </w:p>
                    </w:tc>
                  </w:tr>
                  <w:tr>
                    <w:trPr>
                      <w:trHeight w:val="3752" w:hRule="atLeast"/>
                    </w:trPr>
                    <w:tc>
                      <w:tcPr>
                        <w:tcW w:w="2904" w:type="dxa"/>
                      </w:tcPr>
                      <w:p>
                        <w:pPr>
                          <w:pStyle w:val="TableParagraph"/>
                          <w:spacing w:line="281" w:lineRule="exact"/>
                          <w:ind w:left="200"/>
                          <w:rPr>
                            <w:sz w:val="21"/>
                          </w:rPr>
                        </w:pPr>
                        <w:r>
                          <w:rPr>
                            <w:rFonts w:ascii="Times New Roman" w:eastAsia="Times New Roman"/>
                            <w:sz w:val="21"/>
                          </w:rPr>
                          <w:t>1.  </w:t>
                        </w:r>
                        <w:r>
                          <w:rPr>
                            <w:sz w:val="21"/>
                          </w:rPr>
                          <w:t>恶性肿瘤</w:t>
                        </w:r>
                      </w:p>
                    </w:tc>
                    <w:tc>
                      <w:tcPr>
                        <w:tcW w:w="7422" w:type="dxa"/>
                      </w:tcPr>
                      <w:p>
                        <w:pPr>
                          <w:pStyle w:val="TableParagraph"/>
                          <w:spacing w:line="273" w:lineRule="auto"/>
                          <w:ind w:left="181" w:right="217"/>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17"/>
                          <w:ind w:left="181"/>
                          <w:jc w:val="both"/>
                          <w:rPr>
                            <w:b/>
                            <w:sz w:val="21"/>
                          </w:rPr>
                        </w:pPr>
                        <w:r>
                          <w:rPr>
                            <w:b/>
                            <w:sz w:val="21"/>
                          </w:rPr>
                          <w:t>下列疾病不在保障范围内：</w:t>
                        </w:r>
                      </w:p>
                      <w:p>
                        <w:pPr>
                          <w:pStyle w:val="TableParagraph"/>
                          <w:spacing w:before="36"/>
                          <w:ind w:left="181"/>
                          <w:jc w:val="both"/>
                          <w:rPr>
                            <w:b/>
                            <w:sz w:val="21"/>
                          </w:rPr>
                        </w:pPr>
                        <w:r>
                          <w:rPr>
                            <w:b/>
                            <w:sz w:val="21"/>
                          </w:rPr>
                          <w:t>（</w:t>
                        </w:r>
                        <w:r>
                          <w:rPr>
                            <w:rFonts w:ascii="Times New Roman" w:eastAsia="Times New Roman"/>
                            <w:b/>
                            <w:sz w:val="21"/>
                          </w:rPr>
                          <w:t>1</w:t>
                        </w:r>
                        <w:r>
                          <w:rPr>
                            <w:b/>
                            <w:sz w:val="21"/>
                          </w:rPr>
                          <w:t>）原位癌；</w:t>
                        </w:r>
                      </w:p>
                      <w:p>
                        <w:pPr>
                          <w:pStyle w:val="TableParagraph"/>
                          <w:spacing w:before="20"/>
                          <w:ind w:left="181"/>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0"/>
                          <w:ind w:left="181"/>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0"/>
                          <w:ind w:left="181"/>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0"/>
                          <w:ind w:left="181" w:right="209"/>
                          <w:rPr>
                            <w:b/>
                            <w:sz w:val="21"/>
                          </w:rPr>
                        </w:pPr>
                        <w:r>
                          <w:rPr>
                            <w:b/>
                            <w:spacing w:val="-7"/>
                            <w:sz w:val="21"/>
                          </w:rPr>
                          <w:t>（</w:t>
                        </w:r>
                        <w:r>
                          <w:rPr>
                            <w:rFonts w:ascii="Times New Roman" w:eastAsia="Times New Roman"/>
                            <w:b/>
                            <w:spacing w:val="-7"/>
                            <w:sz w:val="21"/>
                          </w:rPr>
                          <w:t>5</w:t>
                        </w:r>
                        <w:r>
                          <w:rPr>
                            <w:b/>
                            <w:spacing w:val="-7"/>
                            <w:sz w:val="21"/>
                          </w:rPr>
                          <w:t>）</w:t>
                        </w:r>
                        <w:r>
                          <w:rPr>
                            <w:rFonts w:ascii="Times New Roman" w:eastAsia="Times New Roman"/>
                            <w:b/>
                            <w:spacing w:val="-7"/>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5"/>
                            <w:sz w:val="21"/>
                            <w:vertAlign w:val="baseline"/>
                          </w:rPr>
                          <w:t>期或更轻分期的前列腺癌</w:t>
                        </w:r>
                        <w:r>
                          <w:rPr>
                            <w:b/>
                            <w:sz w:val="21"/>
                            <w:vertAlign w:val="baseline"/>
                          </w:rPr>
                          <w:t>（</w:t>
                        </w:r>
                        <w:r>
                          <w:rPr>
                            <w:b/>
                            <w:spacing w:val="-7"/>
                            <w:sz w:val="21"/>
                            <w:vertAlign w:val="baseline"/>
                          </w:rPr>
                          <w:t>注：如果为女性重大疾</w:t>
                        </w:r>
                        <w:r>
                          <w:rPr>
                            <w:b/>
                            <w:spacing w:val="-16"/>
                            <w:sz w:val="21"/>
                            <w:vertAlign w:val="baseline"/>
                          </w:rPr>
                          <w:t>病保险，则不包括此项。</w:t>
                        </w:r>
                        <w:r>
                          <w:rPr>
                            <w:b/>
                            <w:spacing w:val="-108"/>
                            <w:sz w:val="21"/>
                            <w:vertAlign w:val="baseline"/>
                          </w:rPr>
                          <w:t>）；</w:t>
                        </w:r>
                      </w:p>
                      <w:p>
                        <w:pPr>
                          <w:pStyle w:val="TableParagraph"/>
                          <w:spacing w:before="22"/>
                          <w:ind w:left="181"/>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1552" w:hRule="atLeast"/>
                    </w:trPr>
                    <w:tc>
                      <w:tcPr>
                        <w:tcW w:w="2904" w:type="dxa"/>
                      </w:tcPr>
                      <w:p>
                        <w:pPr>
                          <w:pStyle w:val="TableParagraph"/>
                          <w:spacing w:line="273" w:lineRule="exact"/>
                          <w:ind w:left="200"/>
                          <w:rPr>
                            <w:sz w:val="21"/>
                          </w:rPr>
                        </w:pPr>
                        <w:r>
                          <w:rPr>
                            <w:rFonts w:ascii="Times New Roman" w:eastAsia="Times New Roman"/>
                            <w:sz w:val="21"/>
                          </w:rPr>
                          <w:t>2.  </w:t>
                        </w:r>
                        <w:r>
                          <w:rPr>
                            <w:sz w:val="21"/>
                          </w:rPr>
                          <w:t>重大器官移植术或造血</w:t>
                        </w:r>
                      </w:p>
                      <w:p>
                        <w:pPr>
                          <w:pStyle w:val="TableParagraph"/>
                          <w:spacing w:before="21"/>
                          <w:ind w:left="200"/>
                          <w:rPr>
                            <w:sz w:val="21"/>
                          </w:rPr>
                        </w:pPr>
                        <w:r>
                          <w:rPr>
                            <w:sz w:val="21"/>
                          </w:rPr>
                          <w:t>干细胞移植术</w:t>
                        </w:r>
                      </w:p>
                    </w:tc>
                    <w:tc>
                      <w:tcPr>
                        <w:tcW w:w="7422" w:type="dxa"/>
                      </w:tcPr>
                      <w:p>
                        <w:pPr>
                          <w:pStyle w:val="TableParagraph"/>
                          <w:spacing w:line="257" w:lineRule="exact"/>
                          <w:ind w:left="181"/>
                          <w:rPr>
                            <w:sz w:val="21"/>
                          </w:rPr>
                        </w:pPr>
                        <w:r>
                          <w:rPr>
                            <w:sz w:val="21"/>
                          </w:rPr>
                          <w:t>重大器官移植术，指因相应器官功能衰竭，已经实施了肾脏、肝脏、心脏或</w:t>
                        </w:r>
                      </w:p>
                      <w:p>
                        <w:pPr>
                          <w:pStyle w:val="TableParagraph"/>
                          <w:spacing w:before="37"/>
                          <w:ind w:left="181"/>
                          <w:rPr>
                            <w:sz w:val="21"/>
                          </w:rPr>
                        </w:pPr>
                        <w:r>
                          <w:rPr>
                            <w:sz w:val="21"/>
                          </w:rPr>
                          <w:t>肺脏的异体移植手术。</w:t>
                        </w:r>
                      </w:p>
                      <w:p>
                        <w:pPr>
                          <w:pStyle w:val="TableParagraph"/>
                          <w:spacing w:line="310" w:lineRule="atLeast" w:before="2"/>
                          <w:ind w:left="181" w:right="21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917" w:hRule="atLeast"/>
                    </w:trPr>
                    <w:tc>
                      <w:tcPr>
                        <w:tcW w:w="2904" w:type="dxa"/>
                      </w:tcPr>
                      <w:p>
                        <w:pPr>
                          <w:pStyle w:val="TableParagraph"/>
                          <w:spacing w:line="281" w:lineRule="exact"/>
                          <w:ind w:left="200"/>
                          <w:rPr>
                            <w:sz w:val="21"/>
                          </w:rPr>
                        </w:pPr>
                        <w:r>
                          <w:rPr>
                            <w:rFonts w:ascii="Times New Roman" w:eastAsia="Times New Roman"/>
                            <w:sz w:val="21"/>
                          </w:rPr>
                          <w:t>3.  </w:t>
                        </w:r>
                        <w:r>
                          <w:rPr>
                            <w:sz w:val="21"/>
                          </w:rPr>
                          <w:t>严重川崎病</w:t>
                        </w:r>
                      </w:p>
                    </w:tc>
                    <w:tc>
                      <w:tcPr>
                        <w:tcW w:w="7422" w:type="dxa"/>
                      </w:tcPr>
                      <w:p>
                        <w:pPr>
                          <w:pStyle w:val="TableParagraph"/>
                          <w:spacing w:line="273" w:lineRule="auto"/>
                          <w:ind w:left="181" w:right="212"/>
                          <w:rPr>
                            <w:sz w:val="21"/>
                          </w:rPr>
                        </w:pPr>
                        <w:r>
                          <w:rPr>
                            <w:sz w:val="21"/>
                          </w:rPr>
                          <w:t>川崎病为一种病因不明的系统性血管炎。本附加合同仅对诊断性检查证实川崎病并发冠状动脉瘤或其他心血管异常并且实际接受了手术治疗的情况予以</w:t>
                        </w:r>
                      </w:p>
                      <w:p>
                        <w:pPr>
                          <w:pStyle w:val="TableParagraph"/>
                          <w:spacing w:before="18"/>
                          <w:ind w:left="181"/>
                          <w:rPr>
                            <w:sz w:val="21"/>
                          </w:rPr>
                        </w:pPr>
                        <w:r>
                          <w:rPr>
                            <w:sz w:val="21"/>
                          </w:rPr>
                          <w:t>理赔。</w:t>
                        </w:r>
                      </w:p>
                    </w:tc>
                  </w:tr>
                  <w:tr>
                    <w:trPr>
                      <w:trHeight w:val="1578" w:hRule="atLeast"/>
                    </w:trPr>
                    <w:tc>
                      <w:tcPr>
                        <w:tcW w:w="2904" w:type="dxa"/>
                      </w:tcPr>
                      <w:p>
                        <w:pPr>
                          <w:pStyle w:val="TableParagraph"/>
                          <w:spacing w:before="8"/>
                          <w:ind w:left="200"/>
                          <w:rPr>
                            <w:b/>
                            <w:sz w:val="21"/>
                          </w:rPr>
                        </w:pPr>
                        <w:r>
                          <w:rPr>
                            <w:rFonts w:ascii="Times New Roman" w:eastAsia="Times New Roman"/>
                            <w:sz w:val="21"/>
                          </w:rPr>
                          <w:t>4.  </w:t>
                        </w:r>
                        <w:r>
                          <w:rPr>
                            <w:sz w:val="21"/>
                          </w:rPr>
                          <w:t>双耳失聪 </w:t>
                        </w:r>
                        <w:r>
                          <w:rPr>
                            <w:rFonts w:ascii="Times New Roman" w:eastAsia="Times New Roman"/>
                            <w:sz w:val="21"/>
                          </w:rPr>
                          <w:t>- </w:t>
                        </w:r>
                        <w:r>
                          <w:rPr>
                            <w:b/>
                            <w:sz w:val="21"/>
                          </w:rPr>
                          <w:t>三岁始理赔</w:t>
                        </w:r>
                      </w:p>
                    </w:tc>
                    <w:tc>
                      <w:tcPr>
                        <w:tcW w:w="7422" w:type="dxa"/>
                      </w:tcPr>
                      <w:p>
                        <w:pPr>
                          <w:pStyle w:val="TableParagraph"/>
                          <w:spacing w:before="8"/>
                          <w:ind w:left="181"/>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2</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9" w:lineRule="auto" w:before="21"/>
                          <w:ind w:left="181" w:right="197"/>
                          <w:rPr>
                            <w:sz w:val="21"/>
                          </w:rPr>
                        </w:pP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p>
                        <w:pPr>
                          <w:pStyle w:val="TableParagraph"/>
                          <w:spacing w:line="312" w:lineRule="exact" w:before="16"/>
                          <w:ind w:left="181" w:right="217"/>
                          <w:rPr>
                            <w:sz w:val="21"/>
                          </w:rPr>
                        </w:pPr>
                        <w:r>
                          <w:rPr>
                            <w:sz w:val="21"/>
                          </w:rPr>
                          <w:t>被保险人申请理赔时年龄必须在三周岁以上，并且提供理赔当时的听力丧失诊断及检查证据。</w:t>
                        </w:r>
                      </w:p>
                    </w:tc>
                  </w:tr>
                  <w:tr>
                    <w:trPr>
                      <w:trHeight w:val="576" w:hRule="atLeast"/>
                    </w:trPr>
                    <w:tc>
                      <w:tcPr>
                        <w:tcW w:w="2904" w:type="dxa"/>
                      </w:tcPr>
                      <w:p>
                        <w:pPr>
                          <w:pStyle w:val="TableParagraph"/>
                          <w:spacing w:line="281" w:lineRule="exact"/>
                          <w:ind w:left="200"/>
                          <w:rPr>
                            <w:b/>
                            <w:sz w:val="21"/>
                          </w:rPr>
                        </w:pPr>
                        <w:r>
                          <w:rPr>
                            <w:rFonts w:ascii="Times New Roman" w:eastAsia="Times New Roman"/>
                            <w:sz w:val="21"/>
                          </w:rPr>
                          <w:t>5.  </w:t>
                        </w:r>
                        <w:r>
                          <w:rPr>
                            <w:sz w:val="21"/>
                          </w:rPr>
                          <w:t>双目失明 </w:t>
                        </w:r>
                        <w:r>
                          <w:rPr>
                            <w:rFonts w:ascii="Times New Roman" w:eastAsia="Times New Roman"/>
                            <w:sz w:val="21"/>
                          </w:rPr>
                          <w:t>- </w:t>
                        </w:r>
                        <w:r>
                          <w:rPr>
                            <w:b/>
                            <w:sz w:val="21"/>
                          </w:rPr>
                          <w:t>三岁始理赔</w:t>
                        </w:r>
                      </w:p>
                    </w:tc>
                    <w:tc>
                      <w:tcPr>
                        <w:tcW w:w="7422" w:type="dxa"/>
                      </w:tcPr>
                      <w:p>
                        <w:pPr>
                          <w:pStyle w:val="TableParagraph"/>
                          <w:spacing w:line="265" w:lineRule="exact"/>
                          <w:ind w:left="181"/>
                          <w:rPr>
                            <w:sz w:val="21"/>
                          </w:rPr>
                        </w:pPr>
                        <w:r>
                          <w:rPr>
                            <w:sz w:val="21"/>
                          </w:rPr>
                          <w:t>指因疾病或意外伤害导致双目视力永久不可逆性丧失，双眼中较好眼须满足</w:t>
                        </w:r>
                      </w:p>
                      <w:p>
                        <w:pPr>
                          <w:pStyle w:val="TableParagraph"/>
                          <w:spacing w:line="255" w:lineRule="exact" w:before="37"/>
                          <w:ind w:left="181"/>
                          <w:rPr>
                            <w:sz w:val="21"/>
                          </w:rPr>
                        </w:pPr>
                        <w:r>
                          <w:rPr>
                            <w:sz w:val="21"/>
                          </w:rPr>
                          <w:t>下列至少一项条件：</w:t>
                        </w:r>
                      </w:p>
                    </w:tc>
                  </w:tr>
                </w:tbl>
                <w:p>
                  <w:pPr>
                    <w:pStyle w:val="BodyText"/>
                  </w:pPr>
                </w:p>
              </w:txbxContent>
            </v:textbox>
            <w10:wrap type="none"/>
          </v:shape>
        </w:pict>
      </w:r>
      <w:r>
        <w:rPr>
          <w:sz w:val="21"/>
        </w:rPr>
        <w:t>如果</w:t>
      </w:r>
      <w:r>
        <w:rPr>
          <w:spacing w:val="-3"/>
          <w:sz w:val="21"/>
        </w:rPr>
        <w:t>双</w:t>
      </w:r>
      <w:r>
        <w:rPr>
          <w:sz w:val="21"/>
        </w:rPr>
        <w:t>方</w:t>
      </w:r>
      <w:r>
        <w:rPr>
          <w:spacing w:val="-3"/>
          <w:sz w:val="21"/>
        </w:rPr>
        <w:t>选</w:t>
      </w:r>
      <w:r>
        <w:rPr>
          <w:sz w:val="21"/>
        </w:rPr>
        <w:t>择</w:t>
      </w:r>
      <w:r>
        <w:rPr>
          <w:spacing w:val="-3"/>
          <w:sz w:val="21"/>
        </w:rPr>
        <w:t>仲</w:t>
      </w:r>
      <w:r>
        <w:rPr>
          <w:sz w:val="21"/>
        </w:rPr>
        <w:t>裁</w:t>
      </w:r>
      <w:r>
        <w:rPr>
          <w:spacing w:val="-3"/>
          <w:sz w:val="21"/>
        </w:rPr>
        <w:t>方</w:t>
      </w:r>
      <w:r>
        <w:rPr>
          <w:sz w:val="21"/>
        </w:rPr>
        <w:t>式</w:t>
      </w:r>
      <w:r>
        <w:rPr>
          <w:spacing w:val="-3"/>
          <w:sz w:val="21"/>
        </w:rPr>
        <w:t>，</w:t>
      </w:r>
      <w:r>
        <w:rPr>
          <w:sz w:val="21"/>
        </w:rPr>
        <w:t>应当</w:t>
      </w:r>
      <w:r>
        <w:rPr>
          <w:spacing w:val="-3"/>
          <w:sz w:val="21"/>
        </w:rPr>
        <w:t>达</w:t>
      </w:r>
      <w:r>
        <w:rPr>
          <w:sz w:val="21"/>
        </w:rPr>
        <w:t>成</w:t>
      </w:r>
      <w:r>
        <w:rPr>
          <w:spacing w:val="-3"/>
          <w:sz w:val="21"/>
        </w:rPr>
        <w:t>仲</w:t>
      </w:r>
      <w:r>
        <w:rPr>
          <w:sz w:val="21"/>
        </w:rPr>
        <w:t>裁</w:t>
      </w:r>
      <w:r>
        <w:rPr>
          <w:spacing w:val="-3"/>
          <w:sz w:val="21"/>
        </w:rPr>
        <w:t>协</w:t>
      </w:r>
      <w:r>
        <w:rPr>
          <w:sz w:val="21"/>
        </w:rPr>
        <w:t>议</w:t>
      </w:r>
      <w:r>
        <w:rPr>
          <w:spacing w:val="-3"/>
          <w:sz w:val="21"/>
        </w:rPr>
        <w:t>并</w:t>
      </w:r>
      <w:r>
        <w:rPr>
          <w:sz w:val="21"/>
        </w:rPr>
        <w:t>明</w:t>
      </w:r>
      <w:r>
        <w:rPr>
          <w:spacing w:val="-3"/>
          <w:sz w:val="21"/>
        </w:rPr>
        <w:t>确</w:t>
      </w:r>
      <w:r>
        <w:rPr>
          <w:sz w:val="21"/>
        </w:rPr>
        <w:t>约定</w:t>
      </w:r>
      <w:r>
        <w:rPr>
          <w:spacing w:val="-3"/>
          <w:sz w:val="21"/>
        </w:rPr>
        <w:t>仲</w:t>
      </w:r>
      <w:r>
        <w:rPr>
          <w:sz w:val="21"/>
        </w:rPr>
        <w:t>裁</w:t>
      </w:r>
      <w:r>
        <w:rPr>
          <w:spacing w:val="-3"/>
          <w:sz w:val="21"/>
        </w:rPr>
        <w:t>事</w:t>
      </w:r>
      <w:r>
        <w:rPr>
          <w:sz w:val="21"/>
        </w:rPr>
        <w:t>项</w:t>
      </w:r>
      <w:r>
        <w:rPr>
          <w:spacing w:val="-3"/>
          <w:sz w:val="21"/>
        </w:rPr>
        <w:t>、</w:t>
      </w:r>
      <w:r>
        <w:rPr>
          <w:sz w:val="21"/>
        </w:rPr>
        <w:t>仲</w:t>
      </w:r>
      <w:r>
        <w:rPr>
          <w:spacing w:val="-3"/>
          <w:sz w:val="21"/>
        </w:rPr>
        <w:t>裁</w:t>
      </w:r>
      <w:r>
        <w:rPr>
          <w:sz w:val="21"/>
        </w:rPr>
        <w:t>机</w:t>
      </w:r>
      <w:r>
        <w:rPr>
          <w:spacing w:val="-3"/>
          <w:sz w:val="21"/>
        </w:rPr>
        <w:t>构</w:t>
      </w:r>
      <w:r>
        <w:rPr>
          <w:sz w:val="21"/>
        </w:rPr>
        <w:t>。</w:t>
      </w:r>
      <w:bookmarkStart w:name="_bookmark35" w:id="36"/>
      <w:bookmarkEnd w:id="36"/>
      <w:r>
        <w:rPr>
          <w:sz w:val="21"/>
        </w:rPr>
      </w:r>
      <w:r>
        <w:rPr>
          <w:b/>
          <w:sz w:val="21"/>
        </w:rPr>
        <w:t>第三十条</w:t>
        <w:tab/>
        <w:t>少儿重大疾病的种</w:t>
      </w:r>
      <w:r>
        <w:rPr>
          <w:b/>
          <w:spacing w:val="-3"/>
          <w:sz w:val="21"/>
        </w:rPr>
        <w:t>类</w:t>
      </w:r>
      <w:r>
        <w:rPr>
          <w:b/>
          <w:sz w:val="21"/>
        </w:rPr>
        <w:t>及</w:t>
      </w:r>
      <w:r>
        <w:rPr>
          <w:b/>
          <w:spacing w:val="-3"/>
          <w:sz w:val="21"/>
        </w:rPr>
        <w:t>定</w:t>
      </w:r>
      <w:r>
        <w:rPr>
          <w:b/>
          <w:sz w:val="21"/>
        </w:rPr>
        <w:t>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3"/>
        </w:rPr>
      </w:pPr>
      <w:r>
        <w:rPr/>
        <w:pict>
          <v:line style="position:absolute;mso-position-horizontal-relative:page;mso-position-vertical-relative:paragraph;z-index:1168;mso-wrap-distance-left:0;mso-wrap-distance-right:0" from="53.880001pt,10.708606pt" to="197.930001pt,10.708606pt" stroked="true" strokeweight=".48004pt" strokecolor="#000000">
            <v:stroke dashstyle="solid"/>
            <w10:wrap type="topAndBottom"/>
          </v:line>
        </w:pict>
      </w:r>
    </w:p>
    <w:p>
      <w:pPr>
        <w:pStyle w:val="BodyText"/>
        <w:spacing w:line="281" w:lineRule="exact" w:before="35"/>
        <w:ind w:left="317"/>
        <w:rPr>
          <w:rFonts w:ascii="楷体" w:eastAsia="楷体" w:hint="eastAsia"/>
        </w:rPr>
      </w:pPr>
      <w:r>
        <w:rPr>
          <w:rFonts w:ascii="Times New Roman" w:eastAsia="Times New Roman"/>
          <w:w w:val="99"/>
          <w:position w:val="10"/>
          <w:sz w:val="14"/>
        </w:rPr>
        <w:t>21</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31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pStyle w:val="BodyText"/>
        <w:spacing w:line="223" w:lineRule="auto" w:before="18"/>
        <w:ind w:left="317" w:right="362"/>
        <w:rPr>
          <w:rFonts w:ascii="楷体" w:eastAsia="楷体" w:hint="eastAsia"/>
        </w:rPr>
      </w:pPr>
      <w:r>
        <w:rPr>
          <w:rFonts w:ascii="Times New Roman" w:eastAsia="Times New Roman"/>
          <w:position w:val="10"/>
          <w:sz w:val="14"/>
        </w:rPr>
        <w:t>22</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520" w:bottom="88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0"/>
        <w:gridCol w:w="7390"/>
      </w:tblGrid>
      <w:tr>
        <w:trPr>
          <w:trHeight w:val="1825" w:hRule="atLeast"/>
        </w:trPr>
        <w:tc>
          <w:tcPr>
            <w:tcW w:w="2930" w:type="dxa"/>
          </w:tcPr>
          <w:p>
            <w:pPr>
              <w:pStyle w:val="TableParagraph"/>
              <w:ind w:left="0"/>
              <w:rPr>
                <w:rFonts w:ascii="Times New Roman"/>
                <w:sz w:val="20"/>
              </w:rPr>
            </w:pPr>
          </w:p>
        </w:tc>
        <w:tc>
          <w:tcPr>
            <w:tcW w:w="7390" w:type="dxa"/>
          </w:tcPr>
          <w:p>
            <w:pPr>
              <w:pStyle w:val="TableParagraph"/>
              <w:spacing w:line="234" w:lineRule="exact"/>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201"/>
              <w:rPr>
                <w:sz w:val="21"/>
              </w:rPr>
            </w:pPr>
            <w:r>
              <w:rPr>
                <w:sz w:val="21"/>
              </w:rPr>
              <w:t>（</w:t>
            </w:r>
            <w:r>
              <w:rPr>
                <w:rFonts w:ascii="Times New Roman" w:eastAsia="Times New Roman"/>
                <w:sz w:val="21"/>
              </w:rPr>
              <w:t>2</w:t>
            </w:r>
            <w:r>
              <w:rPr>
                <w:sz w:val="21"/>
              </w:rPr>
              <w:t>）</w:t>
            </w:r>
            <w:r>
              <w:rPr>
                <w:spacing w:val="-7"/>
                <w:sz w:val="21"/>
              </w:rPr>
              <w:t>矫正视力低于 </w:t>
            </w:r>
            <w:r>
              <w:rPr>
                <w:rFonts w:ascii="Times New Roman" w:eastAsia="Times New Roman"/>
                <w:sz w:val="21"/>
              </w:rPr>
              <w:t>0.02</w:t>
            </w:r>
            <w:r>
              <w:rPr>
                <w:sz w:val="21"/>
              </w:rPr>
              <w:t>（</w:t>
            </w:r>
            <w:r>
              <w:rPr>
                <w:spacing w:val="-4"/>
                <w:sz w:val="21"/>
              </w:rPr>
              <w:t>采用国际标准视力表，如果使用其他视力表应进行</w:t>
            </w:r>
            <w:r>
              <w:rPr>
                <w:spacing w:val="-4"/>
                <w:w w:val="100"/>
                <w:sz w:val="21"/>
              </w:rPr>
              <w:t>换算</w:t>
            </w:r>
            <w:r>
              <w:rPr>
                <w:spacing w:val="-108"/>
                <w:w w:val="100"/>
                <w:sz w:val="21"/>
              </w:rPr>
              <w:t>）</w:t>
            </w:r>
            <w:r>
              <w:rPr>
                <w:w w:val="100"/>
                <w:sz w:val="21"/>
              </w:rPr>
              <w:t>；</w:t>
            </w:r>
          </w:p>
          <w:p>
            <w:pPr>
              <w:pStyle w:val="TableParagraph"/>
              <w:spacing w:before="2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right="211"/>
              <w:rPr>
                <w:sz w:val="21"/>
              </w:rPr>
            </w:pPr>
            <w:r>
              <w:rPr>
                <w:sz w:val="21"/>
              </w:rPr>
              <w:t>被保险人申请理赔时年龄必须在三周岁以上，并且提供理赔当时的视力丧失诊断及检查证据。</w:t>
            </w:r>
          </w:p>
        </w:tc>
      </w:tr>
      <w:tr>
        <w:trPr>
          <w:trHeight w:val="1560" w:hRule="atLeast"/>
        </w:trPr>
        <w:tc>
          <w:tcPr>
            <w:tcW w:w="2930" w:type="dxa"/>
          </w:tcPr>
          <w:p>
            <w:pPr>
              <w:pStyle w:val="TableParagraph"/>
              <w:spacing w:line="281" w:lineRule="exact"/>
              <w:ind w:left="200"/>
              <w:rPr>
                <w:sz w:val="21"/>
              </w:rPr>
            </w:pPr>
            <w:r>
              <w:rPr>
                <w:rFonts w:ascii="Times New Roman" w:hAnsi="Times New Roman" w:eastAsia="Times New Roman"/>
                <w:sz w:val="21"/>
              </w:rPr>
              <w:t>6.  </w:t>
            </w:r>
            <w:r>
              <w:rPr>
                <w:sz w:val="21"/>
              </w:rPr>
              <w:t>Ⅰ型糖尿病：</w:t>
            </w:r>
          </w:p>
        </w:tc>
        <w:tc>
          <w:tcPr>
            <w:tcW w:w="7390" w:type="dxa"/>
          </w:tcPr>
          <w:p>
            <w:pPr>
              <w:pStyle w:val="TableParagraph"/>
              <w:spacing w:line="264" w:lineRule="auto"/>
              <w:ind w:right="198"/>
              <w:jc w:val="both"/>
              <w:rPr>
                <w:sz w:val="21"/>
              </w:rPr>
            </w:pPr>
            <w:r>
              <w:rPr>
                <w:sz w:val="21"/>
              </w:rPr>
              <w:t>Ⅰ型糖尿病的特征为由于胰岛素分泌绝对不足引起严重胰岛素缺乏导致慢性血糖升高，需要依赖外源性胰岛素进行机体的葡萄糖代谢和维持生命。被保</w:t>
            </w:r>
            <w:r>
              <w:rPr>
                <w:spacing w:val="-5"/>
                <w:sz w:val="21"/>
              </w:rPr>
              <w:t>险人的Ⅰ型糖尿病必须诊断明确，而且有血胰岛素测定及血 </w:t>
            </w:r>
            <w:r>
              <w:rPr>
                <w:rFonts w:ascii="Times New Roman" w:hAnsi="Times New Roman" w:eastAsia="Times New Roman"/>
                <w:sz w:val="21"/>
              </w:rPr>
              <w:t>C </w:t>
            </w:r>
            <w:r>
              <w:rPr>
                <w:spacing w:val="-12"/>
                <w:sz w:val="21"/>
              </w:rPr>
              <w:t>肽或尿 </w:t>
            </w:r>
            <w:r>
              <w:rPr>
                <w:rFonts w:ascii="Times New Roman" w:hAnsi="Times New Roman" w:eastAsia="Times New Roman"/>
                <w:sz w:val="21"/>
              </w:rPr>
              <w:t>C </w:t>
            </w:r>
            <w:r>
              <w:rPr>
                <w:sz w:val="21"/>
              </w:rPr>
              <w:t>肽测</w:t>
            </w:r>
            <w:r>
              <w:rPr>
                <w:spacing w:val="-3"/>
                <w:sz w:val="21"/>
              </w:rPr>
              <w:t>定结果支持诊断，并且已经持续性地接受外源性胰岛素注射治疗连续 </w:t>
            </w:r>
            <w:r>
              <w:rPr>
                <w:rFonts w:ascii="Times New Roman" w:hAnsi="Times New Roman" w:eastAsia="Times New Roman"/>
                <w:sz w:val="21"/>
              </w:rPr>
              <w:t>180 </w:t>
            </w:r>
            <w:r>
              <w:rPr>
                <w:sz w:val="21"/>
              </w:rPr>
              <w:t>天以上。</w:t>
            </w:r>
          </w:p>
        </w:tc>
      </w:tr>
      <w:tr>
        <w:trPr>
          <w:trHeight w:val="936" w:hRule="atLeast"/>
        </w:trPr>
        <w:tc>
          <w:tcPr>
            <w:tcW w:w="2930" w:type="dxa"/>
          </w:tcPr>
          <w:p>
            <w:pPr>
              <w:pStyle w:val="TableParagraph"/>
              <w:spacing w:line="281" w:lineRule="exact"/>
              <w:ind w:left="200"/>
              <w:rPr>
                <w:sz w:val="21"/>
              </w:rPr>
            </w:pPr>
            <w:r>
              <w:rPr>
                <w:rFonts w:ascii="Times New Roman" w:eastAsia="Times New Roman"/>
                <w:sz w:val="21"/>
              </w:rPr>
              <w:t>7.  </w:t>
            </w:r>
            <w:r>
              <w:rPr>
                <w:sz w:val="21"/>
              </w:rPr>
              <w:t>严重幼年型类风湿关节炎</w:t>
            </w:r>
          </w:p>
        </w:tc>
        <w:tc>
          <w:tcPr>
            <w:tcW w:w="7390" w:type="dxa"/>
          </w:tcPr>
          <w:p>
            <w:pPr>
              <w:pStyle w:val="TableParagraph"/>
              <w:spacing w:line="265" w:lineRule="exact"/>
              <w:rPr>
                <w:sz w:val="21"/>
              </w:rPr>
            </w:pPr>
            <w:r>
              <w:rPr>
                <w:sz w:val="21"/>
              </w:rPr>
              <w:t>幼年型类风湿关节炎是一种儿童期发病的慢性关节炎，其特点为在高热和系</w:t>
            </w:r>
          </w:p>
          <w:p>
            <w:pPr>
              <w:pStyle w:val="TableParagraph"/>
              <w:spacing w:line="310" w:lineRule="atLeast" w:before="2"/>
              <w:ind w:right="206"/>
              <w:rPr>
                <w:sz w:val="21"/>
              </w:rPr>
            </w:pPr>
            <w:r>
              <w:rPr>
                <w:sz w:val="21"/>
              </w:rPr>
              <w:t>统性病征出现数月后发生关节炎。本附加合同仅对实际接受了膝关节或髋关节置换手术治疗的严重的幼年型类风湿关节炎予以理赔。</w:t>
            </w:r>
          </w:p>
        </w:tc>
      </w:tr>
      <w:tr>
        <w:trPr>
          <w:trHeight w:val="1871" w:hRule="atLeast"/>
        </w:trPr>
        <w:tc>
          <w:tcPr>
            <w:tcW w:w="2930" w:type="dxa"/>
          </w:tcPr>
          <w:p>
            <w:pPr>
              <w:pStyle w:val="TableParagraph"/>
              <w:spacing w:line="281" w:lineRule="exact"/>
              <w:ind w:left="200"/>
              <w:rPr>
                <w:sz w:val="21"/>
              </w:rPr>
            </w:pPr>
            <w:r>
              <w:rPr>
                <w:rFonts w:ascii="Times New Roman" w:eastAsia="Times New Roman"/>
                <w:sz w:val="21"/>
              </w:rPr>
              <w:t>8.  </w:t>
            </w:r>
            <w:r>
              <w:rPr>
                <w:sz w:val="21"/>
              </w:rPr>
              <w:t>脊髓灰质炎</w:t>
            </w:r>
          </w:p>
        </w:tc>
        <w:tc>
          <w:tcPr>
            <w:tcW w:w="7390" w:type="dxa"/>
          </w:tcPr>
          <w:p>
            <w:pPr>
              <w:pStyle w:val="TableParagraph"/>
              <w:spacing w:line="273" w:lineRule="auto"/>
              <w:ind w:right="204"/>
              <w:rPr>
                <w:sz w:val="21"/>
              </w:rPr>
            </w:pPr>
            <w:r>
              <w:rPr>
                <w:sz w:val="21"/>
              </w:rPr>
              <w:t>脊髓灰质炎是由于脊髓灰质炎病毒感染所致的瘫痪性疾病，临床表现为运动功能损害或呼吸无力。脊髓灰质炎必须明确诊断。本附加合同仅对脊髓灰质炎造成的神经系统功能损害导致被保险人一个肢体或一个以上肢体功能的完全和永久不可逆性丧失的情况予以理赔。肢体功能的完全丧失指的是肢体关节永久完全僵硬、或麻痹、或关节不能随意识活动。肢体的定义为整个上肢</w:t>
            </w:r>
          </w:p>
          <w:p>
            <w:pPr>
              <w:pStyle w:val="TableParagraph"/>
              <w:spacing w:before="18"/>
              <w:rPr>
                <w:sz w:val="21"/>
              </w:rPr>
            </w:pPr>
            <w:r>
              <w:rPr>
                <w:sz w:val="21"/>
              </w:rPr>
              <w:t>或是整个下肢。</w:t>
            </w:r>
          </w:p>
        </w:tc>
      </w:tr>
      <w:tr>
        <w:trPr>
          <w:trHeight w:val="4064" w:hRule="atLeast"/>
        </w:trPr>
        <w:tc>
          <w:tcPr>
            <w:tcW w:w="2930" w:type="dxa"/>
          </w:tcPr>
          <w:p>
            <w:pPr>
              <w:pStyle w:val="TableParagraph"/>
              <w:spacing w:line="281" w:lineRule="exact"/>
              <w:ind w:left="200"/>
              <w:rPr>
                <w:sz w:val="21"/>
              </w:rPr>
            </w:pPr>
            <w:r>
              <w:rPr>
                <w:rFonts w:ascii="Times New Roman" w:eastAsia="Times New Roman"/>
                <w:sz w:val="21"/>
              </w:rPr>
              <w:t>9.  </w:t>
            </w:r>
            <w:r>
              <w:rPr>
                <w:sz w:val="21"/>
              </w:rPr>
              <w:t>疾病或外伤所致智力障碍</w:t>
            </w:r>
          </w:p>
        </w:tc>
        <w:tc>
          <w:tcPr>
            <w:tcW w:w="7390" w:type="dxa"/>
          </w:tcPr>
          <w:p>
            <w:pPr>
              <w:pStyle w:val="TableParagraph"/>
              <w:spacing w:line="265" w:lineRule="exact"/>
              <w:rPr>
                <w:sz w:val="21"/>
              </w:rPr>
            </w:pPr>
            <w:r>
              <w:rPr>
                <w:spacing w:val="2"/>
                <w:sz w:val="21"/>
              </w:rPr>
              <w:t>因严重头部创伤或疾病造成被保险人智力低常（智力低于常态</w:t>
            </w:r>
            <w:r>
              <w:rPr>
                <w:spacing w:val="-101"/>
                <w:sz w:val="21"/>
              </w:rPr>
              <w:t>）</w:t>
            </w:r>
            <w:r>
              <w:rPr>
                <w:spacing w:val="1"/>
                <w:sz w:val="21"/>
              </w:rPr>
              <w:t>。根据智商</w:t>
            </w:r>
          </w:p>
          <w:p>
            <w:pPr>
              <w:pStyle w:val="TableParagraph"/>
              <w:spacing w:line="264" w:lineRule="auto" w:before="37"/>
              <w:ind w:right="203"/>
              <w:jc w:val="both"/>
              <w:rPr>
                <w:sz w:val="21"/>
              </w:rPr>
            </w:pP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spacing w:val="-106"/>
                <w:w w:val="100"/>
                <w:sz w:val="21"/>
              </w:rPr>
              <w:t>）</w:t>
            </w:r>
            <w:r>
              <w:rPr>
                <w:spacing w:val="-5"/>
                <w:w w:val="100"/>
                <w:sz w:val="21"/>
              </w:rPr>
              <w:t>，智力低常分为轻度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50</w:t>
            </w:r>
            <w:r>
              <w:rPr>
                <w:rFonts w:ascii="Times New Roman" w:eastAsia="Times New Roman"/>
                <w:spacing w:val="-4"/>
                <w:w w:val="100"/>
                <w:sz w:val="21"/>
              </w:rPr>
              <w:t>-</w:t>
            </w:r>
            <w:r>
              <w:rPr>
                <w:rFonts w:ascii="Times New Roman" w:eastAsia="Times New Roman"/>
                <w:w w:val="100"/>
                <w:sz w:val="21"/>
              </w:rPr>
              <w:t>70</w:t>
            </w:r>
            <w:r>
              <w:rPr>
                <w:spacing w:val="-106"/>
                <w:w w:val="100"/>
                <w:sz w:val="21"/>
              </w:rPr>
              <w:t>）</w:t>
            </w:r>
            <w:r>
              <w:rPr>
                <w:spacing w:val="-7"/>
                <w:w w:val="100"/>
                <w:sz w:val="21"/>
              </w:rPr>
              <w:t>；中度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35</w:t>
            </w:r>
            <w:r>
              <w:rPr>
                <w:rFonts w:ascii="Times New Roman" w:eastAsia="Times New Roman"/>
                <w:spacing w:val="-4"/>
                <w:w w:val="100"/>
                <w:sz w:val="21"/>
              </w:rPr>
              <w:t>-</w:t>
            </w:r>
            <w:r>
              <w:rPr>
                <w:rFonts w:ascii="Times New Roman" w:eastAsia="Times New Roman"/>
                <w:w w:val="100"/>
                <w:sz w:val="21"/>
              </w:rPr>
              <w:t>50</w:t>
            </w:r>
            <w:r>
              <w:rPr>
                <w:spacing w:val="-106"/>
                <w:w w:val="100"/>
                <w:sz w:val="21"/>
              </w:rPr>
              <w:t>）</w:t>
            </w:r>
            <w:r>
              <w:rPr>
                <w:spacing w:val="-7"/>
                <w:w w:val="100"/>
                <w:sz w:val="21"/>
              </w:rPr>
              <w:t>；重度</w:t>
            </w:r>
            <w:r>
              <w:rPr>
                <w:spacing w:val="-1"/>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20</w:t>
            </w:r>
            <w:r>
              <w:rPr>
                <w:rFonts w:ascii="Times New Roman" w:eastAsia="Times New Roman"/>
                <w:spacing w:val="-4"/>
                <w:w w:val="100"/>
                <w:sz w:val="21"/>
              </w:rPr>
              <w:t>-</w:t>
            </w:r>
            <w:r>
              <w:rPr>
                <w:rFonts w:ascii="Times New Roman" w:eastAsia="Times New Roman"/>
                <w:w w:val="100"/>
                <w:sz w:val="21"/>
              </w:rPr>
              <w:t>35</w:t>
            </w:r>
            <w:r>
              <w:rPr>
                <w:spacing w:val="-10"/>
                <w:w w:val="100"/>
                <w:sz w:val="21"/>
              </w:rPr>
              <w:t>）和</w:t>
            </w:r>
            <w:r>
              <w:rPr>
                <w:w w:val="100"/>
                <w:sz w:val="21"/>
              </w:rPr>
              <w:t>极重度</w:t>
            </w:r>
            <w:r>
              <w:rPr>
                <w:spacing w:val="1"/>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spacing w:val="-2"/>
                <w:w w:val="100"/>
                <w:sz w:val="21"/>
              </w:rPr>
              <w:t>&lt;</w:t>
            </w:r>
            <w:r>
              <w:rPr>
                <w:rFonts w:ascii="Times New Roman" w:eastAsia="Times New Roman"/>
                <w:w w:val="100"/>
                <w:sz w:val="21"/>
              </w:rPr>
              <w:t>2</w:t>
            </w:r>
            <w:r>
              <w:rPr>
                <w:rFonts w:ascii="Times New Roman" w:eastAsia="Times New Roman"/>
                <w:spacing w:val="1"/>
                <w:w w:val="100"/>
                <w:sz w:val="21"/>
              </w:rPr>
              <w:t>0</w:t>
            </w:r>
            <w:r>
              <w:rPr>
                <w:spacing w:val="-106"/>
                <w:w w:val="100"/>
                <w:sz w:val="21"/>
              </w:rPr>
              <w:t>）</w:t>
            </w:r>
            <w:r>
              <w:rPr>
                <w:w w:val="100"/>
                <w:sz w:val="21"/>
              </w:rPr>
              <w:t>。智商的检测必须由我们认可的专职心理测验工作者进行，</w:t>
            </w:r>
            <w:r>
              <w:rPr>
                <w:sz w:val="21"/>
              </w:rPr>
              <w:t>心理测验工作者必须持有由心理测量专业委员会资格认定书。根据被保险人年龄采用对应的智力量表如韦克斯勒智力量表（儿童智力量表或成人智力量表</w:t>
            </w:r>
            <w:r>
              <w:rPr>
                <w:spacing w:val="-106"/>
                <w:sz w:val="21"/>
              </w:rPr>
              <w:t>）</w:t>
            </w:r>
            <w:r>
              <w:rPr>
                <w:sz w:val="21"/>
              </w:rPr>
              <w:t>。</w:t>
            </w:r>
          </w:p>
          <w:p>
            <w:pPr>
              <w:pStyle w:val="TableParagraph"/>
              <w:spacing w:before="16"/>
              <w:rPr>
                <w:sz w:val="21"/>
              </w:rPr>
            </w:pPr>
            <w:r>
              <w:rPr>
                <w:sz w:val="21"/>
              </w:rPr>
              <w:t>理赔时必须满足下列全部条件：</w:t>
            </w:r>
          </w:p>
          <w:p>
            <w:pPr>
              <w:pStyle w:val="TableParagraph"/>
              <w:spacing w:line="256" w:lineRule="auto" w:before="37"/>
              <w:ind w:right="160"/>
              <w:rPr>
                <w:sz w:val="21"/>
              </w:rPr>
            </w:pPr>
            <w:r>
              <w:rPr>
                <w:sz w:val="21"/>
              </w:rPr>
              <w:t>（</w:t>
            </w:r>
            <w:r>
              <w:rPr>
                <w:rFonts w:ascii="Times New Roman" w:eastAsia="Times New Roman"/>
                <w:sz w:val="21"/>
              </w:rPr>
              <w:t>1</w:t>
            </w:r>
            <w:r>
              <w:rPr>
                <w:sz w:val="21"/>
              </w:rPr>
              <w:t>）造成被保险人智力低常（智力低于常态）的严重头部创伤或疾病（以入院日期为准）发生在被保险人６周岁以后；</w:t>
            </w:r>
          </w:p>
          <w:p>
            <w:pPr>
              <w:pStyle w:val="TableParagraph"/>
              <w:spacing w:before="22"/>
              <w:rPr>
                <w:sz w:val="21"/>
              </w:rPr>
            </w:pPr>
            <w:r>
              <w:rPr>
                <w:sz w:val="21"/>
              </w:rPr>
              <w:t>（</w:t>
            </w:r>
            <w:r>
              <w:rPr>
                <w:rFonts w:ascii="Times New Roman" w:eastAsia="Times New Roman"/>
                <w:sz w:val="21"/>
              </w:rPr>
              <w:t>2</w:t>
            </w:r>
            <w:r>
              <w:rPr>
                <w:sz w:val="21"/>
              </w:rPr>
              <w:t>）儿科主任医师确诊被保险人由于严重头部创伤或疾病造成智力低常；</w:t>
            </w:r>
          </w:p>
          <w:p>
            <w:pPr>
              <w:pStyle w:val="TableParagraph"/>
              <w:spacing w:line="256" w:lineRule="auto" w:before="21"/>
              <w:ind w:right="201"/>
              <w:rPr>
                <w:sz w:val="21"/>
              </w:rPr>
            </w:pPr>
            <w:r>
              <w:rPr>
                <w:spacing w:val="-3"/>
                <w:sz w:val="21"/>
              </w:rPr>
              <w:t>（</w:t>
            </w:r>
            <w:r>
              <w:rPr>
                <w:rFonts w:ascii="Times New Roman" w:eastAsia="Times New Roman"/>
                <w:spacing w:val="-3"/>
                <w:sz w:val="21"/>
              </w:rPr>
              <w:t>3</w:t>
            </w:r>
            <w:r>
              <w:rPr>
                <w:spacing w:val="-3"/>
                <w:sz w:val="21"/>
              </w:rPr>
              <w:t>）</w:t>
            </w:r>
            <w:r>
              <w:rPr>
                <w:spacing w:val="-4"/>
                <w:sz w:val="21"/>
              </w:rPr>
              <w:t>专职合格心理检测工作者适时做的心理检测证实被保险人智力低常</w:t>
            </w:r>
            <w:r>
              <w:rPr>
                <w:sz w:val="21"/>
              </w:rPr>
              <w:t>（轻</w:t>
            </w:r>
            <w:r>
              <w:rPr>
                <w:spacing w:val="-3"/>
                <w:w w:val="100"/>
                <w:sz w:val="21"/>
              </w:rPr>
              <w:t>度、中度、重度或极重度</w:t>
            </w:r>
            <w:r>
              <w:rPr>
                <w:spacing w:val="-108"/>
                <w:w w:val="100"/>
                <w:sz w:val="21"/>
              </w:rPr>
              <w:t>）</w:t>
            </w:r>
            <w:r>
              <w:rPr>
                <w:w w:val="100"/>
                <w:sz w:val="21"/>
              </w:rPr>
              <w:t>；</w:t>
            </w:r>
          </w:p>
          <w:p>
            <w:pPr>
              <w:pStyle w:val="TableParagraph"/>
              <w:spacing w:before="22"/>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1560" w:hRule="atLeast"/>
        </w:trPr>
        <w:tc>
          <w:tcPr>
            <w:tcW w:w="2930" w:type="dxa"/>
          </w:tcPr>
          <w:p>
            <w:pPr>
              <w:pStyle w:val="TableParagraph"/>
              <w:spacing w:line="273" w:lineRule="exact"/>
              <w:ind w:left="200"/>
              <w:rPr>
                <w:sz w:val="21"/>
              </w:rPr>
            </w:pPr>
            <w:r>
              <w:rPr>
                <w:rFonts w:ascii="Times New Roman" w:eastAsia="Times New Roman"/>
                <w:sz w:val="21"/>
              </w:rPr>
              <w:t>10.  </w:t>
            </w:r>
            <w:r>
              <w:rPr>
                <w:sz w:val="21"/>
              </w:rPr>
              <w:t>严重哮喘</w:t>
            </w:r>
          </w:p>
        </w:tc>
        <w:tc>
          <w:tcPr>
            <w:tcW w:w="7390" w:type="dxa"/>
          </w:tcPr>
          <w:p>
            <w:pPr>
              <w:pStyle w:val="TableParagraph"/>
              <w:spacing w:line="257" w:lineRule="exact"/>
              <w:rPr>
                <w:sz w:val="21"/>
              </w:rPr>
            </w:pPr>
            <w:r>
              <w:rPr>
                <w:sz w:val="21"/>
              </w:rPr>
              <w:t>严重哮喘诊断必须明确诊断，并且满足下列标准中的三项或三项以上：</w:t>
            </w:r>
          </w:p>
          <w:p>
            <w:pPr>
              <w:pStyle w:val="TableParagraph"/>
              <w:spacing w:before="37"/>
              <w:rPr>
                <w:sz w:val="21"/>
              </w:rPr>
            </w:pPr>
            <w:r>
              <w:rPr>
                <w:sz w:val="21"/>
              </w:rPr>
              <w:t>（</w:t>
            </w:r>
            <w:r>
              <w:rPr>
                <w:rFonts w:ascii="Times New Roman" w:eastAsia="Times New Roman"/>
                <w:sz w:val="21"/>
              </w:rPr>
              <w:t>1</w:t>
            </w:r>
            <w:r>
              <w:rPr>
                <w:sz w:val="21"/>
              </w:rPr>
              <w:t>）过去两年中有哮喘持续状态病史；</w:t>
            </w:r>
          </w:p>
          <w:p>
            <w:pPr>
              <w:pStyle w:val="TableParagraph"/>
              <w:spacing w:before="21"/>
              <w:rPr>
                <w:sz w:val="21"/>
              </w:rPr>
            </w:pPr>
            <w:r>
              <w:rPr>
                <w:sz w:val="21"/>
              </w:rPr>
              <w:t>（</w:t>
            </w:r>
            <w:r>
              <w:rPr>
                <w:rFonts w:ascii="Times New Roman" w:eastAsia="Times New Roman"/>
                <w:sz w:val="21"/>
              </w:rPr>
              <w:t>2</w:t>
            </w:r>
            <w:r>
              <w:rPr>
                <w:sz w:val="21"/>
              </w:rPr>
              <w:t>）身体活动耐受能力显著且持续下降；</w:t>
            </w:r>
          </w:p>
          <w:p>
            <w:pPr>
              <w:pStyle w:val="TableParagraph"/>
              <w:spacing w:before="21"/>
              <w:rPr>
                <w:sz w:val="21"/>
              </w:rPr>
            </w:pPr>
            <w:r>
              <w:rPr>
                <w:sz w:val="21"/>
              </w:rPr>
              <w:t>（</w:t>
            </w:r>
            <w:r>
              <w:rPr>
                <w:rFonts w:ascii="Times New Roman" w:eastAsia="Times New Roman"/>
                <w:sz w:val="21"/>
              </w:rPr>
              <w:t>3</w:t>
            </w:r>
            <w:r>
              <w:rPr>
                <w:sz w:val="21"/>
              </w:rPr>
              <w:t>）慢性肺部过度膨涨充气导致的胸廓畸形；</w:t>
            </w:r>
          </w:p>
          <w:p>
            <w:pPr>
              <w:pStyle w:val="TableParagraph"/>
              <w:spacing w:before="21"/>
              <w:rPr>
                <w:sz w:val="21"/>
              </w:rPr>
            </w:pPr>
            <w:r>
              <w:rPr>
                <w:spacing w:val="-1"/>
                <w:sz w:val="21"/>
              </w:rPr>
              <w:t>（</w:t>
            </w:r>
            <w:r>
              <w:rPr>
                <w:rFonts w:ascii="Times New Roman" w:eastAsia="Times New Roman"/>
                <w:spacing w:val="-1"/>
                <w:sz w:val="21"/>
              </w:rPr>
              <w:t>4</w:t>
            </w:r>
            <w:r>
              <w:rPr>
                <w:spacing w:val="-1"/>
                <w:sz w:val="21"/>
              </w:rPr>
              <w:t>）</w:t>
            </w:r>
            <w:r>
              <w:rPr>
                <w:spacing w:val="-3"/>
                <w:sz w:val="21"/>
              </w:rPr>
              <w:t>持续每日口服皮质类固醇激素（至少持续六个月以上</w:t>
            </w:r>
            <w:r>
              <w:rPr>
                <w:spacing w:val="-106"/>
                <w:sz w:val="21"/>
              </w:rPr>
              <w:t>）</w:t>
            </w:r>
            <w:r>
              <w:rPr>
                <w:sz w:val="21"/>
              </w:rPr>
              <w:t>。</w:t>
            </w:r>
          </w:p>
        </w:tc>
      </w:tr>
      <w:tr>
        <w:trPr>
          <w:trHeight w:val="616" w:hRule="atLeast"/>
        </w:trPr>
        <w:tc>
          <w:tcPr>
            <w:tcW w:w="2930" w:type="dxa"/>
          </w:tcPr>
          <w:p>
            <w:pPr>
              <w:pStyle w:val="TableParagraph"/>
              <w:spacing w:line="273" w:lineRule="exact"/>
              <w:ind w:left="200"/>
              <w:rPr>
                <w:sz w:val="21"/>
              </w:rPr>
            </w:pPr>
            <w:r>
              <w:rPr>
                <w:rFonts w:ascii="Times New Roman" w:hAnsi="Times New Roman" w:eastAsia="Times New Roman"/>
                <w:sz w:val="21"/>
              </w:rPr>
              <w:t>11.  </w:t>
            </w:r>
            <w:r>
              <w:rPr>
                <w:sz w:val="21"/>
              </w:rPr>
              <w:t>严重Ⅲ度烧伤</w:t>
            </w:r>
          </w:p>
        </w:tc>
        <w:tc>
          <w:tcPr>
            <w:tcW w:w="7390" w:type="dxa"/>
          </w:tcPr>
          <w:p>
            <w:pPr>
              <w:pStyle w:val="TableParagraph"/>
              <w:spacing w:line="273" w:lineRule="exact"/>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w:t>
            </w:r>
          </w:p>
          <w:p>
            <w:pPr>
              <w:pStyle w:val="TableParagraph"/>
              <w:spacing w:before="21"/>
              <w:rPr>
                <w:sz w:val="21"/>
              </w:rPr>
            </w:pPr>
            <w:r>
              <w:rPr>
                <w:sz w:val="21"/>
              </w:rPr>
              <w:t>体表面积根据《中国新九分法》计算。</w:t>
            </w:r>
          </w:p>
        </w:tc>
      </w:tr>
      <w:tr>
        <w:trPr>
          <w:trHeight w:val="1216" w:hRule="atLeast"/>
        </w:trPr>
        <w:tc>
          <w:tcPr>
            <w:tcW w:w="2930" w:type="dxa"/>
          </w:tcPr>
          <w:p>
            <w:pPr>
              <w:pStyle w:val="TableParagraph"/>
              <w:spacing w:line="281" w:lineRule="exact"/>
              <w:ind w:left="200"/>
              <w:rPr>
                <w:sz w:val="21"/>
              </w:rPr>
            </w:pPr>
            <w:r>
              <w:rPr>
                <w:rFonts w:ascii="Times New Roman" w:eastAsia="Times New Roman"/>
                <w:sz w:val="21"/>
              </w:rPr>
              <w:t>12.  </w:t>
            </w:r>
            <w:r>
              <w:rPr>
                <w:sz w:val="21"/>
              </w:rPr>
              <w:t>重型再生障碍性贫血</w:t>
            </w:r>
          </w:p>
        </w:tc>
        <w:tc>
          <w:tcPr>
            <w:tcW w:w="7390" w:type="dxa"/>
          </w:tcPr>
          <w:p>
            <w:pPr>
              <w:pStyle w:val="TableParagraph"/>
              <w:spacing w:line="273" w:lineRule="auto"/>
              <w:ind w:right="210"/>
              <w:rPr>
                <w:sz w:val="21"/>
              </w:rPr>
            </w:pPr>
            <w:r>
              <w:rPr>
                <w:sz w:val="21"/>
              </w:rPr>
              <w:t>指因骨髓造血功能慢性持续性衰竭导致的贫血、中性粒细胞减少及血小板减少。须满足下列全部条件：</w:t>
            </w:r>
          </w:p>
          <w:p>
            <w:pPr>
              <w:pStyle w:val="TableParagraph"/>
              <w:spacing w:before="18"/>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1" w:lineRule="exact" w:before="21"/>
              <w:rPr>
                <w:sz w:val="21"/>
              </w:rPr>
            </w:pPr>
            <w:r>
              <w:rPr>
                <w:sz w:val="21"/>
              </w:rPr>
              <w:t>（</w:t>
            </w:r>
            <w:r>
              <w:rPr>
                <w:rFonts w:ascii="Times New Roman" w:eastAsia="Times New Roman"/>
                <w:sz w:val="21"/>
              </w:rPr>
              <w:t>2</w:t>
            </w:r>
            <w:r>
              <w:rPr>
                <w:sz w:val="21"/>
              </w:rPr>
              <w:t>）外周血象须具备以下三项条件：</w:t>
            </w:r>
          </w:p>
        </w:tc>
      </w:tr>
    </w:tbl>
    <w:p>
      <w:pPr>
        <w:spacing w:after="0" w:line="271" w:lineRule="exact"/>
        <w:rPr>
          <w:sz w:val="21"/>
        </w:rPr>
        <w:sectPr>
          <w:pgSz w:w="11910" w:h="16160"/>
          <w:pgMar w:header="0" w:footer="631" w:top="142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4"/>
        <w:gridCol w:w="8171"/>
      </w:tblGrid>
      <w:tr>
        <w:trPr>
          <w:trHeight w:val="933" w:hRule="atLeast"/>
        </w:trPr>
        <w:tc>
          <w:tcPr>
            <w:tcW w:w="2144" w:type="dxa"/>
          </w:tcPr>
          <w:p>
            <w:pPr>
              <w:pStyle w:val="TableParagraph"/>
              <w:ind w:left="0"/>
              <w:rPr>
                <w:rFonts w:ascii="Times New Roman"/>
                <w:sz w:val="20"/>
              </w:rPr>
            </w:pPr>
          </w:p>
        </w:tc>
        <w:tc>
          <w:tcPr>
            <w:tcW w:w="8171" w:type="dxa"/>
          </w:tcPr>
          <w:p>
            <w:pPr>
              <w:pStyle w:val="TableParagraph"/>
              <w:spacing w:line="270" w:lineRule="exact"/>
              <w:ind w:left="1572"/>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1"/>
              <w:ind w:left="1572"/>
              <w:rPr>
                <w:sz w:val="21"/>
              </w:rPr>
            </w:pPr>
            <w:r>
              <w:rPr>
                <w:sz w:val="21"/>
              </w:rPr>
              <w:t>② 网织红细胞＜</w:t>
            </w:r>
            <w:r>
              <w:rPr>
                <w:rFonts w:ascii="Times New Roman" w:hAnsi="Times New Roman" w:eastAsia="Times New Roman"/>
                <w:sz w:val="21"/>
              </w:rPr>
              <w:t>1%</w:t>
            </w:r>
            <w:r>
              <w:rPr>
                <w:sz w:val="21"/>
              </w:rPr>
              <w:t>；</w:t>
            </w:r>
          </w:p>
          <w:p>
            <w:pPr>
              <w:pStyle w:val="TableParagraph"/>
              <w:spacing w:before="20"/>
              <w:ind w:left="1572"/>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3081" w:hRule="atLeast"/>
        </w:trPr>
        <w:tc>
          <w:tcPr>
            <w:tcW w:w="2144" w:type="dxa"/>
          </w:tcPr>
          <w:p>
            <w:pPr>
              <w:pStyle w:val="TableParagraph"/>
              <w:spacing w:line="273" w:lineRule="exact"/>
              <w:ind w:left="200"/>
              <w:rPr>
                <w:sz w:val="21"/>
              </w:rPr>
            </w:pPr>
            <w:r>
              <w:rPr>
                <w:rFonts w:ascii="Times New Roman" w:eastAsia="Times New Roman"/>
                <w:sz w:val="21"/>
              </w:rPr>
              <w:t>13.  </w:t>
            </w:r>
            <w:r>
              <w:rPr>
                <w:sz w:val="21"/>
              </w:rPr>
              <w:t>白血病</w:t>
            </w:r>
          </w:p>
        </w:tc>
        <w:tc>
          <w:tcPr>
            <w:tcW w:w="8171" w:type="dxa"/>
          </w:tcPr>
          <w:p>
            <w:pPr>
              <w:pStyle w:val="TableParagraph"/>
              <w:spacing w:line="257" w:lineRule="exact"/>
              <w:ind w:left="941"/>
              <w:rPr>
                <w:sz w:val="21"/>
              </w:rPr>
            </w:pPr>
            <w:r>
              <w:rPr>
                <w:sz w:val="21"/>
              </w:rPr>
              <w:t>白血病是一种造血系统的恶性肿瘤，其主要表现为白血病细胞在骨髓或其他</w:t>
            </w:r>
          </w:p>
          <w:p>
            <w:pPr>
              <w:pStyle w:val="TableParagraph"/>
              <w:spacing w:line="273" w:lineRule="auto" w:before="37"/>
              <w:ind w:left="941" w:right="199"/>
              <w:jc w:val="both"/>
              <w:rPr>
                <w:sz w:val="21"/>
              </w:rPr>
            </w:pPr>
            <w:r>
              <w:rPr>
                <w:sz w:val="21"/>
              </w:rPr>
              <w:t>造血组织中进行性、失控制的异常增生，并浸润至其他组织与器官，使正常血细胞生成减少，周围白细胞有质和量的变化，产生相应临床表现。被保险人所患白血病必须根据骨髓的活组织检查和周围血象由专科（血液科或肿瘤科）主任医师确诊，并且至少已经接受了下列一项治疗：</w:t>
            </w:r>
          </w:p>
          <w:p>
            <w:pPr>
              <w:pStyle w:val="TableParagraph"/>
              <w:spacing w:before="7"/>
              <w:ind w:left="941"/>
              <w:rPr>
                <w:sz w:val="21"/>
              </w:rPr>
            </w:pPr>
            <w:r>
              <w:rPr>
                <w:w w:val="100"/>
                <w:sz w:val="21"/>
              </w:rPr>
              <w:t>（</w:t>
            </w:r>
            <w:r>
              <w:rPr>
                <w:rFonts w:ascii="Times New Roman" w:eastAsia="Times New Roman"/>
                <w:w w:val="100"/>
                <w:sz w:val="21"/>
              </w:rPr>
              <w:t>1</w:t>
            </w:r>
            <w:r>
              <w:rPr>
                <w:spacing w:val="-3"/>
                <w:w w:val="100"/>
                <w:sz w:val="21"/>
              </w:rPr>
              <w:t>）化学治疗</w:t>
            </w:r>
            <w:r>
              <w:rPr>
                <w:w w:val="100"/>
                <w:sz w:val="21"/>
              </w:rPr>
              <w:t>（</w:t>
            </w:r>
            <w:r>
              <w:rPr>
                <w:spacing w:val="-3"/>
                <w:w w:val="100"/>
                <w:sz w:val="21"/>
              </w:rPr>
              <w:t>治疗历时</w:t>
            </w:r>
            <w:r>
              <w:rPr>
                <w:spacing w:val="-52"/>
                <w:sz w:val="21"/>
              </w:rPr>
              <w:t> </w:t>
            </w:r>
            <w:r>
              <w:rPr>
                <w:rFonts w:ascii="Times New Roman" w:eastAsia="Times New Roman"/>
                <w:w w:val="100"/>
                <w:sz w:val="21"/>
              </w:rPr>
              <w:t>90</w:t>
            </w:r>
            <w:r>
              <w:rPr>
                <w:rFonts w:ascii="Times New Roman" w:eastAsia="Times New Roman"/>
                <w:spacing w:val="-3"/>
                <w:sz w:val="21"/>
              </w:rPr>
              <w:t> </w:t>
            </w:r>
            <w:r>
              <w:rPr>
                <w:spacing w:val="-2"/>
                <w:w w:val="100"/>
                <w:sz w:val="21"/>
              </w:rPr>
              <w:t>天以上</w:t>
            </w:r>
            <w:r>
              <w:rPr>
                <w:spacing w:val="-106"/>
                <w:w w:val="100"/>
                <w:sz w:val="21"/>
              </w:rPr>
              <w:t>）</w:t>
            </w:r>
            <w:r>
              <w:rPr>
                <w:w w:val="100"/>
                <w:sz w:val="21"/>
              </w:rPr>
              <w:t>；</w:t>
            </w:r>
          </w:p>
          <w:p>
            <w:pPr>
              <w:pStyle w:val="TableParagraph"/>
              <w:spacing w:line="256" w:lineRule="auto" w:before="20"/>
              <w:ind w:left="941" w:right="5537"/>
              <w:rPr>
                <w:b/>
                <w:sz w:val="21"/>
              </w:rPr>
            </w:pPr>
            <w:r>
              <w:rPr>
                <w:sz w:val="21"/>
              </w:rPr>
              <w:t>（</w:t>
            </w:r>
            <w:r>
              <w:rPr>
                <w:rFonts w:ascii="Times New Roman" w:eastAsia="Times New Roman"/>
                <w:sz w:val="21"/>
              </w:rPr>
              <w:t>2</w:t>
            </w:r>
            <w:r>
              <w:rPr>
                <w:sz w:val="21"/>
              </w:rPr>
              <w:t>）骨髓移植。</w:t>
            </w:r>
            <w:r>
              <w:rPr>
                <w:b/>
                <w:sz w:val="21"/>
              </w:rPr>
              <w:t>下列白血病除外：</w:t>
            </w:r>
          </w:p>
          <w:p>
            <w:pPr>
              <w:pStyle w:val="TableParagraph"/>
              <w:spacing w:before="22"/>
              <w:ind w:left="941"/>
              <w:jc w:val="both"/>
              <w:rPr>
                <w:b/>
                <w:sz w:val="21"/>
              </w:rPr>
            </w:pPr>
            <w:r>
              <w:rPr>
                <w:b/>
                <w:sz w:val="21"/>
              </w:rPr>
              <w:t>白血病细胞尚在造血骨髓中未广泛播散的白血病；</w:t>
            </w:r>
          </w:p>
          <w:p>
            <w:pPr>
              <w:pStyle w:val="TableParagraph"/>
              <w:spacing w:line="271" w:lineRule="exact" w:before="37"/>
              <w:ind w:left="941"/>
              <w:jc w:val="both"/>
              <w:rPr>
                <w:b/>
                <w:sz w:val="21"/>
              </w:rPr>
            </w:pP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tc>
      </w:tr>
    </w:tbl>
    <w:p>
      <w:pPr>
        <w:pStyle w:val="BodyText"/>
        <w:spacing w:before="3"/>
        <w:rPr>
          <w:rFonts w:ascii="楷体"/>
          <w:sz w:val="23"/>
        </w:rPr>
      </w:pPr>
    </w:p>
    <w:p>
      <w:pPr>
        <w:spacing w:before="37"/>
        <w:ind w:left="0" w:right="314" w:firstLine="0"/>
        <w:jc w:val="right"/>
        <w:rPr>
          <w:b/>
          <w:sz w:val="21"/>
        </w:rPr>
      </w:pPr>
      <w:r>
        <w:rPr>
          <w:b/>
          <w:sz w:val="21"/>
        </w:rPr>
        <w:t>〈本页内容结束〉</w:t>
      </w:r>
    </w:p>
    <w:p>
      <w:pPr>
        <w:spacing w:after="0"/>
        <w:jc w:val="right"/>
        <w:rPr>
          <w:sz w:val="21"/>
        </w:rPr>
        <w:sectPr>
          <w:pgSz w:w="11910" w:h="16160"/>
          <w:pgMar w:header="0" w:footer="631" w:top="1380" w:bottom="820" w:left="760" w:right="600"/>
        </w:sectPr>
      </w:pPr>
    </w:p>
    <w:p>
      <w:pPr>
        <w:pStyle w:val="BodyText"/>
        <w:spacing w:before="7"/>
        <w:rPr>
          <w:b/>
          <w:sz w:val="8"/>
        </w:rPr>
      </w:pPr>
    </w:p>
    <w:p>
      <w:pPr>
        <w:tabs>
          <w:tab w:pos="1377" w:val="left" w:leader="none"/>
        </w:tabs>
        <w:spacing w:before="36"/>
        <w:ind w:left="117" w:right="0" w:firstLine="0"/>
        <w:jc w:val="left"/>
        <w:rPr>
          <w:b/>
          <w:sz w:val="21"/>
        </w:rPr>
      </w:pPr>
      <w:bookmarkStart w:name="_bookmark36" w:id="37"/>
      <w:bookmarkEnd w:id="37"/>
      <w:r>
        <w:rPr/>
      </w:r>
      <w:r>
        <w:rPr>
          <w:b/>
          <w:sz w:val="21"/>
        </w:rPr>
        <w:t>附表一：</w:t>
        <w:tab/>
        <w:t>本附加合同所指的</w:t>
      </w:r>
      <w:r>
        <w:rPr>
          <w:b/>
          <w:spacing w:val="-3"/>
          <w:sz w:val="21"/>
        </w:rPr>
        <w:t>全</w:t>
      </w:r>
      <w:r>
        <w:rPr>
          <w:b/>
          <w:sz w:val="21"/>
        </w:rPr>
        <w:t>残</w:t>
      </w:r>
      <w:r>
        <w:rPr>
          <w:b/>
          <w:spacing w:val="-3"/>
          <w:sz w:val="21"/>
        </w:rPr>
        <w:t>状</w:t>
      </w:r>
      <w:r>
        <w:rPr>
          <w:b/>
          <w:sz w:val="21"/>
        </w:rPr>
        <w:t>态</w:t>
      </w:r>
    </w:p>
    <w:p>
      <w:pPr>
        <w:pStyle w:val="BodyText"/>
        <w:spacing w:before="37" w:after="50"/>
        <w:ind w:left="478"/>
      </w:pPr>
      <w:r>
        <w:rPr/>
        <w:t>达到下列情形之一的即为达到本附加合同所指的全残状态：</w:t>
      </w:r>
    </w:p>
    <w:tbl>
      <w:tblPr>
        <w:tblW w:w="0" w:type="auto"/>
        <w:jc w:val="left"/>
        <w:tblInd w:w="1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6349"/>
      </w:tblGrid>
      <w:tr>
        <w:trPr>
          <w:trHeight w:val="280" w:hRule="atLeast"/>
        </w:trPr>
        <w:tc>
          <w:tcPr>
            <w:tcW w:w="1061" w:type="dxa"/>
          </w:tcPr>
          <w:p>
            <w:pPr>
              <w:pStyle w:val="TableParagraph"/>
              <w:spacing w:line="253" w:lineRule="exact"/>
              <w:ind w:left="107"/>
              <w:rPr>
                <w:sz w:val="21"/>
              </w:rPr>
            </w:pPr>
            <w:r>
              <w:rPr>
                <w:sz w:val="21"/>
              </w:rPr>
              <w:t>项目</w:t>
            </w:r>
          </w:p>
        </w:tc>
        <w:tc>
          <w:tcPr>
            <w:tcW w:w="6349" w:type="dxa"/>
          </w:tcPr>
          <w:p>
            <w:pPr>
              <w:pStyle w:val="TableParagraph"/>
              <w:spacing w:line="253" w:lineRule="exact"/>
              <w:ind w:left="108"/>
              <w:rPr>
                <w:sz w:val="21"/>
              </w:rPr>
            </w:pPr>
            <w:r>
              <w:rPr>
                <w:sz w:val="21"/>
              </w:rPr>
              <w:t>残疾程度</w:t>
            </w:r>
          </w:p>
        </w:tc>
      </w:tr>
      <w:tr>
        <w:trPr>
          <w:trHeight w:val="297" w:hRule="atLeast"/>
        </w:trPr>
        <w:tc>
          <w:tcPr>
            <w:tcW w:w="1061" w:type="dxa"/>
          </w:tcPr>
          <w:p>
            <w:pPr>
              <w:pStyle w:val="TableParagraph"/>
              <w:spacing w:line="253" w:lineRule="exact"/>
              <w:ind w:left="107"/>
              <w:rPr>
                <w:sz w:val="21"/>
              </w:rPr>
            </w:pPr>
            <w:r>
              <w:rPr>
                <w:w w:val="100"/>
                <w:sz w:val="21"/>
              </w:rPr>
              <w:t>一</w:t>
            </w:r>
          </w:p>
        </w:tc>
        <w:tc>
          <w:tcPr>
            <w:tcW w:w="6349" w:type="dxa"/>
          </w:tcPr>
          <w:p>
            <w:pPr>
              <w:pStyle w:val="TableParagraph"/>
              <w:spacing w:line="268" w:lineRule="exact"/>
              <w:ind w:left="108"/>
              <w:rPr>
                <w:sz w:val="21"/>
              </w:rPr>
            </w:pPr>
            <w:r>
              <w:rPr>
                <w:sz w:val="21"/>
              </w:rPr>
              <w:t>双目永久完全失明的（注 </w:t>
            </w:r>
            <w:r>
              <w:rPr>
                <w:rFonts w:ascii="Times New Roman" w:eastAsia="Times New Roman"/>
                <w:sz w:val="21"/>
              </w:rPr>
              <w:t>1</w:t>
            </w:r>
            <w:r>
              <w:rPr>
                <w:sz w:val="21"/>
              </w:rPr>
              <w:t>）</w:t>
            </w:r>
          </w:p>
        </w:tc>
      </w:tr>
      <w:tr>
        <w:trPr>
          <w:trHeight w:val="280" w:hRule="atLeast"/>
        </w:trPr>
        <w:tc>
          <w:tcPr>
            <w:tcW w:w="1061" w:type="dxa"/>
          </w:tcPr>
          <w:p>
            <w:pPr>
              <w:pStyle w:val="TableParagraph"/>
              <w:spacing w:line="253" w:lineRule="exact"/>
              <w:ind w:left="107"/>
              <w:rPr>
                <w:sz w:val="21"/>
              </w:rPr>
            </w:pPr>
            <w:r>
              <w:rPr>
                <w:w w:val="100"/>
                <w:sz w:val="21"/>
              </w:rPr>
              <w:t>二</w:t>
            </w:r>
          </w:p>
        </w:tc>
        <w:tc>
          <w:tcPr>
            <w:tcW w:w="6349" w:type="dxa"/>
          </w:tcPr>
          <w:p>
            <w:pPr>
              <w:pStyle w:val="TableParagraph"/>
              <w:spacing w:line="253" w:lineRule="exact"/>
              <w:ind w:left="108"/>
              <w:rPr>
                <w:sz w:val="21"/>
              </w:rPr>
            </w:pPr>
            <w:r>
              <w:rPr>
                <w:sz w:val="21"/>
              </w:rPr>
              <w:t>两上肢腕关节以上或两下肢踝关节以上缺失的</w:t>
            </w:r>
          </w:p>
        </w:tc>
      </w:tr>
      <w:tr>
        <w:trPr>
          <w:trHeight w:val="280" w:hRule="atLeast"/>
        </w:trPr>
        <w:tc>
          <w:tcPr>
            <w:tcW w:w="1061" w:type="dxa"/>
          </w:tcPr>
          <w:p>
            <w:pPr>
              <w:pStyle w:val="TableParagraph"/>
              <w:spacing w:line="253" w:lineRule="exact"/>
              <w:ind w:left="107"/>
              <w:rPr>
                <w:sz w:val="21"/>
              </w:rPr>
            </w:pPr>
            <w:r>
              <w:rPr>
                <w:w w:val="100"/>
                <w:sz w:val="21"/>
              </w:rPr>
              <w:t>三</w:t>
            </w:r>
          </w:p>
        </w:tc>
        <w:tc>
          <w:tcPr>
            <w:tcW w:w="6349" w:type="dxa"/>
          </w:tcPr>
          <w:p>
            <w:pPr>
              <w:pStyle w:val="TableParagraph"/>
              <w:spacing w:line="253" w:lineRule="exact"/>
              <w:ind w:left="108"/>
              <w:rPr>
                <w:sz w:val="21"/>
              </w:rPr>
            </w:pPr>
            <w:r>
              <w:rPr>
                <w:sz w:val="21"/>
              </w:rPr>
              <w:t>一上肢腕关节以上及一下肢踝关节以上缺失的</w:t>
            </w:r>
          </w:p>
        </w:tc>
      </w:tr>
      <w:tr>
        <w:trPr>
          <w:trHeight w:val="280" w:hRule="atLeast"/>
        </w:trPr>
        <w:tc>
          <w:tcPr>
            <w:tcW w:w="1061" w:type="dxa"/>
          </w:tcPr>
          <w:p>
            <w:pPr>
              <w:pStyle w:val="TableParagraph"/>
              <w:spacing w:line="253" w:lineRule="exact"/>
              <w:ind w:left="107"/>
              <w:rPr>
                <w:sz w:val="21"/>
              </w:rPr>
            </w:pPr>
            <w:r>
              <w:rPr>
                <w:w w:val="100"/>
                <w:sz w:val="21"/>
              </w:rPr>
              <w:t>四</w:t>
            </w:r>
          </w:p>
        </w:tc>
        <w:tc>
          <w:tcPr>
            <w:tcW w:w="6349" w:type="dxa"/>
          </w:tcPr>
          <w:p>
            <w:pPr>
              <w:pStyle w:val="TableParagraph"/>
              <w:spacing w:line="253" w:lineRule="exact"/>
              <w:ind w:left="108"/>
              <w:rPr>
                <w:sz w:val="21"/>
              </w:rPr>
            </w:pPr>
            <w:r>
              <w:rPr>
                <w:sz w:val="21"/>
              </w:rPr>
              <w:t>一目永久完全失明及一上肢腕关节以上缺失的</w:t>
            </w:r>
          </w:p>
        </w:tc>
      </w:tr>
      <w:tr>
        <w:trPr>
          <w:trHeight w:val="277" w:hRule="atLeast"/>
        </w:trPr>
        <w:tc>
          <w:tcPr>
            <w:tcW w:w="1061" w:type="dxa"/>
          </w:tcPr>
          <w:p>
            <w:pPr>
              <w:pStyle w:val="TableParagraph"/>
              <w:spacing w:line="253" w:lineRule="exact"/>
              <w:ind w:left="107"/>
              <w:rPr>
                <w:sz w:val="21"/>
              </w:rPr>
            </w:pPr>
            <w:r>
              <w:rPr>
                <w:w w:val="100"/>
                <w:sz w:val="21"/>
              </w:rPr>
              <w:t>五</w:t>
            </w:r>
          </w:p>
        </w:tc>
        <w:tc>
          <w:tcPr>
            <w:tcW w:w="6349" w:type="dxa"/>
          </w:tcPr>
          <w:p>
            <w:pPr>
              <w:pStyle w:val="TableParagraph"/>
              <w:spacing w:line="253" w:lineRule="exact"/>
              <w:ind w:left="108"/>
              <w:rPr>
                <w:sz w:val="21"/>
              </w:rPr>
            </w:pPr>
            <w:r>
              <w:rPr>
                <w:sz w:val="21"/>
              </w:rPr>
              <w:t>一目永久完全失明及一下肢踝关节以上缺失的</w:t>
            </w:r>
          </w:p>
        </w:tc>
      </w:tr>
      <w:tr>
        <w:trPr>
          <w:trHeight w:val="280" w:hRule="atLeast"/>
        </w:trPr>
        <w:tc>
          <w:tcPr>
            <w:tcW w:w="1061" w:type="dxa"/>
          </w:tcPr>
          <w:p>
            <w:pPr>
              <w:pStyle w:val="TableParagraph"/>
              <w:spacing w:line="255" w:lineRule="exact"/>
              <w:ind w:left="107"/>
              <w:rPr>
                <w:sz w:val="21"/>
              </w:rPr>
            </w:pPr>
            <w:r>
              <w:rPr>
                <w:w w:val="100"/>
                <w:sz w:val="21"/>
              </w:rPr>
              <w:t>六</w:t>
            </w:r>
          </w:p>
        </w:tc>
        <w:tc>
          <w:tcPr>
            <w:tcW w:w="6349" w:type="dxa"/>
          </w:tcPr>
          <w:p>
            <w:pPr>
              <w:pStyle w:val="TableParagraph"/>
              <w:spacing w:line="260" w:lineRule="exact"/>
              <w:ind w:left="108"/>
              <w:rPr>
                <w:sz w:val="21"/>
              </w:rPr>
            </w:pPr>
            <w:r>
              <w:rPr>
                <w:sz w:val="21"/>
              </w:rPr>
              <w:t>四肢关节机能永久完全丧失的（注 </w:t>
            </w:r>
            <w:r>
              <w:rPr>
                <w:rFonts w:ascii="Times New Roman" w:eastAsia="Times New Roman"/>
                <w:sz w:val="21"/>
              </w:rPr>
              <w:t>2</w:t>
            </w:r>
            <w:r>
              <w:rPr>
                <w:sz w:val="21"/>
              </w:rPr>
              <w:t>）</w:t>
            </w:r>
          </w:p>
        </w:tc>
      </w:tr>
      <w:tr>
        <w:trPr>
          <w:trHeight w:val="280" w:hRule="atLeast"/>
        </w:trPr>
        <w:tc>
          <w:tcPr>
            <w:tcW w:w="1061" w:type="dxa"/>
          </w:tcPr>
          <w:p>
            <w:pPr>
              <w:pStyle w:val="TableParagraph"/>
              <w:spacing w:line="253" w:lineRule="exact"/>
              <w:ind w:left="107"/>
              <w:rPr>
                <w:sz w:val="21"/>
              </w:rPr>
            </w:pPr>
            <w:r>
              <w:rPr>
                <w:w w:val="100"/>
                <w:sz w:val="21"/>
              </w:rPr>
              <w:t>七</w:t>
            </w:r>
          </w:p>
        </w:tc>
        <w:tc>
          <w:tcPr>
            <w:tcW w:w="6349" w:type="dxa"/>
          </w:tcPr>
          <w:p>
            <w:pPr>
              <w:pStyle w:val="TableParagraph"/>
              <w:spacing w:line="260" w:lineRule="exact"/>
              <w:ind w:left="108"/>
              <w:rPr>
                <w:sz w:val="21"/>
              </w:rPr>
            </w:pPr>
            <w:r>
              <w:rPr>
                <w:sz w:val="21"/>
              </w:rPr>
              <w:t>咀嚼、吞咽机能永久完全丧失的（注 </w:t>
            </w:r>
            <w:r>
              <w:rPr>
                <w:rFonts w:ascii="Times New Roman" w:eastAsia="Times New Roman"/>
                <w:sz w:val="21"/>
              </w:rPr>
              <w:t>3</w:t>
            </w:r>
            <w:r>
              <w:rPr>
                <w:sz w:val="21"/>
              </w:rPr>
              <w:t>）</w:t>
            </w:r>
          </w:p>
        </w:tc>
      </w:tr>
      <w:tr>
        <w:trPr>
          <w:trHeight w:val="561" w:hRule="atLeast"/>
        </w:trPr>
        <w:tc>
          <w:tcPr>
            <w:tcW w:w="1061" w:type="dxa"/>
          </w:tcPr>
          <w:p>
            <w:pPr>
              <w:pStyle w:val="TableParagraph"/>
              <w:spacing w:line="253" w:lineRule="exact"/>
              <w:ind w:left="107"/>
              <w:rPr>
                <w:sz w:val="21"/>
              </w:rPr>
            </w:pPr>
            <w:r>
              <w:rPr>
                <w:w w:val="100"/>
                <w:sz w:val="21"/>
              </w:rPr>
              <w:t>八</w:t>
            </w:r>
          </w:p>
        </w:tc>
        <w:tc>
          <w:tcPr>
            <w:tcW w:w="6349" w:type="dxa"/>
          </w:tcPr>
          <w:p>
            <w:pPr>
              <w:pStyle w:val="TableParagraph"/>
              <w:spacing w:line="253" w:lineRule="exact"/>
              <w:ind w:left="108"/>
              <w:rPr>
                <w:sz w:val="21"/>
              </w:rPr>
            </w:pPr>
            <w:r>
              <w:rPr>
                <w:sz w:val="21"/>
              </w:rPr>
              <w:t>中枢神经系统机能或胸、腹部脏器机能极度障碍，终身不能从事任</w:t>
            </w:r>
          </w:p>
          <w:p>
            <w:pPr>
              <w:pStyle w:val="TableParagraph"/>
              <w:spacing w:line="283" w:lineRule="exact" w:before="6"/>
              <w:ind w:left="108" w:right="-15"/>
              <w:rPr>
                <w:sz w:val="21"/>
              </w:rPr>
            </w:pPr>
            <w:r>
              <w:rPr>
                <w:spacing w:val="-5"/>
                <w:sz w:val="21"/>
              </w:rPr>
              <w:t>何工作，为维持生命必要的日常生活活动，全需他人扶助的</w:t>
            </w:r>
            <w:r>
              <w:rPr>
                <w:spacing w:val="-3"/>
                <w:sz w:val="21"/>
              </w:rPr>
              <w:t>（</w:t>
            </w:r>
            <w:r>
              <w:rPr>
                <w:spacing w:val="-9"/>
                <w:sz w:val="21"/>
              </w:rPr>
              <w:t>注 </w:t>
            </w:r>
            <w:r>
              <w:rPr>
                <w:rFonts w:ascii="Times New Roman" w:eastAsia="Times New Roman"/>
                <w:sz w:val="21"/>
              </w:rPr>
              <w:t>4</w:t>
            </w:r>
            <w:r>
              <w:rPr>
                <w:sz w:val="21"/>
              </w:rPr>
              <w:t>）</w:t>
            </w:r>
          </w:p>
        </w:tc>
      </w:tr>
    </w:tbl>
    <w:p>
      <w:pPr>
        <w:pStyle w:val="BodyText"/>
        <w:spacing w:before="7"/>
        <w:rPr>
          <w:sz w:val="19"/>
        </w:rPr>
      </w:pPr>
    </w:p>
    <w:p>
      <w:pPr>
        <w:pStyle w:val="BodyText"/>
        <w:ind w:left="117"/>
      </w:pPr>
      <w:r>
        <w:rPr/>
        <w:t>注：</w:t>
      </w:r>
    </w:p>
    <w:p>
      <w:pPr>
        <w:pStyle w:val="ListParagraph"/>
        <w:numPr>
          <w:ilvl w:val="0"/>
          <w:numId w:val="8"/>
        </w:numPr>
        <w:tabs>
          <w:tab w:pos="835" w:val="left" w:leader="none"/>
          <w:tab w:pos="836" w:val="left" w:leader="none"/>
        </w:tabs>
        <w:spacing w:line="247" w:lineRule="auto" w:before="22" w:after="0"/>
        <w:ind w:left="830" w:right="215" w:hanging="355"/>
        <w:jc w:val="left"/>
        <w:rPr>
          <w:sz w:val="21"/>
        </w:rPr>
      </w:pPr>
      <w:r>
        <w:rPr>
          <w:spacing w:val="-7"/>
          <w:sz w:val="21"/>
        </w:rPr>
        <w:t>失明包括眼球缺失或摘除、或不能辨别明暗、或仅能辨别眼前手动者，最佳矫正视力低于国际标准视</w:t>
      </w:r>
      <w:r>
        <w:rPr>
          <w:spacing w:val="-18"/>
          <w:sz w:val="21"/>
        </w:rPr>
        <w:t>力表 </w:t>
      </w:r>
      <w:r>
        <w:rPr>
          <w:rFonts w:ascii="Times New Roman" w:eastAsia="Times New Roman"/>
          <w:sz w:val="21"/>
        </w:rPr>
        <w:t>0.02</w:t>
      </w:r>
      <w:r>
        <w:rPr>
          <w:spacing w:val="-7"/>
          <w:sz w:val="21"/>
        </w:rPr>
        <w:t>，或视野半径小于 </w:t>
      </w:r>
      <w:r>
        <w:rPr>
          <w:rFonts w:ascii="Times New Roman" w:eastAsia="Times New Roman"/>
          <w:sz w:val="21"/>
        </w:rPr>
        <w:t>5</w:t>
      </w:r>
      <w:r>
        <w:rPr>
          <w:rFonts w:ascii="Times New Roman" w:eastAsia="Times New Roman"/>
          <w:spacing w:val="12"/>
          <w:sz w:val="21"/>
        </w:rPr>
        <w:t> </w:t>
      </w:r>
      <w:r>
        <w:rPr>
          <w:spacing w:val="-3"/>
          <w:sz w:val="21"/>
        </w:rPr>
        <w:t>度，并由保险公司指定有资格的眼科医师出具医疗诊断证明。</w:t>
      </w:r>
    </w:p>
    <w:p>
      <w:pPr>
        <w:pStyle w:val="ListParagraph"/>
        <w:numPr>
          <w:ilvl w:val="0"/>
          <w:numId w:val="8"/>
        </w:numPr>
        <w:tabs>
          <w:tab w:pos="835" w:val="left" w:leader="none"/>
          <w:tab w:pos="836" w:val="left" w:leader="none"/>
        </w:tabs>
        <w:spacing w:line="240" w:lineRule="auto" w:before="2" w:after="0"/>
        <w:ind w:left="830" w:right="0" w:hanging="355"/>
        <w:jc w:val="left"/>
        <w:rPr>
          <w:sz w:val="21"/>
        </w:rPr>
      </w:pPr>
      <w:r>
        <w:rPr>
          <w:spacing w:val="-3"/>
          <w:sz w:val="21"/>
        </w:rPr>
        <w:t>关节机能的丧失系指关节永久完全僵硬、或麻痹、或关节不能随意识活动。</w:t>
      </w:r>
    </w:p>
    <w:p>
      <w:pPr>
        <w:pStyle w:val="ListParagraph"/>
        <w:numPr>
          <w:ilvl w:val="0"/>
          <w:numId w:val="8"/>
        </w:numPr>
        <w:tabs>
          <w:tab w:pos="835" w:val="left" w:leader="none"/>
          <w:tab w:pos="836" w:val="left" w:leader="none"/>
        </w:tabs>
        <w:spacing w:line="247" w:lineRule="auto" w:before="9" w:after="0"/>
        <w:ind w:left="830" w:right="217" w:hanging="355"/>
        <w:jc w:val="left"/>
        <w:rPr>
          <w:sz w:val="21"/>
        </w:rPr>
      </w:pPr>
      <w:r>
        <w:rPr>
          <w:spacing w:val="-7"/>
          <w:sz w:val="21"/>
        </w:rPr>
        <w:t>咀嚼、吞咽机能的丧失系指由于牙齿以外的原因引起器质障碍或机能障碍，以致不能作咀嚼、吞咽运</w:t>
      </w:r>
      <w:r>
        <w:rPr>
          <w:spacing w:val="-5"/>
          <w:sz w:val="21"/>
        </w:rPr>
        <w:t>动，除流质食物外不能摄取或吞咽的状态。</w:t>
      </w:r>
    </w:p>
    <w:p>
      <w:pPr>
        <w:pStyle w:val="ListParagraph"/>
        <w:numPr>
          <w:ilvl w:val="0"/>
          <w:numId w:val="8"/>
        </w:numPr>
        <w:tabs>
          <w:tab w:pos="835" w:val="left" w:leader="none"/>
          <w:tab w:pos="836" w:val="left" w:leader="none"/>
        </w:tabs>
        <w:spacing w:line="247" w:lineRule="auto" w:before="19" w:after="0"/>
        <w:ind w:left="830" w:right="107" w:hanging="355"/>
        <w:jc w:val="left"/>
        <w:rPr>
          <w:sz w:val="21"/>
        </w:rPr>
      </w:pPr>
      <w:r>
        <w:rPr>
          <w:spacing w:val="-9"/>
          <w:sz w:val="21"/>
        </w:rPr>
        <w:t>为维持生命必要之日常生活活动，全需他人扶助系指食物摄取、大小便始末、穿脱衣服、起居、步行、</w:t>
      </w:r>
      <w:r>
        <w:rPr>
          <w:spacing w:val="-5"/>
          <w:sz w:val="21"/>
        </w:rPr>
        <w:t>入浴等，皆不能自己为之，需要他人帮助。</w:t>
      </w:r>
    </w:p>
    <w:p>
      <w:pPr>
        <w:pStyle w:val="BodyText"/>
        <w:spacing w:before="10"/>
        <w:rPr>
          <w:sz w:val="24"/>
        </w:rPr>
      </w:pPr>
    </w:p>
    <w:p>
      <w:pPr>
        <w:spacing w:before="0"/>
        <w:ind w:left="0" w:right="214" w:firstLine="0"/>
        <w:jc w:val="right"/>
        <w:rPr>
          <w:b/>
          <w:sz w:val="21"/>
        </w:rPr>
      </w:pPr>
      <w:r>
        <w:rPr>
          <w:b/>
          <w:sz w:val="21"/>
        </w:rPr>
        <w:t>〈本页内容结束〉</w:t>
      </w:r>
    </w:p>
    <w:sectPr>
      <w:pgSz w:w="11910" w:h="16160"/>
      <w:pgMar w:header="0" w:footer="631" w:top="1520" w:bottom="900" w:left="9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ourier New">
    <w:altName w:val="Courier New"/>
    <w:charset w:val="0"/>
    <w:family w:val="modern"/>
    <w:pitch w:val="fixed"/>
  </w:font>
  <w:font w:name="楷体">
    <w:altName w:val="楷体"/>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7.130005pt;margin-top:761.429871pt;width:248.9pt;height:13.7pt;mso-position-horizontal-relative:page;mso-position-vertical-relative:page;z-index:-19984" type="#_x0000_t202" filled="false" stroked="false">
          <v:textbox inset="0,0,0,0">
            <w:txbxContent>
              <w:p>
                <w:pPr>
                  <w:pStyle w:val="BodyText"/>
                  <w:spacing w:line="254" w:lineRule="exact"/>
                  <w:ind w:left="20"/>
                </w:pPr>
                <w:r>
                  <w:rPr/>
                  <w:t>太平附加幸福成长少儿重大疾病保险，第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13</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7.130005pt;margin-top:761.429871pt;width:248.9pt;height:13.7pt;mso-position-horizontal-relative:page;mso-position-vertical-relative:page;z-index:-19960" type="#_x0000_t202" filled="false" stroked="false">
          <v:textbox inset="0,0,0,0">
            <w:txbxContent>
              <w:p>
                <w:pPr>
                  <w:pStyle w:val="BodyText"/>
                  <w:spacing w:line="254" w:lineRule="exact"/>
                  <w:ind w:left="20"/>
                </w:pPr>
                <w:r>
                  <w:rPr/>
                  <w:t>太平附加幸福成长少儿重大疾病保险，第</w:t>
                </w:r>
                <w:r>
                  <w:rPr>
                    <w:rFonts w:ascii="Times New Roman" w:eastAsia="Times New Roman"/>
                  </w:rPr>
                  <w:t>4</w:t>
                </w:r>
                <w:r>
                  <w:rPr/>
                  <w:t>页，共</w:t>
                </w:r>
                <w:r>
                  <w:rPr>
                    <w:rFonts w:ascii="Times New Roman" w:eastAsia="Times New Roman"/>
                  </w:rPr>
                  <w:t>13</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74.610001pt;margin-top:761.429871pt;width:254.2pt;height:13.7pt;mso-position-horizontal-relative:page;mso-position-vertical-relative:page;z-index:-19936" type="#_x0000_t202" filled="false" stroked="false">
          <v:textbox inset="0,0,0,0">
            <w:txbxContent>
              <w:p>
                <w:pPr>
                  <w:pStyle w:val="BodyText"/>
                  <w:spacing w:line="254" w:lineRule="exact"/>
                  <w:ind w:left="20"/>
                </w:pPr>
                <w:r>
                  <w:rPr/>
                  <w:t>太平附加幸福成长少儿重大疾病保险，第</w:t>
                </w:r>
                <w:r>
                  <w:rPr/>
                  <w:fldChar w:fldCharType="begin"/>
                </w:r>
                <w:r>
                  <w:rPr>
                    <w:rFonts w:ascii="Times New Roman" w:eastAsia="Times New Roman"/>
                  </w:rPr>
                  <w:instrText> PAGE </w:instrText>
                </w:r>
                <w:r>
                  <w:rPr/>
                  <w:fldChar w:fldCharType="separate"/>
                </w:r>
                <w:r>
                  <w:rPr/>
                  <w:t>11</w:t>
                </w:r>
                <w:r>
                  <w:rPr/>
                  <w:fldChar w:fldCharType="end"/>
                </w:r>
                <w:r>
                  <w:rPr/>
                  <w:t>页，共</w:t>
                </w:r>
                <w:r>
                  <w:rPr>
                    <w:rFonts w:ascii="Times New Roman" w:eastAsia="Times New Roman"/>
                  </w:rPr>
                  <w:t>13</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30"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80" w:hanging="360"/>
      </w:pPr>
      <w:rPr>
        <w:rFonts w:hint="default"/>
      </w:rPr>
    </w:lvl>
    <w:lvl w:ilvl="2">
      <w:start w:val="0"/>
      <w:numFmt w:val="bullet"/>
      <w:lvlText w:val="•"/>
      <w:lvlJc w:val="left"/>
      <w:pPr>
        <w:ind w:left="2721" w:hanging="360"/>
      </w:pPr>
      <w:rPr>
        <w:rFonts w:hint="default"/>
      </w:rPr>
    </w:lvl>
    <w:lvl w:ilvl="3">
      <w:start w:val="0"/>
      <w:numFmt w:val="bullet"/>
      <w:lvlText w:val="•"/>
      <w:lvlJc w:val="left"/>
      <w:pPr>
        <w:ind w:left="3661" w:hanging="360"/>
      </w:pPr>
      <w:rPr>
        <w:rFonts w:hint="default"/>
      </w:rPr>
    </w:lvl>
    <w:lvl w:ilvl="4">
      <w:start w:val="0"/>
      <w:numFmt w:val="bullet"/>
      <w:lvlText w:val="•"/>
      <w:lvlJc w:val="left"/>
      <w:pPr>
        <w:ind w:left="4602" w:hanging="360"/>
      </w:pPr>
      <w:rPr>
        <w:rFonts w:hint="default"/>
      </w:rPr>
    </w:lvl>
    <w:lvl w:ilvl="5">
      <w:start w:val="0"/>
      <w:numFmt w:val="bullet"/>
      <w:lvlText w:val="•"/>
      <w:lvlJc w:val="left"/>
      <w:pPr>
        <w:ind w:left="5543" w:hanging="360"/>
      </w:pPr>
      <w:rPr>
        <w:rFonts w:hint="default"/>
      </w:rPr>
    </w:lvl>
    <w:lvl w:ilvl="6">
      <w:start w:val="0"/>
      <w:numFmt w:val="bullet"/>
      <w:lvlText w:val="•"/>
      <w:lvlJc w:val="left"/>
      <w:pPr>
        <w:ind w:left="6483" w:hanging="360"/>
      </w:pPr>
      <w:rPr>
        <w:rFonts w:hint="default"/>
      </w:rPr>
    </w:lvl>
    <w:lvl w:ilvl="7">
      <w:start w:val="0"/>
      <w:numFmt w:val="bullet"/>
      <w:lvlText w:val="•"/>
      <w:lvlJc w:val="left"/>
      <w:pPr>
        <w:ind w:left="7424" w:hanging="360"/>
      </w:pPr>
      <w:rPr>
        <w:rFonts w:hint="default"/>
      </w:rPr>
    </w:lvl>
    <w:lvl w:ilvl="8">
      <w:start w:val="0"/>
      <w:numFmt w:val="bullet"/>
      <w:lvlText w:val="•"/>
      <w:lvlJc w:val="left"/>
      <w:pPr>
        <w:ind w:left="8365" w:hanging="360"/>
      </w:pPr>
      <w:rPr>
        <w:rFonts w:hint="default"/>
      </w:rPr>
    </w:lvl>
  </w:abstractNum>
  <w:abstractNum w:abstractNumId="6">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4"/>
      </w:pPr>
      <w:rPr>
        <w:rFonts w:hint="default"/>
      </w:rPr>
    </w:lvl>
    <w:lvl w:ilvl="2">
      <w:start w:val="0"/>
      <w:numFmt w:val="bullet"/>
      <w:lvlText w:val="•"/>
      <w:lvlJc w:val="left"/>
      <w:pPr>
        <w:ind w:left="2125" w:hanging="264"/>
      </w:pPr>
      <w:rPr>
        <w:rFonts w:hint="default"/>
      </w:rPr>
    </w:lvl>
    <w:lvl w:ilvl="3">
      <w:start w:val="0"/>
      <w:numFmt w:val="bullet"/>
      <w:lvlText w:val="•"/>
      <w:lvlJc w:val="left"/>
      <w:pPr>
        <w:ind w:left="3127" w:hanging="264"/>
      </w:pPr>
      <w:rPr>
        <w:rFonts w:hint="default"/>
      </w:rPr>
    </w:lvl>
    <w:lvl w:ilvl="4">
      <w:start w:val="0"/>
      <w:numFmt w:val="bullet"/>
      <w:lvlText w:val="•"/>
      <w:lvlJc w:val="left"/>
      <w:pPr>
        <w:ind w:left="4130" w:hanging="264"/>
      </w:pPr>
      <w:rPr>
        <w:rFonts w:hint="default"/>
      </w:rPr>
    </w:lvl>
    <w:lvl w:ilvl="5">
      <w:start w:val="0"/>
      <w:numFmt w:val="bullet"/>
      <w:lvlText w:val="•"/>
      <w:lvlJc w:val="left"/>
      <w:pPr>
        <w:ind w:left="5133" w:hanging="264"/>
      </w:pPr>
      <w:rPr>
        <w:rFonts w:hint="default"/>
      </w:rPr>
    </w:lvl>
    <w:lvl w:ilvl="6">
      <w:start w:val="0"/>
      <w:numFmt w:val="bullet"/>
      <w:lvlText w:val="•"/>
      <w:lvlJc w:val="left"/>
      <w:pPr>
        <w:ind w:left="6135" w:hanging="264"/>
      </w:pPr>
      <w:rPr>
        <w:rFonts w:hint="default"/>
      </w:rPr>
    </w:lvl>
    <w:lvl w:ilvl="7">
      <w:start w:val="0"/>
      <w:numFmt w:val="bullet"/>
      <w:lvlText w:val="•"/>
      <w:lvlJc w:val="left"/>
      <w:pPr>
        <w:ind w:left="7138" w:hanging="264"/>
      </w:pPr>
      <w:rPr>
        <w:rFonts w:hint="default"/>
      </w:rPr>
    </w:lvl>
    <w:lvl w:ilvl="8">
      <w:start w:val="0"/>
      <w:numFmt w:val="bullet"/>
      <w:lvlText w:val="•"/>
      <w:lvlJc w:val="left"/>
      <w:pPr>
        <w:ind w:left="8141" w:hanging="264"/>
      </w:pPr>
      <w:rPr>
        <w:rFonts w:hint="default"/>
      </w:rPr>
    </w:lvl>
  </w:abstractNum>
  <w:abstractNum w:abstractNumId="5">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0" w:hanging="264"/>
      </w:pPr>
      <w:rPr>
        <w:rFonts w:hint="default"/>
      </w:rPr>
    </w:lvl>
    <w:lvl w:ilvl="2">
      <w:start w:val="0"/>
      <w:numFmt w:val="bullet"/>
      <w:lvlText w:val="•"/>
      <w:lvlJc w:val="left"/>
      <w:pPr>
        <w:ind w:left="2461" w:hanging="264"/>
      </w:pPr>
      <w:rPr>
        <w:rFonts w:hint="default"/>
      </w:rPr>
    </w:lvl>
    <w:lvl w:ilvl="3">
      <w:start w:val="0"/>
      <w:numFmt w:val="bullet"/>
      <w:lvlText w:val="•"/>
      <w:lvlJc w:val="left"/>
      <w:pPr>
        <w:ind w:left="3421" w:hanging="264"/>
      </w:pPr>
      <w:rPr>
        <w:rFonts w:hint="default"/>
      </w:rPr>
    </w:lvl>
    <w:lvl w:ilvl="4">
      <w:start w:val="0"/>
      <w:numFmt w:val="bullet"/>
      <w:lvlText w:val="•"/>
      <w:lvlJc w:val="left"/>
      <w:pPr>
        <w:ind w:left="4382" w:hanging="264"/>
      </w:pPr>
      <w:rPr>
        <w:rFonts w:hint="default"/>
      </w:rPr>
    </w:lvl>
    <w:lvl w:ilvl="5">
      <w:start w:val="0"/>
      <w:numFmt w:val="bullet"/>
      <w:lvlText w:val="•"/>
      <w:lvlJc w:val="left"/>
      <w:pPr>
        <w:ind w:left="5343" w:hanging="264"/>
      </w:pPr>
      <w:rPr>
        <w:rFonts w:hint="default"/>
      </w:rPr>
    </w:lvl>
    <w:lvl w:ilvl="6">
      <w:start w:val="0"/>
      <w:numFmt w:val="bullet"/>
      <w:lvlText w:val="•"/>
      <w:lvlJc w:val="left"/>
      <w:pPr>
        <w:ind w:left="6303" w:hanging="264"/>
      </w:pPr>
      <w:rPr>
        <w:rFonts w:hint="default"/>
      </w:rPr>
    </w:lvl>
    <w:lvl w:ilvl="7">
      <w:start w:val="0"/>
      <w:numFmt w:val="bullet"/>
      <w:lvlText w:val="•"/>
      <w:lvlJc w:val="left"/>
      <w:pPr>
        <w:ind w:left="7264" w:hanging="264"/>
      </w:pPr>
      <w:rPr>
        <w:rFonts w:hint="default"/>
      </w:rPr>
    </w:lvl>
    <w:lvl w:ilvl="8">
      <w:start w:val="0"/>
      <w:numFmt w:val="bullet"/>
      <w:lvlText w:val="•"/>
      <w:lvlJc w:val="left"/>
      <w:pPr>
        <w:ind w:left="8225" w:hanging="264"/>
      </w:pPr>
      <w:rPr>
        <w:rFonts w:hint="default"/>
      </w:rPr>
    </w:lvl>
  </w:abstractNum>
  <w:abstractNum w:abstractNumId="4">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3">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2">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8" w:hanging="420"/>
      </w:pPr>
      <w:rPr>
        <w:rFonts w:hint="default"/>
      </w:rPr>
    </w:lvl>
    <w:lvl w:ilvl="2">
      <w:start w:val="0"/>
      <w:numFmt w:val="bullet"/>
      <w:lvlText w:val="•"/>
      <w:lvlJc w:val="left"/>
      <w:pPr>
        <w:ind w:left="3757" w:hanging="420"/>
      </w:pPr>
      <w:rPr>
        <w:rFonts w:hint="default"/>
      </w:rPr>
    </w:lvl>
    <w:lvl w:ilvl="3">
      <w:start w:val="0"/>
      <w:numFmt w:val="bullet"/>
      <w:lvlText w:val="•"/>
      <w:lvlJc w:val="left"/>
      <w:pPr>
        <w:ind w:left="4685" w:hanging="420"/>
      </w:pPr>
      <w:rPr>
        <w:rFonts w:hint="default"/>
      </w:rPr>
    </w:lvl>
    <w:lvl w:ilvl="4">
      <w:start w:val="0"/>
      <w:numFmt w:val="bullet"/>
      <w:lvlText w:val="•"/>
      <w:lvlJc w:val="left"/>
      <w:pPr>
        <w:ind w:left="5614" w:hanging="420"/>
      </w:pPr>
      <w:rPr>
        <w:rFonts w:hint="default"/>
      </w:rPr>
    </w:lvl>
    <w:lvl w:ilvl="5">
      <w:start w:val="0"/>
      <w:numFmt w:val="bullet"/>
      <w:lvlText w:val="•"/>
      <w:lvlJc w:val="left"/>
      <w:pPr>
        <w:ind w:left="6543" w:hanging="420"/>
      </w:pPr>
      <w:rPr>
        <w:rFonts w:hint="default"/>
      </w:rPr>
    </w:lvl>
    <w:lvl w:ilvl="6">
      <w:start w:val="0"/>
      <w:numFmt w:val="bullet"/>
      <w:lvlText w:val="•"/>
      <w:lvlJc w:val="left"/>
      <w:pPr>
        <w:ind w:left="7471" w:hanging="420"/>
      </w:pPr>
      <w:rPr>
        <w:rFonts w:hint="default"/>
      </w:rPr>
    </w:lvl>
    <w:lvl w:ilvl="7">
      <w:start w:val="0"/>
      <w:numFmt w:val="bullet"/>
      <w:lvlText w:val="•"/>
      <w:lvlJc w:val="left"/>
      <w:pPr>
        <w:ind w:left="8400" w:hanging="420"/>
      </w:pPr>
      <w:rPr>
        <w:rFonts w:hint="default"/>
      </w:rPr>
    </w:lvl>
    <w:lvl w:ilvl="8">
      <w:start w:val="0"/>
      <w:numFmt w:val="bullet"/>
      <w:lvlText w:val="•"/>
      <w:lvlJc w:val="left"/>
      <w:pPr>
        <w:ind w:left="9329"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117" w:firstLine="421"/>
    </w:pPr>
    <w:rPr>
      <w:rFonts w:ascii="宋体" w:hAnsi="宋体" w:eastAsia="宋体" w:cs="宋体"/>
    </w:rPr>
  </w:style>
  <w:style w:styleId="TableParagraph" w:type="paragraph">
    <w:name w:val="Table Paragraph"/>
    <w:basedOn w:val="Normal"/>
    <w:uiPriority w:val="1"/>
    <w:qFormat/>
    <w:pPr>
      <w:ind w:left="15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2018-10-20T00:06:05Z</dcterms:created>
  <dcterms:modified xsi:type="dcterms:W3CDTF">2018-10-20T00:06:05Z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2014-07-16T00:00:00Z</vt:filetime>
  </property>
  <property fmtid="{D5CDD505-2E9C-101B-9397-08002B2CF9AE}" pid="3" name="Creator">
    <vt:lpwstr>Microsoft® Word 2010</vt:lpwstr>
  </property>
  <property fmtid="{D5CDD505-2E9C-101B-9397-08002B2CF9AE}" pid="4" name="LastSaved">
    <vt:filetime>2018-10-19T00:00:00Z</vt:filetime>
  </property>
</Properties>
</file>