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425" w:val="left" w:leader="none"/>
        </w:tabs>
        <w:spacing w:before="314"/>
        <w:ind w:left="344" w:right="0" w:firstLine="0"/>
        <w:jc w:val="left"/>
        <w:rPr>
          <w:rFonts w:ascii="微软雅黑" w:eastAsia="微软雅黑" w:hint="eastAsia"/>
          <w:b/>
          <w:sz w:val="32"/>
        </w:rPr>
      </w:pPr>
      <w:r>
        <w:rPr>
          <w:sz w:val="32"/>
        </w:rPr>
        <w:t>附件</w:t>
      </w:r>
      <w:r>
        <w:rPr>
          <w:spacing w:val="-82"/>
          <w:sz w:val="32"/>
        </w:rPr>
        <w:t> </w:t>
      </w:r>
      <w:r>
        <w:rPr>
          <w:sz w:val="32"/>
        </w:rPr>
        <w:t>1-3：</w:t>
        <w:tab/>
      </w:r>
      <w:r>
        <w:rPr>
          <w:rFonts w:ascii="微软雅黑" w:eastAsia="微软雅黑" w:hint="eastAsia"/>
          <w:b/>
          <w:sz w:val="32"/>
        </w:rPr>
        <w:t>阅  读  指</w:t>
      </w:r>
      <w:r>
        <w:rPr>
          <w:rFonts w:ascii="微软雅黑" w:eastAsia="微软雅黑" w:hint="eastAsia"/>
          <w:b/>
          <w:spacing w:val="3"/>
          <w:sz w:val="32"/>
        </w:rPr>
        <w:t> </w:t>
      </w:r>
      <w:r>
        <w:rPr>
          <w:rFonts w:ascii="微软雅黑" w:eastAsia="微软雅黑" w:hint="eastAsia"/>
          <w:b/>
          <w:sz w:val="32"/>
        </w:rPr>
        <w:t>引</w:t>
      </w:r>
    </w:p>
    <w:p>
      <w:pPr>
        <w:spacing w:before="30"/>
        <w:ind w:left="344" w:right="0" w:firstLine="0"/>
        <w:jc w:val="left"/>
        <w:rPr>
          <w:sz w:val="16"/>
        </w:rPr>
      </w:pPr>
      <w:r>
        <w:rPr/>
        <w:br w:type="column"/>
      </w:r>
      <w:r>
        <w:rPr>
          <w:w w:val="95"/>
          <w:sz w:val="16"/>
        </w:rPr>
        <w:t>民生保险[2009]疾病保险006号</w:t>
      </w:r>
    </w:p>
    <w:p>
      <w:pPr>
        <w:spacing w:after="0"/>
        <w:jc w:val="left"/>
        <w:rPr>
          <w:sz w:val="16"/>
        </w:rPr>
        <w:sectPr>
          <w:headerReference w:type="default" r:id="rId5"/>
          <w:footerReference w:type="default" r:id="rId6"/>
          <w:type w:val="continuous"/>
          <w:pgSz w:w="11910" w:h="16840"/>
          <w:pgMar w:header="857" w:footer="981" w:top="1040" w:bottom="1180" w:left="960" w:right="940"/>
          <w:pgNumType w:start="1"/>
          <w:cols w:num="2" w:equalWidth="0">
            <w:col w:w="6189" w:space="1217"/>
            <w:col w:w="2604"/>
          </w:cols>
        </w:sectPr>
      </w:pPr>
    </w:p>
    <w:p>
      <w:pPr>
        <w:pStyle w:val="BodyText"/>
        <w:rPr>
          <w:sz w:val="12"/>
        </w:rPr>
      </w:pPr>
    </w:p>
    <w:p>
      <w:pPr>
        <w:spacing w:before="35"/>
        <w:ind w:left="2050" w:right="0" w:firstLine="0"/>
        <w:jc w:val="left"/>
        <w:rPr>
          <w:sz w:val="16"/>
        </w:rPr>
      </w:pPr>
      <w:r>
        <w:rPr/>
        <w:drawing>
          <wp:anchor distT="0" distB="0" distL="0" distR="0" allowOverlap="1" layoutInCell="1" locked="0" behindDoc="1" simplePos="0" relativeHeight="268387199">
            <wp:simplePos x="0" y="0"/>
            <wp:positionH relativeFrom="page">
              <wp:posOffset>6236214</wp:posOffset>
            </wp:positionH>
            <wp:positionV relativeFrom="paragraph">
              <wp:posOffset>-465437</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b/>
          <w:spacing w:val="-147"/>
          <w:sz w:val="21"/>
        </w:rPr>
        <w:t>本</w:t>
      </w:r>
      <w:r>
        <w:rPr>
          <w:spacing w:val="-63"/>
          <w:position w:val="-7"/>
          <w:sz w:val="21"/>
        </w:rPr>
        <w:t>．</w:t>
      </w:r>
      <w:r>
        <w:rPr>
          <w:b/>
          <w:spacing w:val="-147"/>
          <w:sz w:val="21"/>
        </w:rPr>
        <w:t>阅</w:t>
      </w:r>
      <w:r>
        <w:rPr>
          <w:spacing w:val="-63"/>
          <w:position w:val="-7"/>
          <w:sz w:val="21"/>
        </w:rPr>
        <w:t>．</w:t>
      </w:r>
      <w:r>
        <w:rPr>
          <w:b/>
          <w:spacing w:val="-147"/>
          <w:sz w:val="21"/>
        </w:rPr>
        <w:t>读</w:t>
      </w:r>
      <w:r>
        <w:rPr>
          <w:spacing w:val="-63"/>
          <w:position w:val="-7"/>
          <w:sz w:val="21"/>
        </w:rPr>
        <w:t>．</w:t>
      </w:r>
      <w:r>
        <w:rPr>
          <w:b/>
          <w:spacing w:val="-148"/>
          <w:sz w:val="21"/>
        </w:rPr>
        <w:t>指</w:t>
      </w:r>
      <w:r>
        <w:rPr>
          <w:spacing w:val="-63"/>
          <w:position w:val="-7"/>
          <w:sz w:val="21"/>
        </w:rPr>
        <w:t>．</w:t>
      </w:r>
      <w:r>
        <w:rPr>
          <w:b/>
          <w:spacing w:val="-148"/>
          <w:sz w:val="21"/>
        </w:rPr>
        <w:t>引</w:t>
      </w:r>
      <w:r>
        <w:rPr>
          <w:spacing w:val="-63"/>
          <w:position w:val="-7"/>
          <w:sz w:val="21"/>
        </w:rPr>
        <w:t>．</w:t>
      </w:r>
      <w:r>
        <w:rPr>
          <w:b/>
          <w:spacing w:val="-147"/>
          <w:sz w:val="21"/>
        </w:rPr>
        <w:t>有</w:t>
      </w:r>
      <w:r>
        <w:rPr>
          <w:spacing w:val="-63"/>
          <w:position w:val="-7"/>
          <w:sz w:val="21"/>
        </w:rPr>
        <w:t>．</w:t>
      </w:r>
      <w:r>
        <w:rPr>
          <w:b/>
          <w:spacing w:val="-147"/>
          <w:sz w:val="21"/>
        </w:rPr>
        <w:t>助</w:t>
      </w:r>
      <w:r>
        <w:rPr>
          <w:spacing w:val="-63"/>
          <w:position w:val="-7"/>
          <w:sz w:val="21"/>
        </w:rPr>
        <w:t>．</w:t>
      </w:r>
      <w:r>
        <w:rPr>
          <w:b/>
          <w:spacing w:val="-147"/>
          <w:sz w:val="21"/>
        </w:rPr>
        <w:t>于</w:t>
      </w:r>
      <w:r>
        <w:rPr>
          <w:spacing w:val="-63"/>
          <w:position w:val="-7"/>
          <w:sz w:val="21"/>
        </w:rPr>
        <w:t>．</w:t>
      </w:r>
      <w:r>
        <w:rPr>
          <w:b/>
          <w:spacing w:val="-148"/>
          <w:sz w:val="21"/>
        </w:rPr>
        <w:t>您</w:t>
      </w:r>
      <w:r>
        <w:rPr>
          <w:spacing w:val="-63"/>
          <w:position w:val="-7"/>
          <w:sz w:val="21"/>
        </w:rPr>
        <w:t>．</w:t>
      </w:r>
      <w:r>
        <w:rPr>
          <w:b/>
          <w:spacing w:val="-148"/>
          <w:sz w:val="21"/>
        </w:rPr>
        <w:t>理</w:t>
      </w:r>
      <w:r>
        <w:rPr>
          <w:spacing w:val="-63"/>
          <w:position w:val="-7"/>
          <w:sz w:val="21"/>
        </w:rPr>
        <w:t>．</w:t>
      </w:r>
      <w:r>
        <w:rPr>
          <w:b/>
          <w:spacing w:val="-147"/>
          <w:sz w:val="21"/>
        </w:rPr>
        <w:t>解</w:t>
      </w:r>
      <w:r>
        <w:rPr>
          <w:spacing w:val="-63"/>
          <w:position w:val="-7"/>
          <w:sz w:val="21"/>
        </w:rPr>
        <w:t>．</w:t>
      </w:r>
      <w:r>
        <w:rPr>
          <w:b/>
          <w:spacing w:val="-147"/>
          <w:sz w:val="21"/>
        </w:rPr>
        <w:t>条</w:t>
      </w:r>
      <w:r>
        <w:rPr>
          <w:spacing w:val="-63"/>
          <w:position w:val="-7"/>
          <w:sz w:val="21"/>
        </w:rPr>
        <w:t>．</w:t>
      </w:r>
      <w:r>
        <w:rPr>
          <w:b/>
          <w:spacing w:val="-147"/>
          <w:sz w:val="21"/>
        </w:rPr>
        <w:t>款</w:t>
      </w:r>
      <w:r>
        <w:rPr>
          <w:spacing w:val="-32"/>
          <w:position w:val="-7"/>
          <w:sz w:val="21"/>
        </w:rPr>
        <w:t>．</w:t>
      </w:r>
      <w:r>
        <w:rPr>
          <w:b/>
          <w:spacing w:val="-90"/>
          <w:sz w:val="21"/>
        </w:rPr>
        <w:t>，对</w:t>
      </w:r>
      <w:r>
        <w:rPr>
          <w:spacing w:val="-63"/>
          <w:position w:val="-7"/>
          <w:sz w:val="21"/>
        </w:rPr>
        <w:t>．</w:t>
      </w:r>
      <w:r>
        <w:rPr>
          <w:b/>
          <w:spacing w:val="-147"/>
          <w:sz w:val="21"/>
        </w:rPr>
        <w:t>本</w:t>
      </w:r>
      <w:r>
        <w:rPr>
          <w:spacing w:val="-63"/>
          <w:position w:val="-7"/>
          <w:sz w:val="21"/>
        </w:rPr>
        <w:t>．</w:t>
      </w:r>
      <w:r>
        <w:rPr>
          <w:b/>
          <w:spacing w:val="-147"/>
          <w:sz w:val="21"/>
        </w:rPr>
        <w:t>合</w:t>
      </w:r>
      <w:r>
        <w:rPr>
          <w:spacing w:val="-63"/>
          <w:position w:val="-7"/>
          <w:sz w:val="21"/>
        </w:rPr>
        <w:t>．</w:t>
      </w:r>
      <w:r>
        <w:rPr>
          <w:b/>
          <w:spacing w:val="-147"/>
          <w:sz w:val="21"/>
        </w:rPr>
        <w:t>同</w:t>
      </w:r>
      <w:r>
        <w:rPr>
          <w:spacing w:val="-63"/>
          <w:position w:val="-7"/>
          <w:sz w:val="21"/>
        </w:rPr>
        <w:t>．</w:t>
      </w:r>
      <w:r>
        <w:rPr>
          <w:b/>
          <w:spacing w:val="-148"/>
          <w:sz w:val="21"/>
        </w:rPr>
        <w:t>内</w:t>
      </w:r>
      <w:r>
        <w:rPr>
          <w:spacing w:val="-63"/>
          <w:position w:val="-7"/>
          <w:sz w:val="21"/>
        </w:rPr>
        <w:t>．</w:t>
      </w:r>
      <w:r>
        <w:rPr>
          <w:b/>
          <w:spacing w:val="-148"/>
          <w:sz w:val="21"/>
        </w:rPr>
        <w:t>容</w:t>
      </w:r>
      <w:r>
        <w:rPr>
          <w:spacing w:val="-63"/>
          <w:position w:val="-7"/>
          <w:sz w:val="21"/>
        </w:rPr>
        <w:t>．</w:t>
      </w:r>
      <w:r>
        <w:rPr>
          <w:b/>
          <w:spacing w:val="-147"/>
          <w:sz w:val="21"/>
        </w:rPr>
        <w:t>的</w:t>
      </w:r>
      <w:r>
        <w:rPr>
          <w:spacing w:val="-63"/>
          <w:position w:val="-7"/>
          <w:sz w:val="21"/>
        </w:rPr>
        <w:t>．</w:t>
      </w:r>
      <w:r>
        <w:rPr>
          <w:b/>
          <w:spacing w:val="-147"/>
          <w:sz w:val="21"/>
        </w:rPr>
        <w:t>解</w:t>
      </w:r>
      <w:r>
        <w:rPr>
          <w:spacing w:val="-63"/>
          <w:position w:val="-7"/>
          <w:sz w:val="21"/>
        </w:rPr>
        <w:t>．</w:t>
      </w:r>
      <w:r>
        <w:rPr>
          <w:b/>
          <w:spacing w:val="-147"/>
          <w:sz w:val="21"/>
        </w:rPr>
        <w:t>释</w:t>
      </w:r>
      <w:r>
        <w:rPr>
          <w:spacing w:val="-63"/>
          <w:position w:val="-7"/>
          <w:sz w:val="21"/>
        </w:rPr>
        <w:t>．</w:t>
      </w:r>
      <w:r>
        <w:rPr>
          <w:b/>
          <w:spacing w:val="-148"/>
          <w:sz w:val="21"/>
        </w:rPr>
        <w:t>以</w:t>
      </w:r>
      <w:r>
        <w:rPr>
          <w:spacing w:val="-63"/>
          <w:position w:val="-7"/>
          <w:sz w:val="21"/>
        </w:rPr>
        <w:t>．</w:t>
      </w:r>
      <w:r>
        <w:rPr>
          <w:b/>
          <w:spacing w:val="-148"/>
          <w:sz w:val="21"/>
        </w:rPr>
        <w:t>条</w:t>
      </w:r>
      <w:r>
        <w:rPr>
          <w:spacing w:val="-63"/>
          <w:position w:val="-7"/>
          <w:sz w:val="21"/>
        </w:rPr>
        <w:t>．</w:t>
      </w:r>
      <w:r>
        <w:rPr>
          <w:b/>
          <w:spacing w:val="-147"/>
          <w:sz w:val="21"/>
        </w:rPr>
        <w:t>款</w:t>
      </w:r>
      <w:r>
        <w:rPr>
          <w:spacing w:val="-63"/>
          <w:position w:val="-7"/>
          <w:sz w:val="21"/>
        </w:rPr>
        <w:t>．</w:t>
      </w:r>
      <w:r>
        <w:rPr>
          <w:b/>
          <w:spacing w:val="-147"/>
          <w:sz w:val="21"/>
        </w:rPr>
        <w:t>为</w:t>
      </w:r>
      <w:r>
        <w:rPr>
          <w:spacing w:val="-63"/>
          <w:position w:val="-7"/>
          <w:sz w:val="21"/>
        </w:rPr>
        <w:t>．</w:t>
      </w:r>
      <w:r>
        <w:rPr>
          <w:b/>
          <w:spacing w:val="-147"/>
          <w:sz w:val="21"/>
        </w:rPr>
        <w:t>准</w:t>
      </w:r>
      <w:r>
        <w:rPr>
          <w:spacing w:val="-63"/>
          <w:position w:val="-7"/>
          <w:sz w:val="21"/>
        </w:rPr>
        <w:t>．</w:t>
      </w:r>
      <w:r>
        <w:rPr>
          <w:b/>
          <w:spacing w:val="-31"/>
          <w:sz w:val="21"/>
        </w:rPr>
        <w:t>。 </w:t>
      </w:r>
      <w:r>
        <w:rPr>
          <w:position w:val="-13"/>
          <w:sz w:val="16"/>
        </w:rPr>
        <w:t>请扫描以查询验证条款</w:t>
      </w:r>
    </w:p>
    <w:p>
      <w:pPr>
        <w:pStyle w:val="Heading1"/>
        <w:tabs>
          <w:tab w:pos="1382" w:val="left" w:leader="none"/>
        </w:tabs>
        <w:spacing w:line="864" w:lineRule="exact" w:before="231"/>
        <w:ind w:left="371" w:firstLine="0"/>
      </w:pPr>
      <w:r>
        <w:rPr/>
        <w:drawing>
          <wp:anchor distT="0" distB="0" distL="0" distR="0" allowOverlap="1" layoutInCell="1" locked="0" behindDoc="1" simplePos="0" relativeHeight="268387175">
            <wp:simplePos x="0" y="0"/>
            <wp:positionH relativeFrom="page">
              <wp:posOffset>684058</wp:posOffset>
            </wp:positionH>
            <wp:positionV relativeFrom="paragraph">
              <wp:posOffset>189423</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签收本合同次日起十日内您可以要求退还扣除工本费外的全部保险费……第1.3条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您有保险单借款的权利…………………………………………………………第5.3条</w:t>
      </w:r>
    </w:p>
    <w:p>
      <w:pPr>
        <w:pStyle w:val="BodyText"/>
        <w:spacing w:before="9"/>
        <w:rPr>
          <w:b/>
          <w:sz w:val="22"/>
        </w:rPr>
      </w:pPr>
    </w:p>
    <w:p>
      <w:pPr>
        <w:tabs>
          <w:tab w:pos="1383" w:val="left" w:leader="none"/>
        </w:tabs>
        <w:spacing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6" w:after="0"/>
        <w:ind w:left="1783" w:right="0" w:hanging="439"/>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您应当按时交付保险费…………………………………………………………第4.2条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您有如实告知的义务……………………………………………………………第7.2条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5"/>
          <w:sz w:val="21"/>
        </w:rPr>
        <w:t> 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spacing w:after="0" w:line="869" w:lineRule="exact"/>
        <w:jc w:val="left"/>
        <w:rPr>
          <w:sz w:val="21"/>
        </w:rPr>
        <w:sectPr>
          <w:type w:val="continuous"/>
          <w:pgSz w:w="11910" w:h="16840"/>
          <w:pgMar w:top="1040" w:bottom="1180" w:left="960" w:right="940"/>
        </w:sectPr>
      </w:pPr>
    </w:p>
    <w:p>
      <w:pPr>
        <w:tabs>
          <w:tab w:pos="1382" w:val="left" w:leader="none"/>
        </w:tabs>
        <w:spacing w:line="759" w:lineRule="exact" w:before="0"/>
        <w:ind w:left="371" w:right="0" w:firstLine="0"/>
        <w:jc w:val="left"/>
        <w:rPr>
          <w:b/>
          <w:sz w:val="21"/>
        </w:rPr>
      </w:pPr>
      <w:r>
        <w:rPr/>
        <w:pict>
          <v:shape style="position:absolute;margin-left:89.120499pt;margin-top:27.82658pt;width:382.75pt;height:74.4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1"/>
                    <w:gridCol w:w="779"/>
                    <w:gridCol w:w="1948"/>
                    <w:gridCol w:w="1004"/>
                    <w:gridCol w:w="1362"/>
                  </w:tblGrid>
                  <w:tr>
                    <w:trPr>
                      <w:trHeight w:val="272" w:hRule="atLeast"/>
                    </w:trPr>
                    <w:tc>
                      <w:tcPr>
                        <w:tcW w:w="2561" w:type="dxa"/>
                      </w:tcPr>
                      <w:p>
                        <w:pPr>
                          <w:pStyle w:val="TableParagraph"/>
                          <w:rPr>
                            <w:rFonts w:ascii="Times New Roman"/>
                            <w:sz w:val="20"/>
                          </w:rPr>
                        </w:pPr>
                      </w:p>
                    </w:tc>
                    <w:tc>
                      <w:tcPr>
                        <w:tcW w:w="779" w:type="dxa"/>
                      </w:tcPr>
                      <w:p>
                        <w:pPr>
                          <w:pStyle w:val="TableParagraph"/>
                          <w:spacing w:line="233" w:lineRule="exact"/>
                          <w:ind w:right="49"/>
                          <w:jc w:val="right"/>
                          <w:rPr>
                            <w:sz w:val="21"/>
                          </w:rPr>
                        </w:pPr>
                        <w:r>
                          <w:rPr>
                            <w:sz w:val="21"/>
                          </w:rPr>
                          <w:t>4.1</w:t>
                        </w:r>
                      </w:p>
                    </w:tc>
                    <w:tc>
                      <w:tcPr>
                        <w:tcW w:w="1948" w:type="dxa"/>
                      </w:tcPr>
                      <w:p>
                        <w:pPr>
                          <w:pStyle w:val="TableParagraph"/>
                          <w:spacing w:line="233" w:lineRule="exact"/>
                          <w:ind w:left="53"/>
                          <w:rPr>
                            <w:sz w:val="21"/>
                          </w:rPr>
                        </w:pPr>
                        <w:r>
                          <w:rPr>
                            <w:sz w:val="21"/>
                          </w:rPr>
                          <w:t>保险费的交付</w:t>
                        </w:r>
                      </w:p>
                    </w:tc>
                    <w:tc>
                      <w:tcPr>
                        <w:tcW w:w="1004" w:type="dxa"/>
                      </w:tcPr>
                      <w:p>
                        <w:pPr>
                          <w:pStyle w:val="TableParagraph"/>
                          <w:spacing w:line="210" w:lineRule="exact"/>
                          <w:ind w:right="49"/>
                          <w:jc w:val="right"/>
                          <w:rPr>
                            <w:sz w:val="21"/>
                          </w:rPr>
                        </w:pPr>
                        <w:r>
                          <w:rPr>
                            <w:sz w:val="21"/>
                          </w:rPr>
                          <w:t>7.6</w:t>
                        </w:r>
                      </w:p>
                    </w:tc>
                    <w:tc>
                      <w:tcPr>
                        <w:tcW w:w="1362" w:type="dxa"/>
                      </w:tcPr>
                      <w:p>
                        <w:pPr>
                          <w:pStyle w:val="TableParagraph"/>
                          <w:spacing w:line="210" w:lineRule="exact"/>
                          <w:ind w:left="53"/>
                          <w:rPr>
                            <w:sz w:val="21"/>
                          </w:rPr>
                        </w:pPr>
                        <w:r>
                          <w:rPr>
                            <w:sz w:val="21"/>
                          </w:rPr>
                          <w:t>合同内容变更</w:t>
                        </w:r>
                      </w:p>
                    </w:tc>
                  </w:tr>
                  <w:tr>
                    <w:trPr>
                      <w:trHeight w:val="315" w:hRule="atLeast"/>
                    </w:trPr>
                    <w:tc>
                      <w:tcPr>
                        <w:tcW w:w="2561" w:type="dxa"/>
                      </w:tcPr>
                      <w:p>
                        <w:pPr>
                          <w:pStyle w:val="TableParagraph"/>
                          <w:spacing w:before="4"/>
                          <w:ind w:left="73" w:right="843"/>
                          <w:jc w:val="center"/>
                          <w:rPr>
                            <w:b/>
                            <w:sz w:val="21"/>
                          </w:rPr>
                        </w:pPr>
                        <w:r>
                          <w:rPr>
                            <w:b/>
                            <w:w w:val="95"/>
                            <w:sz w:val="21"/>
                          </w:rPr>
                          <w:t>1.您与我们的合同</w:t>
                        </w:r>
                      </w:p>
                    </w:tc>
                    <w:tc>
                      <w:tcPr>
                        <w:tcW w:w="779" w:type="dxa"/>
                      </w:tcPr>
                      <w:p>
                        <w:pPr>
                          <w:pStyle w:val="TableParagraph"/>
                          <w:spacing w:line="272" w:lineRule="exact"/>
                          <w:ind w:right="49"/>
                          <w:jc w:val="right"/>
                          <w:rPr>
                            <w:sz w:val="21"/>
                          </w:rPr>
                        </w:pPr>
                        <w:r>
                          <w:rPr>
                            <w:sz w:val="21"/>
                          </w:rPr>
                          <w:t>4.2</w:t>
                        </w:r>
                      </w:p>
                    </w:tc>
                    <w:tc>
                      <w:tcPr>
                        <w:tcW w:w="1948" w:type="dxa"/>
                      </w:tcPr>
                      <w:p>
                        <w:pPr>
                          <w:pStyle w:val="TableParagraph"/>
                          <w:spacing w:line="272" w:lineRule="exact"/>
                          <w:ind w:left="53"/>
                          <w:rPr>
                            <w:sz w:val="21"/>
                          </w:rPr>
                        </w:pPr>
                        <w:r>
                          <w:rPr>
                            <w:sz w:val="21"/>
                          </w:rPr>
                          <w:t>续期保险费的</w:t>
                        </w:r>
                      </w:p>
                    </w:tc>
                    <w:tc>
                      <w:tcPr>
                        <w:tcW w:w="1004" w:type="dxa"/>
                      </w:tcPr>
                      <w:p>
                        <w:pPr>
                          <w:pStyle w:val="TableParagraph"/>
                          <w:spacing w:line="250" w:lineRule="exact"/>
                          <w:ind w:right="49"/>
                          <w:jc w:val="right"/>
                          <w:rPr>
                            <w:sz w:val="21"/>
                          </w:rPr>
                        </w:pPr>
                        <w:r>
                          <w:rPr>
                            <w:sz w:val="21"/>
                          </w:rPr>
                          <w:t>7.7</w:t>
                        </w:r>
                      </w:p>
                    </w:tc>
                    <w:tc>
                      <w:tcPr>
                        <w:tcW w:w="1362" w:type="dxa"/>
                      </w:tcPr>
                      <w:p>
                        <w:pPr>
                          <w:pStyle w:val="TableParagraph"/>
                          <w:spacing w:line="250" w:lineRule="exact"/>
                          <w:ind w:left="53"/>
                          <w:rPr>
                            <w:sz w:val="21"/>
                          </w:rPr>
                        </w:pPr>
                        <w:r>
                          <w:rPr>
                            <w:sz w:val="21"/>
                          </w:rPr>
                          <w:t>失踪处理</w:t>
                        </w:r>
                      </w:p>
                    </w:tc>
                  </w:tr>
                  <w:tr>
                    <w:trPr>
                      <w:trHeight w:val="323" w:hRule="atLeast"/>
                    </w:trPr>
                    <w:tc>
                      <w:tcPr>
                        <w:tcW w:w="2561" w:type="dxa"/>
                      </w:tcPr>
                      <w:p>
                        <w:pPr>
                          <w:pStyle w:val="TableParagraph"/>
                          <w:spacing w:before="1"/>
                          <w:ind w:left="260"/>
                          <w:rPr>
                            <w:sz w:val="21"/>
                          </w:rPr>
                        </w:pPr>
                        <w:r>
                          <w:rPr>
                            <w:sz w:val="21"/>
                          </w:rPr>
                          <w:t>1.1 合同构成</w:t>
                        </w:r>
                      </w:p>
                    </w:tc>
                    <w:tc>
                      <w:tcPr>
                        <w:tcW w:w="779" w:type="dxa"/>
                      </w:tcPr>
                      <w:p>
                        <w:pPr>
                          <w:pStyle w:val="TableParagraph"/>
                          <w:rPr>
                            <w:rFonts w:ascii="Times New Roman"/>
                            <w:sz w:val="20"/>
                          </w:rPr>
                        </w:pPr>
                      </w:p>
                    </w:tc>
                    <w:tc>
                      <w:tcPr>
                        <w:tcW w:w="1948" w:type="dxa"/>
                      </w:tcPr>
                      <w:p>
                        <w:pPr>
                          <w:pStyle w:val="TableParagraph"/>
                          <w:spacing w:line="269" w:lineRule="exact"/>
                          <w:ind w:left="53"/>
                          <w:rPr>
                            <w:sz w:val="21"/>
                          </w:rPr>
                        </w:pPr>
                        <w:r>
                          <w:rPr>
                            <w:sz w:val="21"/>
                          </w:rPr>
                          <w:t>交付、宽限期</w:t>
                        </w:r>
                      </w:p>
                    </w:tc>
                    <w:tc>
                      <w:tcPr>
                        <w:tcW w:w="1004" w:type="dxa"/>
                      </w:tcPr>
                      <w:p>
                        <w:pPr>
                          <w:pStyle w:val="TableParagraph"/>
                          <w:spacing w:line="246" w:lineRule="exact"/>
                          <w:ind w:right="49"/>
                          <w:jc w:val="right"/>
                          <w:rPr>
                            <w:sz w:val="21"/>
                          </w:rPr>
                        </w:pPr>
                        <w:r>
                          <w:rPr>
                            <w:sz w:val="21"/>
                          </w:rPr>
                          <w:t>7.8</w:t>
                        </w:r>
                      </w:p>
                    </w:tc>
                    <w:tc>
                      <w:tcPr>
                        <w:tcW w:w="1362" w:type="dxa"/>
                      </w:tcPr>
                      <w:p>
                        <w:pPr>
                          <w:pStyle w:val="TableParagraph"/>
                          <w:spacing w:line="246" w:lineRule="exact"/>
                          <w:ind w:left="53"/>
                          <w:rPr>
                            <w:sz w:val="21"/>
                          </w:rPr>
                        </w:pPr>
                        <w:r>
                          <w:rPr>
                            <w:sz w:val="21"/>
                          </w:rPr>
                          <w:t>争议处理</w:t>
                        </w:r>
                      </w:p>
                    </w:tc>
                  </w:tr>
                  <w:tr>
                    <w:trPr>
                      <w:trHeight w:val="576" w:hRule="atLeast"/>
                    </w:trPr>
                    <w:tc>
                      <w:tcPr>
                        <w:tcW w:w="2561" w:type="dxa"/>
                      </w:tcPr>
                      <w:p>
                        <w:pPr>
                          <w:pStyle w:val="TableParagraph"/>
                          <w:numPr>
                            <w:ilvl w:val="1"/>
                            <w:numId w:val="2"/>
                          </w:numPr>
                          <w:tabs>
                            <w:tab w:pos="681" w:val="left" w:leader="none"/>
                          </w:tabs>
                          <w:spacing w:line="265" w:lineRule="exact" w:before="0" w:after="0"/>
                          <w:ind w:left="680" w:right="0" w:hanging="420"/>
                          <w:jc w:val="left"/>
                          <w:rPr>
                            <w:sz w:val="21"/>
                          </w:rPr>
                        </w:pPr>
                        <w:r>
                          <w:rPr>
                            <w:spacing w:val="-1"/>
                            <w:sz w:val="21"/>
                          </w:rPr>
                          <w:t>合同成立与生效</w:t>
                        </w:r>
                      </w:p>
                      <w:p>
                        <w:pPr>
                          <w:pStyle w:val="TableParagraph"/>
                          <w:numPr>
                            <w:ilvl w:val="1"/>
                            <w:numId w:val="2"/>
                          </w:numPr>
                          <w:tabs>
                            <w:tab w:pos="681" w:val="left" w:leader="none"/>
                          </w:tabs>
                          <w:spacing w:line="255" w:lineRule="exact" w:before="37" w:after="0"/>
                          <w:ind w:left="680" w:right="0" w:hanging="420"/>
                          <w:jc w:val="left"/>
                          <w:rPr>
                            <w:sz w:val="21"/>
                          </w:rPr>
                        </w:pPr>
                        <w:r>
                          <w:rPr>
                            <w:sz w:val="21"/>
                          </w:rPr>
                          <w:t>犹豫期</w:t>
                        </w:r>
                      </w:p>
                    </w:tc>
                    <w:tc>
                      <w:tcPr>
                        <w:tcW w:w="779" w:type="dxa"/>
                      </w:tcPr>
                      <w:p>
                        <w:pPr>
                          <w:pStyle w:val="TableParagraph"/>
                          <w:spacing w:line="257" w:lineRule="exact"/>
                          <w:ind w:left="412"/>
                          <w:rPr>
                            <w:sz w:val="21"/>
                          </w:rPr>
                        </w:pPr>
                        <w:r>
                          <w:rPr>
                            <w:sz w:val="21"/>
                          </w:rPr>
                          <w:t>4.3</w:t>
                        </w:r>
                      </w:p>
                      <w:p>
                        <w:pPr>
                          <w:pStyle w:val="TableParagraph"/>
                          <w:spacing w:line="262" w:lineRule="exact" w:before="37"/>
                          <w:ind w:left="412"/>
                          <w:rPr>
                            <w:sz w:val="21"/>
                          </w:rPr>
                        </w:pPr>
                        <w:r>
                          <w:rPr>
                            <w:sz w:val="21"/>
                          </w:rPr>
                          <w:t>4.4</w:t>
                        </w:r>
                      </w:p>
                    </w:tc>
                    <w:tc>
                      <w:tcPr>
                        <w:tcW w:w="1948" w:type="dxa"/>
                      </w:tcPr>
                      <w:p>
                        <w:pPr>
                          <w:pStyle w:val="TableParagraph"/>
                          <w:spacing w:line="257" w:lineRule="exact"/>
                          <w:ind w:left="53"/>
                          <w:rPr>
                            <w:sz w:val="21"/>
                          </w:rPr>
                        </w:pPr>
                        <w:r>
                          <w:rPr>
                            <w:sz w:val="21"/>
                          </w:rPr>
                          <w:t>效力中止</w:t>
                        </w:r>
                      </w:p>
                      <w:p>
                        <w:pPr>
                          <w:pStyle w:val="TableParagraph"/>
                          <w:spacing w:line="262" w:lineRule="exact" w:before="37"/>
                          <w:ind w:left="53"/>
                          <w:rPr>
                            <w:sz w:val="21"/>
                          </w:rPr>
                        </w:pPr>
                        <w:r>
                          <w:rPr>
                            <w:sz w:val="21"/>
                          </w:rPr>
                          <w:t>效力恢复</w:t>
                        </w:r>
                      </w:p>
                    </w:tc>
                    <w:tc>
                      <w:tcPr>
                        <w:tcW w:w="2366" w:type="dxa"/>
                        <w:gridSpan w:val="2"/>
                      </w:tcPr>
                      <w:p>
                        <w:pPr>
                          <w:pStyle w:val="TableParagraph"/>
                          <w:spacing w:before="10"/>
                          <w:rPr>
                            <w:sz w:val="20"/>
                          </w:rPr>
                        </w:pPr>
                      </w:p>
                      <w:p>
                        <w:pPr>
                          <w:pStyle w:val="TableParagraph"/>
                          <w:ind w:left="427"/>
                          <w:rPr>
                            <w:b/>
                            <w:sz w:val="21"/>
                          </w:rPr>
                        </w:pPr>
                        <w:r>
                          <w:rPr>
                            <w:b/>
                            <w:sz w:val="21"/>
                          </w:rPr>
                          <w:t>8.释义</w:t>
                        </w:r>
                      </w:p>
                    </w:tc>
                  </w:tr>
                </w:tbl>
                <w:p>
                  <w:pPr>
                    <w:pStyle w:val="BodyText"/>
                  </w:pPr>
                </w:p>
              </w:txbxContent>
            </v:textbox>
            <w10:wrap type="none"/>
          </v:shape>
        </w:pict>
      </w:r>
      <w:r>
        <w:rPr>
          <w:rFonts w:ascii="Yu Gothic" w:hAnsi="Yu Gothic" w:eastAsia="Yu Gothic" w:hint="eastAsia"/>
          <w:b/>
          <w:w w:val="150"/>
          <w:position w:val="-11"/>
          <w:sz w:val="52"/>
        </w:rPr>
        <w:t>¤</w:t>
        <w:tab/>
      </w:r>
      <w:r>
        <w:rPr>
          <w:b/>
          <w:w w:val="95"/>
          <w:sz w:val="21"/>
        </w:rPr>
        <w:t>条款目录</w:t>
      </w:r>
    </w:p>
    <w:p>
      <w:pPr>
        <w:pStyle w:val="BodyText"/>
        <w:spacing w:before="5"/>
        <w:rPr>
          <w:b/>
          <w:sz w:val="15"/>
        </w:rPr>
      </w:pPr>
      <w:r>
        <w:rPr/>
        <w:br w:type="column"/>
      </w:r>
      <w:r>
        <w:rPr>
          <w:b/>
          <w:sz w:val="15"/>
        </w:rPr>
      </w:r>
    </w:p>
    <w:p>
      <w:pPr>
        <w:pStyle w:val="Heading1"/>
        <w:spacing w:before="1"/>
        <w:ind w:left="371" w:firstLine="0"/>
      </w:pPr>
      <w:r>
        <w:rPr>
          <w:w w:val="95"/>
        </w:rPr>
        <w:t>4.如何交付保险费</w:t>
      </w:r>
    </w:p>
    <w:p>
      <w:pPr>
        <w:pStyle w:val="ListParagraph"/>
        <w:numPr>
          <w:ilvl w:val="1"/>
          <w:numId w:val="3"/>
        </w:numPr>
        <w:tabs>
          <w:tab w:pos="793" w:val="left" w:leader="none"/>
        </w:tabs>
        <w:spacing w:line="240" w:lineRule="auto" w:before="179" w:after="0"/>
        <w:ind w:left="2614" w:right="0" w:hanging="2242"/>
        <w:jc w:val="left"/>
        <w:rPr>
          <w:sz w:val="21"/>
        </w:rPr>
      </w:pPr>
      <w:r>
        <w:rPr>
          <w:sz w:val="21"/>
        </w:rPr>
        <w:br w:type="column"/>
      </w:r>
      <w:r>
        <w:rPr>
          <w:spacing w:val="-1"/>
          <w:sz w:val="21"/>
        </w:rPr>
        <w:t>联系方式变更</w:t>
      </w:r>
    </w:p>
    <w:p>
      <w:pPr>
        <w:spacing w:after="0" w:line="240" w:lineRule="auto"/>
        <w:jc w:val="left"/>
        <w:rPr>
          <w:sz w:val="21"/>
        </w:rPr>
        <w:sectPr>
          <w:type w:val="continuous"/>
          <w:pgSz w:w="11910" w:h="16840"/>
          <w:pgMar w:top="1040" w:bottom="1180" w:left="960" w:right="940"/>
          <w:cols w:num="3" w:equalWidth="0">
            <w:col w:w="2226" w:space="987"/>
            <w:col w:w="2061" w:space="1102"/>
            <w:col w:w="3634"/>
          </w:cols>
        </w:sectPr>
      </w:pPr>
    </w:p>
    <w:p>
      <w:pPr>
        <w:pStyle w:val="BodyText"/>
        <w:rPr>
          <w:sz w:val="20"/>
        </w:rPr>
      </w:pPr>
      <w:r>
        <w:rPr/>
        <w:pict>
          <v:line style="position:absolute;mso-position-horizontal-relative:page;mso-position-vertical-relative:page;z-index:-48304" from="63.720001pt,55.619999pt" to="543.000001pt,55.619999pt" stroked="true" strokeweight=".72pt" strokecolor="#000000">
            <v:stroke dashstyle="solid"/>
            <w10:wrap type="none"/>
          </v:line>
        </w:pict>
      </w:r>
    </w:p>
    <w:p>
      <w:pPr>
        <w:pStyle w:val="BodyText"/>
        <w:rPr>
          <w:sz w:val="20"/>
        </w:rPr>
      </w:pPr>
    </w:p>
    <w:p>
      <w:pPr>
        <w:pStyle w:val="BodyText"/>
        <w:rPr>
          <w:sz w:val="20"/>
        </w:rPr>
      </w:pPr>
    </w:p>
    <w:p>
      <w:pPr>
        <w:pStyle w:val="BodyText"/>
        <w:rPr>
          <w:sz w:val="20"/>
        </w:rPr>
      </w:pPr>
    </w:p>
    <w:p>
      <w:pPr>
        <w:pStyle w:val="BodyText"/>
        <w:spacing w:before="9"/>
        <w:rPr>
          <w:sz w:val="23"/>
        </w:rPr>
      </w:pPr>
    </w:p>
    <w:tbl>
      <w:tblPr>
        <w:tblW w:w="0" w:type="auto"/>
        <w:jc w:val="left"/>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7"/>
        <w:gridCol w:w="3146"/>
        <w:gridCol w:w="529"/>
        <w:gridCol w:w="2363"/>
      </w:tblGrid>
      <w:tr>
        <w:trPr>
          <w:trHeight w:val="276" w:hRule="atLeast"/>
        </w:trPr>
        <w:tc>
          <w:tcPr>
            <w:tcW w:w="2667" w:type="dxa"/>
          </w:tcPr>
          <w:p>
            <w:pPr>
              <w:pStyle w:val="TableParagraph"/>
              <w:spacing w:line="240" w:lineRule="exact"/>
              <w:ind w:left="260"/>
              <w:rPr>
                <w:sz w:val="21"/>
              </w:rPr>
            </w:pPr>
            <w:r>
              <w:rPr>
                <w:sz w:val="21"/>
              </w:rPr>
              <w:t>1.4 保险期间</w:t>
            </w:r>
          </w:p>
        </w:tc>
        <w:tc>
          <w:tcPr>
            <w:tcW w:w="3146" w:type="dxa"/>
          </w:tcPr>
          <w:p>
            <w:pPr>
              <w:pStyle w:val="TableParagraph"/>
              <w:rPr>
                <w:rFonts w:ascii="Times New Roman"/>
                <w:sz w:val="20"/>
              </w:rPr>
            </w:pPr>
          </w:p>
        </w:tc>
        <w:tc>
          <w:tcPr>
            <w:tcW w:w="529" w:type="dxa"/>
          </w:tcPr>
          <w:p>
            <w:pPr>
              <w:pStyle w:val="TableParagraph"/>
              <w:spacing w:line="210" w:lineRule="exact"/>
              <w:ind w:left="108"/>
              <w:rPr>
                <w:sz w:val="21"/>
              </w:rPr>
            </w:pPr>
            <w:r>
              <w:rPr>
                <w:sz w:val="21"/>
              </w:rPr>
              <w:t>8.1</w:t>
            </w:r>
          </w:p>
        </w:tc>
        <w:tc>
          <w:tcPr>
            <w:tcW w:w="2363" w:type="dxa"/>
          </w:tcPr>
          <w:p>
            <w:pPr>
              <w:pStyle w:val="TableParagraph"/>
              <w:spacing w:line="210" w:lineRule="exact"/>
              <w:rPr>
                <w:sz w:val="21"/>
              </w:rPr>
            </w:pPr>
            <w:r>
              <w:rPr>
                <w:sz w:val="21"/>
              </w:rPr>
              <w:t>有效身份证件</w:t>
            </w:r>
          </w:p>
        </w:tc>
      </w:tr>
      <w:tr>
        <w:trPr>
          <w:trHeight w:val="307" w:hRule="atLeast"/>
        </w:trPr>
        <w:tc>
          <w:tcPr>
            <w:tcW w:w="2667" w:type="dxa"/>
          </w:tcPr>
          <w:p>
            <w:pPr>
              <w:pStyle w:val="TableParagraph"/>
              <w:rPr>
                <w:rFonts w:ascii="Times New Roman"/>
                <w:sz w:val="20"/>
              </w:rPr>
            </w:pPr>
          </w:p>
        </w:tc>
        <w:tc>
          <w:tcPr>
            <w:tcW w:w="3146" w:type="dxa"/>
          </w:tcPr>
          <w:p>
            <w:pPr>
              <w:pStyle w:val="TableParagraph"/>
              <w:spacing w:line="267" w:lineRule="exact"/>
              <w:ind w:left="96"/>
              <w:rPr>
                <w:b/>
                <w:sz w:val="21"/>
              </w:rPr>
            </w:pPr>
            <w:r>
              <w:rPr>
                <w:b/>
                <w:w w:val="95"/>
                <w:sz w:val="21"/>
              </w:rPr>
              <w:t>5.现金价值权益</w:t>
            </w:r>
          </w:p>
        </w:tc>
        <w:tc>
          <w:tcPr>
            <w:tcW w:w="529" w:type="dxa"/>
          </w:tcPr>
          <w:p>
            <w:pPr>
              <w:pStyle w:val="TableParagraph"/>
              <w:spacing w:line="246" w:lineRule="exact"/>
              <w:ind w:left="108"/>
              <w:rPr>
                <w:sz w:val="21"/>
              </w:rPr>
            </w:pPr>
            <w:r>
              <w:rPr>
                <w:sz w:val="21"/>
              </w:rPr>
              <w:t>8.2</w:t>
            </w:r>
          </w:p>
        </w:tc>
        <w:tc>
          <w:tcPr>
            <w:tcW w:w="2363" w:type="dxa"/>
          </w:tcPr>
          <w:p>
            <w:pPr>
              <w:pStyle w:val="TableParagraph"/>
              <w:spacing w:line="246" w:lineRule="exact"/>
              <w:ind w:left="-1"/>
              <w:rPr>
                <w:sz w:val="21"/>
              </w:rPr>
            </w:pPr>
            <w:r>
              <w:rPr>
                <w:sz w:val="21"/>
              </w:rPr>
              <w:t>发病</w:t>
            </w:r>
          </w:p>
        </w:tc>
      </w:tr>
      <w:tr>
        <w:trPr>
          <w:trHeight w:val="316" w:hRule="atLeast"/>
        </w:trPr>
        <w:tc>
          <w:tcPr>
            <w:tcW w:w="2667" w:type="dxa"/>
          </w:tcPr>
          <w:p>
            <w:pPr>
              <w:pStyle w:val="TableParagraph"/>
              <w:spacing w:before="5"/>
              <w:ind w:left="50"/>
              <w:rPr>
                <w:b/>
                <w:sz w:val="21"/>
              </w:rPr>
            </w:pPr>
            <w:r>
              <w:rPr>
                <w:b/>
                <w:w w:val="95"/>
                <w:sz w:val="21"/>
              </w:rPr>
              <w:t>2.我们提供的保障</w:t>
            </w:r>
          </w:p>
        </w:tc>
        <w:tc>
          <w:tcPr>
            <w:tcW w:w="3146" w:type="dxa"/>
          </w:tcPr>
          <w:p>
            <w:pPr>
              <w:pStyle w:val="TableParagraph"/>
              <w:spacing w:line="272" w:lineRule="exact"/>
              <w:ind w:left="307"/>
              <w:rPr>
                <w:sz w:val="21"/>
              </w:rPr>
            </w:pPr>
            <w:r>
              <w:rPr>
                <w:sz w:val="21"/>
              </w:rPr>
              <w:t>5.1 现金价值</w:t>
            </w:r>
          </w:p>
        </w:tc>
        <w:tc>
          <w:tcPr>
            <w:tcW w:w="529" w:type="dxa"/>
          </w:tcPr>
          <w:p>
            <w:pPr>
              <w:pStyle w:val="TableParagraph"/>
              <w:spacing w:line="250" w:lineRule="exact"/>
              <w:ind w:left="112"/>
              <w:rPr>
                <w:sz w:val="21"/>
              </w:rPr>
            </w:pPr>
            <w:r>
              <w:rPr>
                <w:sz w:val="21"/>
              </w:rPr>
              <w:t>8.3</w:t>
            </w:r>
          </w:p>
        </w:tc>
        <w:tc>
          <w:tcPr>
            <w:tcW w:w="2363" w:type="dxa"/>
          </w:tcPr>
          <w:p>
            <w:pPr>
              <w:pStyle w:val="TableParagraph"/>
              <w:spacing w:line="250" w:lineRule="exact"/>
              <w:ind w:left="3"/>
              <w:rPr>
                <w:sz w:val="21"/>
              </w:rPr>
            </w:pPr>
            <w:r>
              <w:rPr>
                <w:sz w:val="21"/>
              </w:rPr>
              <w:t>指定或认可的医疗机构</w:t>
            </w:r>
          </w:p>
        </w:tc>
      </w:tr>
      <w:tr>
        <w:trPr>
          <w:trHeight w:val="312" w:hRule="atLeast"/>
        </w:trPr>
        <w:tc>
          <w:tcPr>
            <w:tcW w:w="2667" w:type="dxa"/>
          </w:tcPr>
          <w:p>
            <w:pPr>
              <w:pStyle w:val="TableParagraph"/>
              <w:spacing w:before="1"/>
              <w:ind w:left="260"/>
              <w:rPr>
                <w:sz w:val="21"/>
              </w:rPr>
            </w:pPr>
            <w:r>
              <w:rPr>
                <w:sz w:val="21"/>
              </w:rPr>
              <w:t>2.1 保险金额</w:t>
            </w:r>
          </w:p>
        </w:tc>
        <w:tc>
          <w:tcPr>
            <w:tcW w:w="3146" w:type="dxa"/>
          </w:tcPr>
          <w:p>
            <w:pPr>
              <w:pStyle w:val="TableParagraph"/>
              <w:spacing w:line="268" w:lineRule="exact"/>
              <w:ind w:left="305"/>
              <w:rPr>
                <w:sz w:val="21"/>
              </w:rPr>
            </w:pPr>
            <w:r>
              <w:rPr>
                <w:sz w:val="21"/>
              </w:rPr>
              <w:t>5.2 自动垫交</w:t>
            </w:r>
          </w:p>
        </w:tc>
        <w:tc>
          <w:tcPr>
            <w:tcW w:w="529" w:type="dxa"/>
          </w:tcPr>
          <w:p>
            <w:pPr>
              <w:pStyle w:val="TableParagraph"/>
              <w:spacing w:line="246" w:lineRule="exact"/>
              <w:ind w:left="112"/>
              <w:rPr>
                <w:sz w:val="21"/>
              </w:rPr>
            </w:pPr>
            <w:r>
              <w:rPr>
                <w:sz w:val="21"/>
              </w:rPr>
              <w:t>8.4</w:t>
            </w:r>
          </w:p>
        </w:tc>
        <w:tc>
          <w:tcPr>
            <w:tcW w:w="2363" w:type="dxa"/>
          </w:tcPr>
          <w:p>
            <w:pPr>
              <w:pStyle w:val="TableParagraph"/>
              <w:spacing w:line="246" w:lineRule="exact"/>
              <w:ind w:left="3"/>
              <w:rPr>
                <w:sz w:val="21"/>
              </w:rPr>
            </w:pPr>
            <w:r>
              <w:rPr>
                <w:sz w:val="21"/>
              </w:rPr>
              <w:t>十八周岁的保险单周年日</w:t>
            </w:r>
          </w:p>
        </w:tc>
      </w:tr>
      <w:tr>
        <w:trPr>
          <w:trHeight w:val="312" w:hRule="atLeast"/>
        </w:trPr>
        <w:tc>
          <w:tcPr>
            <w:tcW w:w="2667" w:type="dxa"/>
          </w:tcPr>
          <w:p>
            <w:pPr>
              <w:pStyle w:val="TableParagraph"/>
              <w:spacing w:before="1"/>
              <w:ind w:left="260"/>
              <w:rPr>
                <w:sz w:val="21"/>
              </w:rPr>
            </w:pPr>
            <w:r>
              <w:rPr>
                <w:sz w:val="21"/>
              </w:rPr>
              <w:t>2.2 保险责任</w:t>
            </w:r>
          </w:p>
        </w:tc>
        <w:tc>
          <w:tcPr>
            <w:tcW w:w="3146" w:type="dxa"/>
          </w:tcPr>
          <w:p>
            <w:pPr>
              <w:pStyle w:val="TableParagraph"/>
              <w:spacing w:line="268" w:lineRule="exact"/>
              <w:ind w:left="306"/>
              <w:rPr>
                <w:sz w:val="21"/>
              </w:rPr>
            </w:pPr>
            <w:r>
              <w:rPr>
                <w:sz w:val="21"/>
              </w:rPr>
              <w:t>5.3 保险单借款</w:t>
            </w:r>
          </w:p>
        </w:tc>
        <w:tc>
          <w:tcPr>
            <w:tcW w:w="529" w:type="dxa"/>
          </w:tcPr>
          <w:p>
            <w:pPr>
              <w:pStyle w:val="TableParagraph"/>
              <w:spacing w:line="246" w:lineRule="exact"/>
              <w:ind w:left="112"/>
              <w:rPr>
                <w:sz w:val="21"/>
              </w:rPr>
            </w:pPr>
            <w:r>
              <w:rPr>
                <w:sz w:val="21"/>
              </w:rPr>
              <w:t>8.5</w:t>
            </w:r>
          </w:p>
        </w:tc>
        <w:tc>
          <w:tcPr>
            <w:tcW w:w="2363" w:type="dxa"/>
          </w:tcPr>
          <w:p>
            <w:pPr>
              <w:pStyle w:val="TableParagraph"/>
              <w:spacing w:line="246" w:lineRule="exact"/>
              <w:ind w:left="3"/>
              <w:rPr>
                <w:sz w:val="21"/>
              </w:rPr>
            </w:pPr>
            <w:r>
              <w:rPr>
                <w:sz w:val="21"/>
              </w:rPr>
              <w:t>意外伤害</w:t>
            </w:r>
          </w:p>
        </w:tc>
      </w:tr>
      <w:tr>
        <w:trPr>
          <w:trHeight w:val="312" w:hRule="atLeast"/>
        </w:trPr>
        <w:tc>
          <w:tcPr>
            <w:tcW w:w="2667" w:type="dxa"/>
          </w:tcPr>
          <w:p>
            <w:pPr>
              <w:pStyle w:val="TableParagraph"/>
              <w:spacing w:before="1"/>
              <w:ind w:left="260"/>
              <w:rPr>
                <w:sz w:val="21"/>
              </w:rPr>
            </w:pPr>
            <w:r>
              <w:rPr>
                <w:sz w:val="21"/>
              </w:rPr>
              <w:t>2.3 责任免除</w:t>
            </w:r>
          </w:p>
        </w:tc>
        <w:tc>
          <w:tcPr>
            <w:tcW w:w="3146" w:type="dxa"/>
          </w:tcPr>
          <w:p>
            <w:pPr>
              <w:pStyle w:val="TableParagraph"/>
              <w:rPr>
                <w:rFonts w:ascii="Times New Roman"/>
                <w:sz w:val="20"/>
              </w:rPr>
            </w:pPr>
          </w:p>
        </w:tc>
        <w:tc>
          <w:tcPr>
            <w:tcW w:w="529" w:type="dxa"/>
          </w:tcPr>
          <w:p>
            <w:pPr>
              <w:pStyle w:val="TableParagraph"/>
              <w:spacing w:line="246" w:lineRule="exact"/>
              <w:ind w:left="112"/>
              <w:rPr>
                <w:sz w:val="21"/>
              </w:rPr>
            </w:pPr>
            <w:r>
              <w:rPr>
                <w:sz w:val="21"/>
              </w:rPr>
              <w:t>8.6</w:t>
            </w:r>
          </w:p>
        </w:tc>
        <w:tc>
          <w:tcPr>
            <w:tcW w:w="2363" w:type="dxa"/>
          </w:tcPr>
          <w:p>
            <w:pPr>
              <w:pStyle w:val="TableParagraph"/>
              <w:spacing w:line="246" w:lineRule="exact"/>
              <w:ind w:left="3"/>
              <w:rPr>
                <w:sz w:val="21"/>
              </w:rPr>
            </w:pPr>
            <w:r>
              <w:rPr>
                <w:sz w:val="21"/>
              </w:rPr>
              <w:t>毒品</w:t>
            </w:r>
          </w:p>
        </w:tc>
      </w:tr>
      <w:tr>
        <w:trPr>
          <w:trHeight w:val="307" w:hRule="atLeast"/>
        </w:trPr>
        <w:tc>
          <w:tcPr>
            <w:tcW w:w="2667" w:type="dxa"/>
          </w:tcPr>
          <w:p>
            <w:pPr>
              <w:pStyle w:val="TableParagraph"/>
              <w:rPr>
                <w:rFonts w:ascii="Times New Roman"/>
                <w:sz w:val="20"/>
              </w:rPr>
            </w:pPr>
          </w:p>
        </w:tc>
        <w:tc>
          <w:tcPr>
            <w:tcW w:w="3146" w:type="dxa"/>
          </w:tcPr>
          <w:p>
            <w:pPr>
              <w:pStyle w:val="TableParagraph"/>
              <w:spacing w:line="267" w:lineRule="exact"/>
              <w:ind w:left="96"/>
              <w:rPr>
                <w:b/>
                <w:sz w:val="21"/>
              </w:rPr>
            </w:pPr>
            <w:r>
              <w:rPr>
                <w:b/>
                <w:w w:val="95"/>
                <w:sz w:val="21"/>
              </w:rPr>
              <w:t>6.如何解除保险合同</w:t>
            </w:r>
          </w:p>
        </w:tc>
        <w:tc>
          <w:tcPr>
            <w:tcW w:w="529" w:type="dxa"/>
          </w:tcPr>
          <w:p>
            <w:pPr>
              <w:pStyle w:val="TableParagraph"/>
              <w:spacing w:line="246" w:lineRule="exact"/>
              <w:ind w:left="111"/>
              <w:rPr>
                <w:sz w:val="21"/>
              </w:rPr>
            </w:pPr>
            <w:r>
              <w:rPr>
                <w:sz w:val="21"/>
              </w:rPr>
              <w:t>8.7</w:t>
            </w:r>
          </w:p>
        </w:tc>
        <w:tc>
          <w:tcPr>
            <w:tcW w:w="2363" w:type="dxa"/>
          </w:tcPr>
          <w:p>
            <w:pPr>
              <w:pStyle w:val="TableParagraph"/>
              <w:spacing w:line="246" w:lineRule="exact"/>
              <w:ind w:left="3"/>
              <w:rPr>
                <w:sz w:val="21"/>
              </w:rPr>
            </w:pPr>
            <w:r>
              <w:rPr>
                <w:sz w:val="21"/>
              </w:rPr>
              <w:t>酒后驾驶</w:t>
            </w:r>
          </w:p>
        </w:tc>
      </w:tr>
      <w:tr>
        <w:trPr>
          <w:trHeight w:val="316" w:hRule="atLeast"/>
        </w:trPr>
        <w:tc>
          <w:tcPr>
            <w:tcW w:w="2667" w:type="dxa"/>
          </w:tcPr>
          <w:p>
            <w:pPr>
              <w:pStyle w:val="TableParagraph"/>
              <w:spacing w:before="5"/>
              <w:ind w:left="50"/>
              <w:rPr>
                <w:b/>
                <w:sz w:val="21"/>
              </w:rPr>
            </w:pPr>
            <w:r>
              <w:rPr>
                <w:b/>
                <w:w w:val="95"/>
                <w:sz w:val="21"/>
              </w:rPr>
              <w:t>3.如何申请领取保险金</w:t>
            </w:r>
          </w:p>
        </w:tc>
        <w:tc>
          <w:tcPr>
            <w:tcW w:w="3146" w:type="dxa"/>
          </w:tcPr>
          <w:p>
            <w:pPr>
              <w:pStyle w:val="TableParagraph"/>
              <w:spacing w:line="272" w:lineRule="exact"/>
              <w:ind w:left="307"/>
              <w:rPr>
                <w:sz w:val="21"/>
              </w:rPr>
            </w:pPr>
            <w:r>
              <w:rPr>
                <w:sz w:val="21"/>
              </w:rPr>
              <w:t>6.1 您解除合同的手续及</w:t>
            </w:r>
          </w:p>
        </w:tc>
        <w:tc>
          <w:tcPr>
            <w:tcW w:w="529" w:type="dxa"/>
          </w:tcPr>
          <w:p>
            <w:pPr>
              <w:pStyle w:val="TableParagraph"/>
              <w:spacing w:line="250" w:lineRule="exact"/>
              <w:ind w:left="112"/>
              <w:rPr>
                <w:sz w:val="21"/>
              </w:rPr>
            </w:pPr>
            <w:r>
              <w:rPr>
                <w:sz w:val="21"/>
              </w:rPr>
              <w:t>8.8</w:t>
            </w:r>
          </w:p>
        </w:tc>
        <w:tc>
          <w:tcPr>
            <w:tcW w:w="2363" w:type="dxa"/>
          </w:tcPr>
          <w:p>
            <w:pPr>
              <w:pStyle w:val="TableParagraph"/>
              <w:spacing w:line="250" w:lineRule="exact"/>
              <w:ind w:left="3"/>
              <w:rPr>
                <w:sz w:val="21"/>
              </w:rPr>
            </w:pPr>
            <w:r>
              <w:rPr>
                <w:sz w:val="21"/>
              </w:rPr>
              <w:t>无合法有效驾驶证驾驶</w:t>
            </w:r>
          </w:p>
        </w:tc>
      </w:tr>
      <w:tr>
        <w:trPr>
          <w:trHeight w:val="312" w:hRule="atLeast"/>
        </w:trPr>
        <w:tc>
          <w:tcPr>
            <w:tcW w:w="2667" w:type="dxa"/>
          </w:tcPr>
          <w:p>
            <w:pPr>
              <w:pStyle w:val="TableParagraph"/>
              <w:spacing w:before="1"/>
              <w:ind w:left="260"/>
              <w:rPr>
                <w:sz w:val="21"/>
              </w:rPr>
            </w:pPr>
            <w:r>
              <w:rPr>
                <w:sz w:val="21"/>
              </w:rPr>
              <w:t>3.1 受益人的指定和变更</w:t>
            </w:r>
          </w:p>
        </w:tc>
        <w:tc>
          <w:tcPr>
            <w:tcW w:w="3146" w:type="dxa"/>
          </w:tcPr>
          <w:p>
            <w:pPr>
              <w:pStyle w:val="TableParagraph"/>
              <w:spacing w:line="267" w:lineRule="exact"/>
              <w:ind w:left="726"/>
              <w:rPr>
                <w:sz w:val="21"/>
              </w:rPr>
            </w:pPr>
            <w:r>
              <w:rPr>
                <w:sz w:val="21"/>
              </w:rPr>
              <w:t>风险</w:t>
            </w:r>
          </w:p>
        </w:tc>
        <w:tc>
          <w:tcPr>
            <w:tcW w:w="529" w:type="dxa"/>
          </w:tcPr>
          <w:p>
            <w:pPr>
              <w:pStyle w:val="TableParagraph"/>
              <w:spacing w:line="246" w:lineRule="exact"/>
              <w:ind w:left="112"/>
              <w:rPr>
                <w:sz w:val="21"/>
              </w:rPr>
            </w:pPr>
            <w:r>
              <w:rPr>
                <w:sz w:val="21"/>
              </w:rPr>
              <w:t>8.9</w:t>
            </w:r>
          </w:p>
        </w:tc>
        <w:tc>
          <w:tcPr>
            <w:tcW w:w="2363" w:type="dxa"/>
          </w:tcPr>
          <w:p>
            <w:pPr>
              <w:pStyle w:val="TableParagraph"/>
              <w:spacing w:line="246" w:lineRule="exact"/>
              <w:ind w:left="3"/>
              <w:rPr>
                <w:sz w:val="21"/>
              </w:rPr>
            </w:pPr>
            <w:r>
              <w:rPr>
                <w:sz w:val="21"/>
              </w:rPr>
              <w:t>无有效行驶证</w:t>
            </w:r>
          </w:p>
        </w:tc>
      </w:tr>
      <w:tr>
        <w:trPr>
          <w:trHeight w:val="312" w:hRule="atLeast"/>
        </w:trPr>
        <w:tc>
          <w:tcPr>
            <w:tcW w:w="2667" w:type="dxa"/>
          </w:tcPr>
          <w:p>
            <w:pPr>
              <w:pStyle w:val="TableParagraph"/>
              <w:spacing w:before="1"/>
              <w:ind w:left="260"/>
              <w:rPr>
                <w:sz w:val="21"/>
              </w:rPr>
            </w:pPr>
            <w:r>
              <w:rPr>
                <w:sz w:val="21"/>
              </w:rPr>
              <w:t>3.2 保险事故通知</w:t>
            </w:r>
          </w:p>
        </w:tc>
        <w:tc>
          <w:tcPr>
            <w:tcW w:w="3146" w:type="dxa"/>
          </w:tcPr>
          <w:p>
            <w:pPr>
              <w:pStyle w:val="TableParagraph"/>
              <w:rPr>
                <w:rFonts w:ascii="Times New Roman"/>
                <w:sz w:val="20"/>
              </w:rPr>
            </w:pPr>
          </w:p>
        </w:tc>
        <w:tc>
          <w:tcPr>
            <w:tcW w:w="529" w:type="dxa"/>
          </w:tcPr>
          <w:p>
            <w:pPr>
              <w:pStyle w:val="TableParagraph"/>
              <w:spacing w:line="246" w:lineRule="exact"/>
              <w:ind w:left="111" w:right="-15"/>
              <w:rPr>
                <w:sz w:val="21"/>
              </w:rPr>
            </w:pPr>
            <w:r>
              <w:rPr>
                <w:sz w:val="21"/>
              </w:rPr>
              <w:t>8.10</w:t>
            </w:r>
          </w:p>
        </w:tc>
        <w:tc>
          <w:tcPr>
            <w:tcW w:w="2363" w:type="dxa"/>
          </w:tcPr>
          <w:p>
            <w:pPr>
              <w:pStyle w:val="TableParagraph"/>
              <w:spacing w:line="246" w:lineRule="exact"/>
              <w:ind w:left="107"/>
              <w:rPr>
                <w:sz w:val="21"/>
              </w:rPr>
            </w:pPr>
            <w:r>
              <w:rPr>
                <w:sz w:val="21"/>
              </w:rPr>
              <w:t>艾滋病</w:t>
            </w:r>
          </w:p>
        </w:tc>
      </w:tr>
      <w:tr>
        <w:trPr>
          <w:trHeight w:val="312" w:hRule="atLeast"/>
        </w:trPr>
        <w:tc>
          <w:tcPr>
            <w:tcW w:w="2667" w:type="dxa"/>
          </w:tcPr>
          <w:p>
            <w:pPr>
              <w:pStyle w:val="TableParagraph"/>
              <w:spacing w:before="1"/>
              <w:ind w:left="260"/>
              <w:rPr>
                <w:sz w:val="21"/>
              </w:rPr>
            </w:pPr>
            <w:r>
              <w:rPr>
                <w:sz w:val="21"/>
              </w:rPr>
              <w:t>3.3 保险金的申请</w:t>
            </w:r>
          </w:p>
        </w:tc>
        <w:tc>
          <w:tcPr>
            <w:tcW w:w="3146" w:type="dxa"/>
          </w:tcPr>
          <w:p>
            <w:pPr>
              <w:pStyle w:val="TableParagraph"/>
              <w:spacing w:line="267" w:lineRule="exact"/>
              <w:ind w:left="96"/>
              <w:rPr>
                <w:b/>
                <w:sz w:val="21"/>
              </w:rPr>
            </w:pPr>
            <w:r>
              <w:rPr>
                <w:b/>
                <w:w w:val="95"/>
                <w:sz w:val="21"/>
              </w:rPr>
              <w:t>7.其他需要您关注的事项</w:t>
            </w:r>
          </w:p>
        </w:tc>
        <w:tc>
          <w:tcPr>
            <w:tcW w:w="529" w:type="dxa"/>
          </w:tcPr>
          <w:p>
            <w:pPr>
              <w:pStyle w:val="TableParagraph"/>
              <w:spacing w:line="246" w:lineRule="exact"/>
              <w:ind w:left="111" w:right="-15"/>
              <w:rPr>
                <w:sz w:val="21"/>
              </w:rPr>
            </w:pPr>
            <w:r>
              <w:rPr>
                <w:sz w:val="21"/>
              </w:rPr>
              <w:t>8.11</w:t>
            </w:r>
          </w:p>
        </w:tc>
        <w:tc>
          <w:tcPr>
            <w:tcW w:w="2363" w:type="dxa"/>
          </w:tcPr>
          <w:p>
            <w:pPr>
              <w:pStyle w:val="TableParagraph"/>
              <w:spacing w:line="246" w:lineRule="exact"/>
              <w:ind w:left="108"/>
              <w:rPr>
                <w:sz w:val="21"/>
              </w:rPr>
            </w:pPr>
            <w:r>
              <w:rPr>
                <w:sz w:val="21"/>
              </w:rPr>
              <w:t>艾滋病病毒</w:t>
            </w:r>
          </w:p>
        </w:tc>
      </w:tr>
      <w:tr>
        <w:trPr>
          <w:trHeight w:val="312" w:hRule="atLeast"/>
        </w:trPr>
        <w:tc>
          <w:tcPr>
            <w:tcW w:w="2667" w:type="dxa"/>
          </w:tcPr>
          <w:p>
            <w:pPr>
              <w:pStyle w:val="TableParagraph"/>
              <w:spacing w:before="1"/>
              <w:ind w:left="260"/>
              <w:rPr>
                <w:sz w:val="21"/>
              </w:rPr>
            </w:pPr>
            <w:r>
              <w:rPr>
                <w:sz w:val="21"/>
              </w:rPr>
              <w:t>3.4 保险金的给付</w:t>
            </w:r>
          </w:p>
        </w:tc>
        <w:tc>
          <w:tcPr>
            <w:tcW w:w="3146" w:type="dxa"/>
          </w:tcPr>
          <w:p>
            <w:pPr>
              <w:pStyle w:val="TableParagraph"/>
              <w:spacing w:line="267" w:lineRule="exact"/>
              <w:ind w:left="307"/>
              <w:rPr>
                <w:sz w:val="21"/>
              </w:rPr>
            </w:pPr>
            <w:r>
              <w:rPr>
                <w:sz w:val="21"/>
              </w:rPr>
              <w:t>7.1 投保范围</w:t>
            </w:r>
          </w:p>
        </w:tc>
        <w:tc>
          <w:tcPr>
            <w:tcW w:w="529" w:type="dxa"/>
          </w:tcPr>
          <w:p>
            <w:pPr>
              <w:pStyle w:val="TableParagraph"/>
              <w:spacing w:line="246" w:lineRule="exact"/>
              <w:ind w:left="111" w:right="-15"/>
              <w:rPr>
                <w:sz w:val="21"/>
              </w:rPr>
            </w:pPr>
            <w:r>
              <w:rPr>
                <w:sz w:val="21"/>
              </w:rPr>
              <w:t>8.12</w:t>
            </w:r>
          </w:p>
        </w:tc>
        <w:tc>
          <w:tcPr>
            <w:tcW w:w="2363" w:type="dxa"/>
          </w:tcPr>
          <w:p>
            <w:pPr>
              <w:pStyle w:val="TableParagraph"/>
              <w:spacing w:line="246" w:lineRule="exact"/>
              <w:ind w:left="108"/>
              <w:rPr>
                <w:sz w:val="21"/>
              </w:rPr>
            </w:pPr>
            <w:r>
              <w:rPr>
                <w:sz w:val="21"/>
              </w:rPr>
              <w:t>现金价值净额</w:t>
            </w:r>
          </w:p>
        </w:tc>
      </w:tr>
      <w:tr>
        <w:trPr>
          <w:trHeight w:val="312" w:hRule="atLeast"/>
        </w:trPr>
        <w:tc>
          <w:tcPr>
            <w:tcW w:w="2667" w:type="dxa"/>
          </w:tcPr>
          <w:p>
            <w:pPr>
              <w:pStyle w:val="TableParagraph"/>
              <w:spacing w:before="1"/>
              <w:ind w:left="260"/>
              <w:rPr>
                <w:sz w:val="21"/>
              </w:rPr>
            </w:pPr>
            <w:r>
              <w:rPr>
                <w:sz w:val="21"/>
              </w:rPr>
              <w:t>3.5 欠款的扣除</w:t>
            </w:r>
          </w:p>
        </w:tc>
        <w:tc>
          <w:tcPr>
            <w:tcW w:w="3146" w:type="dxa"/>
          </w:tcPr>
          <w:p>
            <w:pPr>
              <w:pStyle w:val="TableParagraph"/>
              <w:spacing w:line="267" w:lineRule="exact"/>
              <w:ind w:left="306"/>
              <w:rPr>
                <w:sz w:val="21"/>
              </w:rPr>
            </w:pPr>
            <w:r>
              <w:rPr>
                <w:sz w:val="21"/>
              </w:rPr>
              <w:t>7.2 明确说明与如实告知</w:t>
            </w:r>
          </w:p>
        </w:tc>
        <w:tc>
          <w:tcPr>
            <w:tcW w:w="529" w:type="dxa"/>
          </w:tcPr>
          <w:p>
            <w:pPr>
              <w:pStyle w:val="TableParagraph"/>
              <w:spacing w:line="246" w:lineRule="exact"/>
              <w:ind w:left="111" w:right="-15"/>
              <w:rPr>
                <w:sz w:val="21"/>
              </w:rPr>
            </w:pPr>
            <w:r>
              <w:rPr>
                <w:sz w:val="21"/>
              </w:rPr>
              <w:t>8.13</w:t>
            </w:r>
          </w:p>
        </w:tc>
        <w:tc>
          <w:tcPr>
            <w:tcW w:w="2363" w:type="dxa"/>
          </w:tcPr>
          <w:p>
            <w:pPr>
              <w:pStyle w:val="TableParagraph"/>
              <w:spacing w:line="246" w:lineRule="exact"/>
              <w:ind w:left="107"/>
              <w:rPr>
                <w:sz w:val="21"/>
              </w:rPr>
            </w:pPr>
            <w:r>
              <w:rPr>
                <w:sz w:val="21"/>
              </w:rPr>
              <w:t>利息</w:t>
            </w:r>
          </w:p>
        </w:tc>
      </w:tr>
      <w:tr>
        <w:trPr>
          <w:trHeight w:val="312" w:hRule="atLeast"/>
        </w:trPr>
        <w:tc>
          <w:tcPr>
            <w:tcW w:w="2667" w:type="dxa"/>
          </w:tcPr>
          <w:p>
            <w:pPr>
              <w:pStyle w:val="TableParagraph"/>
              <w:spacing w:before="1"/>
              <w:ind w:left="260"/>
              <w:rPr>
                <w:sz w:val="21"/>
              </w:rPr>
            </w:pPr>
            <w:r>
              <w:rPr>
                <w:sz w:val="21"/>
              </w:rPr>
              <w:t>3.6 诉讼时效</w:t>
            </w:r>
          </w:p>
        </w:tc>
        <w:tc>
          <w:tcPr>
            <w:tcW w:w="3146" w:type="dxa"/>
          </w:tcPr>
          <w:p>
            <w:pPr>
              <w:pStyle w:val="TableParagraph"/>
              <w:spacing w:line="267" w:lineRule="exact"/>
              <w:ind w:left="306"/>
              <w:rPr>
                <w:sz w:val="21"/>
              </w:rPr>
            </w:pPr>
            <w:r>
              <w:rPr>
                <w:sz w:val="21"/>
              </w:rPr>
              <w:t>7.3 本公司合同解除权的限制</w:t>
            </w:r>
          </w:p>
        </w:tc>
        <w:tc>
          <w:tcPr>
            <w:tcW w:w="529" w:type="dxa"/>
          </w:tcPr>
          <w:p>
            <w:pPr>
              <w:pStyle w:val="TableParagraph"/>
              <w:spacing w:line="246" w:lineRule="exact"/>
              <w:ind w:left="111" w:right="-15"/>
              <w:rPr>
                <w:sz w:val="21"/>
              </w:rPr>
            </w:pPr>
            <w:r>
              <w:rPr>
                <w:sz w:val="21"/>
              </w:rPr>
              <w:t>8.14</w:t>
            </w:r>
          </w:p>
        </w:tc>
        <w:tc>
          <w:tcPr>
            <w:tcW w:w="2363" w:type="dxa"/>
          </w:tcPr>
          <w:p>
            <w:pPr>
              <w:pStyle w:val="TableParagraph"/>
              <w:spacing w:line="246" w:lineRule="exact"/>
              <w:ind w:left="107"/>
              <w:rPr>
                <w:sz w:val="21"/>
              </w:rPr>
            </w:pPr>
            <w:r>
              <w:rPr>
                <w:sz w:val="21"/>
              </w:rPr>
              <w:t>现金价值</w:t>
            </w:r>
          </w:p>
        </w:tc>
      </w:tr>
      <w:tr>
        <w:trPr>
          <w:trHeight w:val="267" w:hRule="atLeast"/>
        </w:trPr>
        <w:tc>
          <w:tcPr>
            <w:tcW w:w="2667" w:type="dxa"/>
          </w:tcPr>
          <w:p>
            <w:pPr>
              <w:pStyle w:val="TableParagraph"/>
              <w:rPr>
                <w:rFonts w:ascii="Times New Roman"/>
                <w:sz w:val="18"/>
              </w:rPr>
            </w:pPr>
          </w:p>
        </w:tc>
        <w:tc>
          <w:tcPr>
            <w:tcW w:w="3146" w:type="dxa"/>
          </w:tcPr>
          <w:p>
            <w:pPr>
              <w:pStyle w:val="TableParagraph"/>
              <w:spacing w:line="247" w:lineRule="exact"/>
              <w:ind w:left="306"/>
              <w:rPr>
                <w:sz w:val="21"/>
              </w:rPr>
            </w:pPr>
            <w:r>
              <w:rPr>
                <w:sz w:val="21"/>
              </w:rPr>
              <w:t>7.4 年龄计算与错误处理</w:t>
            </w:r>
          </w:p>
        </w:tc>
        <w:tc>
          <w:tcPr>
            <w:tcW w:w="529" w:type="dxa"/>
          </w:tcPr>
          <w:p>
            <w:pPr>
              <w:pStyle w:val="TableParagraph"/>
              <w:spacing w:line="246" w:lineRule="exact"/>
              <w:ind w:left="111" w:right="-15"/>
              <w:rPr>
                <w:sz w:val="21"/>
              </w:rPr>
            </w:pPr>
            <w:r>
              <w:rPr>
                <w:sz w:val="21"/>
              </w:rPr>
              <w:t>8.15</w:t>
            </w:r>
          </w:p>
        </w:tc>
        <w:tc>
          <w:tcPr>
            <w:tcW w:w="2363" w:type="dxa"/>
          </w:tcPr>
          <w:p>
            <w:pPr>
              <w:pStyle w:val="TableParagraph"/>
              <w:spacing w:line="246" w:lineRule="exact"/>
              <w:ind w:left="107"/>
              <w:rPr>
                <w:sz w:val="21"/>
              </w:rPr>
            </w:pPr>
            <w:r>
              <w:rPr>
                <w:sz w:val="21"/>
              </w:rPr>
              <w:t>意外事故</w:t>
            </w:r>
          </w:p>
        </w:tc>
      </w:tr>
    </w:tbl>
    <w:p>
      <w:pPr>
        <w:spacing w:after="0" w:line="246" w:lineRule="exact"/>
        <w:rPr>
          <w:sz w:val="21"/>
        </w:rPr>
        <w:sectPr>
          <w:type w:val="continuous"/>
          <w:pgSz w:w="11910" w:h="16840"/>
          <w:pgMar w:top="1040" w:bottom="1180" w:left="960" w:right="940"/>
        </w:sectPr>
      </w:pPr>
    </w:p>
    <w:p>
      <w:pPr>
        <w:pStyle w:val="BodyText"/>
        <w:rPr>
          <w:sz w:val="20"/>
        </w:rPr>
      </w:pPr>
      <w:r>
        <w:rPr/>
        <w:pict>
          <v:shape style="position:absolute;margin-left:59.82pt;margin-top:79.485641pt;width:497.1pt;height:697.35pt;mso-position-horizontal-relative:page;mso-position-vertical-relative:page;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440"/>
                    <w:gridCol w:w="7875"/>
                  </w:tblGrid>
                  <w:tr>
                    <w:trPr>
                      <w:trHeight w:val="898"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line="280" w:lineRule="exact"/>
                          <w:ind w:left="1115"/>
                          <w:rPr>
                            <w:b/>
                            <w:sz w:val="28"/>
                          </w:rPr>
                        </w:pPr>
                        <w:r>
                          <w:rPr>
                            <w:b/>
                            <w:w w:val="95"/>
                            <w:sz w:val="28"/>
                          </w:rPr>
                          <w:t>民生人寿保险股份有限公司</w:t>
                        </w:r>
                      </w:p>
                      <w:p>
                        <w:pPr>
                          <w:pStyle w:val="TableParagraph"/>
                          <w:spacing w:before="8"/>
                          <w:rPr>
                            <w:sz w:val="19"/>
                          </w:rPr>
                        </w:pPr>
                      </w:p>
                      <w:p>
                        <w:pPr>
                          <w:pStyle w:val="TableParagraph"/>
                          <w:spacing w:line="341" w:lineRule="exact" w:before="1"/>
                          <w:ind w:left="1115"/>
                          <w:rPr>
                            <w:b/>
                            <w:sz w:val="28"/>
                          </w:rPr>
                        </w:pPr>
                        <w:r>
                          <w:rPr>
                            <w:b/>
                            <w:w w:val="95"/>
                            <w:sz w:val="28"/>
                          </w:rPr>
                          <w:t>康泰一生重大疾病保险条款</w:t>
                        </w:r>
                      </w:p>
                    </w:tc>
                  </w:tr>
                  <w:tr>
                    <w:trPr>
                      <w:trHeight w:val="1104" w:hRule="atLeast"/>
                    </w:trPr>
                    <w:tc>
                      <w:tcPr>
                        <w:tcW w:w="9943" w:type="dxa"/>
                        <w:gridSpan w:val="3"/>
                      </w:tcPr>
                      <w:p>
                        <w:pPr>
                          <w:pStyle w:val="TableParagraph"/>
                          <w:rPr>
                            <w:sz w:val="20"/>
                          </w:rPr>
                        </w:pPr>
                      </w:p>
                      <w:p>
                        <w:pPr>
                          <w:pStyle w:val="TableParagraph"/>
                          <w:spacing w:before="4"/>
                          <w:rPr>
                            <w:sz w:val="22"/>
                          </w:rPr>
                        </w:pPr>
                      </w:p>
                      <w:p>
                        <w:pPr>
                          <w:pStyle w:val="TableParagraph"/>
                          <w:ind w:left="107"/>
                          <w:rPr>
                            <w:sz w:val="21"/>
                          </w:rPr>
                        </w:pPr>
                        <w:r>
                          <w:rPr>
                            <w:spacing w:val="-23"/>
                            <w:sz w:val="21"/>
                          </w:rPr>
                          <w:t>在本条款中，“您”指投保人，“我们”、“本公司”均指民生人寿保险股份有限公司</w:t>
                        </w:r>
                      </w:p>
                    </w:tc>
                  </w:tr>
                  <w:tr>
                    <w:trPr>
                      <w:trHeight w:val="799" w:hRule="atLeast"/>
                    </w:trPr>
                    <w:tc>
                      <w:tcPr>
                        <w:tcW w:w="628" w:type="dxa"/>
                        <w:tcBorders>
                          <w:bottom w:val="single" w:sz="4" w:space="0" w:color="000000"/>
                        </w:tcBorders>
                      </w:tcPr>
                      <w:p>
                        <w:pPr>
                          <w:pStyle w:val="TableParagraph"/>
                          <w:spacing w:before="59"/>
                          <w:ind w:left="107"/>
                          <w:rPr>
                            <w:rFonts w:ascii="Yu Gothic"/>
                            <w:b/>
                            <w:sz w:val="40"/>
                          </w:rPr>
                        </w:pPr>
                        <w:r>
                          <w:rPr>
                            <w:rFonts w:ascii="Yu Gothic"/>
                            <w:b/>
                            <w:w w:val="155"/>
                            <w:sz w:val="40"/>
                          </w:rPr>
                          <w:t>0</w:t>
                        </w:r>
                      </w:p>
                    </w:tc>
                    <w:tc>
                      <w:tcPr>
                        <w:tcW w:w="9315" w:type="dxa"/>
                        <w:gridSpan w:val="2"/>
                        <w:tcBorders>
                          <w:bottom w:val="single" w:sz="4" w:space="0" w:color="000000"/>
                        </w:tcBorders>
                      </w:tcPr>
                      <w:p>
                        <w:pPr>
                          <w:pStyle w:val="TableParagraph"/>
                          <w:spacing w:before="4"/>
                          <w:rPr>
                            <w:sz w:val="22"/>
                          </w:rPr>
                        </w:pPr>
                      </w:p>
                      <w:p>
                        <w:pPr>
                          <w:pStyle w:val="TableParagraph"/>
                          <w:ind w:left="162"/>
                          <w:rPr>
                            <w:b/>
                            <w:sz w:val="24"/>
                          </w:rPr>
                        </w:pPr>
                        <w:r>
                          <w:rPr>
                            <w:b/>
                            <w:w w:val="95"/>
                            <w:sz w:val="24"/>
                          </w:rPr>
                          <w:t>您与我们的合同</w:t>
                        </w:r>
                      </w:p>
                    </w:tc>
                  </w:tr>
                  <w:tr>
                    <w:trPr>
                      <w:trHeight w:val="951"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1.1</w:t>
                        </w:r>
                      </w:p>
                    </w:tc>
                    <w:tc>
                      <w:tcPr>
                        <w:tcW w:w="1440" w:type="dxa"/>
                        <w:tcBorders>
                          <w:top w:val="single" w:sz="4" w:space="0" w:color="000000"/>
                        </w:tcBorders>
                      </w:tcPr>
                      <w:p>
                        <w:pPr>
                          <w:pStyle w:val="TableParagraph"/>
                          <w:spacing w:before="5"/>
                          <w:rPr>
                            <w:sz w:val="15"/>
                          </w:rPr>
                        </w:pPr>
                      </w:p>
                      <w:p>
                        <w:pPr>
                          <w:pStyle w:val="TableParagraph"/>
                          <w:spacing w:before="1"/>
                          <w:ind w:left="162"/>
                          <w:rPr>
                            <w:b/>
                            <w:sz w:val="21"/>
                          </w:rPr>
                        </w:pPr>
                        <w:r>
                          <w:rPr>
                            <w:b/>
                            <w:w w:val="95"/>
                            <w:sz w:val="21"/>
                          </w:rPr>
                          <w:t>合同构成</w:t>
                        </w:r>
                      </w:p>
                    </w:tc>
                    <w:tc>
                      <w:tcPr>
                        <w:tcW w:w="7875" w:type="dxa"/>
                        <w:tcBorders>
                          <w:top w:val="single" w:sz="4" w:space="0" w:color="000000"/>
                        </w:tcBorders>
                      </w:tcPr>
                      <w:p>
                        <w:pPr>
                          <w:pStyle w:val="TableParagraph"/>
                          <w:spacing w:before="5"/>
                          <w:rPr>
                            <w:sz w:val="17"/>
                          </w:rPr>
                        </w:pPr>
                      </w:p>
                      <w:p>
                        <w:pPr>
                          <w:pStyle w:val="TableParagraph"/>
                          <w:spacing w:line="316" w:lineRule="auto"/>
                          <w:ind w:left="430" w:right="152"/>
                          <w:rPr>
                            <w:sz w:val="18"/>
                          </w:rPr>
                        </w:pPr>
                        <w:r>
                          <w:rPr>
                            <w:sz w:val="18"/>
                          </w:rPr>
                          <w:t>本保险合同（</w:t>
                        </w:r>
                        <w:r>
                          <w:rPr>
                            <w:spacing w:val="-10"/>
                            <w:sz w:val="18"/>
                          </w:rPr>
                          <w:t>以下简称“本合同”</w:t>
                        </w:r>
                        <w:r>
                          <w:rPr>
                            <w:sz w:val="18"/>
                          </w:rPr>
                          <w:t>）由保险单、保险条款、投保单，以及与本合同有关的投保文件、合法有效的声明、批注和其他书面协议共同构成。</w:t>
                        </w:r>
                      </w:p>
                    </w:tc>
                  </w:tr>
                  <w:tr>
                    <w:trPr>
                      <w:trHeight w:val="757" w:hRule="atLeast"/>
                    </w:trPr>
                    <w:tc>
                      <w:tcPr>
                        <w:tcW w:w="9943" w:type="dxa"/>
                        <w:gridSpan w:val="3"/>
                      </w:tcPr>
                      <w:p>
                        <w:pPr>
                          <w:pStyle w:val="TableParagraph"/>
                          <w:tabs>
                            <w:tab w:pos="790" w:val="left" w:leader="none"/>
                            <w:tab w:pos="2498" w:val="left" w:leader="none"/>
                          </w:tabs>
                          <w:spacing w:before="112"/>
                          <w:ind w:left="107"/>
                          <w:rPr>
                            <w:sz w:val="18"/>
                          </w:rPr>
                        </w:pPr>
                        <w:r>
                          <w:rPr>
                            <w:b/>
                            <w:sz w:val="21"/>
                          </w:rPr>
                          <w:t>1.2</w:t>
                          <w:tab/>
                          <w:t>合同成立与生效</w:t>
                          <w:tab/>
                        </w:r>
                        <w:r>
                          <w:rPr>
                            <w:position w:val="1"/>
                            <w:sz w:val="18"/>
                          </w:rPr>
                          <w:t>自您提出保险申请，本公司同意承保，本合同成立。合同成立日期在保险单上载明。</w:t>
                        </w:r>
                      </w:p>
                      <w:p>
                        <w:pPr>
                          <w:pStyle w:val="TableParagraph"/>
                          <w:spacing w:before="62"/>
                          <w:ind w:left="2498"/>
                          <w:rPr>
                            <w:sz w:val="18"/>
                          </w:rPr>
                        </w:pPr>
                        <w:r>
                          <w:rPr>
                            <w:sz w:val="18"/>
                          </w:rPr>
                          <w:t>本合同自本公司同意承保、收取首期保险费并签发保险单开始生效，具体生效日以保险单载明</w:t>
                        </w:r>
                      </w:p>
                    </w:tc>
                  </w:tr>
                  <w:tr>
                    <w:trPr>
                      <w:trHeight w:val="929"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before="3"/>
                          <w:ind w:left="430"/>
                          <w:rPr>
                            <w:sz w:val="18"/>
                          </w:rPr>
                        </w:pPr>
                        <w:r>
                          <w:rPr>
                            <w:sz w:val="18"/>
                          </w:rPr>
                          <w:t>的日期为准。我们自生效日零时起开始承担本合同约定的保险责任。</w:t>
                        </w:r>
                      </w:p>
                      <w:p>
                        <w:pPr>
                          <w:pStyle w:val="TableParagraph"/>
                          <w:spacing w:line="310" w:lineRule="atLeast" w:before="1"/>
                          <w:ind w:left="430" w:right="41"/>
                          <w:rPr>
                            <w:sz w:val="18"/>
                          </w:rPr>
                        </w:pPr>
                        <w:r>
                          <w:rPr>
                            <w:sz w:val="18"/>
                          </w:rPr>
                          <w:t>本合同生效日以后每年的对应日是保险单周年日。保险单年度、保险单月份、保险费到期日和保险单满期日均以该日期计算。</w:t>
                        </w:r>
                      </w:p>
                    </w:tc>
                  </w:tr>
                  <w:tr>
                    <w:trPr>
                      <w:trHeight w:val="417"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before="10"/>
                          <w:ind w:left="430"/>
                          <w:rPr>
                            <w:sz w:val="18"/>
                          </w:rPr>
                        </w:pPr>
                        <w:r>
                          <w:rPr>
                            <w:sz w:val="18"/>
                          </w:rPr>
                          <w:t>如果当月无对应的同一天，则以该月最后一日作为对应日。</w:t>
                        </w:r>
                      </w:p>
                    </w:tc>
                  </w:tr>
                  <w:tr>
                    <w:trPr>
                      <w:trHeight w:val="1057" w:hRule="atLeast"/>
                    </w:trPr>
                    <w:tc>
                      <w:tcPr>
                        <w:tcW w:w="628" w:type="dxa"/>
                      </w:tcPr>
                      <w:p>
                        <w:pPr>
                          <w:pStyle w:val="TableParagraph"/>
                          <w:spacing w:before="106"/>
                          <w:ind w:left="107"/>
                          <w:rPr>
                            <w:b/>
                            <w:sz w:val="21"/>
                          </w:rPr>
                        </w:pPr>
                        <w:r>
                          <w:rPr>
                            <w:b/>
                            <w:sz w:val="21"/>
                          </w:rPr>
                          <w:t>1.3</w:t>
                        </w:r>
                      </w:p>
                    </w:tc>
                    <w:tc>
                      <w:tcPr>
                        <w:tcW w:w="1440" w:type="dxa"/>
                      </w:tcPr>
                      <w:p>
                        <w:pPr>
                          <w:pStyle w:val="TableParagraph"/>
                          <w:spacing w:before="106"/>
                          <w:ind w:left="162"/>
                          <w:rPr>
                            <w:b/>
                            <w:sz w:val="21"/>
                          </w:rPr>
                        </w:pPr>
                        <w:r>
                          <w:rPr>
                            <w:b/>
                            <w:w w:val="95"/>
                            <w:sz w:val="21"/>
                          </w:rPr>
                          <w:t>犹豫期</w:t>
                        </w:r>
                      </w:p>
                    </w:tc>
                    <w:tc>
                      <w:tcPr>
                        <w:tcW w:w="7875" w:type="dxa"/>
                      </w:tcPr>
                      <w:p>
                        <w:pPr>
                          <w:pStyle w:val="TableParagraph"/>
                          <w:spacing w:line="310" w:lineRule="atLeast" w:before="57"/>
                          <w:ind w:left="430" w:right="98"/>
                          <w:jc w:val="both"/>
                          <w:rPr>
                            <w:sz w:val="18"/>
                          </w:rPr>
                        </w:pPr>
                        <w:r>
                          <w:rPr>
                            <w:spacing w:val="-4"/>
                            <w:sz w:val="18"/>
                          </w:rPr>
                          <w:t>自您签收本合同次日起，有十天的犹豫期。在此期间请您认真审视本合同，如果您认为本合同</w:t>
                        </w:r>
                        <w:r>
                          <w:rPr>
                            <w:spacing w:val="-7"/>
                            <w:sz w:val="18"/>
                          </w:rPr>
                          <w:t>与您的需求不相符，您可以在此期间提出解除本合同，我们将在扣除十元工本费后无息退还您所交的全部保险费。</w:t>
                        </w:r>
                      </w:p>
                    </w:tc>
                  </w:tr>
                  <w:tr>
                    <w:trPr>
                      <w:trHeight w:val="1037"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line="316" w:lineRule="auto" w:before="10"/>
                          <w:ind w:left="430" w:right="98"/>
                          <w:jc w:val="both"/>
                          <w:rPr>
                            <w:sz w:val="18"/>
                          </w:rPr>
                        </w:pPr>
                        <w:r>
                          <w:rPr>
                            <w:spacing w:val="-6"/>
                            <w:sz w:val="18"/>
                          </w:rPr>
                          <w:t>解除合同时，您需要填写书面申请书，并提供您的合同及</w:t>
                        </w:r>
                        <w:r>
                          <w:rPr>
                            <w:b/>
                            <w:spacing w:val="-5"/>
                            <w:w w:val="99"/>
                            <w:sz w:val="18"/>
                          </w:rPr>
                          <w:t>有效身份证件</w:t>
                        </w:r>
                        <w:r>
                          <w:rPr>
                            <w:sz w:val="18"/>
                          </w:rPr>
                          <w:t>（</w:t>
                        </w:r>
                        <w:r>
                          <w:rPr>
                            <w:spacing w:val="-23"/>
                            <w:sz w:val="18"/>
                          </w:rPr>
                          <w:t>见 </w:t>
                        </w:r>
                        <w:r>
                          <w:rPr>
                            <w:sz w:val="18"/>
                          </w:rPr>
                          <w:t>8.1</w:t>
                        </w:r>
                        <w:r>
                          <w:rPr>
                            <w:spacing w:val="-90"/>
                            <w:sz w:val="18"/>
                          </w:rPr>
                          <w:t>）</w:t>
                        </w:r>
                        <w:r>
                          <w:rPr>
                            <w:spacing w:val="-5"/>
                            <w:sz w:val="18"/>
                          </w:rPr>
                          <w:t>。自您书面申</w:t>
                        </w:r>
                        <w:r>
                          <w:rPr>
                            <w:spacing w:val="-8"/>
                            <w:sz w:val="18"/>
                          </w:rPr>
                          <w:t>请解除合同之日起，本合同效力即行终止，对合同解除前发生的保险事故，我们不承担给付保险金的责任。</w:t>
                        </w:r>
                      </w:p>
                    </w:tc>
                  </w:tr>
                  <w:tr>
                    <w:trPr>
                      <w:trHeight w:val="586" w:hRule="atLeast"/>
                    </w:trPr>
                    <w:tc>
                      <w:tcPr>
                        <w:tcW w:w="628" w:type="dxa"/>
                      </w:tcPr>
                      <w:p>
                        <w:pPr>
                          <w:pStyle w:val="TableParagraph"/>
                          <w:spacing w:before="110"/>
                          <w:ind w:left="107"/>
                          <w:rPr>
                            <w:b/>
                            <w:sz w:val="21"/>
                          </w:rPr>
                        </w:pPr>
                        <w:r>
                          <w:rPr>
                            <w:b/>
                            <w:sz w:val="21"/>
                          </w:rPr>
                          <w:t>1.4</w:t>
                        </w:r>
                      </w:p>
                    </w:tc>
                    <w:tc>
                      <w:tcPr>
                        <w:tcW w:w="1440" w:type="dxa"/>
                      </w:tcPr>
                      <w:p>
                        <w:pPr>
                          <w:pStyle w:val="TableParagraph"/>
                          <w:spacing w:before="110"/>
                          <w:ind w:left="162"/>
                          <w:rPr>
                            <w:b/>
                            <w:sz w:val="21"/>
                          </w:rPr>
                        </w:pPr>
                        <w:r>
                          <w:rPr>
                            <w:b/>
                            <w:sz w:val="21"/>
                          </w:rPr>
                          <w:t>保险期间</w:t>
                        </w:r>
                      </w:p>
                    </w:tc>
                    <w:tc>
                      <w:tcPr>
                        <w:tcW w:w="7875" w:type="dxa"/>
                      </w:tcPr>
                      <w:p>
                        <w:pPr>
                          <w:pStyle w:val="TableParagraph"/>
                          <w:spacing w:before="112"/>
                          <w:ind w:left="430"/>
                          <w:rPr>
                            <w:sz w:val="18"/>
                          </w:rPr>
                        </w:pPr>
                        <w:r>
                          <w:rPr>
                            <w:sz w:val="18"/>
                          </w:rPr>
                          <w:t>本合同保险期间为被保险人终身。</w:t>
                        </w:r>
                      </w:p>
                    </w:tc>
                  </w:tr>
                  <w:tr>
                    <w:trPr>
                      <w:trHeight w:val="723" w:hRule="atLeast"/>
                    </w:trPr>
                    <w:tc>
                      <w:tcPr>
                        <w:tcW w:w="628" w:type="dxa"/>
                        <w:tcBorders>
                          <w:bottom w:val="single" w:sz="4" w:space="0" w:color="000000"/>
                        </w:tcBorders>
                      </w:tcPr>
                      <w:p>
                        <w:pPr>
                          <w:pStyle w:val="TableParagraph"/>
                          <w:spacing w:line="657" w:lineRule="exact"/>
                          <w:ind w:left="107"/>
                          <w:rPr>
                            <w:rFonts w:ascii="Yu Gothic"/>
                            <w:b/>
                            <w:sz w:val="40"/>
                          </w:rPr>
                        </w:pPr>
                        <w:r>
                          <w:rPr>
                            <w:rFonts w:ascii="Yu Gothic"/>
                            <w:b/>
                            <w:w w:val="155"/>
                            <w:sz w:val="40"/>
                          </w:rPr>
                          <w:t>4</w:t>
                        </w:r>
                      </w:p>
                    </w:tc>
                    <w:tc>
                      <w:tcPr>
                        <w:tcW w:w="9315" w:type="dxa"/>
                        <w:gridSpan w:val="2"/>
                        <w:tcBorders>
                          <w:bottom w:val="single" w:sz="4" w:space="0" w:color="000000"/>
                        </w:tcBorders>
                      </w:tcPr>
                      <w:p>
                        <w:pPr>
                          <w:pStyle w:val="TableParagraph"/>
                          <w:spacing w:before="7"/>
                          <w:rPr>
                            <w:sz w:val="16"/>
                          </w:rPr>
                        </w:pPr>
                      </w:p>
                      <w:p>
                        <w:pPr>
                          <w:pStyle w:val="TableParagraph"/>
                          <w:ind w:left="162"/>
                          <w:rPr>
                            <w:b/>
                            <w:sz w:val="24"/>
                          </w:rPr>
                        </w:pPr>
                        <w:r>
                          <w:rPr>
                            <w:b/>
                            <w:w w:val="95"/>
                            <w:sz w:val="24"/>
                          </w:rPr>
                          <w:t>我们提供的保障</w:t>
                        </w:r>
                      </w:p>
                    </w:tc>
                  </w:tr>
                  <w:tr>
                    <w:trPr>
                      <w:trHeight w:val="537" w:hRule="atLeast"/>
                    </w:trPr>
                    <w:tc>
                      <w:tcPr>
                        <w:tcW w:w="628" w:type="dxa"/>
                        <w:tcBorders>
                          <w:top w:val="single" w:sz="4" w:space="0" w:color="000000"/>
                        </w:tcBorders>
                      </w:tcPr>
                      <w:p>
                        <w:pPr>
                          <w:pStyle w:val="TableParagraph"/>
                          <w:spacing w:before="7"/>
                          <w:rPr>
                            <w:sz w:val="15"/>
                          </w:rPr>
                        </w:pPr>
                      </w:p>
                      <w:p>
                        <w:pPr>
                          <w:pStyle w:val="TableParagraph"/>
                          <w:ind w:left="107"/>
                          <w:rPr>
                            <w:b/>
                            <w:sz w:val="21"/>
                          </w:rPr>
                        </w:pPr>
                        <w:r>
                          <w:rPr>
                            <w:b/>
                            <w:sz w:val="21"/>
                          </w:rPr>
                          <w:t>2.1</w:t>
                        </w:r>
                      </w:p>
                    </w:tc>
                    <w:tc>
                      <w:tcPr>
                        <w:tcW w:w="1440" w:type="dxa"/>
                        <w:tcBorders>
                          <w:top w:val="single" w:sz="4" w:space="0" w:color="000000"/>
                        </w:tcBorders>
                      </w:tcPr>
                      <w:p>
                        <w:pPr>
                          <w:pStyle w:val="TableParagraph"/>
                          <w:spacing w:before="7"/>
                          <w:rPr>
                            <w:sz w:val="15"/>
                          </w:rPr>
                        </w:pPr>
                      </w:p>
                      <w:p>
                        <w:pPr>
                          <w:pStyle w:val="TableParagraph"/>
                          <w:ind w:left="162"/>
                          <w:rPr>
                            <w:b/>
                            <w:sz w:val="21"/>
                          </w:rPr>
                        </w:pPr>
                        <w:r>
                          <w:rPr>
                            <w:b/>
                            <w:w w:val="95"/>
                            <w:sz w:val="21"/>
                          </w:rPr>
                          <w:t>保险金额</w:t>
                        </w:r>
                      </w:p>
                    </w:tc>
                    <w:tc>
                      <w:tcPr>
                        <w:tcW w:w="7875" w:type="dxa"/>
                        <w:tcBorders>
                          <w:top w:val="single" w:sz="4" w:space="0" w:color="000000"/>
                        </w:tcBorders>
                      </w:tcPr>
                      <w:p>
                        <w:pPr>
                          <w:pStyle w:val="TableParagraph"/>
                          <w:spacing w:before="6"/>
                          <w:rPr>
                            <w:sz w:val="17"/>
                          </w:rPr>
                        </w:pPr>
                      </w:p>
                      <w:p>
                        <w:pPr>
                          <w:pStyle w:val="TableParagraph"/>
                          <w:ind w:left="430"/>
                          <w:rPr>
                            <w:sz w:val="18"/>
                          </w:rPr>
                        </w:pPr>
                        <w:r>
                          <w:rPr>
                            <w:sz w:val="18"/>
                          </w:rPr>
                          <w:t>本合同保险金额由您和本公司约定，并在保险单上载明。</w:t>
                        </w:r>
                      </w:p>
                    </w:tc>
                  </w:tr>
                  <w:tr>
                    <w:trPr>
                      <w:trHeight w:val="722"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line="316" w:lineRule="auto" w:before="3"/>
                          <w:ind w:left="430" w:right="41"/>
                          <w:rPr>
                            <w:sz w:val="18"/>
                          </w:rPr>
                        </w:pPr>
                        <w:r>
                          <w:rPr>
                            <w:sz w:val="18"/>
                          </w:rPr>
                          <w:t>为未成年子女投保的人身保险，因被保险人身故给付的保险金总和不得超过国务院保险监督管理机构规定的限额，身故给付的保险金额总和约定也不得超过前述限额。</w:t>
                        </w:r>
                      </w:p>
                    </w:tc>
                  </w:tr>
                  <w:tr>
                    <w:trPr>
                      <w:trHeight w:val="546" w:hRule="atLeast"/>
                    </w:trPr>
                    <w:tc>
                      <w:tcPr>
                        <w:tcW w:w="628" w:type="dxa"/>
                      </w:tcPr>
                      <w:p>
                        <w:pPr>
                          <w:pStyle w:val="TableParagraph"/>
                          <w:spacing w:before="106"/>
                          <w:ind w:left="107"/>
                          <w:rPr>
                            <w:b/>
                            <w:sz w:val="21"/>
                          </w:rPr>
                        </w:pPr>
                        <w:r>
                          <w:rPr>
                            <w:b/>
                            <w:sz w:val="21"/>
                          </w:rPr>
                          <w:t>2.2</w:t>
                        </w:r>
                      </w:p>
                    </w:tc>
                    <w:tc>
                      <w:tcPr>
                        <w:tcW w:w="1440" w:type="dxa"/>
                      </w:tcPr>
                      <w:p>
                        <w:pPr>
                          <w:pStyle w:val="TableParagraph"/>
                          <w:spacing w:before="106"/>
                          <w:ind w:left="162"/>
                          <w:rPr>
                            <w:b/>
                            <w:sz w:val="21"/>
                          </w:rPr>
                        </w:pPr>
                        <w:r>
                          <w:rPr>
                            <w:b/>
                            <w:w w:val="95"/>
                            <w:sz w:val="21"/>
                          </w:rPr>
                          <w:t>保险责任</w:t>
                        </w:r>
                      </w:p>
                    </w:tc>
                    <w:tc>
                      <w:tcPr>
                        <w:tcW w:w="7875" w:type="dxa"/>
                      </w:tcPr>
                      <w:p>
                        <w:pPr>
                          <w:pStyle w:val="TableParagraph"/>
                          <w:spacing w:before="132"/>
                          <w:ind w:left="430"/>
                          <w:rPr>
                            <w:sz w:val="18"/>
                          </w:rPr>
                        </w:pPr>
                        <w:r>
                          <w:rPr>
                            <w:sz w:val="18"/>
                          </w:rPr>
                          <w:t>在本合同有效期内，本公司按下列规定承担保险责任：</w:t>
                        </w:r>
                      </w:p>
                    </w:tc>
                  </w:tr>
                  <w:tr>
                    <w:trPr>
                      <w:trHeight w:val="902" w:hRule="atLeast"/>
                    </w:trPr>
                    <w:tc>
                      <w:tcPr>
                        <w:tcW w:w="628" w:type="dxa"/>
                      </w:tcPr>
                      <w:p>
                        <w:pPr>
                          <w:pStyle w:val="TableParagraph"/>
                          <w:rPr>
                            <w:rFonts w:ascii="Times New Roman"/>
                            <w:sz w:val="18"/>
                          </w:rPr>
                        </w:pPr>
                      </w:p>
                    </w:tc>
                    <w:tc>
                      <w:tcPr>
                        <w:tcW w:w="1440" w:type="dxa"/>
                      </w:tcPr>
                      <w:p>
                        <w:pPr>
                          <w:pStyle w:val="TableParagraph"/>
                          <w:spacing w:line="273" w:lineRule="auto" w:before="100"/>
                          <w:ind w:left="162" w:right="6"/>
                          <w:rPr>
                            <w:b/>
                            <w:sz w:val="21"/>
                          </w:rPr>
                        </w:pPr>
                        <w:r>
                          <w:rPr>
                            <w:b/>
                            <w:sz w:val="21"/>
                          </w:rPr>
                          <w:t>1、 重大疾病保险金</w:t>
                        </w:r>
                      </w:p>
                    </w:tc>
                    <w:tc>
                      <w:tcPr>
                        <w:tcW w:w="7875" w:type="dxa"/>
                      </w:tcPr>
                      <w:p>
                        <w:pPr>
                          <w:pStyle w:val="TableParagraph"/>
                          <w:spacing w:line="316" w:lineRule="auto" w:before="126"/>
                          <w:ind w:left="430" w:right="40"/>
                          <w:rPr>
                            <w:sz w:val="18"/>
                          </w:rPr>
                        </w:pPr>
                        <w:r>
                          <w:rPr>
                            <w:sz w:val="18"/>
                          </w:rPr>
                          <w:t>若被保险人经诊断于本合同生效（或复效）之日起一年内首次</w:t>
                        </w:r>
                        <w:r>
                          <w:rPr>
                            <w:b/>
                            <w:sz w:val="18"/>
                          </w:rPr>
                          <w:t>发病</w:t>
                        </w:r>
                        <w:r>
                          <w:rPr>
                            <w:sz w:val="18"/>
                          </w:rPr>
                          <w:t>（见 8.2）并经本公司</w:t>
                        </w:r>
                        <w:r>
                          <w:rPr>
                            <w:b/>
                            <w:sz w:val="18"/>
                          </w:rPr>
                          <w:t>指定或认可的医疗机构</w:t>
                        </w:r>
                        <w:r>
                          <w:rPr>
                            <w:sz w:val="18"/>
                          </w:rPr>
                          <w:t>（见 8.3）确诊初次患有本合同附表一约定的一项或多项重大疾病，本公司</w:t>
                        </w:r>
                      </w:p>
                    </w:tc>
                  </w:tr>
                  <w:tr>
                    <w:trPr>
                      <w:trHeight w:val="1396"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line="310" w:lineRule="atLeast" w:before="85"/>
                          <w:ind w:left="430" w:right="98"/>
                          <w:jc w:val="both"/>
                          <w:rPr>
                            <w:sz w:val="18"/>
                          </w:rPr>
                        </w:pPr>
                        <w:r>
                          <w:rPr>
                            <w:spacing w:val="-1"/>
                            <w:sz w:val="18"/>
                          </w:rPr>
                          <w:t>若被保险人经诊断于本合同生效</w:t>
                        </w:r>
                        <w:r>
                          <w:rPr>
                            <w:sz w:val="18"/>
                          </w:rPr>
                          <w:t>（或复效</w:t>
                        </w:r>
                        <w:r>
                          <w:rPr>
                            <w:spacing w:val="-11"/>
                            <w:sz w:val="18"/>
                          </w:rPr>
                          <w:t>）</w:t>
                        </w:r>
                        <w:r>
                          <w:rPr>
                            <w:spacing w:val="-2"/>
                            <w:sz w:val="18"/>
                          </w:rPr>
                          <w:t>之日起一年后，且在</w:t>
                        </w:r>
                        <w:r>
                          <w:rPr>
                            <w:b/>
                            <w:spacing w:val="-1"/>
                            <w:sz w:val="18"/>
                          </w:rPr>
                          <w:t>十八周岁的保险单周年日</w:t>
                        </w:r>
                        <w:r>
                          <w:rPr>
                            <w:sz w:val="18"/>
                          </w:rPr>
                          <w:t>（见8.4）前首次发病并经本公司指定或认可的医疗机构确诊初次患有本合同附表一约定的一项或</w:t>
                        </w:r>
                        <w:r>
                          <w:rPr>
                            <w:spacing w:val="-2"/>
                            <w:sz w:val="18"/>
                          </w:rPr>
                          <w:t>多项重大疾病，本公司按保险单载明的保险金额的 </w:t>
                        </w:r>
                        <w:r>
                          <w:rPr>
                            <w:sz w:val="18"/>
                          </w:rPr>
                          <w:t>50%向被保险人给付重大疾病保险金，本合同终止。</w:t>
                        </w:r>
                      </w:p>
                    </w:tc>
                  </w:tr>
                  <w:tr>
                    <w:trPr>
                      <w:trHeight w:val="558"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before="10"/>
                          <w:ind w:left="430"/>
                          <w:rPr>
                            <w:sz w:val="18"/>
                          </w:rPr>
                        </w:pPr>
                        <w:r>
                          <w:rPr>
                            <w:sz w:val="18"/>
                          </w:rPr>
                          <w:t>若被保险人经诊断于本合同生效（或复效）之日起一年后，且在十八周岁的保险单周年日及以</w:t>
                        </w:r>
                      </w:p>
                      <w:p>
                        <w:pPr>
                          <w:pStyle w:val="TableParagraph"/>
                          <w:spacing w:line="216" w:lineRule="exact" w:before="76"/>
                          <w:ind w:left="430"/>
                          <w:rPr>
                            <w:sz w:val="18"/>
                          </w:rPr>
                        </w:pPr>
                        <w:r>
                          <w:rPr>
                            <w:sz w:val="18"/>
                          </w:rPr>
                          <w:t>后（包括十八周岁的保险单周年日）首次发病并经本公司指定或认可的医疗机构确诊初次患有</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BodyText"/>
        <w:spacing w:before="44"/>
        <w:ind w:left="2614"/>
      </w:pPr>
      <w:r>
        <w:rPr/>
        <w:t>向您无息返还已交保险费，本合同终止。</w:t>
      </w:r>
    </w:p>
    <w:p>
      <w:pPr>
        <w:spacing w:after="0"/>
        <w:sectPr>
          <w:headerReference w:type="default" r:id="rId9"/>
          <w:pgSz w:w="11910" w:h="16840"/>
          <w:pgMar w:header="877" w:footer="981" w:top="1100" w:bottom="1180" w:left="1080" w:right="660"/>
        </w:sectPr>
      </w:pPr>
    </w:p>
    <w:p>
      <w:pPr>
        <w:pStyle w:val="BodyText"/>
        <w:spacing w:before="3"/>
        <w:rPr>
          <w:sz w:val="20"/>
        </w:rPr>
      </w:pPr>
      <w:r>
        <w:rPr/>
        <w:pict>
          <v:shape style="position:absolute;margin-left:59.82pt;margin-top:115.955963pt;width:497.1pt;height:652.25pt;mso-position-horizontal-relative:page;mso-position-vertical-relative:page;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9314"/>
                  </w:tblGrid>
                  <w:tr>
                    <w:trPr>
                      <w:trHeight w:val="425" w:hRule="atLeast"/>
                    </w:trPr>
                    <w:tc>
                      <w:tcPr>
                        <w:tcW w:w="627" w:type="dxa"/>
                      </w:tcPr>
                      <w:p>
                        <w:pPr>
                          <w:pStyle w:val="TableParagraph"/>
                          <w:rPr>
                            <w:rFonts w:ascii="Times New Roman"/>
                            <w:sz w:val="18"/>
                          </w:rPr>
                        </w:pPr>
                      </w:p>
                    </w:tc>
                    <w:tc>
                      <w:tcPr>
                        <w:tcW w:w="9314" w:type="dxa"/>
                      </w:tcPr>
                      <w:p>
                        <w:pPr>
                          <w:pStyle w:val="TableParagraph"/>
                          <w:tabs>
                            <w:tab w:pos="1871" w:val="left" w:leader="none"/>
                          </w:tabs>
                          <w:spacing w:line="210" w:lineRule="exact"/>
                          <w:ind w:left="163"/>
                          <w:rPr>
                            <w:sz w:val="18"/>
                          </w:rPr>
                        </w:pPr>
                        <w:r>
                          <w:rPr>
                            <w:b/>
                            <w:sz w:val="21"/>
                          </w:rPr>
                          <w:t>2、身故保险金</w:t>
                          <w:tab/>
                        </w:r>
                        <w:r>
                          <w:rPr>
                            <w:position w:val="1"/>
                            <w:sz w:val="18"/>
                          </w:rPr>
                          <w:t>若被保险人于本合同生</w:t>
                        </w:r>
                        <w:r>
                          <w:rPr>
                            <w:spacing w:val="-13"/>
                            <w:position w:val="1"/>
                            <w:sz w:val="18"/>
                          </w:rPr>
                          <w:t>效</w:t>
                        </w:r>
                        <w:r>
                          <w:rPr>
                            <w:position w:val="1"/>
                            <w:sz w:val="18"/>
                          </w:rPr>
                          <w:t>（或复效</w:t>
                        </w:r>
                        <w:r>
                          <w:rPr>
                            <w:spacing w:val="-13"/>
                            <w:position w:val="1"/>
                            <w:sz w:val="18"/>
                          </w:rPr>
                          <w:t>）</w:t>
                        </w:r>
                        <w:r>
                          <w:rPr>
                            <w:position w:val="1"/>
                            <w:sz w:val="18"/>
                          </w:rPr>
                          <w:t>之日起一年内因疾病身故</w:t>
                        </w:r>
                        <w:r>
                          <w:rPr>
                            <w:spacing w:val="-13"/>
                            <w:position w:val="1"/>
                            <w:sz w:val="18"/>
                          </w:rPr>
                          <w:t>，</w:t>
                        </w:r>
                        <w:r>
                          <w:rPr>
                            <w:position w:val="1"/>
                            <w:sz w:val="18"/>
                          </w:rPr>
                          <w:t>本公司向您无息返还已交保险</w:t>
                        </w:r>
                      </w:p>
                    </w:tc>
                  </w:tr>
                  <w:tr>
                    <w:trPr>
                      <w:trHeight w:val="1085" w:hRule="atLeast"/>
                    </w:trPr>
                    <w:tc>
                      <w:tcPr>
                        <w:tcW w:w="627" w:type="dxa"/>
                      </w:tcPr>
                      <w:p>
                        <w:pPr>
                          <w:pStyle w:val="TableParagraph"/>
                          <w:rPr>
                            <w:rFonts w:ascii="Times New Roman"/>
                            <w:sz w:val="18"/>
                          </w:rPr>
                        </w:pPr>
                      </w:p>
                    </w:tc>
                    <w:tc>
                      <w:tcPr>
                        <w:tcW w:w="9314" w:type="dxa"/>
                      </w:tcPr>
                      <w:p>
                        <w:pPr>
                          <w:pStyle w:val="TableParagraph"/>
                          <w:spacing w:line="310" w:lineRule="atLeast" w:before="85"/>
                          <w:ind w:left="1871" w:right="103"/>
                          <w:jc w:val="both"/>
                          <w:rPr>
                            <w:sz w:val="18"/>
                          </w:rPr>
                        </w:pPr>
                        <w:r>
                          <w:rPr>
                            <w:sz w:val="18"/>
                          </w:rPr>
                          <w:t>若被保险人于十八周岁的保险单周年日前，因</w:t>
                        </w:r>
                        <w:r>
                          <w:rPr>
                            <w:b/>
                            <w:sz w:val="18"/>
                          </w:rPr>
                          <w:t>意外伤害</w:t>
                        </w:r>
                        <w:r>
                          <w:rPr>
                            <w:sz w:val="18"/>
                          </w:rPr>
                          <w:t>（</w:t>
                        </w:r>
                        <w:r>
                          <w:rPr>
                            <w:spacing w:val="-25"/>
                            <w:sz w:val="18"/>
                          </w:rPr>
                          <w:t>见 </w:t>
                        </w:r>
                        <w:r>
                          <w:rPr>
                            <w:sz w:val="18"/>
                          </w:rPr>
                          <w:t>8.5）身故，或于本合同生效（或复效）</w:t>
                        </w:r>
                        <w:r>
                          <w:rPr>
                            <w:spacing w:val="-2"/>
                            <w:sz w:val="18"/>
                          </w:rPr>
                          <w:t>之日起一年后因疾病身故，本公司按照保险单载明的保险金额的 </w:t>
                        </w:r>
                        <w:r>
                          <w:rPr>
                            <w:sz w:val="18"/>
                          </w:rPr>
                          <w:t>50%给付身故保险金， 本合同终止。</w:t>
                        </w:r>
                      </w:p>
                    </w:tc>
                  </w:tr>
                  <w:tr>
                    <w:trPr>
                      <w:trHeight w:val="1041" w:hRule="atLeast"/>
                    </w:trPr>
                    <w:tc>
                      <w:tcPr>
                        <w:tcW w:w="627" w:type="dxa"/>
                      </w:tcPr>
                      <w:p>
                        <w:pPr>
                          <w:pStyle w:val="TableParagraph"/>
                          <w:rPr>
                            <w:rFonts w:ascii="Times New Roman"/>
                            <w:sz w:val="18"/>
                          </w:rPr>
                        </w:pPr>
                      </w:p>
                    </w:tc>
                    <w:tc>
                      <w:tcPr>
                        <w:tcW w:w="9314" w:type="dxa"/>
                      </w:tcPr>
                      <w:p>
                        <w:pPr>
                          <w:pStyle w:val="TableParagraph"/>
                          <w:spacing w:line="316" w:lineRule="auto" w:before="10"/>
                          <w:ind w:left="1871" w:right="98"/>
                          <w:jc w:val="both"/>
                          <w:rPr>
                            <w:sz w:val="18"/>
                          </w:rPr>
                        </w:pPr>
                        <w:r>
                          <w:rPr>
                            <w:sz w:val="18"/>
                          </w:rPr>
                          <w:t>若被保险人于十八周岁的保险单周年日及以后（包括十八周岁的保险单周年日</w:t>
                        </w:r>
                        <w:r>
                          <w:rPr>
                            <w:spacing w:val="-90"/>
                            <w:sz w:val="18"/>
                          </w:rPr>
                          <w:t>）</w:t>
                        </w:r>
                        <w:r>
                          <w:rPr>
                            <w:sz w:val="18"/>
                          </w:rPr>
                          <w:t>，因意外伤害</w:t>
                        </w:r>
                        <w:r>
                          <w:rPr>
                            <w:spacing w:val="-4"/>
                            <w:sz w:val="18"/>
                          </w:rPr>
                          <w:t>身故，或于本合同生效</w:t>
                        </w:r>
                        <w:r>
                          <w:rPr>
                            <w:sz w:val="18"/>
                          </w:rPr>
                          <w:t>（或复效</w:t>
                        </w:r>
                        <w:r>
                          <w:rPr>
                            <w:spacing w:val="-10"/>
                            <w:sz w:val="18"/>
                          </w:rPr>
                          <w:t>）</w:t>
                        </w:r>
                        <w:r>
                          <w:rPr>
                            <w:spacing w:val="-1"/>
                            <w:sz w:val="18"/>
                          </w:rPr>
                          <w:t>之日起一年后因疾病身故，本公司按照保险单载明的保险金额给付身故保险金，本合同终止。</w:t>
                        </w:r>
                      </w:p>
                    </w:tc>
                  </w:tr>
                  <w:tr>
                    <w:trPr>
                      <w:trHeight w:val="4489" w:hRule="atLeast"/>
                    </w:trPr>
                    <w:tc>
                      <w:tcPr>
                        <w:tcW w:w="9941" w:type="dxa"/>
                        <w:gridSpan w:val="2"/>
                      </w:tcPr>
                      <w:p>
                        <w:pPr>
                          <w:pStyle w:val="TableParagraph"/>
                          <w:tabs>
                            <w:tab w:pos="790" w:val="left" w:leader="none"/>
                            <w:tab w:pos="2498" w:val="left" w:leader="none"/>
                          </w:tabs>
                          <w:spacing w:before="106"/>
                          <w:ind w:left="107"/>
                          <w:rPr>
                            <w:sz w:val="18"/>
                          </w:rPr>
                        </w:pPr>
                        <w:r>
                          <w:rPr>
                            <w:b/>
                            <w:sz w:val="21"/>
                          </w:rPr>
                          <w:t>2.3</w:t>
                          <w:tab/>
                          <w:t>责任免除</w:t>
                          <w:tab/>
                        </w:r>
                        <w:r>
                          <w:rPr>
                            <w:position w:val="1"/>
                            <w:sz w:val="18"/>
                          </w:rPr>
                          <w:t>被保险人因下列情形之一导致身故或患本合同约定的重大疾病的，本公司不承担保险责任：</w:t>
                        </w:r>
                      </w:p>
                      <w:p>
                        <w:pPr>
                          <w:pStyle w:val="TableParagraph"/>
                          <w:spacing w:before="62"/>
                          <w:ind w:left="2498"/>
                          <w:rPr>
                            <w:b/>
                            <w:sz w:val="18"/>
                          </w:rPr>
                        </w:pPr>
                        <w:r>
                          <w:rPr>
                            <w:b/>
                            <w:sz w:val="18"/>
                          </w:rPr>
                          <w:t>1、 投保人对被保险人的故意杀害、故意伤害；</w:t>
                        </w:r>
                      </w:p>
                      <w:p>
                        <w:pPr>
                          <w:pStyle w:val="TableParagraph"/>
                          <w:spacing w:before="76"/>
                          <w:ind w:left="2498"/>
                          <w:rPr>
                            <w:b/>
                            <w:sz w:val="18"/>
                          </w:rPr>
                        </w:pPr>
                        <w:r>
                          <w:rPr>
                            <w:b/>
                            <w:sz w:val="18"/>
                          </w:rPr>
                          <w:t>2、 被保险人故意犯罪或者抗拒依法采取的刑事强制措施；</w:t>
                        </w:r>
                      </w:p>
                      <w:p>
                        <w:pPr>
                          <w:pStyle w:val="TableParagraph"/>
                          <w:spacing w:before="76"/>
                          <w:ind w:left="2498"/>
                          <w:rPr>
                            <w:b/>
                            <w:sz w:val="18"/>
                          </w:rPr>
                        </w:pPr>
                        <w:r>
                          <w:rPr>
                            <w:b/>
                            <w:sz w:val="18"/>
                          </w:rPr>
                          <w:t>3、 被保险人故意自伤；</w:t>
                        </w:r>
                      </w:p>
                      <w:p>
                        <w:pPr>
                          <w:pStyle w:val="TableParagraph"/>
                          <w:spacing w:line="316" w:lineRule="auto" w:before="76"/>
                          <w:ind w:left="2914" w:right="160" w:hanging="417"/>
                          <w:rPr>
                            <w:b/>
                            <w:sz w:val="18"/>
                          </w:rPr>
                        </w:pPr>
                        <w:r>
                          <w:rPr>
                            <w:b/>
                            <w:sz w:val="18"/>
                          </w:rPr>
                          <w:t>4、 被保险人在本合同成立之日起二年内或最后复效日起二年内自杀，但被保险人自杀时为</w:t>
                        </w:r>
                        <w:r>
                          <w:rPr>
                            <w:b/>
                            <w:w w:val="95"/>
                            <w:sz w:val="18"/>
                          </w:rPr>
                          <w:t>无民事行为能力人的除外；</w:t>
                        </w:r>
                      </w:p>
                      <w:p>
                        <w:pPr>
                          <w:pStyle w:val="TableParagraph"/>
                          <w:spacing w:before="18"/>
                          <w:ind w:left="2498"/>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8.6</w:t>
                        </w:r>
                        <w:r>
                          <w:rPr>
                            <w:spacing w:val="-90"/>
                            <w:sz w:val="18"/>
                          </w:rPr>
                          <w:t>）</w:t>
                        </w:r>
                        <w:r>
                          <w:rPr>
                            <w:b/>
                            <w:w w:val="99"/>
                            <w:sz w:val="18"/>
                          </w:rPr>
                          <w:t>；</w:t>
                        </w:r>
                      </w:p>
                      <w:p>
                        <w:pPr>
                          <w:pStyle w:val="TableParagraph"/>
                          <w:spacing w:before="76"/>
                          <w:ind w:left="2498"/>
                          <w:rPr>
                            <w:sz w:val="18"/>
                          </w:rPr>
                        </w:pPr>
                        <w:r>
                          <w:rPr>
                            <w:b/>
                            <w:spacing w:val="0"/>
                            <w:w w:val="99"/>
                            <w:sz w:val="18"/>
                          </w:rPr>
                          <w:t>6</w:t>
                        </w:r>
                        <w:r>
                          <w:rPr>
                            <w:b/>
                            <w:w w:val="99"/>
                            <w:sz w:val="18"/>
                          </w:rPr>
                          <w:t>、</w:t>
                        </w:r>
                        <w:r>
                          <w:rPr>
                            <w:b/>
                            <w:spacing w:val="35"/>
                            <w:sz w:val="18"/>
                          </w:rPr>
                          <w:t> </w:t>
                        </w:r>
                        <w:r>
                          <w:rPr>
                            <w:b/>
                            <w:spacing w:val="-4"/>
                            <w:w w:val="99"/>
                            <w:sz w:val="18"/>
                          </w:rPr>
                          <w:t>被保险人酒后驾驶</w:t>
                        </w:r>
                        <w:r>
                          <w:rPr>
                            <w:sz w:val="18"/>
                          </w:rPr>
                          <w:t>（</w:t>
                        </w:r>
                        <w:r>
                          <w:rPr>
                            <w:spacing w:val="-23"/>
                            <w:sz w:val="18"/>
                          </w:rPr>
                          <w:t>见 </w:t>
                        </w:r>
                        <w:r>
                          <w:rPr>
                            <w:sz w:val="18"/>
                          </w:rPr>
                          <w:t>8.7</w:t>
                        </w:r>
                        <w:r>
                          <w:rPr>
                            <w:spacing w:val="-90"/>
                            <w:sz w:val="18"/>
                          </w:rPr>
                          <w:t>）</w:t>
                        </w:r>
                        <w:r>
                          <w:rPr>
                            <w:b/>
                            <w:spacing w:val="-6"/>
                            <w:w w:val="99"/>
                            <w:sz w:val="18"/>
                          </w:rPr>
                          <w:t>、无合法有效驾驶证驾驶</w:t>
                        </w:r>
                        <w:r>
                          <w:rPr>
                            <w:spacing w:val="-2"/>
                            <w:sz w:val="18"/>
                          </w:rPr>
                          <w:t>（</w:t>
                        </w:r>
                        <w:r>
                          <w:rPr>
                            <w:spacing w:val="-23"/>
                            <w:sz w:val="18"/>
                          </w:rPr>
                          <w:t>见 </w:t>
                        </w:r>
                        <w:r>
                          <w:rPr>
                            <w:sz w:val="18"/>
                          </w:rPr>
                          <w:t>8.8</w:t>
                        </w:r>
                        <w:r>
                          <w:rPr>
                            <w:spacing w:val="-20"/>
                            <w:sz w:val="18"/>
                          </w:rPr>
                          <w:t>）</w:t>
                        </w:r>
                        <w:r>
                          <w:rPr>
                            <w:b/>
                            <w:spacing w:val="-4"/>
                            <w:w w:val="99"/>
                            <w:sz w:val="18"/>
                          </w:rPr>
                          <w:t>或驾驶无有效行驶证</w:t>
                        </w:r>
                        <w:r>
                          <w:rPr>
                            <w:sz w:val="18"/>
                          </w:rPr>
                          <w:t>（见</w:t>
                        </w:r>
                      </w:p>
                      <w:p>
                        <w:pPr>
                          <w:pStyle w:val="TableParagraph"/>
                          <w:spacing w:before="76"/>
                          <w:ind w:left="2895"/>
                          <w:rPr>
                            <w:b/>
                            <w:sz w:val="18"/>
                          </w:rPr>
                        </w:pPr>
                        <w:r>
                          <w:rPr>
                            <w:w w:val="95"/>
                            <w:sz w:val="18"/>
                          </w:rPr>
                          <w:t>8.9）</w:t>
                        </w:r>
                        <w:r>
                          <w:rPr>
                            <w:b/>
                            <w:w w:val="95"/>
                            <w:sz w:val="18"/>
                          </w:rPr>
                          <w:t>的机动车；</w:t>
                        </w:r>
                      </w:p>
                      <w:p>
                        <w:pPr>
                          <w:pStyle w:val="TableParagraph"/>
                          <w:spacing w:before="76"/>
                          <w:ind w:left="2498"/>
                          <w:rPr>
                            <w:sz w:val="18"/>
                          </w:rPr>
                        </w:pPr>
                        <w:r>
                          <w:rPr>
                            <w:b/>
                            <w:spacing w:val="0"/>
                            <w:w w:val="99"/>
                            <w:sz w:val="18"/>
                          </w:rPr>
                          <w:t>7</w:t>
                        </w:r>
                        <w:r>
                          <w:rPr>
                            <w:b/>
                            <w:w w:val="99"/>
                            <w:sz w:val="18"/>
                          </w:rPr>
                          <w:t>、</w:t>
                        </w:r>
                        <w:r>
                          <w:rPr>
                            <w:b/>
                            <w:spacing w:val="-19"/>
                            <w:sz w:val="18"/>
                          </w:rPr>
                          <w:t>  </w:t>
                        </w:r>
                        <w:r>
                          <w:rPr>
                            <w:b/>
                            <w:spacing w:val="-1"/>
                            <w:w w:val="99"/>
                            <w:sz w:val="18"/>
                          </w:rPr>
                          <w:t>被保险人在本合同生效日起二年内患艾滋病</w:t>
                        </w:r>
                        <w:r>
                          <w:rPr>
                            <w:sz w:val="18"/>
                          </w:rPr>
                          <w:t>（</w:t>
                        </w:r>
                        <w:r>
                          <w:rPr>
                            <w:spacing w:val="-23"/>
                            <w:sz w:val="18"/>
                          </w:rPr>
                          <w:t>见 </w:t>
                        </w:r>
                        <w:r>
                          <w:rPr>
                            <w:sz w:val="18"/>
                          </w:rPr>
                          <w:t>8.10</w:t>
                        </w:r>
                        <w:r>
                          <w:rPr>
                            <w:spacing w:val="-90"/>
                            <w:sz w:val="18"/>
                          </w:rPr>
                          <w:t>）</w:t>
                        </w:r>
                        <w:r>
                          <w:rPr>
                            <w:b/>
                            <w:spacing w:val="0"/>
                            <w:w w:val="99"/>
                            <w:sz w:val="18"/>
                          </w:rPr>
                          <w:t>（AI</w:t>
                        </w:r>
                        <w:r>
                          <w:rPr>
                            <w:b/>
                            <w:spacing w:val="-1"/>
                            <w:w w:val="99"/>
                            <w:sz w:val="18"/>
                          </w:rPr>
                          <w:t>D</w:t>
                        </w:r>
                        <w:r>
                          <w:rPr>
                            <w:b/>
                            <w:spacing w:val="0"/>
                            <w:w w:val="99"/>
                            <w:sz w:val="18"/>
                          </w:rPr>
                          <w:t>S</w:t>
                        </w:r>
                        <w:r>
                          <w:rPr>
                            <w:b/>
                            <w:spacing w:val="-1"/>
                            <w:w w:val="99"/>
                            <w:sz w:val="18"/>
                          </w:rPr>
                          <w:t>）</w:t>
                        </w:r>
                        <w:r>
                          <w:rPr>
                            <w:b/>
                            <w:spacing w:val="-1"/>
                            <w:w w:val="99"/>
                            <w:sz w:val="18"/>
                          </w:rPr>
                          <w:t>或感染艾滋病病毒</w:t>
                        </w:r>
                        <w:r>
                          <w:rPr>
                            <w:spacing w:val="-2"/>
                            <w:sz w:val="18"/>
                          </w:rPr>
                          <w:t>（见</w:t>
                        </w:r>
                      </w:p>
                      <w:p>
                        <w:pPr>
                          <w:pStyle w:val="TableParagraph"/>
                          <w:spacing w:before="76"/>
                          <w:ind w:left="2915"/>
                          <w:rPr>
                            <w:b/>
                            <w:sz w:val="18"/>
                          </w:rPr>
                        </w:pPr>
                        <w:r>
                          <w:rPr>
                            <w:sz w:val="18"/>
                          </w:rPr>
                          <w:t>8.11</w:t>
                        </w:r>
                        <w:r>
                          <w:rPr>
                            <w:spacing w:val="-90"/>
                            <w:sz w:val="18"/>
                          </w:rPr>
                          <w:t>）</w:t>
                        </w:r>
                        <w:r>
                          <w:rPr>
                            <w:b/>
                            <w:spacing w:val="0"/>
                            <w:w w:val="99"/>
                            <w:sz w:val="18"/>
                          </w:rPr>
                          <w:t>（</w:t>
                        </w:r>
                        <w:r>
                          <w:rPr>
                            <w:b/>
                            <w:spacing w:val="0"/>
                            <w:w w:val="99"/>
                            <w:sz w:val="18"/>
                          </w:rPr>
                          <w:t>H</w:t>
                        </w:r>
                        <w:r>
                          <w:rPr>
                            <w:b/>
                            <w:w w:val="99"/>
                            <w:sz w:val="18"/>
                          </w:rPr>
                          <w:t>IV</w:t>
                        </w:r>
                        <w:r>
                          <w:rPr>
                            <w:b/>
                            <w:sz w:val="18"/>
                          </w:rPr>
                          <w:t> </w:t>
                        </w:r>
                        <w:r>
                          <w:rPr>
                            <w:b/>
                            <w:w w:val="99"/>
                            <w:sz w:val="18"/>
                          </w:rPr>
                          <w:t>呈阳性</w:t>
                        </w:r>
                        <w:r>
                          <w:rPr>
                            <w:b/>
                            <w:spacing w:val="-90"/>
                            <w:w w:val="99"/>
                            <w:sz w:val="18"/>
                          </w:rPr>
                          <w:t>）</w:t>
                        </w:r>
                        <w:r>
                          <w:rPr>
                            <w:b/>
                            <w:w w:val="99"/>
                            <w:sz w:val="18"/>
                          </w:rPr>
                          <w:t>；</w:t>
                        </w:r>
                      </w:p>
                      <w:p>
                        <w:pPr>
                          <w:pStyle w:val="TableParagraph"/>
                          <w:spacing w:before="76"/>
                          <w:ind w:left="2498"/>
                          <w:rPr>
                            <w:b/>
                            <w:sz w:val="18"/>
                          </w:rPr>
                        </w:pPr>
                        <w:r>
                          <w:rPr>
                            <w:b/>
                            <w:sz w:val="18"/>
                          </w:rPr>
                          <w:t>8、 战争、军事冲突、暴乱或武装叛乱；</w:t>
                        </w:r>
                      </w:p>
                      <w:p>
                        <w:pPr>
                          <w:pStyle w:val="TableParagraph"/>
                          <w:spacing w:before="76"/>
                          <w:ind w:left="2498"/>
                          <w:rPr>
                            <w:b/>
                            <w:sz w:val="18"/>
                          </w:rPr>
                        </w:pPr>
                        <w:r>
                          <w:rPr>
                            <w:b/>
                            <w:sz w:val="18"/>
                          </w:rPr>
                          <w:t>9、 核爆炸、核辐射或核污染；</w:t>
                        </w:r>
                      </w:p>
                      <w:p>
                        <w:pPr>
                          <w:pStyle w:val="TableParagraph"/>
                          <w:spacing w:before="76"/>
                          <w:ind w:left="2498"/>
                          <w:rPr>
                            <w:sz w:val="18"/>
                          </w:rPr>
                        </w:pPr>
                        <w:r>
                          <w:rPr>
                            <w:spacing w:val="-8"/>
                            <w:sz w:val="18"/>
                          </w:rPr>
                          <w:t>发生上述第 </w:t>
                        </w:r>
                        <w:r>
                          <w:rPr>
                            <w:sz w:val="18"/>
                          </w:rPr>
                          <w:t>1</w:t>
                        </w:r>
                        <w:r>
                          <w:rPr>
                            <w:spacing w:val="-10"/>
                            <w:sz w:val="18"/>
                          </w:rPr>
                          <w:t> 项情形导致被保险人身故的，本合同终止，您已交足两年以上保险费的，本公司</w:t>
                        </w:r>
                      </w:p>
                    </w:tc>
                  </w:tr>
                  <w:tr>
                    <w:trPr>
                      <w:trHeight w:val="935" w:hRule="atLeast"/>
                    </w:trPr>
                    <w:tc>
                      <w:tcPr>
                        <w:tcW w:w="627" w:type="dxa"/>
                      </w:tcPr>
                      <w:p>
                        <w:pPr>
                          <w:pStyle w:val="TableParagraph"/>
                          <w:rPr>
                            <w:rFonts w:ascii="Times New Roman"/>
                            <w:sz w:val="18"/>
                          </w:rPr>
                        </w:pPr>
                      </w:p>
                    </w:tc>
                    <w:tc>
                      <w:tcPr>
                        <w:tcW w:w="9314" w:type="dxa"/>
                      </w:tcPr>
                      <w:p>
                        <w:pPr>
                          <w:pStyle w:val="TableParagraph"/>
                          <w:spacing w:before="10"/>
                          <w:ind w:left="1871"/>
                          <w:rPr>
                            <w:sz w:val="18"/>
                          </w:rPr>
                        </w:pPr>
                        <w:r>
                          <w:rPr>
                            <w:sz w:val="18"/>
                          </w:rPr>
                          <w:t>向其他权利人退还本合同的</w:t>
                        </w:r>
                        <w:r>
                          <w:rPr>
                            <w:b/>
                            <w:spacing w:val="-1"/>
                            <w:w w:val="99"/>
                            <w:sz w:val="18"/>
                          </w:rPr>
                          <w:t>现金价值净额</w:t>
                        </w:r>
                        <w:r>
                          <w:rPr>
                            <w:sz w:val="18"/>
                          </w:rPr>
                          <w:t>（</w:t>
                        </w:r>
                        <w:r>
                          <w:rPr>
                            <w:spacing w:val="-23"/>
                            <w:sz w:val="18"/>
                          </w:rPr>
                          <w:t>见 </w:t>
                        </w:r>
                        <w:r>
                          <w:rPr>
                            <w:sz w:val="18"/>
                          </w:rPr>
                          <w:t>8.12</w:t>
                        </w:r>
                        <w:r>
                          <w:rPr>
                            <w:spacing w:val="-90"/>
                            <w:sz w:val="18"/>
                          </w:rPr>
                          <w:t>）</w:t>
                        </w:r>
                        <w:r>
                          <w:rPr>
                            <w:sz w:val="18"/>
                          </w:rPr>
                          <w:t>。</w:t>
                        </w:r>
                      </w:p>
                      <w:p>
                        <w:pPr>
                          <w:pStyle w:val="TableParagraph"/>
                          <w:spacing w:line="310" w:lineRule="atLeast" w:before="1"/>
                          <w:ind w:left="1871" w:right="240"/>
                          <w:rPr>
                            <w:sz w:val="18"/>
                          </w:rPr>
                        </w:pPr>
                        <w:r>
                          <w:rPr>
                            <w:sz w:val="18"/>
                          </w:rPr>
                          <w:t>发生上述其它情形导致被保险人身故的，本公司向您或其他权利人退还本合同的现金价值净额，本合同终止。</w:t>
                        </w:r>
                      </w:p>
                    </w:tc>
                  </w:tr>
                  <w:tr>
                    <w:trPr>
                      <w:trHeight w:val="754" w:hRule="atLeast"/>
                    </w:trPr>
                    <w:tc>
                      <w:tcPr>
                        <w:tcW w:w="627" w:type="dxa"/>
                      </w:tcPr>
                      <w:p>
                        <w:pPr>
                          <w:pStyle w:val="TableParagraph"/>
                          <w:rPr>
                            <w:rFonts w:ascii="Times New Roman"/>
                            <w:sz w:val="18"/>
                          </w:rPr>
                        </w:pPr>
                      </w:p>
                    </w:tc>
                    <w:tc>
                      <w:tcPr>
                        <w:tcW w:w="9314" w:type="dxa"/>
                      </w:tcPr>
                      <w:p>
                        <w:pPr>
                          <w:pStyle w:val="TableParagraph"/>
                          <w:spacing w:line="316" w:lineRule="auto" w:before="10"/>
                          <w:ind w:left="1871" w:right="39"/>
                          <w:rPr>
                            <w:sz w:val="18"/>
                          </w:rPr>
                        </w:pPr>
                        <w:r>
                          <w:rPr>
                            <w:sz w:val="18"/>
                          </w:rPr>
                          <w:t>因上述情形之一导致被保险人患本合同约定的重大疾病的，本公司向您或其他权利人退还本合同的现金价值净额，本合同终止。</w:t>
                        </w:r>
                      </w:p>
                    </w:tc>
                  </w:tr>
                  <w:tr>
                    <w:trPr>
                      <w:trHeight w:val="719" w:hRule="atLeast"/>
                    </w:trPr>
                    <w:tc>
                      <w:tcPr>
                        <w:tcW w:w="627" w:type="dxa"/>
                        <w:tcBorders>
                          <w:bottom w:val="single" w:sz="4" w:space="0" w:color="000000"/>
                        </w:tcBorders>
                      </w:tcPr>
                      <w:p>
                        <w:pPr>
                          <w:pStyle w:val="TableParagraph"/>
                          <w:spacing w:line="653" w:lineRule="exact"/>
                          <w:ind w:left="107"/>
                          <w:rPr>
                            <w:rFonts w:ascii="Yu Gothic"/>
                            <w:b/>
                            <w:sz w:val="40"/>
                          </w:rPr>
                        </w:pPr>
                        <w:r>
                          <w:rPr>
                            <w:rFonts w:ascii="Yu Gothic"/>
                            <w:b/>
                            <w:w w:val="116"/>
                            <w:sz w:val="40"/>
                          </w:rPr>
                          <w:t>O</w:t>
                        </w:r>
                      </w:p>
                    </w:tc>
                    <w:tc>
                      <w:tcPr>
                        <w:tcW w:w="9314" w:type="dxa"/>
                        <w:tcBorders>
                          <w:bottom w:val="single" w:sz="4" w:space="0" w:color="000000"/>
                        </w:tcBorders>
                      </w:tcPr>
                      <w:p>
                        <w:pPr>
                          <w:pStyle w:val="TableParagraph"/>
                          <w:spacing w:before="212"/>
                          <w:ind w:left="163"/>
                          <w:rPr>
                            <w:b/>
                            <w:sz w:val="24"/>
                          </w:rPr>
                        </w:pPr>
                        <w:r>
                          <w:rPr>
                            <w:b/>
                            <w:w w:val="95"/>
                            <w:sz w:val="24"/>
                          </w:rPr>
                          <w:t>如何申请领取保险金</w:t>
                        </w:r>
                      </w:p>
                    </w:tc>
                  </w:tr>
                  <w:tr>
                    <w:trPr>
                      <w:trHeight w:val="3583" w:hRule="atLeast"/>
                    </w:trPr>
                    <w:tc>
                      <w:tcPr>
                        <w:tcW w:w="627"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3.1</w:t>
                        </w:r>
                      </w:p>
                    </w:tc>
                    <w:tc>
                      <w:tcPr>
                        <w:tcW w:w="9314" w:type="dxa"/>
                        <w:tcBorders>
                          <w:top w:val="single" w:sz="4" w:space="0" w:color="000000"/>
                        </w:tcBorders>
                      </w:tcPr>
                      <w:p>
                        <w:pPr>
                          <w:pStyle w:val="TableParagraph"/>
                          <w:spacing w:before="5"/>
                          <w:rPr>
                            <w:sz w:val="15"/>
                          </w:rPr>
                        </w:pPr>
                      </w:p>
                      <w:p>
                        <w:pPr>
                          <w:pStyle w:val="TableParagraph"/>
                          <w:tabs>
                            <w:tab w:pos="1871" w:val="left" w:leader="none"/>
                          </w:tabs>
                          <w:spacing w:before="1"/>
                          <w:ind w:left="163"/>
                          <w:rPr>
                            <w:sz w:val="18"/>
                          </w:rPr>
                        </w:pPr>
                        <w:r>
                          <w:rPr>
                            <w:b/>
                            <w:sz w:val="21"/>
                          </w:rPr>
                          <w:t>受益人的指定</w:t>
                          <w:tab/>
                        </w:r>
                        <w:r>
                          <w:rPr>
                            <w:position w:val="1"/>
                            <w:sz w:val="18"/>
                          </w:rPr>
                          <w:t>您或被保险人可以指定或变更身故保险金受益人</w:t>
                        </w:r>
                        <w:r>
                          <w:rPr>
                            <w:spacing w:val="-38"/>
                            <w:position w:val="1"/>
                            <w:sz w:val="18"/>
                          </w:rPr>
                          <w:t>。</w:t>
                        </w:r>
                        <w:r>
                          <w:rPr>
                            <w:position w:val="1"/>
                            <w:sz w:val="18"/>
                          </w:rPr>
                          <w:t>但您指定或变更身故保险金受益人时须经被</w:t>
                        </w:r>
                      </w:p>
                      <w:p>
                        <w:pPr>
                          <w:pStyle w:val="TableParagraph"/>
                          <w:tabs>
                            <w:tab w:pos="1871" w:val="left" w:leader="none"/>
                          </w:tabs>
                          <w:spacing w:before="37"/>
                          <w:ind w:left="163"/>
                          <w:rPr>
                            <w:sz w:val="18"/>
                          </w:rPr>
                        </w:pPr>
                        <w:r>
                          <w:rPr>
                            <w:b/>
                            <w:sz w:val="21"/>
                          </w:rPr>
                          <w:t>和变更</w:t>
                          <w:tab/>
                        </w:r>
                        <w:r>
                          <w:rPr>
                            <w:position w:val="1"/>
                            <w:sz w:val="18"/>
                          </w:rPr>
                          <w:t>保险人同意。</w:t>
                        </w:r>
                      </w:p>
                      <w:p>
                        <w:pPr>
                          <w:pStyle w:val="TableParagraph"/>
                          <w:spacing w:line="316" w:lineRule="auto" w:before="62"/>
                          <w:ind w:left="1871" w:right="39"/>
                          <w:rPr>
                            <w:sz w:val="18"/>
                          </w:rPr>
                        </w:pPr>
                        <w:r>
                          <w:rPr>
                            <w:sz w:val="18"/>
                          </w:rPr>
                          <w:t>您或被保险人可以指定一人或者数人为身故保险金受益人，受益人为数人的，可以确定受益顺序和受益份额；未确定受益份额的，受益人按照相等份额享有受益权。</w:t>
                        </w:r>
                      </w:p>
                      <w:p>
                        <w:pPr>
                          <w:pStyle w:val="TableParagraph"/>
                          <w:spacing w:before="18"/>
                          <w:ind w:left="1871"/>
                          <w:rPr>
                            <w:sz w:val="18"/>
                          </w:rPr>
                        </w:pPr>
                        <w:r>
                          <w:rPr>
                            <w:sz w:val="18"/>
                          </w:rPr>
                          <w:t>被保险人为无民事行为能力人或限制民事行为能力人的，可以由其监护人指定受益人。</w:t>
                        </w:r>
                      </w:p>
                      <w:p>
                        <w:pPr>
                          <w:pStyle w:val="TableParagraph"/>
                          <w:spacing w:line="316" w:lineRule="auto" w:before="76"/>
                          <w:ind w:left="1871" w:right="39"/>
                          <w:rPr>
                            <w:sz w:val="18"/>
                          </w:rPr>
                        </w:pPr>
                        <w:r>
                          <w:rPr>
                            <w:sz w:val="18"/>
                          </w:rPr>
                          <w:t>身故保险金受益人变更只能于保险事故发生之前，且必须以书面形式申请。本公司收到变更身故保险金受益人的书面申请后，应当及时在保险单上批注或者附贴批单。</w:t>
                        </w:r>
                      </w:p>
                      <w:p>
                        <w:pPr>
                          <w:pStyle w:val="TableParagraph"/>
                          <w:spacing w:before="19"/>
                          <w:ind w:left="1871"/>
                          <w:rPr>
                            <w:sz w:val="18"/>
                          </w:rPr>
                        </w:pPr>
                        <w:r>
                          <w:rPr>
                            <w:sz w:val="18"/>
                          </w:rPr>
                          <w:t>重大疾病保险金受益人为被保险人本人。</w:t>
                        </w:r>
                      </w:p>
                      <w:p>
                        <w:pPr>
                          <w:pStyle w:val="TableParagraph"/>
                          <w:spacing w:line="316" w:lineRule="auto" w:before="76"/>
                          <w:ind w:left="1871" w:right="98"/>
                          <w:rPr>
                            <w:sz w:val="18"/>
                          </w:rPr>
                        </w:pPr>
                        <w:r>
                          <w:rPr>
                            <w:spacing w:val="-5"/>
                            <w:sz w:val="18"/>
                          </w:rPr>
                          <w:t>被保险人身故后，有下列情形之一的，保险金作为被保险人的遗产，由本公司依照《中华人民共和国继承法》的规定履行给付保险金的义务：</w:t>
                        </w:r>
                      </w:p>
                      <w:p>
                        <w:pPr>
                          <w:pStyle w:val="TableParagraph"/>
                          <w:spacing w:line="216" w:lineRule="exact" w:before="18"/>
                          <w:ind w:left="1871"/>
                          <w:rPr>
                            <w:sz w:val="18"/>
                          </w:rPr>
                        </w:pPr>
                        <w:r>
                          <w:rPr>
                            <w:sz w:val="18"/>
                          </w:rPr>
                          <w:t>1、 没有指定受益人，或者受益人指定不明无法确定的；</w:t>
                        </w:r>
                      </w:p>
                    </w:tc>
                  </w:tr>
                </w:tbl>
                <w:p>
                  <w:pPr>
                    <w:pStyle w:val="BodyText"/>
                  </w:pPr>
                </w:p>
              </w:txbxContent>
            </v:textbox>
            <w10:wrap type="none"/>
          </v:shape>
        </w:pict>
      </w:r>
    </w:p>
    <w:p>
      <w:pPr>
        <w:pStyle w:val="BodyText"/>
        <w:spacing w:line="316" w:lineRule="auto" w:before="44"/>
        <w:ind w:left="2614" w:right="149"/>
      </w:pPr>
      <w:r>
        <w:rPr/>
        <w:t>本合同附表一约定的一项或多项重大疾病，本公司按保险单载明的保险金额向被保险人给付重大疾病保险金，本合同终止。</w:t>
      </w:r>
    </w:p>
    <w:p>
      <w:pPr>
        <w:pStyle w:val="BodyText"/>
      </w:pPr>
    </w:p>
    <w:p>
      <w:pPr>
        <w:pStyle w:val="BodyText"/>
        <w:spacing w:before="7"/>
        <w:rPr>
          <w:sz w:val="24"/>
        </w:rPr>
      </w:pPr>
    </w:p>
    <w:p>
      <w:pPr>
        <w:pStyle w:val="BodyText"/>
        <w:ind w:left="2614"/>
      </w:pPr>
      <w:r>
        <w:rPr/>
        <w:t>费，本合同终止。</w:t>
      </w:r>
    </w:p>
    <w:p>
      <w:pPr>
        <w:spacing w:after="0"/>
        <w:sectPr>
          <w:pgSz w:w="11910" w:h="16840"/>
          <w:pgMar w:header="877" w:footer="981" w:top="1100" w:bottom="1180" w:left="1080" w:right="660"/>
        </w:sectPr>
      </w:pPr>
    </w:p>
    <w:p>
      <w:pPr>
        <w:pStyle w:val="BodyText"/>
        <w:rPr>
          <w:sz w:val="20"/>
        </w:rPr>
      </w:pPr>
      <w:r>
        <w:rPr/>
        <w:pict>
          <v:shape style="position:absolute;margin-left:63.720001pt;margin-top:55.259998pt;width:502.7pt;height:717.2pt;mso-position-horizontal-relative:page;mso-position-vertical-relative:page;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7855"/>
                  </w:tblGrid>
                  <w:tr>
                    <w:trPr>
                      <w:trHeight w:val="766" w:hRule="atLeast"/>
                    </w:trPr>
                    <w:tc>
                      <w:tcPr>
                        <w:tcW w:w="2199" w:type="dxa"/>
                        <w:tcBorders>
                          <w:top w:val="single" w:sz="6" w:space="0" w:color="000000"/>
                        </w:tcBorders>
                      </w:tcPr>
                      <w:p>
                        <w:pPr>
                          <w:pStyle w:val="TableParagraph"/>
                          <w:rPr>
                            <w:rFonts w:ascii="Times New Roman"/>
                            <w:sz w:val="18"/>
                          </w:rPr>
                        </w:pPr>
                      </w:p>
                    </w:tc>
                    <w:tc>
                      <w:tcPr>
                        <w:tcW w:w="7855" w:type="dxa"/>
                        <w:tcBorders>
                          <w:top w:val="single" w:sz="6" w:space="0" w:color="000000"/>
                        </w:tcBorders>
                      </w:tcPr>
                      <w:p>
                        <w:pPr>
                          <w:pStyle w:val="TableParagraph"/>
                          <w:spacing w:before="8"/>
                          <w:rPr>
                            <w:sz w:val="23"/>
                          </w:rPr>
                        </w:pPr>
                      </w:p>
                      <w:p>
                        <w:pPr>
                          <w:pStyle w:val="TableParagraph"/>
                          <w:ind w:left="221"/>
                          <w:rPr>
                            <w:sz w:val="18"/>
                          </w:rPr>
                        </w:pPr>
                        <w:r>
                          <w:rPr>
                            <w:sz w:val="18"/>
                          </w:rPr>
                          <w:t>2、 受益人先于被保险人身故，没有其他受益人的；</w:t>
                        </w:r>
                      </w:p>
                    </w:tc>
                  </w:tr>
                  <w:tr>
                    <w:trPr>
                      <w:trHeight w:val="467" w:hRule="atLeast"/>
                    </w:trPr>
                    <w:tc>
                      <w:tcPr>
                        <w:tcW w:w="2199" w:type="dxa"/>
                      </w:tcPr>
                      <w:p>
                        <w:pPr>
                          <w:pStyle w:val="TableParagraph"/>
                          <w:rPr>
                            <w:rFonts w:ascii="Times New Roman"/>
                            <w:sz w:val="18"/>
                          </w:rPr>
                        </w:pPr>
                      </w:p>
                    </w:tc>
                    <w:tc>
                      <w:tcPr>
                        <w:tcW w:w="7855" w:type="dxa"/>
                      </w:tcPr>
                      <w:p>
                        <w:pPr>
                          <w:pStyle w:val="TableParagraph"/>
                          <w:spacing w:before="9"/>
                          <w:rPr>
                            <w:sz w:val="12"/>
                          </w:rPr>
                        </w:pPr>
                      </w:p>
                      <w:p>
                        <w:pPr>
                          <w:pStyle w:val="TableParagraph"/>
                          <w:ind w:left="221"/>
                          <w:rPr>
                            <w:sz w:val="18"/>
                          </w:rPr>
                        </w:pPr>
                        <w:r>
                          <w:rPr>
                            <w:sz w:val="18"/>
                          </w:rPr>
                          <w:t>受益人与被保险人在同一事件中身故，且不能确定身故先后顺序的，推定受益人身故在先。</w:t>
                        </w:r>
                      </w:p>
                    </w:tc>
                  </w:tr>
                  <w:tr>
                    <w:trPr>
                      <w:trHeight w:val="729" w:hRule="atLeast"/>
                    </w:trPr>
                    <w:tc>
                      <w:tcPr>
                        <w:tcW w:w="2199" w:type="dxa"/>
                      </w:tcPr>
                      <w:p>
                        <w:pPr>
                          <w:pStyle w:val="TableParagraph"/>
                          <w:rPr>
                            <w:rFonts w:ascii="Times New Roman"/>
                            <w:sz w:val="18"/>
                          </w:rPr>
                        </w:pPr>
                      </w:p>
                    </w:tc>
                    <w:tc>
                      <w:tcPr>
                        <w:tcW w:w="7855" w:type="dxa"/>
                      </w:tcPr>
                      <w:p>
                        <w:pPr>
                          <w:pStyle w:val="TableParagraph"/>
                          <w:spacing w:line="316" w:lineRule="auto" w:before="10"/>
                          <w:ind w:left="221" w:right="247"/>
                          <w:rPr>
                            <w:sz w:val="18"/>
                          </w:rPr>
                        </w:pPr>
                        <w:r>
                          <w:rPr>
                            <w:sz w:val="18"/>
                          </w:rPr>
                          <w:t>受益人故意造成被保险人身故、伤残、疾病的，或者故意杀害被保险人未遂的，该受益人丧失受益权。</w:t>
                        </w:r>
                      </w:p>
                    </w:tc>
                  </w:tr>
                  <w:tr>
                    <w:trPr>
                      <w:trHeight w:val="1474" w:hRule="atLeast"/>
                    </w:trPr>
                    <w:tc>
                      <w:tcPr>
                        <w:tcW w:w="2199" w:type="dxa"/>
                      </w:tcPr>
                      <w:p>
                        <w:pPr>
                          <w:pStyle w:val="TableParagraph"/>
                          <w:tabs>
                            <w:tab w:pos="712" w:val="left" w:leader="none"/>
                          </w:tabs>
                          <w:spacing w:before="106"/>
                          <w:ind w:left="30"/>
                          <w:rPr>
                            <w:b/>
                            <w:sz w:val="21"/>
                          </w:rPr>
                        </w:pPr>
                        <w:r>
                          <w:rPr>
                            <w:b/>
                            <w:sz w:val="21"/>
                          </w:rPr>
                          <w:t>3.2</w:t>
                          <w:tab/>
                        </w:r>
                        <w:r>
                          <w:rPr>
                            <w:b/>
                            <w:w w:val="95"/>
                            <w:sz w:val="21"/>
                          </w:rPr>
                          <w:t>保险事故通知</w:t>
                        </w:r>
                      </w:p>
                    </w:tc>
                    <w:tc>
                      <w:tcPr>
                        <w:tcW w:w="7855" w:type="dxa"/>
                      </w:tcPr>
                      <w:p>
                        <w:pPr>
                          <w:pStyle w:val="TableParagraph"/>
                          <w:spacing w:line="316" w:lineRule="auto" w:before="132"/>
                          <w:ind w:left="221" w:right="287"/>
                          <w:jc w:val="both"/>
                          <w:rPr>
                            <w:sz w:val="18"/>
                          </w:rPr>
                        </w:pPr>
                        <w:r>
                          <w:rPr>
                            <w:spacing w:val="-2"/>
                            <w:sz w:val="18"/>
                          </w:rPr>
                          <w:t>您或被保险人或受益人知道保险事故发生后应当在十日内通知本公司。故意或者因重大过失未</w:t>
                        </w:r>
                        <w:r>
                          <w:rPr>
                            <w:spacing w:val="-8"/>
                            <w:sz w:val="18"/>
                          </w:rPr>
                          <w:t>及时通知，致使保险事故的性质、原因、损失程度等难以确定的，我们对无法确定的部分，不</w:t>
                        </w:r>
                        <w:r>
                          <w:rPr>
                            <w:spacing w:val="-11"/>
                            <w:sz w:val="18"/>
                          </w:rPr>
                          <w:t>承担给付保险金的责任，但我们通过其他途径已经及时知道或者应当及时知道保险事故发生或者虽未及时通知但不影响本公司确定保险事故的性质、原因、损失程度的除外。</w:t>
                        </w:r>
                      </w:p>
                    </w:tc>
                  </w:tr>
                  <w:tr>
                    <w:trPr>
                      <w:trHeight w:val="4177" w:hRule="atLeast"/>
                    </w:trPr>
                    <w:tc>
                      <w:tcPr>
                        <w:tcW w:w="10054" w:type="dxa"/>
                        <w:gridSpan w:val="2"/>
                      </w:tcPr>
                      <w:p>
                        <w:pPr>
                          <w:pStyle w:val="TableParagraph"/>
                          <w:numPr>
                            <w:ilvl w:val="1"/>
                            <w:numId w:val="4"/>
                          </w:numPr>
                          <w:tabs>
                            <w:tab w:pos="712" w:val="left" w:leader="none"/>
                            <w:tab w:pos="713" w:val="left" w:leader="none"/>
                            <w:tab w:pos="2420" w:val="left" w:leader="none"/>
                          </w:tabs>
                          <w:spacing w:line="240" w:lineRule="auto" w:before="106" w:after="0"/>
                          <w:ind w:left="712" w:right="0" w:hanging="682"/>
                          <w:jc w:val="left"/>
                          <w:rPr>
                            <w:sz w:val="18"/>
                          </w:rPr>
                        </w:pPr>
                        <w:r>
                          <w:rPr>
                            <w:b/>
                            <w:sz w:val="21"/>
                          </w:rPr>
                          <w:t>保险金的申请</w:t>
                          <w:tab/>
                        </w:r>
                        <w:r>
                          <w:rPr>
                            <w:position w:val="1"/>
                            <w:sz w:val="18"/>
                          </w:rPr>
                          <w:t>1、重大疾病保险金</w:t>
                        </w:r>
                      </w:p>
                      <w:p>
                        <w:pPr>
                          <w:pStyle w:val="TableParagraph"/>
                          <w:spacing w:line="316" w:lineRule="auto" w:before="62"/>
                          <w:ind w:left="2420" w:right="230"/>
                          <w:rPr>
                            <w:sz w:val="18"/>
                          </w:rPr>
                        </w:pPr>
                        <w:r>
                          <w:rPr>
                            <w:sz w:val="18"/>
                          </w:rPr>
                          <w:t>重大疾病保险金受益人申请领取重大疾病保险金时，须填写保险金给付申请书，并提交下列证明材料：</w:t>
                        </w:r>
                      </w:p>
                      <w:p>
                        <w:pPr>
                          <w:pStyle w:val="TableParagraph"/>
                          <w:numPr>
                            <w:ilvl w:val="2"/>
                            <w:numId w:val="4"/>
                          </w:numPr>
                          <w:tabs>
                            <w:tab w:pos="2841" w:val="left" w:leader="none"/>
                          </w:tabs>
                          <w:spacing w:line="240" w:lineRule="auto" w:before="19" w:after="0"/>
                          <w:ind w:left="2834" w:right="0" w:hanging="414"/>
                          <w:jc w:val="left"/>
                          <w:rPr>
                            <w:sz w:val="18"/>
                          </w:rPr>
                        </w:pPr>
                        <w:r>
                          <w:rPr>
                            <w:sz w:val="18"/>
                          </w:rPr>
                          <w:t>保险合同；</w:t>
                        </w:r>
                      </w:p>
                      <w:p>
                        <w:pPr>
                          <w:pStyle w:val="TableParagraph"/>
                          <w:numPr>
                            <w:ilvl w:val="2"/>
                            <w:numId w:val="4"/>
                          </w:numPr>
                          <w:tabs>
                            <w:tab w:pos="2841" w:val="left" w:leader="none"/>
                          </w:tabs>
                          <w:spacing w:line="240" w:lineRule="auto" w:before="76" w:after="0"/>
                          <w:ind w:left="2834" w:right="0" w:hanging="414"/>
                          <w:jc w:val="left"/>
                          <w:rPr>
                            <w:sz w:val="18"/>
                          </w:rPr>
                        </w:pPr>
                        <w:r>
                          <w:rPr>
                            <w:sz w:val="18"/>
                          </w:rPr>
                          <w:t>受益人的有效身份证件；</w:t>
                        </w:r>
                      </w:p>
                      <w:p>
                        <w:pPr>
                          <w:pStyle w:val="TableParagraph"/>
                          <w:numPr>
                            <w:ilvl w:val="2"/>
                            <w:numId w:val="4"/>
                          </w:numPr>
                          <w:tabs>
                            <w:tab w:pos="2841" w:val="left" w:leader="none"/>
                          </w:tabs>
                          <w:spacing w:line="316" w:lineRule="auto" w:before="76" w:after="0"/>
                          <w:ind w:left="2834" w:right="371" w:hanging="414"/>
                          <w:jc w:val="left"/>
                          <w:rPr>
                            <w:sz w:val="18"/>
                          </w:rPr>
                        </w:pPr>
                        <w:r>
                          <w:rPr>
                            <w:sz w:val="18"/>
                          </w:rPr>
                          <w:t>本公司指定或认可的医疗机构出具的附有病理检验、血液检验及其它与确诊疾病必须的科学方法检验报告的疾病诊断证明书；</w:t>
                        </w:r>
                      </w:p>
                      <w:p>
                        <w:pPr>
                          <w:pStyle w:val="TableParagraph"/>
                          <w:numPr>
                            <w:ilvl w:val="2"/>
                            <w:numId w:val="4"/>
                          </w:numPr>
                          <w:tabs>
                            <w:tab w:pos="2841" w:val="left" w:leader="none"/>
                          </w:tabs>
                          <w:spacing w:line="316" w:lineRule="auto" w:before="19" w:after="0"/>
                          <w:ind w:left="2420" w:right="1451" w:firstLine="0"/>
                          <w:jc w:val="left"/>
                          <w:rPr>
                            <w:sz w:val="18"/>
                          </w:rPr>
                        </w:pPr>
                        <w:r>
                          <w:rPr>
                            <w:sz w:val="18"/>
                          </w:rPr>
                          <w:t>所能提供的与确认保险事故的性质、原因等有关的其它证明文件和资料。2、身故保险金</w:t>
                        </w:r>
                      </w:p>
                      <w:p>
                        <w:pPr>
                          <w:pStyle w:val="TableParagraph"/>
                          <w:spacing w:before="19"/>
                          <w:ind w:left="2420"/>
                          <w:rPr>
                            <w:sz w:val="18"/>
                          </w:rPr>
                        </w:pPr>
                        <w:r>
                          <w:rPr>
                            <w:sz w:val="18"/>
                          </w:rPr>
                          <w:t>身故保险金受益人申请领取身故保险金时, 须填写保险金给付申请书，并提交下列证明材料：</w:t>
                        </w:r>
                      </w:p>
                      <w:p>
                        <w:pPr>
                          <w:pStyle w:val="TableParagraph"/>
                          <w:numPr>
                            <w:ilvl w:val="0"/>
                            <w:numId w:val="5"/>
                          </w:numPr>
                          <w:tabs>
                            <w:tab w:pos="2841" w:val="left" w:leader="none"/>
                          </w:tabs>
                          <w:spacing w:line="240" w:lineRule="auto" w:before="76" w:after="0"/>
                          <w:ind w:left="2840" w:right="0" w:hanging="420"/>
                          <w:jc w:val="left"/>
                          <w:rPr>
                            <w:sz w:val="18"/>
                          </w:rPr>
                        </w:pPr>
                        <w:r>
                          <w:rPr>
                            <w:sz w:val="18"/>
                          </w:rPr>
                          <w:t>保险合同；</w:t>
                        </w:r>
                      </w:p>
                      <w:p>
                        <w:pPr>
                          <w:pStyle w:val="TableParagraph"/>
                          <w:numPr>
                            <w:ilvl w:val="0"/>
                            <w:numId w:val="5"/>
                          </w:numPr>
                          <w:tabs>
                            <w:tab w:pos="2841" w:val="left" w:leader="none"/>
                          </w:tabs>
                          <w:spacing w:line="240" w:lineRule="auto" w:before="76" w:after="0"/>
                          <w:ind w:left="2840" w:right="0" w:hanging="420"/>
                          <w:jc w:val="left"/>
                          <w:rPr>
                            <w:sz w:val="18"/>
                          </w:rPr>
                        </w:pPr>
                        <w:r>
                          <w:rPr>
                            <w:sz w:val="18"/>
                          </w:rPr>
                          <w:t>受益人的有效身份证件；</w:t>
                        </w:r>
                      </w:p>
                      <w:p>
                        <w:pPr>
                          <w:pStyle w:val="TableParagraph"/>
                          <w:numPr>
                            <w:ilvl w:val="0"/>
                            <w:numId w:val="5"/>
                          </w:numPr>
                          <w:tabs>
                            <w:tab w:pos="2841" w:val="left" w:leader="none"/>
                          </w:tabs>
                          <w:spacing w:line="240" w:lineRule="auto" w:before="76" w:after="0"/>
                          <w:ind w:left="2840" w:right="0" w:hanging="420"/>
                          <w:jc w:val="left"/>
                          <w:rPr>
                            <w:sz w:val="18"/>
                          </w:rPr>
                        </w:pPr>
                        <w:r>
                          <w:rPr>
                            <w:sz w:val="18"/>
                          </w:rPr>
                          <w:t>国家卫生行政部门认定的医疗机构、公安部门或其他相关机构出具的被保险人的死亡证</w:t>
                        </w:r>
                      </w:p>
                    </w:tc>
                  </w:tr>
                  <w:tr>
                    <w:trPr>
                      <w:trHeight w:val="623" w:hRule="atLeast"/>
                    </w:trPr>
                    <w:tc>
                      <w:tcPr>
                        <w:tcW w:w="2199" w:type="dxa"/>
                      </w:tcPr>
                      <w:p>
                        <w:pPr>
                          <w:pStyle w:val="TableParagraph"/>
                          <w:rPr>
                            <w:rFonts w:ascii="Times New Roman"/>
                            <w:sz w:val="18"/>
                          </w:rPr>
                        </w:pPr>
                      </w:p>
                    </w:tc>
                    <w:tc>
                      <w:tcPr>
                        <w:tcW w:w="7855" w:type="dxa"/>
                      </w:tcPr>
                      <w:p>
                        <w:pPr>
                          <w:pStyle w:val="TableParagraph"/>
                          <w:spacing w:before="10"/>
                          <w:ind w:left="641"/>
                          <w:rPr>
                            <w:sz w:val="18"/>
                          </w:rPr>
                        </w:pPr>
                        <w:r>
                          <w:rPr>
                            <w:sz w:val="18"/>
                          </w:rPr>
                          <w:t>明；</w:t>
                        </w:r>
                      </w:p>
                      <w:p>
                        <w:pPr>
                          <w:pStyle w:val="TableParagraph"/>
                          <w:spacing w:before="76"/>
                          <w:ind w:left="221"/>
                          <w:rPr>
                            <w:sz w:val="18"/>
                          </w:rPr>
                        </w:pPr>
                        <w:r>
                          <w:rPr>
                            <w:sz w:val="18"/>
                          </w:rPr>
                          <w:t>(4) 所能提供的与确认保险事故的性质、原因等有关的其它证明文件和资料。</w:t>
                        </w:r>
                      </w:p>
                    </w:tc>
                  </w:tr>
                  <w:tr>
                    <w:trPr>
                      <w:trHeight w:val="425" w:hRule="atLeast"/>
                    </w:trPr>
                    <w:tc>
                      <w:tcPr>
                        <w:tcW w:w="2199" w:type="dxa"/>
                      </w:tcPr>
                      <w:p>
                        <w:pPr>
                          <w:pStyle w:val="TableParagraph"/>
                          <w:rPr>
                            <w:rFonts w:ascii="Times New Roman"/>
                            <w:sz w:val="18"/>
                          </w:rPr>
                        </w:pPr>
                      </w:p>
                    </w:tc>
                    <w:tc>
                      <w:tcPr>
                        <w:tcW w:w="7855" w:type="dxa"/>
                      </w:tcPr>
                      <w:p>
                        <w:pPr>
                          <w:pStyle w:val="TableParagraph"/>
                          <w:spacing w:before="10"/>
                          <w:ind w:left="221"/>
                          <w:rPr>
                            <w:sz w:val="18"/>
                          </w:rPr>
                        </w:pPr>
                        <w:r>
                          <w:rPr>
                            <w:sz w:val="18"/>
                          </w:rPr>
                          <w:t>保险金作为被保险人遗产时，必须提供可证明合法继承权的相关权利文件。</w:t>
                        </w:r>
                      </w:p>
                    </w:tc>
                  </w:tr>
                  <w:tr>
                    <w:trPr>
                      <w:trHeight w:val="553" w:hRule="atLeast"/>
                    </w:trPr>
                    <w:tc>
                      <w:tcPr>
                        <w:tcW w:w="2199" w:type="dxa"/>
                      </w:tcPr>
                      <w:p>
                        <w:pPr>
                          <w:pStyle w:val="TableParagraph"/>
                          <w:rPr>
                            <w:rFonts w:ascii="Times New Roman"/>
                            <w:sz w:val="18"/>
                          </w:rPr>
                        </w:pPr>
                      </w:p>
                    </w:tc>
                    <w:tc>
                      <w:tcPr>
                        <w:tcW w:w="7855" w:type="dxa"/>
                      </w:tcPr>
                      <w:p>
                        <w:pPr>
                          <w:pStyle w:val="TableParagraph"/>
                          <w:spacing w:before="124"/>
                          <w:ind w:left="221"/>
                          <w:rPr>
                            <w:sz w:val="18"/>
                          </w:rPr>
                        </w:pPr>
                        <w:r>
                          <w:rPr>
                            <w:sz w:val="18"/>
                          </w:rPr>
                          <w:t>以上证明和资料不完整的，本公司将及时一次性通知申请人补充提供有关证明和资料。</w:t>
                        </w:r>
                      </w:p>
                    </w:tc>
                  </w:tr>
                  <w:tr>
                    <w:trPr>
                      <w:trHeight w:val="545" w:hRule="atLeast"/>
                    </w:trPr>
                    <w:tc>
                      <w:tcPr>
                        <w:tcW w:w="2199" w:type="dxa"/>
                      </w:tcPr>
                      <w:p>
                        <w:pPr>
                          <w:pStyle w:val="TableParagraph"/>
                          <w:rPr>
                            <w:rFonts w:ascii="Times New Roman"/>
                            <w:sz w:val="18"/>
                          </w:rPr>
                        </w:pPr>
                      </w:p>
                    </w:tc>
                    <w:tc>
                      <w:tcPr>
                        <w:tcW w:w="7855" w:type="dxa"/>
                      </w:tcPr>
                      <w:p>
                        <w:pPr>
                          <w:pStyle w:val="TableParagraph"/>
                          <w:spacing w:before="138"/>
                          <w:ind w:left="221"/>
                          <w:rPr>
                            <w:sz w:val="18"/>
                          </w:rPr>
                        </w:pPr>
                        <w:r>
                          <w:rPr>
                            <w:sz w:val="18"/>
                          </w:rPr>
                          <w:t>3、如委托他人代为申领，还应提供授权委托书及受托人的有效身份证件。</w:t>
                        </w:r>
                      </w:p>
                    </w:tc>
                  </w:tr>
                  <w:tr>
                    <w:trPr>
                      <w:trHeight w:val="1213" w:hRule="atLeast"/>
                    </w:trPr>
                    <w:tc>
                      <w:tcPr>
                        <w:tcW w:w="10054" w:type="dxa"/>
                        <w:gridSpan w:val="2"/>
                      </w:tcPr>
                      <w:p>
                        <w:pPr>
                          <w:pStyle w:val="TableParagraph"/>
                          <w:tabs>
                            <w:tab w:pos="712" w:val="left" w:leader="none"/>
                            <w:tab w:pos="2420" w:val="left" w:leader="none"/>
                          </w:tabs>
                          <w:spacing w:line="295" w:lineRule="auto" w:before="106"/>
                          <w:ind w:left="2420" w:right="287" w:hanging="2391"/>
                          <w:rPr>
                            <w:sz w:val="18"/>
                          </w:rPr>
                        </w:pPr>
                        <w:r>
                          <w:rPr>
                            <w:b/>
                            <w:sz w:val="21"/>
                          </w:rPr>
                          <w:t>3.4</w:t>
                          <w:tab/>
                          <w:t>保险金的给付</w:t>
                          <w:tab/>
                        </w:r>
                        <w:r>
                          <w:rPr>
                            <w:position w:val="1"/>
                            <w:sz w:val="18"/>
                          </w:rPr>
                          <w:t>本公司在收到保险金给付申请书及合同约定的证明和资料后</w:t>
                        </w:r>
                        <w:r>
                          <w:rPr>
                            <w:spacing w:val="-18"/>
                            <w:position w:val="1"/>
                            <w:sz w:val="18"/>
                          </w:rPr>
                          <w:t>，</w:t>
                        </w:r>
                        <w:r>
                          <w:rPr>
                            <w:position w:val="1"/>
                            <w:sz w:val="18"/>
                          </w:rPr>
                          <w:t>将在五日内作出核定</w:t>
                        </w:r>
                        <w:r>
                          <w:rPr>
                            <w:spacing w:val="-18"/>
                            <w:position w:val="1"/>
                            <w:sz w:val="18"/>
                          </w:rPr>
                          <w:t>；</w:t>
                        </w:r>
                        <w:r>
                          <w:rPr>
                            <w:position w:val="1"/>
                            <w:sz w:val="18"/>
                          </w:rPr>
                          <w:t>情形复杂</w:t>
                        </w:r>
                        <w:r>
                          <w:rPr>
                            <w:sz w:val="18"/>
                          </w:rPr>
                          <w:t>的，在三十日内作出核定。</w:t>
                        </w:r>
                      </w:p>
                      <w:p>
                        <w:pPr>
                          <w:pStyle w:val="TableParagraph"/>
                          <w:spacing w:before="34"/>
                          <w:ind w:left="2420"/>
                          <w:rPr>
                            <w:sz w:val="18"/>
                          </w:rPr>
                        </w:pPr>
                        <w:r>
                          <w:rPr>
                            <w:sz w:val="18"/>
                          </w:rPr>
                          <w:t>对属于保险责任的，本公司在与受益人达成给付保险金的协议后十日内，履行给付保险金义务。</w:t>
                        </w:r>
                      </w:p>
                    </w:tc>
                  </w:tr>
                  <w:tr>
                    <w:trPr>
                      <w:trHeight w:val="779" w:hRule="atLeast"/>
                    </w:trPr>
                    <w:tc>
                      <w:tcPr>
                        <w:tcW w:w="2199" w:type="dxa"/>
                      </w:tcPr>
                      <w:p>
                        <w:pPr>
                          <w:pStyle w:val="TableParagraph"/>
                          <w:rPr>
                            <w:rFonts w:ascii="Times New Roman"/>
                            <w:sz w:val="18"/>
                          </w:rPr>
                        </w:pPr>
                      </w:p>
                    </w:tc>
                    <w:tc>
                      <w:tcPr>
                        <w:tcW w:w="7855" w:type="dxa"/>
                      </w:tcPr>
                      <w:p>
                        <w:pPr>
                          <w:pStyle w:val="TableParagraph"/>
                          <w:spacing w:line="310" w:lineRule="atLeast" w:before="92"/>
                          <w:ind w:left="221" w:right="247"/>
                          <w:rPr>
                            <w:sz w:val="18"/>
                          </w:rPr>
                        </w:pPr>
                        <w:r>
                          <w:rPr>
                            <w:sz w:val="18"/>
                          </w:rPr>
                          <w:t>对不属于保险责任的，本公司自作出核定之日起三日内向受益人发出拒绝给付保险金通知书并说明理由。</w:t>
                        </w:r>
                      </w:p>
                    </w:tc>
                  </w:tr>
                  <w:tr>
                    <w:trPr>
                      <w:trHeight w:val="1041" w:hRule="atLeast"/>
                    </w:trPr>
                    <w:tc>
                      <w:tcPr>
                        <w:tcW w:w="2199" w:type="dxa"/>
                      </w:tcPr>
                      <w:p>
                        <w:pPr>
                          <w:pStyle w:val="TableParagraph"/>
                          <w:rPr>
                            <w:rFonts w:ascii="Times New Roman"/>
                            <w:sz w:val="18"/>
                          </w:rPr>
                        </w:pPr>
                      </w:p>
                    </w:tc>
                    <w:tc>
                      <w:tcPr>
                        <w:tcW w:w="7855" w:type="dxa"/>
                      </w:tcPr>
                      <w:p>
                        <w:pPr>
                          <w:pStyle w:val="TableParagraph"/>
                          <w:spacing w:line="316" w:lineRule="auto" w:before="10"/>
                          <w:ind w:left="221" w:right="198"/>
                          <w:rPr>
                            <w:sz w:val="18"/>
                          </w:rPr>
                        </w:pPr>
                        <w:r>
                          <w:rPr>
                            <w:spacing w:val="-2"/>
                            <w:sz w:val="18"/>
                          </w:rPr>
                          <w:t>本公司在收到保险金给付申请书及有关证明和资料之日起六十日内，对给付保险金的数额不能</w:t>
                        </w:r>
                        <w:r>
                          <w:rPr>
                            <w:spacing w:val="-12"/>
                            <w:sz w:val="18"/>
                          </w:rPr>
                          <w:t>确定的，根据已有证明和资料可以确定的数额先予支付；本公司最终确定给付保险金的数额后， 将支付相应的差额。</w:t>
                        </w:r>
                      </w:p>
                    </w:tc>
                  </w:tr>
                  <w:tr>
                    <w:trPr>
                      <w:trHeight w:val="850" w:hRule="atLeast"/>
                    </w:trPr>
                    <w:tc>
                      <w:tcPr>
                        <w:tcW w:w="2199" w:type="dxa"/>
                      </w:tcPr>
                      <w:p>
                        <w:pPr>
                          <w:pStyle w:val="TableParagraph"/>
                          <w:tabs>
                            <w:tab w:pos="712" w:val="left" w:leader="none"/>
                          </w:tabs>
                          <w:spacing w:before="106"/>
                          <w:ind w:left="30"/>
                          <w:rPr>
                            <w:b/>
                            <w:sz w:val="21"/>
                          </w:rPr>
                        </w:pPr>
                        <w:r>
                          <w:rPr>
                            <w:b/>
                            <w:sz w:val="21"/>
                          </w:rPr>
                          <w:t>3.5</w:t>
                          <w:tab/>
                        </w:r>
                        <w:r>
                          <w:rPr>
                            <w:b/>
                            <w:w w:val="95"/>
                            <w:sz w:val="21"/>
                          </w:rPr>
                          <w:t>欠款的扣除</w:t>
                        </w:r>
                      </w:p>
                    </w:tc>
                    <w:tc>
                      <w:tcPr>
                        <w:tcW w:w="7855" w:type="dxa"/>
                      </w:tcPr>
                      <w:p>
                        <w:pPr>
                          <w:pStyle w:val="TableParagraph"/>
                          <w:spacing w:line="316" w:lineRule="auto" w:before="132"/>
                          <w:ind w:left="221" w:right="289"/>
                          <w:rPr>
                            <w:sz w:val="18"/>
                          </w:rPr>
                        </w:pPr>
                        <w:r>
                          <w:rPr>
                            <w:spacing w:val="-4"/>
                            <w:sz w:val="18"/>
                          </w:rPr>
                          <w:t>本公司给付各项保险金、返还现金价值或保险费时，如本合同有借款、欠交保险费，则本公司扣除未清偿的借款及应付</w:t>
                        </w:r>
                        <w:r>
                          <w:rPr>
                            <w:b/>
                            <w:spacing w:val="0"/>
                            <w:w w:val="99"/>
                            <w:sz w:val="18"/>
                          </w:rPr>
                          <w:t>利息</w:t>
                        </w:r>
                        <w:r>
                          <w:rPr>
                            <w:sz w:val="18"/>
                          </w:rPr>
                          <w:t>（</w:t>
                        </w:r>
                        <w:r>
                          <w:rPr>
                            <w:spacing w:val="-23"/>
                            <w:sz w:val="18"/>
                          </w:rPr>
                          <w:t>见 </w:t>
                        </w:r>
                        <w:r>
                          <w:rPr>
                            <w:sz w:val="18"/>
                          </w:rPr>
                          <w:t>8.13</w:t>
                        </w:r>
                        <w:r>
                          <w:rPr>
                            <w:spacing w:val="-90"/>
                            <w:sz w:val="18"/>
                          </w:rPr>
                          <w:t>）</w:t>
                        </w:r>
                        <w:r>
                          <w:rPr>
                            <w:sz w:val="18"/>
                          </w:rPr>
                          <w:t>、欠交的保险费后给付。</w:t>
                        </w:r>
                      </w:p>
                    </w:tc>
                  </w:tr>
                  <w:tr>
                    <w:trPr>
                      <w:trHeight w:val="679" w:hRule="atLeast"/>
                    </w:trPr>
                    <w:tc>
                      <w:tcPr>
                        <w:tcW w:w="2199" w:type="dxa"/>
                      </w:tcPr>
                      <w:p>
                        <w:pPr>
                          <w:pStyle w:val="TableParagraph"/>
                          <w:tabs>
                            <w:tab w:pos="712" w:val="left" w:leader="none"/>
                          </w:tabs>
                          <w:spacing w:before="106"/>
                          <w:ind w:left="30"/>
                          <w:rPr>
                            <w:b/>
                            <w:sz w:val="21"/>
                          </w:rPr>
                        </w:pPr>
                        <w:r>
                          <w:rPr>
                            <w:b/>
                            <w:sz w:val="21"/>
                          </w:rPr>
                          <w:t>3.6</w:t>
                          <w:tab/>
                          <w:t>诉讼时效</w:t>
                        </w:r>
                      </w:p>
                    </w:tc>
                    <w:tc>
                      <w:tcPr>
                        <w:tcW w:w="7855" w:type="dxa"/>
                      </w:tcPr>
                      <w:p>
                        <w:pPr>
                          <w:pStyle w:val="TableParagraph"/>
                          <w:spacing w:line="310" w:lineRule="atLeast" w:before="57"/>
                          <w:ind w:left="221" w:right="230"/>
                          <w:rPr>
                            <w:sz w:val="18"/>
                          </w:rPr>
                        </w:pPr>
                        <w:r>
                          <w:rPr>
                            <w:sz w:val="18"/>
                          </w:rPr>
                          <w:t>本合同的受益人向本公司请求给付身故保险金的诉讼时效期间为五年，自其知道或者应当知道保险事故发生之日起计算。</w:t>
                        </w:r>
                      </w:p>
                    </w:tc>
                  </w:tr>
                </w:tbl>
                <w:p>
                  <w:pPr>
                    <w:pStyle w:val="BodyText"/>
                  </w:pPr>
                </w:p>
              </w:txbxContent>
            </v:textbox>
            <w10:wrap type="none"/>
          </v:shape>
        </w:pict>
      </w:r>
    </w:p>
    <w:p>
      <w:pPr>
        <w:pStyle w:val="BodyText"/>
        <w:spacing w:before="11"/>
        <w:rPr>
          <w:sz w:val="28"/>
        </w:rPr>
      </w:pPr>
    </w:p>
    <w:p>
      <w:pPr>
        <w:pStyle w:val="BodyText"/>
        <w:spacing w:before="44"/>
        <w:ind w:left="2534"/>
      </w:pPr>
      <w:r>
        <w:rPr/>
        <w:t>3、 受益人依法丧失受益权或者放弃受益权，没有其他受益人的。</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4"/>
        </w:rPr>
      </w:pPr>
    </w:p>
    <w:p>
      <w:pPr>
        <w:pStyle w:val="BodyText"/>
        <w:ind w:left="2534"/>
      </w:pPr>
      <w:r>
        <w:rPr/>
        <w:t>本公司未及时履行前款规定义务的，除支付保险金外，应当赔偿受益人因此受到的损失。</w:t>
      </w:r>
    </w:p>
    <w:p>
      <w:pPr>
        <w:spacing w:after="0"/>
        <w:sectPr>
          <w:headerReference w:type="default" r:id="rId10"/>
          <w:pgSz w:w="11910" w:h="16840"/>
          <w:pgMar w:header="857" w:footer="981" w:top="1040" w:bottom="1180" w:left="1160" w:right="460"/>
        </w:sectPr>
      </w:pPr>
    </w:p>
    <w:p>
      <w:pPr>
        <w:pStyle w:val="BodyText"/>
        <w:spacing w:before="1"/>
        <w:rPr>
          <w:rFonts w:ascii="Times New Roman"/>
          <w:sz w:val="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649"/>
        <w:gridCol w:w="7666"/>
      </w:tblGrid>
      <w:tr>
        <w:trPr>
          <w:trHeight w:val="1053" w:hRule="atLeast"/>
        </w:trPr>
        <w:tc>
          <w:tcPr>
            <w:tcW w:w="628" w:type="dxa"/>
            <w:tcBorders>
              <w:top w:val="single" w:sz="6" w:space="0" w:color="000000"/>
            </w:tcBorders>
          </w:tcPr>
          <w:p>
            <w:pPr>
              <w:pStyle w:val="TableParagraph"/>
              <w:rPr>
                <w:rFonts w:ascii="Times New Roman"/>
                <w:sz w:val="18"/>
              </w:rPr>
            </w:pPr>
          </w:p>
        </w:tc>
        <w:tc>
          <w:tcPr>
            <w:tcW w:w="1649" w:type="dxa"/>
            <w:tcBorders>
              <w:top w:val="single" w:sz="6" w:space="0" w:color="000000"/>
            </w:tcBorders>
          </w:tcPr>
          <w:p>
            <w:pPr>
              <w:pStyle w:val="TableParagraph"/>
              <w:rPr>
                <w:rFonts w:ascii="Times New Roman"/>
                <w:sz w:val="18"/>
              </w:rPr>
            </w:pPr>
          </w:p>
        </w:tc>
        <w:tc>
          <w:tcPr>
            <w:tcW w:w="7666" w:type="dxa"/>
            <w:tcBorders>
              <w:top w:val="single" w:sz="6" w:space="0" w:color="000000"/>
            </w:tcBorders>
          </w:tcPr>
          <w:p>
            <w:pPr>
              <w:pStyle w:val="TableParagraph"/>
              <w:spacing w:before="10"/>
              <w:rPr>
                <w:rFonts w:ascii="Times New Roman"/>
                <w:sz w:val="26"/>
              </w:rPr>
            </w:pPr>
          </w:p>
          <w:p>
            <w:pPr>
              <w:pStyle w:val="TableParagraph"/>
              <w:spacing w:line="316" w:lineRule="auto"/>
              <w:ind w:left="221" w:right="41"/>
              <w:rPr>
                <w:sz w:val="18"/>
              </w:rPr>
            </w:pPr>
            <w:r>
              <w:rPr>
                <w:sz w:val="18"/>
              </w:rPr>
              <w:t>本合同的受益人向本公司请求给付重大疾病保险金的诉讼时效期间为二年，自其知道或者应当知道保险事故发生之日起计算。</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hAnsi="Yu Gothic"/>
                <w:b/>
                <w:sz w:val="40"/>
              </w:rPr>
            </w:pPr>
            <w:r>
              <w:rPr>
                <w:rFonts w:ascii="Yu Gothic" w:hAnsi="Yu Gothic"/>
                <w:b/>
                <w:w w:val="214"/>
                <w:sz w:val="40"/>
              </w:rPr>
              <w:t>º</w:t>
            </w:r>
          </w:p>
        </w:tc>
        <w:tc>
          <w:tcPr>
            <w:tcW w:w="9315" w:type="dxa"/>
            <w:gridSpan w:val="2"/>
            <w:tcBorders>
              <w:bottom w:val="single" w:sz="4" w:space="0" w:color="000000"/>
            </w:tcBorders>
          </w:tcPr>
          <w:p>
            <w:pPr>
              <w:pStyle w:val="TableParagraph"/>
              <w:spacing w:before="212"/>
              <w:ind w:left="162"/>
              <w:rPr>
                <w:b/>
                <w:sz w:val="24"/>
              </w:rPr>
            </w:pPr>
            <w:r>
              <w:rPr>
                <w:b/>
                <w:sz w:val="24"/>
              </w:rPr>
              <w:t>如何交付保险费</w:t>
            </w:r>
          </w:p>
        </w:tc>
      </w:tr>
      <w:tr>
        <w:trPr>
          <w:trHeight w:val="848" w:hRule="atLeast"/>
        </w:trPr>
        <w:tc>
          <w:tcPr>
            <w:tcW w:w="9943" w:type="dxa"/>
            <w:gridSpan w:val="3"/>
            <w:tcBorders>
              <w:top w:val="single" w:sz="4" w:space="0" w:color="000000"/>
            </w:tcBorders>
          </w:tcPr>
          <w:p>
            <w:pPr>
              <w:pStyle w:val="TableParagraph"/>
              <w:spacing w:before="6"/>
              <w:rPr>
                <w:rFonts w:ascii="Times New Roman"/>
                <w:sz w:val="17"/>
              </w:rPr>
            </w:pPr>
          </w:p>
          <w:p>
            <w:pPr>
              <w:pStyle w:val="TableParagraph"/>
              <w:tabs>
                <w:tab w:pos="790" w:val="left" w:leader="none"/>
                <w:tab w:pos="2498" w:val="left" w:leader="none"/>
              </w:tabs>
              <w:ind w:left="107"/>
              <w:rPr>
                <w:sz w:val="18"/>
              </w:rPr>
            </w:pPr>
            <w:r>
              <w:rPr>
                <w:b/>
                <w:sz w:val="21"/>
              </w:rPr>
              <w:t>4.1</w:t>
              <w:tab/>
              <w:t>保险费的交付</w:t>
              <w:tab/>
            </w:r>
            <w:r>
              <w:rPr>
                <w:position w:val="1"/>
                <w:sz w:val="18"/>
              </w:rPr>
              <w:t>保险费详见费率表，您可以选择一次交清或分期交付本合同的保险费。</w:t>
            </w:r>
          </w:p>
          <w:p>
            <w:pPr>
              <w:pStyle w:val="TableParagraph"/>
              <w:spacing w:before="62"/>
              <w:ind w:left="2498"/>
              <w:rPr>
                <w:sz w:val="18"/>
              </w:rPr>
            </w:pPr>
            <w:r>
              <w:rPr>
                <w:sz w:val="18"/>
              </w:rPr>
              <w:t>本合同计算保险费率时，对保险金额六万元及以下部分和高于六万元的部分实行不同的费率。</w:t>
            </w:r>
          </w:p>
        </w:tc>
      </w:tr>
      <w:tr>
        <w:trPr>
          <w:trHeight w:val="617" w:hRule="atLeast"/>
        </w:trPr>
        <w:tc>
          <w:tcPr>
            <w:tcW w:w="628" w:type="dxa"/>
          </w:tcPr>
          <w:p>
            <w:pPr>
              <w:pStyle w:val="TableParagraph"/>
              <w:rPr>
                <w:rFonts w:ascii="Times New Roman"/>
                <w:sz w:val="18"/>
              </w:rPr>
            </w:pPr>
          </w:p>
        </w:tc>
        <w:tc>
          <w:tcPr>
            <w:tcW w:w="1649" w:type="dxa"/>
          </w:tcPr>
          <w:p>
            <w:pPr>
              <w:pStyle w:val="TableParagraph"/>
              <w:rPr>
                <w:rFonts w:ascii="Times New Roman"/>
                <w:sz w:val="18"/>
              </w:rPr>
            </w:pPr>
          </w:p>
        </w:tc>
        <w:tc>
          <w:tcPr>
            <w:tcW w:w="7666" w:type="dxa"/>
          </w:tcPr>
          <w:p>
            <w:pPr>
              <w:pStyle w:val="TableParagraph"/>
              <w:spacing w:before="3"/>
              <w:ind w:left="221"/>
              <w:rPr>
                <w:sz w:val="18"/>
              </w:rPr>
            </w:pPr>
            <w:r>
              <w:rPr>
                <w:sz w:val="18"/>
              </w:rPr>
              <w:t>若您再次投保时，保费计算视为第一次投保处理。</w:t>
            </w:r>
          </w:p>
          <w:p>
            <w:pPr>
              <w:pStyle w:val="TableParagraph"/>
              <w:spacing w:before="76"/>
              <w:ind w:left="221"/>
              <w:rPr>
                <w:sz w:val="18"/>
              </w:rPr>
            </w:pPr>
            <w:r>
              <w:rPr>
                <w:sz w:val="18"/>
              </w:rPr>
              <w:t>本合同采用分期交付方式时，本合同的保险费交费期间为十年、十五年和二十年。</w:t>
            </w:r>
          </w:p>
        </w:tc>
      </w:tr>
      <w:tr>
        <w:trPr>
          <w:trHeight w:val="417" w:hRule="atLeast"/>
        </w:trPr>
        <w:tc>
          <w:tcPr>
            <w:tcW w:w="628" w:type="dxa"/>
          </w:tcPr>
          <w:p>
            <w:pPr>
              <w:pStyle w:val="TableParagraph"/>
              <w:rPr>
                <w:rFonts w:ascii="Times New Roman"/>
                <w:sz w:val="18"/>
              </w:rPr>
            </w:pPr>
          </w:p>
        </w:tc>
        <w:tc>
          <w:tcPr>
            <w:tcW w:w="1649" w:type="dxa"/>
          </w:tcPr>
          <w:p>
            <w:pPr>
              <w:pStyle w:val="TableParagraph"/>
              <w:rPr>
                <w:rFonts w:ascii="Times New Roman"/>
                <w:sz w:val="18"/>
              </w:rPr>
            </w:pPr>
          </w:p>
        </w:tc>
        <w:tc>
          <w:tcPr>
            <w:tcW w:w="7666" w:type="dxa"/>
          </w:tcPr>
          <w:p>
            <w:pPr>
              <w:pStyle w:val="TableParagraph"/>
              <w:spacing w:before="10"/>
              <w:ind w:left="221"/>
              <w:rPr>
                <w:sz w:val="18"/>
              </w:rPr>
            </w:pPr>
            <w:r>
              <w:rPr>
                <w:sz w:val="18"/>
              </w:rPr>
              <w:t>分期交付方式包括年交、半年交、季交、月交四种。</w:t>
            </w:r>
          </w:p>
        </w:tc>
      </w:tr>
      <w:tr>
        <w:trPr>
          <w:trHeight w:val="1369" w:hRule="atLeast"/>
        </w:trPr>
        <w:tc>
          <w:tcPr>
            <w:tcW w:w="2277" w:type="dxa"/>
            <w:gridSpan w:val="2"/>
          </w:tcPr>
          <w:p>
            <w:pPr>
              <w:pStyle w:val="TableParagraph"/>
              <w:tabs>
                <w:tab w:pos="790" w:val="left" w:leader="none"/>
              </w:tabs>
              <w:spacing w:before="106"/>
              <w:ind w:left="108"/>
              <w:rPr>
                <w:b/>
                <w:sz w:val="21"/>
              </w:rPr>
            </w:pPr>
            <w:r>
              <w:rPr>
                <w:b/>
                <w:sz w:val="21"/>
              </w:rPr>
              <w:t>4.2</w:t>
              <w:tab/>
            </w:r>
            <w:r>
              <w:rPr>
                <w:b/>
                <w:w w:val="95"/>
                <w:sz w:val="21"/>
              </w:rPr>
              <w:t>续期保险费的</w:t>
            </w:r>
          </w:p>
          <w:p>
            <w:pPr>
              <w:pStyle w:val="TableParagraph"/>
              <w:spacing w:before="36"/>
              <w:ind w:left="790"/>
              <w:rPr>
                <w:b/>
                <w:sz w:val="21"/>
              </w:rPr>
            </w:pPr>
            <w:r>
              <w:rPr>
                <w:b/>
                <w:w w:val="95"/>
                <w:sz w:val="21"/>
              </w:rPr>
              <w:t>交付、宽限期</w:t>
            </w:r>
          </w:p>
        </w:tc>
        <w:tc>
          <w:tcPr>
            <w:tcW w:w="7666" w:type="dxa"/>
          </w:tcPr>
          <w:p>
            <w:pPr>
              <w:pStyle w:val="TableParagraph"/>
              <w:spacing w:before="132"/>
              <w:ind w:left="221"/>
              <w:rPr>
                <w:sz w:val="18"/>
              </w:rPr>
            </w:pPr>
            <w:r>
              <w:rPr>
                <w:sz w:val="18"/>
              </w:rPr>
              <w:t>您在交付首期保险费后，应该按照本合同约定的交付方式和交费日期交付续期保险费。</w:t>
            </w:r>
          </w:p>
          <w:p>
            <w:pPr>
              <w:pStyle w:val="TableParagraph"/>
              <w:spacing w:line="310" w:lineRule="atLeast" w:before="2"/>
              <w:ind w:left="221" w:right="62"/>
              <w:jc w:val="both"/>
              <w:rPr>
                <w:sz w:val="18"/>
              </w:rPr>
            </w:pPr>
            <w:r>
              <w:rPr>
                <w:sz w:val="18"/>
              </w:rPr>
              <w:t>分期交付保险费的，您交付首期保险费后，除本合同另有约定外，如果您到期未交付保险费， 自保险费约定交付日的次日零时起六十日为宽限期。宽限期内发生的保险事故，我们仍会承担保险责任，但在给付保险金时会扣减您欠交的保险费。</w:t>
            </w:r>
          </w:p>
        </w:tc>
      </w:tr>
      <w:tr>
        <w:trPr>
          <w:trHeight w:val="417" w:hRule="atLeast"/>
        </w:trPr>
        <w:tc>
          <w:tcPr>
            <w:tcW w:w="628" w:type="dxa"/>
          </w:tcPr>
          <w:p>
            <w:pPr>
              <w:pStyle w:val="TableParagraph"/>
              <w:rPr>
                <w:rFonts w:ascii="Times New Roman"/>
                <w:sz w:val="18"/>
              </w:rPr>
            </w:pPr>
          </w:p>
        </w:tc>
        <w:tc>
          <w:tcPr>
            <w:tcW w:w="1649" w:type="dxa"/>
          </w:tcPr>
          <w:p>
            <w:pPr>
              <w:pStyle w:val="TableParagraph"/>
              <w:rPr>
                <w:rFonts w:ascii="Times New Roman"/>
                <w:sz w:val="18"/>
              </w:rPr>
            </w:pPr>
          </w:p>
        </w:tc>
        <w:tc>
          <w:tcPr>
            <w:tcW w:w="7666" w:type="dxa"/>
          </w:tcPr>
          <w:p>
            <w:pPr>
              <w:pStyle w:val="TableParagraph"/>
              <w:spacing w:before="10"/>
              <w:ind w:left="221"/>
              <w:rPr>
                <w:sz w:val="18"/>
              </w:rPr>
            </w:pPr>
            <w:r>
              <w:rPr>
                <w:sz w:val="18"/>
              </w:rPr>
              <w:t>如果您宽限期结束之后仍未交付保险费，则本合同自宽限期满的次日零时起效力中止。</w:t>
            </w:r>
          </w:p>
        </w:tc>
      </w:tr>
      <w:tr>
        <w:trPr>
          <w:trHeight w:val="545" w:hRule="atLeast"/>
        </w:trPr>
        <w:tc>
          <w:tcPr>
            <w:tcW w:w="628" w:type="dxa"/>
          </w:tcPr>
          <w:p>
            <w:pPr>
              <w:pStyle w:val="TableParagraph"/>
              <w:spacing w:before="106"/>
              <w:ind w:left="107"/>
              <w:rPr>
                <w:b/>
                <w:sz w:val="21"/>
              </w:rPr>
            </w:pPr>
            <w:r>
              <w:rPr>
                <w:b/>
                <w:sz w:val="21"/>
              </w:rPr>
              <w:t>4.3</w:t>
            </w:r>
          </w:p>
        </w:tc>
        <w:tc>
          <w:tcPr>
            <w:tcW w:w="1649" w:type="dxa"/>
          </w:tcPr>
          <w:p>
            <w:pPr>
              <w:pStyle w:val="TableParagraph"/>
              <w:spacing w:before="106"/>
              <w:ind w:left="162"/>
              <w:rPr>
                <w:b/>
                <w:sz w:val="21"/>
              </w:rPr>
            </w:pPr>
            <w:r>
              <w:rPr>
                <w:b/>
                <w:sz w:val="21"/>
              </w:rPr>
              <w:t>效力中止</w:t>
            </w:r>
          </w:p>
        </w:tc>
        <w:tc>
          <w:tcPr>
            <w:tcW w:w="7666" w:type="dxa"/>
          </w:tcPr>
          <w:p>
            <w:pPr>
              <w:pStyle w:val="TableParagraph"/>
              <w:spacing w:before="132"/>
              <w:ind w:left="221"/>
              <w:rPr>
                <w:sz w:val="18"/>
              </w:rPr>
            </w:pPr>
            <w:r>
              <w:rPr>
                <w:sz w:val="18"/>
              </w:rPr>
              <w:t>在本合同效力中止期间，我们不承担给付保险金的责任。</w:t>
            </w:r>
          </w:p>
        </w:tc>
      </w:tr>
      <w:tr>
        <w:trPr>
          <w:trHeight w:val="738" w:hRule="atLeast"/>
        </w:trPr>
        <w:tc>
          <w:tcPr>
            <w:tcW w:w="628" w:type="dxa"/>
          </w:tcPr>
          <w:p>
            <w:pPr>
              <w:pStyle w:val="TableParagraph"/>
              <w:spacing w:before="99"/>
              <w:ind w:left="108"/>
              <w:rPr>
                <w:b/>
                <w:sz w:val="21"/>
              </w:rPr>
            </w:pPr>
            <w:r>
              <w:rPr>
                <w:b/>
                <w:sz w:val="21"/>
              </w:rPr>
              <w:t>4.4</w:t>
            </w:r>
          </w:p>
        </w:tc>
        <w:tc>
          <w:tcPr>
            <w:tcW w:w="1649" w:type="dxa"/>
          </w:tcPr>
          <w:p>
            <w:pPr>
              <w:pStyle w:val="TableParagraph"/>
              <w:spacing w:before="99"/>
              <w:ind w:left="162"/>
              <w:rPr>
                <w:b/>
                <w:sz w:val="21"/>
              </w:rPr>
            </w:pPr>
            <w:r>
              <w:rPr>
                <w:b/>
                <w:sz w:val="21"/>
              </w:rPr>
              <w:t>效力恢复</w:t>
            </w:r>
          </w:p>
        </w:tc>
        <w:tc>
          <w:tcPr>
            <w:tcW w:w="7666" w:type="dxa"/>
          </w:tcPr>
          <w:p>
            <w:pPr>
              <w:pStyle w:val="TableParagraph"/>
              <w:spacing w:line="310" w:lineRule="atLeast" w:before="50"/>
              <w:ind w:left="221" w:right="41"/>
              <w:rPr>
                <w:sz w:val="18"/>
              </w:rPr>
            </w:pPr>
            <w:r>
              <w:rPr>
                <w:sz w:val="18"/>
              </w:rPr>
              <w:t>若本合同效力中止，您可自本合同效力中止日起二年内申请恢复合同效力。经您与本公司协商并达成协议，自您偿还未清偿的借款及应付利息、补交所欠保险费起，本合同效力恢复。</w:t>
            </w:r>
          </w:p>
        </w:tc>
      </w:tr>
      <w:tr>
        <w:trPr>
          <w:trHeight w:val="755" w:hRule="atLeast"/>
        </w:trPr>
        <w:tc>
          <w:tcPr>
            <w:tcW w:w="628" w:type="dxa"/>
          </w:tcPr>
          <w:p>
            <w:pPr>
              <w:pStyle w:val="TableParagraph"/>
              <w:rPr>
                <w:rFonts w:ascii="Times New Roman"/>
                <w:sz w:val="18"/>
              </w:rPr>
            </w:pPr>
          </w:p>
        </w:tc>
        <w:tc>
          <w:tcPr>
            <w:tcW w:w="1649" w:type="dxa"/>
          </w:tcPr>
          <w:p>
            <w:pPr>
              <w:pStyle w:val="TableParagraph"/>
              <w:rPr>
                <w:rFonts w:ascii="Times New Roman"/>
                <w:sz w:val="18"/>
              </w:rPr>
            </w:pPr>
          </w:p>
        </w:tc>
        <w:tc>
          <w:tcPr>
            <w:tcW w:w="7666" w:type="dxa"/>
          </w:tcPr>
          <w:p>
            <w:pPr>
              <w:pStyle w:val="TableParagraph"/>
              <w:spacing w:line="316" w:lineRule="auto" w:before="10"/>
              <w:ind w:left="221" w:right="41"/>
              <w:rPr>
                <w:sz w:val="18"/>
              </w:rPr>
            </w:pPr>
            <w:r>
              <w:rPr>
                <w:sz w:val="18"/>
              </w:rPr>
              <w:t>本公司与您自本合同效力中止之日起满二年未达成复效协议的，本公司返还本合同效力中止时的现金价值净额，本合同终止。</w:t>
            </w:r>
          </w:p>
        </w:tc>
      </w:tr>
      <w:tr>
        <w:trPr>
          <w:trHeight w:val="720" w:hRule="atLeast"/>
        </w:trPr>
        <w:tc>
          <w:tcPr>
            <w:tcW w:w="628" w:type="dxa"/>
            <w:tcBorders>
              <w:bottom w:val="single" w:sz="4" w:space="0" w:color="000000"/>
            </w:tcBorders>
          </w:tcPr>
          <w:p>
            <w:pPr>
              <w:pStyle w:val="TableParagraph"/>
              <w:spacing w:line="654" w:lineRule="exact"/>
              <w:ind w:left="107"/>
              <w:rPr>
                <w:rFonts w:ascii="Yu Gothic"/>
                <w:b/>
                <w:sz w:val="40"/>
              </w:rPr>
            </w:pPr>
            <w:r>
              <w:rPr>
                <w:rFonts w:ascii="Yu Gothic"/>
                <w:b/>
                <w:w w:val="155"/>
                <w:sz w:val="40"/>
              </w:rPr>
              <w:t>6</w:t>
            </w:r>
          </w:p>
        </w:tc>
        <w:tc>
          <w:tcPr>
            <w:tcW w:w="1649" w:type="dxa"/>
            <w:tcBorders>
              <w:bottom w:val="single" w:sz="4" w:space="0" w:color="000000"/>
            </w:tcBorders>
          </w:tcPr>
          <w:p>
            <w:pPr>
              <w:pStyle w:val="TableParagraph"/>
              <w:spacing w:before="213"/>
              <w:ind w:left="162"/>
              <w:rPr>
                <w:b/>
                <w:sz w:val="24"/>
              </w:rPr>
            </w:pPr>
            <w:r>
              <w:rPr>
                <w:b/>
                <w:w w:val="95"/>
                <w:sz w:val="24"/>
              </w:rPr>
              <w:t>现金价值权益</w:t>
            </w:r>
          </w:p>
        </w:tc>
        <w:tc>
          <w:tcPr>
            <w:tcW w:w="7666" w:type="dxa"/>
            <w:tcBorders>
              <w:bottom w:val="single" w:sz="4" w:space="0" w:color="000000"/>
            </w:tcBorders>
          </w:tcPr>
          <w:p>
            <w:pPr>
              <w:pStyle w:val="TableParagraph"/>
              <w:rPr>
                <w:rFonts w:ascii="Times New Roman"/>
                <w:sz w:val="18"/>
              </w:rPr>
            </w:pPr>
          </w:p>
        </w:tc>
      </w:tr>
      <w:tr>
        <w:trPr>
          <w:trHeight w:val="946" w:hRule="atLeast"/>
        </w:trPr>
        <w:tc>
          <w:tcPr>
            <w:tcW w:w="628" w:type="dxa"/>
            <w:tcBorders>
              <w:top w:val="single" w:sz="4" w:space="0" w:color="000000"/>
            </w:tcBorders>
          </w:tcPr>
          <w:p>
            <w:pPr>
              <w:pStyle w:val="TableParagraph"/>
              <w:spacing w:before="6"/>
              <w:rPr>
                <w:rFonts w:ascii="Times New Roman"/>
                <w:sz w:val="17"/>
              </w:rPr>
            </w:pPr>
          </w:p>
          <w:p>
            <w:pPr>
              <w:pStyle w:val="TableParagraph"/>
              <w:ind w:left="107"/>
              <w:rPr>
                <w:b/>
                <w:sz w:val="21"/>
              </w:rPr>
            </w:pPr>
            <w:r>
              <w:rPr>
                <w:b/>
                <w:sz w:val="21"/>
              </w:rPr>
              <w:t>5.1</w:t>
            </w:r>
          </w:p>
        </w:tc>
        <w:tc>
          <w:tcPr>
            <w:tcW w:w="1649" w:type="dxa"/>
            <w:tcBorders>
              <w:top w:val="single" w:sz="4" w:space="0" w:color="000000"/>
            </w:tcBorders>
          </w:tcPr>
          <w:p>
            <w:pPr>
              <w:pStyle w:val="TableParagraph"/>
              <w:spacing w:before="6"/>
              <w:rPr>
                <w:rFonts w:ascii="Times New Roman"/>
                <w:sz w:val="17"/>
              </w:rPr>
            </w:pPr>
          </w:p>
          <w:p>
            <w:pPr>
              <w:pStyle w:val="TableParagraph"/>
              <w:ind w:left="162"/>
              <w:rPr>
                <w:b/>
                <w:sz w:val="21"/>
              </w:rPr>
            </w:pPr>
            <w:r>
              <w:rPr>
                <w:b/>
                <w:sz w:val="21"/>
              </w:rPr>
              <w:t>现金价值</w:t>
            </w:r>
          </w:p>
        </w:tc>
        <w:tc>
          <w:tcPr>
            <w:tcW w:w="7666" w:type="dxa"/>
            <w:tcBorders>
              <w:top w:val="single" w:sz="4" w:space="0" w:color="000000"/>
            </w:tcBorders>
          </w:tcPr>
          <w:p>
            <w:pPr>
              <w:pStyle w:val="TableParagraph"/>
              <w:spacing w:before="9"/>
              <w:rPr>
                <w:rFonts w:ascii="Times New Roman"/>
                <w:sz w:val="19"/>
              </w:rPr>
            </w:pPr>
          </w:p>
          <w:p>
            <w:pPr>
              <w:pStyle w:val="TableParagraph"/>
              <w:spacing w:line="316" w:lineRule="auto"/>
              <w:ind w:left="221" w:right="99"/>
              <w:rPr>
                <w:sz w:val="18"/>
              </w:rPr>
            </w:pPr>
            <w:r>
              <w:rPr>
                <w:sz w:val="18"/>
              </w:rPr>
              <w:t>本合同保单年度末的</w:t>
            </w:r>
            <w:r>
              <w:rPr>
                <w:b/>
                <w:spacing w:val="-6"/>
                <w:sz w:val="18"/>
              </w:rPr>
              <w:t>现金价值</w:t>
            </w:r>
            <w:r>
              <w:rPr>
                <w:sz w:val="18"/>
              </w:rPr>
              <w:t>（</w:t>
            </w:r>
            <w:r>
              <w:rPr>
                <w:spacing w:val="-23"/>
                <w:sz w:val="18"/>
              </w:rPr>
              <w:t>见 </w:t>
            </w:r>
            <w:r>
              <w:rPr>
                <w:spacing w:val="-5"/>
                <w:sz w:val="18"/>
              </w:rPr>
              <w:t>8.14）</w:t>
            </w:r>
            <w:r>
              <w:rPr>
                <w:spacing w:val="-4"/>
                <w:sz w:val="18"/>
              </w:rPr>
              <w:t>会在保险单上载明，保单年度内的现金价值，您可以向本公司咨询。</w:t>
            </w:r>
          </w:p>
        </w:tc>
      </w:tr>
      <w:tr>
        <w:trPr>
          <w:trHeight w:val="1369" w:hRule="atLeast"/>
        </w:trPr>
        <w:tc>
          <w:tcPr>
            <w:tcW w:w="628" w:type="dxa"/>
          </w:tcPr>
          <w:p>
            <w:pPr>
              <w:pStyle w:val="TableParagraph"/>
              <w:spacing w:before="106"/>
              <w:ind w:left="107"/>
              <w:rPr>
                <w:b/>
                <w:sz w:val="21"/>
              </w:rPr>
            </w:pPr>
            <w:r>
              <w:rPr>
                <w:b/>
                <w:sz w:val="21"/>
              </w:rPr>
              <w:t>5.2</w:t>
            </w:r>
          </w:p>
        </w:tc>
        <w:tc>
          <w:tcPr>
            <w:tcW w:w="1649" w:type="dxa"/>
          </w:tcPr>
          <w:p>
            <w:pPr>
              <w:pStyle w:val="TableParagraph"/>
              <w:spacing w:before="106"/>
              <w:ind w:left="161"/>
              <w:rPr>
                <w:b/>
                <w:sz w:val="21"/>
              </w:rPr>
            </w:pPr>
            <w:r>
              <w:rPr>
                <w:b/>
                <w:w w:val="95"/>
                <w:sz w:val="21"/>
              </w:rPr>
              <w:t>自动垫交</w:t>
            </w:r>
          </w:p>
        </w:tc>
        <w:tc>
          <w:tcPr>
            <w:tcW w:w="7666" w:type="dxa"/>
          </w:tcPr>
          <w:p>
            <w:pPr>
              <w:pStyle w:val="TableParagraph"/>
              <w:spacing w:line="310" w:lineRule="atLeast" w:before="57"/>
              <w:ind w:left="221" w:right="98"/>
              <w:jc w:val="both"/>
              <w:rPr>
                <w:sz w:val="18"/>
              </w:rPr>
            </w:pPr>
            <w:r>
              <w:rPr>
                <w:spacing w:val="-3"/>
                <w:sz w:val="18"/>
              </w:rPr>
              <w:t>若您选择了保险费自动垫交，宽限期结束时您仍未交付当期保险费，本公司将对本合同及附加</w:t>
            </w:r>
            <w:r>
              <w:rPr>
                <w:spacing w:val="-6"/>
                <w:sz w:val="18"/>
              </w:rPr>
              <w:t>合同作保险费自动垫交处理。若当时本合同现金价值净额足以垫交到期保险费，本公司将同时</w:t>
            </w:r>
            <w:r>
              <w:rPr>
                <w:spacing w:val="-8"/>
                <w:sz w:val="18"/>
              </w:rPr>
              <w:t>自动垫交本合同及附加合同应交保险费，使本合同及附加合同继续有效。本公司为您垫交的保险费视为您从本公司的借款，按所垫交金额以年复利方式计算利息。</w:t>
            </w:r>
          </w:p>
        </w:tc>
      </w:tr>
      <w:tr>
        <w:trPr>
          <w:trHeight w:val="417" w:hRule="atLeast"/>
        </w:trPr>
        <w:tc>
          <w:tcPr>
            <w:tcW w:w="628" w:type="dxa"/>
          </w:tcPr>
          <w:p>
            <w:pPr>
              <w:pStyle w:val="TableParagraph"/>
              <w:rPr>
                <w:rFonts w:ascii="Times New Roman"/>
                <w:sz w:val="18"/>
              </w:rPr>
            </w:pPr>
          </w:p>
        </w:tc>
        <w:tc>
          <w:tcPr>
            <w:tcW w:w="1649" w:type="dxa"/>
          </w:tcPr>
          <w:p>
            <w:pPr>
              <w:pStyle w:val="TableParagraph"/>
              <w:rPr>
                <w:rFonts w:ascii="Times New Roman"/>
                <w:sz w:val="18"/>
              </w:rPr>
            </w:pPr>
          </w:p>
        </w:tc>
        <w:tc>
          <w:tcPr>
            <w:tcW w:w="7666" w:type="dxa"/>
          </w:tcPr>
          <w:p>
            <w:pPr>
              <w:pStyle w:val="TableParagraph"/>
              <w:spacing w:before="10"/>
              <w:ind w:left="221"/>
              <w:rPr>
                <w:sz w:val="18"/>
              </w:rPr>
            </w:pPr>
            <w:r>
              <w:rPr>
                <w:sz w:val="18"/>
              </w:rPr>
              <w:t>若当时本合同现金价值净额不足以垫交全部到期保险费，本合同及附加合同效力即行中止。</w:t>
            </w:r>
          </w:p>
        </w:tc>
      </w:tr>
      <w:tr>
        <w:trPr>
          <w:trHeight w:val="858" w:hRule="atLeast"/>
        </w:trPr>
        <w:tc>
          <w:tcPr>
            <w:tcW w:w="628" w:type="dxa"/>
          </w:tcPr>
          <w:p>
            <w:pPr>
              <w:pStyle w:val="TableParagraph"/>
              <w:spacing w:before="106"/>
              <w:ind w:left="107"/>
              <w:rPr>
                <w:b/>
                <w:sz w:val="21"/>
              </w:rPr>
            </w:pPr>
            <w:r>
              <w:rPr>
                <w:b/>
                <w:sz w:val="21"/>
              </w:rPr>
              <w:t>5.3</w:t>
            </w:r>
          </w:p>
        </w:tc>
        <w:tc>
          <w:tcPr>
            <w:tcW w:w="1649" w:type="dxa"/>
          </w:tcPr>
          <w:p>
            <w:pPr>
              <w:pStyle w:val="TableParagraph"/>
              <w:spacing w:before="106"/>
              <w:ind w:left="162"/>
              <w:rPr>
                <w:b/>
                <w:sz w:val="21"/>
              </w:rPr>
            </w:pPr>
            <w:r>
              <w:rPr>
                <w:b/>
                <w:w w:val="95"/>
                <w:sz w:val="21"/>
              </w:rPr>
              <w:t>保险单借款</w:t>
            </w:r>
          </w:p>
        </w:tc>
        <w:tc>
          <w:tcPr>
            <w:tcW w:w="7666" w:type="dxa"/>
          </w:tcPr>
          <w:p>
            <w:pPr>
              <w:pStyle w:val="TableParagraph"/>
              <w:spacing w:line="316" w:lineRule="auto" w:before="132"/>
              <w:ind w:left="221" w:right="41"/>
              <w:rPr>
                <w:sz w:val="18"/>
              </w:rPr>
            </w:pPr>
            <w:r>
              <w:rPr>
                <w:sz w:val="18"/>
              </w:rPr>
              <w:t>在本合同有效期内，您可以书面形式向本公司申请保险单借款。借款金额最高不得超过本合同当时现金价值净额的 80%。本公司按借款金额以年复利方式计算利息。</w:t>
            </w:r>
          </w:p>
        </w:tc>
      </w:tr>
      <w:tr>
        <w:trPr>
          <w:trHeight w:val="556" w:hRule="atLeast"/>
        </w:trPr>
        <w:tc>
          <w:tcPr>
            <w:tcW w:w="628" w:type="dxa"/>
          </w:tcPr>
          <w:p>
            <w:pPr>
              <w:pStyle w:val="TableParagraph"/>
              <w:rPr>
                <w:rFonts w:ascii="Times New Roman"/>
                <w:sz w:val="18"/>
              </w:rPr>
            </w:pPr>
          </w:p>
        </w:tc>
        <w:tc>
          <w:tcPr>
            <w:tcW w:w="1649" w:type="dxa"/>
          </w:tcPr>
          <w:p>
            <w:pPr>
              <w:pStyle w:val="TableParagraph"/>
              <w:rPr>
                <w:rFonts w:ascii="Times New Roman"/>
                <w:sz w:val="18"/>
              </w:rPr>
            </w:pPr>
          </w:p>
        </w:tc>
        <w:tc>
          <w:tcPr>
            <w:tcW w:w="7666" w:type="dxa"/>
          </w:tcPr>
          <w:p>
            <w:pPr>
              <w:pStyle w:val="TableParagraph"/>
              <w:spacing w:before="124"/>
              <w:ind w:left="221"/>
              <w:rPr>
                <w:sz w:val="18"/>
              </w:rPr>
            </w:pPr>
            <w:r>
              <w:rPr>
                <w:sz w:val="18"/>
              </w:rPr>
              <w:t>因垫交保险费或保险单借款等导致本合同现金价值净额为零时，本合同效力即行中止。</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hAnsi="Yu Gothic"/>
                <w:b/>
                <w:sz w:val="40"/>
              </w:rPr>
            </w:pPr>
            <w:r>
              <w:rPr>
                <w:rFonts w:ascii="Yu Gothic" w:hAnsi="Yu Gothic"/>
                <w:b/>
                <w:w w:val="89"/>
                <w:sz w:val="40"/>
              </w:rPr>
              <w:t>◉</w:t>
            </w:r>
          </w:p>
        </w:tc>
        <w:tc>
          <w:tcPr>
            <w:tcW w:w="9315" w:type="dxa"/>
            <w:gridSpan w:val="2"/>
            <w:tcBorders>
              <w:bottom w:val="single" w:sz="4" w:space="0" w:color="000000"/>
            </w:tcBorders>
          </w:tcPr>
          <w:p>
            <w:pPr>
              <w:pStyle w:val="TableParagraph"/>
              <w:spacing w:before="212"/>
              <w:ind w:left="162"/>
              <w:rPr>
                <w:b/>
                <w:sz w:val="24"/>
              </w:rPr>
            </w:pPr>
            <w:r>
              <w:rPr>
                <w:b/>
                <w:w w:val="95"/>
                <w:sz w:val="24"/>
              </w:rPr>
              <w:t>如何解除保险合同</w:t>
            </w:r>
          </w:p>
        </w:tc>
      </w:tr>
      <w:tr>
        <w:trPr>
          <w:trHeight w:val="1088" w:hRule="atLeast"/>
        </w:trPr>
        <w:tc>
          <w:tcPr>
            <w:tcW w:w="9943" w:type="dxa"/>
            <w:gridSpan w:val="3"/>
            <w:tcBorders>
              <w:top w:val="single" w:sz="4" w:space="0" w:color="000000"/>
            </w:tcBorders>
          </w:tcPr>
          <w:p>
            <w:pPr>
              <w:pStyle w:val="TableParagraph"/>
              <w:spacing w:before="7"/>
              <w:rPr>
                <w:rFonts w:ascii="Times New Roman"/>
                <w:sz w:val="17"/>
              </w:rPr>
            </w:pPr>
          </w:p>
          <w:p>
            <w:pPr>
              <w:pStyle w:val="TableParagraph"/>
              <w:tabs>
                <w:tab w:pos="790" w:val="left" w:leader="none"/>
                <w:tab w:pos="2498" w:val="left" w:leader="none"/>
              </w:tabs>
              <w:spacing w:before="1"/>
              <w:ind w:left="107"/>
              <w:rPr>
                <w:sz w:val="18"/>
              </w:rPr>
            </w:pPr>
            <w:r>
              <w:rPr>
                <w:b/>
                <w:sz w:val="21"/>
              </w:rPr>
              <w:t>6.1</w:t>
              <w:tab/>
              <w:t>您解除合同的手</w:t>
              <w:tab/>
            </w:r>
            <w:r>
              <w:rPr>
                <w:position w:val="1"/>
                <w:sz w:val="18"/>
              </w:rPr>
              <w:t>您在犹豫期后</w:t>
            </w:r>
            <w:r>
              <w:rPr>
                <w:spacing w:val="-13"/>
                <w:position w:val="1"/>
                <w:sz w:val="18"/>
              </w:rPr>
              <w:t>，</w:t>
            </w:r>
            <w:r>
              <w:rPr>
                <w:position w:val="1"/>
                <w:sz w:val="18"/>
              </w:rPr>
              <w:t>可以书面通知我们要求解除本合同</w:t>
            </w:r>
            <w:r>
              <w:rPr>
                <w:spacing w:val="-13"/>
                <w:position w:val="1"/>
                <w:sz w:val="18"/>
              </w:rPr>
              <w:t>，</w:t>
            </w:r>
            <w:r>
              <w:rPr>
                <w:position w:val="1"/>
                <w:sz w:val="18"/>
              </w:rPr>
              <w:t>自本公司收到合同解除申请书之日起</w:t>
            </w:r>
            <w:r>
              <w:rPr>
                <w:spacing w:val="-13"/>
                <w:position w:val="1"/>
                <w:sz w:val="18"/>
              </w:rPr>
              <w:t>，</w:t>
            </w:r>
            <w:r>
              <w:rPr>
                <w:position w:val="1"/>
                <w:sz w:val="18"/>
              </w:rPr>
              <w:t>本</w:t>
            </w:r>
          </w:p>
          <w:p>
            <w:pPr>
              <w:pStyle w:val="TableParagraph"/>
              <w:tabs>
                <w:tab w:pos="2498" w:val="left" w:leader="none"/>
              </w:tabs>
              <w:spacing w:before="37"/>
              <w:ind w:left="790"/>
              <w:rPr>
                <w:sz w:val="18"/>
              </w:rPr>
            </w:pPr>
            <w:r>
              <w:rPr>
                <w:b/>
                <w:sz w:val="21"/>
              </w:rPr>
              <w:t>续及风险</w:t>
              <w:tab/>
            </w:r>
            <w:r>
              <w:rPr>
                <w:position w:val="1"/>
                <w:sz w:val="18"/>
              </w:rPr>
              <w:t>合同效力即行终止。</w:t>
            </w:r>
          </w:p>
          <w:p>
            <w:pPr>
              <w:pStyle w:val="TableParagraph"/>
              <w:spacing w:line="216" w:lineRule="exact" w:before="62"/>
              <w:ind w:left="2498"/>
              <w:rPr>
                <w:sz w:val="18"/>
              </w:rPr>
            </w:pPr>
            <w:r>
              <w:rPr>
                <w:sz w:val="18"/>
              </w:rPr>
              <w:t>您解除本合同时，应填写合同解除申请书，并提供下列证明和资料：</w:t>
            </w:r>
          </w:p>
        </w:tc>
      </w:tr>
    </w:tbl>
    <w:p>
      <w:pPr>
        <w:spacing w:after="0" w:line="216" w:lineRule="exact"/>
        <w:rPr>
          <w:sz w:val="18"/>
        </w:rPr>
        <w:sectPr>
          <w:pgSz w:w="11910" w:h="16840"/>
          <w:pgMar w:header="857" w:footer="981" w:top="1040" w:bottom="1180" w:left="1080" w:right="660"/>
        </w:sectPr>
      </w:pPr>
    </w:p>
    <w:p>
      <w:pPr>
        <w:pStyle w:val="BodyText"/>
        <w:rPr>
          <w:rFonts w:ascii="Times New Roman"/>
          <w:sz w:val="20"/>
        </w:rPr>
      </w:pPr>
      <w:r>
        <w:rPr/>
        <w:pict>
          <v:shape style="position:absolute;margin-left:59.82pt;margin-top:55.259998pt;width:497.1pt;height:720.1pt;mso-position-horizontal-relative:page;mso-position-vertical-relative:page;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764"/>
                    <w:gridCol w:w="7550"/>
                  </w:tblGrid>
                  <w:tr>
                    <w:trPr>
                      <w:trHeight w:val="1078" w:hRule="atLeast"/>
                    </w:trPr>
                    <w:tc>
                      <w:tcPr>
                        <w:tcW w:w="628" w:type="dxa"/>
                        <w:tcBorders>
                          <w:top w:val="single" w:sz="6" w:space="0" w:color="000000"/>
                        </w:tcBorders>
                      </w:tcPr>
                      <w:p>
                        <w:pPr>
                          <w:pStyle w:val="TableParagraph"/>
                          <w:rPr>
                            <w:rFonts w:ascii="Times New Roman"/>
                            <w:sz w:val="18"/>
                          </w:rPr>
                        </w:pPr>
                      </w:p>
                    </w:tc>
                    <w:tc>
                      <w:tcPr>
                        <w:tcW w:w="1764" w:type="dxa"/>
                        <w:tcBorders>
                          <w:top w:val="single" w:sz="6" w:space="0" w:color="000000"/>
                        </w:tcBorders>
                      </w:tcPr>
                      <w:p>
                        <w:pPr>
                          <w:pStyle w:val="TableParagraph"/>
                          <w:rPr>
                            <w:rFonts w:ascii="Times New Roman"/>
                            <w:sz w:val="18"/>
                          </w:rPr>
                        </w:pPr>
                      </w:p>
                    </w:tc>
                    <w:tc>
                      <w:tcPr>
                        <w:tcW w:w="7550" w:type="dxa"/>
                        <w:tcBorders>
                          <w:top w:val="single" w:sz="6" w:space="0" w:color="000000"/>
                        </w:tcBorders>
                      </w:tcPr>
                      <w:p>
                        <w:pPr>
                          <w:pStyle w:val="TableParagraph"/>
                          <w:spacing w:before="8"/>
                          <w:rPr>
                            <w:sz w:val="23"/>
                          </w:rPr>
                        </w:pPr>
                      </w:p>
                      <w:p>
                        <w:pPr>
                          <w:pStyle w:val="TableParagraph"/>
                          <w:ind w:left="106"/>
                          <w:rPr>
                            <w:sz w:val="18"/>
                          </w:rPr>
                        </w:pPr>
                        <w:r>
                          <w:rPr>
                            <w:sz w:val="18"/>
                          </w:rPr>
                          <w:t>1、 保险合同；</w:t>
                        </w:r>
                      </w:p>
                      <w:p>
                        <w:pPr>
                          <w:pStyle w:val="TableParagraph"/>
                          <w:spacing w:before="76"/>
                          <w:ind w:left="106"/>
                          <w:rPr>
                            <w:sz w:val="18"/>
                          </w:rPr>
                        </w:pPr>
                        <w:r>
                          <w:rPr>
                            <w:sz w:val="18"/>
                          </w:rPr>
                          <w:t>2、 您的有效身份证件。</w:t>
                        </w:r>
                      </w:p>
                    </w:tc>
                  </w:tr>
                  <w:tr>
                    <w:trPr>
                      <w:trHeight w:val="467" w:hRule="atLeast"/>
                    </w:trPr>
                    <w:tc>
                      <w:tcPr>
                        <w:tcW w:w="628" w:type="dxa"/>
                      </w:tcPr>
                      <w:p>
                        <w:pPr>
                          <w:pStyle w:val="TableParagraph"/>
                          <w:rPr>
                            <w:rFonts w:ascii="Times New Roman"/>
                            <w:sz w:val="18"/>
                          </w:rPr>
                        </w:pPr>
                      </w:p>
                    </w:tc>
                    <w:tc>
                      <w:tcPr>
                        <w:tcW w:w="1764" w:type="dxa"/>
                      </w:tcPr>
                      <w:p>
                        <w:pPr>
                          <w:pStyle w:val="TableParagraph"/>
                          <w:rPr>
                            <w:rFonts w:ascii="Times New Roman"/>
                            <w:sz w:val="18"/>
                          </w:rPr>
                        </w:pPr>
                      </w:p>
                    </w:tc>
                    <w:tc>
                      <w:tcPr>
                        <w:tcW w:w="7550" w:type="dxa"/>
                      </w:tcPr>
                      <w:p>
                        <w:pPr>
                          <w:pStyle w:val="TableParagraph"/>
                          <w:spacing w:before="9"/>
                          <w:rPr>
                            <w:sz w:val="12"/>
                          </w:rPr>
                        </w:pPr>
                      </w:p>
                      <w:p>
                        <w:pPr>
                          <w:pStyle w:val="TableParagraph"/>
                          <w:ind w:left="106"/>
                          <w:rPr>
                            <w:sz w:val="18"/>
                          </w:rPr>
                        </w:pPr>
                        <w:r>
                          <w:rPr>
                            <w:sz w:val="18"/>
                          </w:rPr>
                          <w:t>您在犹豫期后解除合同会遭受一定损失。</w:t>
                        </w:r>
                      </w:p>
                    </w:tc>
                  </w:tr>
                  <w:tr>
                    <w:trPr>
                      <w:trHeight w:val="442" w:hRule="atLeast"/>
                    </w:trPr>
                    <w:tc>
                      <w:tcPr>
                        <w:tcW w:w="628" w:type="dxa"/>
                      </w:tcPr>
                      <w:p>
                        <w:pPr>
                          <w:pStyle w:val="TableParagraph"/>
                          <w:rPr>
                            <w:rFonts w:ascii="Times New Roman"/>
                            <w:sz w:val="18"/>
                          </w:rPr>
                        </w:pPr>
                      </w:p>
                    </w:tc>
                    <w:tc>
                      <w:tcPr>
                        <w:tcW w:w="1764" w:type="dxa"/>
                      </w:tcPr>
                      <w:p>
                        <w:pPr>
                          <w:pStyle w:val="TableParagraph"/>
                          <w:rPr>
                            <w:rFonts w:ascii="Times New Roman"/>
                            <w:sz w:val="18"/>
                          </w:rPr>
                        </w:pPr>
                      </w:p>
                    </w:tc>
                    <w:tc>
                      <w:tcPr>
                        <w:tcW w:w="7550" w:type="dxa"/>
                      </w:tcPr>
                      <w:p>
                        <w:pPr>
                          <w:pStyle w:val="TableParagraph"/>
                          <w:spacing w:before="10"/>
                          <w:ind w:left="106"/>
                          <w:rPr>
                            <w:sz w:val="18"/>
                          </w:rPr>
                        </w:pPr>
                        <w:r>
                          <w:rPr>
                            <w:sz w:val="18"/>
                          </w:rPr>
                          <w:t>解除合同后，受益人不能对合同解除前发生的保险事故申请给付保险金。</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b/>
                            <w:sz w:val="40"/>
                          </w:rPr>
                        </w:pPr>
                        <w:r>
                          <w:rPr>
                            <w:rFonts w:ascii="Yu Gothic"/>
                            <w:b/>
                            <w:w w:val="155"/>
                            <w:sz w:val="40"/>
                          </w:rPr>
                          <w:t>0</w:t>
                        </w:r>
                      </w:p>
                    </w:tc>
                    <w:tc>
                      <w:tcPr>
                        <w:tcW w:w="9314" w:type="dxa"/>
                        <w:gridSpan w:val="2"/>
                        <w:tcBorders>
                          <w:bottom w:val="single" w:sz="4" w:space="0" w:color="000000"/>
                        </w:tcBorders>
                      </w:tcPr>
                      <w:p>
                        <w:pPr>
                          <w:pStyle w:val="TableParagraph"/>
                          <w:spacing w:before="212"/>
                          <w:ind w:left="162"/>
                          <w:rPr>
                            <w:b/>
                            <w:sz w:val="24"/>
                          </w:rPr>
                        </w:pPr>
                        <w:r>
                          <w:rPr>
                            <w:b/>
                            <w:sz w:val="24"/>
                          </w:rPr>
                          <w:t>其他需要您关注的事项</w:t>
                        </w:r>
                      </w:p>
                    </w:tc>
                  </w:tr>
                  <w:tr>
                    <w:trPr>
                      <w:trHeight w:val="841"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7.1</w:t>
                        </w:r>
                      </w:p>
                    </w:tc>
                    <w:tc>
                      <w:tcPr>
                        <w:tcW w:w="1764" w:type="dxa"/>
                        <w:tcBorders>
                          <w:top w:val="single" w:sz="4" w:space="0" w:color="000000"/>
                        </w:tcBorders>
                      </w:tcPr>
                      <w:p>
                        <w:pPr>
                          <w:pStyle w:val="TableParagraph"/>
                          <w:spacing w:before="5"/>
                          <w:rPr>
                            <w:sz w:val="15"/>
                          </w:rPr>
                        </w:pPr>
                      </w:p>
                      <w:p>
                        <w:pPr>
                          <w:pStyle w:val="TableParagraph"/>
                          <w:spacing w:before="1"/>
                          <w:ind w:left="162"/>
                          <w:rPr>
                            <w:b/>
                            <w:sz w:val="21"/>
                          </w:rPr>
                        </w:pPr>
                        <w:r>
                          <w:rPr>
                            <w:b/>
                            <w:sz w:val="21"/>
                          </w:rPr>
                          <w:t>投保范围</w:t>
                        </w:r>
                      </w:p>
                    </w:tc>
                    <w:tc>
                      <w:tcPr>
                        <w:tcW w:w="7550" w:type="dxa"/>
                        <w:tcBorders>
                          <w:top w:val="single" w:sz="4" w:space="0" w:color="000000"/>
                        </w:tcBorders>
                      </w:tcPr>
                      <w:p>
                        <w:pPr>
                          <w:pStyle w:val="TableParagraph"/>
                          <w:spacing w:line="310" w:lineRule="atLeast" w:before="153"/>
                          <w:ind w:left="106" w:right="151"/>
                          <w:rPr>
                            <w:sz w:val="18"/>
                          </w:rPr>
                        </w:pPr>
                        <w:r>
                          <w:rPr>
                            <w:sz w:val="18"/>
                          </w:rPr>
                          <w:t>1、被保险人条件：凡投保时出生满二十八天至六十五周岁(含六十五周岁)，身体健康，能正常工作或学习的人，均可作为本保险的被保险人。</w:t>
                        </w:r>
                      </w:p>
                    </w:tc>
                  </w:tr>
                  <w:tr>
                    <w:trPr>
                      <w:trHeight w:val="729" w:hRule="atLeast"/>
                    </w:trPr>
                    <w:tc>
                      <w:tcPr>
                        <w:tcW w:w="628" w:type="dxa"/>
                      </w:tcPr>
                      <w:p>
                        <w:pPr>
                          <w:pStyle w:val="TableParagraph"/>
                          <w:rPr>
                            <w:rFonts w:ascii="Times New Roman"/>
                            <w:sz w:val="18"/>
                          </w:rPr>
                        </w:pPr>
                      </w:p>
                    </w:tc>
                    <w:tc>
                      <w:tcPr>
                        <w:tcW w:w="1764" w:type="dxa"/>
                      </w:tcPr>
                      <w:p>
                        <w:pPr>
                          <w:pStyle w:val="TableParagraph"/>
                          <w:rPr>
                            <w:rFonts w:ascii="Times New Roman"/>
                            <w:sz w:val="18"/>
                          </w:rPr>
                        </w:pPr>
                      </w:p>
                    </w:tc>
                    <w:tc>
                      <w:tcPr>
                        <w:tcW w:w="7550" w:type="dxa"/>
                      </w:tcPr>
                      <w:p>
                        <w:pPr>
                          <w:pStyle w:val="TableParagraph"/>
                          <w:spacing w:line="316" w:lineRule="auto" w:before="10"/>
                          <w:ind w:left="106" w:right="151"/>
                          <w:rPr>
                            <w:sz w:val="18"/>
                          </w:rPr>
                        </w:pPr>
                        <w:r>
                          <w:rPr>
                            <w:sz w:val="18"/>
                          </w:rPr>
                          <w:t>2、投保人条件：凡订立本合同时年满十八周岁，具有完全民事行为能力且对被保险人具有保险利益的人，均可作为本保险的投保人。</w:t>
                        </w:r>
                      </w:p>
                    </w:tc>
                  </w:tr>
                  <w:tr>
                    <w:trPr>
                      <w:trHeight w:val="2617" w:hRule="atLeast"/>
                    </w:trPr>
                    <w:tc>
                      <w:tcPr>
                        <w:tcW w:w="9942" w:type="dxa"/>
                        <w:gridSpan w:val="3"/>
                      </w:tcPr>
                      <w:p>
                        <w:pPr>
                          <w:pStyle w:val="TableParagraph"/>
                          <w:tabs>
                            <w:tab w:pos="790" w:val="left" w:leader="none"/>
                            <w:tab w:pos="2498" w:val="left" w:leader="none"/>
                          </w:tabs>
                          <w:spacing w:before="106"/>
                          <w:ind w:left="107"/>
                          <w:rPr>
                            <w:sz w:val="18"/>
                          </w:rPr>
                        </w:pPr>
                        <w:r>
                          <w:rPr>
                            <w:b/>
                            <w:sz w:val="21"/>
                          </w:rPr>
                          <w:t>7.2</w:t>
                          <w:tab/>
                          <w:t>明确说明与如实</w:t>
                          <w:tab/>
                        </w:r>
                        <w:r>
                          <w:rPr>
                            <w:position w:val="1"/>
                            <w:sz w:val="18"/>
                          </w:rPr>
                          <w:t>订立本合同时，本公司应向您说明本合同的内容。</w:t>
                        </w:r>
                      </w:p>
                      <w:p>
                        <w:pPr>
                          <w:pStyle w:val="TableParagraph"/>
                          <w:tabs>
                            <w:tab w:pos="2498" w:val="left" w:leader="none"/>
                          </w:tabs>
                          <w:spacing w:line="304" w:lineRule="auto" w:before="36"/>
                          <w:ind w:left="2498" w:right="97" w:hanging="1708"/>
                          <w:jc w:val="both"/>
                          <w:rPr>
                            <w:sz w:val="18"/>
                          </w:rPr>
                        </w:pPr>
                        <w:r>
                          <w:rPr>
                            <w:b/>
                            <w:sz w:val="21"/>
                          </w:rPr>
                          <w:t>告知</w:t>
                          <w:tab/>
                        </w:r>
                        <w:r>
                          <w:rPr>
                            <w:position w:val="1"/>
                            <w:sz w:val="18"/>
                          </w:rPr>
                          <w:t>对保险条款中免除本公司责任的条款</w:t>
                        </w:r>
                        <w:r>
                          <w:rPr>
                            <w:spacing w:val="-18"/>
                            <w:position w:val="1"/>
                            <w:sz w:val="18"/>
                          </w:rPr>
                          <w:t>，</w:t>
                        </w:r>
                        <w:r>
                          <w:rPr>
                            <w:position w:val="1"/>
                            <w:sz w:val="18"/>
                          </w:rPr>
                          <w:t>本公司在订立合同时应当在投保单</w:t>
                        </w:r>
                        <w:r>
                          <w:rPr>
                            <w:spacing w:val="-18"/>
                            <w:position w:val="1"/>
                            <w:sz w:val="18"/>
                          </w:rPr>
                          <w:t>、</w:t>
                        </w:r>
                        <w:r>
                          <w:rPr>
                            <w:position w:val="1"/>
                            <w:sz w:val="18"/>
                          </w:rPr>
                          <w:t>保险单或者其他保</w:t>
                        </w:r>
                        <w:r>
                          <w:rPr>
                            <w:sz w:val="18"/>
                          </w:rPr>
                          <w:t>险凭证上作出足以引起您注意的提示</w:t>
                        </w:r>
                        <w:r>
                          <w:rPr>
                            <w:spacing w:val="-38"/>
                            <w:sz w:val="18"/>
                          </w:rPr>
                          <w:t>，</w:t>
                        </w:r>
                        <w:r>
                          <w:rPr>
                            <w:sz w:val="18"/>
                          </w:rPr>
                          <w:t>并对该条款的内容以书面或者口头形式向您作出明确说明，未作提示或者明确说明的，该条款不产生效力。</w:t>
                        </w:r>
                      </w:p>
                      <w:p>
                        <w:pPr>
                          <w:pStyle w:val="TableParagraph"/>
                          <w:spacing w:before="27"/>
                          <w:ind w:left="2498"/>
                          <w:rPr>
                            <w:sz w:val="18"/>
                          </w:rPr>
                        </w:pPr>
                        <w:r>
                          <w:rPr>
                            <w:sz w:val="18"/>
                          </w:rPr>
                          <w:t>本公司就您和被保险人的有关情况提出询问，您应当如实告知。</w:t>
                        </w:r>
                      </w:p>
                      <w:p>
                        <w:pPr>
                          <w:pStyle w:val="TableParagraph"/>
                          <w:spacing w:line="316" w:lineRule="auto" w:before="76"/>
                          <w:ind w:left="2498" w:right="40"/>
                          <w:rPr>
                            <w:sz w:val="18"/>
                          </w:rPr>
                        </w:pPr>
                        <w:r>
                          <w:rPr>
                            <w:sz w:val="18"/>
                          </w:rPr>
                          <w:t>如果您故意或者因重大过失未履行前款规定的如实告知义务，足以影响我们决定是否同意承保或者提高保险费率的，我们有权解除合同。</w:t>
                        </w:r>
                      </w:p>
                      <w:p>
                        <w:pPr>
                          <w:pStyle w:val="TableParagraph"/>
                          <w:spacing w:before="18"/>
                          <w:ind w:left="2498"/>
                          <w:rPr>
                            <w:sz w:val="18"/>
                          </w:rPr>
                        </w:pPr>
                        <w:r>
                          <w:rPr>
                            <w:sz w:val="18"/>
                          </w:rPr>
                          <w:t>您故意不履行如实告知义务的，我们对于合同解除前发生的保险事故，不承担给付保险金的责</w:t>
                        </w:r>
                      </w:p>
                    </w:tc>
                  </w:tr>
                  <w:tr>
                    <w:trPr>
                      <w:trHeight w:val="935" w:hRule="atLeast"/>
                    </w:trPr>
                    <w:tc>
                      <w:tcPr>
                        <w:tcW w:w="628" w:type="dxa"/>
                      </w:tcPr>
                      <w:p>
                        <w:pPr>
                          <w:pStyle w:val="TableParagraph"/>
                          <w:rPr>
                            <w:rFonts w:ascii="Times New Roman"/>
                            <w:sz w:val="18"/>
                          </w:rPr>
                        </w:pPr>
                      </w:p>
                    </w:tc>
                    <w:tc>
                      <w:tcPr>
                        <w:tcW w:w="1764" w:type="dxa"/>
                      </w:tcPr>
                      <w:p>
                        <w:pPr>
                          <w:pStyle w:val="TableParagraph"/>
                          <w:rPr>
                            <w:rFonts w:ascii="Times New Roman"/>
                            <w:sz w:val="18"/>
                          </w:rPr>
                        </w:pPr>
                      </w:p>
                    </w:tc>
                    <w:tc>
                      <w:tcPr>
                        <w:tcW w:w="7550" w:type="dxa"/>
                      </w:tcPr>
                      <w:p>
                        <w:pPr>
                          <w:pStyle w:val="TableParagraph"/>
                          <w:spacing w:before="10"/>
                          <w:ind w:left="106"/>
                          <w:rPr>
                            <w:sz w:val="18"/>
                          </w:rPr>
                        </w:pPr>
                        <w:r>
                          <w:rPr>
                            <w:sz w:val="18"/>
                          </w:rPr>
                          <w:t>任，并不返还保险费。</w:t>
                        </w:r>
                      </w:p>
                      <w:p>
                        <w:pPr>
                          <w:pStyle w:val="TableParagraph"/>
                          <w:spacing w:line="310" w:lineRule="atLeast" w:before="1"/>
                          <w:ind w:left="106" w:right="40"/>
                          <w:rPr>
                            <w:sz w:val="18"/>
                          </w:rPr>
                        </w:pPr>
                        <w:r>
                          <w:rPr>
                            <w:sz w:val="18"/>
                          </w:rPr>
                          <w:t>您因重大过失未履行如实告知义务，对保险事故的发生有严重影响的，我们对于合同解除前发生的保险事故，不承担给付保险金的责任，但应当返还保险费。</w:t>
                        </w:r>
                      </w:p>
                    </w:tc>
                  </w:tr>
                  <w:tr>
                    <w:trPr>
                      <w:trHeight w:val="729" w:hRule="atLeast"/>
                    </w:trPr>
                    <w:tc>
                      <w:tcPr>
                        <w:tcW w:w="628" w:type="dxa"/>
                      </w:tcPr>
                      <w:p>
                        <w:pPr>
                          <w:pStyle w:val="TableParagraph"/>
                          <w:rPr>
                            <w:rFonts w:ascii="Times New Roman"/>
                            <w:sz w:val="18"/>
                          </w:rPr>
                        </w:pPr>
                      </w:p>
                    </w:tc>
                    <w:tc>
                      <w:tcPr>
                        <w:tcW w:w="1764" w:type="dxa"/>
                      </w:tcPr>
                      <w:p>
                        <w:pPr>
                          <w:pStyle w:val="TableParagraph"/>
                          <w:rPr>
                            <w:rFonts w:ascii="Times New Roman"/>
                            <w:sz w:val="18"/>
                          </w:rPr>
                        </w:pPr>
                      </w:p>
                    </w:tc>
                    <w:tc>
                      <w:tcPr>
                        <w:tcW w:w="7550" w:type="dxa"/>
                      </w:tcPr>
                      <w:p>
                        <w:pPr>
                          <w:pStyle w:val="TableParagraph"/>
                          <w:spacing w:line="316" w:lineRule="auto" w:before="10"/>
                          <w:ind w:left="106" w:right="8"/>
                          <w:rPr>
                            <w:sz w:val="18"/>
                          </w:rPr>
                        </w:pPr>
                        <w:r>
                          <w:rPr>
                            <w:spacing w:val="-5"/>
                            <w:sz w:val="18"/>
                          </w:rPr>
                          <w:t>本公司在合同订立时已经知道您未如实告知的情况的，本公司不得解除合同；发生保险事故的， 本公司承担给付保险金的责任。</w:t>
                        </w:r>
                      </w:p>
                    </w:tc>
                  </w:tr>
                  <w:tr>
                    <w:trPr>
                      <w:trHeight w:val="857" w:hRule="atLeast"/>
                    </w:trPr>
                    <w:tc>
                      <w:tcPr>
                        <w:tcW w:w="628" w:type="dxa"/>
                      </w:tcPr>
                      <w:p>
                        <w:pPr>
                          <w:pStyle w:val="TableParagraph"/>
                          <w:spacing w:before="106"/>
                          <w:ind w:left="107"/>
                          <w:rPr>
                            <w:b/>
                            <w:sz w:val="21"/>
                          </w:rPr>
                        </w:pPr>
                        <w:r>
                          <w:rPr>
                            <w:b/>
                            <w:sz w:val="21"/>
                          </w:rPr>
                          <w:t>7.3</w:t>
                        </w:r>
                      </w:p>
                    </w:tc>
                    <w:tc>
                      <w:tcPr>
                        <w:tcW w:w="1764" w:type="dxa"/>
                      </w:tcPr>
                      <w:p>
                        <w:pPr>
                          <w:pStyle w:val="TableParagraph"/>
                          <w:spacing w:line="273" w:lineRule="auto" w:before="106"/>
                          <w:ind w:left="162" w:right="105"/>
                          <w:rPr>
                            <w:b/>
                            <w:sz w:val="21"/>
                          </w:rPr>
                        </w:pPr>
                        <w:r>
                          <w:rPr>
                            <w:b/>
                            <w:sz w:val="21"/>
                          </w:rPr>
                          <w:t>本公司合同解除权的限制</w:t>
                        </w:r>
                      </w:p>
                    </w:tc>
                    <w:tc>
                      <w:tcPr>
                        <w:tcW w:w="7550" w:type="dxa"/>
                      </w:tcPr>
                      <w:p>
                        <w:pPr>
                          <w:pStyle w:val="TableParagraph"/>
                          <w:spacing w:line="316" w:lineRule="auto" w:before="132"/>
                          <w:ind w:left="106" w:right="7"/>
                          <w:rPr>
                            <w:sz w:val="18"/>
                          </w:rPr>
                        </w:pPr>
                        <w:r>
                          <w:rPr>
                            <w:spacing w:val="-4"/>
                            <w:sz w:val="18"/>
                          </w:rPr>
                          <w:t>前条规定的合同解除权，自我们知道有解除事由之日起，超过三十日不行使而消灭。自本合同</w:t>
                        </w:r>
                        <w:r>
                          <w:rPr>
                            <w:spacing w:val="-12"/>
                            <w:sz w:val="18"/>
                          </w:rPr>
                          <w:t>成立之日起超过二年的，我们不得解除合同；发生保险事故的，我们将承担给付保险金的责任。</w:t>
                        </w:r>
                      </w:p>
                    </w:tc>
                  </w:tr>
                  <w:tr>
                    <w:trPr>
                      <w:trHeight w:val="1213" w:hRule="atLeast"/>
                    </w:trPr>
                    <w:tc>
                      <w:tcPr>
                        <w:tcW w:w="9942" w:type="dxa"/>
                        <w:gridSpan w:val="3"/>
                      </w:tcPr>
                      <w:p>
                        <w:pPr>
                          <w:pStyle w:val="TableParagraph"/>
                          <w:tabs>
                            <w:tab w:pos="790" w:val="left" w:leader="none"/>
                            <w:tab w:pos="2498" w:val="left" w:leader="none"/>
                          </w:tabs>
                          <w:spacing w:before="99"/>
                          <w:ind w:left="107"/>
                          <w:rPr>
                            <w:sz w:val="18"/>
                          </w:rPr>
                        </w:pPr>
                        <w:r>
                          <w:rPr>
                            <w:b/>
                            <w:sz w:val="21"/>
                          </w:rPr>
                          <w:t>7.4</w:t>
                          <w:tab/>
                          <w:t>年龄计算与</w:t>
                          <w:tab/>
                        </w:r>
                        <w:r>
                          <w:rPr>
                            <w:position w:val="1"/>
                            <w:sz w:val="18"/>
                          </w:rPr>
                          <w:t>您在申请投保时</w:t>
                        </w:r>
                        <w:r>
                          <w:rPr>
                            <w:spacing w:val="-18"/>
                            <w:position w:val="1"/>
                            <w:sz w:val="18"/>
                          </w:rPr>
                          <w:t>，</w:t>
                        </w:r>
                        <w:r>
                          <w:rPr>
                            <w:position w:val="1"/>
                            <w:sz w:val="18"/>
                          </w:rPr>
                          <w:t>应将与有效身份证件相符的被保险人的出生日期在投保单上填明</w:t>
                        </w:r>
                        <w:r>
                          <w:rPr>
                            <w:spacing w:val="-18"/>
                            <w:position w:val="1"/>
                            <w:sz w:val="18"/>
                          </w:rPr>
                          <w:t>，</w:t>
                        </w:r>
                        <w:r>
                          <w:rPr>
                            <w:position w:val="1"/>
                            <w:sz w:val="18"/>
                          </w:rPr>
                          <w:t>若发生错</w:t>
                        </w:r>
                      </w:p>
                      <w:p>
                        <w:pPr>
                          <w:pStyle w:val="TableParagraph"/>
                          <w:tabs>
                            <w:tab w:pos="2498" w:val="left" w:leader="none"/>
                          </w:tabs>
                          <w:spacing w:before="36"/>
                          <w:ind w:left="790"/>
                          <w:rPr>
                            <w:sz w:val="18"/>
                          </w:rPr>
                        </w:pPr>
                        <w:r>
                          <w:rPr>
                            <w:b/>
                            <w:sz w:val="21"/>
                          </w:rPr>
                          <w:t>错误处理</w:t>
                          <w:tab/>
                        </w:r>
                        <w:r>
                          <w:rPr>
                            <w:position w:val="1"/>
                            <w:sz w:val="18"/>
                          </w:rPr>
                          <w:t>误按下列规定办理：</w:t>
                        </w:r>
                      </w:p>
                      <w:p>
                        <w:pPr>
                          <w:pStyle w:val="TableParagraph"/>
                          <w:spacing w:before="62"/>
                          <w:ind w:left="2498"/>
                          <w:rPr>
                            <w:sz w:val="18"/>
                          </w:rPr>
                        </w:pPr>
                        <w:r>
                          <w:rPr>
                            <w:sz w:val="18"/>
                          </w:rPr>
                          <w:t>1、真实投保年龄不符合本合同约定的投保年龄范围的，在保险事故发生之前本公司有权解除</w:t>
                        </w:r>
                      </w:p>
                    </w:tc>
                  </w:tr>
                  <w:tr>
                    <w:trPr>
                      <w:trHeight w:val="1397" w:hRule="atLeast"/>
                    </w:trPr>
                    <w:tc>
                      <w:tcPr>
                        <w:tcW w:w="628" w:type="dxa"/>
                      </w:tcPr>
                      <w:p>
                        <w:pPr>
                          <w:pStyle w:val="TableParagraph"/>
                          <w:rPr>
                            <w:rFonts w:ascii="Times New Roman"/>
                            <w:sz w:val="18"/>
                          </w:rPr>
                        </w:pPr>
                      </w:p>
                    </w:tc>
                    <w:tc>
                      <w:tcPr>
                        <w:tcW w:w="1764" w:type="dxa"/>
                      </w:tcPr>
                      <w:p>
                        <w:pPr>
                          <w:pStyle w:val="TableParagraph"/>
                          <w:rPr>
                            <w:rFonts w:ascii="Times New Roman"/>
                            <w:sz w:val="18"/>
                          </w:rPr>
                        </w:pPr>
                      </w:p>
                    </w:tc>
                    <w:tc>
                      <w:tcPr>
                        <w:tcW w:w="7550" w:type="dxa"/>
                      </w:tcPr>
                      <w:p>
                        <w:pPr>
                          <w:pStyle w:val="TableParagraph"/>
                          <w:spacing w:before="159"/>
                          <w:ind w:left="106"/>
                          <w:rPr>
                            <w:sz w:val="18"/>
                          </w:rPr>
                        </w:pPr>
                        <w:r>
                          <w:rPr>
                            <w:sz w:val="18"/>
                          </w:rPr>
                          <w:t>限制”的规定。</w:t>
                        </w:r>
                      </w:p>
                      <w:p>
                        <w:pPr>
                          <w:pStyle w:val="TableParagraph"/>
                          <w:spacing w:line="310" w:lineRule="atLeast" w:before="1"/>
                          <w:ind w:left="106" w:right="97"/>
                          <w:jc w:val="both"/>
                          <w:rPr>
                            <w:sz w:val="18"/>
                          </w:rPr>
                        </w:pPr>
                        <w:r>
                          <w:rPr>
                            <w:sz w:val="18"/>
                          </w:rPr>
                          <w:t>2、您申报的被保险人年龄不真实，致使您实交保险费少于应交保险费的，本公司有权审核更</w:t>
                        </w:r>
                        <w:r>
                          <w:rPr>
                            <w:spacing w:val="-3"/>
                            <w:sz w:val="18"/>
                          </w:rPr>
                          <w:t>正并要求您补交保险费；若补交保险费前已发生保险事故，本公司按照实交保险费与应交保险费的比例给付保险金。</w:t>
                        </w:r>
                      </w:p>
                    </w:tc>
                  </w:tr>
                  <w:tr>
                    <w:trPr>
                      <w:trHeight w:val="729" w:hRule="atLeast"/>
                    </w:trPr>
                    <w:tc>
                      <w:tcPr>
                        <w:tcW w:w="628" w:type="dxa"/>
                      </w:tcPr>
                      <w:p>
                        <w:pPr>
                          <w:pStyle w:val="TableParagraph"/>
                          <w:rPr>
                            <w:rFonts w:ascii="Times New Roman"/>
                            <w:sz w:val="18"/>
                          </w:rPr>
                        </w:pPr>
                      </w:p>
                    </w:tc>
                    <w:tc>
                      <w:tcPr>
                        <w:tcW w:w="1764" w:type="dxa"/>
                      </w:tcPr>
                      <w:p>
                        <w:pPr>
                          <w:pStyle w:val="TableParagraph"/>
                          <w:rPr>
                            <w:rFonts w:ascii="Times New Roman"/>
                            <w:sz w:val="18"/>
                          </w:rPr>
                        </w:pPr>
                      </w:p>
                    </w:tc>
                    <w:tc>
                      <w:tcPr>
                        <w:tcW w:w="7550" w:type="dxa"/>
                      </w:tcPr>
                      <w:p>
                        <w:pPr>
                          <w:pStyle w:val="TableParagraph"/>
                          <w:spacing w:line="316" w:lineRule="auto" w:before="10"/>
                          <w:ind w:left="106" w:right="151"/>
                          <w:rPr>
                            <w:sz w:val="18"/>
                          </w:rPr>
                        </w:pPr>
                        <w:r>
                          <w:rPr>
                            <w:sz w:val="18"/>
                          </w:rPr>
                          <w:t>3、您申报的被保险人年龄不真实，致使您实交保险费多于应交保险费的，本公司将多收的保险费无息返还您。</w:t>
                        </w:r>
                      </w:p>
                    </w:tc>
                  </w:tr>
                  <w:tr>
                    <w:trPr>
                      <w:trHeight w:val="1058" w:hRule="atLeast"/>
                    </w:trPr>
                    <w:tc>
                      <w:tcPr>
                        <w:tcW w:w="628" w:type="dxa"/>
                      </w:tcPr>
                      <w:p>
                        <w:pPr>
                          <w:pStyle w:val="TableParagraph"/>
                          <w:spacing w:before="107"/>
                          <w:ind w:left="107"/>
                          <w:rPr>
                            <w:b/>
                            <w:sz w:val="21"/>
                          </w:rPr>
                        </w:pPr>
                        <w:r>
                          <w:rPr>
                            <w:b/>
                            <w:sz w:val="21"/>
                          </w:rPr>
                          <w:t>7.5</w:t>
                        </w:r>
                      </w:p>
                    </w:tc>
                    <w:tc>
                      <w:tcPr>
                        <w:tcW w:w="1764" w:type="dxa"/>
                      </w:tcPr>
                      <w:p>
                        <w:pPr>
                          <w:pStyle w:val="TableParagraph"/>
                          <w:spacing w:before="107"/>
                          <w:ind w:left="162"/>
                          <w:rPr>
                            <w:b/>
                            <w:sz w:val="21"/>
                          </w:rPr>
                        </w:pPr>
                        <w:r>
                          <w:rPr>
                            <w:b/>
                            <w:w w:val="95"/>
                            <w:sz w:val="21"/>
                          </w:rPr>
                          <w:t>联系方式变更</w:t>
                        </w:r>
                      </w:p>
                    </w:tc>
                    <w:tc>
                      <w:tcPr>
                        <w:tcW w:w="7550" w:type="dxa"/>
                      </w:tcPr>
                      <w:p>
                        <w:pPr>
                          <w:pStyle w:val="TableParagraph"/>
                          <w:spacing w:line="310" w:lineRule="atLeast" w:before="58"/>
                          <w:ind w:left="106" w:right="97"/>
                          <w:jc w:val="both"/>
                          <w:rPr>
                            <w:sz w:val="18"/>
                          </w:rPr>
                        </w:pPr>
                        <w:r>
                          <w:rPr>
                            <w:spacing w:val="-4"/>
                            <w:sz w:val="18"/>
                          </w:rPr>
                          <w:t>为了保障您的合法权益，您或被保险人的住所、通讯地址或电话等联系方式变更时，应及时以</w:t>
                        </w:r>
                        <w:r>
                          <w:rPr>
                            <w:spacing w:val="-6"/>
                            <w:sz w:val="18"/>
                          </w:rPr>
                          <w:t>书面形式或双方认可的其他形式通知本公司。若您或被保险人未作前述通知的，本公司按本合同载明的最后住所或通讯地址发送有关通知，视为已通知您或被保险人。</w:t>
                        </w:r>
                      </w:p>
                    </w:tc>
                  </w:tr>
                  <w:tr>
                    <w:trPr>
                      <w:trHeight w:val="557" w:hRule="atLeast"/>
                    </w:trPr>
                    <w:tc>
                      <w:tcPr>
                        <w:tcW w:w="628" w:type="dxa"/>
                      </w:tcPr>
                      <w:p>
                        <w:pPr>
                          <w:pStyle w:val="TableParagraph"/>
                          <w:rPr>
                            <w:rFonts w:ascii="Times New Roman"/>
                            <w:sz w:val="18"/>
                          </w:rPr>
                        </w:pPr>
                      </w:p>
                    </w:tc>
                    <w:tc>
                      <w:tcPr>
                        <w:tcW w:w="1764" w:type="dxa"/>
                      </w:tcPr>
                      <w:p>
                        <w:pPr>
                          <w:pStyle w:val="TableParagraph"/>
                          <w:rPr>
                            <w:rFonts w:ascii="Times New Roman"/>
                            <w:sz w:val="18"/>
                          </w:rPr>
                        </w:pPr>
                      </w:p>
                    </w:tc>
                    <w:tc>
                      <w:tcPr>
                        <w:tcW w:w="7550" w:type="dxa"/>
                      </w:tcPr>
                      <w:p>
                        <w:pPr>
                          <w:pStyle w:val="TableParagraph"/>
                          <w:spacing w:before="10"/>
                          <w:ind w:left="106"/>
                          <w:rPr>
                            <w:sz w:val="18"/>
                          </w:rPr>
                        </w:pPr>
                        <w:r>
                          <w:rPr>
                            <w:sz w:val="18"/>
                          </w:rPr>
                          <w:t>您或被保险人的住所、通讯地址或电话等联系方式变更时，未及时通知本公司，可能导致本公</w:t>
                        </w:r>
                      </w:p>
                      <w:p>
                        <w:pPr>
                          <w:pStyle w:val="TableParagraph"/>
                          <w:spacing w:line="216" w:lineRule="exact" w:before="76"/>
                          <w:ind w:left="106"/>
                          <w:rPr>
                            <w:sz w:val="18"/>
                          </w:rPr>
                        </w:pPr>
                        <w:r>
                          <w:rPr>
                            <w:sz w:val="18"/>
                          </w:rPr>
                          <w:t>司有关通知无法送达您或被保险人，由此而导致的保险单失效及您或者被保险人其它保险利益</w:t>
                        </w:r>
                      </w:p>
                    </w:tc>
                  </w:tr>
                </w:tbl>
                <w:p>
                  <w:pPr>
                    <w:pStyle w:val="BodyText"/>
                  </w:pPr>
                </w:p>
              </w:txbxContent>
            </v:textbox>
            <w10:wrap type="none"/>
          </v:shape>
        </w:pict>
      </w:r>
    </w:p>
    <w:p>
      <w:pPr>
        <w:pStyle w:val="BodyText"/>
        <w:rPr>
          <w:rFonts w:ascii="Times New Roman"/>
          <w:sz w:val="20"/>
        </w:rPr>
      </w:pPr>
    </w:p>
    <w:p>
      <w:pPr>
        <w:pStyle w:val="BodyText"/>
        <w:rPr>
          <w:rFonts w:ascii="Times New Roman"/>
          <w:sz w:val="20"/>
        </w:rPr>
      </w:pPr>
    </w:p>
    <w:p>
      <w:pPr>
        <w:pStyle w:val="BodyText"/>
        <w:spacing w:before="8"/>
        <w:rPr>
          <w:rFonts w:ascii="Times New Roman"/>
          <w:sz w:val="22"/>
        </w:rPr>
      </w:pPr>
    </w:p>
    <w:p>
      <w:pPr>
        <w:pStyle w:val="BodyText"/>
        <w:spacing w:before="44"/>
        <w:ind w:left="2614"/>
      </w:pPr>
      <w:r>
        <w:rPr/>
        <w:t>本公司自收到上述证明和材料之日起三十日内，返还本合同的现金价值净额。</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5"/>
        <w:ind w:left="2614"/>
      </w:pPr>
      <w:r>
        <w:rPr/>
        <w:t>合同，并向您返还本合同的现金价值净额。本公司行使合同解除权适用“本公司合同解除权的</w:t>
      </w:r>
    </w:p>
    <w:p>
      <w:pPr>
        <w:spacing w:after="0"/>
        <w:sectPr>
          <w:pgSz w:w="11910" w:h="16840"/>
          <w:pgMar w:header="857" w:footer="981" w:top="1040" w:bottom="1180" w:left="1080" w:right="660"/>
        </w:sectPr>
      </w:pPr>
    </w:p>
    <w:p>
      <w:pPr>
        <w:pStyle w:val="BodyText"/>
        <w:spacing w:before="3"/>
        <w:rPr>
          <w:sz w:val="20"/>
        </w:rPr>
      </w:pPr>
    </w:p>
    <w:p>
      <w:pPr>
        <w:pStyle w:val="BodyText"/>
        <w:spacing w:before="44"/>
        <w:ind w:left="2614"/>
      </w:pPr>
      <w:r>
        <w:rPr/>
        <w:t>的延误和丧失由您或被保险人来承担。</w:t>
      </w:r>
    </w:p>
    <w:p>
      <w:pPr>
        <w:pStyle w:val="BodyText"/>
        <w:spacing w:before="2"/>
        <w:rPr>
          <w:sz w:val="21"/>
        </w:rPr>
      </w:pPr>
    </w:p>
    <w:p>
      <w:pPr>
        <w:pStyle w:val="ListParagraph"/>
        <w:numPr>
          <w:ilvl w:val="1"/>
          <w:numId w:val="3"/>
        </w:numPr>
        <w:tabs>
          <w:tab w:pos="906" w:val="left" w:leader="none"/>
          <w:tab w:pos="907" w:val="left" w:leader="none"/>
          <w:tab w:pos="2614" w:val="left" w:leader="none"/>
        </w:tabs>
        <w:spacing w:line="304" w:lineRule="auto" w:before="0" w:after="0"/>
        <w:ind w:left="2614" w:right="205" w:hanging="2390"/>
        <w:jc w:val="left"/>
        <w:rPr>
          <w:sz w:val="21"/>
        </w:rPr>
      </w:pPr>
      <w:r>
        <w:rPr>
          <w:b/>
          <w:sz w:val="21"/>
        </w:rPr>
        <w:t>合同内容变更</w:t>
        <w:tab/>
      </w:r>
      <w:r>
        <w:rPr>
          <w:position w:val="1"/>
          <w:sz w:val="18"/>
        </w:rPr>
        <w:t>在本合同有效期内</w:t>
      </w:r>
      <w:r>
        <w:rPr>
          <w:spacing w:val="-10"/>
          <w:position w:val="1"/>
          <w:sz w:val="18"/>
        </w:rPr>
        <w:t>，</w:t>
      </w:r>
      <w:r>
        <w:rPr>
          <w:position w:val="1"/>
          <w:sz w:val="18"/>
        </w:rPr>
        <w:t>经您与本公司协商一致</w:t>
      </w:r>
      <w:r>
        <w:rPr>
          <w:spacing w:val="-10"/>
          <w:position w:val="1"/>
          <w:sz w:val="18"/>
        </w:rPr>
        <w:t>，</w:t>
      </w:r>
      <w:r>
        <w:rPr>
          <w:position w:val="1"/>
          <w:sz w:val="18"/>
        </w:rPr>
        <w:t>可以变更本合同有关内容</w:t>
      </w:r>
      <w:r>
        <w:rPr>
          <w:spacing w:val="-10"/>
          <w:position w:val="1"/>
          <w:sz w:val="18"/>
        </w:rPr>
        <w:t>，</w:t>
      </w:r>
      <w:r>
        <w:rPr>
          <w:position w:val="1"/>
          <w:sz w:val="18"/>
        </w:rPr>
        <w:t>变更本合同的</w:t>
      </w:r>
      <w:r>
        <w:rPr>
          <w:spacing w:val="-10"/>
          <w:position w:val="1"/>
          <w:sz w:val="18"/>
        </w:rPr>
        <w:t>，</w:t>
      </w:r>
      <w:r>
        <w:rPr>
          <w:position w:val="1"/>
          <w:sz w:val="18"/>
        </w:rPr>
        <w:t>应当</w:t>
      </w:r>
      <w:r>
        <w:rPr>
          <w:sz w:val="18"/>
        </w:rPr>
        <w:t>由我们在保险单或者其他保险凭证上批注或者附贴批单，或者由您和我们订立变更的书面协议。</w:t>
      </w:r>
    </w:p>
    <w:p>
      <w:pPr>
        <w:pStyle w:val="BodyText"/>
        <w:spacing w:before="6"/>
        <w:rPr>
          <w:sz w:val="17"/>
        </w:rPr>
      </w:pPr>
    </w:p>
    <w:p>
      <w:pPr>
        <w:pStyle w:val="ListParagraph"/>
        <w:numPr>
          <w:ilvl w:val="1"/>
          <w:numId w:val="3"/>
        </w:numPr>
        <w:tabs>
          <w:tab w:pos="906" w:val="left" w:leader="none"/>
          <w:tab w:pos="908" w:val="left" w:leader="none"/>
          <w:tab w:pos="2614" w:val="left" w:leader="none"/>
        </w:tabs>
        <w:spacing w:line="295" w:lineRule="auto" w:before="0" w:after="0"/>
        <w:ind w:left="2614" w:right="203" w:hanging="2390"/>
        <w:jc w:val="left"/>
        <w:rPr>
          <w:sz w:val="21"/>
        </w:rPr>
      </w:pPr>
      <w:r>
        <w:rPr>
          <w:b/>
          <w:sz w:val="21"/>
        </w:rPr>
        <w:t>失踪处理</w:t>
        <w:tab/>
      </w:r>
      <w:r>
        <w:rPr>
          <w:position w:val="1"/>
          <w:sz w:val="18"/>
        </w:rPr>
        <w:t>若被保险人在本合同有效期内失踪</w:t>
      </w:r>
      <w:r>
        <w:rPr>
          <w:spacing w:val="-18"/>
          <w:position w:val="1"/>
          <w:sz w:val="18"/>
        </w:rPr>
        <w:t>，</w:t>
      </w:r>
      <w:r>
        <w:rPr>
          <w:position w:val="1"/>
          <w:sz w:val="18"/>
        </w:rPr>
        <w:t>后经人民法院宣告死亡</w:t>
      </w:r>
      <w:r>
        <w:rPr>
          <w:spacing w:val="-18"/>
          <w:position w:val="1"/>
          <w:sz w:val="18"/>
        </w:rPr>
        <w:t>，</w:t>
      </w:r>
      <w:r>
        <w:rPr>
          <w:position w:val="1"/>
          <w:sz w:val="18"/>
        </w:rPr>
        <w:t>本公司以判决宣告日为被保险人</w:t>
      </w:r>
      <w:r>
        <w:rPr>
          <w:sz w:val="18"/>
        </w:rPr>
        <w:t>身故日。</w:t>
      </w:r>
    </w:p>
    <w:p>
      <w:pPr>
        <w:pStyle w:val="BodyText"/>
        <w:spacing w:line="316" w:lineRule="auto" w:before="34"/>
        <w:ind w:left="2614" w:right="149"/>
      </w:pPr>
      <w:r>
        <w:rPr/>
        <w:t>若被保险人重新出现或确知其没有死亡，身故保险金受益人应于知道后三十日内将领取的身故保险金返还本公司。</w:t>
      </w:r>
    </w:p>
    <w:p>
      <w:pPr>
        <w:pStyle w:val="BodyText"/>
        <w:spacing w:before="10"/>
        <w:rPr>
          <w:sz w:val="16"/>
        </w:rPr>
      </w:pPr>
    </w:p>
    <w:p>
      <w:pPr>
        <w:pStyle w:val="ListParagraph"/>
        <w:numPr>
          <w:ilvl w:val="1"/>
          <w:numId w:val="3"/>
        </w:numPr>
        <w:tabs>
          <w:tab w:pos="906" w:val="left" w:leader="none"/>
          <w:tab w:pos="908" w:val="left" w:leader="none"/>
          <w:tab w:pos="2614" w:val="left" w:leader="none"/>
        </w:tabs>
        <w:spacing w:line="295" w:lineRule="auto" w:before="0" w:after="0"/>
        <w:ind w:left="2614" w:right="205" w:hanging="2390"/>
        <w:jc w:val="left"/>
        <w:rPr>
          <w:sz w:val="21"/>
        </w:rPr>
      </w:pPr>
      <w:r>
        <w:rPr>
          <w:b/>
          <w:sz w:val="21"/>
        </w:rPr>
        <w:t>争议处理</w:t>
        <w:tab/>
      </w:r>
      <w:r>
        <w:rPr>
          <w:position w:val="1"/>
          <w:sz w:val="18"/>
        </w:rPr>
        <w:t>本合同履行过程中</w:t>
      </w:r>
      <w:r>
        <w:rPr>
          <w:spacing w:val="-10"/>
          <w:position w:val="1"/>
          <w:sz w:val="18"/>
        </w:rPr>
        <w:t>，</w:t>
      </w:r>
      <w:r>
        <w:rPr>
          <w:position w:val="1"/>
          <w:sz w:val="18"/>
        </w:rPr>
        <w:t>双方发生任何争议</w:t>
      </w:r>
      <w:r>
        <w:rPr>
          <w:spacing w:val="-10"/>
          <w:position w:val="1"/>
          <w:sz w:val="18"/>
        </w:rPr>
        <w:t>，</w:t>
      </w:r>
      <w:r>
        <w:rPr>
          <w:position w:val="1"/>
          <w:sz w:val="18"/>
        </w:rPr>
        <w:t>应首先协商解决</w:t>
      </w:r>
      <w:r>
        <w:rPr>
          <w:spacing w:val="-10"/>
          <w:position w:val="1"/>
          <w:sz w:val="18"/>
        </w:rPr>
        <w:t>。</w:t>
      </w:r>
      <w:r>
        <w:rPr>
          <w:position w:val="1"/>
          <w:sz w:val="18"/>
        </w:rPr>
        <w:t>经协商未达成协议的</w:t>
      </w:r>
      <w:r>
        <w:rPr>
          <w:spacing w:val="-10"/>
          <w:position w:val="1"/>
          <w:sz w:val="18"/>
        </w:rPr>
        <w:t>，</w:t>
      </w:r>
      <w:r>
        <w:rPr>
          <w:position w:val="1"/>
          <w:sz w:val="18"/>
        </w:rPr>
        <w:t>任何一方可</w:t>
      </w:r>
      <w:r>
        <w:rPr>
          <w:sz w:val="18"/>
        </w:rPr>
        <w:t>向人民法院提起诉讼。</w:t>
      </w:r>
    </w:p>
    <w:p>
      <w:pPr>
        <w:pStyle w:val="BodyText"/>
        <w:spacing w:before="3"/>
        <w:rPr>
          <w:sz w:val="19"/>
        </w:rPr>
      </w:pPr>
    </w:p>
    <w:p>
      <w:pPr>
        <w:tabs>
          <w:tab w:pos="907" w:val="left" w:leader="none"/>
        </w:tabs>
        <w:spacing w:line="556" w:lineRule="exact" w:before="0"/>
        <w:ind w:left="224" w:right="0" w:firstLine="0"/>
        <w:jc w:val="left"/>
        <w:rPr>
          <w:b/>
          <w:sz w:val="24"/>
        </w:rPr>
      </w:pPr>
      <w:r>
        <w:rPr/>
        <w:pict>
          <v:group style="position:absolute;margin-left:59.82pt;margin-top:31.171492pt;width:497.1pt;height:.5pt;mso-position-horizontal-relative:page;mso-position-vertical-relative:paragraph;z-index:1216;mso-wrap-distance-left:0;mso-wrap-distance-right:0" coordorigin="1196,623" coordsize="9942,10">
            <v:line style="position:absolute" from="1196,628" to="3589,628" stroked="true" strokeweight=".48pt" strokecolor="#000000">
              <v:stroke dashstyle="solid"/>
            </v:line>
            <v:line style="position:absolute" from="3589,628" to="11138,628" stroked="true" strokeweight=".48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ListParagraph"/>
        <w:numPr>
          <w:ilvl w:val="1"/>
          <w:numId w:val="6"/>
        </w:numPr>
        <w:tabs>
          <w:tab w:pos="906" w:val="left" w:leader="none"/>
          <w:tab w:pos="907" w:val="left" w:leader="none"/>
          <w:tab w:pos="2614" w:val="left" w:leader="none"/>
        </w:tabs>
        <w:spacing w:line="295" w:lineRule="auto" w:before="35" w:after="0"/>
        <w:ind w:left="2614" w:right="204" w:hanging="2390"/>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1"/>
      </w:pPr>
    </w:p>
    <w:p>
      <w:pPr>
        <w:pStyle w:val="ListParagraph"/>
        <w:numPr>
          <w:ilvl w:val="1"/>
          <w:numId w:val="6"/>
        </w:numPr>
        <w:tabs>
          <w:tab w:pos="906" w:val="left" w:leader="none"/>
          <w:tab w:pos="907" w:val="left" w:leader="none"/>
          <w:tab w:pos="2614" w:val="left" w:leader="none"/>
        </w:tabs>
        <w:spacing w:line="295" w:lineRule="auto" w:before="1" w:after="0"/>
        <w:ind w:left="2614" w:right="204" w:hanging="2390"/>
        <w:jc w:val="left"/>
        <w:rPr>
          <w:sz w:val="18"/>
        </w:rPr>
      </w:pPr>
      <w:r>
        <w:rPr>
          <w:b/>
          <w:sz w:val="21"/>
        </w:rPr>
        <w:t>发病</w:t>
        <w:tab/>
      </w:r>
      <w:r>
        <w:rPr>
          <w:position w:val="1"/>
          <w:sz w:val="18"/>
        </w:rPr>
        <w:t>指被保险人出现本合同附表一所约定的重大疾病的前兆或异常的身体状况</w:t>
      </w:r>
      <w:r>
        <w:rPr>
          <w:spacing w:val="-38"/>
          <w:position w:val="1"/>
          <w:sz w:val="18"/>
        </w:rPr>
        <w:t>，</w:t>
      </w:r>
      <w:r>
        <w:rPr>
          <w:position w:val="1"/>
          <w:sz w:val="18"/>
        </w:rPr>
        <w:t>或已经出现足以使</w:t>
      </w:r>
      <w:r>
        <w:rPr>
          <w:sz w:val="18"/>
        </w:rPr>
        <w:t>一般人士引起注意并寻求诊断、治疗或护理的病症。</w:t>
      </w:r>
    </w:p>
    <w:p>
      <w:pPr>
        <w:pStyle w:val="BodyText"/>
        <w:spacing w:before="5"/>
        <w:rPr>
          <w:sz w:val="15"/>
        </w:rPr>
      </w:pPr>
    </w:p>
    <w:p>
      <w:pPr>
        <w:spacing w:after="0"/>
        <w:rPr>
          <w:sz w:val="15"/>
        </w:rPr>
        <w:sectPr>
          <w:headerReference w:type="default" r:id="rId11"/>
          <w:pgSz w:w="11910" w:h="16840"/>
          <w:pgMar w:header="877" w:footer="981" w:top="1100" w:bottom="1180" w:left="1080" w:right="660"/>
        </w:sectPr>
      </w:pPr>
    </w:p>
    <w:p>
      <w:pPr>
        <w:pStyle w:val="Heading1"/>
        <w:numPr>
          <w:ilvl w:val="1"/>
          <w:numId w:val="6"/>
        </w:numPr>
        <w:tabs>
          <w:tab w:pos="906" w:val="left" w:leader="none"/>
          <w:tab w:pos="907" w:val="left" w:leader="none"/>
        </w:tabs>
        <w:spacing w:line="240" w:lineRule="auto" w:before="35" w:after="0"/>
        <w:ind w:left="2614" w:right="0" w:hanging="2390"/>
        <w:jc w:val="left"/>
      </w:pPr>
      <w:r>
        <w:rPr>
          <w:w w:val="95"/>
        </w:rPr>
        <w:t>指定或认可的</w:t>
      </w:r>
    </w:p>
    <w:p>
      <w:pPr>
        <w:spacing w:before="37"/>
        <w:ind w:left="907" w:right="0" w:firstLine="0"/>
        <w:jc w:val="left"/>
        <w:rPr>
          <w:b/>
          <w:sz w:val="21"/>
        </w:rPr>
      </w:pPr>
      <w:r>
        <w:rPr>
          <w:b/>
          <w:sz w:val="21"/>
        </w:rPr>
        <w:t>医疗机构</w:t>
      </w:r>
    </w:p>
    <w:p>
      <w:pPr>
        <w:pStyle w:val="BodyText"/>
        <w:spacing w:line="316" w:lineRule="auto" w:before="60"/>
        <w:ind w:left="224" w:right="171"/>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040" w:bottom="1180" w:left="1080" w:right="660"/>
          <w:cols w:num="2" w:equalWidth="0">
            <w:col w:w="2171" w:space="219"/>
            <w:col w:w="7780"/>
          </w:cols>
        </w:sectPr>
      </w:pPr>
    </w:p>
    <w:p>
      <w:pPr>
        <w:pStyle w:val="BodyText"/>
        <w:spacing w:before="1"/>
        <w:rPr>
          <w:sz w:val="14"/>
        </w:rPr>
      </w:pPr>
    </w:p>
    <w:p>
      <w:pPr>
        <w:spacing w:after="0"/>
        <w:rPr>
          <w:sz w:val="14"/>
        </w:rPr>
        <w:sectPr>
          <w:type w:val="continuous"/>
          <w:pgSz w:w="11910" w:h="16840"/>
          <w:pgMar w:top="1040" w:bottom="1180" w:left="1080" w:right="660"/>
        </w:sectPr>
      </w:pPr>
    </w:p>
    <w:p>
      <w:pPr>
        <w:pStyle w:val="Heading1"/>
        <w:numPr>
          <w:ilvl w:val="1"/>
          <w:numId w:val="6"/>
        </w:numPr>
        <w:tabs>
          <w:tab w:pos="907" w:val="left" w:leader="none"/>
          <w:tab w:pos="908" w:val="left" w:leader="none"/>
        </w:tabs>
        <w:spacing w:line="273" w:lineRule="auto" w:before="35" w:after="0"/>
        <w:ind w:left="907" w:right="0" w:hanging="683"/>
        <w:jc w:val="left"/>
      </w:pPr>
      <w:r>
        <w:rPr/>
        <w:t>十八周岁的保险单周年日</w:t>
      </w:r>
    </w:p>
    <w:p>
      <w:pPr>
        <w:pStyle w:val="BodyText"/>
        <w:spacing w:line="316" w:lineRule="auto" w:before="60"/>
        <w:ind w:left="173" w:right="148"/>
      </w:pPr>
      <w:r>
        <w:rPr/>
        <w:br w:type="column"/>
      </w:r>
      <w:r>
        <w:rPr/>
        <w:t>指被保险人年满十八周岁后的首个保险单周年日。若被保险人周岁生日与保单周年日重合，即为被保险人十八周岁生日。</w:t>
      </w:r>
    </w:p>
    <w:p>
      <w:pPr>
        <w:spacing w:after="0" w:line="316" w:lineRule="auto"/>
        <w:sectPr>
          <w:type w:val="continuous"/>
          <w:pgSz w:w="11910" w:h="16840"/>
          <w:pgMar w:top="1040" w:bottom="1180" w:left="1080" w:right="660"/>
          <w:cols w:num="2" w:equalWidth="0">
            <w:col w:w="2402" w:space="40"/>
            <w:col w:w="7728"/>
          </w:cols>
        </w:sectPr>
      </w:pPr>
    </w:p>
    <w:p>
      <w:pPr>
        <w:pStyle w:val="BodyText"/>
        <w:spacing w:before="1"/>
        <w:rPr>
          <w:sz w:val="14"/>
        </w:rPr>
      </w:pPr>
    </w:p>
    <w:p>
      <w:pPr>
        <w:pStyle w:val="ListParagraph"/>
        <w:numPr>
          <w:ilvl w:val="1"/>
          <w:numId w:val="6"/>
        </w:numPr>
        <w:tabs>
          <w:tab w:pos="908" w:val="left" w:leader="none"/>
        </w:tabs>
        <w:spacing w:line="295" w:lineRule="auto" w:before="35" w:after="0"/>
        <w:ind w:left="2614" w:right="203" w:hanging="2390"/>
        <w:jc w:val="both"/>
        <w:rPr>
          <w:sz w:val="18"/>
        </w:rPr>
      </w:pPr>
      <w:r>
        <w:rPr>
          <w:b/>
          <w:spacing w:val="0"/>
          <w:sz w:val="21"/>
        </w:rPr>
        <w:t>意外伤害       </w:t>
      </w:r>
      <w:r>
        <w:rPr>
          <w:position w:val="1"/>
          <w:sz w:val="18"/>
        </w:rPr>
        <w:t>指因遭受</w:t>
      </w:r>
      <w:r>
        <w:rPr>
          <w:b/>
          <w:spacing w:val="-4"/>
          <w:position w:val="1"/>
          <w:sz w:val="18"/>
        </w:rPr>
        <w:t>意外事故</w:t>
      </w:r>
      <w:r>
        <w:rPr>
          <w:position w:val="1"/>
          <w:sz w:val="18"/>
        </w:rPr>
        <w:t>（</w:t>
      </w:r>
      <w:r>
        <w:rPr>
          <w:spacing w:val="-23"/>
          <w:position w:val="1"/>
          <w:sz w:val="18"/>
        </w:rPr>
        <w:t>见 </w:t>
      </w:r>
      <w:r>
        <w:rPr>
          <w:spacing w:val="-4"/>
          <w:position w:val="1"/>
          <w:sz w:val="18"/>
        </w:rPr>
        <w:t>8.15）</w:t>
      </w:r>
      <w:r>
        <w:rPr>
          <w:spacing w:val="-1"/>
          <w:position w:val="1"/>
          <w:sz w:val="18"/>
        </w:rPr>
        <w:t>并以此为直接且单独原因导致的身体伤害</w:t>
      </w:r>
      <w:r>
        <w:rPr>
          <w:position w:val="1"/>
          <w:sz w:val="18"/>
        </w:rPr>
        <w:t>（</w:t>
      </w:r>
      <w:r>
        <w:rPr>
          <w:spacing w:val="-6"/>
          <w:position w:val="1"/>
          <w:sz w:val="18"/>
        </w:rPr>
        <w:t>包括残疾、身故、烧</w:t>
      </w:r>
      <w:r>
        <w:rPr>
          <w:spacing w:val="-6"/>
          <w:sz w:val="18"/>
        </w:rPr>
        <w:t>伤、重要器官切除</w:t>
      </w:r>
      <w:r>
        <w:rPr>
          <w:spacing w:val="-90"/>
          <w:sz w:val="18"/>
        </w:rPr>
        <w:t>）</w:t>
      </w:r>
      <w:r>
        <w:rPr>
          <w:sz w:val="18"/>
        </w:rPr>
        <w:t>。</w:t>
      </w:r>
    </w:p>
    <w:p>
      <w:pPr>
        <w:pStyle w:val="BodyText"/>
      </w:pPr>
    </w:p>
    <w:p>
      <w:pPr>
        <w:pStyle w:val="ListParagraph"/>
        <w:numPr>
          <w:ilvl w:val="1"/>
          <w:numId w:val="6"/>
        </w:numPr>
        <w:tabs>
          <w:tab w:pos="907" w:val="left" w:leader="none"/>
          <w:tab w:pos="2614" w:val="left" w:leader="none"/>
        </w:tabs>
        <w:spacing w:line="304" w:lineRule="auto" w:before="0" w:after="0"/>
        <w:ind w:left="2614" w:right="204" w:hanging="2390"/>
        <w:jc w:val="both"/>
        <w:rPr>
          <w:sz w:val="18"/>
        </w:rPr>
      </w:pPr>
      <w:r>
        <w:rPr>
          <w:b/>
          <w:sz w:val="21"/>
        </w:rPr>
        <w:t>毒品</w:t>
        <w:tab/>
      </w:r>
      <w:r>
        <w:rPr>
          <w:position w:val="1"/>
          <w:sz w:val="18"/>
        </w:rPr>
        <w:t>指中华人民共和国刑法规定的鸦片、海洛因、甲基苯丙胺（冰毒</w:t>
      </w:r>
      <w:r>
        <w:rPr>
          <w:spacing w:val="-90"/>
          <w:position w:val="1"/>
          <w:sz w:val="18"/>
        </w:rPr>
        <w:t>）</w:t>
      </w:r>
      <w:r>
        <w:rPr>
          <w:position w:val="1"/>
          <w:sz w:val="18"/>
        </w:rPr>
        <w:t>、吗啡、大麻、可卡因以及</w:t>
      </w:r>
      <w:r>
        <w:rPr>
          <w:sz w:val="18"/>
        </w:rPr>
        <w:t>国家规定管制的其他能够使人形成瘾癖的麻醉药品和精神药品</w:t>
      </w:r>
      <w:r>
        <w:rPr>
          <w:spacing w:val="-38"/>
          <w:sz w:val="18"/>
        </w:rPr>
        <w:t>，</w:t>
      </w:r>
      <w:r>
        <w:rPr>
          <w:sz w:val="18"/>
        </w:rPr>
        <w:t>但不包括由医生开具并遵医嘱使用的用于治疗疾病但含有毒品成分的处方药品。</w:t>
      </w:r>
    </w:p>
    <w:p>
      <w:pPr>
        <w:pStyle w:val="BodyText"/>
        <w:spacing w:before="6"/>
        <w:rPr>
          <w:sz w:val="17"/>
        </w:rPr>
      </w:pPr>
    </w:p>
    <w:p>
      <w:pPr>
        <w:pStyle w:val="ListParagraph"/>
        <w:numPr>
          <w:ilvl w:val="1"/>
          <w:numId w:val="6"/>
        </w:numPr>
        <w:tabs>
          <w:tab w:pos="908" w:val="left" w:leader="none"/>
        </w:tabs>
        <w:spacing w:line="304" w:lineRule="auto" w:before="0" w:after="0"/>
        <w:ind w:left="2614" w:right="203" w:hanging="2390"/>
        <w:jc w:val="both"/>
        <w:rPr>
          <w:sz w:val="18"/>
        </w:rPr>
      </w:pPr>
      <w:r>
        <w:rPr>
          <w:b/>
          <w:spacing w:val="0"/>
          <w:sz w:val="21"/>
        </w:rPr>
        <w:t>酒后驾驶       </w:t>
      </w:r>
      <w:r>
        <w:rPr>
          <w:spacing w:val="-5"/>
          <w:position w:val="1"/>
          <w:sz w:val="18"/>
        </w:rPr>
        <w:t>指经检测或鉴定，发生事故时车辆驾驶人员每百毫升血液中的酒精含量或呼气酒精含量达到或</w:t>
      </w:r>
      <w:r>
        <w:rPr>
          <w:spacing w:val="-8"/>
          <w:sz w:val="18"/>
        </w:rPr>
        <w:t>超过一定的标准，公安机关交通管理部门依据《道路交通安全法》的规定认定为饮酒后驾驶或醉酒后驾驶。</w:t>
      </w:r>
    </w:p>
    <w:p>
      <w:pPr>
        <w:pStyle w:val="BodyText"/>
        <w:spacing w:before="11"/>
        <w:rPr>
          <w:sz w:val="14"/>
        </w:rPr>
      </w:pPr>
    </w:p>
    <w:p>
      <w:pPr>
        <w:spacing w:after="0"/>
        <w:rPr>
          <w:sz w:val="14"/>
        </w:rPr>
        <w:sectPr>
          <w:type w:val="continuous"/>
          <w:pgSz w:w="11910" w:h="16840"/>
          <w:pgMar w:top="1040" w:bottom="1180" w:left="1080" w:right="660"/>
        </w:sectPr>
      </w:pPr>
    </w:p>
    <w:p>
      <w:pPr>
        <w:pStyle w:val="Heading1"/>
        <w:numPr>
          <w:ilvl w:val="1"/>
          <w:numId w:val="6"/>
        </w:numPr>
        <w:tabs>
          <w:tab w:pos="907" w:val="left" w:leader="none"/>
          <w:tab w:pos="908" w:val="left" w:leader="none"/>
        </w:tabs>
        <w:spacing w:line="273" w:lineRule="auto" w:before="36" w:after="0"/>
        <w:ind w:left="907" w:right="0" w:hanging="683"/>
        <w:jc w:val="left"/>
      </w:pPr>
      <w:r>
        <w:rPr/>
        <w:t>无合法有效驾驶证驾驶</w:t>
      </w:r>
    </w:p>
    <w:p>
      <w:pPr>
        <w:pStyle w:val="BodyText"/>
        <w:spacing w:before="61"/>
        <w:ind w:left="173"/>
      </w:pPr>
      <w:r>
        <w:rPr/>
        <w:br w:type="column"/>
      </w:r>
      <w:r>
        <w:rPr/>
        <w:t>指下列情形之一：</w:t>
      </w:r>
    </w:p>
    <w:p>
      <w:pPr>
        <w:pStyle w:val="ListParagraph"/>
        <w:numPr>
          <w:ilvl w:val="0"/>
          <w:numId w:val="7"/>
        </w:numPr>
        <w:tabs>
          <w:tab w:pos="571" w:val="left" w:leader="none"/>
        </w:tabs>
        <w:spacing w:line="240" w:lineRule="auto" w:before="76" w:after="0"/>
        <w:ind w:left="570" w:right="0" w:hanging="397"/>
        <w:jc w:val="left"/>
        <w:rPr>
          <w:sz w:val="18"/>
        </w:rPr>
      </w:pPr>
      <w:r>
        <w:rPr>
          <w:sz w:val="18"/>
        </w:rPr>
        <w:t>没有取得驾驶资格；</w:t>
      </w:r>
    </w:p>
    <w:p>
      <w:pPr>
        <w:pStyle w:val="ListParagraph"/>
        <w:numPr>
          <w:ilvl w:val="0"/>
          <w:numId w:val="7"/>
        </w:numPr>
        <w:tabs>
          <w:tab w:pos="571" w:val="left" w:leader="none"/>
        </w:tabs>
        <w:spacing w:line="240" w:lineRule="auto" w:before="76" w:after="0"/>
        <w:ind w:left="570" w:right="0" w:hanging="397"/>
        <w:jc w:val="left"/>
        <w:rPr>
          <w:sz w:val="18"/>
        </w:rPr>
      </w:pPr>
      <w:r>
        <w:rPr>
          <w:sz w:val="18"/>
        </w:rPr>
        <w:t>驾驶与驾驶证准驾车型不相符合的车辆；</w:t>
      </w:r>
    </w:p>
    <w:p>
      <w:pPr>
        <w:pStyle w:val="ListParagraph"/>
        <w:numPr>
          <w:ilvl w:val="0"/>
          <w:numId w:val="7"/>
        </w:numPr>
        <w:tabs>
          <w:tab w:pos="571" w:val="left" w:leader="none"/>
        </w:tabs>
        <w:spacing w:line="240" w:lineRule="auto" w:before="76" w:after="0"/>
        <w:ind w:left="570" w:right="0" w:hanging="397"/>
        <w:jc w:val="left"/>
        <w:rPr>
          <w:sz w:val="18"/>
        </w:rPr>
      </w:pPr>
      <w:r>
        <w:rPr>
          <w:sz w:val="18"/>
        </w:rPr>
        <w:t>持审验不合格的驾驶证驾驶；</w:t>
      </w:r>
    </w:p>
    <w:p>
      <w:pPr>
        <w:pStyle w:val="ListParagraph"/>
        <w:numPr>
          <w:ilvl w:val="0"/>
          <w:numId w:val="7"/>
        </w:numPr>
        <w:tabs>
          <w:tab w:pos="571" w:val="left" w:leader="none"/>
        </w:tabs>
        <w:spacing w:line="240" w:lineRule="auto" w:before="76" w:after="0"/>
        <w:ind w:left="570" w:right="0" w:hanging="397"/>
        <w:jc w:val="left"/>
        <w:rPr>
          <w:sz w:val="18"/>
        </w:rPr>
      </w:pPr>
      <w:r>
        <w:rPr>
          <w:sz w:val="18"/>
        </w:rPr>
        <w:t>持学习驾驶证学习驾车时，无教练员随车指导，或不按指定时间、路线学习驾车。</w:t>
      </w:r>
    </w:p>
    <w:p>
      <w:pPr>
        <w:spacing w:after="0" w:line="240" w:lineRule="auto"/>
        <w:jc w:val="left"/>
        <w:rPr>
          <w:sz w:val="18"/>
        </w:rPr>
        <w:sectPr>
          <w:type w:val="continuous"/>
          <w:pgSz w:w="11910" w:h="16840"/>
          <w:pgMar w:top="1040" w:bottom="1180" w:left="1080" w:right="660"/>
          <w:cols w:num="2" w:equalWidth="0">
            <w:col w:w="2402" w:space="40"/>
            <w:col w:w="7728"/>
          </w:cols>
        </w:sectPr>
      </w:pPr>
    </w:p>
    <w:p>
      <w:pPr>
        <w:pStyle w:val="BodyText"/>
        <w:spacing w:before="6"/>
      </w:pPr>
    </w:p>
    <w:p>
      <w:pPr>
        <w:pStyle w:val="ListParagraph"/>
        <w:numPr>
          <w:ilvl w:val="1"/>
          <w:numId w:val="6"/>
        </w:numPr>
        <w:tabs>
          <w:tab w:pos="906" w:val="left" w:leader="none"/>
          <w:tab w:pos="907" w:val="left" w:leader="none"/>
          <w:tab w:pos="2614" w:val="left" w:leader="none"/>
        </w:tabs>
        <w:spacing w:line="240" w:lineRule="auto" w:before="35" w:after="0"/>
        <w:ind w:left="2614" w:right="0" w:hanging="2390"/>
        <w:jc w:val="left"/>
        <w:rPr>
          <w:sz w:val="18"/>
        </w:rPr>
      </w:pPr>
      <w:r>
        <w:rPr>
          <w:b/>
          <w:sz w:val="21"/>
        </w:rPr>
        <w:t>无有效行驶证</w:t>
        <w:tab/>
      </w:r>
      <w:r>
        <w:rPr>
          <w:position w:val="1"/>
          <w:sz w:val="18"/>
        </w:rPr>
        <w:t>指下列情形之一：</w:t>
      </w:r>
    </w:p>
    <w:p>
      <w:pPr>
        <w:pStyle w:val="ListParagraph"/>
        <w:numPr>
          <w:ilvl w:val="2"/>
          <w:numId w:val="6"/>
        </w:numPr>
        <w:tabs>
          <w:tab w:pos="3013" w:val="left" w:leader="none"/>
        </w:tabs>
        <w:spacing w:line="240" w:lineRule="auto" w:before="62" w:after="0"/>
        <w:ind w:left="3012" w:right="0" w:hanging="398"/>
        <w:jc w:val="left"/>
        <w:rPr>
          <w:sz w:val="18"/>
        </w:rPr>
      </w:pPr>
      <w:r>
        <w:rPr>
          <w:sz w:val="18"/>
        </w:rPr>
        <w:t>机动车被依法注销登记的；</w:t>
      </w:r>
    </w:p>
    <w:p>
      <w:pPr>
        <w:pStyle w:val="ListParagraph"/>
        <w:numPr>
          <w:ilvl w:val="2"/>
          <w:numId w:val="6"/>
        </w:numPr>
        <w:tabs>
          <w:tab w:pos="3013" w:val="left" w:leader="none"/>
        </w:tabs>
        <w:spacing w:line="240" w:lineRule="auto" w:before="76" w:after="0"/>
        <w:ind w:left="3012" w:right="0" w:hanging="398"/>
        <w:jc w:val="left"/>
        <w:rPr>
          <w:sz w:val="18"/>
        </w:rPr>
      </w:pPr>
      <w:r>
        <w:rPr>
          <w:sz w:val="18"/>
        </w:rPr>
        <w:t>未依法按时进行或通过机动车安全技术检验。</w:t>
      </w:r>
    </w:p>
    <w:p>
      <w:pPr>
        <w:spacing w:after="0" w:line="240" w:lineRule="auto"/>
        <w:jc w:val="left"/>
        <w:rPr>
          <w:sz w:val="18"/>
        </w:rPr>
        <w:sectPr>
          <w:type w:val="continuous"/>
          <w:pgSz w:w="11910" w:h="16840"/>
          <w:pgMar w:top="1040" w:bottom="1180" w:left="1080" w:right="660"/>
        </w:sectPr>
      </w:pPr>
    </w:p>
    <w:p>
      <w:pPr>
        <w:pStyle w:val="BodyText"/>
        <w:rPr>
          <w:sz w:val="20"/>
        </w:rPr>
      </w:pPr>
    </w:p>
    <w:p>
      <w:pPr>
        <w:pStyle w:val="BodyText"/>
        <w:spacing w:before="4"/>
        <w:rPr>
          <w:sz w:val="16"/>
        </w:rPr>
      </w:pPr>
    </w:p>
    <w:p>
      <w:pPr>
        <w:pStyle w:val="ListParagraph"/>
        <w:numPr>
          <w:ilvl w:val="1"/>
          <w:numId w:val="6"/>
        </w:numPr>
        <w:tabs>
          <w:tab w:pos="849" w:val="left" w:leader="none"/>
        </w:tabs>
        <w:spacing w:line="240" w:lineRule="auto" w:before="35" w:after="0"/>
        <w:ind w:left="848" w:right="0" w:hanging="424"/>
        <w:jc w:val="left"/>
        <w:rPr>
          <w:sz w:val="21"/>
        </w:rPr>
      </w:pPr>
      <w:r>
        <w:rPr/>
        <w:pict>
          <v:shape style="position:absolute;margin-left:89.359596pt;margin-top:4.990238pt;width:474.4pt;height:192.1pt;mso-position-horizontal-relative:page;mso-position-vertical-relative:paragraph;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6"/>
                    <w:gridCol w:w="7801"/>
                  </w:tblGrid>
                  <w:tr>
                    <w:trPr>
                      <w:trHeight w:val="374" w:hRule="atLeast"/>
                    </w:trPr>
                    <w:tc>
                      <w:tcPr>
                        <w:tcW w:w="1686" w:type="dxa"/>
                      </w:tcPr>
                      <w:p>
                        <w:pPr>
                          <w:pStyle w:val="TableParagraph"/>
                          <w:spacing w:line="210" w:lineRule="exact"/>
                          <w:ind w:left="200"/>
                          <w:rPr>
                            <w:b/>
                            <w:sz w:val="21"/>
                          </w:rPr>
                        </w:pPr>
                        <w:r>
                          <w:rPr>
                            <w:b/>
                            <w:sz w:val="21"/>
                          </w:rPr>
                          <w:t>艾滋病</w:t>
                        </w:r>
                      </w:p>
                    </w:tc>
                    <w:tc>
                      <w:tcPr>
                        <w:tcW w:w="7801" w:type="dxa"/>
                      </w:tcPr>
                      <w:p>
                        <w:pPr>
                          <w:pStyle w:val="TableParagraph"/>
                          <w:spacing w:line="196" w:lineRule="exact"/>
                          <w:ind w:left="221"/>
                          <w:rPr>
                            <w:sz w:val="18"/>
                          </w:rPr>
                        </w:pPr>
                        <w:r>
                          <w:rPr>
                            <w:sz w:val="18"/>
                          </w:rPr>
                          <w:t>获得性免疫力缺乏综合症（AIDS）的简称。</w:t>
                        </w:r>
                      </w:p>
                    </w:tc>
                  </w:tr>
                  <w:tr>
                    <w:trPr>
                      <w:trHeight w:val="1155" w:hRule="atLeast"/>
                    </w:trPr>
                    <w:tc>
                      <w:tcPr>
                        <w:tcW w:w="1686" w:type="dxa"/>
                      </w:tcPr>
                      <w:p>
                        <w:pPr>
                          <w:pStyle w:val="TableParagraph"/>
                          <w:spacing w:before="99"/>
                          <w:ind w:left="200"/>
                          <w:rPr>
                            <w:b/>
                            <w:sz w:val="21"/>
                          </w:rPr>
                        </w:pPr>
                        <w:r>
                          <w:rPr>
                            <w:b/>
                            <w:w w:val="95"/>
                            <w:sz w:val="21"/>
                          </w:rPr>
                          <w:t>艾滋病病毒</w:t>
                        </w:r>
                      </w:p>
                    </w:tc>
                    <w:tc>
                      <w:tcPr>
                        <w:tcW w:w="7801" w:type="dxa"/>
                      </w:tcPr>
                      <w:p>
                        <w:pPr>
                          <w:pStyle w:val="TableParagraph"/>
                          <w:spacing w:line="316" w:lineRule="auto" w:before="125"/>
                          <w:ind w:left="221" w:right="233"/>
                          <w:jc w:val="both"/>
                          <w:rPr>
                            <w:sz w:val="18"/>
                          </w:rPr>
                        </w:pPr>
                        <w:r>
                          <w:rPr>
                            <w:sz w:val="18"/>
                          </w:rPr>
                          <w:t>获得性免疫力缺乏综合症病毒（HIV）的简称。获得性免疫力缺乏综合症的定义应按世界卫生</w:t>
                        </w:r>
                        <w:r>
                          <w:rPr>
                            <w:spacing w:val="-3"/>
                            <w:sz w:val="18"/>
                          </w:rPr>
                          <w:t>组织制定的定义为准，如在血液样本中发现获得性免疫力缺乏综合症病毒或其抗体，则可认定为感染艾滋病或艾滋病病毒。</w:t>
                        </w:r>
                      </w:p>
                    </w:tc>
                  </w:tr>
                  <w:tr>
                    <w:trPr>
                      <w:trHeight w:val="545" w:hRule="atLeast"/>
                    </w:trPr>
                    <w:tc>
                      <w:tcPr>
                        <w:tcW w:w="1686" w:type="dxa"/>
                      </w:tcPr>
                      <w:p>
                        <w:pPr>
                          <w:pStyle w:val="TableParagraph"/>
                          <w:spacing w:before="106"/>
                          <w:ind w:left="200"/>
                          <w:rPr>
                            <w:b/>
                            <w:sz w:val="21"/>
                          </w:rPr>
                        </w:pPr>
                        <w:r>
                          <w:rPr>
                            <w:b/>
                            <w:w w:val="95"/>
                            <w:sz w:val="21"/>
                          </w:rPr>
                          <w:t>现金价值净额</w:t>
                        </w:r>
                      </w:p>
                    </w:tc>
                    <w:tc>
                      <w:tcPr>
                        <w:tcW w:w="7801" w:type="dxa"/>
                      </w:tcPr>
                      <w:p>
                        <w:pPr>
                          <w:pStyle w:val="TableParagraph"/>
                          <w:spacing w:before="132"/>
                          <w:ind w:left="221"/>
                          <w:rPr>
                            <w:sz w:val="18"/>
                          </w:rPr>
                        </w:pPr>
                        <w:r>
                          <w:rPr>
                            <w:sz w:val="18"/>
                          </w:rPr>
                          <w:t>本合同现金价值扣除保险单借款和垫交保险费及上述款项应付利息后的余额。</w:t>
                        </w:r>
                      </w:p>
                    </w:tc>
                  </w:tr>
                  <w:tr>
                    <w:trPr>
                      <w:trHeight w:val="538" w:hRule="atLeast"/>
                    </w:trPr>
                    <w:tc>
                      <w:tcPr>
                        <w:tcW w:w="1686" w:type="dxa"/>
                      </w:tcPr>
                      <w:p>
                        <w:pPr>
                          <w:pStyle w:val="TableParagraph"/>
                          <w:spacing w:before="99"/>
                          <w:ind w:left="200"/>
                          <w:rPr>
                            <w:b/>
                            <w:sz w:val="21"/>
                          </w:rPr>
                        </w:pPr>
                        <w:r>
                          <w:rPr>
                            <w:b/>
                            <w:w w:val="95"/>
                            <w:sz w:val="21"/>
                          </w:rPr>
                          <w:t>利息</w:t>
                        </w:r>
                      </w:p>
                    </w:tc>
                    <w:tc>
                      <w:tcPr>
                        <w:tcW w:w="7801" w:type="dxa"/>
                      </w:tcPr>
                      <w:p>
                        <w:pPr>
                          <w:pStyle w:val="TableParagraph"/>
                          <w:spacing w:before="125"/>
                          <w:ind w:left="221"/>
                          <w:rPr>
                            <w:sz w:val="18"/>
                          </w:rPr>
                        </w:pPr>
                        <w:r>
                          <w:rPr>
                            <w:sz w:val="18"/>
                          </w:rPr>
                          <w:t>除本合同另有约定外，本合同中提到的利息一律按年复利方式计算。</w:t>
                        </w:r>
                      </w:p>
                    </w:tc>
                  </w:tr>
                  <w:tr>
                    <w:trPr>
                      <w:trHeight w:val="844" w:hRule="atLeast"/>
                    </w:trPr>
                    <w:tc>
                      <w:tcPr>
                        <w:tcW w:w="1686" w:type="dxa"/>
                      </w:tcPr>
                      <w:p>
                        <w:pPr>
                          <w:pStyle w:val="TableParagraph"/>
                          <w:spacing w:before="99"/>
                          <w:ind w:left="200"/>
                          <w:rPr>
                            <w:b/>
                            <w:sz w:val="21"/>
                          </w:rPr>
                        </w:pPr>
                        <w:r>
                          <w:rPr>
                            <w:b/>
                            <w:sz w:val="21"/>
                          </w:rPr>
                          <w:t>现金价值</w:t>
                        </w:r>
                      </w:p>
                    </w:tc>
                    <w:tc>
                      <w:tcPr>
                        <w:tcW w:w="7801" w:type="dxa"/>
                      </w:tcPr>
                      <w:p>
                        <w:pPr>
                          <w:pStyle w:val="TableParagraph"/>
                          <w:spacing w:line="316" w:lineRule="auto" w:before="125"/>
                          <w:ind w:left="221" w:right="193"/>
                          <w:rPr>
                            <w:sz w:val="18"/>
                          </w:rPr>
                        </w:pPr>
                        <w:r>
                          <w:rPr>
                            <w:sz w:val="18"/>
                          </w:rPr>
                          <w:t>指保险单所具有的价值，通常体现为解除合同时，根据精算原理计算的，由本公司退还的那部分金额。</w:t>
                        </w:r>
                      </w:p>
                    </w:tc>
                  </w:tr>
                  <w:tr>
                    <w:trPr>
                      <w:trHeight w:val="381" w:hRule="atLeast"/>
                    </w:trPr>
                    <w:tc>
                      <w:tcPr>
                        <w:tcW w:w="1686" w:type="dxa"/>
                      </w:tcPr>
                      <w:p>
                        <w:pPr>
                          <w:pStyle w:val="TableParagraph"/>
                          <w:spacing w:line="255" w:lineRule="exact" w:before="107"/>
                          <w:ind w:left="200"/>
                          <w:rPr>
                            <w:b/>
                            <w:sz w:val="21"/>
                          </w:rPr>
                        </w:pPr>
                        <w:r>
                          <w:rPr>
                            <w:b/>
                            <w:sz w:val="21"/>
                          </w:rPr>
                          <w:t>意外事故</w:t>
                        </w:r>
                      </w:p>
                    </w:tc>
                    <w:tc>
                      <w:tcPr>
                        <w:tcW w:w="7801" w:type="dxa"/>
                      </w:tcPr>
                      <w:p>
                        <w:pPr>
                          <w:pStyle w:val="TableParagraph"/>
                          <w:spacing w:line="229" w:lineRule="exact" w:before="132"/>
                          <w:ind w:left="221"/>
                          <w:rPr>
                            <w:sz w:val="18"/>
                          </w:rPr>
                        </w:pPr>
                        <w:r>
                          <w:rPr>
                            <w:sz w:val="18"/>
                          </w:rPr>
                          <w:t>指外来的、非本意的、突然的、剧烈的、非疾病的使被保险人身体受到剧烈伤害的客观事件。</w:t>
                        </w:r>
                      </w:p>
                    </w:tc>
                  </w:tr>
                </w:tbl>
                <w:p>
                  <w:pPr>
                    <w:pStyle w:val="BodyText"/>
                  </w:pPr>
                </w:p>
              </w:txbxContent>
            </v:textbox>
            <w10:wrap type="none"/>
          </v:shape>
        </w:pict>
      </w:r>
    </w:p>
    <w:p>
      <w:pPr>
        <w:pStyle w:val="BodyText"/>
        <w:spacing w:before="1"/>
        <w:rPr>
          <w:b/>
          <w:sz w:val="20"/>
        </w:rPr>
      </w:pPr>
    </w:p>
    <w:p>
      <w:pPr>
        <w:pStyle w:val="ListParagraph"/>
        <w:numPr>
          <w:ilvl w:val="1"/>
          <w:numId w:val="6"/>
        </w:numPr>
        <w:tabs>
          <w:tab w:pos="849" w:val="left" w:leader="none"/>
        </w:tabs>
        <w:spacing w:line="240" w:lineRule="auto" w:before="0" w:after="0"/>
        <w:ind w:left="848" w:right="0" w:hanging="424"/>
        <w:jc w:val="left"/>
        <w:rPr>
          <w:sz w:val="21"/>
        </w:rPr>
      </w:pPr>
    </w:p>
    <w:p>
      <w:pPr>
        <w:pStyle w:val="BodyText"/>
        <w:rPr>
          <w:b/>
          <w:sz w:val="20"/>
        </w:rPr>
      </w:pPr>
    </w:p>
    <w:p>
      <w:pPr>
        <w:pStyle w:val="BodyText"/>
        <w:rPr>
          <w:b/>
          <w:sz w:val="20"/>
        </w:rPr>
      </w:pPr>
    </w:p>
    <w:p>
      <w:pPr>
        <w:pStyle w:val="BodyText"/>
        <w:spacing w:before="10"/>
        <w:rPr>
          <w:b/>
          <w:sz w:val="27"/>
        </w:rPr>
      </w:pPr>
    </w:p>
    <w:p>
      <w:pPr>
        <w:pStyle w:val="ListParagraph"/>
        <w:numPr>
          <w:ilvl w:val="1"/>
          <w:numId w:val="6"/>
        </w:numPr>
        <w:tabs>
          <w:tab w:pos="849" w:val="left" w:leader="none"/>
        </w:tabs>
        <w:spacing w:line="240" w:lineRule="auto" w:before="0" w:after="0"/>
        <w:ind w:left="848" w:right="0" w:hanging="424"/>
        <w:jc w:val="left"/>
        <w:rPr>
          <w:sz w:val="21"/>
        </w:rPr>
      </w:pPr>
    </w:p>
    <w:p>
      <w:pPr>
        <w:pStyle w:val="BodyText"/>
        <w:spacing w:before="1"/>
        <w:rPr>
          <w:b/>
          <w:sz w:val="20"/>
        </w:rPr>
      </w:pPr>
    </w:p>
    <w:p>
      <w:pPr>
        <w:pStyle w:val="ListParagraph"/>
        <w:numPr>
          <w:ilvl w:val="1"/>
          <w:numId w:val="6"/>
        </w:numPr>
        <w:tabs>
          <w:tab w:pos="849" w:val="left" w:leader="none"/>
        </w:tabs>
        <w:spacing w:line="240" w:lineRule="auto" w:before="0" w:after="0"/>
        <w:ind w:left="848" w:right="0" w:hanging="424"/>
        <w:jc w:val="left"/>
        <w:rPr>
          <w:sz w:val="21"/>
        </w:rPr>
      </w:pPr>
    </w:p>
    <w:p>
      <w:pPr>
        <w:pStyle w:val="BodyText"/>
        <w:spacing w:before="1"/>
        <w:rPr>
          <w:b/>
          <w:sz w:val="20"/>
        </w:rPr>
      </w:pPr>
    </w:p>
    <w:p>
      <w:pPr>
        <w:pStyle w:val="ListParagraph"/>
        <w:numPr>
          <w:ilvl w:val="1"/>
          <w:numId w:val="6"/>
        </w:numPr>
        <w:tabs>
          <w:tab w:pos="849" w:val="left" w:leader="none"/>
        </w:tabs>
        <w:spacing w:line="240" w:lineRule="auto" w:before="0" w:after="0"/>
        <w:ind w:left="848" w:right="0" w:hanging="424"/>
        <w:jc w:val="left"/>
        <w:rPr>
          <w:sz w:val="21"/>
        </w:rPr>
      </w:pPr>
    </w:p>
    <w:p>
      <w:pPr>
        <w:pStyle w:val="BodyText"/>
        <w:rPr>
          <w:b/>
          <w:sz w:val="20"/>
        </w:rPr>
      </w:pPr>
    </w:p>
    <w:p>
      <w:pPr>
        <w:pStyle w:val="BodyText"/>
        <w:rPr>
          <w:b/>
          <w:sz w:val="24"/>
        </w:rPr>
      </w:pPr>
    </w:p>
    <w:p>
      <w:pPr>
        <w:pStyle w:val="ListParagraph"/>
        <w:numPr>
          <w:ilvl w:val="1"/>
          <w:numId w:val="6"/>
        </w:numPr>
        <w:tabs>
          <w:tab w:pos="849" w:val="left" w:leader="none"/>
        </w:tabs>
        <w:spacing w:line="240" w:lineRule="auto" w:before="1" w:after="0"/>
        <w:ind w:left="848" w:right="0" w:hanging="424"/>
        <w:jc w:val="left"/>
        <w:rPr>
          <w:sz w:val="21"/>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6"/>
        </w:rPr>
      </w:pPr>
    </w:p>
    <w:p>
      <w:pPr>
        <w:pStyle w:val="BodyText"/>
        <w:spacing w:before="44"/>
        <w:ind w:left="2723"/>
      </w:pPr>
      <w:r>
        <w:rPr/>
        <w:pict>
          <v:shape style="position:absolute;margin-left:49.279999pt;margin-top:-193.020859pt;width:508.15pt;height:416.9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2"/>
                  </w:tblGrid>
                  <w:tr>
                    <w:trPr>
                      <w:trHeight w:val="386" w:hRule="atLeast"/>
                    </w:trPr>
                    <w:tc>
                      <w:tcPr>
                        <w:tcW w:w="10162" w:type="dxa"/>
                      </w:tcPr>
                      <w:p>
                        <w:pPr>
                          <w:pStyle w:val="TableParagraph"/>
                          <w:spacing w:line="180" w:lineRule="exact"/>
                          <w:ind w:left="4412" w:right="3993"/>
                          <w:jc w:val="center"/>
                          <w:rPr>
                            <w:b/>
                            <w:sz w:val="18"/>
                          </w:rPr>
                        </w:pPr>
                        <w:r>
                          <w:rPr>
                            <w:b/>
                            <w:w w:val="95"/>
                            <w:sz w:val="18"/>
                          </w:rPr>
                          <w:t>附表一：重大疾病说明</w:t>
                        </w:r>
                      </w:p>
                    </w:tc>
                  </w:tr>
                  <w:tr>
                    <w:trPr>
                      <w:trHeight w:val="3663" w:hRule="atLeast"/>
                    </w:trPr>
                    <w:tc>
                      <w:tcPr>
                        <w:tcW w:w="10162" w:type="dxa"/>
                      </w:tcPr>
                      <w:p>
                        <w:pPr>
                          <w:pStyle w:val="TableParagraph"/>
                          <w:spacing w:before="151"/>
                          <w:ind w:left="318"/>
                          <w:rPr>
                            <w:b/>
                            <w:sz w:val="18"/>
                          </w:rPr>
                        </w:pPr>
                        <w:r>
                          <w:rPr>
                            <w:b/>
                            <w:w w:val="95"/>
                            <w:sz w:val="18"/>
                          </w:rPr>
                          <w:t>重大疾病：指下列疾病或手术之一</w:t>
                        </w:r>
                      </w:p>
                      <w:p>
                        <w:pPr>
                          <w:pStyle w:val="TableParagraph"/>
                          <w:spacing w:before="3"/>
                          <w:rPr>
                            <w:sz w:val="26"/>
                          </w:rPr>
                        </w:pPr>
                      </w:p>
                      <w:p>
                        <w:pPr>
                          <w:pStyle w:val="TableParagraph"/>
                          <w:spacing w:line="302" w:lineRule="auto"/>
                          <w:ind w:left="318" w:right="237"/>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TableParagraph"/>
                          <w:spacing w:before="4"/>
                          <w:rPr>
                            <w:sz w:val="23"/>
                          </w:rPr>
                        </w:pPr>
                      </w:p>
                      <w:p>
                        <w:pPr>
                          <w:pStyle w:val="TableParagraph"/>
                          <w:numPr>
                            <w:ilvl w:val="0"/>
                            <w:numId w:val="8"/>
                          </w:numPr>
                          <w:tabs>
                            <w:tab w:pos="621" w:val="left" w:leader="none"/>
                            <w:tab w:pos="2617" w:val="left" w:leader="none"/>
                          </w:tabs>
                          <w:spacing w:line="316" w:lineRule="auto" w:before="0" w:after="0"/>
                          <w:ind w:left="2618" w:right="197"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TableParagraph"/>
                          <w:spacing w:before="18"/>
                          <w:ind w:left="2618"/>
                          <w:rPr>
                            <w:sz w:val="18"/>
                          </w:rPr>
                        </w:pPr>
                        <w:r>
                          <w:rPr>
                            <w:sz w:val="18"/>
                          </w:rPr>
                          <w:t>下列疾病不在保障范围内：</w:t>
                        </w:r>
                      </w:p>
                      <w:p>
                        <w:pPr>
                          <w:pStyle w:val="TableParagraph"/>
                          <w:numPr>
                            <w:ilvl w:val="1"/>
                            <w:numId w:val="8"/>
                          </w:numPr>
                          <w:tabs>
                            <w:tab w:pos="2979" w:val="left" w:leader="none"/>
                          </w:tabs>
                          <w:spacing w:line="240" w:lineRule="auto" w:before="75" w:after="0"/>
                          <w:ind w:left="2978" w:right="0" w:hanging="360"/>
                          <w:jc w:val="left"/>
                          <w:rPr>
                            <w:sz w:val="18"/>
                          </w:rPr>
                        </w:pPr>
                        <w:r>
                          <w:rPr>
                            <w:sz w:val="18"/>
                          </w:rPr>
                          <w:t>原位癌；</w:t>
                        </w:r>
                      </w:p>
                      <w:p>
                        <w:pPr>
                          <w:pStyle w:val="TableParagraph"/>
                          <w:numPr>
                            <w:ilvl w:val="1"/>
                            <w:numId w:val="8"/>
                          </w:numPr>
                          <w:tabs>
                            <w:tab w:pos="2979" w:val="left" w:leader="none"/>
                          </w:tabs>
                          <w:spacing w:line="240" w:lineRule="auto" w:before="76" w:after="0"/>
                          <w:ind w:left="2978"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tc>
                  </w:tr>
                  <w:tr>
                    <w:trPr>
                      <w:trHeight w:val="467" w:hRule="atLeast"/>
                    </w:trPr>
                    <w:tc>
                      <w:tcPr>
                        <w:tcW w:w="10162" w:type="dxa"/>
                      </w:tcPr>
                      <w:p>
                        <w:pPr>
                          <w:pStyle w:val="TableParagraph"/>
                          <w:spacing w:before="9"/>
                          <w:rPr>
                            <w:sz w:val="12"/>
                          </w:rPr>
                        </w:pPr>
                      </w:p>
                      <w:p>
                        <w:pPr>
                          <w:pStyle w:val="TableParagraph"/>
                          <w:ind w:left="2618"/>
                          <w:rPr>
                            <w:sz w:val="18"/>
                          </w:rPr>
                        </w:pPr>
                        <w:r>
                          <w:rPr>
                            <w:sz w:val="18"/>
                          </w:rPr>
                          <w:t>(4) 皮肤癌（不包括恶性黑色素瘤及已发生转移的皮肤癌</w:t>
                        </w:r>
                        <w:r>
                          <w:rPr>
                            <w:spacing w:val="-90"/>
                            <w:sz w:val="18"/>
                          </w:rPr>
                          <w:t>）</w:t>
                        </w:r>
                        <w:r>
                          <w:rPr>
                            <w:sz w:val="18"/>
                          </w:rPr>
                          <w:t>；</w:t>
                        </w:r>
                      </w:p>
                    </w:tc>
                  </w:tr>
                  <w:tr>
                    <w:trPr>
                      <w:trHeight w:val="425" w:hRule="atLeast"/>
                    </w:trPr>
                    <w:tc>
                      <w:tcPr>
                        <w:tcW w:w="10162" w:type="dxa"/>
                      </w:tcPr>
                      <w:p>
                        <w:pPr>
                          <w:pStyle w:val="TableParagraph"/>
                          <w:spacing w:before="10"/>
                          <w:ind w:left="2618"/>
                          <w:rPr>
                            <w:sz w:val="18"/>
                          </w:rPr>
                        </w:pPr>
                        <w:r>
                          <w:rPr>
                            <w:position w:val="1"/>
                            <w:sz w:val="18"/>
                          </w:rPr>
                          <w:t>(5) TNM分期为T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tc>
                  </w:tr>
                  <w:tr>
                    <w:trPr>
                      <w:trHeight w:val="893" w:hRule="atLeast"/>
                    </w:trPr>
                    <w:tc>
                      <w:tcPr>
                        <w:tcW w:w="10162" w:type="dxa"/>
                      </w:tcPr>
                      <w:p>
                        <w:pPr>
                          <w:pStyle w:val="TableParagraph"/>
                          <w:numPr>
                            <w:ilvl w:val="0"/>
                            <w:numId w:val="9"/>
                          </w:numPr>
                          <w:tabs>
                            <w:tab w:pos="620" w:val="left" w:leader="none"/>
                            <w:tab w:pos="621" w:val="left" w:leader="none"/>
                            <w:tab w:pos="2617" w:val="left" w:leader="none"/>
                          </w:tabs>
                          <w:spacing w:line="240" w:lineRule="auto" w:before="124" w:after="0"/>
                          <w:ind w:left="620" w:right="0" w:hanging="420"/>
                          <w:jc w:val="left"/>
                          <w:rPr>
                            <w:sz w:val="18"/>
                          </w:rPr>
                        </w:pPr>
                        <w:r>
                          <w:rPr>
                            <w:b/>
                            <w:sz w:val="18"/>
                          </w:rPr>
                          <w:t>急性心肌梗塞</w:t>
                          <w:tab/>
                        </w:r>
                        <w:r>
                          <w:rPr>
                            <w:sz w:val="18"/>
                          </w:rPr>
                          <w:t>指因冠状动脉阻塞导致的相应区域供血不足造成部分心肌坏死。须满足下列至少三项条件：</w:t>
                        </w:r>
                      </w:p>
                      <w:p>
                        <w:pPr>
                          <w:pStyle w:val="TableParagraph"/>
                          <w:numPr>
                            <w:ilvl w:val="1"/>
                            <w:numId w:val="9"/>
                          </w:numPr>
                          <w:tabs>
                            <w:tab w:pos="2979" w:val="left" w:leader="none"/>
                          </w:tabs>
                          <w:spacing w:line="240" w:lineRule="auto" w:before="76" w:after="0"/>
                          <w:ind w:left="2978" w:right="0" w:hanging="360"/>
                          <w:jc w:val="left"/>
                          <w:rPr>
                            <w:sz w:val="18"/>
                          </w:rPr>
                        </w:pPr>
                        <w:r>
                          <w:rPr>
                            <w:sz w:val="18"/>
                          </w:rPr>
                          <w:t>典型临床表现，例如急性胸痛等；</w:t>
                        </w:r>
                      </w:p>
                    </w:tc>
                  </w:tr>
                  <w:tr>
                    <w:trPr>
                      <w:trHeight w:val="467" w:hRule="atLeast"/>
                    </w:trPr>
                    <w:tc>
                      <w:tcPr>
                        <w:tcW w:w="10162" w:type="dxa"/>
                      </w:tcPr>
                      <w:p>
                        <w:pPr>
                          <w:pStyle w:val="TableParagraph"/>
                          <w:spacing w:before="9"/>
                          <w:rPr>
                            <w:sz w:val="12"/>
                          </w:rPr>
                        </w:pPr>
                      </w:p>
                      <w:p>
                        <w:pPr>
                          <w:pStyle w:val="TableParagraph"/>
                          <w:ind w:left="2618"/>
                          <w:rPr>
                            <w:sz w:val="18"/>
                          </w:rPr>
                        </w:pPr>
                        <w:r>
                          <w:rPr>
                            <w:sz w:val="18"/>
                          </w:rPr>
                          <w:t>(3) 心肌酶或肌钙蛋白有诊断意义的升高，或呈符合急性心肌梗塞的动态性变化；</w:t>
                        </w:r>
                      </w:p>
                    </w:tc>
                  </w:tr>
                  <w:tr>
                    <w:trPr>
                      <w:trHeight w:val="425" w:hRule="atLeast"/>
                    </w:trPr>
                    <w:tc>
                      <w:tcPr>
                        <w:tcW w:w="10162" w:type="dxa"/>
                      </w:tcPr>
                      <w:p>
                        <w:pPr>
                          <w:pStyle w:val="TableParagraph"/>
                          <w:spacing w:before="10"/>
                          <w:ind w:left="2618"/>
                          <w:rPr>
                            <w:sz w:val="18"/>
                          </w:rPr>
                        </w:pPr>
                        <w:r>
                          <w:rPr>
                            <w:sz w:val="18"/>
                          </w:rPr>
                          <w:t>(4) 发病 90 天后，经检查证实左心室功能降低，如左心室射血分数低于 50%。</w:t>
                        </w:r>
                      </w:p>
                    </w:tc>
                  </w:tr>
                  <w:tr>
                    <w:trPr>
                      <w:trHeight w:val="893" w:hRule="atLeast"/>
                    </w:trPr>
                    <w:tc>
                      <w:tcPr>
                        <w:tcW w:w="10162" w:type="dxa"/>
                      </w:tcPr>
                      <w:p>
                        <w:pPr>
                          <w:pStyle w:val="TableParagraph"/>
                          <w:tabs>
                            <w:tab w:pos="620" w:val="left" w:leader="none"/>
                            <w:tab w:pos="2617" w:val="left" w:leader="none"/>
                          </w:tabs>
                          <w:spacing w:line="316" w:lineRule="auto" w:before="124"/>
                          <w:ind w:left="2618" w:right="198" w:hanging="2419"/>
                          <w:rPr>
                            <w:sz w:val="18"/>
                          </w:rPr>
                        </w:pPr>
                        <w:r>
                          <w:rPr>
                            <w:b/>
                            <w:sz w:val="18"/>
                          </w:rPr>
                          <w:t>3.</w:t>
                          <w:tab/>
                          <w:t>脑中风后遗症</w:t>
                          <w:tab/>
                        </w:r>
                        <w:r>
                          <w:rPr>
                            <w:sz w:val="18"/>
                          </w:rPr>
                          <w:t>指因脑血管的突发病变引起脑血管出血</w:t>
                        </w:r>
                        <w:r>
                          <w:rPr>
                            <w:spacing w:val="-13"/>
                            <w:sz w:val="18"/>
                          </w:rPr>
                          <w:t>、</w:t>
                        </w:r>
                        <w:r>
                          <w:rPr>
                            <w:sz w:val="18"/>
                          </w:rPr>
                          <w:t>栓塞或梗塞</w:t>
                        </w:r>
                        <w:r>
                          <w:rPr>
                            <w:spacing w:val="-13"/>
                            <w:sz w:val="18"/>
                          </w:rPr>
                          <w:t>，</w:t>
                        </w:r>
                        <w:r>
                          <w:rPr>
                            <w:sz w:val="18"/>
                          </w:rPr>
                          <w:t>并导致神经系统永久性功能障碍</w:t>
                        </w:r>
                        <w:r>
                          <w:rPr>
                            <w:spacing w:val="-13"/>
                            <w:sz w:val="18"/>
                          </w:rPr>
                          <w:t>。</w:t>
                        </w:r>
                        <w:r>
                          <w:rPr>
                            <w:sz w:val="18"/>
                          </w:rPr>
                          <w:t>神经系统永久性的功能障碍，指疾病确诊</w:t>
                        </w:r>
                        <w:r>
                          <w:rPr>
                            <w:spacing w:val="-46"/>
                            <w:sz w:val="18"/>
                          </w:rPr>
                          <w:t> </w:t>
                        </w:r>
                        <w:r>
                          <w:rPr>
                            <w:sz w:val="18"/>
                          </w:rPr>
                          <w:t>180</w:t>
                        </w:r>
                        <w:r>
                          <w:rPr>
                            <w:spacing w:val="-45"/>
                            <w:sz w:val="18"/>
                          </w:rPr>
                          <w:t> </w:t>
                        </w:r>
                        <w:r>
                          <w:rPr>
                            <w:sz w:val="18"/>
                          </w:rPr>
                          <w:t>天后，仍遗留下列一种或一种以上障碍：</w:t>
                        </w:r>
                      </w:p>
                    </w:tc>
                  </w:tr>
                  <w:tr>
                    <w:trPr>
                      <w:trHeight w:val="468" w:hRule="atLeast"/>
                    </w:trPr>
                    <w:tc>
                      <w:tcPr>
                        <w:tcW w:w="10162" w:type="dxa"/>
                      </w:tcPr>
                      <w:p>
                        <w:pPr>
                          <w:pStyle w:val="TableParagraph"/>
                          <w:spacing w:before="9"/>
                          <w:rPr>
                            <w:sz w:val="12"/>
                          </w:rPr>
                        </w:pPr>
                      </w:p>
                      <w:p>
                        <w:pPr>
                          <w:pStyle w:val="TableParagraph"/>
                          <w:ind w:left="2618"/>
                          <w:rPr>
                            <w:sz w:val="18"/>
                          </w:rPr>
                        </w:pPr>
                        <w:r>
                          <w:rPr>
                            <w:sz w:val="18"/>
                          </w:rPr>
                          <w:t>(2)</w:t>
                        </w:r>
                        <w:r>
                          <w:rPr>
                            <w:spacing w:val="0"/>
                            <w:sz w:val="18"/>
                          </w:rPr>
                          <w:t> </w:t>
                        </w:r>
                        <w:r>
                          <w:rPr>
                            <w:b/>
                            <w:spacing w:val="-1"/>
                            <w:w w:val="99"/>
                            <w:sz w:val="18"/>
                          </w:rPr>
                          <w:t>语言能力或咀嚼吞咽能力完全丧失</w:t>
                        </w:r>
                        <w:r>
                          <w:rPr>
                            <w:spacing w:val="-2"/>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tc>
                  </w:tr>
                  <w:tr>
                    <w:trPr>
                      <w:trHeight w:val="245" w:hRule="atLeast"/>
                    </w:trPr>
                    <w:tc>
                      <w:tcPr>
                        <w:tcW w:w="10162" w:type="dxa"/>
                      </w:tcPr>
                      <w:p>
                        <w:pPr>
                          <w:pStyle w:val="TableParagraph"/>
                          <w:spacing w:line="216" w:lineRule="exact" w:before="10"/>
                          <w:ind w:left="2618"/>
                          <w:rPr>
                            <w:sz w:val="18"/>
                          </w:rPr>
                        </w:pPr>
                        <w:r>
                          <w:rPr>
                            <w:sz w:val="18"/>
                          </w:rPr>
                          <w:t>(3) 自主生活能力完全丧失，无法独立完成</w:t>
                        </w:r>
                        <w:r>
                          <w:rPr>
                            <w:b/>
                            <w:sz w:val="18"/>
                          </w:rPr>
                          <w:t>六项基本日常生活活动</w:t>
                        </w:r>
                        <w:r>
                          <w:rPr>
                            <w:sz w:val="18"/>
                          </w:rPr>
                          <w:t>（注 5）中的三项或三项以</w:t>
                        </w:r>
                      </w:p>
                    </w:tc>
                  </w:tr>
                </w:tbl>
                <w:p>
                  <w:pPr>
                    <w:pStyle w:val="BodyText"/>
                  </w:pPr>
                </w:p>
              </w:txbxContent>
            </v:textbox>
            <w10:wrap type="none"/>
          </v:shape>
        </w:pict>
      </w:r>
      <w:r>
        <w:rPr/>
        <w:t>(3) 相当于Ann Arbor 分期方案I 期程度的何杰金氏病；</w:t>
      </w:r>
    </w:p>
    <w:p>
      <w:pPr>
        <w:pStyle w:val="BodyText"/>
      </w:pPr>
    </w:p>
    <w:p>
      <w:pPr>
        <w:pStyle w:val="BodyText"/>
      </w:pPr>
    </w:p>
    <w:p>
      <w:pPr>
        <w:pStyle w:val="BodyText"/>
      </w:pPr>
    </w:p>
    <w:p>
      <w:pPr>
        <w:pStyle w:val="BodyText"/>
      </w:pPr>
    </w:p>
    <w:p>
      <w:pPr>
        <w:pStyle w:val="BodyText"/>
      </w:pPr>
    </w:p>
    <w:p>
      <w:pPr>
        <w:pStyle w:val="BodyText"/>
      </w:pPr>
    </w:p>
    <w:p>
      <w:pPr>
        <w:pStyle w:val="BodyText"/>
        <w:spacing w:before="137"/>
        <w:ind w:left="2723"/>
      </w:pPr>
      <w:r>
        <w:rPr/>
        <w:t>(2) 新近的心电图改变提示急性心肌梗塞；</w:t>
      </w:r>
    </w:p>
    <w:p>
      <w:pPr>
        <w:pStyle w:val="BodyText"/>
      </w:pPr>
    </w:p>
    <w:p>
      <w:pPr>
        <w:pStyle w:val="BodyText"/>
      </w:pPr>
    </w:p>
    <w:p>
      <w:pPr>
        <w:pStyle w:val="BodyText"/>
      </w:pPr>
    </w:p>
    <w:p>
      <w:pPr>
        <w:pStyle w:val="BodyText"/>
      </w:pPr>
    </w:p>
    <w:p>
      <w:pPr>
        <w:pStyle w:val="BodyText"/>
      </w:pPr>
    </w:p>
    <w:p>
      <w:pPr>
        <w:pStyle w:val="BodyText"/>
      </w:pPr>
    </w:p>
    <w:p>
      <w:pPr>
        <w:spacing w:before="137"/>
        <w:ind w:left="2723" w:right="0" w:firstLine="0"/>
        <w:jc w:val="left"/>
        <w:rPr>
          <w:sz w:val="18"/>
        </w:rPr>
      </w:pPr>
      <w:r>
        <w:rPr>
          <w:sz w:val="18"/>
        </w:rPr>
        <w:t>(1) 一肢或一肢以上</w:t>
      </w:r>
      <w:r>
        <w:rPr>
          <w:b/>
          <w:spacing w:val="-1"/>
          <w:w w:val="99"/>
          <w:sz w:val="18"/>
        </w:rPr>
        <w:t>肢体机能完全丧失</w:t>
      </w:r>
      <w:r>
        <w:rPr>
          <w:spacing w:val="-2"/>
          <w:sz w:val="18"/>
        </w:rPr>
        <w:t>（</w:t>
      </w:r>
      <w:r>
        <w:rPr>
          <w:spacing w:val="-23"/>
          <w:sz w:val="18"/>
        </w:rPr>
        <w:t>注 </w:t>
      </w:r>
      <w:r>
        <w:rPr>
          <w:sz w:val="18"/>
        </w:rPr>
        <w:t>2</w:t>
      </w:r>
      <w:r>
        <w:rPr>
          <w:spacing w:val="-90"/>
          <w:sz w:val="18"/>
        </w:rPr>
        <w:t>）</w:t>
      </w:r>
      <w:r>
        <w:rPr>
          <w:sz w:val="18"/>
        </w:rPr>
        <w:t>；</w:t>
      </w:r>
    </w:p>
    <w:p>
      <w:pPr>
        <w:spacing w:after="0"/>
        <w:jc w:val="left"/>
        <w:rPr>
          <w:sz w:val="18"/>
        </w:rPr>
        <w:sectPr>
          <w:pgSz w:w="11910" w:h="16840"/>
          <w:pgMar w:header="877" w:footer="981" w:top="1100" w:bottom="1180" w:left="880" w:right="520"/>
        </w:sectPr>
      </w:pPr>
    </w:p>
    <w:p>
      <w:pPr>
        <w:pStyle w:val="BodyText"/>
        <w:spacing w:before="3"/>
        <w:rPr>
          <w:sz w:val="20"/>
        </w:rPr>
      </w:pPr>
    </w:p>
    <w:p>
      <w:pPr>
        <w:pStyle w:val="BodyText"/>
        <w:spacing w:before="44"/>
        <w:ind w:left="2829"/>
      </w:pPr>
      <w:r>
        <w:rPr/>
        <w:t>上。</w:t>
      </w:r>
    </w:p>
    <w:p>
      <w:pPr>
        <w:pStyle w:val="BodyText"/>
        <w:spacing w:before="9"/>
        <w:rPr>
          <w:sz w:val="19"/>
        </w:rPr>
      </w:pPr>
    </w:p>
    <w:p>
      <w:pPr>
        <w:spacing w:after="0"/>
        <w:rPr>
          <w:sz w:val="19"/>
        </w:rPr>
        <w:sectPr>
          <w:pgSz w:w="11910" w:h="16840"/>
          <w:pgMar w:header="877" w:footer="981" w:top="1100" w:bottom="1180" w:left="1080" w:right="840"/>
        </w:sectPr>
      </w:pPr>
    </w:p>
    <w:p>
      <w:pPr>
        <w:pStyle w:val="Heading2"/>
        <w:numPr>
          <w:ilvl w:val="0"/>
          <w:numId w:val="10"/>
        </w:numPr>
        <w:tabs>
          <w:tab w:pos="525" w:val="left" w:leader="none"/>
          <w:tab w:pos="526" w:val="left" w:leader="none"/>
        </w:tabs>
        <w:spacing w:line="316" w:lineRule="auto" w:before="45" w:after="0"/>
        <w:ind w:left="525" w:right="0" w:hanging="420"/>
        <w:jc w:val="left"/>
      </w:pPr>
      <w:r>
        <w:rPr>
          <w:spacing w:val="18"/>
          <w:w w:val="95"/>
        </w:rPr>
        <w:t>重大器官移植术或造</w:t>
      </w:r>
      <w:r>
        <w:rPr>
          <w:w w:val="95"/>
        </w:rPr>
        <w:t>血干细胞移植术</w:t>
      </w:r>
    </w:p>
    <w:p>
      <w:pPr>
        <w:pStyle w:val="BodyText"/>
        <w:spacing w:line="316" w:lineRule="auto" w:before="45"/>
        <w:ind w:left="105" w:right="116"/>
      </w:pPr>
      <w:r>
        <w:rPr/>
        <w:br w:type="column"/>
      </w:r>
      <w:r>
        <w:rPr>
          <w:spacing w:val="-5"/>
        </w:rPr>
        <w:t>重大器官移植术，指因相应器官功能衰竭，已经实施了肾脏、肝脏、心脏或肺脏的异体移植手术。</w:t>
      </w:r>
    </w:p>
    <w:p>
      <w:pPr>
        <w:pStyle w:val="BodyText"/>
        <w:spacing w:line="316" w:lineRule="auto" w:before="19"/>
        <w:ind w:left="105" w:right="69"/>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29" w:space="90"/>
            <w:col w:w="7571"/>
          </w:cols>
        </w:sectPr>
      </w:pPr>
    </w:p>
    <w:p>
      <w:pPr>
        <w:pStyle w:val="BodyText"/>
        <w:spacing w:before="5"/>
        <w:rPr>
          <w:sz w:val="15"/>
        </w:rPr>
      </w:pPr>
    </w:p>
    <w:p>
      <w:pPr>
        <w:pStyle w:val="ListParagraph"/>
        <w:numPr>
          <w:ilvl w:val="0"/>
          <w:numId w:val="10"/>
        </w:numPr>
        <w:tabs>
          <w:tab w:pos="525" w:val="left" w:leader="none"/>
          <w:tab w:pos="526" w:val="left" w:leader="none"/>
          <w:tab w:pos="2523" w:val="left" w:leader="none"/>
        </w:tabs>
        <w:spacing w:line="240" w:lineRule="auto" w:before="44" w:after="0"/>
        <w:ind w:left="525" w:right="0" w:hanging="420"/>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before="76"/>
        <w:ind w:left="2523" w:right="80"/>
      </w:pPr>
      <w:r>
        <w:rPr/>
        <w:t>冠状动脉支架植入术、心导管球囊扩张术、激光射频技术及其它非开胸的介入手术、腔镜手术不在保障范围内。</w:t>
      </w:r>
    </w:p>
    <w:p>
      <w:pPr>
        <w:pStyle w:val="BodyText"/>
        <w:spacing w:before="10"/>
      </w:pPr>
    </w:p>
    <w:p>
      <w:pPr>
        <w:pStyle w:val="ListParagraph"/>
        <w:numPr>
          <w:ilvl w:val="0"/>
          <w:numId w:val="10"/>
        </w:numPr>
        <w:tabs>
          <w:tab w:pos="525" w:val="left" w:leader="none"/>
          <w:tab w:pos="526" w:val="left" w:leader="none"/>
          <w:tab w:pos="2523" w:val="left" w:leader="none"/>
        </w:tabs>
        <w:spacing w:line="316" w:lineRule="auto" w:before="0" w:after="0"/>
        <w:ind w:left="2523" w:right="168" w:hanging="2418"/>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9"/>
      </w:pPr>
    </w:p>
    <w:p>
      <w:pPr>
        <w:pStyle w:val="ListParagraph"/>
        <w:numPr>
          <w:ilvl w:val="0"/>
          <w:numId w:val="10"/>
        </w:numPr>
        <w:tabs>
          <w:tab w:pos="525" w:val="left" w:leader="none"/>
          <w:tab w:pos="526" w:val="left" w:leader="none"/>
          <w:tab w:pos="2523" w:val="left" w:leader="none"/>
        </w:tabs>
        <w:spacing w:line="316" w:lineRule="auto" w:before="1" w:after="0"/>
        <w:ind w:left="2523" w:right="114"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5"/>
        <w:rPr>
          <w:sz w:val="15"/>
        </w:rPr>
      </w:pPr>
    </w:p>
    <w:p>
      <w:pPr>
        <w:spacing w:after="0"/>
        <w:rPr>
          <w:sz w:val="15"/>
        </w:rPr>
        <w:sectPr>
          <w:type w:val="continuous"/>
          <w:pgSz w:w="11910" w:h="16840"/>
          <w:pgMar w:top="1040" w:bottom="1180" w:left="1080" w:right="840"/>
        </w:sectPr>
      </w:pPr>
    </w:p>
    <w:p>
      <w:pPr>
        <w:pStyle w:val="Heading2"/>
        <w:numPr>
          <w:ilvl w:val="0"/>
          <w:numId w:val="10"/>
        </w:numPr>
        <w:tabs>
          <w:tab w:pos="525" w:val="left" w:leader="none"/>
          <w:tab w:pos="526" w:val="left" w:leader="none"/>
        </w:tabs>
        <w:spacing w:line="316" w:lineRule="auto" w:before="44" w:after="0"/>
        <w:ind w:left="525" w:right="0" w:hanging="420"/>
        <w:jc w:val="left"/>
      </w:pPr>
      <w:r>
        <w:rPr>
          <w:spacing w:val="18"/>
          <w:w w:val="95"/>
        </w:rPr>
        <w:t>急性或亚急性重症肝</w:t>
      </w:r>
      <w:r>
        <w:rPr/>
        <w:t>炎</w:t>
      </w:r>
    </w:p>
    <w:p>
      <w:pPr>
        <w:pStyle w:val="BodyText"/>
        <w:spacing w:line="316" w:lineRule="auto" w:before="44"/>
        <w:ind w:left="105" w:right="59"/>
      </w:pPr>
      <w:r>
        <w:rPr/>
        <w:br w:type="column"/>
      </w:r>
      <w:r>
        <w:rPr/>
        <w:t>指因肝炎病毒感染引起肝脏组织弥漫性坏死，导致急性肝功能衰竭，且经血清学或病毒学检查证实，并须满足下列全部条件：</w:t>
      </w:r>
    </w:p>
    <w:p>
      <w:pPr>
        <w:pStyle w:val="ListParagraph"/>
        <w:numPr>
          <w:ilvl w:val="0"/>
          <w:numId w:val="11"/>
        </w:numPr>
        <w:tabs>
          <w:tab w:pos="503" w:val="left" w:leader="none"/>
        </w:tabs>
        <w:spacing w:line="240" w:lineRule="auto" w:before="18" w:after="0"/>
        <w:ind w:left="502" w:right="0" w:hanging="397"/>
        <w:jc w:val="left"/>
        <w:rPr>
          <w:sz w:val="18"/>
        </w:rPr>
      </w:pPr>
      <w:r>
        <w:rPr>
          <w:sz w:val="18"/>
        </w:rPr>
        <w:t>重度黄疸或黄疸迅速加重；</w:t>
      </w:r>
    </w:p>
    <w:p>
      <w:pPr>
        <w:pStyle w:val="ListParagraph"/>
        <w:numPr>
          <w:ilvl w:val="0"/>
          <w:numId w:val="11"/>
        </w:numPr>
        <w:tabs>
          <w:tab w:pos="503" w:val="left" w:leader="none"/>
        </w:tabs>
        <w:spacing w:line="240" w:lineRule="auto" w:before="76" w:after="0"/>
        <w:ind w:left="502" w:right="0" w:hanging="397"/>
        <w:jc w:val="left"/>
        <w:rPr>
          <w:sz w:val="18"/>
        </w:rPr>
      </w:pPr>
      <w:r>
        <w:rPr>
          <w:sz w:val="18"/>
        </w:rPr>
        <w:t>肝性脑病；</w:t>
      </w:r>
    </w:p>
    <w:p>
      <w:pPr>
        <w:pStyle w:val="ListParagraph"/>
        <w:numPr>
          <w:ilvl w:val="0"/>
          <w:numId w:val="11"/>
        </w:numPr>
        <w:tabs>
          <w:tab w:pos="503" w:val="left" w:leader="none"/>
        </w:tabs>
        <w:spacing w:line="240" w:lineRule="auto" w:before="76" w:after="0"/>
        <w:ind w:left="502" w:right="0" w:hanging="397"/>
        <w:jc w:val="left"/>
        <w:rPr>
          <w:sz w:val="18"/>
        </w:rPr>
      </w:pPr>
      <w:r>
        <w:rPr>
          <w:sz w:val="18"/>
        </w:rPr>
        <w:t>B</w:t>
      </w:r>
      <w:r>
        <w:rPr>
          <w:spacing w:val="-7"/>
          <w:sz w:val="18"/>
        </w:rPr>
        <w:t> 超或其他影像学检查显示肝脏体积急速萎缩；</w:t>
      </w:r>
    </w:p>
    <w:p>
      <w:pPr>
        <w:pStyle w:val="ListParagraph"/>
        <w:numPr>
          <w:ilvl w:val="0"/>
          <w:numId w:val="11"/>
        </w:numPr>
        <w:tabs>
          <w:tab w:pos="466" w:val="left" w:leader="none"/>
        </w:tabs>
        <w:spacing w:line="240" w:lineRule="auto" w:before="76" w:after="0"/>
        <w:ind w:left="465" w:right="0" w:hanging="360"/>
        <w:jc w:val="left"/>
        <w:rPr>
          <w:sz w:val="18"/>
        </w:rPr>
      </w:pPr>
      <w:r>
        <w:rPr>
          <w:sz w:val="18"/>
        </w:rPr>
        <w:t>肝功能指标进行性恶化。</w:t>
      </w:r>
    </w:p>
    <w:p>
      <w:pPr>
        <w:spacing w:after="0" w:line="240" w:lineRule="auto"/>
        <w:jc w:val="left"/>
        <w:rPr>
          <w:sz w:val="18"/>
        </w:rPr>
        <w:sectPr>
          <w:type w:val="continuous"/>
          <w:pgSz w:w="11910" w:h="16840"/>
          <w:pgMar w:top="1040" w:bottom="1180" w:left="1080" w:right="840"/>
          <w:cols w:num="2" w:equalWidth="0">
            <w:col w:w="2329" w:space="90"/>
            <w:col w:w="7571"/>
          </w:cols>
        </w:sectPr>
      </w:pPr>
    </w:p>
    <w:p>
      <w:pPr>
        <w:pStyle w:val="BodyText"/>
        <w:spacing w:before="11"/>
        <w:rPr>
          <w:sz w:val="19"/>
        </w:rPr>
      </w:pPr>
    </w:p>
    <w:p>
      <w:pPr>
        <w:pStyle w:val="ListParagraph"/>
        <w:numPr>
          <w:ilvl w:val="0"/>
          <w:numId w:val="10"/>
        </w:numPr>
        <w:tabs>
          <w:tab w:pos="526" w:val="left" w:leader="none"/>
          <w:tab w:pos="2523" w:val="left" w:leader="none"/>
        </w:tabs>
        <w:spacing w:line="316" w:lineRule="auto" w:before="44" w:after="0"/>
        <w:ind w:left="2523" w:right="114"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0"/>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0"/>
        </w:numPr>
        <w:tabs>
          <w:tab w:pos="2921" w:val="left" w:leader="none"/>
        </w:tabs>
        <w:spacing w:line="240" w:lineRule="auto" w:before="18" w:after="0"/>
        <w:ind w:left="2920" w:right="0" w:hanging="397"/>
        <w:jc w:val="left"/>
        <w:rPr>
          <w:sz w:val="18"/>
        </w:rPr>
      </w:pPr>
      <w:r>
        <w:rPr>
          <w:sz w:val="18"/>
        </w:rPr>
        <w:t>实际实施了开颅进行的脑肿瘤完全切除或部分切除的手术；</w:t>
      </w:r>
    </w:p>
    <w:p>
      <w:pPr>
        <w:pStyle w:val="ListParagraph"/>
        <w:numPr>
          <w:ilvl w:val="1"/>
          <w:numId w:val="10"/>
        </w:numPr>
        <w:tabs>
          <w:tab w:pos="2921" w:val="left" w:leader="none"/>
        </w:tabs>
        <w:spacing w:line="240" w:lineRule="auto" w:before="76" w:after="0"/>
        <w:ind w:left="2920" w:right="0" w:hanging="397"/>
        <w:jc w:val="left"/>
        <w:rPr>
          <w:sz w:val="18"/>
        </w:rPr>
      </w:pPr>
      <w:r>
        <w:rPr>
          <w:sz w:val="18"/>
        </w:rPr>
        <w:t>实际实施了对脑肿瘤进行的放射治疗。</w:t>
      </w:r>
    </w:p>
    <w:p>
      <w:pPr>
        <w:pStyle w:val="BodyText"/>
        <w:spacing w:before="76"/>
        <w:ind w:left="2523"/>
      </w:pPr>
      <w:r>
        <w:rPr/>
        <w:t>脑垂体瘤、脑囊肿、脑血管性疾病不在保障范围内。</w:t>
      </w:r>
    </w:p>
    <w:p>
      <w:pPr>
        <w:pStyle w:val="BodyText"/>
        <w:spacing w:before="10"/>
        <w:rPr>
          <w:sz w:val="19"/>
        </w:rPr>
      </w:pPr>
    </w:p>
    <w:p>
      <w:pPr>
        <w:spacing w:after="0"/>
        <w:rPr>
          <w:sz w:val="19"/>
        </w:rPr>
        <w:sectPr>
          <w:type w:val="continuous"/>
          <w:pgSz w:w="11910" w:h="16840"/>
          <w:pgMar w:top="1040" w:bottom="1180" w:left="1080" w:right="840"/>
        </w:sectPr>
      </w:pPr>
    </w:p>
    <w:p>
      <w:pPr>
        <w:pStyle w:val="Heading2"/>
        <w:numPr>
          <w:ilvl w:val="0"/>
          <w:numId w:val="10"/>
        </w:numPr>
        <w:tabs>
          <w:tab w:pos="526" w:val="left" w:leader="none"/>
        </w:tabs>
        <w:spacing w:line="316" w:lineRule="auto" w:before="44" w:after="0"/>
        <w:ind w:left="525" w:right="0" w:hanging="420"/>
        <w:jc w:val="left"/>
      </w:pPr>
      <w:r>
        <w:rPr>
          <w:spacing w:val="18"/>
          <w:w w:val="95"/>
        </w:rPr>
        <w:t>慢性肝功能衰竭失代</w:t>
      </w:r>
      <w:r>
        <w:rPr/>
        <w:t>偿期</w:t>
      </w:r>
    </w:p>
    <w:p>
      <w:pPr>
        <w:pStyle w:val="BodyText"/>
        <w:spacing w:before="44"/>
        <w:ind w:left="105"/>
      </w:pPr>
      <w:r>
        <w:rPr/>
        <w:br w:type="column"/>
      </w:r>
      <w:r>
        <w:rPr/>
        <w:t>指因慢性肝脏疾病导致肝功能衰竭。须满足下列全部条件：</w:t>
      </w:r>
    </w:p>
    <w:p>
      <w:pPr>
        <w:pStyle w:val="ListParagraph"/>
        <w:numPr>
          <w:ilvl w:val="0"/>
          <w:numId w:val="12"/>
        </w:numPr>
        <w:tabs>
          <w:tab w:pos="503" w:val="left" w:leader="none"/>
        </w:tabs>
        <w:spacing w:line="240" w:lineRule="auto" w:before="76" w:after="0"/>
        <w:ind w:left="105" w:right="0" w:firstLine="0"/>
        <w:jc w:val="left"/>
        <w:rPr>
          <w:sz w:val="18"/>
        </w:rPr>
      </w:pPr>
      <w:r>
        <w:rPr>
          <w:sz w:val="18"/>
        </w:rPr>
        <w:t>持续性黄疸；</w:t>
      </w:r>
    </w:p>
    <w:p>
      <w:pPr>
        <w:pStyle w:val="ListParagraph"/>
        <w:numPr>
          <w:ilvl w:val="0"/>
          <w:numId w:val="12"/>
        </w:numPr>
        <w:tabs>
          <w:tab w:pos="503" w:val="left" w:leader="none"/>
        </w:tabs>
        <w:spacing w:line="240" w:lineRule="auto" w:before="76" w:after="0"/>
        <w:ind w:left="105" w:right="0" w:firstLine="0"/>
        <w:jc w:val="left"/>
        <w:rPr>
          <w:sz w:val="18"/>
        </w:rPr>
      </w:pPr>
      <w:r>
        <w:rPr>
          <w:sz w:val="18"/>
        </w:rPr>
        <w:t>腹水；</w:t>
      </w:r>
    </w:p>
    <w:p>
      <w:pPr>
        <w:pStyle w:val="ListParagraph"/>
        <w:numPr>
          <w:ilvl w:val="0"/>
          <w:numId w:val="12"/>
        </w:numPr>
        <w:tabs>
          <w:tab w:pos="503" w:val="left" w:leader="none"/>
        </w:tabs>
        <w:spacing w:line="240" w:lineRule="auto" w:before="76" w:after="0"/>
        <w:ind w:left="105" w:right="0" w:firstLine="0"/>
        <w:jc w:val="left"/>
        <w:rPr>
          <w:sz w:val="18"/>
        </w:rPr>
      </w:pPr>
      <w:r>
        <w:rPr>
          <w:sz w:val="18"/>
        </w:rPr>
        <w:t>肝性脑病；</w:t>
      </w:r>
    </w:p>
    <w:p>
      <w:pPr>
        <w:pStyle w:val="ListParagraph"/>
        <w:numPr>
          <w:ilvl w:val="0"/>
          <w:numId w:val="12"/>
        </w:numPr>
        <w:tabs>
          <w:tab w:pos="503" w:val="left" w:leader="none"/>
        </w:tabs>
        <w:spacing w:line="316" w:lineRule="auto" w:before="76" w:after="0"/>
        <w:ind w:left="105" w:right="3101"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40"/>
          <w:cols w:num="2" w:equalWidth="0">
            <w:col w:w="2328" w:space="90"/>
            <w:col w:w="7572"/>
          </w:cols>
        </w:sectPr>
      </w:pPr>
    </w:p>
    <w:p>
      <w:pPr>
        <w:pStyle w:val="BodyText"/>
        <w:spacing w:before="4"/>
        <w:rPr>
          <w:sz w:val="15"/>
        </w:rPr>
      </w:pPr>
    </w:p>
    <w:p>
      <w:pPr>
        <w:spacing w:after="0"/>
        <w:rPr>
          <w:sz w:val="15"/>
        </w:rPr>
        <w:sectPr>
          <w:type w:val="continuous"/>
          <w:pgSz w:w="11910" w:h="16840"/>
          <w:pgMar w:top="1040" w:bottom="1180" w:left="1080" w:right="840"/>
        </w:sectPr>
      </w:pPr>
    </w:p>
    <w:p>
      <w:pPr>
        <w:pStyle w:val="Heading2"/>
        <w:numPr>
          <w:ilvl w:val="0"/>
          <w:numId w:val="10"/>
        </w:numPr>
        <w:tabs>
          <w:tab w:pos="526" w:val="left" w:leader="none"/>
        </w:tabs>
        <w:spacing w:line="316" w:lineRule="auto" w:before="45" w:after="0"/>
        <w:ind w:left="525" w:right="0" w:hanging="420"/>
        <w:jc w:val="left"/>
      </w:pPr>
      <w:r>
        <w:rPr>
          <w:spacing w:val="18"/>
          <w:w w:val="95"/>
        </w:rPr>
        <w:t>脑炎后遗症或脑膜炎</w:t>
      </w:r>
      <w:r>
        <w:rPr/>
        <w:t>后遗症</w:t>
      </w:r>
    </w:p>
    <w:p>
      <w:pPr>
        <w:pStyle w:val="BodyText"/>
        <w:spacing w:line="316" w:lineRule="auto" w:before="45"/>
        <w:ind w:left="105" w:right="6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3"/>
        </w:numPr>
        <w:tabs>
          <w:tab w:pos="503" w:val="left" w:leader="none"/>
        </w:tabs>
        <w:spacing w:line="240" w:lineRule="auto" w:before="19" w:after="0"/>
        <w:ind w:left="502" w:right="0" w:hanging="397"/>
        <w:jc w:val="left"/>
        <w:rPr>
          <w:sz w:val="18"/>
        </w:rPr>
      </w:pPr>
      <w:r>
        <w:rPr>
          <w:sz w:val="18"/>
        </w:rPr>
        <w:t>一肢或一肢以上肢体机能完全丧失；</w:t>
      </w:r>
    </w:p>
    <w:p>
      <w:pPr>
        <w:pStyle w:val="ListParagraph"/>
        <w:numPr>
          <w:ilvl w:val="0"/>
          <w:numId w:val="13"/>
        </w:numPr>
        <w:tabs>
          <w:tab w:pos="503" w:val="left" w:leader="none"/>
        </w:tabs>
        <w:spacing w:line="240" w:lineRule="auto" w:before="76" w:after="0"/>
        <w:ind w:left="502" w:right="0" w:hanging="397"/>
        <w:jc w:val="left"/>
        <w:rPr>
          <w:sz w:val="18"/>
        </w:rPr>
      </w:pPr>
      <w:r>
        <w:rPr>
          <w:sz w:val="18"/>
        </w:rPr>
        <w:t>语言能力或咀嚼吞咽能力完全丧失；</w:t>
      </w:r>
    </w:p>
    <w:p>
      <w:pPr>
        <w:pStyle w:val="ListParagraph"/>
        <w:numPr>
          <w:ilvl w:val="0"/>
          <w:numId w:val="13"/>
        </w:numPr>
        <w:tabs>
          <w:tab w:pos="466" w:val="left" w:leader="none"/>
        </w:tabs>
        <w:spacing w:line="240" w:lineRule="auto" w:before="76" w:after="0"/>
        <w:ind w:left="465"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40"/>
          <w:cols w:num="2" w:equalWidth="0">
            <w:col w:w="2328" w:space="90"/>
            <w:col w:w="7572"/>
          </w:cols>
        </w:sectPr>
      </w:pPr>
    </w:p>
    <w:p>
      <w:pPr>
        <w:pStyle w:val="BodyText"/>
        <w:spacing w:before="10"/>
        <w:rPr>
          <w:sz w:val="19"/>
        </w:rPr>
      </w:pPr>
    </w:p>
    <w:p>
      <w:pPr>
        <w:pStyle w:val="ListParagraph"/>
        <w:numPr>
          <w:ilvl w:val="0"/>
          <w:numId w:val="10"/>
        </w:numPr>
        <w:tabs>
          <w:tab w:pos="526" w:val="left" w:leader="none"/>
          <w:tab w:pos="2523" w:val="left" w:leader="none"/>
        </w:tabs>
        <w:spacing w:line="316" w:lineRule="auto" w:before="44" w:after="0"/>
        <w:ind w:left="2523" w:right="114"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8"/>
        <w:ind w:left="2523"/>
      </w:pPr>
      <w:r>
        <w:rPr/>
        <w:t>因酗酒或药物滥用导致的深度昏迷不在保障范围内。</w:t>
      </w:r>
    </w:p>
    <w:p>
      <w:pPr>
        <w:spacing w:after="0"/>
        <w:sectPr>
          <w:type w:val="continuous"/>
          <w:pgSz w:w="11910" w:h="16840"/>
          <w:pgMar w:top="1040" w:bottom="1180" w:left="1080" w:right="840"/>
        </w:sectPr>
      </w:pPr>
    </w:p>
    <w:p>
      <w:pPr>
        <w:pStyle w:val="BodyText"/>
        <w:rPr>
          <w:sz w:val="20"/>
        </w:rPr>
      </w:pPr>
      <w:r>
        <w:rPr/>
        <w:pict>
          <v:shape style="position:absolute;margin-left:49.279999pt;margin-top:85.565323pt;width:512.65pt;height:684.1pt;mso-position-horizontal-relative:page;mso-position-vertical-relative:page;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0"/>
                    <w:gridCol w:w="7732"/>
                  </w:tblGrid>
                  <w:tr>
                    <w:trPr>
                      <w:trHeight w:val="983" w:hRule="atLeast"/>
                    </w:trPr>
                    <w:tc>
                      <w:tcPr>
                        <w:tcW w:w="2520" w:type="dxa"/>
                      </w:tcPr>
                      <w:p>
                        <w:pPr>
                          <w:pStyle w:val="TableParagraph"/>
                          <w:spacing w:line="180" w:lineRule="exact"/>
                          <w:ind w:left="200"/>
                          <w:rPr>
                            <w:b/>
                            <w:sz w:val="18"/>
                          </w:rPr>
                        </w:pPr>
                        <w:r>
                          <w:rPr>
                            <w:b/>
                            <w:sz w:val="18"/>
                          </w:rPr>
                          <w:t>13. 双耳失聪</w:t>
                        </w:r>
                      </w:p>
                    </w:tc>
                    <w:tc>
                      <w:tcPr>
                        <w:tcW w:w="7732" w:type="dxa"/>
                      </w:tcPr>
                      <w:p>
                        <w:pPr>
                          <w:pStyle w:val="TableParagraph"/>
                          <w:spacing w:line="180" w:lineRule="exact"/>
                          <w:ind w:left="97"/>
                          <w:rPr>
                            <w:sz w:val="18"/>
                          </w:rPr>
                        </w:pPr>
                        <w:r>
                          <w:rPr>
                            <w:sz w:val="18"/>
                          </w:rPr>
                          <w:t>指因疾病或意外伤害导致双耳听力</w:t>
                        </w:r>
                        <w:r>
                          <w:rPr>
                            <w:b/>
                            <w:spacing w:val="-5"/>
                            <w:sz w:val="18"/>
                          </w:rPr>
                          <w:t>永久不可逆</w:t>
                        </w:r>
                        <w:r>
                          <w:rPr>
                            <w:sz w:val="18"/>
                          </w:rPr>
                          <w:t>（</w:t>
                        </w:r>
                        <w:r>
                          <w:rPr>
                            <w:spacing w:val="-24"/>
                            <w:sz w:val="18"/>
                          </w:rPr>
                          <w:t>注 </w:t>
                        </w:r>
                        <w:r>
                          <w:rPr>
                            <w:spacing w:val="-11"/>
                            <w:sz w:val="18"/>
                          </w:rPr>
                          <w:t>6）</w:t>
                        </w:r>
                        <w:r>
                          <w:rPr>
                            <w:spacing w:val="-12"/>
                            <w:sz w:val="18"/>
                          </w:rPr>
                          <w:t>性丧失，在 </w:t>
                        </w:r>
                        <w:r>
                          <w:rPr>
                            <w:sz w:val="18"/>
                          </w:rPr>
                          <w:t>500</w:t>
                        </w:r>
                        <w:r>
                          <w:rPr>
                            <w:spacing w:val="-18"/>
                            <w:sz w:val="18"/>
                          </w:rPr>
                          <w:t> 赫兹、</w:t>
                        </w:r>
                        <w:r>
                          <w:rPr>
                            <w:sz w:val="18"/>
                          </w:rPr>
                          <w:t>1000</w:t>
                        </w:r>
                        <w:r>
                          <w:rPr>
                            <w:spacing w:val="-19"/>
                            <w:sz w:val="18"/>
                          </w:rPr>
                          <w:t> 赫兹和 </w:t>
                        </w:r>
                        <w:r>
                          <w:rPr>
                            <w:sz w:val="18"/>
                          </w:rPr>
                          <w:t>2000</w:t>
                        </w:r>
                      </w:p>
                      <w:p>
                        <w:pPr>
                          <w:pStyle w:val="TableParagraph"/>
                          <w:spacing w:line="316" w:lineRule="auto" w:before="76"/>
                          <w:ind w:left="97" w:right="341"/>
                          <w:rPr>
                            <w:sz w:val="18"/>
                          </w:rPr>
                        </w:pPr>
                        <w:r>
                          <w:rPr>
                            <w:spacing w:val="-4"/>
                            <w:sz w:val="18"/>
                          </w:rPr>
                          <w:t>赫兹语音频率下，平均听阈大于 </w:t>
                        </w:r>
                        <w:r>
                          <w:rPr>
                            <w:sz w:val="18"/>
                          </w:rPr>
                          <w:t>90</w:t>
                        </w:r>
                        <w:r>
                          <w:rPr>
                            <w:spacing w:val="-7"/>
                            <w:sz w:val="18"/>
                          </w:rPr>
                          <w:t> 分贝，且经纯音听力测试、声导抗检测或听觉诱发电位检测等证实。</w:t>
                        </w:r>
                      </w:p>
                    </w:tc>
                  </w:tr>
                  <w:tr>
                    <w:trPr>
                      <w:trHeight w:val="893" w:hRule="atLeast"/>
                    </w:trPr>
                    <w:tc>
                      <w:tcPr>
                        <w:tcW w:w="10252" w:type="dxa"/>
                        <w:gridSpan w:val="2"/>
                      </w:tcPr>
                      <w:p>
                        <w:pPr>
                          <w:pStyle w:val="TableParagraph"/>
                          <w:tabs>
                            <w:tab w:pos="2617" w:val="left" w:leader="none"/>
                          </w:tabs>
                          <w:spacing w:line="316" w:lineRule="auto" w:before="124"/>
                          <w:ind w:left="2617" w:right="432" w:hanging="2418"/>
                          <w:rPr>
                            <w:sz w:val="18"/>
                          </w:rPr>
                        </w:pPr>
                        <w:r>
                          <w:rPr>
                            <w:b/>
                            <w:sz w:val="18"/>
                          </w:rPr>
                          <w:t>14.</w:t>
                        </w:r>
                        <w:r>
                          <w:rPr>
                            <w:b/>
                            <w:spacing w:val="55"/>
                            <w:sz w:val="18"/>
                          </w:rPr>
                          <w:t> </w:t>
                        </w:r>
                        <w:r>
                          <w:rPr>
                            <w:b/>
                            <w:sz w:val="18"/>
                          </w:rPr>
                          <w:t>双目失明</w:t>
                          <w:tab/>
                        </w:r>
                        <w:r>
                          <w:rPr>
                            <w:sz w:val="18"/>
                          </w:rPr>
                          <w:t>指因疾病或意外伤害导致双眼视力永久不可逆性丧失，双眼中较好眼须满足下列至少一项条件：</w:t>
                        </w:r>
                      </w:p>
                    </w:tc>
                  </w:tr>
                  <w:tr>
                    <w:trPr>
                      <w:trHeight w:val="468" w:hRule="atLeast"/>
                    </w:trPr>
                    <w:tc>
                      <w:tcPr>
                        <w:tcW w:w="2520" w:type="dxa"/>
                      </w:tcPr>
                      <w:p>
                        <w:pPr>
                          <w:pStyle w:val="TableParagraph"/>
                          <w:rPr>
                            <w:rFonts w:ascii="Times New Roman"/>
                            <w:sz w:val="18"/>
                          </w:rPr>
                        </w:pPr>
                      </w:p>
                    </w:tc>
                    <w:tc>
                      <w:tcPr>
                        <w:tcW w:w="7732" w:type="dxa"/>
                      </w:tcPr>
                      <w:p>
                        <w:pPr>
                          <w:pStyle w:val="TableParagraph"/>
                          <w:spacing w:before="9"/>
                          <w:rPr>
                            <w:sz w:val="12"/>
                          </w:rPr>
                        </w:pPr>
                      </w:p>
                      <w:p>
                        <w:pPr>
                          <w:pStyle w:val="TableParagraph"/>
                          <w:ind w:left="97"/>
                          <w:rPr>
                            <w:sz w:val="18"/>
                          </w:rPr>
                        </w:pPr>
                        <w:r>
                          <w:rPr>
                            <w:sz w:val="18"/>
                          </w:rPr>
                          <w:t>(2)</w:t>
                        </w:r>
                        <w:r>
                          <w:rPr>
                            <w:spacing w:val="-6"/>
                            <w:sz w:val="18"/>
                          </w:rPr>
                          <w:t> 矫正视力低于 </w:t>
                        </w:r>
                        <w:r>
                          <w:rPr>
                            <w:sz w:val="18"/>
                          </w:rPr>
                          <w:t>0.02（采用国际标准视力表，如果使用其它视力表应进行换算</w:t>
                        </w:r>
                        <w:r>
                          <w:rPr>
                            <w:spacing w:val="-90"/>
                            <w:sz w:val="18"/>
                          </w:rPr>
                          <w:t>）</w:t>
                        </w:r>
                        <w:r>
                          <w:rPr>
                            <w:sz w:val="18"/>
                          </w:rPr>
                          <w:t>；</w:t>
                        </w:r>
                      </w:p>
                    </w:tc>
                  </w:tr>
                  <w:tr>
                    <w:trPr>
                      <w:trHeight w:val="425" w:hRule="atLeast"/>
                    </w:trPr>
                    <w:tc>
                      <w:tcPr>
                        <w:tcW w:w="2520" w:type="dxa"/>
                      </w:tcPr>
                      <w:p>
                        <w:pPr>
                          <w:pStyle w:val="TableParagraph"/>
                          <w:rPr>
                            <w:rFonts w:ascii="Times New Roman"/>
                            <w:sz w:val="18"/>
                          </w:rPr>
                        </w:pPr>
                      </w:p>
                    </w:tc>
                    <w:tc>
                      <w:tcPr>
                        <w:tcW w:w="7732" w:type="dxa"/>
                      </w:tcPr>
                      <w:p>
                        <w:pPr>
                          <w:pStyle w:val="TableParagraph"/>
                          <w:spacing w:before="10"/>
                          <w:ind w:left="98"/>
                          <w:rPr>
                            <w:sz w:val="18"/>
                          </w:rPr>
                        </w:pPr>
                        <w:r>
                          <w:rPr>
                            <w:sz w:val="18"/>
                          </w:rPr>
                          <w:t>(3) 视野半径小于 5 度。</w:t>
                        </w:r>
                      </w:p>
                    </w:tc>
                  </w:tr>
                  <w:tr>
                    <w:trPr>
                      <w:trHeight w:val="1162" w:hRule="atLeast"/>
                    </w:trPr>
                    <w:tc>
                      <w:tcPr>
                        <w:tcW w:w="2520" w:type="dxa"/>
                      </w:tcPr>
                      <w:p>
                        <w:pPr>
                          <w:pStyle w:val="TableParagraph"/>
                          <w:spacing w:before="124"/>
                          <w:ind w:left="200"/>
                          <w:rPr>
                            <w:b/>
                            <w:sz w:val="18"/>
                          </w:rPr>
                        </w:pPr>
                        <w:r>
                          <w:rPr>
                            <w:b/>
                            <w:sz w:val="18"/>
                          </w:rPr>
                          <w:t>15. 瘫 痪</w:t>
                        </w:r>
                      </w:p>
                    </w:tc>
                    <w:tc>
                      <w:tcPr>
                        <w:tcW w:w="7732" w:type="dxa"/>
                      </w:tcPr>
                      <w:p>
                        <w:pPr>
                          <w:pStyle w:val="TableParagraph"/>
                          <w:spacing w:line="316" w:lineRule="auto" w:before="124"/>
                          <w:ind w:left="97" w:right="287"/>
                          <w:jc w:val="both"/>
                          <w:rPr>
                            <w:sz w:val="18"/>
                          </w:rPr>
                        </w:pPr>
                        <w:r>
                          <w:rPr>
                            <w:spacing w:val="-2"/>
                            <w:sz w:val="18"/>
                          </w:rPr>
                          <w:t>指因疾病或意外伤害导致两肢或两肢以上肢体机能永久完全丧失。肢体机能永久完全丧失，指</w:t>
                        </w:r>
                        <w:r>
                          <w:rPr>
                            <w:spacing w:val="-11"/>
                            <w:sz w:val="18"/>
                          </w:rPr>
                          <w:t>疾病确诊 </w:t>
                        </w:r>
                        <w:r>
                          <w:rPr>
                            <w:sz w:val="18"/>
                          </w:rPr>
                          <w:t>180</w:t>
                        </w:r>
                        <w:r>
                          <w:rPr>
                            <w:spacing w:val="-11"/>
                            <w:sz w:val="18"/>
                          </w:rPr>
                          <w:t> 天后或意外伤害发生 </w:t>
                        </w:r>
                        <w:r>
                          <w:rPr>
                            <w:sz w:val="18"/>
                          </w:rPr>
                          <w:t>180</w:t>
                        </w:r>
                        <w:r>
                          <w:rPr>
                            <w:spacing w:val="-10"/>
                            <w:sz w:val="18"/>
                          </w:rPr>
                          <w:t> 天后，每肢三大关节中的两大关节仍然完全僵硬，或不能随意识活动。</w:t>
                        </w:r>
                      </w:p>
                    </w:tc>
                  </w:tr>
                  <w:tr>
                    <w:trPr>
                      <w:trHeight w:val="538" w:hRule="atLeast"/>
                    </w:trPr>
                    <w:tc>
                      <w:tcPr>
                        <w:tcW w:w="2520" w:type="dxa"/>
                      </w:tcPr>
                      <w:p>
                        <w:pPr>
                          <w:pStyle w:val="TableParagraph"/>
                          <w:spacing w:before="124"/>
                          <w:ind w:left="200"/>
                          <w:rPr>
                            <w:b/>
                            <w:sz w:val="18"/>
                          </w:rPr>
                        </w:pPr>
                        <w:r>
                          <w:rPr>
                            <w:b/>
                            <w:sz w:val="18"/>
                          </w:rPr>
                          <w:t>16. 心脏瓣膜手术</w:t>
                        </w:r>
                      </w:p>
                    </w:tc>
                    <w:tc>
                      <w:tcPr>
                        <w:tcW w:w="7732" w:type="dxa"/>
                      </w:tcPr>
                      <w:p>
                        <w:pPr>
                          <w:pStyle w:val="TableParagraph"/>
                          <w:spacing w:before="124"/>
                          <w:ind w:left="97"/>
                          <w:rPr>
                            <w:sz w:val="18"/>
                          </w:rPr>
                        </w:pPr>
                        <w:r>
                          <w:rPr>
                            <w:sz w:val="18"/>
                          </w:rPr>
                          <w:t>指为治疗心脏瓣膜疾病，实际实施了开胸进行的心脏瓣膜置换或修复的手术。</w:t>
                        </w:r>
                      </w:p>
                    </w:tc>
                  </w:tr>
                  <w:tr>
                    <w:trPr>
                      <w:trHeight w:val="1361" w:hRule="atLeast"/>
                    </w:trPr>
                    <w:tc>
                      <w:tcPr>
                        <w:tcW w:w="2520" w:type="dxa"/>
                      </w:tcPr>
                      <w:p>
                        <w:pPr>
                          <w:pStyle w:val="TableParagraph"/>
                          <w:spacing w:before="124"/>
                          <w:ind w:left="200"/>
                          <w:rPr>
                            <w:b/>
                            <w:sz w:val="18"/>
                          </w:rPr>
                        </w:pPr>
                        <w:r>
                          <w:rPr>
                            <w:b/>
                            <w:sz w:val="18"/>
                          </w:rPr>
                          <w:t>17. 严重阿尔茨海默病</w:t>
                        </w:r>
                      </w:p>
                    </w:tc>
                    <w:tc>
                      <w:tcPr>
                        <w:tcW w:w="7732" w:type="dxa"/>
                      </w:tcPr>
                      <w:p>
                        <w:pPr>
                          <w:pStyle w:val="TableParagraph"/>
                          <w:spacing w:line="310" w:lineRule="atLeast" w:before="49"/>
                          <w:ind w:left="97" w:right="252"/>
                          <w:rPr>
                            <w:sz w:val="18"/>
                          </w:rPr>
                        </w:pP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r>
                          <w:rPr>
                            <w:spacing w:val="-2"/>
                            <w:sz w:val="18"/>
                          </w:rPr>
                          <w:t>磁共振检查</w:t>
                        </w:r>
                        <w:r>
                          <w:rPr>
                            <w:sz w:val="18"/>
                          </w:rPr>
                          <w:t>（MRI）</w:t>
                        </w:r>
                        <w:r>
                          <w:rPr>
                            <w:spacing w:val="-1"/>
                            <w:sz w:val="18"/>
                          </w:rPr>
                          <w:t>或正电子发射断层扫描</w:t>
                        </w:r>
                        <w:r>
                          <w:rPr>
                            <w:sz w:val="18"/>
                          </w:rPr>
                          <w:t>（PET）</w:t>
                        </w:r>
                        <w:r>
                          <w:rPr>
                            <w:spacing w:val="-1"/>
                            <w:sz w:val="18"/>
                          </w:rPr>
                          <w:t>等影像学检查证实，且自主生活能力完全丧失，无法独立完成六项基本日常生活活动中的三项或三项以上。</w:t>
                        </w:r>
                      </w:p>
                    </w:tc>
                  </w:tr>
                  <w:tr>
                    <w:trPr>
                      <w:trHeight w:val="426" w:hRule="atLeast"/>
                    </w:trPr>
                    <w:tc>
                      <w:tcPr>
                        <w:tcW w:w="2520" w:type="dxa"/>
                      </w:tcPr>
                      <w:p>
                        <w:pPr>
                          <w:pStyle w:val="TableParagraph"/>
                          <w:rPr>
                            <w:rFonts w:ascii="Times New Roman"/>
                            <w:sz w:val="18"/>
                          </w:rPr>
                        </w:pPr>
                      </w:p>
                    </w:tc>
                    <w:tc>
                      <w:tcPr>
                        <w:tcW w:w="7732" w:type="dxa"/>
                      </w:tcPr>
                      <w:p>
                        <w:pPr>
                          <w:pStyle w:val="TableParagraph"/>
                          <w:spacing w:before="10"/>
                          <w:ind w:left="97"/>
                          <w:rPr>
                            <w:sz w:val="18"/>
                          </w:rPr>
                        </w:pPr>
                        <w:r>
                          <w:rPr>
                            <w:sz w:val="18"/>
                          </w:rPr>
                          <w:t>神经官能症和精神疾病不在保障范围内。</w:t>
                        </w:r>
                      </w:p>
                    </w:tc>
                  </w:tr>
                  <w:tr>
                    <w:trPr>
                      <w:trHeight w:val="1205" w:hRule="atLeast"/>
                    </w:trPr>
                    <w:tc>
                      <w:tcPr>
                        <w:tcW w:w="10252" w:type="dxa"/>
                        <w:gridSpan w:val="2"/>
                      </w:tcPr>
                      <w:p>
                        <w:pPr>
                          <w:pStyle w:val="TableParagraph"/>
                          <w:tabs>
                            <w:tab w:pos="2617" w:val="left" w:leader="none"/>
                          </w:tabs>
                          <w:spacing w:line="316" w:lineRule="auto" w:before="124"/>
                          <w:ind w:left="2617" w:right="288" w:hanging="2418"/>
                          <w:jc w:val="both"/>
                          <w:rPr>
                            <w:sz w:val="18"/>
                          </w:rPr>
                        </w:pPr>
                        <w:r>
                          <w:rPr>
                            <w:b/>
                            <w:sz w:val="18"/>
                          </w:rPr>
                          <w:t>18.</w:t>
                        </w:r>
                        <w:r>
                          <w:rPr>
                            <w:b/>
                            <w:spacing w:val="55"/>
                            <w:sz w:val="18"/>
                          </w:rPr>
                          <w:t> </w:t>
                        </w: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tc>
                  </w:tr>
                  <w:tr>
                    <w:trPr>
                      <w:trHeight w:val="468" w:hRule="atLeast"/>
                    </w:trPr>
                    <w:tc>
                      <w:tcPr>
                        <w:tcW w:w="2520" w:type="dxa"/>
                      </w:tcPr>
                      <w:p>
                        <w:pPr>
                          <w:pStyle w:val="TableParagraph"/>
                          <w:rPr>
                            <w:rFonts w:ascii="Times New Roman"/>
                            <w:sz w:val="18"/>
                          </w:rPr>
                        </w:pPr>
                      </w:p>
                    </w:tc>
                    <w:tc>
                      <w:tcPr>
                        <w:tcW w:w="7732" w:type="dxa"/>
                      </w:tcPr>
                      <w:p>
                        <w:pPr>
                          <w:pStyle w:val="TableParagraph"/>
                          <w:spacing w:before="9"/>
                          <w:rPr>
                            <w:sz w:val="12"/>
                          </w:rPr>
                        </w:pPr>
                      </w:p>
                      <w:p>
                        <w:pPr>
                          <w:pStyle w:val="TableParagraph"/>
                          <w:ind w:left="97"/>
                          <w:rPr>
                            <w:sz w:val="18"/>
                          </w:rPr>
                        </w:pPr>
                        <w:r>
                          <w:rPr>
                            <w:sz w:val="18"/>
                          </w:rPr>
                          <w:t>(2) 语言能力或咀嚼吞咽能力完全丧失；</w:t>
                        </w:r>
                      </w:p>
                    </w:tc>
                  </w:tr>
                  <w:tr>
                    <w:trPr>
                      <w:trHeight w:val="425" w:hRule="atLeast"/>
                    </w:trPr>
                    <w:tc>
                      <w:tcPr>
                        <w:tcW w:w="2520" w:type="dxa"/>
                      </w:tcPr>
                      <w:p>
                        <w:pPr>
                          <w:pStyle w:val="TableParagraph"/>
                          <w:rPr>
                            <w:rFonts w:ascii="Times New Roman"/>
                            <w:sz w:val="18"/>
                          </w:rPr>
                        </w:pPr>
                      </w:p>
                    </w:tc>
                    <w:tc>
                      <w:tcPr>
                        <w:tcW w:w="7732" w:type="dxa"/>
                      </w:tcPr>
                      <w:p>
                        <w:pPr>
                          <w:pStyle w:val="TableParagraph"/>
                          <w:spacing w:before="10"/>
                          <w:ind w:left="97"/>
                          <w:rPr>
                            <w:sz w:val="18"/>
                          </w:rPr>
                        </w:pPr>
                        <w:r>
                          <w:rPr>
                            <w:sz w:val="18"/>
                          </w:rPr>
                          <w:t>(3) 自主生活能力完全丧失，无法独立完成六项基本日常生活活动中的三项或三项以上。</w:t>
                        </w:r>
                      </w:p>
                    </w:tc>
                  </w:tr>
                  <w:tr>
                    <w:trPr>
                      <w:trHeight w:val="581" w:hRule="atLeast"/>
                    </w:trPr>
                    <w:tc>
                      <w:tcPr>
                        <w:tcW w:w="10252" w:type="dxa"/>
                        <w:gridSpan w:val="2"/>
                      </w:tcPr>
                      <w:p>
                        <w:pPr>
                          <w:pStyle w:val="TableParagraph"/>
                          <w:tabs>
                            <w:tab w:pos="2617" w:val="left" w:leader="none"/>
                          </w:tabs>
                          <w:spacing w:before="124"/>
                          <w:ind w:left="200"/>
                          <w:rPr>
                            <w:sz w:val="18"/>
                          </w:rPr>
                        </w:pPr>
                        <w:r>
                          <w:rPr>
                            <w:b/>
                            <w:sz w:val="18"/>
                          </w:rPr>
                          <w:t>19.</w:t>
                        </w:r>
                        <w:r>
                          <w:rPr>
                            <w:b/>
                            <w:spacing w:val="53"/>
                            <w:sz w:val="18"/>
                          </w:rPr>
                          <w:t> </w:t>
                        </w: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tc>
                  </w:tr>
                  <w:tr>
                    <w:trPr>
                      <w:trHeight w:val="467" w:hRule="atLeast"/>
                    </w:trPr>
                    <w:tc>
                      <w:tcPr>
                        <w:tcW w:w="2520" w:type="dxa"/>
                      </w:tcPr>
                      <w:p>
                        <w:pPr>
                          <w:pStyle w:val="TableParagraph"/>
                          <w:rPr>
                            <w:rFonts w:ascii="Times New Roman"/>
                            <w:sz w:val="18"/>
                          </w:rPr>
                        </w:pPr>
                      </w:p>
                    </w:tc>
                    <w:tc>
                      <w:tcPr>
                        <w:tcW w:w="7732" w:type="dxa"/>
                      </w:tcPr>
                      <w:p>
                        <w:pPr>
                          <w:pStyle w:val="TableParagraph"/>
                          <w:spacing w:before="9"/>
                          <w:rPr>
                            <w:sz w:val="12"/>
                          </w:rPr>
                        </w:pPr>
                      </w:p>
                      <w:p>
                        <w:pPr>
                          <w:pStyle w:val="TableParagraph"/>
                          <w:ind w:left="97"/>
                          <w:rPr>
                            <w:sz w:val="18"/>
                          </w:rPr>
                        </w:pPr>
                        <w:r>
                          <w:rPr>
                            <w:sz w:val="18"/>
                          </w:rPr>
                          <w:t>(2) 自主生活能力完全丧失，无法独立完成六项基本日常生活活动中的三项或三项以上。</w:t>
                        </w:r>
                      </w:p>
                    </w:tc>
                  </w:tr>
                  <w:tr>
                    <w:trPr>
                      <w:trHeight w:val="425" w:hRule="atLeast"/>
                    </w:trPr>
                    <w:tc>
                      <w:tcPr>
                        <w:tcW w:w="2520" w:type="dxa"/>
                      </w:tcPr>
                      <w:p>
                        <w:pPr>
                          <w:pStyle w:val="TableParagraph"/>
                          <w:rPr>
                            <w:rFonts w:ascii="Times New Roman"/>
                            <w:sz w:val="18"/>
                          </w:rPr>
                        </w:pPr>
                      </w:p>
                    </w:tc>
                    <w:tc>
                      <w:tcPr>
                        <w:tcW w:w="7732" w:type="dxa"/>
                      </w:tcPr>
                      <w:p>
                        <w:pPr>
                          <w:pStyle w:val="TableParagraph"/>
                          <w:spacing w:before="10"/>
                          <w:ind w:left="97"/>
                          <w:rPr>
                            <w:sz w:val="18"/>
                          </w:rPr>
                        </w:pPr>
                        <w:r>
                          <w:rPr>
                            <w:sz w:val="18"/>
                          </w:rPr>
                          <w:t>继发性帕金森综合征不在保障范围内。</w:t>
                        </w:r>
                      </w:p>
                    </w:tc>
                  </w:tr>
                  <w:tr>
                    <w:trPr>
                      <w:trHeight w:val="850" w:hRule="atLeast"/>
                    </w:trPr>
                    <w:tc>
                      <w:tcPr>
                        <w:tcW w:w="2520" w:type="dxa"/>
                      </w:tcPr>
                      <w:p>
                        <w:pPr>
                          <w:pStyle w:val="TableParagraph"/>
                          <w:spacing w:before="124"/>
                          <w:ind w:left="200"/>
                          <w:rPr>
                            <w:b/>
                            <w:sz w:val="18"/>
                          </w:rPr>
                        </w:pPr>
                        <w:r>
                          <w:rPr>
                            <w:b/>
                            <w:sz w:val="18"/>
                          </w:rPr>
                          <w:t>20. 严重Ⅲ度烧伤</w:t>
                        </w:r>
                      </w:p>
                    </w:tc>
                    <w:tc>
                      <w:tcPr>
                        <w:tcW w:w="7732" w:type="dxa"/>
                      </w:tcPr>
                      <w:p>
                        <w:pPr>
                          <w:pStyle w:val="TableParagraph"/>
                          <w:spacing w:line="316" w:lineRule="auto" w:before="124"/>
                          <w:ind w:left="97" w:right="289"/>
                          <w:rPr>
                            <w:sz w:val="18"/>
                          </w:rPr>
                        </w:pPr>
                        <w:r>
                          <w:rPr>
                            <w:spacing w:val="-10"/>
                            <w:sz w:val="18"/>
                          </w:rPr>
                          <w:t>指烧伤程度为Ⅲ度，且Ⅲ度烧伤面积达到全身体表面积的 </w:t>
                        </w:r>
                        <w:r>
                          <w:rPr>
                            <w:sz w:val="18"/>
                          </w:rPr>
                          <w:t>20％</w:t>
                        </w:r>
                        <w:r>
                          <w:rPr>
                            <w:spacing w:val="-23"/>
                            <w:sz w:val="18"/>
                          </w:rPr>
                          <w:t>或 </w:t>
                        </w:r>
                        <w:r>
                          <w:rPr>
                            <w:sz w:val="18"/>
                          </w:rPr>
                          <w:t>20％</w:t>
                        </w:r>
                        <w:r>
                          <w:rPr>
                            <w:spacing w:val="-8"/>
                            <w:sz w:val="18"/>
                          </w:rPr>
                          <w:t>以上。体表面积根据《中国新九分法》计算。</w:t>
                        </w:r>
                      </w:p>
                    </w:tc>
                  </w:tr>
                  <w:tr>
                    <w:trPr>
                      <w:trHeight w:val="1162" w:hRule="atLeast"/>
                    </w:trPr>
                    <w:tc>
                      <w:tcPr>
                        <w:tcW w:w="2520" w:type="dxa"/>
                      </w:tcPr>
                      <w:p>
                        <w:pPr>
                          <w:pStyle w:val="TableParagraph"/>
                          <w:spacing w:line="316" w:lineRule="auto" w:before="124"/>
                          <w:ind w:left="619" w:right="95" w:hanging="420"/>
                          <w:rPr>
                            <w:b/>
                            <w:sz w:val="18"/>
                          </w:rPr>
                        </w:pPr>
                        <w:r>
                          <w:rPr>
                            <w:b/>
                            <w:sz w:val="18"/>
                          </w:rPr>
                          <w:t>21. 严重原发性肺动脉高压</w:t>
                        </w:r>
                      </w:p>
                    </w:tc>
                    <w:tc>
                      <w:tcPr>
                        <w:tcW w:w="7732" w:type="dxa"/>
                      </w:tcPr>
                      <w:p>
                        <w:pPr>
                          <w:pStyle w:val="TableParagraph"/>
                          <w:spacing w:line="316" w:lineRule="auto" w:before="124"/>
                          <w:ind w:left="97" w:right="288"/>
                          <w:jc w:val="both"/>
                          <w:rPr>
                            <w:sz w:val="18"/>
                          </w:rPr>
                        </w:pPr>
                        <w:r>
                          <w:rPr>
                            <w:spacing w:val="-3"/>
                            <w:sz w:val="18"/>
                          </w:rPr>
                          <w:t>指不明原因的肺动脉压力持续性增高，进行性发展而导致的慢性疾病，已经造成永久不可逆性</w:t>
                        </w:r>
                        <w:r>
                          <w:rPr>
                            <w:spacing w:val="-2"/>
                            <w:sz w:val="18"/>
                          </w:rPr>
                          <w:t>的体力活动能力受限，达到美国纽约心脏病学会心功能状态分级</w:t>
                        </w:r>
                        <w:r>
                          <w:rPr>
                            <w:sz w:val="18"/>
                          </w:rPr>
                          <w:t>IV</w:t>
                        </w:r>
                        <w:r>
                          <w:rPr>
                            <w:spacing w:val="-7"/>
                            <w:sz w:val="18"/>
                          </w:rPr>
                          <w:t> 级，且静息状态下肺动脉</w:t>
                        </w:r>
                        <w:r>
                          <w:rPr>
                            <w:spacing w:val="-14"/>
                            <w:sz w:val="18"/>
                          </w:rPr>
                          <w:t>平均压超过 </w:t>
                        </w:r>
                        <w:r>
                          <w:rPr>
                            <w:sz w:val="18"/>
                          </w:rPr>
                          <w:t>30mmHg。</w:t>
                        </w:r>
                      </w:p>
                    </w:tc>
                  </w:tr>
                  <w:tr>
                    <w:trPr>
                      <w:trHeight w:val="1162" w:hRule="atLeast"/>
                    </w:trPr>
                    <w:tc>
                      <w:tcPr>
                        <w:tcW w:w="2520" w:type="dxa"/>
                      </w:tcPr>
                      <w:p>
                        <w:pPr>
                          <w:pStyle w:val="TableParagraph"/>
                          <w:spacing w:before="124"/>
                          <w:ind w:left="200"/>
                          <w:rPr>
                            <w:b/>
                            <w:sz w:val="18"/>
                          </w:rPr>
                        </w:pPr>
                        <w:r>
                          <w:rPr>
                            <w:b/>
                            <w:sz w:val="18"/>
                          </w:rPr>
                          <w:t>22. 严重运动神经元病</w:t>
                        </w:r>
                      </w:p>
                    </w:tc>
                    <w:tc>
                      <w:tcPr>
                        <w:tcW w:w="7732" w:type="dxa"/>
                      </w:tcPr>
                      <w:p>
                        <w:pPr>
                          <w:pStyle w:val="TableParagraph"/>
                          <w:spacing w:line="316" w:lineRule="auto" w:before="124"/>
                          <w:ind w:left="97" w:right="288"/>
                          <w:jc w:val="both"/>
                          <w:rPr>
                            <w:sz w:val="18"/>
                          </w:rPr>
                        </w:pP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tc>
                  </w:tr>
                  <w:tr>
                    <w:trPr>
                      <w:trHeight w:val="671" w:hRule="atLeast"/>
                    </w:trPr>
                    <w:tc>
                      <w:tcPr>
                        <w:tcW w:w="2520" w:type="dxa"/>
                      </w:tcPr>
                      <w:p>
                        <w:pPr>
                          <w:pStyle w:val="TableParagraph"/>
                          <w:spacing w:before="124"/>
                          <w:ind w:left="200"/>
                          <w:rPr>
                            <w:b/>
                            <w:sz w:val="18"/>
                          </w:rPr>
                        </w:pPr>
                        <w:r>
                          <w:rPr>
                            <w:b/>
                            <w:sz w:val="18"/>
                          </w:rPr>
                          <w:t>23. 语言能力丧失</w:t>
                        </w:r>
                      </w:p>
                    </w:tc>
                    <w:tc>
                      <w:tcPr>
                        <w:tcW w:w="7732" w:type="dxa"/>
                      </w:tcPr>
                      <w:p>
                        <w:pPr>
                          <w:pStyle w:val="TableParagraph"/>
                          <w:spacing w:line="310" w:lineRule="atLeast" w:before="49"/>
                          <w:ind w:left="97" w:right="341"/>
                          <w:rPr>
                            <w:sz w:val="18"/>
                          </w:rPr>
                        </w:pP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4"/>
        </w:rPr>
      </w:pPr>
    </w:p>
    <w:p>
      <w:pPr>
        <w:pStyle w:val="ListParagraph"/>
        <w:numPr>
          <w:ilvl w:val="1"/>
          <w:numId w:val="10"/>
        </w:numPr>
        <w:tabs>
          <w:tab w:pos="3121" w:val="left" w:leader="none"/>
        </w:tabs>
        <w:spacing w:line="240" w:lineRule="auto" w:before="45" w:after="0"/>
        <w:ind w:left="3120" w:right="0" w:hanging="397"/>
        <w:jc w:val="left"/>
        <w:rPr>
          <w:sz w:val="18"/>
        </w:rPr>
      </w:pPr>
      <w:r>
        <w:rPr>
          <w:sz w:val="18"/>
        </w:rPr>
        <w:t>眼球缺失或摘除；</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3"/>
        </w:rPr>
      </w:pPr>
    </w:p>
    <w:p>
      <w:pPr>
        <w:pStyle w:val="BodyText"/>
        <w:ind w:left="2723"/>
      </w:pPr>
      <w:r>
        <w:rPr/>
        <w:t>(1) 一肢或一肢以上肢体机能完全丧失；</w:t>
      </w:r>
    </w:p>
    <w:p>
      <w:pPr>
        <w:pStyle w:val="BodyText"/>
      </w:pPr>
    </w:p>
    <w:p>
      <w:pPr>
        <w:pStyle w:val="BodyText"/>
      </w:pPr>
    </w:p>
    <w:p>
      <w:pPr>
        <w:pStyle w:val="BodyText"/>
      </w:pPr>
    </w:p>
    <w:p>
      <w:pPr>
        <w:pStyle w:val="BodyText"/>
      </w:pPr>
    </w:p>
    <w:p>
      <w:pPr>
        <w:pStyle w:val="BodyText"/>
        <w:spacing w:before="8"/>
        <w:rPr>
          <w:sz w:val="22"/>
        </w:rPr>
      </w:pPr>
    </w:p>
    <w:p>
      <w:pPr>
        <w:pStyle w:val="BodyText"/>
        <w:ind w:left="2723"/>
      </w:pPr>
      <w:r>
        <w:rPr/>
        <w:t>(1) 药物治疗无法控制病情；</w:t>
      </w:r>
    </w:p>
    <w:p>
      <w:pPr>
        <w:spacing w:after="0"/>
        <w:sectPr>
          <w:pgSz w:w="11910" w:h="16840"/>
          <w:pgMar w:header="877" w:footer="981" w:top="1100" w:bottom="1180" w:left="880" w:right="560"/>
        </w:sectPr>
      </w:pPr>
    </w:p>
    <w:p>
      <w:pPr>
        <w:pStyle w:val="BodyText"/>
        <w:rPr>
          <w:sz w:val="20"/>
        </w:rPr>
      </w:pPr>
      <w:r>
        <w:rPr/>
        <w:pict>
          <v:shape style="position:absolute;margin-left:49.279999pt;margin-top:55.259998pt;width:512.65pt;height:704.5pt;mso-position-horizontal-relative:page;mso-position-vertical-relative:page;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8362"/>
                  </w:tblGrid>
                  <w:tr>
                    <w:trPr>
                      <w:trHeight w:val="724" w:hRule="atLeast"/>
                    </w:trPr>
                    <w:tc>
                      <w:tcPr>
                        <w:tcW w:w="1891" w:type="dxa"/>
                        <w:tcBorders>
                          <w:top w:val="single" w:sz="6" w:space="0" w:color="000000"/>
                        </w:tcBorders>
                      </w:tcPr>
                      <w:p>
                        <w:pPr>
                          <w:pStyle w:val="TableParagraph"/>
                          <w:rPr>
                            <w:rFonts w:ascii="Times New Roman"/>
                            <w:sz w:val="16"/>
                          </w:rPr>
                        </w:pPr>
                      </w:p>
                    </w:tc>
                    <w:tc>
                      <w:tcPr>
                        <w:tcW w:w="8362" w:type="dxa"/>
                        <w:tcBorders>
                          <w:top w:val="single" w:sz="6" w:space="0" w:color="000000"/>
                        </w:tcBorders>
                      </w:tcPr>
                      <w:p>
                        <w:pPr>
                          <w:pStyle w:val="TableParagraph"/>
                          <w:spacing w:before="8"/>
                          <w:rPr>
                            <w:sz w:val="23"/>
                          </w:rPr>
                        </w:pPr>
                      </w:p>
                      <w:p>
                        <w:pPr>
                          <w:pStyle w:val="TableParagraph"/>
                          <w:ind w:left="727"/>
                          <w:rPr>
                            <w:sz w:val="18"/>
                          </w:rPr>
                        </w:pPr>
                        <w:r>
                          <w:rPr>
                            <w:sz w:val="18"/>
                          </w:rPr>
                          <w:t>精神心理因素所致的语言能力丧失不在保障范围内。</w:t>
                        </w:r>
                      </w:p>
                    </w:tc>
                  </w:tr>
                  <w:tr>
                    <w:trPr>
                      <w:trHeight w:val="1517" w:hRule="atLeast"/>
                    </w:trPr>
                    <w:tc>
                      <w:tcPr>
                        <w:tcW w:w="10253" w:type="dxa"/>
                        <w:gridSpan w:val="2"/>
                      </w:tcPr>
                      <w:p>
                        <w:pPr>
                          <w:pStyle w:val="TableParagraph"/>
                          <w:numPr>
                            <w:ilvl w:val="0"/>
                            <w:numId w:val="14"/>
                          </w:numPr>
                          <w:tabs>
                            <w:tab w:pos="620" w:val="left" w:leader="none"/>
                            <w:tab w:pos="2617" w:val="left" w:leader="none"/>
                          </w:tabs>
                          <w:spacing w:line="316" w:lineRule="auto" w:before="124" w:after="0"/>
                          <w:ind w:left="2617" w:right="289" w:hanging="2417"/>
                          <w:jc w:val="left"/>
                          <w:rPr>
                            <w:sz w:val="18"/>
                          </w:rPr>
                        </w:pPr>
                        <w:r>
                          <w:rPr>
                            <w:b/>
                            <w:sz w:val="18"/>
                          </w:rPr>
                          <w:t>重型再生障碍性贫血</w:t>
                          <w:tab/>
                        </w:r>
                        <w:r>
                          <w:rPr>
                            <w:sz w:val="18"/>
                          </w:rPr>
                          <w:t>指因骨髓造血功能慢性持续性衰竭导致的贫血</w:t>
                        </w:r>
                        <w:r>
                          <w:rPr>
                            <w:spacing w:val="-18"/>
                            <w:sz w:val="18"/>
                          </w:rPr>
                          <w:t>、</w:t>
                        </w:r>
                        <w:r>
                          <w:rPr>
                            <w:sz w:val="18"/>
                          </w:rPr>
                          <w:t>中性粒细胞减少及血小板减少</w:t>
                        </w:r>
                        <w:r>
                          <w:rPr>
                            <w:spacing w:val="-18"/>
                            <w:sz w:val="18"/>
                          </w:rPr>
                          <w:t>，</w:t>
                        </w:r>
                        <w:r>
                          <w:rPr>
                            <w:sz w:val="18"/>
                          </w:rPr>
                          <w:t>须满足以下全部条件：</w:t>
                        </w:r>
                      </w:p>
                      <w:p>
                        <w:pPr>
                          <w:pStyle w:val="TableParagraph"/>
                          <w:numPr>
                            <w:ilvl w:val="1"/>
                            <w:numId w:val="14"/>
                          </w:numPr>
                          <w:tabs>
                            <w:tab w:pos="2978" w:val="left" w:leader="none"/>
                          </w:tabs>
                          <w:spacing w:line="240" w:lineRule="auto" w:before="19" w:after="0"/>
                          <w:ind w:left="2977" w:right="0" w:hanging="360"/>
                          <w:jc w:val="left"/>
                          <w:rPr>
                            <w:sz w:val="18"/>
                          </w:rPr>
                        </w:pPr>
                        <w:r>
                          <w:rPr>
                            <w:sz w:val="18"/>
                          </w:rPr>
                          <w:t>骨髓穿刺检查或骨髓活检结果支持诊断；</w:t>
                        </w:r>
                      </w:p>
                      <w:p>
                        <w:pPr>
                          <w:pStyle w:val="TableParagraph"/>
                          <w:numPr>
                            <w:ilvl w:val="1"/>
                            <w:numId w:val="14"/>
                          </w:numPr>
                          <w:tabs>
                            <w:tab w:pos="2978" w:val="left" w:leader="none"/>
                          </w:tabs>
                          <w:spacing w:line="240" w:lineRule="auto" w:before="76" w:after="0"/>
                          <w:ind w:left="2977" w:right="0" w:hanging="360"/>
                          <w:jc w:val="left"/>
                          <w:rPr>
                            <w:sz w:val="18"/>
                          </w:rPr>
                        </w:pPr>
                        <w:r>
                          <w:rPr>
                            <w:sz w:val="18"/>
                          </w:rPr>
                          <w:t>外周血象必须具备以下三项条件：</w:t>
                        </w:r>
                      </w:p>
                    </w:tc>
                  </w:tr>
                  <w:tr>
                    <w:trPr>
                      <w:trHeight w:val="461" w:hRule="atLeast"/>
                    </w:trPr>
                    <w:tc>
                      <w:tcPr>
                        <w:tcW w:w="1891" w:type="dxa"/>
                      </w:tcPr>
                      <w:p>
                        <w:pPr>
                          <w:pStyle w:val="TableParagraph"/>
                          <w:rPr>
                            <w:rFonts w:ascii="Times New Roman"/>
                            <w:sz w:val="16"/>
                          </w:rPr>
                        </w:pPr>
                      </w:p>
                    </w:tc>
                    <w:tc>
                      <w:tcPr>
                        <w:tcW w:w="8362" w:type="dxa"/>
                      </w:tcPr>
                      <w:p>
                        <w:pPr>
                          <w:pStyle w:val="TableParagraph"/>
                          <w:spacing w:before="9"/>
                          <w:rPr>
                            <w:sz w:val="12"/>
                          </w:rPr>
                        </w:pPr>
                      </w:p>
                      <w:p>
                        <w:pPr>
                          <w:pStyle w:val="TableParagraph"/>
                          <w:ind w:left="1177"/>
                          <w:rPr>
                            <w:sz w:val="18"/>
                          </w:rPr>
                        </w:pPr>
                        <w:r>
                          <w:rPr>
                            <w:sz w:val="18"/>
                          </w:rPr>
                          <w:t>② 网织红细胞＜1%；</w:t>
                        </w:r>
                      </w:p>
                    </w:tc>
                  </w:tr>
                  <w:tr>
                    <w:trPr>
                      <w:trHeight w:val="431" w:hRule="atLeast"/>
                    </w:trPr>
                    <w:tc>
                      <w:tcPr>
                        <w:tcW w:w="1891" w:type="dxa"/>
                      </w:tcPr>
                      <w:p>
                        <w:pPr>
                          <w:pStyle w:val="TableParagraph"/>
                          <w:rPr>
                            <w:rFonts w:ascii="Times New Roman"/>
                            <w:sz w:val="16"/>
                          </w:rPr>
                        </w:pPr>
                      </w:p>
                    </w:tc>
                    <w:tc>
                      <w:tcPr>
                        <w:tcW w:w="8362" w:type="dxa"/>
                      </w:tcPr>
                      <w:p>
                        <w:pPr>
                          <w:pStyle w:val="TableParagraph"/>
                          <w:spacing w:before="16"/>
                          <w:ind w:left="1177"/>
                          <w:rPr>
                            <w:sz w:val="18"/>
                          </w:rPr>
                        </w:pPr>
                        <w:r>
                          <w:rPr>
                            <w:sz w:val="18"/>
                          </w:rPr>
                          <w:t>③ 血小板绝对值≤20×10</w:t>
                        </w:r>
                        <w:r>
                          <w:rPr>
                            <w:b/>
                            <w:position w:val="9"/>
                            <w:sz w:val="9"/>
                          </w:rPr>
                          <w:t>9</w:t>
                        </w:r>
                        <w:r>
                          <w:rPr>
                            <w:sz w:val="18"/>
                          </w:rPr>
                          <w:t>/L。</w:t>
                        </w:r>
                      </w:p>
                    </w:tc>
                  </w:tr>
                  <w:tr>
                    <w:trPr>
                      <w:trHeight w:val="737" w:hRule="atLeast"/>
                    </w:trPr>
                    <w:tc>
                      <w:tcPr>
                        <w:tcW w:w="1891" w:type="dxa"/>
                      </w:tcPr>
                      <w:p>
                        <w:pPr>
                          <w:pStyle w:val="TableParagraph"/>
                          <w:spacing w:before="124"/>
                          <w:ind w:left="200"/>
                          <w:rPr>
                            <w:b/>
                            <w:sz w:val="18"/>
                          </w:rPr>
                        </w:pPr>
                        <w:r>
                          <w:rPr>
                            <w:b/>
                            <w:sz w:val="18"/>
                          </w:rPr>
                          <w:t>25. 主动脉手术</w:t>
                        </w:r>
                      </w:p>
                    </w:tc>
                    <w:tc>
                      <w:tcPr>
                        <w:tcW w:w="8362" w:type="dxa"/>
                      </w:tcPr>
                      <w:p>
                        <w:pPr>
                          <w:pStyle w:val="TableParagraph"/>
                          <w:spacing w:line="310" w:lineRule="atLeast" w:before="49"/>
                          <w:ind w:left="726" w:right="198"/>
                          <w:rPr>
                            <w:sz w:val="18"/>
                          </w:rPr>
                        </w:pPr>
                        <w:r>
                          <w:rPr>
                            <w:spacing w:val="-9"/>
                            <w:sz w:val="18"/>
                          </w:rPr>
                          <w:t>指为治疗主动脉疾病，实际实施了开胸或开腹进行的切除、置换、修补病损主动脉血管的手术。主动脉指胸主动脉和腹主动脉，不包括胸主动脉和腹主动脉的分支血管。</w:t>
                        </w:r>
                      </w:p>
                    </w:tc>
                  </w:tr>
                  <w:tr>
                    <w:trPr>
                      <w:trHeight w:val="425" w:hRule="atLeast"/>
                    </w:trPr>
                    <w:tc>
                      <w:tcPr>
                        <w:tcW w:w="1891" w:type="dxa"/>
                      </w:tcPr>
                      <w:p>
                        <w:pPr>
                          <w:pStyle w:val="TableParagraph"/>
                          <w:rPr>
                            <w:rFonts w:ascii="Times New Roman"/>
                            <w:sz w:val="16"/>
                          </w:rPr>
                        </w:pPr>
                      </w:p>
                    </w:tc>
                    <w:tc>
                      <w:tcPr>
                        <w:tcW w:w="8362" w:type="dxa"/>
                      </w:tcPr>
                      <w:p>
                        <w:pPr>
                          <w:pStyle w:val="TableParagraph"/>
                          <w:spacing w:before="10"/>
                          <w:ind w:left="726"/>
                          <w:rPr>
                            <w:sz w:val="18"/>
                          </w:rPr>
                        </w:pPr>
                        <w:r>
                          <w:rPr>
                            <w:sz w:val="18"/>
                          </w:rPr>
                          <w:t>动脉内血管成形术不在保障范围内。</w:t>
                        </w:r>
                      </w:p>
                    </w:tc>
                  </w:tr>
                  <w:tr>
                    <w:trPr>
                      <w:trHeight w:val="850" w:hRule="atLeast"/>
                    </w:trPr>
                    <w:tc>
                      <w:tcPr>
                        <w:tcW w:w="1891" w:type="dxa"/>
                      </w:tcPr>
                      <w:p>
                        <w:pPr>
                          <w:pStyle w:val="TableParagraph"/>
                          <w:spacing w:before="124"/>
                          <w:ind w:left="200"/>
                          <w:rPr>
                            <w:b/>
                            <w:sz w:val="18"/>
                          </w:rPr>
                        </w:pPr>
                        <w:r>
                          <w:rPr>
                            <w:b/>
                            <w:sz w:val="18"/>
                          </w:rPr>
                          <w:t>26. 植物人</w:t>
                        </w:r>
                      </w:p>
                    </w:tc>
                    <w:tc>
                      <w:tcPr>
                        <w:tcW w:w="8362" w:type="dxa"/>
                      </w:tcPr>
                      <w:p>
                        <w:pPr>
                          <w:pStyle w:val="TableParagraph"/>
                          <w:spacing w:line="316" w:lineRule="auto" w:before="124"/>
                          <w:ind w:left="726" w:right="253"/>
                          <w:rPr>
                            <w:sz w:val="18"/>
                          </w:rPr>
                        </w:pPr>
                        <w:r>
                          <w:rPr>
                            <w:sz w:val="18"/>
                          </w:rPr>
                          <w:t>指经本公司认可的神经科医生确诊，大脑皮质全面坏死，意识完全丧失，但脑干仍保持完好， 且此情况维持 30 天以上。</w:t>
                        </w:r>
                      </w:p>
                    </w:tc>
                  </w:tr>
                  <w:tr>
                    <w:trPr>
                      <w:trHeight w:val="4637" w:hRule="atLeast"/>
                    </w:trPr>
                    <w:tc>
                      <w:tcPr>
                        <w:tcW w:w="10253" w:type="dxa"/>
                        <w:gridSpan w:val="2"/>
                      </w:tcPr>
                      <w:p>
                        <w:pPr>
                          <w:pStyle w:val="TableParagraph"/>
                          <w:numPr>
                            <w:ilvl w:val="0"/>
                            <w:numId w:val="15"/>
                          </w:numPr>
                          <w:tabs>
                            <w:tab w:pos="620" w:val="left" w:leader="none"/>
                            <w:tab w:pos="2617" w:val="left" w:leader="none"/>
                          </w:tabs>
                          <w:spacing w:line="316" w:lineRule="auto" w:before="124" w:after="0"/>
                          <w:ind w:left="2617" w:right="303" w:hanging="2417"/>
                          <w:jc w:val="left"/>
                          <w:rPr>
                            <w:sz w:val="18"/>
                          </w:rPr>
                        </w:pPr>
                        <w:r>
                          <w:rPr>
                            <w:b/>
                            <w:sz w:val="18"/>
                          </w:rPr>
                          <w:t>系统性红斑狼疮</w:t>
                          <w:tab/>
                        </w:r>
                        <w:r>
                          <w:rPr>
                            <w:sz w:val="18"/>
                          </w:rPr>
                          <w:t>是一种自身免疫性结缔组织病</w:t>
                        </w:r>
                        <w:r>
                          <w:rPr>
                            <w:spacing w:val="-26"/>
                            <w:sz w:val="18"/>
                          </w:rPr>
                          <w:t>，</w:t>
                        </w:r>
                        <w:r>
                          <w:rPr>
                            <w:sz w:val="18"/>
                          </w:rPr>
                          <w:t>于体内有大量致病性自身抗体和免疫复合物</w:t>
                        </w:r>
                        <w:r>
                          <w:rPr>
                            <w:spacing w:val="-26"/>
                            <w:sz w:val="18"/>
                          </w:rPr>
                          <w:t>，</w:t>
                        </w:r>
                        <w:r>
                          <w:rPr>
                            <w:sz w:val="18"/>
                          </w:rPr>
                          <w:t>造成组织损伤。理赔须经本公司认可的专科医生确认并同时具备下列情况：</w:t>
                        </w:r>
                      </w:p>
                      <w:p>
                        <w:pPr>
                          <w:pStyle w:val="TableParagraph"/>
                          <w:numPr>
                            <w:ilvl w:val="1"/>
                            <w:numId w:val="15"/>
                          </w:numPr>
                          <w:tabs>
                            <w:tab w:pos="3038" w:val="left" w:leader="none"/>
                          </w:tabs>
                          <w:spacing w:line="240" w:lineRule="auto" w:before="19" w:after="0"/>
                          <w:ind w:left="3037" w:right="0" w:hanging="420"/>
                          <w:jc w:val="left"/>
                          <w:rPr>
                            <w:sz w:val="18"/>
                          </w:rPr>
                        </w:pPr>
                        <w:r>
                          <w:rPr>
                            <w:sz w:val="18"/>
                          </w:rPr>
                          <w:t>临床表现至少具备如下条件的四个：</w:t>
                        </w:r>
                      </w:p>
                      <w:p>
                        <w:pPr>
                          <w:pStyle w:val="TableParagraph"/>
                          <w:spacing w:before="76"/>
                          <w:ind w:left="3037"/>
                          <w:rPr>
                            <w:sz w:val="18"/>
                          </w:rPr>
                        </w:pPr>
                        <w:r>
                          <w:rPr>
                            <w:sz w:val="18"/>
                          </w:rPr>
                          <w:t>①  蝶形红斑或盘形红斑；</w:t>
                        </w:r>
                      </w:p>
                      <w:p>
                        <w:pPr>
                          <w:pStyle w:val="TableParagraph"/>
                          <w:spacing w:before="76"/>
                          <w:ind w:left="3037"/>
                          <w:rPr>
                            <w:sz w:val="18"/>
                          </w:rPr>
                        </w:pPr>
                        <w:r>
                          <w:rPr>
                            <w:sz w:val="18"/>
                          </w:rPr>
                          <w:t>②  光敏感；</w:t>
                        </w:r>
                      </w:p>
                      <w:p>
                        <w:pPr>
                          <w:pStyle w:val="TableParagraph"/>
                          <w:spacing w:before="76"/>
                          <w:ind w:left="3037"/>
                          <w:rPr>
                            <w:sz w:val="18"/>
                          </w:rPr>
                        </w:pPr>
                        <w:r>
                          <w:rPr>
                            <w:sz w:val="18"/>
                          </w:rPr>
                          <w:t>③  口腔溃疡；</w:t>
                        </w:r>
                      </w:p>
                      <w:p>
                        <w:pPr>
                          <w:pStyle w:val="TableParagraph"/>
                          <w:spacing w:before="76"/>
                          <w:ind w:left="3037"/>
                          <w:rPr>
                            <w:sz w:val="18"/>
                          </w:rPr>
                        </w:pPr>
                        <w:r>
                          <w:rPr>
                            <w:sz w:val="18"/>
                          </w:rPr>
                          <w:t>④  非畸形关节炎或关节痛；</w:t>
                        </w:r>
                      </w:p>
                      <w:p>
                        <w:pPr>
                          <w:pStyle w:val="TableParagraph"/>
                          <w:spacing w:before="76"/>
                          <w:ind w:left="3037"/>
                          <w:rPr>
                            <w:sz w:val="18"/>
                          </w:rPr>
                        </w:pPr>
                        <w:r>
                          <w:rPr>
                            <w:sz w:val="18"/>
                          </w:rPr>
                          <w:t>⑤  浆膜炎、胸膜炎或心包炎；</w:t>
                        </w:r>
                      </w:p>
                      <w:p>
                        <w:pPr>
                          <w:pStyle w:val="TableParagraph"/>
                          <w:spacing w:before="76"/>
                          <w:ind w:left="3037"/>
                          <w:rPr>
                            <w:sz w:val="18"/>
                          </w:rPr>
                        </w:pPr>
                        <w:r>
                          <w:rPr>
                            <w:sz w:val="18"/>
                          </w:rPr>
                          <w:t>⑥  神经系统损伤（抽搐或精神症状</w:t>
                        </w:r>
                        <w:r>
                          <w:rPr>
                            <w:spacing w:val="-90"/>
                            <w:sz w:val="18"/>
                          </w:rPr>
                          <w:t>）</w:t>
                        </w:r>
                        <w:r>
                          <w:rPr>
                            <w:sz w:val="18"/>
                          </w:rPr>
                          <w:t>；</w:t>
                        </w:r>
                      </w:p>
                      <w:p>
                        <w:pPr>
                          <w:pStyle w:val="TableParagraph"/>
                          <w:spacing w:before="76"/>
                          <w:ind w:left="3037"/>
                          <w:rPr>
                            <w:sz w:val="18"/>
                          </w:rPr>
                        </w:pPr>
                        <w:r>
                          <w:rPr>
                            <w:sz w:val="18"/>
                          </w:rPr>
                          <w:t>⑦  血象异常（WBC&lt;4000/μl</w:t>
                        </w:r>
                        <w:r>
                          <w:rPr>
                            <w:spacing w:val="-10"/>
                            <w:sz w:val="18"/>
                          </w:rPr>
                          <w:t> 或血小板</w:t>
                        </w:r>
                        <w:r>
                          <w:rPr>
                            <w:sz w:val="18"/>
                          </w:rPr>
                          <w:t>&lt;100000/μl</w:t>
                        </w:r>
                        <w:r>
                          <w:rPr>
                            <w:spacing w:val="-8"/>
                            <w:sz w:val="18"/>
                          </w:rPr>
                          <w:t> 或溶血性贫血</w:t>
                        </w:r>
                        <w:r>
                          <w:rPr>
                            <w:spacing w:val="-90"/>
                            <w:sz w:val="18"/>
                          </w:rPr>
                          <w:t>）</w:t>
                        </w:r>
                        <w:r>
                          <w:rPr>
                            <w:sz w:val="18"/>
                          </w:rPr>
                          <w:t>。</w:t>
                        </w:r>
                      </w:p>
                      <w:p>
                        <w:pPr>
                          <w:pStyle w:val="TableParagraph"/>
                          <w:numPr>
                            <w:ilvl w:val="1"/>
                            <w:numId w:val="15"/>
                          </w:numPr>
                          <w:tabs>
                            <w:tab w:pos="3038" w:val="left" w:leader="none"/>
                          </w:tabs>
                          <w:spacing w:line="240" w:lineRule="auto" w:before="76" w:after="0"/>
                          <w:ind w:left="3037" w:right="0" w:hanging="420"/>
                          <w:jc w:val="left"/>
                          <w:rPr>
                            <w:sz w:val="18"/>
                          </w:rPr>
                        </w:pPr>
                        <w:r>
                          <w:rPr>
                            <w:sz w:val="18"/>
                          </w:rPr>
                          <w:t>检测结果至少具备如下条件的两个：</w:t>
                        </w:r>
                      </w:p>
                      <w:p>
                        <w:pPr>
                          <w:pStyle w:val="TableParagraph"/>
                          <w:spacing w:before="76"/>
                          <w:ind w:left="3037"/>
                          <w:rPr>
                            <w:sz w:val="18"/>
                          </w:rPr>
                        </w:pPr>
                        <w:r>
                          <w:rPr>
                            <w:sz w:val="18"/>
                          </w:rPr>
                          <w:t>①  狼疮细胞或抗双链DNA 抗体阳性；</w:t>
                        </w:r>
                      </w:p>
                      <w:p>
                        <w:pPr>
                          <w:pStyle w:val="TableParagraph"/>
                          <w:spacing w:before="76"/>
                          <w:ind w:left="3037"/>
                          <w:rPr>
                            <w:sz w:val="18"/>
                          </w:rPr>
                        </w:pPr>
                        <w:r>
                          <w:rPr>
                            <w:sz w:val="18"/>
                          </w:rPr>
                          <w:t>②  抗Sm 抗体阳性；</w:t>
                        </w:r>
                      </w:p>
                      <w:p>
                        <w:pPr>
                          <w:pStyle w:val="TableParagraph"/>
                          <w:spacing w:before="76"/>
                          <w:ind w:left="3037"/>
                          <w:rPr>
                            <w:sz w:val="18"/>
                          </w:rPr>
                        </w:pPr>
                        <w:r>
                          <w:rPr>
                            <w:sz w:val="18"/>
                          </w:rPr>
                          <w:t>③  抗核抗体阳性；</w:t>
                        </w:r>
                      </w:p>
                    </w:tc>
                  </w:tr>
                  <w:tr>
                    <w:trPr>
                      <w:trHeight w:val="467" w:hRule="atLeast"/>
                    </w:trPr>
                    <w:tc>
                      <w:tcPr>
                        <w:tcW w:w="1891" w:type="dxa"/>
                      </w:tcPr>
                      <w:p>
                        <w:pPr>
                          <w:pStyle w:val="TableParagraph"/>
                          <w:rPr>
                            <w:rFonts w:ascii="Times New Roman"/>
                            <w:sz w:val="16"/>
                          </w:rPr>
                        </w:pPr>
                      </w:p>
                    </w:tc>
                    <w:tc>
                      <w:tcPr>
                        <w:tcW w:w="8362" w:type="dxa"/>
                      </w:tcPr>
                      <w:p>
                        <w:pPr>
                          <w:pStyle w:val="TableParagraph"/>
                          <w:spacing w:before="9"/>
                          <w:rPr>
                            <w:sz w:val="12"/>
                          </w:rPr>
                        </w:pPr>
                      </w:p>
                      <w:p>
                        <w:pPr>
                          <w:pStyle w:val="TableParagraph"/>
                          <w:ind w:left="1146"/>
                          <w:rPr>
                            <w:sz w:val="18"/>
                          </w:rPr>
                        </w:pPr>
                        <w:r>
                          <w:rPr>
                            <w:sz w:val="18"/>
                          </w:rPr>
                          <w:t>⑤  C3 补体低于正常。</w:t>
                        </w:r>
                      </w:p>
                    </w:tc>
                  </w:tr>
                  <w:tr>
                    <w:trPr>
                      <w:trHeight w:val="425" w:hRule="atLeast"/>
                    </w:trPr>
                    <w:tc>
                      <w:tcPr>
                        <w:tcW w:w="1891" w:type="dxa"/>
                      </w:tcPr>
                      <w:p>
                        <w:pPr>
                          <w:pStyle w:val="TableParagraph"/>
                          <w:rPr>
                            <w:rFonts w:ascii="Times New Roman"/>
                            <w:sz w:val="16"/>
                          </w:rPr>
                        </w:pPr>
                      </w:p>
                    </w:tc>
                    <w:tc>
                      <w:tcPr>
                        <w:tcW w:w="8362" w:type="dxa"/>
                      </w:tcPr>
                      <w:p>
                        <w:pPr>
                          <w:pStyle w:val="TableParagraph"/>
                          <w:spacing w:before="10"/>
                          <w:ind w:left="726"/>
                          <w:rPr>
                            <w:sz w:val="18"/>
                          </w:rPr>
                        </w:pPr>
                        <w:r>
                          <w:rPr>
                            <w:sz w:val="18"/>
                          </w:rPr>
                          <w:t>(3)  狼疮肾炎致使肾功能减弱，血肌酐的清除率低于每分钟 30ml。</w:t>
                        </w:r>
                      </w:p>
                    </w:tc>
                  </w:tr>
                  <w:tr>
                    <w:trPr>
                      <w:trHeight w:val="1517" w:hRule="atLeast"/>
                    </w:trPr>
                    <w:tc>
                      <w:tcPr>
                        <w:tcW w:w="10253" w:type="dxa"/>
                        <w:gridSpan w:val="2"/>
                      </w:tcPr>
                      <w:p>
                        <w:pPr>
                          <w:pStyle w:val="TableParagraph"/>
                          <w:tabs>
                            <w:tab w:pos="2617" w:val="left" w:leader="none"/>
                          </w:tabs>
                          <w:spacing w:line="316" w:lineRule="auto" w:before="124"/>
                          <w:ind w:left="2617" w:right="289" w:hanging="2418"/>
                          <w:jc w:val="both"/>
                          <w:rPr>
                            <w:sz w:val="18"/>
                          </w:rPr>
                        </w:pPr>
                        <w:r>
                          <w:rPr>
                            <w:b/>
                            <w:sz w:val="18"/>
                          </w:rPr>
                          <w:t>28.</w:t>
                        </w:r>
                        <w:r>
                          <w:rPr>
                            <w:b/>
                            <w:spacing w:val="55"/>
                            <w:sz w:val="18"/>
                          </w:rPr>
                          <w:t> </w:t>
                        </w: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TableParagraph"/>
                          <w:spacing w:before="19"/>
                          <w:ind w:left="2617"/>
                          <w:rPr>
                            <w:sz w:val="18"/>
                          </w:rPr>
                        </w:pPr>
                        <w:r>
                          <w:rPr>
                            <w:sz w:val="18"/>
                          </w:rPr>
                          <w:t>由神经科专家提供的明确诊断必须包含以下全部三项内容：</w:t>
                        </w:r>
                      </w:p>
                    </w:tc>
                  </w:tr>
                  <w:tr>
                    <w:trPr>
                      <w:trHeight w:val="467" w:hRule="atLeast"/>
                    </w:trPr>
                    <w:tc>
                      <w:tcPr>
                        <w:tcW w:w="1891" w:type="dxa"/>
                      </w:tcPr>
                      <w:p>
                        <w:pPr>
                          <w:pStyle w:val="TableParagraph"/>
                          <w:rPr>
                            <w:rFonts w:ascii="Times New Roman"/>
                            <w:sz w:val="16"/>
                          </w:rPr>
                        </w:pPr>
                      </w:p>
                    </w:tc>
                    <w:tc>
                      <w:tcPr>
                        <w:tcW w:w="8362" w:type="dxa"/>
                      </w:tcPr>
                      <w:p>
                        <w:pPr>
                          <w:pStyle w:val="TableParagraph"/>
                          <w:spacing w:before="9"/>
                          <w:rPr>
                            <w:sz w:val="12"/>
                          </w:rPr>
                        </w:pPr>
                      </w:p>
                      <w:p>
                        <w:pPr>
                          <w:pStyle w:val="TableParagraph"/>
                          <w:ind w:left="726"/>
                          <w:rPr>
                            <w:sz w:val="18"/>
                          </w:rPr>
                        </w:pPr>
                        <w:r>
                          <w:rPr>
                            <w:sz w:val="18"/>
                          </w:rPr>
                          <w:t>(2) 散在的身体损害的多样性；</w:t>
                        </w:r>
                      </w:p>
                    </w:tc>
                  </w:tr>
                  <w:tr>
                    <w:trPr>
                      <w:trHeight w:val="426" w:hRule="atLeast"/>
                    </w:trPr>
                    <w:tc>
                      <w:tcPr>
                        <w:tcW w:w="1891" w:type="dxa"/>
                      </w:tcPr>
                      <w:p>
                        <w:pPr>
                          <w:pStyle w:val="TableParagraph"/>
                          <w:rPr>
                            <w:rFonts w:ascii="Times New Roman"/>
                            <w:sz w:val="16"/>
                          </w:rPr>
                        </w:pPr>
                      </w:p>
                    </w:tc>
                    <w:tc>
                      <w:tcPr>
                        <w:tcW w:w="8362" w:type="dxa"/>
                      </w:tcPr>
                      <w:p>
                        <w:pPr>
                          <w:pStyle w:val="TableParagraph"/>
                          <w:spacing w:before="10"/>
                          <w:ind w:left="726"/>
                          <w:rPr>
                            <w:sz w:val="18"/>
                          </w:rPr>
                        </w:pPr>
                        <w:r>
                          <w:rPr>
                            <w:sz w:val="18"/>
                          </w:rPr>
                          <w:t>(3) 有明确的上述症状及神经损伤反复恶化、减轻的病史纪录。</w:t>
                        </w:r>
                      </w:p>
                    </w:tc>
                  </w:tr>
                  <w:tr>
                    <w:trPr>
                      <w:trHeight w:val="983" w:hRule="atLeast"/>
                    </w:trPr>
                    <w:tc>
                      <w:tcPr>
                        <w:tcW w:w="10253" w:type="dxa"/>
                        <w:gridSpan w:val="2"/>
                      </w:tcPr>
                      <w:p>
                        <w:pPr>
                          <w:pStyle w:val="TableParagraph"/>
                          <w:tabs>
                            <w:tab w:pos="2617" w:val="left" w:leader="none"/>
                          </w:tabs>
                          <w:spacing w:before="124"/>
                          <w:ind w:left="200"/>
                          <w:rPr>
                            <w:sz w:val="18"/>
                          </w:rPr>
                        </w:pPr>
                        <w:r>
                          <w:rPr>
                            <w:b/>
                            <w:sz w:val="18"/>
                          </w:rPr>
                          <w:t>29.</w:t>
                        </w:r>
                        <w:r>
                          <w:rPr>
                            <w:b/>
                            <w:spacing w:val="52"/>
                            <w:sz w:val="18"/>
                          </w:rPr>
                          <w:t> </w:t>
                        </w:r>
                        <w:r>
                          <w:rPr>
                            <w:b/>
                            <w:spacing w:val="20"/>
                            <w:sz w:val="18"/>
                          </w:rPr>
                          <w:t>胰岛素依赖</w:t>
                        </w:r>
                        <w:r>
                          <w:rPr>
                            <w:b/>
                            <w:spacing w:val="17"/>
                            <w:sz w:val="18"/>
                          </w:rPr>
                          <w:t>型</w:t>
                        </w:r>
                        <w:r>
                          <w:rPr>
                            <w:b/>
                            <w:spacing w:val="20"/>
                            <w:sz w:val="18"/>
                          </w:rPr>
                          <w:t>糖尿</w:t>
                        </w:r>
                        <w:r>
                          <w:rPr>
                            <w:b/>
                            <w:sz w:val="18"/>
                          </w:rPr>
                          <w:t>病</w:t>
                          <w:tab/>
                        </w:r>
                        <w:r>
                          <w:rPr>
                            <w:sz w:val="18"/>
                          </w:rPr>
                          <w:t>胰岛素依赖型糖尿病是由于胰岛素分泌不足引起的慢性血糖升高</w:t>
                        </w:r>
                        <w:r>
                          <w:rPr>
                            <w:spacing w:val="-36"/>
                            <w:sz w:val="18"/>
                          </w:rPr>
                          <w:t>，</w:t>
                        </w:r>
                        <w:r>
                          <w:rPr>
                            <w:sz w:val="18"/>
                          </w:rPr>
                          <w:t>并需持续性地依赖外源性胰</w:t>
                        </w:r>
                      </w:p>
                      <w:p>
                        <w:pPr>
                          <w:pStyle w:val="TableParagraph"/>
                          <w:tabs>
                            <w:tab w:pos="2617" w:val="left" w:leader="none"/>
                          </w:tabs>
                          <w:spacing w:line="310" w:lineRule="atLeast" w:before="1"/>
                          <w:ind w:left="2617" w:right="289" w:hanging="1999"/>
                          <w:rPr>
                            <w:sz w:val="18"/>
                          </w:rPr>
                        </w:pPr>
                        <w:r>
                          <w:rPr>
                            <w:b/>
                            <w:sz w:val="18"/>
                          </w:rPr>
                          <w:t>（Ｉ型糖尿病）</w:t>
                          <w:tab/>
                        </w:r>
                        <w:r>
                          <w:rPr>
                            <w:sz w:val="18"/>
                          </w:rPr>
                          <w:t>岛素维持</w:t>
                        </w:r>
                        <w:r>
                          <w:rPr>
                            <w:spacing w:val="-46"/>
                            <w:sz w:val="18"/>
                          </w:rPr>
                          <w:t> </w:t>
                        </w:r>
                        <w:r>
                          <w:rPr>
                            <w:sz w:val="18"/>
                          </w:rPr>
                          <w:t>180</w:t>
                        </w:r>
                        <w:r>
                          <w:rPr>
                            <w:spacing w:val="-45"/>
                            <w:sz w:val="18"/>
                          </w:rPr>
                          <w:t> </w:t>
                        </w:r>
                        <w:r>
                          <w:rPr>
                            <w:sz w:val="18"/>
                          </w:rPr>
                          <w:t>天以上</w:t>
                        </w:r>
                        <w:r>
                          <w:rPr>
                            <w:spacing w:val="-36"/>
                            <w:sz w:val="18"/>
                          </w:rPr>
                          <w:t>，</w:t>
                        </w:r>
                        <w:r>
                          <w:rPr>
                            <w:sz w:val="18"/>
                          </w:rPr>
                          <w:t>须由本公司认可的有资格的内分泌医生确诊并在本合同保险责任有效期内，满足下述至少一个条件：</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BodyText"/>
        <w:spacing w:before="57"/>
        <w:ind w:left="3173"/>
      </w:pPr>
      <w:r>
        <w:rPr/>
        <w:t>① 中性粒细胞绝对值≤0.5×10</w:t>
      </w:r>
      <w:r>
        <w:rPr>
          <w:b/>
          <w:position w:val="9"/>
          <w:sz w:val="9"/>
        </w:rPr>
        <w:t>9</w:t>
      </w:r>
      <w:r>
        <w:rPr/>
        <w:t>/L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pPr>
    </w:p>
    <w:p>
      <w:pPr>
        <w:pStyle w:val="BodyText"/>
        <w:ind w:left="3143"/>
      </w:pPr>
      <w:r>
        <w:rPr/>
        <w:t>④  狼疮带试验阳性；</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2"/>
        </w:rPr>
      </w:pPr>
    </w:p>
    <w:p>
      <w:pPr>
        <w:pStyle w:val="BodyText"/>
        <w:spacing w:before="1"/>
        <w:ind w:left="2723"/>
      </w:pPr>
      <w:r>
        <w:rPr/>
        <w:t>(1) 明确出现因视神经、脑干和脊髓损伤而导致的临床表现；</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p>
    <w:p>
      <w:pPr>
        <w:pStyle w:val="ListParagraph"/>
        <w:numPr>
          <w:ilvl w:val="0"/>
          <w:numId w:val="16"/>
        </w:numPr>
        <w:tabs>
          <w:tab w:pos="3144" w:val="left" w:leader="none"/>
        </w:tabs>
        <w:spacing w:line="240" w:lineRule="auto" w:before="0" w:after="0"/>
        <w:ind w:left="3143" w:right="0" w:hanging="420"/>
        <w:jc w:val="left"/>
        <w:rPr>
          <w:sz w:val="18"/>
        </w:rPr>
      </w:pPr>
      <w:r>
        <w:rPr>
          <w:sz w:val="18"/>
        </w:rPr>
        <w:t>本公司认可的内分泌医生确诊已出现增殖性视网膜病变；</w:t>
      </w:r>
    </w:p>
    <w:p>
      <w:pPr>
        <w:spacing w:after="0" w:line="240" w:lineRule="auto"/>
        <w:jc w:val="left"/>
        <w:rPr>
          <w:sz w:val="18"/>
        </w:rPr>
        <w:sectPr>
          <w:headerReference w:type="default" r:id="rId12"/>
          <w:pgSz w:w="11910" w:h="16840"/>
          <w:pgMar w:header="857" w:footer="981" w:top="1040" w:bottom="1180" w:left="880" w:right="560"/>
        </w:sectPr>
      </w:pPr>
    </w:p>
    <w:p>
      <w:pPr>
        <w:pStyle w:val="BodyText"/>
        <w:spacing w:before="7"/>
        <w:rPr>
          <w:sz w:val="3"/>
        </w:rPr>
      </w:pPr>
    </w:p>
    <w:p>
      <w:pPr>
        <w:pStyle w:val="BodyText"/>
        <w:spacing w:line="20" w:lineRule="exact"/>
        <w:ind w:left="186"/>
        <w:rPr>
          <w:sz w:val="2"/>
        </w:rPr>
      </w:pPr>
      <w:r>
        <w:rPr>
          <w:rFonts w:ascii="Times New Roman"/>
          <w:spacing w:val="5"/>
          <w:sz w:val="2"/>
        </w:rPr>
        <w:t> </w:t>
      </w:r>
      <w:r>
        <w:rPr>
          <w:spacing w:val="5"/>
          <w:sz w:val="2"/>
        </w:rPr>
        <w:pict>
          <v:group style="width:479.3pt;height:.75pt;mso-position-horizontal-relative:char;mso-position-vertical-relative:line" coordorigin="0,0" coordsize="9586,15">
            <v:line style="position:absolute" from="0,7" to="9586,7" stroked="true" strokeweight=".72pt" strokecolor="#000000">
              <v:stroke dashstyle="solid"/>
            </v:line>
          </v:group>
        </w:pict>
      </w:r>
      <w:r>
        <w:rPr>
          <w:spacing w:val="5"/>
          <w:sz w:val="2"/>
        </w:rPr>
      </w:r>
    </w:p>
    <w:p>
      <w:pPr>
        <w:pStyle w:val="BodyText"/>
        <w:spacing w:before="12"/>
        <w:rPr>
          <w:sz w:val="19"/>
        </w:rPr>
      </w:pPr>
    </w:p>
    <w:p>
      <w:pPr>
        <w:pStyle w:val="ListParagraph"/>
        <w:numPr>
          <w:ilvl w:val="0"/>
          <w:numId w:val="16"/>
        </w:numPr>
        <w:tabs>
          <w:tab w:pos="2944" w:val="left" w:leader="none"/>
        </w:tabs>
        <w:spacing w:line="240" w:lineRule="auto" w:before="44" w:after="0"/>
        <w:ind w:left="2943" w:right="0" w:hanging="420"/>
        <w:jc w:val="left"/>
        <w:rPr>
          <w:sz w:val="18"/>
        </w:rPr>
      </w:pPr>
      <w:r>
        <w:rPr>
          <w:sz w:val="18"/>
        </w:rPr>
        <w:t>须植入心脏起搏器治疗心脏病；</w:t>
      </w:r>
    </w:p>
    <w:p>
      <w:pPr>
        <w:pStyle w:val="ListParagraph"/>
        <w:numPr>
          <w:ilvl w:val="0"/>
          <w:numId w:val="16"/>
        </w:numPr>
        <w:tabs>
          <w:tab w:pos="2944" w:val="left" w:leader="none"/>
        </w:tabs>
        <w:spacing w:line="240" w:lineRule="auto" w:before="75" w:after="0"/>
        <w:ind w:left="2943" w:right="0" w:hanging="420"/>
        <w:jc w:val="left"/>
        <w:rPr>
          <w:sz w:val="18"/>
        </w:rPr>
      </w:pPr>
      <w:r>
        <w:rPr>
          <w:sz w:val="18"/>
        </w:rPr>
        <w:t>因坏疽需切除一只或以上脚趾。</w:t>
      </w:r>
    </w:p>
    <w:p>
      <w:pPr>
        <w:pStyle w:val="BodyText"/>
        <w:spacing w:before="1"/>
        <w:rPr>
          <w:sz w:val="23"/>
        </w:rPr>
      </w:pPr>
    </w:p>
    <w:p>
      <w:pPr>
        <w:pStyle w:val="ListParagraph"/>
        <w:numPr>
          <w:ilvl w:val="0"/>
          <w:numId w:val="17"/>
        </w:numPr>
        <w:tabs>
          <w:tab w:pos="526" w:val="left" w:leader="none"/>
        </w:tabs>
        <w:spacing w:line="316" w:lineRule="auto" w:before="0" w:after="0"/>
        <w:ind w:left="2523" w:right="240" w:hanging="2418"/>
        <w:jc w:val="both"/>
        <w:rPr>
          <w:sz w:val="18"/>
        </w:rPr>
      </w:pPr>
      <w:r>
        <w:rPr>
          <w:b/>
          <w:sz w:val="18"/>
        </w:rPr>
        <w:t>原发性心肌病         </w:t>
      </w: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1"/>
          <w:sz w:val="18"/>
        </w:rPr>
        <w:t>）</w:t>
      </w:r>
      <w:r>
        <w:rPr>
          <w:spacing w:val="-9"/>
          <w:sz w:val="18"/>
        </w:rPr>
        <w:t>，且有相关住院医疗记录显示四级心功能衰竭状态</w:t>
      </w:r>
      <w:r>
        <w:rPr>
          <w:spacing w:val="-17"/>
          <w:sz w:val="18"/>
        </w:rPr>
        <w:t>持续至少 </w:t>
      </w:r>
      <w:r>
        <w:rPr>
          <w:sz w:val="18"/>
        </w:rPr>
        <w:t>180</w:t>
      </w:r>
      <w:r>
        <w:rPr>
          <w:spacing w:val="-16"/>
          <w:sz w:val="18"/>
        </w:rPr>
        <w:t> 天。</w:t>
      </w:r>
    </w:p>
    <w:p>
      <w:pPr>
        <w:pStyle w:val="BodyText"/>
        <w:spacing w:line="316" w:lineRule="auto" w:before="18"/>
        <w:ind w:left="2523" w:right="278"/>
        <w:jc w:val="both"/>
      </w:pPr>
      <w:r>
        <w:rPr/>
        <w:t>本病须经专科医师明确诊断。继发于全身性疾病或其它器官系统疾病造成的心肌病变除外。美国纽约心脏协会分类标准心功能四级是指有医院的医疗记录显示病人不能进行任何活动， 休息时仍有心悸、呼吸困难等心力衰竭表现。</w:t>
      </w:r>
    </w:p>
    <w:p>
      <w:pPr>
        <w:pStyle w:val="BodyText"/>
        <w:spacing w:before="9"/>
      </w:pPr>
    </w:p>
    <w:p>
      <w:pPr>
        <w:pStyle w:val="ListParagraph"/>
        <w:numPr>
          <w:ilvl w:val="0"/>
          <w:numId w:val="17"/>
        </w:numPr>
        <w:tabs>
          <w:tab w:pos="526" w:val="left" w:leader="none"/>
          <w:tab w:pos="2523" w:val="left" w:leader="none"/>
        </w:tabs>
        <w:spacing w:line="316" w:lineRule="auto" w:before="0" w:after="0"/>
        <w:ind w:left="2523" w:right="98"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7"/>
        </w:numPr>
        <w:tabs>
          <w:tab w:pos="2944" w:val="left" w:leader="none"/>
        </w:tabs>
        <w:spacing w:line="240" w:lineRule="auto" w:before="18" w:after="0"/>
        <w:ind w:left="2943" w:right="0" w:hanging="420"/>
        <w:jc w:val="left"/>
        <w:rPr>
          <w:sz w:val="18"/>
        </w:rPr>
      </w:pPr>
      <w:r>
        <w:rPr>
          <w:sz w:val="18"/>
        </w:rPr>
        <w:t>经药物、胸腺手术治疗一年以上无法控制病情，丧失正常工作能力；</w:t>
      </w:r>
    </w:p>
    <w:p>
      <w:pPr>
        <w:pStyle w:val="ListParagraph"/>
        <w:numPr>
          <w:ilvl w:val="1"/>
          <w:numId w:val="17"/>
        </w:numPr>
        <w:tabs>
          <w:tab w:pos="2944" w:val="left" w:leader="none"/>
        </w:tabs>
        <w:spacing w:line="316" w:lineRule="auto" w:before="76" w:after="0"/>
        <w:ind w:left="2943" w:right="218"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7"/>
        </w:numPr>
        <w:tabs>
          <w:tab w:pos="2944" w:val="left" w:leader="none"/>
        </w:tabs>
        <w:spacing w:line="240" w:lineRule="auto" w:before="18" w:after="0"/>
        <w:ind w:left="2943" w:right="0" w:hanging="420"/>
        <w:jc w:val="left"/>
        <w:rPr>
          <w:sz w:val="18"/>
        </w:rPr>
      </w:pPr>
      <w:r>
        <w:rPr>
          <w:sz w:val="18"/>
        </w:rPr>
        <w:t>症状缓解、复发及恶化交替出现，临床接受新斯的明等抗胆碱酯酶药物治疗的病史。</w:t>
      </w:r>
    </w:p>
    <w:p>
      <w:pPr>
        <w:pStyle w:val="BodyText"/>
        <w:spacing w:before="1"/>
        <w:rPr>
          <w:sz w:val="23"/>
        </w:rPr>
      </w:pPr>
    </w:p>
    <w:p>
      <w:pPr>
        <w:pStyle w:val="ListParagraph"/>
        <w:numPr>
          <w:ilvl w:val="0"/>
          <w:numId w:val="17"/>
        </w:numPr>
        <w:tabs>
          <w:tab w:pos="526" w:val="left" w:leader="none"/>
          <w:tab w:pos="2523" w:val="left" w:leader="none"/>
        </w:tabs>
        <w:spacing w:line="316" w:lineRule="auto" w:before="0" w:after="0"/>
        <w:ind w:left="2523" w:right="134"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4"/>
        <w:rPr>
          <w:sz w:val="15"/>
        </w:rPr>
      </w:pPr>
    </w:p>
    <w:p>
      <w:pPr>
        <w:spacing w:after="0"/>
        <w:rPr>
          <w:sz w:val="15"/>
        </w:rPr>
        <w:sectPr>
          <w:pgSz w:w="11910" w:h="16840"/>
          <w:pgMar w:header="857" w:footer="981" w:top="1040" w:bottom="1180" w:left="1080" w:right="820"/>
        </w:sectPr>
      </w:pPr>
    </w:p>
    <w:p>
      <w:pPr>
        <w:pStyle w:val="Heading2"/>
        <w:numPr>
          <w:ilvl w:val="0"/>
          <w:numId w:val="17"/>
        </w:numPr>
        <w:tabs>
          <w:tab w:pos="526" w:val="left" w:leader="none"/>
        </w:tabs>
        <w:spacing w:line="316" w:lineRule="auto" w:before="44" w:after="0"/>
        <w:ind w:left="466" w:right="0" w:hanging="361"/>
        <w:jc w:val="left"/>
      </w:pPr>
      <w:r>
        <w:rPr/>
        <w:t>急性坏死性胰腺炎</w:t>
      </w:r>
    </w:p>
    <w:p>
      <w:pPr>
        <w:pStyle w:val="BodyText"/>
        <w:spacing w:line="316" w:lineRule="auto" w:before="44"/>
        <w:ind w:left="105" w:right="98"/>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040" w:bottom="1180" w:left="1080" w:right="820"/>
          <w:cols w:num="2" w:equalWidth="0">
            <w:col w:w="1431" w:space="987"/>
            <w:col w:w="7592"/>
          </w:cols>
        </w:sectPr>
      </w:pPr>
    </w:p>
    <w:p>
      <w:pPr>
        <w:pStyle w:val="BodyText"/>
        <w:spacing w:before="4"/>
        <w:rPr>
          <w:sz w:val="15"/>
        </w:rPr>
      </w:pPr>
    </w:p>
    <w:p>
      <w:pPr>
        <w:pStyle w:val="ListParagraph"/>
        <w:numPr>
          <w:ilvl w:val="0"/>
          <w:numId w:val="17"/>
        </w:numPr>
        <w:tabs>
          <w:tab w:pos="526" w:val="left" w:leader="none"/>
          <w:tab w:pos="2523" w:val="left" w:leader="none"/>
        </w:tabs>
        <w:spacing w:line="316" w:lineRule="auto" w:before="44" w:after="0"/>
        <w:ind w:left="2523" w:right="134" w:hanging="2418"/>
        <w:jc w:val="left"/>
        <w:rPr>
          <w:sz w:val="18"/>
        </w:rPr>
      </w:pPr>
      <w:r>
        <w:rPr>
          <w:b/>
          <w:sz w:val="18"/>
        </w:rPr>
        <w:t>肌营养不良症</w:t>
        <w:tab/>
      </w:r>
      <w:r>
        <w:rPr>
          <w:sz w:val="18"/>
        </w:rPr>
        <w:t>是一组原发于肌肉的遗传性疾病</w:t>
      </w:r>
      <w:r>
        <w:rPr>
          <w:spacing w:val="-18"/>
          <w:sz w:val="18"/>
        </w:rPr>
        <w:t>。</w:t>
      </w:r>
      <w:r>
        <w:rPr>
          <w:sz w:val="18"/>
        </w:rPr>
        <w:t>主要临床特征为受累骨骼肌肉的无力和萎缩</w:t>
      </w:r>
      <w:r>
        <w:rPr>
          <w:spacing w:val="-18"/>
          <w:sz w:val="18"/>
        </w:rPr>
        <w:t>。</w:t>
      </w:r>
      <w:r>
        <w:rPr>
          <w:sz w:val="18"/>
        </w:rPr>
        <w:t>经本公司认可的神经专科医生确认符合以下四项诊断指标中的三项：</w:t>
      </w:r>
    </w:p>
    <w:p>
      <w:pPr>
        <w:pStyle w:val="ListParagraph"/>
        <w:numPr>
          <w:ilvl w:val="1"/>
          <w:numId w:val="17"/>
        </w:numPr>
        <w:tabs>
          <w:tab w:pos="2944" w:val="left" w:leader="none"/>
        </w:tabs>
        <w:spacing w:line="240" w:lineRule="auto" w:before="18" w:after="0"/>
        <w:ind w:left="2943" w:right="0" w:hanging="420"/>
        <w:jc w:val="left"/>
        <w:rPr>
          <w:sz w:val="18"/>
        </w:rPr>
      </w:pPr>
      <w:r>
        <w:rPr>
          <w:sz w:val="18"/>
        </w:rPr>
        <w:t>家族史中有其他成员患相同疾病；</w:t>
      </w:r>
    </w:p>
    <w:p>
      <w:pPr>
        <w:pStyle w:val="ListParagraph"/>
        <w:numPr>
          <w:ilvl w:val="1"/>
          <w:numId w:val="17"/>
        </w:numPr>
        <w:tabs>
          <w:tab w:pos="2944" w:val="left" w:leader="none"/>
        </w:tabs>
        <w:spacing w:line="240" w:lineRule="auto" w:before="76" w:after="0"/>
        <w:ind w:left="2943" w:right="0" w:hanging="420"/>
        <w:jc w:val="left"/>
        <w:rPr>
          <w:sz w:val="18"/>
        </w:rPr>
      </w:pPr>
      <w:r>
        <w:rPr>
          <w:sz w:val="18"/>
        </w:rPr>
        <w:t>临床表现包括：无感觉神经紊乱，正常脑脊液及轻微腱反射的减退；</w:t>
      </w:r>
    </w:p>
    <w:p>
      <w:pPr>
        <w:pStyle w:val="ListParagraph"/>
        <w:numPr>
          <w:ilvl w:val="1"/>
          <w:numId w:val="17"/>
        </w:numPr>
        <w:tabs>
          <w:tab w:pos="2944" w:val="left" w:leader="none"/>
        </w:tabs>
        <w:spacing w:line="240" w:lineRule="auto" w:before="76" w:after="0"/>
        <w:ind w:left="2943" w:right="0" w:hanging="420"/>
        <w:jc w:val="left"/>
        <w:rPr>
          <w:sz w:val="18"/>
        </w:rPr>
      </w:pPr>
      <w:r>
        <w:rPr>
          <w:sz w:val="18"/>
        </w:rPr>
        <w:t>典型的肌电图；</w:t>
      </w:r>
    </w:p>
    <w:p>
      <w:pPr>
        <w:pStyle w:val="ListParagraph"/>
        <w:numPr>
          <w:ilvl w:val="1"/>
          <w:numId w:val="17"/>
        </w:numPr>
        <w:tabs>
          <w:tab w:pos="2974" w:val="left" w:leader="none"/>
        </w:tabs>
        <w:spacing w:line="240" w:lineRule="auto" w:before="76" w:after="0"/>
        <w:ind w:left="2973" w:right="0" w:hanging="450"/>
        <w:jc w:val="left"/>
        <w:rPr>
          <w:sz w:val="18"/>
        </w:rPr>
      </w:pPr>
      <w:r>
        <w:rPr>
          <w:sz w:val="18"/>
        </w:rPr>
        <w:t>临床推测必须有肌肉或组织检查加以证实。</w:t>
      </w:r>
    </w:p>
    <w:p>
      <w:pPr>
        <w:pStyle w:val="BodyText"/>
        <w:spacing w:before="3"/>
        <w:rPr>
          <w:sz w:val="23"/>
        </w:rPr>
      </w:pPr>
    </w:p>
    <w:p>
      <w:pPr>
        <w:pStyle w:val="ListParagraph"/>
        <w:numPr>
          <w:ilvl w:val="0"/>
          <w:numId w:val="17"/>
        </w:numPr>
        <w:tabs>
          <w:tab w:pos="526" w:val="left" w:leader="none"/>
          <w:tab w:pos="2523" w:val="left" w:leader="none"/>
        </w:tabs>
        <w:spacing w:line="316" w:lineRule="auto" w:before="0" w:after="0"/>
        <w:ind w:left="2523" w:right="134" w:hanging="2418"/>
        <w:jc w:val="left"/>
        <w:rPr>
          <w:sz w:val="18"/>
        </w:rPr>
      </w:pPr>
      <w:r>
        <w:rPr>
          <w:b/>
          <w:sz w:val="18"/>
        </w:rPr>
        <w:t>终末期肺病</w:t>
        <w:tab/>
      </w:r>
      <w:r>
        <w:rPr>
          <w:sz w:val="18"/>
        </w:rPr>
        <w:t>由本公司认可的呼吸专科医生确诊被保险人患有终末期肺病而出现慢性呼吸功能衰竭</w:t>
      </w:r>
      <w:r>
        <w:rPr>
          <w:spacing w:val="-36"/>
          <w:sz w:val="18"/>
        </w:rPr>
        <w:t>，</w:t>
      </w:r>
      <w:r>
        <w:rPr>
          <w:sz w:val="18"/>
        </w:rPr>
        <w:t>其诊断标准包括以下各项：</w:t>
      </w:r>
    </w:p>
    <w:p>
      <w:pPr>
        <w:pStyle w:val="ListParagraph"/>
        <w:numPr>
          <w:ilvl w:val="1"/>
          <w:numId w:val="17"/>
        </w:numPr>
        <w:tabs>
          <w:tab w:pos="2974" w:val="left" w:leader="none"/>
        </w:tabs>
        <w:spacing w:line="240" w:lineRule="auto" w:before="18" w:after="0"/>
        <w:ind w:left="2973" w:right="0" w:hanging="45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ListParagraph"/>
        <w:numPr>
          <w:ilvl w:val="1"/>
          <w:numId w:val="17"/>
        </w:numPr>
        <w:tabs>
          <w:tab w:pos="2974" w:val="left" w:leader="none"/>
        </w:tabs>
        <w:spacing w:line="240" w:lineRule="auto" w:before="76" w:after="0"/>
        <w:ind w:left="2973" w:right="0" w:hanging="450"/>
        <w:jc w:val="left"/>
        <w:rPr>
          <w:sz w:val="18"/>
        </w:rPr>
      </w:pPr>
      <w:r>
        <w:rPr>
          <w:sz w:val="18"/>
        </w:rPr>
        <w:t>病人缺氧必须广泛而持续地进行输氧治疗；</w:t>
      </w:r>
    </w:p>
    <w:p>
      <w:pPr>
        <w:pStyle w:val="ListParagraph"/>
        <w:numPr>
          <w:ilvl w:val="1"/>
          <w:numId w:val="17"/>
        </w:numPr>
        <w:tabs>
          <w:tab w:pos="2974" w:val="left" w:leader="none"/>
        </w:tabs>
        <w:spacing w:line="240" w:lineRule="auto" w:before="76" w:after="0"/>
        <w:ind w:left="2973" w:right="0" w:hanging="450"/>
        <w:jc w:val="left"/>
        <w:rPr>
          <w:sz w:val="18"/>
        </w:rPr>
      </w:pPr>
      <w:r>
        <w:rPr>
          <w:spacing w:val="-4"/>
          <w:sz w:val="18"/>
        </w:rPr>
        <w:t>动脉血气分析氧分压低于 </w:t>
      </w:r>
      <w:r>
        <w:rPr>
          <w:sz w:val="18"/>
        </w:rPr>
        <w:t>55mmHg。</w:t>
      </w:r>
    </w:p>
    <w:p>
      <w:pPr>
        <w:pStyle w:val="BodyText"/>
        <w:spacing w:before="76"/>
        <w:ind w:left="2523"/>
      </w:pPr>
      <w:r>
        <w:rPr/>
        <w:t>理赔时必须提供以上各项中相应的医院证明文件或检查报告。</w:t>
      </w:r>
    </w:p>
    <w:p>
      <w:pPr>
        <w:pStyle w:val="BodyText"/>
        <w:spacing w:before="10"/>
        <w:rPr>
          <w:sz w:val="19"/>
        </w:rPr>
      </w:pPr>
    </w:p>
    <w:p>
      <w:pPr>
        <w:spacing w:after="0"/>
        <w:rPr>
          <w:sz w:val="19"/>
        </w:rPr>
        <w:sectPr>
          <w:type w:val="continuous"/>
          <w:pgSz w:w="11910" w:h="16840"/>
          <w:pgMar w:top="1040" w:bottom="1180" w:left="1080" w:right="820"/>
        </w:sectPr>
      </w:pPr>
    </w:p>
    <w:p>
      <w:pPr>
        <w:pStyle w:val="Heading2"/>
        <w:numPr>
          <w:ilvl w:val="0"/>
          <w:numId w:val="17"/>
        </w:numPr>
        <w:tabs>
          <w:tab w:pos="526" w:val="left" w:leader="none"/>
        </w:tabs>
        <w:spacing w:line="316" w:lineRule="auto" w:before="44" w:after="0"/>
        <w:ind w:left="525" w:right="0" w:hanging="420"/>
        <w:jc w:val="left"/>
      </w:pPr>
      <w:r>
        <w:rPr>
          <w:spacing w:val="18"/>
          <w:w w:val="95"/>
        </w:rPr>
        <w:t>经输血感染艾滋病病</w:t>
      </w:r>
      <w:r>
        <w:rPr/>
        <w:t>毒</w:t>
      </w:r>
    </w:p>
    <w:p>
      <w:pPr>
        <w:pStyle w:val="BodyText"/>
        <w:spacing w:before="44"/>
        <w:ind w:left="105"/>
      </w:pPr>
      <w:r>
        <w:rPr/>
        <w:br w:type="column"/>
      </w:r>
      <w:r>
        <w:rPr/>
        <w:t>因输血而被艾滋病病毒（HIV）感染或成为艾滋病患者（AIDS</w:t>
      </w:r>
      <w:r>
        <w:rPr>
          <w:spacing w:val="-90"/>
        </w:rPr>
        <w:t>）</w:t>
      </w:r>
      <w:r>
        <w:rPr/>
        <w:t>，需要满足下列所有条件：</w:t>
      </w:r>
    </w:p>
    <w:p>
      <w:pPr>
        <w:pStyle w:val="ListParagraph"/>
        <w:numPr>
          <w:ilvl w:val="0"/>
          <w:numId w:val="18"/>
        </w:numPr>
        <w:tabs>
          <w:tab w:pos="526" w:val="left" w:leader="none"/>
        </w:tabs>
        <w:spacing w:line="316" w:lineRule="auto" w:before="75" w:after="0"/>
        <w:ind w:left="525" w:right="218" w:hanging="420"/>
        <w:jc w:val="left"/>
        <w:rPr>
          <w:sz w:val="18"/>
        </w:rPr>
      </w:pPr>
      <w:r>
        <w:rPr>
          <w:sz w:val="18"/>
        </w:rPr>
        <w:t>感染是由于必要的医疗性输血引起的，且医疗性输血是在保单生效日后或复效日后发生的；</w:t>
      </w:r>
    </w:p>
    <w:p>
      <w:pPr>
        <w:pStyle w:val="ListParagraph"/>
        <w:numPr>
          <w:ilvl w:val="0"/>
          <w:numId w:val="18"/>
        </w:numPr>
        <w:tabs>
          <w:tab w:pos="526" w:val="left" w:leader="none"/>
        </w:tabs>
        <w:spacing w:line="240" w:lineRule="auto" w:before="18" w:after="0"/>
        <w:ind w:left="525" w:right="0" w:hanging="420"/>
        <w:jc w:val="left"/>
        <w:rPr>
          <w:sz w:val="18"/>
        </w:rPr>
      </w:pPr>
      <w:r>
        <w:rPr>
          <w:sz w:val="18"/>
        </w:rPr>
        <w:t>提供输血的医疗机构承认该项输血感染为医疗责任事故；</w:t>
      </w:r>
    </w:p>
    <w:p>
      <w:pPr>
        <w:pStyle w:val="ListParagraph"/>
        <w:numPr>
          <w:ilvl w:val="0"/>
          <w:numId w:val="18"/>
        </w:numPr>
        <w:tabs>
          <w:tab w:pos="526" w:val="left" w:leader="none"/>
        </w:tabs>
        <w:spacing w:line="240" w:lineRule="auto" w:before="76" w:after="0"/>
        <w:ind w:left="525" w:right="0" w:hanging="420"/>
        <w:jc w:val="left"/>
        <w:rPr>
          <w:sz w:val="18"/>
        </w:rPr>
      </w:pPr>
      <w:r>
        <w:rPr>
          <w:sz w:val="18"/>
        </w:rPr>
        <w:t>被保险人不是血友病患者。</w:t>
      </w:r>
    </w:p>
    <w:p>
      <w:pPr>
        <w:spacing w:after="0" w:line="240" w:lineRule="auto"/>
        <w:jc w:val="left"/>
        <w:rPr>
          <w:sz w:val="18"/>
        </w:rPr>
        <w:sectPr>
          <w:type w:val="continuous"/>
          <w:pgSz w:w="11910" w:h="16840"/>
          <w:pgMar w:top="1040" w:bottom="1180" w:left="1080" w:right="820"/>
          <w:cols w:num="2" w:equalWidth="0">
            <w:col w:w="2328" w:space="90"/>
            <w:col w:w="7592"/>
          </w:cols>
        </w:sectPr>
      </w:pPr>
    </w:p>
    <w:p>
      <w:pPr>
        <w:pStyle w:val="BodyText"/>
        <w:spacing w:before="9"/>
        <w:rPr>
          <w:sz w:val="19"/>
        </w:rPr>
      </w:pPr>
    </w:p>
    <w:p>
      <w:pPr>
        <w:pStyle w:val="ListParagraph"/>
        <w:numPr>
          <w:ilvl w:val="0"/>
          <w:numId w:val="17"/>
        </w:numPr>
        <w:tabs>
          <w:tab w:pos="526" w:val="left" w:leader="none"/>
          <w:tab w:pos="2523" w:val="left" w:leader="none"/>
        </w:tabs>
        <w:spacing w:line="240" w:lineRule="auto" w:before="45" w:after="0"/>
        <w:ind w:left="2523" w:right="0" w:hanging="2418"/>
        <w:jc w:val="left"/>
        <w:rPr>
          <w:sz w:val="18"/>
        </w:rPr>
      </w:pPr>
      <w:r>
        <w:rPr>
          <w:b/>
          <w:sz w:val="18"/>
        </w:rPr>
        <w:t>严重类风湿性关节炎</w:t>
        <w:tab/>
      </w:r>
      <w:r>
        <w:rPr>
          <w:sz w:val="18"/>
        </w:rPr>
        <w:t>是指类风湿性关节炎患者符合以下三项标准的:</w:t>
      </w:r>
    </w:p>
    <w:p>
      <w:pPr>
        <w:spacing w:after="0" w:line="240" w:lineRule="auto"/>
        <w:jc w:val="left"/>
        <w:rPr>
          <w:sz w:val="18"/>
        </w:rPr>
        <w:sectPr>
          <w:type w:val="continuous"/>
          <w:pgSz w:w="11910" w:h="16840"/>
          <w:pgMar w:top="1040" w:bottom="1180" w:left="1080" w:right="8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p>
    <w:p>
      <w:pPr>
        <w:pStyle w:val="ListParagraph"/>
        <w:numPr>
          <w:ilvl w:val="1"/>
          <w:numId w:val="17"/>
        </w:numPr>
        <w:tabs>
          <w:tab w:pos="3144" w:val="left" w:leader="none"/>
        </w:tabs>
        <w:spacing w:line="240" w:lineRule="auto" w:before="0" w:after="0"/>
        <w:ind w:left="3143" w:right="0" w:hanging="420"/>
        <w:jc w:val="left"/>
        <w:rPr>
          <w:sz w:val="18"/>
        </w:rPr>
      </w:pPr>
      <w:r>
        <w:rPr/>
        <w:pict>
          <v:shape style="position:absolute;margin-left:49.279999pt;margin-top:-152.327713pt;width:508.4pt;height:296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7826"/>
                  </w:tblGrid>
                  <w:tr>
                    <w:trPr>
                      <w:trHeight w:val="1234" w:hRule="atLeast"/>
                    </w:trPr>
                    <w:tc>
                      <w:tcPr>
                        <w:tcW w:w="2342" w:type="dxa"/>
                        <w:tcBorders>
                          <w:top w:val="single" w:sz="6" w:space="0" w:color="000000"/>
                        </w:tcBorders>
                      </w:tcPr>
                      <w:p>
                        <w:pPr>
                          <w:pStyle w:val="TableParagraph"/>
                          <w:rPr>
                            <w:rFonts w:ascii="Times New Roman"/>
                            <w:sz w:val="18"/>
                          </w:rPr>
                        </w:pPr>
                      </w:p>
                    </w:tc>
                    <w:tc>
                      <w:tcPr>
                        <w:tcW w:w="7826" w:type="dxa"/>
                        <w:tcBorders>
                          <w:top w:val="single" w:sz="6" w:space="0" w:color="000000"/>
                        </w:tcBorders>
                      </w:tcPr>
                      <w:p>
                        <w:pPr>
                          <w:pStyle w:val="TableParagraph"/>
                          <w:spacing w:before="8"/>
                          <w:rPr>
                            <w:sz w:val="23"/>
                          </w:rPr>
                        </w:pPr>
                      </w:p>
                      <w:p>
                        <w:pPr>
                          <w:pStyle w:val="TableParagraph"/>
                          <w:numPr>
                            <w:ilvl w:val="0"/>
                            <w:numId w:val="19"/>
                          </w:numPr>
                          <w:tabs>
                            <w:tab w:pos="696" w:val="left" w:leader="none"/>
                          </w:tabs>
                          <w:spacing w:line="316" w:lineRule="auto" w:before="0" w:after="0"/>
                          <w:ind w:left="695" w:right="198" w:hanging="419"/>
                          <w:jc w:val="left"/>
                          <w:rPr>
                            <w:sz w:val="18"/>
                          </w:rPr>
                        </w:pPr>
                        <w:r>
                          <w:rPr>
                            <w:sz w:val="18"/>
                          </w:rPr>
                          <w:t>至少包括下列关节中的三组或以上有广泛受损和畸形改变:手指关节、腕关节、肘关节、膝关节、髋关节、踝关节、脊椎或脚趾关节；</w:t>
                        </w:r>
                      </w:p>
                      <w:p>
                        <w:pPr>
                          <w:pStyle w:val="TableParagraph"/>
                          <w:numPr>
                            <w:ilvl w:val="0"/>
                            <w:numId w:val="19"/>
                          </w:numPr>
                          <w:tabs>
                            <w:tab w:pos="696" w:val="left" w:leader="none"/>
                          </w:tabs>
                          <w:spacing w:line="240" w:lineRule="auto" w:before="19" w:after="0"/>
                          <w:ind w:left="695" w:right="0" w:hanging="419"/>
                          <w:jc w:val="left"/>
                          <w:rPr>
                            <w:sz w:val="18"/>
                          </w:rPr>
                        </w:pPr>
                        <w:r>
                          <w:rPr>
                            <w:spacing w:val="5"/>
                            <w:sz w:val="18"/>
                          </w:rPr>
                          <w:t>手和腕的后前位</w:t>
                        </w:r>
                        <w:r>
                          <w:rPr>
                            <w:sz w:val="18"/>
                          </w:rPr>
                          <w:t>X</w:t>
                        </w:r>
                        <w:r>
                          <w:rPr>
                            <w:spacing w:val="-7"/>
                            <w:sz w:val="18"/>
                          </w:rPr>
                          <w:t> 线拍片检查可见类风湿性关节炎的典型变化，包括骨质侵蚀或钙流失，</w:t>
                        </w:r>
                      </w:p>
                    </w:tc>
                  </w:tr>
                  <w:tr>
                    <w:trPr>
                      <w:trHeight w:val="624" w:hRule="atLeast"/>
                    </w:trPr>
                    <w:tc>
                      <w:tcPr>
                        <w:tcW w:w="2342" w:type="dxa"/>
                      </w:tcPr>
                      <w:p>
                        <w:pPr>
                          <w:pStyle w:val="TableParagraph"/>
                          <w:rPr>
                            <w:rFonts w:ascii="Times New Roman"/>
                            <w:sz w:val="18"/>
                          </w:rPr>
                        </w:pPr>
                      </w:p>
                    </w:tc>
                    <w:tc>
                      <w:tcPr>
                        <w:tcW w:w="7826" w:type="dxa"/>
                      </w:tcPr>
                      <w:p>
                        <w:pPr>
                          <w:pStyle w:val="TableParagraph"/>
                          <w:spacing w:before="10"/>
                          <w:ind w:left="695"/>
                          <w:rPr>
                            <w:sz w:val="18"/>
                          </w:rPr>
                        </w:pPr>
                        <w:r>
                          <w:rPr>
                            <w:sz w:val="18"/>
                          </w:rPr>
                          <w:t>位于受累关节及其邻近部位尤其明显；</w:t>
                        </w:r>
                      </w:p>
                      <w:p>
                        <w:pPr>
                          <w:pStyle w:val="TableParagraph"/>
                          <w:spacing w:before="76"/>
                          <w:ind w:left="276"/>
                          <w:rPr>
                            <w:sz w:val="18"/>
                          </w:rPr>
                        </w:pPr>
                        <w:r>
                          <w:rPr>
                            <w:sz w:val="18"/>
                          </w:rPr>
                          <w:t>(3) 关节的畸形改变至少持续 6 个月。</w:t>
                        </w:r>
                      </w:p>
                    </w:tc>
                  </w:tr>
                  <w:tr>
                    <w:trPr>
                      <w:trHeight w:val="737" w:hRule="atLeast"/>
                    </w:trPr>
                    <w:tc>
                      <w:tcPr>
                        <w:tcW w:w="2342" w:type="dxa"/>
                      </w:tcPr>
                      <w:p>
                        <w:pPr>
                          <w:pStyle w:val="TableParagraph"/>
                          <w:rPr>
                            <w:rFonts w:ascii="Times New Roman"/>
                            <w:sz w:val="18"/>
                          </w:rPr>
                        </w:pPr>
                      </w:p>
                    </w:tc>
                    <w:tc>
                      <w:tcPr>
                        <w:tcW w:w="7826" w:type="dxa"/>
                      </w:tcPr>
                      <w:p>
                        <w:pPr>
                          <w:pStyle w:val="TableParagraph"/>
                          <w:spacing w:line="316" w:lineRule="auto" w:before="10"/>
                          <w:ind w:left="276" w:right="146"/>
                          <w:rPr>
                            <w:sz w:val="18"/>
                          </w:rPr>
                        </w:pPr>
                        <w:r>
                          <w:rPr>
                            <w:sz w:val="18"/>
                          </w:rPr>
                          <w:t>类风湿性关节炎系指以关节滑膜炎为特征的慢性全身性自身免疫性疾病，诊断必须符合国际认可的该疾病的诊断标准。</w:t>
                        </w:r>
                      </w:p>
                    </w:tc>
                  </w:tr>
                  <w:tr>
                    <w:trPr>
                      <w:trHeight w:val="581" w:hRule="atLeast"/>
                    </w:trPr>
                    <w:tc>
                      <w:tcPr>
                        <w:tcW w:w="10168" w:type="dxa"/>
                        <w:gridSpan w:val="2"/>
                      </w:tcPr>
                      <w:p>
                        <w:pPr>
                          <w:pStyle w:val="TableParagraph"/>
                          <w:tabs>
                            <w:tab w:pos="2617" w:val="left" w:leader="none"/>
                          </w:tabs>
                          <w:spacing w:before="124"/>
                          <w:ind w:left="200"/>
                          <w:rPr>
                            <w:sz w:val="18"/>
                          </w:rPr>
                        </w:pPr>
                        <w:r>
                          <w:rPr>
                            <w:b/>
                            <w:sz w:val="18"/>
                          </w:rPr>
                          <w:t>38.</w:t>
                        </w:r>
                        <w:r>
                          <w:rPr>
                            <w:b/>
                            <w:spacing w:val="53"/>
                            <w:sz w:val="18"/>
                          </w:rPr>
                          <w:t> </w:t>
                        </w:r>
                        <w:r>
                          <w:rPr>
                            <w:b/>
                            <w:sz w:val="18"/>
                          </w:rPr>
                          <w:t>肾髓质囊性病</w:t>
                          <w:tab/>
                        </w:r>
                        <w:r>
                          <w:rPr>
                            <w:sz w:val="18"/>
                          </w:rPr>
                          <w:t>肾髓质囊性病的诊断必须同时符合下列要求：</w:t>
                        </w:r>
                      </w:p>
                    </w:tc>
                  </w:tr>
                  <w:tr>
                    <w:trPr>
                      <w:trHeight w:val="467" w:hRule="atLeast"/>
                    </w:trPr>
                    <w:tc>
                      <w:tcPr>
                        <w:tcW w:w="2342" w:type="dxa"/>
                      </w:tcPr>
                      <w:p>
                        <w:pPr>
                          <w:pStyle w:val="TableParagraph"/>
                          <w:rPr>
                            <w:rFonts w:ascii="Times New Roman"/>
                            <w:sz w:val="18"/>
                          </w:rPr>
                        </w:pPr>
                      </w:p>
                    </w:tc>
                    <w:tc>
                      <w:tcPr>
                        <w:tcW w:w="7826" w:type="dxa"/>
                      </w:tcPr>
                      <w:p>
                        <w:pPr>
                          <w:pStyle w:val="TableParagraph"/>
                          <w:spacing w:before="9"/>
                          <w:rPr>
                            <w:sz w:val="12"/>
                          </w:rPr>
                        </w:pPr>
                      </w:p>
                      <w:p>
                        <w:pPr>
                          <w:pStyle w:val="TableParagraph"/>
                          <w:ind w:left="275"/>
                          <w:rPr>
                            <w:sz w:val="18"/>
                          </w:rPr>
                        </w:pPr>
                        <w:r>
                          <w:rPr>
                            <w:sz w:val="18"/>
                          </w:rPr>
                          <w:t>(2) 贫血、多尿及肾功能衰竭等临床表现；</w:t>
                        </w:r>
                      </w:p>
                    </w:tc>
                  </w:tr>
                  <w:tr>
                    <w:trPr>
                      <w:trHeight w:val="425" w:hRule="atLeast"/>
                    </w:trPr>
                    <w:tc>
                      <w:tcPr>
                        <w:tcW w:w="2342" w:type="dxa"/>
                      </w:tcPr>
                      <w:p>
                        <w:pPr>
                          <w:pStyle w:val="TableParagraph"/>
                          <w:rPr>
                            <w:rFonts w:ascii="Times New Roman"/>
                            <w:sz w:val="18"/>
                          </w:rPr>
                        </w:pPr>
                      </w:p>
                    </w:tc>
                    <w:tc>
                      <w:tcPr>
                        <w:tcW w:w="7826" w:type="dxa"/>
                      </w:tcPr>
                      <w:p>
                        <w:pPr>
                          <w:pStyle w:val="TableParagraph"/>
                          <w:spacing w:before="10"/>
                          <w:ind w:left="275"/>
                          <w:rPr>
                            <w:sz w:val="18"/>
                          </w:rPr>
                        </w:pPr>
                        <w:r>
                          <w:rPr>
                            <w:sz w:val="18"/>
                          </w:rPr>
                          <w:t>(3) 诊断须由肾组织活检确定。</w:t>
                        </w:r>
                      </w:p>
                    </w:tc>
                  </w:tr>
                  <w:tr>
                    <w:trPr>
                      <w:trHeight w:val="1474" w:hRule="atLeast"/>
                    </w:trPr>
                    <w:tc>
                      <w:tcPr>
                        <w:tcW w:w="2342" w:type="dxa"/>
                      </w:tcPr>
                      <w:p>
                        <w:pPr>
                          <w:pStyle w:val="TableParagraph"/>
                          <w:spacing w:before="124"/>
                          <w:ind w:left="200"/>
                          <w:rPr>
                            <w:b/>
                            <w:sz w:val="18"/>
                          </w:rPr>
                        </w:pPr>
                        <w:r>
                          <w:rPr>
                            <w:b/>
                            <w:sz w:val="18"/>
                          </w:rPr>
                          <w:t>39. 主动脉夹层瘤</w:t>
                        </w:r>
                      </w:p>
                    </w:tc>
                    <w:tc>
                      <w:tcPr>
                        <w:tcW w:w="7826" w:type="dxa"/>
                      </w:tcPr>
                      <w:p>
                        <w:pPr>
                          <w:pStyle w:val="TableParagraph"/>
                          <w:spacing w:line="316" w:lineRule="auto" w:before="124"/>
                          <w:ind w:left="275" w:right="204"/>
                          <w:jc w:val="both"/>
                          <w:rPr>
                            <w:sz w:val="18"/>
                          </w:rPr>
                        </w:pP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tc>
                  </w:tr>
                  <w:tr>
                    <w:trPr>
                      <w:trHeight w:val="359" w:hRule="atLeast"/>
                    </w:trPr>
                    <w:tc>
                      <w:tcPr>
                        <w:tcW w:w="2342" w:type="dxa"/>
                      </w:tcPr>
                      <w:p>
                        <w:pPr>
                          <w:pStyle w:val="TableParagraph"/>
                          <w:spacing w:line="216" w:lineRule="exact" w:before="124"/>
                          <w:ind w:left="200"/>
                          <w:rPr>
                            <w:b/>
                            <w:sz w:val="18"/>
                          </w:rPr>
                        </w:pPr>
                        <w:r>
                          <w:rPr>
                            <w:b/>
                            <w:sz w:val="18"/>
                          </w:rPr>
                          <w:t>40. 脑动脉瘤开颅手术</w:t>
                        </w:r>
                      </w:p>
                    </w:tc>
                    <w:tc>
                      <w:tcPr>
                        <w:tcW w:w="7826" w:type="dxa"/>
                      </w:tcPr>
                      <w:p>
                        <w:pPr>
                          <w:pStyle w:val="TableParagraph"/>
                          <w:spacing w:line="216" w:lineRule="exact" w:before="124"/>
                          <w:ind w:left="275"/>
                          <w:rPr>
                            <w:sz w:val="18"/>
                          </w:rPr>
                        </w:pPr>
                        <w:r>
                          <w:rPr>
                            <w:sz w:val="18"/>
                          </w:rPr>
                          <w:t>指确已进行开颅手术以夹闭、修复或切除脑动脉瘤。但不包括导管及血管内手术。</w:t>
                        </w:r>
                      </w:p>
                    </w:tc>
                  </w:tr>
                </w:tbl>
                <w:p>
                  <w:pPr>
                    <w:pStyle w:val="BodyText"/>
                  </w:pPr>
                </w:p>
              </w:txbxContent>
            </v:textbox>
            <w10:wrap type="none"/>
          </v:shape>
        </w:pict>
      </w:r>
      <w:r>
        <w:rPr>
          <w:sz w:val="18"/>
        </w:rPr>
        <w:t>肾髓质有囊肿、肾小管萎缩及间质纤维化等病理改变；</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4"/>
        </w:rPr>
      </w:pPr>
    </w:p>
    <w:p>
      <w:pPr>
        <w:pStyle w:val="BodyText"/>
        <w:spacing w:before="1"/>
        <w:ind w:left="424"/>
      </w:pPr>
      <w:r>
        <w:rPr/>
        <w:t>注：</w:t>
      </w:r>
    </w:p>
    <w:p>
      <w:pPr>
        <w:pStyle w:val="ListParagraph"/>
        <w:numPr>
          <w:ilvl w:val="0"/>
          <w:numId w:val="20"/>
        </w:numPr>
        <w:tabs>
          <w:tab w:pos="844" w:val="left" w:leader="none"/>
          <w:tab w:pos="845" w:val="left" w:leader="none"/>
        </w:tabs>
        <w:spacing w:line="240" w:lineRule="auto" w:before="76" w:after="0"/>
        <w:ind w:left="844" w:right="0" w:hanging="420"/>
        <w:jc w:val="left"/>
        <w:rPr>
          <w:sz w:val="18"/>
        </w:rPr>
      </w:pPr>
      <w:r>
        <w:rPr>
          <w:sz w:val="18"/>
        </w:rPr>
        <w:t>专科医生</w:t>
      </w:r>
    </w:p>
    <w:p>
      <w:pPr>
        <w:pStyle w:val="BodyText"/>
        <w:spacing w:before="76"/>
        <w:ind w:left="844"/>
      </w:pPr>
      <w:r>
        <w:rPr/>
        <w:t>专科医生应当同时满足以下四项资格条件：</w:t>
      </w:r>
    </w:p>
    <w:p>
      <w:pPr>
        <w:pStyle w:val="ListParagraph"/>
        <w:numPr>
          <w:ilvl w:val="1"/>
          <w:numId w:val="20"/>
        </w:numPr>
        <w:tabs>
          <w:tab w:pos="1265" w:val="left" w:leader="none"/>
        </w:tabs>
        <w:spacing w:line="240" w:lineRule="auto" w:before="76" w:after="0"/>
        <w:ind w:left="1264" w:right="0" w:hanging="443"/>
        <w:jc w:val="left"/>
        <w:rPr>
          <w:sz w:val="18"/>
        </w:rPr>
      </w:pPr>
      <w:r>
        <w:rPr>
          <w:spacing w:val="-5"/>
          <w:sz w:val="18"/>
        </w:rPr>
        <w:t>具有有效的中华人民共和国《医师资格证书》；</w:t>
      </w:r>
    </w:p>
    <w:p>
      <w:pPr>
        <w:pStyle w:val="ListParagraph"/>
        <w:numPr>
          <w:ilvl w:val="1"/>
          <w:numId w:val="20"/>
        </w:numPr>
        <w:tabs>
          <w:tab w:pos="1265" w:val="left" w:leader="none"/>
        </w:tabs>
        <w:spacing w:line="240" w:lineRule="auto" w:before="76" w:after="0"/>
        <w:ind w:left="1264" w:right="0" w:hanging="443"/>
        <w:jc w:val="left"/>
        <w:rPr>
          <w:sz w:val="18"/>
        </w:rPr>
      </w:pPr>
      <w:r>
        <w:rPr>
          <w:spacing w:val="-5"/>
          <w:sz w:val="18"/>
        </w:rPr>
        <w:t>具有有效的中华人民共和国《医师执业证书》，并按期到相关部门登记注册；</w:t>
      </w:r>
    </w:p>
    <w:p>
      <w:pPr>
        <w:pStyle w:val="ListParagraph"/>
        <w:numPr>
          <w:ilvl w:val="1"/>
          <w:numId w:val="20"/>
        </w:numPr>
        <w:tabs>
          <w:tab w:pos="1265" w:val="left" w:leader="none"/>
        </w:tabs>
        <w:spacing w:line="240" w:lineRule="auto" w:before="76" w:after="0"/>
        <w:ind w:left="1264" w:right="0" w:hanging="443"/>
        <w:jc w:val="left"/>
        <w:rPr>
          <w:sz w:val="18"/>
        </w:rPr>
      </w:pPr>
      <w:r>
        <w:rPr>
          <w:spacing w:val="-3"/>
          <w:sz w:val="18"/>
        </w:rPr>
        <w:t>具有有效的中华人民共和国主治医师或主治医师以上职称的《医师职称证书》；</w:t>
      </w:r>
    </w:p>
    <w:p>
      <w:pPr>
        <w:pStyle w:val="ListParagraph"/>
        <w:numPr>
          <w:ilvl w:val="1"/>
          <w:numId w:val="20"/>
        </w:numPr>
        <w:tabs>
          <w:tab w:pos="1265" w:val="left" w:leader="none"/>
        </w:tabs>
        <w:spacing w:line="240" w:lineRule="auto" w:before="76" w:after="0"/>
        <w:ind w:left="1264" w:right="0" w:hanging="443"/>
        <w:jc w:val="left"/>
        <w:rPr>
          <w:sz w:val="18"/>
        </w:rPr>
      </w:pPr>
      <w:r>
        <w:rPr>
          <w:sz w:val="18"/>
        </w:rPr>
        <w:t>在二级或二级以上医院的相应科室从事临床工作三年以上。</w:t>
      </w:r>
    </w:p>
    <w:p>
      <w:pPr>
        <w:pStyle w:val="ListParagraph"/>
        <w:numPr>
          <w:ilvl w:val="0"/>
          <w:numId w:val="20"/>
        </w:numPr>
        <w:tabs>
          <w:tab w:pos="844" w:val="left" w:leader="none"/>
          <w:tab w:pos="845" w:val="left" w:leader="none"/>
        </w:tabs>
        <w:spacing w:line="240" w:lineRule="auto" w:before="76" w:after="0"/>
        <w:ind w:left="844" w:right="0" w:hanging="420"/>
        <w:jc w:val="left"/>
        <w:rPr>
          <w:sz w:val="18"/>
        </w:rPr>
      </w:pPr>
      <w:r>
        <w:rPr>
          <w:sz w:val="18"/>
        </w:rPr>
        <w:t>肢体机能完全丧失</w:t>
      </w:r>
    </w:p>
    <w:p>
      <w:pPr>
        <w:pStyle w:val="BodyText"/>
        <w:spacing w:before="76"/>
        <w:ind w:left="844"/>
      </w:pPr>
      <w:r>
        <w:rPr/>
        <w:t>指肢体的三大关节中的两大关节僵硬，或不能随意识活动。肢体是指包括肩关节的整个上肢或包括髋关节的整个下肢。</w:t>
      </w:r>
    </w:p>
    <w:p>
      <w:pPr>
        <w:pStyle w:val="ListParagraph"/>
        <w:numPr>
          <w:ilvl w:val="0"/>
          <w:numId w:val="20"/>
        </w:numPr>
        <w:tabs>
          <w:tab w:pos="844" w:val="left" w:leader="none"/>
          <w:tab w:pos="845" w:val="left" w:leader="none"/>
        </w:tabs>
        <w:spacing w:line="240" w:lineRule="auto" w:before="76" w:after="0"/>
        <w:ind w:left="844" w:right="0" w:hanging="420"/>
        <w:jc w:val="left"/>
        <w:rPr>
          <w:sz w:val="18"/>
        </w:rPr>
      </w:pPr>
      <w:r>
        <w:rPr>
          <w:sz w:val="18"/>
        </w:rPr>
        <w:t>咀嚼吞咽能力完全丧失</w:t>
      </w:r>
    </w:p>
    <w:p>
      <w:pPr>
        <w:pStyle w:val="BodyText"/>
        <w:spacing w:before="76"/>
        <w:ind w:left="844"/>
      </w:pPr>
      <w:r>
        <w:rPr/>
        <w:t>指因牙齿以外的原因导致器质障碍或机能障碍，以致不能作咀嚼吞咽运动，除流质食物外不能摄取或吞咽的状态。</w:t>
      </w:r>
    </w:p>
    <w:p>
      <w:pPr>
        <w:pStyle w:val="ListParagraph"/>
        <w:numPr>
          <w:ilvl w:val="0"/>
          <w:numId w:val="20"/>
        </w:numPr>
        <w:tabs>
          <w:tab w:pos="844" w:val="left" w:leader="none"/>
          <w:tab w:pos="845" w:val="left" w:leader="none"/>
        </w:tabs>
        <w:spacing w:line="240" w:lineRule="auto" w:before="76" w:after="0"/>
        <w:ind w:left="844" w:right="0" w:hanging="420"/>
        <w:jc w:val="left"/>
        <w:rPr>
          <w:sz w:val="18"/>
        </w:rPr>
      </w:pPr>
      <w:r>
        <w:rPr>
          <w:sz w:val="18"/>
        </w:rPr>
        <w:t>语言能力完全丧失</w:t>
      </w:r>
    </w:p>
    <w:p>
      <w:pPr>
        <w:pStyle w:val="BodyText"/>
        <w:spacing w:line="316" w:lineRule="auto" w:before="76"/>
        <w:ind w:left="844" w:right="360"/>
      </w:pPr>
      <w:r>
        <w:rPr/>
        <w:t>指无法发出四种语音（包括口唇音、齿舌音、口盖音和喉头音）中的任何三种、或声带全部切除，或因大脑语言中枢受伤害而患失语症。</w:t>
      </w:r>
    </w:p>
    <w:p>
      <w:pPr>
        <w:pStyle w:val="ListParagraph"/>
        <w:numPr>
          <w:ilvl w:val="0"/>
          <w:numId w:val="20"/>
        </w:numPr>
        <w:tabs>
          <w:tab w:pos="844" w:val="left" w:leader="none"/>
          <w:tab w:pos="845" w:val="left" w:leader="none"/>
        </w:tabs>
        <w:spacing w:line="240" w:lineRule="auto" w:before="19" w:after="0"/>
        <w:ind w:left="844" w:right="0" w:hanging="420"/>
        <w:jc w:val="left"/>
        <w:rPr>
          <w:sz w:val="18"/>
        </w:rPr>
      </w:pPr>
      <w:r>
        <w:rPr>
          <w:sz w:val="18"/>
        </w:rPr>
        <w:t>六项基本日常生活活动</w:t>
      </w:r>
    </w:p>
    <w:p>
      <w:pPr>
        <w:pStyle w:val="ListParagraph"/>
        <w:numPr>
          <w:ilvl w:val="1"/>
          <w:numId w:val="20"/>
        </w:numPr>
        <w:tabs>
          <w:tab w:pos="1265" w:val="left" w:leader="none"/>
        </w:tabs>
        <w:spacing w:line="240" w:lineRule="auto" w:before="76" w:after="0"/>
        <w:ind w:left="1264" w:right="0" w:hanging="443"/>
        <w:jc w:val="left"/>
        <w:rPr>
          <w:sz w:val="18"/>
        </w:rPr>
      </w:pPr>
      <w:r>
        <w:rPr>
          <w:sz w:val="18"/>
        </w:rPr>
        <w:t>穿衣：自己能够穿衣及脱衣；</w:t>
      </w:r>
    </w:p>
    <w:p>
      <w:pPr>
        <w:pStyle w:val="ListParagraph"/>
        <w:numPr>
          <w:ilvl w:val="1"/>
          <w:numId w:val="20"/>
        </w:numPr>
        <w:tabs>
          <w:tab w:pos="1265" w:val="left" w:leader="none"/>
        </w:tabs>
        <w:spacing w:line="240" w:lineRule="auto" w:before="76" w:after="0"/>
        <w:ind w:left="1264" w:right="0" w:hanging="443"/>
        <w:jc w:val="left"/>
        <w:rPr>
          <w:sz w:val="18"/>
        </w:rPr>
      </w:pPr>
      <w:r>
        <w:rPr>
          <w:sz w:val="18"/>
        </w:rPr>
        <w:t>移动：自己从一个房间到另一个房间；</w:t>
      </w:r>
    </w:p>
    <w:p>
      <w:pPr>
        <w:pStyle w:val="ListParagraph"/>
        <w:numPr>
          <w:ilvl w:val="1"/>
          <w:numId w:val="20"/>
        </w:numPr>
        <w:tabs>
          <w:tab w:pos="1265" w:val="left" w:leader="none"/>
        </w:tabs>
        <w:spacing w:line="240" w:lineRule="auto" w:before="76" w:after="0"/>
        <w:ind w:left="1264" w:right="0" w:hanging="443"/>
        <w:jc w:val="left"/>
        <w:rPr>
          <w:sz w:val="18"/>
        </w:rPr>
      </w:pPr>
      <w:r>
        <w:rPr>
          <w:sz w:val="18"/>
        </w:rPr>
        <w:t>行动：自己上下床或上下轮椅；</w:t>
      </w:r>
    </w:p>
    <w:p>
      <w:pPr>
        <w:pStyle w:val="ListParagraph"/>
        <w:numPr>
          <w:ilvl w:val="1"/>
          <w:numId w:val="20"/>
        </w:numPr>
        <w:tabs>
          <w:tab w:pos="1265" w:val="left" w:leader="none"/>
        </w:tabs>
        <w:spacing w:line="240" w:lineRule="auto" w:before="76" w:after="0"/>
        <w:ind w:left="1264" w:right="0" w:hanging="443"/>
        <w:jc w:val="left"/>
        <w:rPr>
          <w:sz w:val="18"/>
        </w:rPr>
      </w:pPr>
      <w:r>
        <w:rPr>
          <w:sz w:val="18"/>
        </w:rPr>
        <w:t>如厕：自己控制进行大小便；</w:t>
      </w:r>
    </w:p>
    <w:p>
      <w:pPr>
        <w:pStyle w:val="ListParagraph"/>
        <w:numPr>
          <w:ilvl w:val="1"/>
          <w:numId w:val="20"/>
        </w:numPr>
        <w:tabs>
          <w:tab w:pos="1265" w:val="left" w:leader="none"/>
        </w:tabs>
        <w:spacing w:line="240" w:lineRule="auto" w:before="76" w:after="0"/>
        <w:ind w:left="1264" w:right="0" w:hanging="443"/>
        <w:jc w:val="left"/>
        <w:rPr>
          <w:sz w:val="18"/>
        </w:rPr>
      </w:pPr>
      <w:r>
        <w:rPr>
          <w:sz w:val="18"/>
        </w:rPr>
        <w:t>进食：自己从已准备好的碗或碟中取食物放入口中；</w:t>
      </w:r>
    </w:p>
    <w:p>
      <w:pPr>
        <w:pStyle w:val="ListParagraph"/>
        <w:numPr>
          <w:ilvl w:val="1"/>
          <w:numId w:val="20"/>
        </w:numPr>
        <w:tabs>
          <w:tab w:pos="1265" w:val="left" w:leader="none"/>
        </w:tabs>
        <w:spacing w:line="240" w:lineRule="auto" w:before="76" w:after="0"/>
        <w:ind w:left="1264" w:right="0" w:hanging="443"/>
        <w:jc w:val="left"/>
        <w:rPr>
          <w:sz w:val="18"/>
        </w:rPr>
      </w:pPr>
      <w:r>
        <w:rPr>
          <w:sz w:val="18"/>
        </w:rPr>
        <w:t>洗澡：自己进行淋浴或盆浴。</w:t>
      </w:r>
    </w:p>
    <w:p>
      <w:pPr>
        <w:pStyle w:val="ListParagraph"/>
        <w:numPr>
          <w:ilvl w:val="0"/>
          <w:numId w:val="20"/>
        </w:numPr>
        <w:tabs>
          <w:tab w:pos="844" w:val="left" w:leader="none"/>
          <w:tab w:pos="845" w:val="left" w:leader="none"/>
        </w:tabs>
        <w:spacing w:line="240" w:lineRule="auto" w:before="76" w:after="0"/>
        <w:ind w:left="844" w:right="0" w:hanging="420"/>
        <w:jc w:val="left"/>
        <w:rPr>
          <w:sz w:val="18"/>
        </w:rPr>
      </w:pPr>
      <w:r>
        <w:rPr>
          <w:sz w:val="18"/>
        </w:rPr>
        <w:t>永久不可逆</w:t>
      </w:r>
    </w:p>
    <w:p>
      <w:pPr>
        <w:pStyle w:val="BodyText"/>
        <w:spacing w:before="76"/>
        <w:ind w:left="844"/>
      </w:pPr>
      <w:r>
        <w:rPr/>
        <w:t>指自疾病确诊或意外伤害发生之日起，经过积极治疗 180 天后，仍无法通过现有医疗手段恢复。</w:t>
      </w:r>
    </w:p>
    <w:sectPr>
      <w:pgSz w:w="11910" w:h="16840"/>
      <w:pgMar w:header="857" w:footer="981" w:top="1040" w:bottom="1180" w:left="8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Yu Gothic">
    <w:altName w:val="Yu Gothic"/>
    <w:charset w:val="0"/>
    <w:family w:val="swiss"/>
    <w:pitch w:val="variable"/>
  </w:font>
  <w:font w:name="微软雅黑">
    <w:altName w:val="微软雅黑"/>
    <w:charset w:val="86"/>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83008pt;margin-top:781.956604pt;width:33.450pt;height:12pt;mso-position-horizontal-relative:page;mso-position-vertical-relative:page;z-index:-48256"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220001pt;margin-top:42.865326pt;width:128pt;height:11pt;mso-position-horizontal-relative:page;mso-position-vertical-relative:page;z-index:-48304" type="#_x0000_t202" filled="false" stroked="false">
          <v:textbox inset="0,0,0,0">
            <w:txbxContent>
              <w:p>
                <w:pPr>
                  <w:pStyle w:val="BodyText"/>
                  <w:spacing w:line="200" w:lineRule="exact"/>
                  <w:ind w:left="20"/>
                </w:pPr>
                <w:r>
                  <w:rPr/>
                  <w:t>民生康泰一生重大疾病保险条款</w:t>
                </w:r>
              </w:p>
            </w:txbxContent>
          </v:textbox>
          <w10:wrap type="none"/>
        </v:shape>
      </w:pict>
    </w:r>
    <w:r>
      <w:rPr/>
      <w:pict>
        <v:shape style="position:absolute;margin-left:428.720001pt;margin-top:42.865326pt;width:110pt;height:11pt;mso-position-horizontal-relative:page;mso-position-vertical-relative:page;z-index:-48280"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232" from="63.720001pt,55.619999pt" to="543.000001pt,55.619999pt" stroked="true" strokeweight=".72pt" strokecolor="#000000">
          <v:stroke dashstyle="solid"/>
          <w10:wrap type="none"/>
        </v:line>
      </w:pict>
    </w:r>
    <w:r>
      <w:rPr/>
      <w:pict>
        <v:shape style="position:absolute;margin-left:64.220001pt;margin-top:42.865326pt;width:128pt;height:11pt;mso-position-horizontal-relative:page;mso-position-vertical-relative:page;z-index:-48208" type="#_x0000_t202" filled="false" stroked="false">
          <v:textbox inset="0,0,0,0">
            <w:txbxContent>
              <w:p>
                <w:pPr>
                  <w:pStyle w:val="BodyText"/>
                  <w:spacing w:line="200" w:lineRule="exact"/>
                  <w:ind w:left="20"/>
                </w:pPr>
                <w:r>
                  <w:rPr/>
                  <w:t>民生康泰一生重大疾病保险条款</w:t>
                </w:r>
              </w:p>
            </w:txbxContent>
          </v:textbox>
          <w10:wrap type="none"/>
        </v:shape>
      </w:pict>
    </w:r>
    <w:r>
      <w:rPr/>
      <w:pict>
        <v:shape style="position:absolute;margin-left:428.720001pt;margin-top:42.865326pt;width:110pt;height:11pt;mso-position-horizontal-relative:page;mso-position-vertical-relative:page;z-index:-4818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865326pt;width:128pt;height:11pt;mso-position-horizontal-relative:page;mso-position-vertical-relative:page;z-index:-48160" type="#_x0000_t202" filled="false" stroked="false">
          <v:textbox inset="0,0,0,0">
            <w:txbxContent>
              <w:p>
                <w:pPr>
                  <w:pStyle w:val="BodyText"/>
                  <w:spacing w:line="200" w:lineRule="exact"/>
                  <w:ind w:left="20"/>
                </w:pPr>
                <w:r>
                  <w:rPr/>
                  <w:t>民生康泰一生重大疾病保险条款</w:t>
                </w:r>
              </w:p>
            </w:txbxContent>
          </v:textbox>
          <w10:wrap type="none"/>
        </v:shape>
      </w:pict>
    </w:r>
    <w:r>
      <w:rPr/>
      <w:pict>
        <v:shape style="position:absolute;margin-left:428.720001pt;margin-top:42.865326pt;width:110pt;height:11pt;mso-position-horizontal-relative:page;mso-position-vertical-relative:page;z-index:-48136"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112" from="63.720001pt,55.619999pt" to="543.000001pt,55.619999pt" stroked="true" strokeweight=".72pt" strokecolor="#000000">
          <v:stroke dashstyle="solid"/>
          <w10:wrap type="none"/>
        </v:line>
      </w:pict>
    </w:r>
    <w:r>
      <w:rPr/>
      <w:pict>
        <v:shape style="position:absolute;margin-left:64.220001pt;margin-top:42.865326pt;width:128pt;height:11pt;mso-position-horizontal-relative:page;mso-position-vertical-relative:page;z-index:-48088" type="#_x0000_t202" filled="false" stroked="false">
          <v:textbox inset="0,0,0,0">
            <w:txbxContent>
              <w:p>
                <w:pPr>
                  <w:pStyle w:val="BodyText"/>
                  <w:spacing w:line="200" w:lineRule="exact"/>
                  <w:ind w:left="20"/>
                </w:pPr>
                <w:r>
                  <w:rPr/>
                  <w:t>民生康泰一生重大疾病保险条款</w:t>
                </w:r>
              </w:p>
            </w:txbxContent>
          </v:textbox>
          <w10:wrap type="none"/>
        </v:shape>
      </w:pict>
    </w:r>
    <w:r>
      <w:rPr/>
      <w:pict>
        <v:shape style="position:absolute;margin-left:428.720001pt;margin-top:42.865326pt;width:110pt;height:11pt;mso-position-horizontal-relative:page;mso-position-vertical-relative:page;z-index:-4806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865326pt;width:128pt;height:11pt;mso-position-horizontal-relative:page;mso-position-vertical-relative:page;z-index:-48040" type="#_x0000_t202" filled="false" stroked="false">
          <v:textbox inset="0,0,0,0">
            <w:txbxContent>
              <w:p>
                <w:pPr>
                  <w:pStyle w:val="BodyText"/>
                  <w:spacing w:line="200" w:lineRule="exact"/>
                  <w:ind w:left="20"/>
                </w:pPr>
                <w:r>
                  <w:rPr/>
                  <w:t>民生康泰一生重大疾病保险条款</w:t>
                </w:r>
              </w:p>
            </w:txbxContent>
          </v:textbox>
          <w10:wrap type="none"/>
        </v:shape>
      </w:pict>
    </w:r>
    <w:r>
      <w:rPr/>
      <w:pict>
        <v:shape style="position:absolute;margin-left:428.720001pt;margin-top:42.865326pt;width:110pt;height:11pt;mso-position-horizontal-relative:page;mso-position-vertical-relative:page;z-index:-48016"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695" w:hanging="420"/>
        <w:jc w:val="left"/>
      </w:pPr>
      <w:rPr>
        <w:rFonts w:hint="default" w:ascii="宋体" w:hAnsi="宋体" w:eastAsia="宋体" w:cs="宋体"/>
        <w:spacing w:val="-31"/>
        <w:w w:val="100"/>
        <w:sz w:val="18"/>
        <w:szCs w:val="18"/>
      </w:rPr>
    </w:lvl>
    <w:lvl w:ilvl="1">
      <w:start w:val="0"/>
      <w:numFmt w:val="bullet"/>
      <w:lvlText w:val="•"/>
      <w:lvlJc w:val="left"/>
      <w:pPr>
        <w:ind w:left="1412" w:hanging="420"/>
      </w:pPr>
      <w:rPr>
        <w:rFonts w:hint="default"/>
      </w:rPr>
    </w:lvl>
    <w:lvl w:ilvl="2">
      <w:start w:val="0"/>
      <w:numFmt w:val="bullet"/>
      <w:lvlText w:val="•"/>
      <w:lvlJc w:val="left"/>
      <w:pPr>
        <w:ind w:left="2125" w:hanging="420"/>
      </w:pPr>
      <w:rPr>
        <w:rFonts w:hint="default"/>
      </w:rPr>
    </w:lvl>
    <w:lvl w:ilvl="3">
      <w:start w:val="0"/>
      <w:numFmt w:val="bullet"/>
      <w:lvlText w:val="•"/>
      <w:lvlJc w:val="left"/>
      <w:pPr>
        <w:ind w:left="2837" w:hanging="420"/>
      </w:pPr>
      <w:rPr>
        <w:rFonts w:hint="default"/>
      </w:rPr>
    </w:lvl>
    <w:lvl w:ilvl="4">
      <w:start w:val="0"/>
      <w:numFmt w:val="bullet"/>
      <w:lvlText w:val="•"/>
      <w:lvlJc w:val="left"/>
      <w:pPr>
        <w:ind w:left="3550" w:hanging="420"/>
      </w:pPr>
      <w:rPr>
        <w:rFonts w:hint="default"/>
      </w:rPr>
    </w:lvl>
    <w:lvl w:ilvl="5">
      <w:start w:val="0"/>
      <w:numFmt w:val="bullet"/>
      <w:lvlText w:val="•"/>
      <w:lvlJc w:val="left"/>
      <w:pPr>
        <w:ind w:left="4263" w:hanging="420"/>
      </w:pPr>
      <w:rPr>
        <w:rFonts w:hint="default"/>
      </w:rPr>
    </w:lvl>
    <w:lvl w:ilvl="6">
      <w:start w:val="0"/>
      <w:numFmt w:val="bullet"/>
      <w:lvlText w:val="•"/>
      <w:lvlJc w:val="left"/>
      <w:pPr>
        <w:ind w:left="4975" w:hanging="420"/>
      </w:pPr>
      <w:rPr>
        <w:rFonts w:hint="default"/>
      </w:rPr>
    </w:lvl>
    <w:lvl w:ilvl="7">
      <w:start w:val="0"/>
      <w:numFmt w:val="bullet"/>
      <w:lvlText w:val="•"/>
      <w:lvlJc w:val="left"/>
      <w:pPr>
        <w:ind w:left="5688" w:hanging="420"/>
      </w:pPr>
      <w:rPr>
        <w:rFonts w:hint="default"/>
      </w:rPr>
    </w:lvl>
    <w:lvl w:ilvl="8">
      <w:start w:val="0"/>
      <w:numFmt w:val="bullet"/>
      <w:lvlText w:val="•"/>
      <w:lvlJc w:val="left"/>
      <w:pPr>
        <w:ind w:left="6400" w:hanging="420"/>
      </w:pPr>
      <w:rPr>
        <w:rFonts w:hint="default"/>
      </w:rPr>
    </w:lvl>
  </w:abstractNum>
  <w:abstractNum w:abstractNumId="19">
    <w:multiLevelType w:val="hybridMultilevel"/>
    <w:lvl w:ilvl="0">
      <w:start w:val="1"/>
      <w:numFmt w:val="decimal"/>
      <w:lvlText w:val="%1"/>
      <w:lvlJc w:val="left"/>
      <w:pPr>
        <w:ind w:left="844" w:hanging="420"/>
        <w:jc w:val="left"/>
      </w:pPr>
      <w:rPr>
        <w:rFonts w:hint="default" w:ascii="宋体" w:hAnsi="宋体" w:eastAsia="宋体" w:cs="宋体"/>
        <w:w w:val="100"/>
        <w:sz w:val="18"/>
        <w:szCs w:val="18"/>
      </w:rPr>
    </w:lvl>
    <w:lvl w:ilvl="1">
      <w:start w:val="1"/>
      <w:numFmt w:val="decimal"/>
      <w:lvlText w:val="(%2)"/>
      <w:lvlJc w:val="left"/>
      <w:pPr>
        <w:ind w:left="1264" w:hanging="443"/>
        <w:jc w:val="left"/>
      </w:pPr>
      <w:rPr>
        <w:rFonts w:hint="default" w:ascii="宋体" w:hAnsi="宋体" w:eastAsia="宋体" w:cs="宋体"/>
        <w:spacing w:val="-90"/>
        <w:w w:val="100"/>
        <w:sz w:val="18"/>
        <w:szCs w:val="18"/>
      </w:rPr>
    </w:lvl>
    <w:lvl w:ilvl="2">
      <w:start w:val="0"/>
      <w:numFmt w:val="bullet"/>
      <w:lvlText w:val="•"/>
      <w:lvlJc w:val="left"/>
      <w:pPr>
        <w:ind w:left="2273" w:hanging="443"/>
      </w:pPr>
      <w:rPr>
        <w:rFonts w:hint="default"/>
      </w:rPr>
    </w:lvl>
    <w:lvl w:ilvl="3">
      <w:start w:val="0"/>
      <w:numFmt w:val="bullet"/>
      <w:lvlText w:val="•"/>
      <w:lvlJc w:val="left"/>
      <w:pPr>
        <w:ind w:left="3287" w:hanging="443"/>
      </w:pPr>
      <w:rPr>
        <w:rFonts w:hint="default"/>
      </w:rPr>
    </w:lvl>
    <w:lvl w:ilvl="4">
      <w:start w:val="0"/>
      <w:numFmt w:val="bullet"/>
      <w:lvlText w:val="•"/>
      <w:lvlJc w:val="left"/>
      <w:pPr>
        <w:ind w:left="4301" w:hanging="443"/>
      </w:pPr>
      <w:rPr>
        <w:rFonts w:hint="default"/>
      </w:rPr>
    </w:lvl>
    <w:lvl w:ilvl="5">
      <w:start w:val="0"/>
      <w:numFmt w:val="bullet"/>
      <w:lvlText w:val="•"/>
      <w:lvlJc w:val="left"/>
      <w:pPr>
        <w:ind w:left="5315" w:hanging="443"/>
      </w:pPr>
      <w:rPr>
        <w:rFonts w:hint="default"/>
      </w:rPr>
    </w:lvl>
    <w:lvl w:ilvl="6">
      <w:start w:val="0"/>
      <w:numFmt w:val="bullet"/>
      <w:lvlText w:val="•"/>
      <w:lvlJc w:val="left"/>
      <w:pPr>
        <w:ind w:left="6329" w:hanging="443"/>
      </w:pPr>
      <w:rPr>
        <w:rFonts w:hint="default"/>
      </w:rPr>
    </w:lvl>
    <w:lvl w:ilvl="7">
      <w:start w:val="0"/>
      <w:numFmt w:val="bullet"/>
      <w:lvlText w:val="•"/>
      <w:lvlJc w:val="left"/>
      <w:pPr>
        <w:ind w:left="7342" w:hanging="443"/>
      </w:pPr>
      <w:rPr>
        <w:rFonts w:hint="default"/>
      </w:rPr>
    </w:lvl>
    <w:lvl w:ilvl="8">
      <w:start w:val="0"/>
      <w:numFmt w:val="bullet"/>
      <w:lvlText w:val="•"/>
      <w:lvlJc w:val="left"/>
      <w:pPr>
        <w:ind w:left="8356" w:hanging="443"/>
      </w:pPr>
      <w:rPr>
        <w:rFonts w:hint="default"/>
      </w:rPr>
    </w:lvl>
  </w:abstractNum>
  <w:abstractNum w:abstractNumId="17">
    <w:multiLevelType w:val="hybridMultilevel"/>
    <w:lvl w:ilvl="0">
      <w:start w:val="1"/>
      <w:numFmt w:val="decimal"/>
      <w:lvlText w:val="(%1)"/>
      <w:lvlJc w:val="left"/>
      <w:pPr>
        <w:ind w:left="525"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6">
    <w:multiLevelType w:val="hybridMultilevel"/>
    <w:lvl w:ilvl="0">
      <w:start w:val="30"/>
      <w:numFmt w:val="decimal"/>
      <w:lvlText w:val="%1."/>
      <w:lvlJc w:val="left"/>
      <w:pPr>
        <w:ind w:left="2523" w:hanging="420"/>
        <w:jc w:val="left"/>
      </w:pPr>
      <w:rPr>
        <w:rFonts w:hint="default" w:ascii="宋体" w:hAnsi="宋体" w:eastAsia="宋体" w:cs="宋体"/>
        <w:b/>
        <w:bCs/>
        <w:spacing w:val="0"/>
        <w:w w:val="99"/>
        <w:sz w:val="18"/>
        <w:szCs w:val="18"/>
      </w:rPr>
    </w:lvl>
    <w:lvl w:ilvl="1">
      <w:start w:val="1"/>
      <w:numFmt w:val="decimal"/>
      <w:lvlText w:val="(%2)"/>
      <w:lvlJc w:val="left"/>
      <w:pPr>
        <w:ind w:left="2943" w:hanging="420"/>
        <w:jc w:val="left"/>
      </w:pPr>
      <w:rPr>
        <w:rFonts w:hint="default" w:ascii="宋体" w:hAnsi="宋体" w:eastAsia="宋体" w:cs="宋体"/>
        <w:spacing w:val="-31"/>
        <w:w w:val="100"/>
        <w:sz w:val="18"/>
        <w:szCs w:val="18"/>
      </w:rPr>
    </w:lvl>
    <w:lvl w:ilvl="2">
      <w:start w:val="0"/>
      <w:numFmt w:val="bullet"/>
      <w:lvlText w:val="•"/>
      <w:lvlJc w:val="left"/>
      <w:pPr>
        <w:ind w:left="2980" w:hanging="420"/>
      </w:pPr>
      <w:rPr>
        <w:rFonts w:hint="default"/>
      </w:rPr>
    </w:lvl>
    <w:lvl w:ilvl="3">
      <w:start w:val="0"/>
      <w:numFmt w:val="bullet"/>
      <w:lvlText w:val="•"/>
      <w:lvlJc w:val="left"/>
      <w:pPr>
        <w:ind w:left="3140" w:hanging="420"/>
      </w:pPr>
      <w:rPr>
        <w:rFonts w:hint="default"/>
      </w:rPr>
    </w:lvl>
    <w:lvl w:ilvl="4">
      <w:start w:val="0"/>
      <w:numFmt w:val="bullet"/>
      <w:lvlText w:val="•"/>
      <w:lvlJc w:val="left"/>
      <w:pPr>
        <w:ind w:left="4120" w:hanging="420"/>
      </w:pPr>
      <w:rPr>
        <w:rFonts w:hint="default"/>
      </w:rPr>
    </w:lvl>
    <w:lvl w:ilvl="5">
      <w:start w:val="0"/>
      <w:numFmt w:val="bullet"/>
      <w:lvlText w:val="•"/>
      <w:lvlJc w:val="left"/>
      <w:pPr>
        <w:ind w:left="5101" w:hanging="420"/>
      </w:pPr>
      <w:rPr>
        <w:rFonts w:hint="default"/>
      </w:rPr>
    </w:lvl>
    <w:lvl w:ilvl="6">
      <w:start w:val="0"/>
      <w:numFmt w:val="bullet"/>
      <w:lvlText w:val="•"/>
      <w:lvlJc w:val="left"/>
      <w:pPr>
        <w:ind w:left="6081" w:hanging="420"/>
      </w:pPr>
      <w:rPr>
        <w:rFonts w:hint="default"/>
      </w:rPr>
    </w:lvl>
    <w:lvl w:ilvl="7">
      <w:start w:val="0"/>
      <w:numFmt w:val="bullet"/>
      <w:lvlText w:val="•"/>
      <w:lvlJc w:val="left"/>
      <w:pPr>
        <w:ind w:left="7062" w:hanging="420"/>
      </w:pPr>
      <w:rPr>
        <w:rFonts w:hint="default"/>
      </w:rPr>
    </w:lvl>
    <w:lvl w:ilvl="8">
      <w:start w:val="0"/>
      <w:numFmt w:val="bullet"/>
      <w:lvlText w:val="•"/>
      <w:lvlJc w:val="left"/>
      <w:pPr>
        <w:ind w:left="8043" w:hanging="420"/>
      </w:pPr>
      <w:rPr>
        <w:rFonts w:hint="default"/>
      </w:rPr>
    </w:lvl>
  </w:abstractNum>
  <w:abstractNum w:abstractNumId="14">
    <w:multiLevelType w:val="hybridMultilevel"/>
    <w:lvl w:ilvl="0">
      <w:start w:val="27"/>
      <w:numFmt w:val="decimal"/>
      <w:lvlText w:val="%1."/>
      <w:lvlJc w:val="left"/>
      <w:pPr>
        <w:ind w:left="2617" w:hanging="420"/>
        <w:jc w:val="left"/>
      </w:pPr>
      <w:rPr>
        <w:rFonts w:hint="default" w:ascii="宋体" w:hAnsi="宋体" w:eastAsia="宋体" w:cs="宋体"/>
        <w:b/>
        <w:bCs/>
        <w:spacing w:val="0"/>
        <w:w w:val="99"/>
        <w:sz w:val="18"/>
        <w:szCs w:val="18"/>
      </w:rPr>
    </w:lvl>
    <w:lvl w:ilvl="1">
      <w:start w:val="1"/>
      <w:numFmt w:val="decimal"/>
      <w:lvlText w:val="(%2)"/>
      <w:lvlJc w:val="left"/>
      <w:pPr>
        <w:ind w:left="3037" w:hanging="420"/>
        <w:jc w:val="left"/>
      </w:pPr>
      <w:rPr>
        <w:rFonts w:hint="default" w:ascii="宋体" w:hAnsi="宋体" w:eastAsia="宋体" w:cs="宋体"/>
        <w:spacing w:val="-31"/>
        <w:w w:val="100"/>
        <w:sz w:val="18"/>
        <w:szCs w:val="18"/>
      </w:rPr>
    </w:lvl>
    <w:lvl w:ilvl="2">
      <w:start w:val="0"/>
      <w:numFmt w:val="bullet"/>
      <w:lvlText w:val="•"/>
      <w:lvlJc w:val="left"/>
      <w:pPr>
        <w:ind w:left="3841" w:hanging="420"/>
      </w:pPr>
      <w:rPr>
        <w:rFonts w:hint="default"/>
      </w:rPr>
    </w:lvl>
    <w:lvl w:ilvl="3">
      <w:start w:val="0"/>
      <w:numFmt w:val="bullet"/>
      <w:lvlText w:val="•"/>
      <w:lvlJc w:val="left"/>
      <w:pPr>
        <w:ind w:left="4642" w:hanging="420"/>
      </w:pPr>
      <w:rPr>
        <w:rFonts w:hint="default"/>
      </w:rPr>
    </w:lvl>
    <w:lvl w:ilvl="4">
      <w:start w:val="0"/>
      <w:numFmt w:val="bullet"/>
      <w:lvlText w:val="•"/>
      <w:lvlJc w:val="left"/>
      <w:pPr>
        <w:ind w:left="5444" w:hanging="420"/>
      </w:pPr>
      <w:rPr>
        <w:rFonts w:hint="default"/>
      </w:rPr>
    </w:lvl>
    <w:lvl w:ilvl="5">
      <w:start w:val="0"/>
      <w:numFmt w:val="bullet"/>
      <w:lvlText w:val="•"/>
      <w:lvlJc w:val="left"/>
      <w:pPr>
        <w:ind w:left="6245" w:hanging="420"/>
      </w:pPr>
      <w:rPr>
        <w:rFonts w:hint="default"/>
      </w:rPr>
    </w:lvl>
    <w:lvl w:ilvl="6">
      <w:start w:val="0"/>
      <w:numFmt w:val="bullet"/>
      <w:lvlText w:val="•"/>
      <w:lvlJc w:val="left"/>
      <w:pPr>
        <w:ind w:left="7047" w:hanging="420"/>
      </w:pPr>
      <w:rPr>
        <w:rFonts w:hint="default"/>
      </w:rPr>
    </w:lvl>
    <w:lvl w:ilvl="7">
      <w:start w:val="0"/>
      <w:numFmt w:val="bullet"/>
      <w:lvlText w:val="•"/>
      <w:lvlJc w:val="left"/>
      <w:pPr>
        <w:ind w:left="7848" w:hanging="420"/>
      </w:pPr>
      <w:rPr>
        <w:rFonts w:hint="default"/>
      </w:rPr>
    </w:lvl>
    <w:lvl w:ilvl="8">
      <w:start w:val="0"/>
      <w:numFmt w:val="bullet"/>
      <w:lvlText w:val="•"/>
      <w:lvlJc w:val="left"/>
      <w:pPr>
        <w:ind w:left="8650" w:hanging="420"/>
      </w:pPr>
      <w:rPr>
        <w:rFonts w:hint="default"/>
      </w:rPr>
    </w:lvl>
  </w:abstractNum>
  <w:abstractNum w:abstractNumId="13">
    <w:multiLevelType w:val="hybridMultilevel"/>
    <w:lvl w:ilvl="0">
      <w:start w:val="24"/>
      <w:numFmt w:val="decimal"/>
      <w:lvlText w:val="%1."/>
      <w:lvlJc w:val="left"/>
      <w:pPr>
        <w:ind w:left="2617" w:hanging="420"/>
        <w:jc w:val="left"/>
      </w:pPr>
      <w:rPr>
        <w:rFonts w:hint="default" w:ascii="宋体" w:hAnsi="宋体" w:eastAsia="宋体" w:cs="宋体"/>
        <w:b/>
        <w:bCs/>
        <w:spacing w:val="0"/>
        <w:w w:val="99"/>
        <w:sz w:val="18"/>
        <w:szCs w:val="18"/>
      </w:rPr>
    </w:lvl>
    <w:lvl w:ilvl="1">
      <w:start w:val="1"/>
      <w:numFmt w:val="decimal"/>
      <w:lvlText w:val="(%2)"/>
      <w:lvlJc w:val="left"/>
      <w:pPr>
        <w:ind w:left="2977" w:hanging="360"/>
        <w:jc w:val="left"/>
      </w:pPr>
      <w:rPr>
        <w:rFonts w:hint="default" w:ascii="宋体" w:hAnsi="宋体" w:eastAsia="宋体" w:cs="宋体"/>
        <w:w w:val="100"/>
        <w:sz w:val="18"/>
        <w:szCs w:val="18"/>
      </w:rPr>
    </w:lvl>
    <w:lvl w:ilvl="2">
      <w:start w:val="0"/>
      <w:numFmt w:val="bullet"/>
      <w:lvlText w:val="•"/>
      <w:lvlJc w:val="left"/>
      <w:pPr>
        <w:ind w:left="3788" w:hanging="360"/>
      </w:pPr>
      <w:rPr>
        <w:rFonts w:hint="default"/>
      </w:rPr>
    </w:lvl>
    <w:lvl w:ilvl="3">
      <w:start w:val="0"/>
      <w:numFmt w:val="bullet"/>
      <w:lvlText w:val="•"/>
      <w:lvlJc w:val="left"/>
      <w:pPr>
        <w:ind w:left="4596" w:hanging="360"/>
      </w:pPr>
      <w:rPr>
        <w:rFonts w:hint="default"/>
      </w:rPr>
    </w:lvl>
    <w:lvl w:ilvl="4">
      <w:start w:val="0"/>
      <w:numFmt w:val="bullet"/>
      <w:lvlText w:val="•"/>
      <w:lvlJc w:val="left"/>
      <w:pPr>
        <w:ind w:left="5404" w:hanging="360"/>
      </w:pPr>
      <w:rPr>
        <w:rFonts w:hint="default"/>
      </w:rPr>
    </w:lvl>
    <w:lvl w:ilvl="5">
      <w:start w:val="0"/>
      <w:numFmt w:val="bullet"/>
      <w:lvlText w:val="•"/>
      <w:lvlJc w:val="left"/>
      <w:pPr>
        <w:ind w:left="6212" w:hanging="360"/>
      </w:pPr>
      <w:rPr>
        <w:rFonts w:hint="default"/>
      </w:rPr>
    </w:lvl>
    <w:lvl w:ilvl="6">
      <w:start w:val="0"/>
      <w:numFmt w:val="bullet"/>
      <w:lvlText w:val="•"/>
      <w:lvlJc w:val="left"/>
      <w:pPr>
        <w:ind w:left="7020" w:hanging="360"/>
      </w:pPr>
      <w:rPr>
        <w:rFonts w:hint="default"/>
      </w:rPr>
    </w:lvl>
    <w:lvl w:ilvl="7">
      <w:start w:val="0"/>
      <w:numFmt w:val="bullet"/>
      <w:lvlText w:val="•"/>
      <w:lvlJc w:val="left"/>
      <w:pPr>
        <w:ind w:left="7828" w:hanging="360"/>
      </w:pPr>
      <w:rPr>
        <w:rFonts w:hint="default"/>
      </w:rPr>
    </w:lvl>
    <w:lvl w:ilvl="8">
      <w:start w:val="0"/>
      <w:numFmt w:val="bullet"/>
      <w:lvlText w:val="•"/>
      <w:lvlJc w:val="left"/>
      <w:pPr>
        <w:ind w:left="8636" w:hanging="360"/>
      </w:pPr>
      <w:rPr>
        <w:rFonts w:hint="default"/>
      </w:rPr>
    </w:lvl>
  </w:abstractNum>
  <w:abstractNum w:abstractNumId="15">
    <w:multiLevelType w:val="hybridMultilevel"/>
    <w:lvl w:ilvl="0">
      <w:start w:val="1"/>
      <w:numFmt w:val="decimal"/>
      <w:lvlText w:val="(%1)"/>
      <w:lvlJc w:val="left"/>
      <w:pPr>
        <w:ind w:left="3143" w:hanging="420"/>
        <w:jc w:val="right"/>
      </w:pPr>
      <w:rPr>
        <w:rFonts w:hint="default" w:ascii="宋体" w:hAnsi="宋体" w:eastAsia="宋体" w:cs="宋体"/>
        <w:spacing w:val="-31"/>
        <w:w w:val="100"/>
        <w:sz w:val="18"/>
        <w:szCs w:val="18"/>
      </w:rPr>
    </w:lvl>
    <w:lvl w:ilvl="1">
      <w:start w:val="0"/>
      <w:numFmt w:val="bullet"/>
      <w:lvlText w:val="•"/>
      <w:lvlJc w:val="left"/>
      <w:pPr>
        <w:ind w:left="3872" w:hanging="420"/>
      </w:pPr>
      <w:rPr>
        <w:rFonts w:hint="default"/>
      </w:rPr>
    </w:lvl>
    <w:lvl w:ilvl="2">
      <w:start w:val="0"/>
      <w:numFmt w:val="bullet"/>
      <w:lvlText w:val="•"/>
      <w:lvlJc w:val="left"/>
      <w:pPr>
        <w:ind w:left="4604" w:hanging="420"/>
      </w:pPr>
      <w:rPr>
        <w:rFonts w:hint="default"/>
      </w:rPr>
    </w:lvl>
    <w:lvl w:ilvl="3">
      <w:start w:val="0"/>
      <w:numFmt w:val="bullet"/>
      <w:lvlText w:val="•"/>
      <w:lvlJc w:val="left"/>
      <w:pPr>
        <w:ind w:left="5337" w:hanging="420"/>
      </w:pPr>
      <w:rPr>
        <w:rFonts w:hint="default"/>
      </w:rPr>
    </w:lvl>
    <w:lvl w:ilvl="4">
      <w:start w:val="0"/>
      <w:numFmt w:val="bullet"/>
      <w:lvlText w:val="•"/>
      <w:lvlJc w:val="left"/>
      <w:pPr>
        <w:ind w:left="6069" w:hanging="420"/>
      </w:pPr>
      <w:rPr>
        <w:rFonts w:hint="default"/>
      </w:rPr>
    </w:lvl>
    <w:lvl w:ilvl="5">
      <w:start w:val="0"/>
      <w:numFmt w:val="bullet"/>
      <w:lvlText w:val="•"/>
      <w:lvlJc w:val="left"/>
      <w:pPr>
        <w:ind w:left="6802" w:hanging="420"/>
      </w:pPr>
      <w:rPr>
        <w:rFonts w:hint="default"/>
      </w:rPr>
    </w:lvl>
    <w:lvl w:ilvl="6">
      <w:start w:val="0"/>
      <w:numFmt w:val="bullet"/>
      <w:lvlText w:val="•"/>
      <w:lvlJc w:val="left"/>
      <w:pPr>
        <w:ind w:left="7534" w:hanging="420"/>
      </w:pPr>
      <w:rPr>
        <w:rFonts w:hint="default"/>
      </w:rPr>
    </w:lvl>
    <w:lvl w:ilvl="7">
      <w:start w:val="0"/>
      <w:numFmt w:val="bullet"/>
      <w:lvlText w:val="•"/>
      <w:lvlJc w:val="left"/>
      <w:pPr>
        <w:ind w:left="8267" w:hanging="420"/>
      </w:pPr>
      <w:rPr>
        <w:rFonts w:hint="default"/>
      </w:rPr>
    </w:lvl>
    <w:lvl w:ilvl="8">
      <w:start w:val="0"/>
      <w:numFmt w:val="bullet"/>
      <w:lvlText w:val="•"/>
      <w:lvlJc w:val="left"/>
      <w:pPr>
        <w:ind w:left="8999" w:hanging="420"/>
      </w:pPr>
      <w:rPr>
        <w:rFonts w:hint="default"/>
      </w:rPr>
    </w:lvl>
  </w:abstractNum>
  <w:abstractNum w:abstractNumId="12">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3" w:hanging="398"/>
      </w:pPr>
      <w:rPr>
        <w:rFonts w:hint="default"/>
      </w:rPr>
    </w:lvl>
  </w:abstractNum>
  <w:abstractNum w:abstractNumId="11">
    <w:multiLevelType w:val="hybridMultilevel"/>
    <w:lvl w:ilvl="0">
      <w:start w:val="1"/>
      <w:numFmt w:val="decimal"/>
      <w:lvlText w:val="(%1)"/>
      <w:lvlJc w:val="left"/>
      <w:pPr>
        <w:ind w:left="105" w:hanging="398"/>
        <w:jc w:val="left"/>
      </w:pPr>
      <w:rPr>
        <w:rFonts w:hint="default" w:ascii="宋体" w:hAnsi="宋体" w:eastAsia="宋体" w:cs="宋体"/>
        <w:w w:val="100"/>
        <w:sz w:val="18"/>
        <w:szCs w:val="18"/>
      </w:rPr>
    </w:lvl>
    <w:lvl w:ilvl="1">
      <w:start w:val="0"/>
      <w:numFmt w:val="bullet"/>
      <w:lvlText w:val="•"/>
      <w:lvlJc w:val="left"/>
      <w:pPr>
        <w:ind w:left="846" w:hanging="398"/>
      </w:pPr>
      <w:rPr>
        <w:rFonts w:hint="default"/>
      </w:rPr>
    </w:lvl>
    <w:lvl w:ilvl="2">
      <w:start w:val="0"/>
      <w:numFmt w:val="bullet"/>
      <w:lvlText w:val="•"/>
      <w:lvlJc w:val="left"/>
      <w:pPr>
        <w:ind w:left="1593" w:hanging="398"/>
      </w:pPr>
      <w:rPr>
        <w:rFonts w:hint="default"/>
      </w:rPr>
    </w:lvl>
    <w:lvl w:ilvl="3">
      <w:start w:val="0"/>
      <w:numFmt w:val="bullet"/>
      <w:lvlText w:val="•"/>
      <w:lvlJc w:val="left"/>
      <w:pPr>
        <w:ind w:left="2339" w:hanging="398"/>
      </w:pPr>
      <w:rPr>
        <w:rFonts w:hint="default"/>
      </w:rPr>
    </w:lvl>
    <w:lvl w:ilvl="4">
      <w:start w:val="0"/>
      <w:numFmt w:val="bullet"/>
      <w:lvlText w:val="•"/>
      <w:lvlJc w:val="left"/>
      <w:pPr>
        <w:ind w:left="3086" w:hanging="398"/>
      </w:pPr>
      <w:rPr>
        <w:rFonts w:hint="default"/>
      </w:rPr>
    </w:lvl>
    <w:lvl w:ilvl="5">
      <w:start w:val="0"/>
      <w:numFmt w:val="bullet"/>
      <w:lvlText w:val="•"/>
      <w:lvlJc w:val="left"/>
      <w:pPr>
        <w:ind w:left="3833" w:hanging="398"/>
      </w:pPr>
      <w:rPr>
        <w:rFonts w:hint="default"/>
      </w:rPr>
    </w:lvl>
    <w:lvl w:ilvl="6">
      <w:start w:val="0"/>
      <w:numFmt w:val="bullet"/>
      <w:lvlText w:val="•"/>
      <w:lvlJc w:val="left"/>
      <w:pPr>
        <w:ind w:left="4579" w:hanging="398"/>
      </w:pPr>
      <w:rPr>
        <w:rFonts w:hint="default"/>
      </w:rPr>
    </w:lvl>
    <w:lvl w:ilvl="7">
      <w:start w:val="0"/>
      <w:numFmt w:val="bullet"/>
      <w:lvlText w:val="•"/>
      <w:lvlJc w:val="left"/>
      <w:pPr>
        <w:ind w:left="5326" w:hanging="398"/>
      </w:pPr>
      <w:rPr>
        <w:rFonts w:hint="default"/>
      </w:rPr>
    </w:lvl>
    <w:lvl w:ilvl="8">
      <w:start w:val="0"/>
      <w:numFmt w:val="bullet"/>
      <w:lvlText w:val="•"/>
      <w:lvlJc w:val="left"/>
      <w:pPr>
        <w:ind w:left="6073" w:hanging="398"/>
      </w:pPr>
      <w:rPr>
        <w:rFonts w:hint="default"/>
      </w:rPr>
    </w:lvl>
  </w:abstractNum>
  <w:abstractNum w:abstractNumId="10">
    <w:multiLevelType w:val="hybridMultilevel"/>
    <w:lvl w:ilvl="0">
      <w:start w:val="1"/>
      <w:numFmt w:val="decimal"/>
      <w:lvlText w:val="(%1)"/>
      <w:lvlJc w:val="left"/>
      <w:pPr>
        <w:ind w:left="502"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3" w:hanging="398"/>
      </w:pPr>
      <w:rPr>
        <w:rFonts w:hint="default"/>
      </w:rPr>
    </w:lvl>
  </w:abstractNum>
  <w:abstractNum w:abstractNumId="9">
    <w:multiLevelType w:val="hybridMultilevel"/>
    <w:lvl w:ilvl="0">
      <w:start w:val="4"/>
      <w:numFmt w:val="decimal"/>
      <w:lvlText w:val="%1."/>
      <w:lvlJc w:val="left"/>
      <w:pPr>
        <w:ind w:left="525" w:hanging="421"/>
        <w:jc w:val="left"/>
      </w:pPr>
      <w:rPr>
        <w:rFonts w:hint="default" w:ascii="宋体" w:hAnsi="宋体" w:eastAsia="宋体" w:cs="宋体"/>
        <w:b/>
        <w:bCs/>
        <w:spacing w:val="0"/>
        <w:w w:val="99"/>
        <w:sz w:val="18"/>
        <w:szCs w:val="18"/>
      </w:rPr>
    </w:lvl>
    <w:lvl w:ilvl="1">
      <w:start w:val="1"/>
      <w:numFmt w:val="decimal"/>
      <w:lvlText w:val="(%2)"/>
      <w:lvlJc w:val="left"/>
      <w:pPr>
        <w:ind w:left="2920" w:hanging="398"/>
        <w:jc w:val="left"/>
      </w:pPr>
      <w:rPr>
        <w:rFonts w:hint="default" w:ascii="宋体" w:hAnsi="宋体" w:eastAsia="宋体" w:cs="宋体"/>
        <w:w w:val="100"/>
        <w:sz w:val="18"/>
        <w:szCs w:val="18"/>
      </w:rPr>
    </w:lvl>
    <w:lvl w:ilvl="2">
      <w:start w:val="0"/>
      <w:numFmt w:val="bullet"/>
      <w:lvlText w:val="•"/>
      <w:lvlJc w:val="left"/>
      <w:pPr>
        <w:ind w:left="3120" w:hanging="398"/>
      </w:pPr>
      <w:rPr>
        <w:rFonts w:hint="default"/>
      </w:rPr>
    </w:lvl>
    <w:lvl w:ilvl="3">
      <w:start w:val="0"/>
      <w:numFmt w:val="bullet"/>
      <w:lvlText w:val="•"/>
      <w:lvlJc w:val="left"/>
      <w:pPr>
        <w:ind w:left="3021" w:hanging="398"/>
      </w:pPr>
      <w:rPr>
        <w:rFonts w:hint="default"/>
      </w:rPr>
    </w:lvl>
    <w:lvl w:ilvl="4">
      <w:start w:val="0"/>
      <w:numFmt w:val="bullet"/>
      <w:lvlText w:val="•"/>
      <w:lvlJc w:val="left"/>
      <w:pPr>
        <w:ind w:left="2922" w:hanging="398"/>
      </w:pPr>
      <w:rPr>
        <w:rFonts w:hint="default"/>
      </w:rPr>
    </w:lvl>
    <w:lvl w:ilvl="5">
      <w:start w:val="0"/>
      <w:numFmt w:val="bullet"/>
      <w:lvlText w:val="•"/>
      <w:lvlJc w:val="left"/>
      <w:pPr>
        <w:ind w:left="2823" w:hanging="398"/>
      </w:pPr>
      <w:rPr>
        <w:rFonts w:hint="default"/>
      </w:rPr>
    </w:lvl>
    <w:lvl w:ilvl="6">
      <w:start w:val="0"/>
      <w:numFmt w:val="bullet"/>
      <w:lvlText w:val="•"/>
      <w:lvlJc w:val="left"/>
      <w:pPr>
        <w:ind w:left="2724" w:hanging="398"/>
      </w:pPr>
      <w:rPr>
        <w:rFonts w:hint="default"/>
      </w:rPr>
    </w:lvl>
    <w:lvl w:ilvl="7">
      <w:start w:val="0"/>
      <w:numFmt w:val="bullet"/>
      <w:lvlText w:val="•"/>
      <w:lvlJc w:val="left"/>
      <w:pPr>
        <w:ind w:left="2625" w:hanging="398"/>
      </w:pPr>
      <w:rPr>
        <w:rFonts w:hint="default"/>
      </w:rPr>
    </w:lvl>
    <w:lvl w:ilvl="8">
      <w:start w:val="0"/>
      <w:numFmt w:val="bullet"/>
      <w:lvlText w:val="•"/>
      <w:lvlJc w:val="left"/>
      <w:pPr>
        <w:ind w:left="2526" w:hanging="398"/>
      </w:pPr>
      <w:rPr>
        <w:rFonts w:hint="default"/>
      </w:rPr>
    </w:lvl>
  </w:abstractNum>
  <w:abstractNum w:abstractNumId="8">
    <w:multiLevelType w:val="hybridMultilevel"/>
    <w:lvl w:ilvl="0">
      <w:start w:val="2"/>
      <w:numFmt w:val="decimal"/>
      <w:lvlText w:val="%1."/>
      <w:lvlJc w:val="left"/>
      <w:pPr>
        <w:ind w:left="620" w:hanging="421"/>
        <w:jc w:val="left"/>
      </w:pPr>
      <w:rPr>
        <w:rFonts w:hint="default" w:ascii="宋体" w:hAnsi="宋体" w:eastAsia="宋体" w:cs="宋体"/>
        <w:b/>
        <w:bCs/>
        <w:spacing w:val="0"/>
        <w:w w:val="99"/>
        <w:sz w:val="18"/>
        <w:szCs w:val="18"/>
      </w:rPr>
    </w:lvl>
    <w:lvl w:ilvl="1">
      <w:start w:val="1"/>
      <w:numFmt w:val="decimal"/>
      <w:lvlText w:val="(%2)"/>
      <w:lvlJc w:val="left"/>
      <w:pPr>
        <w:ind w:left="2978" w:hanging="360"/>
        <w:jc w:val="left"/>
      </w:pPr>
      <w:rPr>
        <w:rFonts w:hint="default" w:ascii="宋体" w:hAnsi="宋体" w:eastAsia="宋体" w:cs="宋体"/>
        <w:w w:val="100"/>
        <w:sz w:val="18"/>
        <w:szCs w:val="18"/>
      </w:rPr>
    </w:lvl>
    <w:lvl w:ilvl="2">
      <w:start w:val="0"/>
      <w:numFmt w:val="bullet"/>
      <w:lvlText w:val="•"/>
      <w:lvlJc w:val="left"/>
      <w:pPr>
        <w:ind w:left="3778" w:hanging="360"/>
      </w:pPr>
      <w:rPr>
        <w:rFonts w:hint="default"/>
      </w:rPr>
    </w:lvl>
    <w:lvl w:ilvl="3">
      <w:start w:val="0"/>
      <w:numFmt w:val="bullet"/>
      <w:lvlText w:val="•"/>
      <w:lvlJc w:val="left"/>
      <w:pPr>
        <w:ind w:left="4576" w:hanging="360"/>
      </w:pPr>
      <w:rPr>
        <w:rFonts w:hint="default"/>
      </w:rPr>
    </w:lvl>
    <w:lvl w:ilvl="4">
      <w:start w:val="0"/>
      <w:numFmt w:val="bullet"/>
      <w:lvlText w:val="•"/>
      <w:lvlJc w:val="left"/>
      <w:pPr>
        <w:ind w:left="5374" w:hanging="360"/>
      </w:pPr>
      <w:rPr>
        <w:rFonts w:hint="default"/>
      </w:rPr>
    </w:lvl>
    <w:lvl w:ilvl="5">
      <w:start w:val="0"/>
      <w:numFmt w:val="bullet"/>
      <w:lvlText w:val="•"/>
      <w:lvlJc w:val="left"/>
      <w:pPr>
        <w:ind w:left="6172" w:hanging="360"/>
      </w:pPr>
      <w:rPr>
        <w:rFonts w:hint="default"/>
      </w:rPr>
    </w:lvl>
    <w:lvl w:ilvl="6">
      <w:start w:val="0"/>
      <w:numFmt w:val="bullet"/>
      <w:lvlText w:val="•"/>
      <w:lvlJc w:val="left"/>
      <w:pPr>
        <w:ind w:left="6970" w:hanging="360"/>
      </w:pPr>
      <w:rPr>
        <w:rFonts w:hint="default"/>
      </w:rPr>
    </w:lvl>
    <w:lvl w:ilvl="7">
      <w:start w:val="0"/>
      <w:numFmt w:val="bullet"/>
      <w:lvlText w:val="•"/>
      <w:lvlJc w:val="left"/>
      <w:pPr>
        <w:ind w:left="7768" w:hanging="360"/>
      </w:pPr>
      <w:rPr>
        <w:rFonts w:hint="default"/>
      </w:rPr>
    </w:lvl>
    <w:lvl w:ilvl="8">
      <w:start w:val="0"/>
      <w:numFmt w:val="bullet"/>
      <w:lvlText w:val="•"/>
      <w:lvlJc w:val="left"/>
      <w:pPr>
        <w:ind w:left="8566" w:hanging="360"/>
      </w:pPr>
      <w:rPr>
        <w:rFonts w:hint="default"/>
      </w:rPr>
    </w:lvl>
  </w:abstractNum>
  <w:abstractNum w:abstractNumId="7">
    <w:multiLevelType w:val="hybridMultilevel"/>
    <w:lvl w:ilvl="0">
      <w:start w:val="1"/>
      <w:numFmt w:val="decimal"/>
      <w:lvlText w:val="%1."/>
      <w:lvlJc w:val="left"/>
      <w:pPr>
        <w:ind w:left="2618" w:hanging="421"/>
        <w:jc w:val="left"/>
      </w:pPr>
      <w:rPr>
        <w:rFonts w:hint="default" w:ascii="宋体" w:hAnsi="宋体" w:eastAsia="宋体" w:cs="宋体"/>
        <w:b/>
        <w:bCs/>
        <w:spacing w:val="0"/>
        <w:w w:val="99"/>
        <w:sz w:val="18"/>
        <w:szCs w:val="18"/>
      </w:rPr>
    </w:lvl>
    <w:lvl w:ilvl="1">
      <w:start w:val="1"/>
      <w:numFmt w:val="decimal"/>
      <w:lvlText w:val="(%2)"/>
      <w:lvlJc w:val="left"/>
      <w:pPr>
        <w:ind w:left="2978" w:hanging="360"/>
        <w:jc w:val="left"/>
      </w:pPr>
      <w:rPr>
        <w:rFonts w:hint="default" w:ascii="宋体" w:hAnsi="宋体" w:eastAsia="宋体" w:cs="宋体"/>
        <w:w w:val="100"/>
        <w:sz w:val="18"/>
        <w:szCs w:val="18"/>
      </w:rPr>
    </w:lvl>
    <w:lvl w:ilvl="2">
      <w:start w:val="0"/>
      <w:numFmt w:val="bullet"/>
      <w:lvlText w:val="•"/>
      <w:lvlJc w:val="left"/>
      <w:pPr>
        <w:ind w:left="3778" w:hanging="360"/>
      </w:pPr>
      <w:rPr>
        <w:rFonts w:hint="default"/>
      </w:rPr>
    </w:lvl>
    <w:lvl w:ilvl="3">
      <w:start w:val="0"/>
      <w:numFmt w:val="bullet"/>
      <w:lvlText w:val="•"/>
      <w:lvlJc w:val="left"/>
      <w:pPr>
        <w:ind w:left="4576" w:hanging="360"/>
      </w:pPr>
      <w:rPr>
        <w:rFonts w:hint="default"/>
      </w:rPr>
    </w:lvl>
    <w:lvl w:ilvl="4">
      <w:start w:val="0"/>
      <w:numFmt w:val="bullet"/>
      <w:lvlText w:val="•"/>
      <w:lvlJc w:val="left"/>
      <w:pPr>
        <w:ind w:left="5374" w:hanging="360"/>
      </w:pPr>
      <w:rPr>
        <w:rFonts w:hint="default"/>
      </w:rPr>
    </w:lvl>
    <w:lvl w:ilvl="5">
      <w:start w:val="0"/>
      <w:numFmt w:val="bullet"/>
      <w:lvlText w:val="•"/>
      <w:lvlJc w:val="left"/>
      <w:pPr>
        <w:ind w:left="6172" w:hanging="360"/>
      </w:pPr>
      <w:rPr>
        <w:rFonts w:hint="default"/>
      </w:rPr>
    </w:lvl>
    <w:lvl w:ilvl="6">
      <w:start w:val="0"/>
      <w:numFmt w:val="bullet"/>
      <w:lvlText w:val="•"/>
      <w:lvlJc w:val="left"/>
      <w:pPr>
        <w:ind w:left="6970" w:hanging="360"/>
      </w:pPr>
      <w:rPr>
        <w:rFonts w:hint="default"/>
      </w:rPr>
    </w:lvl>
    <w:lvl w:ilvl="7">
      <w:start w:val="0"/>
      <w:numFmt w:val="bullet"/>
      <w:lvlText w:val="•"/>
      <w:lvlJc w:val="left"/>
      <w:pPr>
        <w:ind w:left="7768" w:hanging="360"/>
      </w:pPr>
      <w:rPr>
        <w:rFonts w:hint="default"/>
      </w:rPr>
    </w:lvl>
    <w:lvl w:ilvl="8">
      <w:start w:val="0"/>
      <w:numFmt w:val="bullet"/>
      <w:lvlText w:val="•"/>
      <w:lvlJc w:val="left"/>
      <w:pPr>
        <w:ind w:left="8566" w:hanging="360"/>
      </w:pPr>
      <w:rPr>
        <w:rFonts w:hint="default"/>
      </w:rPr>
    </w:lvl>
  </w:abstractNum>
  <w:abstractNum w:abstractNumId="6">
    <w:multiLevelType w:val="hybridMultilevel"/>
    <w:lvl w:ilvl="0">
      <w:start w:val="1"/>
      <w:numFmt w:val="decimal"/>
      <w:lvlText w:val="(%1)"/>
      <w:lvlJc w:val="left"/>
      <w:pPr>
        <w:ind w:left="570" w:hanging="398"/>
        <w:jc w:val="left"/>
      </w:pPr>
      <w:rPr>
        <w:rFonts w:hint="default" w:ascii="宋体" w:hAnsi="宋体" w:eastAsia="宋体" w:cs="宋体"/>
        <w:w w:val="100"/>
        <w:sz w:val="18"/>
        <w:szCs w:val="18"/>
      </w:rPr>
    </w:lvl>
    <w:lvl w:ilvl="1">
      <w:start w:val="0"/>
      <w:numFmt w:val="bullet"/>
      <w:lvlText w:val="•"/>
      <w:lvlJc w:val="left"/>
      <w:pPr>
        <w:ind w:left="3080" w:hanging="398"/>
      </w:pPr>
      <w:rPr>
        <w:rFonts w:hint="default"/>
      </w:rPr>
    </w:lvl>
    <w:lvl w:ilvl="2">
      <w:start w:val="0"/>
      <w:numFmt w:val="bullet"/>
      <w:lvlText w:val="•"/>
      <w:lvlJc w:val="left"/>
      <w:pPr>
        <w:ind w:left="3595" w:hanging="398"/>
      </w:pPr>
      <w:rPr>
        <w:rFonts w:hint="default"/>
      </w:rPr>
    </w:lvl>
    <w:lvl w:ilvl="3">
      <w:start w:val="0"/>
      <w:numFmt w:val="bullet"/>
      <w:lvlText w:val="•"/>
      <w:lvlJc w:val="left"/>
      <w:pPr>
        <w:ind w:left="4111" w:hanging="398"/>
      </w:pPr>
      <w:rPr>
        <w:rFonts w:hint="default"/>
      </w:rPr>
    </w:lvl>
    <w:lvl w:ilvl="4">
      <w:start w:val="0"/>
      <w:numFmt w:val="bullet"/>
      <w:lvlText w:val="•"/>
      <w:lvlJc w:val="left"/>
      <w:pPr>
        <w:ind w:left="4627" w:hanging="398"/>
      </w:pPr>
      <w:rPr>
        <w:rFonts w:hint="default"/>
      </w:rPr>
    </w:lvl>
    <w:lvl w:ilvl="5">
      <w:start w:val="0"/>
      <w:numFmt w:val="bullet"/>
      <w:lvlText w:val="•"/>
      <w:lvlJc w:val="left"/>
      <w:pPr>
        <w:ind w:left="5143" w:hanging="398"/>
      </w:pPr>
      <w:rPr>
        <w:rFonts w:hint="default"/>
      </w:rPr>
    </w:lvl>
    <w:lvl w:ilvl="6">
      <w:start w:val="0"/>
      <w:numFmt w:val="bullet"/>
      <w:lvlText w:val="•"/>
      <w:lvlJc w:val="left"/>
      <w:pPr>
        <w:ind w:left="5659" w:hanging="398"/>
      </w:pPr>
      <w:rPr>
        <w:rFonts w:hint="default"/>
      </w:rPr>
    </w:lvl>
    <w:lvl w:ilvl="7">
      <w:start w:val="0"/>
      <w:numFmt w:val="bullet"/>
      <w:lvlText w:val="•"/>
      <w:lvlJc w:val="left"/>
      <w:pPr>
        <w:ind w:left="6175" w:hanging="398"/>
      </w:pPr>
      <w:rPr>
        <w:rFonts w:hint="default"/>
      </w:rPr>
    </w:lvl>
    <w:lvl w:ilvl="8">
      <w:start w:val="0"/>
      <w:numFmt w:val="bullet"/>
      <w:lvlText w:val="•"/>
      <w:lvlJc w:val="left"/>
      <w:pPr>
        <w:ind w:left="6691" w:hanging="398"/>
      </w:pPr>
      <w:rPr>
        <w:rFonts w:hint="default"/>
      </w:rPr>
    </w:lvl>
  </w:abstractNum>
  <w:abstractNum w:abstractNumId="5">
    <w:multiLevelType w:val="hybridMultilevel"/>
    <w:lvl w:ilvl="0">
      <w:start w:val="8"/>
      <w:numFmt w:val="decimal"/>
      <w:lvlText w:val="%1"/>
      <w:lvlJc w:val="left"/>
      <w:pPr>
        <w:ind w:left="2614" w:hanging="683"/>
        <w:jc w:val="left"/>
      </w:pPr>
      <w:rPr>
        <w:rFonts w:hint="default"/>
      </w:rPr>
    </w:lvl>
    <w:lvl w:ilvl="1">
      <w:start w:val="1"/>
      <w:numFmt w:val="decimal"/>
      <w:lvlText w:val="%1.%2"/>
      <w:lvlJc w:val="left"/>
      <w:pPr>
        <w:ind w:left="2614" w:hanging="683"/>
        <w:jc w:val="right"/>
      </w:pPr>
      <w:rPr>
        <w:rFonts w:hint="default" w:ascii="宋体" w:hAnsi="宋体" w:eastAsia="宋体" w:cs="宋体"/>
        <w:b/>
        <w:bCs/>
        <w:w w:val="99"/>
        <w:sz w:val="21"/>
        <w:szCs w:val="21"/>
      </w:rPr>
    </w:lvl>
    <w:lvl w:ilvl="2">
      <w:start w:val="1"/>
      <w:numFmt w:val="decimal"/>
      <w:lvlText w:val="(%3)"/>
      <w:lvlJc w:val="left"/>
      <w:pPr>
        <w:ind w:left="3012" w:hanging="398"/>
        <w:jc w:val="left"/>
      </w:pPr>
      <w:rPr>
        <w:rFonts w:hint="default" w:ascii="宋体" w:hAnsi="宋体" w:eastAsia="宋体" w:cs="宋体"/>
        <w:w w:val="100"/>
        <w:sz w:val="18"/>
        <w:szCs w:val="18"/>
      </w:rPr>
    </w:lvl>
    <w:lvl w:ilvl="3">
      <w:start w:val="0"/>
      <w:numFmt w:val="bullet"/>
      <w:lvlText w:val="•"/>
      <w:lvlJc w:val="left"/>
      <w:pPr>
        <w:ind w:left="4607" w:hanging="398"/>
      </w:pPr>
      <w:rPr>
        <w:rFonts w:hint="default"/>
      </w:rPr>
    </w:lvl>
    <w:lvl w:ilvl="4">
      <w:start w:val="0"/>
      <w:numFmt w:val="bullet"/>
      <w:lvlText w:val="•"/>
      <w:lvlJc w:val="left"/>
      <w:pPr>
        <w:ind w:left="5401" w:hanging="398"/>
      </w:pPr>
      <w:rPr>
        <w:rFonts w:hint="default"/>
      </w:rPr>
    </w:lvl>
    <w:lvl w:ilvl="5">
      <w:start w:val="0"/>
      <w:numFmt w:val="bullet"/>
      <w:lvlText w:val="•"/>
      <w:lvlJc w:val="left"/>
      <w:pPr>
        <w:ind w:left="6195" w:hanging="398"/>
      </w:pPr>
      <w:rPr>
        <w:rFonts w:hint="default"/>
      </w:rPr>
    </w:lvl>
    <w:lvl w:ilvl="6">
      <w:start w:val="0"/>
      <w:numFmt w:val="bullet"/>
      <w:lvlText w:val="•"/>
      <w:lvlJc w:val="left"/>
      <w:pPr>
        <w:ind w:left="6989" w:hanging="398"/>
      </w:pPr>
      <w:rPr>
        <w:rFonts w:hint="default"/>
      </w:rPr>
    </w:lvl>
    <w:lvl w:ilvl="7">
      <w:start w:val="0"/>
      <w:numFmt w:val="bullet"/>
      <w:lvlText w:val="•"/>
      <w:lvlJc w:val="left"/>
      <w:pPr>
        <w:ind w:left="7782" w:hanging="398"/>
      </w:pPr>
      <w:rPr>
        <w:rFonts w:hint="default"/>
      </w:rPr>
    </w:lvl>
    <w:lvl w:ilvl="8">
      <w:start w:val="0"/>
      <w:numFmt w:val="bullet"/>
      <w:lvlText w:val="•"/>
      <w:lvlJc w:val="left"/>
      <w:pPr>
        <w:ind w:left="8576" w:hanging="398"/>
      </w:pPr>
      <w:rPr>
        <w:rFonts w:hint="default"/>
      </w:rPr>
    </w:lvl>
  </w:abstractNum>
  <w:abstractNum w:abstractNumId="4">
    <w:multiLevelType w:val="hybridMultilevel"/>
    <w:lvl w:ilvl="0">
      <w:start w:val="1"/>
      <w:numFmt w:val="decimal"/>
      <w:lvlText w:val="(%1)"/>
      <w:lvlJc w:val="left"/>
      <w:pPr>
        <w:ind w:left="2840" w:hanging="420"/>
        <w:jc w:val="left"/>
      </w:pPr>
      <w:rPr>
        <w:rFonts w:hint="default" w:ascii="宋体" w:hAnsi="宋体" w:eastAsia="宋体" w:cs="宋体"/>
        <w:spacing w:val="-31"/>
        <w:w w:val="100"/>
        <w:sz w:val="18"/>
        <w:szCs w:val="18"/>
      </w:rPr>
    </w:lvl>
    <w:lvl w:ilvl="1">
      <w:start w:val="0"/>
      <w:numFmt w:val="bullet"/>
      <w:lvlText w:val="•"/>
      <w:lvlJc w:val="left"/>
      <w:pPr>
        <w:ind w:left="3561" w:hanging="420"/>
      </w:pPr>
      <w:rPr>
        <w:rFonts w:hint="default"/>
      </w:rPr>
    </w:lvl>
    <w:lvl w:ilvl="2">
      <w:start w:val="0"/>
      <w:numFmt w:val="bullet"/>
      <w:lvlText w:val="•"/>
      <w:lvlJc w:val="left"/>
      <w:pPr>
        <w:ind w:left="4282" w:hanging="420"/>
      </w:pPr>
      <w:rPr>
        <w:rFonts w:hint="default"/>
      </w:rPr>
    </w:lvl>
    <w:lvl w:ilvl="3">
      <w:start w:val="0"/>
      <w:numFmt w:val="bullet"/>
      <w:lvlText w:val="•"/>
      <w:lvlJc w:val="left"/>
      <w:pPr>
        <w:ind w:left="5004" w:hanging="420"/>
      </w:pPr>
      <w:rPr>
        <w:rFonts w:hint="default"/>
      </w:rPr>
    </w:lvl>
    <w:lvl w:ilvl="4">
      <w:start w:val="0"/>
      <w:numFmt w:val="bullet"/>
      <w:lvlText w:val="•"/>
      <w:lvlJc w:val="left"/>
      <w:pPr>
        <w:ind w:left="5725" w:hanging="420"/>
      </w:pPr>
      <w:rPr>
        <w:rFonts w:hint="default"/>
      </w:rPr>
    </w:lvl>
    <w:lvl w:ilvl="5">
      <w:start w:val="0"/>
      <w:numFmt w:val="bullet"/>
      <w:lvlText w:val="•"/>
      <w:lvlJc w:val="left"/>
      <w:pPr>
        <w:ind w:left="6447" w:hanging="420"/>
      </w:pPr>
      <w:rPr>
        <w:rFonts w:hint="default"/>
      </w:rPr>
    </w:lvl>
    <w:lvl w:ilvl="6">
      <w:start w:val="0"/>
      <w:numFmt w:val="bullet"/>
      <w:lvlText w:val="•"/>
      <w:lvlJc w:val="left"/>
      <w:pPr>
        <w:ind w:left="7168" w:hanging="420"/>
      </w:pPr>
      <w:rPr>
        <w:rFonts w:hint="default"/>
      </w:rPr>
    </w:lvl>
    <w:lvl w:ilvl="7">
      <w:start w:val="0"/>
      <w:numFmt w:val="bullet"/>
      <w:lvlText w:val="•"/>
      <w:lvlJc w:val="left"/>
      <w:pPr>
        <w:ind w:left="7889" w:hanging="420"/>
      </w:pPr>
      <w:rPr>
        <w:rFonts w:hint="default"/>
      </w:rPr>
    </w:lvl>
    <w:lvl w:ilvl="8">
      <w:start w:val="0"/>
      <w:numFmt w:val="bullet"/>
      <w:lvlText w:val="•"/>
      <w:lvlJc w:val="left"/>
      <w:pPr>
        <w:ind w:left="8611" w:hanging="420"/>
      </w:pPr>
      <w:rPr>
        <w:rFonts w:hint="default"/>
      </w:rPr>
    </w:lvl>
  </w:abstractNum>
  <w:abstractNum w:abstractNumId="3">
    <w:multiLevelType w:val="hybridMultilevel"/>
    <w:lvl w:ilvl="0">
      <w:start w:val="3"/>
      <w:numFmt w:val="decimal"/>
      <w:lvlText w:val="%1"/>
      <w:lvlJc w:val="left"/>
      <w:pPr>
        <w:ind w:left="712" w:hanging="683"/>
        <w:jc w:val="left"/>
      </w:pPr>
      <w:rPr>
        <w:rFonts w:hint="default"/>
      </w:rPr>
    </w:lvl>
    <w:lvl w:ilvl="1">
      <w:start w:val="3"/>
      <w:numFmt w:val="decimal"/>
      <w:lvlText w:val="%1.%2"/>
      <w:lvlJc w:val="left"/>
      <w:pPr>
        <w:ind w:left="712" w:hanging="683"/>
        <w:jc w:val="left"/>
      </w:pPr>
      <w:rPr>
        <w:rFonts w:hint="default" w:ascii="宋体" w:hAnsi="宋体" w:eastAsia="宋体" w:cs="宋体"/>
        <w:b/>
        <w:bCs/>
        <w:w w:val="99"/>
        <w:sz w:val="21"/>
        <w:szCs w:val="21"/>
      </w:rPr>
    </w:lvl>
    <w:lvl w:ilvl="2">
      <w:start w:val="1"/>
      <w:numFmt w:val="decimal"/>
      <w:lvlText w:val="(%3)"/>
      <w:lvlJc w:val="left"/>
      <w:pPr>
        <w:ind w:left="2834" w:hanging="420"/>
        <w:jc w:val="left"/>
      </w:pPr>
      <w:rPr>
        <w:rFonts w:hint="default" w:ascii="宋体" w:hAnsi="宋体" w:eastAsia="宋体" w:cs="宋体"/>
        <w:spacing w:val="-31"/>
        <w:w w:val="100"/>
        <w:sz w:val="18"/>
        <w:szCs w:val="18"/>
      </w:rPr>
    </w:lvl>
    <w:lvl w:ilvl="3">
      <w:start w:val="0"/>
      <w:numFmt w:val="bullet"/>
      <w:lvlText w:val="•"/>
      <w:lvlJc w:val="left"/>
      <w:pPr>
        <w:ind w:left="4443" w:hanging="420"/>
      </w:pPr>
      <w:rPr>
        <w:rFonts w:hint="default"/>
      </w:rPr>
    </w:lvl>
    <w:lvl w:ilvl="4">
      <w:start w:val="0"/>
      <w:numFmt w:val="bullet"/>
      <w:lvlText w:val="•"/>
      <w:lvlJc w:val="left"/>
      <w:pPr>
        <w:ind w:left="5244" w:hanging="420"/>
      </w:pPr>
      <w:rPr>
        <w:rFonts w:hint="default"/>
      </w:rPr>
    </w:lvl>
    <w:lvl w:ilvl="5">
      <w:start w:val="0"/>
      <w:numFmt w:val="bullet"/>
      <w:lvlText w:val="•"/>
      <w:lvlJc w:val="left"/>
      <w:pPr>
        <w:ind w:left="6046" w:hanging="420"/>
      </w:pPr>
      <w:rPr>
        <w:rFonts w:hint="default"/>
      </w:rPr>
    </w:lvl>
    <w:lvl w:ilvl="6">
      <w:start w:val="0"/>
      <w:numFmt w:val="bullet"/>
      <w:lvlText w:val="•"/>
      <w:lvlJc w:val="left"/>
      <w:pPr>
        <w:ind w:left="6847" w:hanging="420"/>
      </w:pPr>
      <w:rPr>
        <w:rFonts w:hint="default"/>
      </w:rPr>
    </w:lvl>
    <w:lvl w:ilvl="7">
      <w:start w:val="0"/>
      <w:numFmt w:val="bullet"/>
      <w:lvlText w:val="•"/>
      <w:lvlJc w:val="left"/>
      <w:pPr>
        <w:ind w:left="7649" w:hanging="420"/>
      </w:pPr>
      <w:rPr>
        <w:rFonts w:hint="default"/>
      </w:rPr>
    </w:lvl>
    <w:lvl w:ilvl="8">
      <w:start w:val="0"/>
      <w:numFmt w:val="bullet"/>
      <w:lvlText w:val="•"/>
      <w:lvlJc w:val="left"/>
      <w:pPr>
        <w:ind w:left="8450" w:hanging="420"/>
      </w:pPr>
      <w:rPr>
        <w:rFonts w:hint="default"/>
      </w:rPr>
    </w:lvl>
  </w:abstractNum>
  <w:abstractNum w:abstractNumId="1">
    <w:multiLevelType w:val="hybridMultilevel"/>
    <w:lvl w:ilvl="0">
      <w:start w:val="1"/>
      <w:numFmt w:val="decimal"/>
      <w:lvlText w:val="%1"/>
      <w:lvlJc w:val="left"/>
      <w:pPr>
        <w:ind w:left="680" w:hanging="421"/>
        <w:jc w:val="left"/>
      </w:pPr>
      <w:rPr>
        <w:rFonts w:hint="default"/>
      </w:rPr>
    </w:lvl>
    <w:lvl w:ilvl="1">
      <w:start w:val="2"/>
      <w:numFmt w:val="decimal"/>
      <w:lvlText w:val="%1.%2"/>
      <w:lvlJc w:val="left"/>
      <w:pPr>
        <w:ind w:left="680" w:hanging="421"/>
        <w:jc w:val="left"/>
      </w:pPr>
      <w:rPr>
        <w:rFonts w:hint="default" w:ascii="宋体" w:hAnsi="宋体" w:eastAsia="宋体" w:cs="宋体"/>
        <w:spacing w:val="-2"/>
        <w:w w:val="100"/>
        <w:sz w:val="21"/>
        <w:szCs w:val="21"/>
      </w:rPr>
    </w:lvl>
    <w:lvl w:ilvl="2">
      <w:start w:val="0"/>
      <w:numFmt w:val="bullet"/>
      <w:lvlText w:val="•"/>
      <w:lvlJc w:val="left"/>
      <w:pPr>
        <w:ind w:left="1056" w:hanging="421"/>
      </w:pPr>
      <w:rPr>
        <w:rFonts w:hint="default"/>
      </w:rPr>
    </w:lvl>
    <w:lvl w:ilvl="3">
      <w:start w:val="0"/>
      <w:numFmt w:val="bullet"/>
      <w:lvlText w:val="•"/>
      <w:lvlJc w:val="left"/>
      <w:pPr>
        <w:ind w:left="1244" w:hanging="421"/>
      </w:pPr>
      <w:rPr>
        <w:rFonts w:hint="default"/>
      </w:rPr>
    </w:lvl>
    <w:lvl w:ilvl="4">
      <w:start w:val="0"/>
      <w:numFmt w:val="bullet"/>
      <w:lvlText w:val="•"/>
      <w:lvlJc w:val="left"/>
      <w:pPr>
        <w:ind w:left="1432" w:hanging="421"/>
      </w:pPr>
      <w:rPr>
        <w:rFonts w:hint="default"/>
      </w:rPr>
    </w:lvl>
    <w:lvl w:ilvl="5">
      <w:start w:val="0"/>
      <w:numFmt w:val="bullet"/>
      <w:lvlText w:val="•"/>
      <w:lvlJc w:val="left"/>
      <w:pPr>
        <w:ind w:left="1620" w:hanging="421"/>
      </w:pPr>
      <w:rPr>
        <w:rFonts w:hint="default"/>
      </w:rPr>
    </w:lvl>
    <w:lvl w:ilvl="6">
      <w:start w:val="0"/>
      <w:numFmt w:val="bullet"/>
      <w:lvlText w:val="•"/>
      <w:lvlJc w:val="left"/>
      <w:pPr>
        <w:ind w:left="1808" w:hanging="421"/>
      </w:pPr>
      <w:rPr>
        <w:rFonts w:hint="default"/>
      </w:rPr>
    </w:lvl>
    <w:lvl w:ilvl="7">
      <w:start w:val="0"/>
      <w:numFmt w:val="bullet"/>
      <w:lvlText w:val="•"/>
      <w:lvlJc w:val="left"/>
      <w:pPr>
        <w:ind w:left="1996" w:hanging="421"/>
      </w:pPr>
      <w:rPr>
        <w:rFonts w:hint="default"/>
      </w:rPr>
    </w:lvl>
    <w:lvl w:ilvl="8">
      <w:start w:val="0"/>
      <w:numFmt w:val="bullet"/>
      <w:lvlText w:val="•"/>
      <w:lvlJc w:val="left"/>
      <w:pPr>
        <w:ind w:left="2184" w:hanging="421"/>
      </w:pPr>
      <w:rPr>
        <w:rFonts w:hint="default"/>
      </w:rPr>
    </w:lvl>
  </w:abstractNum>
  <w:abstractNum w:abstractNumId="2">
    <w:multiLevelType w:val="hybridMultilevel"/>
    <w:lvl w:ilvl="0">
      <w:start w:val="7"/>
      <w:numFmt w:val="decimal"/>
      <w:lvlText w:val="%1"/>
      <w:lvlJc w:val="left"/>
      <w:pPr>
        <w:ind w:left="2614" w:hanging="421"/>
        <w:jc w:val="left"/>
      </w:pPr>
      <w:rPr>
        <w:rFonts w:hint="default"/>
      </w:rPr>
    </w:lvl>
    <w:lvl w:ilvl="1">
      <w:start w:val="5"/>
      <w:numFmt w:val="decimal"/>
      <w:lvlText w:val="%1.%2"/>
      <w:lvlJc w:val="left"/>
      <w:pPr>
        <w:ind w:left="2614" w:hanging="421"/>
        <w:jc w:val="right"/>
      </w:pPr>
      <w:rPr>
        <w:rFonts w:hint="default"/>
        <w:spacing w:val="-2"/>
        <w:w w:val="100"/>
      </w:rPr>
    </w:lvl>
    <w:lvl w:ilvl="2">
      <w:start w:val="0"/>
      <w:numFmt w:val="bullet"/>
      <w:lvlText w:val="•"/>
      <w:lvlJc w:val="left"/>
      <w:pPr>
        <w:ind w:left="2821" w:hanging="421"/>
      </w:pPr>
      <w:rPr>
        <w:rFonts w:hint="default"/>
      </w:rPr>
    </w:lvl>
    <w:lvl w:ilvl="3">
      <w:start w:val="0"/>
      <w:numFmt w:val="bullet"/>
      <w:lvlText w:val="•"/>
      <w:lvlJc w:val="left"/>
      <w:pPr>
        <w:ind w:left="2922" w:hanging="421"/>
      </w:pPr>
      <w:rPr>
        <w:rFonts w:hint="default"/>
      </w:rPr>
    </w:lvl>
    <w:lvl w:ilvl="4">
      <w:start w:val="0"/>
      <w:numFmt w:val="bullet"/>
      <w:lvlText w:val="•"/>
      <w:lvlJc w:val="left"/>
      <w:pPr>
        <w:ind w:left="3023" w:hanging="421"/>
      </w:pPr>
      <w:rPr>
        <w:rFonts w:hint="default"/>
      </w:rPr>
    </w:lvl>
    <w:lvl w:ilvl="5">
      <w:start w:val="0"/>
      <w:numFmt w:val="bullet"/>
      <w:lvlText w:val="•"/>
      <w:lvlJc w:val="left"/>
      <w:pPr>
        <w:ind w:left="3124" w:hanging="421"/>
      </w:pPr>
      <w:rPr>
        <w:rFonts w:hint="default"/>
      </w:rPr>
    </w:lvl>
    <w:lvl w:ilvl="6">
      <w:start w:val="0"/>
      <w:numFmt w:val="bullet"/>
      <w:lvlText w:val="•"/>
      <w:lvlJc w:val="left"/>
      <w:pPr>
        <w:ind w:left="3225" w:hanging="421"/>
      </w:pPr>
      <w:rPr>
        <w:rFonts w:hint="default"/>
      </w:rPr>
    </w:lvl>
    <w:lvl w:ilvl="7">
      <w:start w:val="0"/>
      <w:numFmt w:val="bullet"/>
      <w:lvlText w:val="•"/>
      <w:lvlJc w:val="left"/>
      <w:pPr>
        <w:ind w:left="3326" w:hanging="421"/>
      </w:pPr>
      <w:rPr>
        <w:rFonts w:hint="default"/>
      </w:rPr>
    </w:lvl>
    <w:lvl w:ilvl="8">
      <w:start w:val="0"/>
      <w:numFmt w:val="bullet"/>
      <w:lvlText w:val="•"/>
      <w:lvlJc w:val="left"/>
      <w:pPr>
        <w:ind w:left="3426"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19">
    <w:abstractNumId w:val="18"/>
  </w:num>
  <w:num w:numId="20">
    <w:abstractNumId w:val="19"/>
  </w:num>
  <w:num w:numId="18">
    <w:abstractNumId w:val="17"/>
  </w:num>
  <w:num w:numId="17">
    <w:abstractNumId w:val="16"/>
  </w:num>
  <w:num w:numId="15">
    <w:abstractNumId w:val="14"/>
  </w:num>
  <w:num w:numId="14">
    <w:abstractNumId w:val="13"/>
  </w:num>
  <w:num w:numId="16">
    <w:abstractNumId w:val="15"/>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36"/>
      <w:ind w:left="1783" w:hanging="440"/>
      <w:outlineLvl w:val="1"/>
    </w:pPr>
    <w:rPr>
      <w:rFonts w:ascii="宋体" w:hAnsi="宋体" w:eastAsia="宋体" w:cs="宋体"/>
      <w:b/>
      <w:bCs/>
      <w:sz w:val="21"/>
      <w:szCs w:val="21"/>
    </w:rPr>
  </w:style>
  <w:style w:styleId="Heading2" w:type="paragraph">
    <w:name w:val="Heading 2"/>
    <w:basedOn w:val="Normal"/>
    <w:uiPriority w:val="1"/>
    <w:qFormat/>
    <w:pPr>
      <w:spacing w:before="44"/>
      <w:ind w:left="525" w:hanging="420"/>
      <w:outlineLvl w:val="2"/>
    </w:pPr>
    <w:rPr>
      <w:rFonts w:ascii="宋体" w:hAnsi="宋体" w:eastAsia="宋体" w:cs="宋体"/>
      <w:b/>
      <w:bCs/>
      <w:sz w:val="18"/>
      <w:szCs w:val="18"/>
    </w:rPr>
  </w:style>
  <w:style w:styleId="ListParagraph" w:type="paragraph">
    <w:name w:val="List Paragraph"/>
    <w:basedOn w:val="Normal"/>
    <w:uiPriority w:val="1"/>
    <w:qFormat/>
    <w:pPr>
      <w:spacing w:before="76"/>
      <w:ind w:left="2614"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钱慧</dc:creator>
  <dc:title>ULIC</dc:title>
  <dcterms:created xsi:type="dcterms:W3CDTF">2018-10-19T22:33:08Z</dcterms:created>
  <dcterms:modified xsi:type="dcterms:W3CDTF">2018-10-19T22:33:08Z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2009-09-19T00:00:00Z</vt:filetime>
  </property>
  <property fmtid="{D5CDD505-2E9C-101B-9397-08002B2CF9AE}" pid="3" name="Creator">
    <vt:lpwstr>Acrobat PDFMaker 7.0 for Word</vt:lpwstr>
  </property>
  <property fmtid="{D5CDD505-2E9C-101B-9397-08002B2CF9AE}" pid="4" name="LastSaved">
    <vt:filetime>2018-10-19T00:00:00Z</vt:filetime>
  </property>
</Properties>
</file>