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5"/>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08" w:firstLine="0"/>
        <w:jc w:val="right"/>
        <w:rPr>
          <w:sz w:val="15"/>
        </w:rPr>
      </w:pPr>
      <w:r>
        <w:rPr>
          <w:sz w:val="15"/>
        </w:rPr>
        <w:t>新华保险[2016]疾病保险 017 号</w:t>
      </w:r>
    </w:p>
    <w:p>
      <w:pPr>
        <w:spacing w:before="36"/>
        <w:ind w:left="1719" w:right="2801" w:firstLine="0"/>
        <w:jc w:val="center"/>
        <w:rPr>
          <w:rFonts w:ascii="Microsoft JhengHei Light" w:eastAsia="Microsoft JhengHei Light" w:hint="eastAsia"/>
          <w:b w:val="0"/>
          <w:sz w:val="32"/>
        </w:rPr>
      </w:pPr>
      <w:r>
        <w:rPr/>
        <w:drawing>
          <wp:anchor distT="0" distB="0" distL="0" distR="0" allowOverlap="1" layoutInCell="1" locked="0" behindDoc="1" simplePos="0" relativeHeight="268353023">
            <wp:simplePos x="0" y="0"/>
            <wp:positionH relativeFrom="page">
              <wp:posOffset>6547104</wp:posOffset>
            </wp:positionH>
            <wp:positionV relativeFrom="paragraph">
              <wp:posOffset>32262</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rFonts w:ascii="Microsoft JhengHei Light" w:eastAsia="Microsoft JhengHei Light" w:hint="eastAsia"/>
          <w:b w:val="0"/>
          <w:sz w:val="32"/>
        </w:rPr>
        <w:t>阅  读  指 引</w:t>
      </w:r>
    </w:p>
    <w:p>
      <w:pPr>
        <w:spacing w:before="43"/>
        <w:ind w:left="1724" w:right="2801" w:firstLine="0"/>
        <w:jc w:val="center"/>
        <w:rPr>
          <w:rFonts w:ascii="Microsoft JhengHei" w:eastAsia="Microsoft JhengHei" w:hint="eastAsia"/>
          <w:b/>
          <w:sz w:val="21"/>
        </w:rPr>
      </w:pP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49"/>
          <w:sz w:val="21"/>
        </w:rPr>
        <w:t>阅</w:t>
      </w:r>
      <w:r>
        <w:rPr>
          <w:spacing w:val="-63"/>
          <w:position w:val="-7"/>
          <w:sz w:val="21"/>
        </w:rPr>
        <w:t>．</w:t>
      </w:r>
      <w:r>
        <w:rPr>
          <w:rFonts w:ascii="Microsoft JhengHei" w:eastAsia="Microsoft JhengHei" w:hint="eastAsia"/>
          <w:b/>
          <w:spacing w:val="-149"/>
          <w:sz w:val="21"/>
        </w:rPr>
        <w:t>读</w:t>
      </w:r>
      <w:r>
        <w:rPr>
          <w:spacing w:val="-63"/>
          <w:position w:val="-7"/>
          <w:sz w:val="21"/>
        </w:rPr>
        <w:t>．</w:t>
      </w:r>
      <w:r>
        <w:rPr>
          <w:rFonts w:ascii="Microsoft JhengHei" w:eastAsia="Microsoft JhengHei" w:hint="eastAsia"/>
          <w:b/>
          <w:spacing w:val="-149"/>
          <w:sz w:val="21"/>
        </w:rPr>
        <w:t>指</w:t>
      </w:r>
      <w:r>
        <w:rPr>
          <w:spacing w:val="-63"/>
          <w:position w:val="-7"/>
          <w:sz w:val="21"/>
        </w:rPr>
        <w:t>．</w:t>
      </w:r>
      <w:r>
        <w:rPr>
          <w:rFonts w:ascii="Microsoft JhengHei" w:eastAsia="Microsoft JhengHei" w:hint="eastAsia"/>
          <w:b/>
          <w:spacing w:val="-149"/>
          <w:sz w:val="21"/>
        </w:rPr>
        <w:t>引</w:t>
      </w:r>
      <w:r>
        <w:rPr>
          <w:spacing w:val="-63"/>
          <w:position w:val="-7"/>
          <w:sz w:val="21"/>
        </w:rPr>
        <w:t>．</w:t>
      </w:r>
      <w:r>
        <w:rPr>
          <w:rFonts w:ascii="Microsoft JhengHei" w:eastAsia="Microsoft JhengHei" w:hint="eastAsia"/>
          <w:b/>
          <w:spacing w:val="-149"/>
          <w:sz w:val="21"/>
        </w:rPr>
        <w:t>有</w:t>
      </w:r>
      <w:r>
        <w:rPr>
          <w:spacing w:val="-63"/>
          <w:position w:val="-7"/>
          <w:sz w:val="21"/>
        </w:rPr>
        <w:t>．</w:t>
      </w:r>
      <w:r>
        <w:rPr>
          <w:rFonts w:ascii="Microsoft JhengHei" w:eastAsia="Microsoft JhengHei" w:hint="eastAsia"/>
          <w:b/>
          <w:spacing w:val="-149"/>
          <w:sz w:val="21"/>
        </w:rPr>
        <w:t>助</w:t>
      </w:r>
      <w:r>
        <w:rPr>
          <w:spacing w:val="-63"/>
          <w:position w:val="-7"/>
          <w:sz w:val="21"/>
        </w:rPr>
        <w:t>．</w:t>
      </w:r>
      <w:r>
        <w:rPr>
          <w:rFonts w:ascii="Microsoft JhengHei" w:eastAsia="Microsoft JhengHei" w:hint="eastAsia"/>
          <w:b/>
          <w:spacing w:val="-149"/>
          <w:sz w:val="21"/>
        </w:rPr>
        <w:t>于</w:t>
      </w:r>
      <w:r>
        <w:rPr>
          <w:spacing w:val="-63"/>
          <w:position w:val="-7"/>
          <w:sz w:val="21"/>
        </w:rPr>
        <w:t>．</w:t>
      </w:r>
      <w:r>
        <w:rPr>
          <w:rFonts w:ascii="Microsoft JhengHei" w:eastAsia="Microsoft JhengHei" w:hint="eastAsia"/>
          <w:b/>
          <w:spacing w:val="-149"/>
          <w:sz w:val="21"/>
        </w:rPr>
        <w:t>您</w:t>
      </w:r>
      <w:r>
        <w:rPr>
          <w:spacing w:val="-63"/>
          <w:position w:val="-7"/>
          <w:sz w:val="21"/>
        </w:rPr>
        <w:t>．</w:t>
      </w:r>
      <w:r>
        <w:rPr>
          <w:rFonts w:ascii="Microsoft JhengHei" w:eastAsia="Microsoft JhengHei" w:hint="eastAsia"/>
          <w:b/>
          <w:spacing w:val="-149"/>
          <w:sz w:val="21"/>
        </w:rPr>
        <w:t>理</w:t>
      </w:r>
      <w:r>
        <w:rPr>
          <w:spacing w:val="-63"/>
          <w:position w:val="-7"/>
          <w:sz w:val="21"/>
        </w:rPr>
        <w:t>．</w:t>
      </w:r>
      <w:r>
        <w:rPr>
          <w:rFonts w:ascii="Microsoft JhengHei" w:eastAsia="Microsoft JhengHei" w:hint="eastAsia"/>
          <w:b/>
          <w:spacing w:val="-149"/>
          <w:sz w:val="21"/>
        </w:rPr>
        <w:t>解</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32"/>
          <w:position w:val="-7"/>
          <w:sz w:val="21"/>
        </w:rPr>
        <w:t>．</w:t>
      </w:r>
      <w:r>
        <w:rPr>
          <w:rFonts w:ascii="Microsoft JhengHei" w:eastAsia="Microsoft JhengHei" w:hint="eastAsia"/>
          <w:b/>
          <w:spacing w:val="-91"/>
          <w:sz w:val="21"/>
        </w:rPr>
        <w:t>，对</w:t>
      </w:r>
      <w:r>
        <w:rPr>
          <w:spacing w:val="-63"/>
          <w:position w:val="-7"/>
          <w:sz w:val="21"/>
        </w:rPr>
        <w:t>．</w:t>
      </w:r>
      <w:r>
        <w:rPr>
          <w:rFonts w:ascii="Microsoft JhengHei" w:eastAsia="Microsoft JhengHei" w:hint="eastAsia"/>
          <w:b/>
          <w:spacing w:val="-149"/>
          <w:sz w:val="21"/>
        </w:rPr>
        <w:t>本</w:t>
      </w:r>
      <w:r>
        <w:rPr>
          <w:spacing w:val="-63"/>
          <w:position w:val="-7"/>
          <w:sz w:val="21"/>
        </w:rPr>
        <w:t>．</w:t>
      </w:r>
      <w:r>
        <w:rPr>
          <w:rFonts w:ascii="Microsoft JhengHei" w:eastAsia="Microsoft JhengHei" w:hint="eastAsia"/>
          <w:b/>
          <w:spacing w:val="-154"/>
          <w:sz w:val="21"/>
        </w:rPr>
        <w:t>合</w:t>
      </w:r>
      <w:r>
        <w:rPr>
          <w:spacing w:val="-63"/>
          <w:position w:val="-7"/>
          <w:sz w:val="21"/>
        </w:rPr>
        <w:t>．</w:t>
      </w:r>
      <w:r>
        <w:rPr>
          <w:rFonts w:ascii="Microsoft JhengHei" w:eastAsia="Microsoft JhengHei" w:hint="eastAsia"/>
          <w:b/>
          <w:spacing w:val="-149"/>
          <w:sz w:val="21"/>
        </w:rPr>
        <w:t>同</w:t>
      </w:r>
      <w:r>
        <w:rPr>
          <w:spacing w:val="-63"/>
          <w:position w:val="-7"/>
          <w:sz w:val="21"/>
        </w:rPr>
        <w:t>．</w:t>
      </w:r>
      <w:r>
        <w:rPr>
          <w:rFonts w:ascii="Microsoft JhengHei" w:eastAsia="Microsoft JhengHei" w:hint="eastAsia"/>
          <w:b/>
          <w:spacing w:val="-149"/>
          <w:sz w:val="21"/>
        </w:rPr>
        <w:t>内</w:t>
      </w:r>
      <w:r>
        <w:rPr>
          <w:spacing w:val="-63"/>
          <w:position w:val="-7"/>
          <w:sz w:val="21"/>
        </w:rPr>
        <w:t>．</w:t>
      </w:r>
      <w:r>
        <w:rPr>
          <w:rFonts w:ascii="Microsoft JhengHei" w:eastAsia="Microsoft JhengHei" w:hint="eastAsia"/>
          <w:b/>
          <w:spacing w:val="-149"/>
          <w:sz w:val="21"/>
        </w:rPr>
        <w:t>容</w:t>
      </w:r>
      <w:r>
        <w:rPr>
          <w:spacing w:val="-63"/>
          <w:position w:val="-7"/>
          <w:sz w:val="21"/>
        </w:rPr>
        <w:t>．</w:t>
      </w:r>
      <w:r>
        <w:rPr>
          <w:rFonts w:ascii="Microsoft JhengHei" w:eastAsia="Microsoft JhengHei" w:hint="eastAsia"/>
          <w:b/>
          <w:spacing w:val="-149"/>
          <w:sz w:val="21"/>
        </w:rPr>
        <w:t>的</w:t>
      </w:r>
      <w:r>
        <w:rPr>
          <w:spacing w:val="-63"/>
          <w:position w:val="-7"/>
          <w:sz w:val="21"/>
        </w:rPr>
        <w:t>．</w:t>
      </w:r>
      <w:r>
        <w:rPr>
          <w:rFonts w:ascii="Microsoft JhengHei" w:eastAsia="Microsoft JhengHei" w:hint="eastAsia"/>
          <w:b/>
          <w:spacing w:val="-149"/>
          <w:sz w:val="21"/>
        </w:rPr>
        <w:t>解</w:t>
      </w:r>
      <w:r>
        <w:rPr>
          <w:spacing w:val="-63"/>
          <w:position w:val="-7"/>
          <w:sz w:val="21"/>
        </w:rPr>
        <w:t>．</w:t>
      </w:r>
      <w:r>
        <w:rPr>
          <w:rFonts w:ascii="Microsoft JhengHei" w:eastAsia="Microsoft JhengHei" w:hint="eastAsia"/>
          <w:b/>
          <w:spacing w:val="-154"/>
          <w:sz w:val="21"/>
        </w:rPr>
        <w:t>释</w:t>
      </w:r>
      <w:r>
        <w:rPr>
          <w:spacing w:val="-63"/>
          <w:position w:val="-7"/>
          <w:sz w:val="21"/>
        </w:rPr>
        <w:t>．</w:t>
      </w:r>
      <w:r>
        <w:rPr>
          <w:rFonts w:ascii="Microsoft JhengHei" w:eastAsia="Microsoft JhengHei" w:hint="eastAsia"/>
          <w:b/>
          <w:spacing w:val="-149"/>
          <w:sz w:val="21"/>
        </w:rPr>
        <w:t>以</w:t>
      </w:r>
      <w:r>
        <w:rPr>
          <w:spacing w:val="-63"/>
          <w:position w:val="-7"/>
          <w:sz w:val="21"/>
        </w:rPr>
        <w:t>．</w:t>
      </w:r>
      <w:r>
        <w:rPr>
          <w:rFonts w:ascii="Microsoft JhengHei" w:eastAsia="Microsoft JhengHei" w:hint="eastAsia"/>
          <w:b/>
          <w:spacing w:val="-149"/>
          <w:sz w:val="21"/>
        </w:rPr>
        <w:t>条</w:t>
      </w:r>
      <w:r>
        <w:rPr>
          <w:spacing w:val="-63"/>
          <w:position w:val="-7"/>
          <w:sz w:val="21"/>
        </w:rPr>
        <w:t>．</w:t>
      </w:r>
      <w:r>
        <w:rPr>
          <w:rFonts w:ascii="Microsoft JhengHei" w:eastAsia="Microsoft JhengHei" w:hint="eastAsia"/>
          <w:b/>
          <w:spacing w:val="-149"/>
          <w:sz w:val="21"/>
        </w:rPr>
        <w:t>款</w:t>
      </w:r>
      <w:r>
        <w:rPr>
          <w:spacing w:val="-63"/>
          <w:position w:val="-7"/>
          <w:sz w:val="21"/>
        </w:rPr>
        <w:t>．</w:t>
      </w:r>
      <w:r>
        <w:rPr>
          <w:rFonts w:ascii="Microsoft JhengHei" w:eastAsia="Microsoft JhengHei" w:hint="eastAsia"/>
          <w:b/>
          <w:spacing w:val="-149"/>
          <w:sz w:val="21"/>
        </w:rPr>
        <w:t>为</w:t>
      </w:r>
      <w:r>
        <w:rPr>
          <w:spacing w:val="-63"/>
          <w:position w:val="-7"/>
          <w:sz w:val="21"/>
        </w:rPr>
        <w:t>．</w:t>
      </w:r>
      <w:r>
        <w:rPr>
          <w:rFonts w:ascii="Microsoft JhengHei" w:eastAsia="Microsoft JhengHei" w:hint="eastAsia"/>
          <w:b/>
          <w:spacing w:val="-149"/>
          <w:sz w:val="21"/>
        </w:rPr>
        <w:t>准</w:t>
      </w:r>
      <w:r>
        <w:rPr>
          <w:spacing w:val="-63"/>
          <w:position w:val="-7"/>
          <w:sz w:val="21"/>
        </w:rPr>
        <w:t>．</w:t>
      </w:r>
      <w:r>
        <w:rPr>
          <w:rFonts w:ascii="Microsoft JhengHei" w:eastAsia="Microsoft JhengHei" w:hint="eastAsia"/>
          <w:b/>
          <w:sz w:val="21"/>
        </w:rPr>
        <w:t>。</w:t>
      </w:r>
    </w:p>
    <w:p>
      <w:pPr>
        <w:spacing w:line="198" w:lineRule="exact" w:before="0"/>
        <w:ind w:left="652" w:right="0" w:firstLine="0"/>
        <w:jc w:val="left"/>
        <w:rPr>
          <w:sz w:val="21"/>
        </w:rPr>
      </w:pPr>
      <w:r>
        <w:rPr>
          <w:spacing w:val="-5"/>
          <w:w w:val="95"/>
          <w:sz w:val="21"/>
        </w:rPr>
        <w:t>在本条款中，“您”指投保人，“我们”、“本公司”均指</w:t>
      </w:r>
      <w:r>
        <w:rPr>
          <w:rFonts w:ascii="Microsoft JhengHei" w:hAnsi="Microsoft JhengHei" w:eastAsia="Microsoft JhengHei" w:hint="eastAsia"/>
          <w:b/>
          <w:w w:val="95"/>
          <w:sz w:val="21"/>
        </w:rPr>
        <w:t>新华人寿保险股份有限公司</w:t>
      </w:r>
      <w:r>
        <w:rPr>
          <w:spacing w:val="0"/>
          <w:w w:val="95"/>
          <w:sz w:val="21"/>
        </w:rPr>
        <w:t>。  请扫描以查询验证条款</w:t>
      </w:r>
      <w:r>
        <w:rPr>
          <w:spacing w:val="0"/>
          <w:w w:val="95"/>
          <w:sz w:val="21"/>
          <w:vertAlign w:val="baseline"/>
        </w:rPr>
      </w:r>
    </w:p>
    <w:p>
      <w:pPr>
        <w:pStyle w:val="Heading2"/>
        <w:tabs>
          <w:tab w:pos="1252" w:val="left" w:leader="none"/>
        </w:tabs>
        <w:spacing w:line="728" w:lineRule="exact"/>
        <w:ind w:left="244"/>
      </w:pPr>
      <w:r>
        <w:rPr/>
        <w:drawing>
          <wp:anchor distT="0" distB="0" distL="0" distR="0" allowOverlap="1" layoutInCell="1" locked="0" behindDoc="1" simplePos="0" relativeHeight="268352999">
            <wp:simplePos x="0" y="0"/>
            <wp:positionH relativeFrom="page">
              <wp:posOffset>829055</wp:posOffset>
            </wp:positionH>
            <wp:positionV relativeFrom="paragraph">
              <wp:posOffset>97359</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Microsoft JhengHei Light" w:hAnsi="Microsoft JhengHei Light" w:eastAsia="Microsoft JhengHei Light" w:hint="eastAsia"/>
          <w:b w:val="0"/>
          <w:w w:val="115"/>
          <w:position w:val="-11"/>
          <w:sz w:val="52"/>
        </w:rPr>
        <w:t></w:t>
        <w:tab/>
      </w:r>
      <w:r>
        <w:rPr/>
        <w:t>您拥有的重要权益</w:t>
      </w:r>
    </w:p>
    <w:p>
      <w:pPr>
        <w:tabs>
          <w:tab w:pos="1655" w:val="left" w:leader="none"/>
        </w:tabs>
        <w:spacing w:line="287"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2"/>
          <w:w w:val="105"/>
          <w:sz w:val="21"/>
        </w:rPr>
        <w:t>被保险人享受本保险合同提供的保障…………………………………………第</w:t>
      </w:r>
      <w:r>
        <w:rPr>
          <w:rFonts w:ascii="Microsoft JhengHei" w:hAnsi="Microsoft JhengHei" w:eastAsia="Microsoft JhengHei" w:hint="eastAsia"/>
          <w:b/>
          <w:w w:val="105"/>
          <w:sz w:val="21"/>
        </w:rPr>
        <w:t>2.3条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您有减保的权利…………………………………………………………………第</w:t>
      </w:r>
      <w:r>
        <w:rPr>
          <w:rFonts w:ascii="Microsoft JhengHei" w:hAnsi="Microsoft JhengHei" w:eastAsia="Microsoft JhengHei" w:hint="eastAsia"/>
          <w:b/>
          <w:w w:val="110"/>
          <w:sz w:val="21"/>
        </w:rPr>
        <w:t>3.5条</w:t>
      </w:r>
    </w:p>
    <w:p>
      <w:pPr>
        <w:tabs>
          <w:tab w:pos="1655" w:val="left" w:leader="none"/>
        </w:tabs>
        <w:spacing w:line="228"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您有保单贷款的权利……………………………………………………………第</w:t>
      </w:r>
      <w:r>
        <w:rPr>
          <w:rFonts w:ascii="Microsoft JhengHei" w:hAnsi="Microsoft JhengHei" w:eastAsia="Microsoft JhengHei" w:hint="eastAsia"/>
          <w:b/>
          <w:w w:val="110"/>
          <w:sz w:val="21"/>
        </w:rPr>
        <w:t>3.6条</w:t>
      </w:r>
    </w:p>
    <w:p>
      <w:pPr>
        <w:tabs>
          <w:tab w:pos="1257" w:val="left" w:leader="none"/>
        </w:tabs>
        <w:spacing w:line="764"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z w:val="21"/>
        </w:rPr>
        <w:t>您应当特别注意的事项</w:t>
      </w:r>
    </w:p>
    <w:p>
      <w:pPr>
        <w:pStyle w:val="ListParagraph"/>
        <w:numPr>
          <w:ilvl w:val="0"/>
          <w:numId w:val="1"/>
        </w:numPr>
        <w:tabs>
          <w:tab w:pos="1655" w:val="left" w:leader="none"/>
          <w:tab w:pos="1656" w:val="left" w:leader="none"/>
        </w:tabs>
        <w:spacing w:line="309" w:lineRule="exact" w:before="0" w:after="0"/>
        <w:ind w:left="1627" w:right="0" w:hanging="408"/>
        <w:jc w:val="left"/>
        <w:rPr>
          <w:b/>
          <w:sz w:val="21"/>
        </w:rPr>
      </w:pPr>
      <w:r>
        <w:rPr>
          <w:b/>
          <w:spacing w:val="-2"/>
          <w:w w:val="105"/>
          <w:sz w:val="21"/>
        </w:rPr>
        <w:t>您解除合同会有一定的损失，请慎重决策……………………………………第</w:t>
      </w:r>
      <w:r>
        <w:rPr>
          <w:b/>
          <w:w w:val="105"/>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pacing w:val="-2"/>
          <w:sz w:val="21"/>
        </w:rPr>
        <w:t>本保险合同有责任免除条款，在某些情况下，本公司不承担保险责任……第</w:t>
      </w:r>
      <w:r>
        <w:rPr>
          <w:b/>
          <w:sz w:val="21"/>
        </w:rPr>
        <w:t>2.4条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您应当按时交纳保险费…………………………………………………………第</w:t>
      </w:r>
      <w:r>
        <w:rPr>
          <w:rFonts w:ascii="Microsoft JhengHei" w:hAnsi="Microsoft JhengHei" w:eastAsia="Microsoft JhengHei" w:hint="eastAsia"/>
          <w:b/>
          <w:w w:val="110"/>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pacing w:val="-2"/>
          <w:w w:val="105"/>
          <w:sz w:val="21"/>
        </w:rPr>
        <w:t>申请保险金给付时，应当提供的证明和资料…………………………………第</w:t>
      </w:r>
      <w:r>
        <w:rPr>
          <w:b/>
          <w:w w:val="105"/>
          <w:sz w:val="21"/>
        </w:rPr>
        <w:t>4.3条</w:t>
      </w:r>
    </w:p>
    <w:p>
      <w:pPr>
        <w:tabs>
          <w:tab w:pos="1655" w:val="left" w:leader="none"/>
        </w:tabs>
        <w:spacing w:line="312" w:lineRule="exact" w:before="0"/>
        <w:ind w:left="1219"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0"/>
          <w:sz w:val="21"/>
        </w:rPr>
        <w:t></w:t>
        <w:tab/>
      </w:r>
      <w:r>
        <w:rPr>
          <w:rFonts w:ascii="Microsoft JhengHei" w:hAnsi="Microsoft JhengHei" w:eastAsia="Microsoft JhengHei" w:hint="eastAsia"/>
          <w:b/>
          <w:spacing w:val="-1"/>
          <w:w w:val="110"/>
          <w:sz w:val="21"/>
        </w:rPr>
        <w:t>您有如实告知的义务……………………………………………………………第</w:t>
      </w:r>
      <w:r>
        <w:rPr>
          <w:rFonts w:ascii="Microsoft JhengHei" w:hAnsi="Microsoft JhengHei" w:eastAsia="Microsoft JhengHei" w:hint="eastAsia"/>
          <w:b/>
          <w:w w:val="110"/>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b/>
          <w:sz w:val="21"/>
        </w:rPr>
      </w:pPr>
      <w:r>
        <w:rPr>
          <w:b/>
          <w:sz w:val="21"/>
        </w:rPr>
        <w:t>我们对一些重要术语进行了解释，请您注意…………………………………第     6</w:t>
      </w:r>
      <w:r>
        <w:rPr>
          <w:b/>
          <w:spacing w:val="5"/>
          <w:sz w:val="21"/>
        </w:rPr>
        <w:t>     条</w:t>
      </w:r>
    </w:p>
    <w:p>
      <w:pPr>
        <w:pStyle w:val="ListParagraph"/>
        <w:numPr>
          <w:ilvl w:val="0"/>
          <w:numId w:val="1"/>
        </w:numPr>
        <w:tabs>
          <w:tab w:pos="1655" w:val="left" w:leader="none"/>
          <w:tab w:pos="1656" w:val="left" w:leader="none"/>
        </w:tabs>
        <w:spacing w:line="204" w:lineRule="auto" w:before="28" w:after="0"/>
        <w:ind w:left="1627" w:right="1543" w:hanging="408"/>
        <w:jc w:val="left"/>
        <w:rPr>
          <w:b/>
          <w:sz w:val="21"/>
        </w:rPr>
      </w:pPr>
      <w:r>
        <w:rPr>
          <w:b/>
          <w:spacing w:val="-2"/>
          <w:sz w:val="21"/>
        </w:rPr>
        <w:t>我们对可能影响被保险人享受本保险合同保障的重要内容进行了显著标识，请您仔细阅读正文加粗的部分。</w:t>
      </w:r>
    </w:p>
    <w:p>
      <w:pPr>
        <w:tabs>
          <w:tab w:pos="1262" w:val="left" w:leader="none"/>
        </w:tabs>
        <w:spacing w:line="419"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pacing w:val="-2"/>
          <w:sz w:val="21"/>
        </w:rPr>
        <w:t>条款是保险合同的重要内容，为充分保障您的权益，请您仔细阅读本条款。</w:t>
      </w:r>
    </w:p>
    <w:p>
      <w:pPr>
        <w:tabs>
          <w:tab w:pos="1262" w:val="left" w:leader="none"/>
        </w:tabs>
        <w:spacing w:line="618" w:lineRule="exact" w:before="0"/>
        <w:ind w:left="244" w:right="0" w:firstLine="0"/>
        <w:jc w:val="left"/>
        <w:rPr>
          <w:rFonts w:ascii="Microsoft JhengHei" w:hAnsi="Microsoft JhengHei" w:eastAsia="Microsoft JhengHei" w:hint="eastAsia"/>
          <w:b/>
          <w:sz w:val="21"/>
        </w:rPr>
      </w:pPr>
      <w:r>
        <w:rPr>
          <w:rFonts w:ascii="Microsoft JhengHei Light" w:hAnsi="Microsoft JhengHei Light" w:eastAsia="Microsoft JhengHei Light" w:hint="eastAsia"/>
          <w:b w:val="0"/>
          <w:w w:val="115"/>
          <w:position w:val="-11"/>
          <w:sz w:val="52"/>
        </w:rPr>
        <w:t></w:t>
        <w:tab/>
      </w:r>
      <w:r>
        <w:rPr>
          <w:rFonts w:ascii="Microsoft JhengHei" w:hAnsi="Microsoft JhengHei" w:eastAsia="Microsoft JhengHei" w:hint="eastAsia"/>
          <w:b/>
          <w:sz w:val="21"/>
        </w:rPr>
        <w:t>条款目录</w:t>
      </w:r>
    </w:p>
    <w:p>
      <w:pPr>
        <w:spacing w:after="0" w:line="618" w:lineRule="exact"/>
        <w:jc w:val="left"/>
        <w:rPr>
          <w:rFonts w:ascii="Microsoft JhengHei" w:hAnsi="Microsoft JhengHei" w:eastAsia="Microsoft JhengHei" w:hint="eastAsia"/>
          <w:sz w:val="21"/>
        </w:rPr>
        <w:sectPr>
          <w:headerReference w:type="default" r:id="rId5"/>
          <w:footerReference w:type="default" r:id="rId6"/>
          <w:type w:val="continuous"/>
          <w:pgSz w:w="11910" w:h="16840"/>
          <w:pgMar w:header="853" w:footer="998" w:top="1040" w:bottom="1180" w:left="1200" w:right="120"/>
        </w:sectPr>
      </w:pPr>
    </w:p>
    <w:p>
      <w:pPr>
        <w:pStyle w:val="Heading2"/>
        <w:spacing w:line="244" w:lineRule="exact"/>
        <w:ind w:left="547"/>
      </w:pPr>
      <w:r>
        <w:rPr/>
        <w:t>1.您与我们的合同</w:t>
      </w:r>
    </w:p>
    <w:p>
      <w:pPr>
        <w:pStyle w:val="BodyText"/>
        <w:tabs>
          <w:tab w:pos="1286" w:val="left" w:leader="none"/>
        </w:tabs>
        <w:spacing w:before="13"/>
        <w:ind w:left="758"/>
      </w:pPr>
      <w:r>
        <w:rPr/>
        <w:t>1.1</w:t>
        <w:tab/>
      </w:r>
      <w:r>
        <w:rPr>
          <w:spacing w:val="-2"/>
        </w:rPr>
        <w:t>合同构成</w:t>
      </w:r>
    </w:p>
    <w:p>
      <w:pPr>
        <w:pStyle w:val="BodyText"/>
        <w:tabs>
          <w:tab w:pos="1286" w:val="left" w:leader="none"/>
        </w:tabs>
        <w:spacing w:line="206" w:lineRule="exact" w:before="0"/>
        <w:ind w:left="758"/>
      </w:pPr>
      <w:r>
        <w:rPr/>
        <w:br w:type="column"/>
      </w:r>
      <w:r>
        <w:rPr/>
        <w:t>3.6</w:t>
        <w:tab/>
      </w:r>
      <w:r>
        <w:rPr>
          <w:spacing w:val="-2"/>
        </w:rPr>
        <w:t>保单贷款</w:t>
      </w:r>
    </w:p>
    <w:p>
      <w:pPr>
        <w:pStyle w:val="Heading2"/>
        <w:spacing w:line="351" w:lineRule="exact"/>
        <w:ind w:left="547"/>
      </w:pPr>
      <w:r>
        <w:rPr/>
        <w:t>4.如何申请领取保险金</w:t>
      </w:r>
    </w:p>
    <w:p>
      <w:pPr>
        <w:pStyle w:val="ListParagraph"/>
        <w:numPr>
          <w:ilvl w:val="1"/>
          <w:numId w:val="2"/>
        </w:numPr>
        <w:tabs>
          <w:tab w:pos="1075" w:val="left" w:leader="none"/>
          <w:tab w:pos="1076" w:val="left" w:leader="none"/>
        </w:tabs>
        <w:spacing w:line="211" w:lineRule="exact" w:before="0" w:after="0"/>
        <w:ind w:left="1075" w:right="0" w:hanging="528"/>
        <w:jc w:val="left"/>
        <w:rPr>
          <w:rFonts w:ascii="宋体" w:eastAsia="宋体" w:hint="eastAsia"/>
          <w:sz w:val="21"/>
        </w:rPr>
      </w:pPr>
      <w:r>
        <w:rPr>
          <w:rFonts w:ascii="宋体" w:eastAsia="宋体" w:hint="eastAsia"/>
          <w:w w:val="100"/>
          <w:sz w:val="21"/>
        </w:rPr>
        <w:br w:type="column"/>
      </w:r>
      <w:r>
        <w:rPr>
          <w:rFonts w:ascii="宋体" w:eastAsia="宋体" w:hint="eastAsia"/>
          <w:spacing w:val="-3"/>
          <w:sz w:val="21"/>
        </w:rPr>
        <w:t>本合同所指的重大疾病</w:t>
      </w:r>
    </w:p>
    <w:p>
      <w:pPr>
        <w:pStyle w:val="ListParagraph"/>
        <w:numPr>
          <w:ilvl w:val="1"/>
          <w:numId w:val="2"/>
        </w:numPr>
        <w:tabs>
          <w:tab w:pos="1075" w:val="left" w:leader="none"/>
          <w:tab w:pos="1076" w:val="left" w:leader="none"/>
        </w:tabs>
        <w:spacing w:line="240" w:lineRule="auto" w:before="37" w:after="0"/>
        <w:ind w:left="1075" w:right="0" w:hanging="528"/>
        <w:jc w:val="left"/>
        <w:rPr>
          <w:rFonts w:ascii="宋体" w:eastAsia="宋体" w:hint="eastAsia"/>
          <w:sz w:val="21"/>
        </w:rPr>
      </w:pPr>
      <w:r>
        <w:rPr>
          <w:rFonts w:ascii="宋体" w:eastAsia="宋体" w:hint="eastAsia"/>
          <w:spacing w:val="-2"/>
          <w:sz w:val="21"/>
        </w:rPr>
        <w:t>保单生效对应日</w:t>
      </w:r>
    </w:p>
    <w:p>
      <w:pPr>
        <w:spacing w:after="0" w:line="240" w:lineRule="auto"/>
        <w:jc w:val="left"/>
        <w:rPr>
          <w:rFonts w:ascii="宋体" w:eastAsia="宋体" w:hint="eastAsia"/>
          <w:sz w:val="21"/>
        </w:rPr>
        <w:sectPr>
          <w:type w:val="continuous"/>
          <w:pgSz w:w="11910" w:h="16840"/>
          <w:pgMar w:top="1040" w:bottom="1180" w:left="1200" w:right="120"/>
          <w:cols w:num="3" w:equalWidth="0">
            <w:col w:w="2237" w:space="273"/>
            <w:col w:w="2660" w:space="955"/>
            <w:col w:w="4465"/>
          </w:cols>
        </w:sectPr>
      </w:pPr>
    </w:p>
    <w:p>
      <w:pPr>
        <w:pStyle w:val="BodyText"/>
        <w:spacing w:before="1"/>
        <w:rPr>
          <w:sz w:val="5"/>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839"/>
        <w:gridCol w:w="675"/>
        <w:gridCol w:w="2804"/>
        <w:gridCol w:w="651"/>
        <w:gridCol w:w="2206"/>
      </w:tblGrid>
      <w:tr>
        <w:trPr>
          <w:trHeight w:val="266" w:hRule="atLeast"/>
        </w:trPr>
        <w:tc>
          <w:tcPr>
            <w:tcW w:w="468" w:type="dxa"/>
          </w:tcPr>
          <w:p>
            <w:pPr>
              <w:pStyle w:val="TableParagraph"/>
              <w:spacing w:line="220" w:lineRule="exact"/>
              <w:ind w:left="50"/>
              <w:rPr>
                <w:sz w:val="21"/>
              </w:rPr>
            </w:pPr>
            <w:r>
              <w:rPr>
                <w:sz w:val="21"/>
              </w:rPr>
              <w:t>1.2</w:t>
            </w:r>
          </w:p>
        </w:tc>
        <w:tc>
          <w:tcPr>
            <w:tcW w:w="1839" w:type="dxa"/>
          </w:tcPr>
          <w:p>
            <w:pPr>
              <w:pStyle w:val="TableParagraph"/>
              <w:spacing w:line="220" w:lineRule="exact"/>
              <w:ind w:left="110"/>
              <w:rPr>
                <w:sz w:val="21"/>
              </w:rPr>
            </w:pPr>
            <w:r>
              <w:rPr>
                <w:sz w:val="21"/>
              </w:rPr>
              <w:t>投保范围</w:t>
            </w:r>
          </w:p>
        </w:tc>
        <w:tc>
          <w:tcPr>
            <w:tcW w:w="675" w:type="dxa"/>
          </w:tcPr>
          <w:p>
            <w:pPr>
              <w:pStyle w:val="TableParagraph"/>
              <w:spacing w:line="221" w:lineRule="exact"/>
              <w:ind w:left="0" w:right="102"/>
              <w:jc w:val="right"/>
              <w:rPr>
                <w:sz w:val="21"/>
              </w:rPr>
            </w:pPr>
            <w:r>
              <w:rPr>
                <w:sz w:val="21"/>
              </w:rPr>
              <w:t>4.1</w:t>
            </w:r>
          </w:p>
        </w:tc>
        <w:tc>
          <w:tcPr>
            <w:tcW w:w="2804" w:type="dxa"/>
          </w:tcPr>
          <w:p>
            <w:pPr>
              <w:pStyle w:val="TableParagraph"/>
              <w:spacing w:line="221" w:lineRule="exact"/>
              <w:ind w:left="106"/>
              <w:rPr>
                <w:sz w:val="21"/>
              </w:rPr>
            </w:pPr>
            <w:r>
              <w:rPr>
                <w:sz w:val="21"/>
              </w:rPr>
              <w:t>保险金受益人的指定和变更</w:t>
            </w:r>
          </w:p>
        </w:tc>
        <w:tc>
          <w:tcPr>
            <w:tcW w:w="651" w:type="dxa"/>
          </w:tcPr>
          <w:p>
            <w:pPr>
              <w:pStyle w:val="TableParagraph"/>
              <w:spacing w:line="211" w:lineRule="exact"/>
              <w:ind w:left="172"/>
              <w:rPr>
                <w:sz w:val="21"/>
              </w:rPr>
            </w:pPr>
            <w:r>
              <w:rPr>
                <w:sz w:val="21"/>
              </w:rPr>
              <w:t>6.7</w:t>
            </w:r>
          </w:p>
        </w:tc>
        <w:tc>
          <w:tcPr>
            <w:tcW w:w="2206" w:type="dxa"/>
          </w:tcPr>
          <w:p>
            <w:pPr>
              <w:pStyle w:val="TableParagraph"/>
              <w:spacing w:line="211" w:lineRule="exact"/>
              <w:ind w:left="49"/>
              <w:rPr>
                <w:sz w:val="21"/>
              </w:rPr>
            </w:pPr>
            <w:r>
              <w:rPr>
                <w:sz w:val="21"/>
              </w:rPr>
              <w:t>认可医院</w:t>
            </w:r>
          </w:p>
        </w:tc>
      </w:tr>
      <w:tr>
        <w:trPr>
          <w:trHeight w:val="311" w:hRule="atLeast"/>
        </w:trPr>
        <w:tc>
          <w:tcPr>
            <w:tcW w:w="468" w:type="dxa"/>
          </w:tcPr>
          <w:p>
            <w:pPr>
              <w:pStyle w:val="TableParagraph"/>
              <w:spacing w:line="265" w:lineRule="exact"/>
              <w:ind w:left="50"/>
              <w:rPr>
                <w:sz w:val="21"/>
              </w:rPr>
            </w:pPr>
            <w:r>
              <w:rPr>
                <w:sz w:val="21"/>
              </w:rPr>
              <w:t>1.3</w:t>
            </w:r>
          </w:p>
        </w:tc>
        <w:tc>
          <w:tcPr>
            <w:tcW w:w="1839" w:type="dxa"/>
          </w:tcPr>
          <w:p>
            <w:pPr>
              <w:pStyle w:val="TableParagraph"/>
              <w:spacing w:line="265" w:lineRule="exact"/>
              <w:ind w:left="110"/>
              <w:rPr>
                <w:sz w:val="21"/>
              </w:rPr>
            </w:pPr>
            <w:r>
              <w:rPr>
                <w:sz w:val="21"/>
              </w:rPr>
              <w:t>合同成立与生效</w:t>
            </w:r>
          </w:p>
        </w:tc>
        <w:tc>
          <w:tcPr>
            <w:tcW w:w="675" w:type="dxa"/>
          </w:tcPr>
          <w:p>
            <w:pPr>
              <w:pStyle w:val="TableParagraph"/>
              <w:spacing w:line="266" w:lineRule="exact"/>
              <w:ind w:left="0" w:right="102"/>
              <w:jc w:val="right"/>
              <w:rPr>
                <w:sz w:val="21"/>
              </w:rPr>
            </w:pPr>
            <w:r>
              <w:rPr>
                <w:sz w:val="21"/>
              </w:rPr>
              <w:t>4.2</w:t>
            </w:r>
          </w:p>
        </w:tc>
        <w:tc>
          <w:tcPr>
            <w:tcW w:w="2804" w:type="dxa"/>
          </w:tcPr>
          <w:p>
            <w:pPr>
              <w:pStyle w:val="TableParagraph"/>
              <w:spacing w:line="266" w:lineRule="exact"/>
              <w:ind w:left="106"/>
              <w:rPr>
                <w:sz w:val="21"/>
              </w:rPr>
            </w:pPr>
            <w:r>
              <w:rPr>
                <w:sz w:val="21"/>
              </w:rPr>
              <w:t>保险事故通知</w:t>
            </w:r>
          </w:p>
        </w:tc>
        <w:tc>
          <w:tcPr>
            <w:tcW w:w="651" w:type="dxa"/>
          </w:tcPr>
          <w:p>
            <w:pPr>
              <w:pStyle w:val="TableParagraph"/>
              <w:spacing w:line="256" w:lineRule="exact"/>
              <w:ind w:left="172"/>
              <w:rPr>
                <w:sz w:val="21"/>
              </w:rPr>
            </w:pPr>
            <w:r>
              <w:rPr>
                <w:sz w:val="21"/>
              </w:rPr>
              <w:t>6.8</w:t>
            </w:r>
          </w:p>
        </w:tc>
        <w:tc>
          <w:tcPr>
            <w:tcW w:w="2206" w:type="dxa"/>
          </w:tcPr>
          <w:p>
            <w:pPr>
              <w:pStyle w:val="TableParagraph"/>
              <w:spacing w:line="256" w:lineRule="exact"/>
              <w:ind w:left="49"/>
              <w:rPr>
                <w:sz w:val="21"/>
              </w:rPr>
            </w:pPr>
            <w:r>
              <w:rPr>
                <w:sz w:val="21"/>
              </w:rPr>
              <w:t>专科医生</w:t>
            </w:r>
          </w:p>
        </w:tc>
      </w:tr>
      <w:tr>
        <w:trPr>
          <w:trHeight w:val="312" w:hRule="atLeast"/>
        </w:trPr>
        <w:tc>
          <w:tcPr>
            <w:tcW w:w="468" w:type="dxa"/>
          </w:tcPr>
          <w:p>
            <w:pPr>
              <w:pStyle w:val="TableParagraph"/>
              <w:spacing w:line="267" w:lineRule="exact"/>
              <w:ind w:left="50"/>
              <w:rPr>
                <w:sz w:val="21"/>
              </w:rPr>
            </w:pPr>
            <w:r>
              <w:rPr>
                <w:sz w:val="21"/>
              </w:rPr>
              <w:t>1.4</w:t>
            </w:r>
          </w:p>
        </w:tc>
        <w:tc>
          <w:tcPr>
            <w:tcW w:w="1839" w:type="dxa"/>
          </w:tcPr>
          <w:p>
            <w:pPr>
              <w:pStyle w:val="TableParagraph"/>
              <w:spacing w:line="267" w:lineRule="exact"/>
              <w:ind w:left="110"/>
              <w:rPr>
                <w:sz w:val="21"/>
              </w:rPr>
            </w:pPr>
            <w:r>
              <w:rPr>
                <w:sz w:val="21"/>
              </w:rPr>
              <w:t>合同内容变更</w:t>
            </w:r>
          </w:p>
        </w:tc>
        <w:tc>
          <w:tcPr>
            <w:tcW w:w="675" w:type="dxa"/>
          </w:tcPr>
          <w:p>
            <w:pPr>
              <w:pStyle w:val="TableParagraph"/>
              <w:spacing w:line="267" w:lineRule="exact"/>
              <w:ind w:left="0" w:right="102"/>
              <w:jc w:val="right"/>
              <w:rPr>
                <w:sz w:val="21"/>
              </w:rPr>
            </w:pPr>
            <w:r>
              <w:rPr>
                <w:sz w:val="21"/>
              </w:rPr>
              <w:t>4.3</w:t>
            </w:r>
          </w:p>
        </w:tc>
        <w:tc>
          <w:tcPr>
            <w:tcW w:w="2804" w:type="dxa"/>
          </w:tcPr>
          <w:p>
            <w:pPr>
              <w:pStyle w:val="TableParagraph"/>
              <w:spacing w:line="267" w:lineRule="exact"/>
              <w:ind w:left="106"/>
              <w:rPr>
                <w:sz w:val="21"/>
              </w:rPr>
            </w:pPr>
            <w:r>
              <w:rPr>
                <w:sz w:val="21"/>
              </w:rPr>
              <w:t>保险金及豁免保险费的申请</w:t>
            </w:r>
          </w:p>
        </w:tc>
        <w:tc>
          <w:tcPr>
            <w:tcW w:w="651" w:type="dxa"/>
          </w:tcPr>
          <w:p>
            <w:pPr>
              <w:pStyle w:val="TableParagraph"/>
              <w:spacing w:line="256" w:lineRule="exact"/>
              <w:ind w:left="172"/>
              <w:rPr>
                <w:sz w:val="21"/>
              </w:rPr>
            </w:pPr>
            <w:r>
              <w:rPr>
                <w:sz w:val="21"/>
              </w:rPr>
              <w:t>6.9</w:t>
            </w:r>
          </w:p>
        </w:tc>
        <w:tc>
          <w:tcPr>
            <w:tcW w:w="2206" w:type="dxa"/>
          </w:tcPr>
          <w:p>
            <w:pPr>
              <w:pStyle w:val="TableParagraph"/>
              <w:spacing w:line="256" w:lineRule="exact"/>
              <w:ind w:left="49"/>
              <w:rPr>
                <w:sz w:val="21"/>
              </w:rPr>
            </w:pPr>
            <w:r>
              <w:rPr>
                <w:sz w:val="21"/>
              </w:rPr>
              <w:t>意外伤害</w:t>
            </w:r>
          </w:p>
        </w:tc>
      </w:tr>
      <w:tr>
        <w:trPr>
          <w:trHeight w:val="311" w:hRule="atLeast"/>
        </w:trPr>
        <w:tc>
          <w:tcPr>
            <w:tcW w:w="468" w:type="dxa"/>
          </w:tcPr>
          <w:p>
            <w:pPr>
              <w:pStyle w:val="TableParagraph"/>
              <w:spacing w:line="266" w:lineRule="exact"/>
              <w:ind w:left="50"/>
              <w:rPr>
                <w:sz w:val="21"/>
              </w:rPr>
            </w:pPr>
            <w:r>
              <w:rPr>
                <w:sz w:val="21"/>
              </w:rPr>
              <w:t>1.5</w:t>
            </w:r>
          </w:p>
        </w:tc>
        <w:tc>
          <w:tcPr>
            <w:tcW w:w="1839" w:type="dxa"/>
          </w:tcPr>
          <w:p>
            <w:pPr>
              <w:pStyle w:val="TableParagraph"/>
              <w:spacing w:line="266" w:lineRule="exact"/>
              <w:ind w:left="110"/>
              <w:rPr>
                <w:sz w:val="21"/>
              </w:rPr>
            </w:pPr>
            <w:r>
              <w:rPr>
                <w:sz w:val="21"/>
              </w:rPr>
              <w:t>投保人解除合同</w:t>
            </w:r>
          </w:p>
        </w:tc>
        <w:tc>
          <w:tcPr>
            <w:tcW w:w="675" w:type="dxa"/>
          </w:tcPr>
          <w:p>
            <w:pPr>
              <w:pStyle w:val="TableParagraph"/>
              <w:spacing w:line="266" w:lineRule="exact"/>
              <w:ind w:left="0" w:right="102"/>
              <w:jc w:val="right"/>
              <w:rPr>
                <w:sz w:val="21"/>
              </w:rPr>
            </w:pPr>
            <w:r>
              <w:rPr>
                <w:sz w:val="21"/>
              </w:rPr>
              <w:t>4.4</w:t>
            </w:r>
          </w:p>
        </w:tc>
        <w:tc>
          <w:tcPr>
            <w:tcW w:w="2804" w:type="dxa"/>
          </w:tcPr>
          <w:p>
            <w:pPr>
              <w:pStyle w:val="TableParagraph"/>
              <w:spacing w:line="266" w:lineRule="exact"/>
              <w:ind w:left="106"/>
              <w:rPr>
                <w:sz w:val="21"/>
              </w:rPr>
            </w:pPr>
            <w:r>
              <w:rPr>
                <w:sz w:val="21"/>
              </w:rPr>
              <w:t>保险金的给付</w:t>
            </w:r>
          </w:p>
        </w:tc>
        <w:tc>
          <w:tcPr>
            <w:tcW w:w="651" w:type="dxa"/>
          </w:tcPr>
          <w:p>
            <w:pPr>
              <w:pStyle w:val="TableParagraph"/>
              <w:spacing w:line="256" w:lineRule="exact"/>
              <w:ind w:left="172"/>
              <w:rPr>
                <w:sz w:val="21"/>
              </w:rPr>
            </w:pPr>
            <w:r>
              <w:rPr>
                <w:sz w:val="21"/>
              </w:rPr>
              <w:t>6.10</w:t>
            </w:r>
          </w:p>
        </w:tc>
        <w:tc>
          <w:tcPr>
            <w:tcW w:w="2206" w:type="dxa"/>
          </w:tcPr>
          <w:p>
            <w:pPr>
              <w:pStyle w:val="TableParagraph"/>
              <w:spacing w:line="256" w:lineRule="exact"/>
              <w:ind w:left="49"/>
              <w:rPr>
                <w:sz w:val="21"/>
              </w:rPr>
            </w:pPr>
            <w:r>
              <w:rPr>
                <w:sz w:val="21"/>
              </w:rPr>
              <w:t>5 年恶性肿瘤等待期</w:t>
            </w:r>
          </w:p>
        </w:tc>
      </w:tr>
      <w:tr>
        <w:trPr>
          <w:trHeight w:val="312" w:hRule="atLeast"/>
        </w:trPr>
        <w:tc>
          <w:tcPr>
            <w:tcW w:w="468" w:type="dxa"/>
          </w:tcPr>
          <w:p>
            <w:pPr>
              <w:pStyle w:val="TableParagraph"/>
              <w:spacing w:line="240" w:lineRule="auto"/>
              <w:ind w:left="0"/>
              <w:rPr>
                <w:rFonts w:ascii="Times New Roman"/>
                <w:sz w:val="20"/>
              </w:rPr>
            </w:pPr>
          </w:p>
        </w:tc>
        <w:tc>
          <w:tcPr>
            <w:tcW w:w="1839" w:type="dxa"/>
          </w:tcPr>
          <w:p>
            <w:pPr>
              <w:pStyle w:val="TableParagraph"/>
              <w:spacing w:line="267" w:lineRule="exact"/>
              <w:ind w:left="100"/>
              <w:rPr>
                <w:sz w:val="21"/>
              </w:rPr>
            </w:pPr>
            <w:r>
              <w:rPr>
                <w:sz w:val="21"/>
              </w:rPr>
              <w:t>的手续及风险</w:t>
            </w:r>
          </w:p>
        </w:tc>
        <w:tc>
          <w:tcPr>
            <w:tcW w:w="675" w:type="dxa"/>
          </w:tcPr>
          <w:p>
            <w:pPr>
              <w:pStyle w:val="TableParagraph"/>
              <w:spacing w:line="266" w:lineRule="exact"/>
              <w:ind w:left="0" w:right="102"/>
              <w:jc w:val="right"/>
              <w:rPr>
                <w:sz w:val="21"/>
              </w:rPr>
            </w:pPr>
            <w:r>
              <w:rPr>
                <w:sz w:val="21"/>
              </w:rPr>
              <w:t>4.5</w:t>
            </w:r>
          </w:p>
        </w:tc>
        <w:tc>
          <w:tcPr>
            <w:tcW w:w="2804" w:type="dxa"/>
          </w:tcPr>
          <w:p>
            <w:pPr>
              <w:pStyle w:val="TableParagraph"/>
              <w:spacing w:line="266" w:lineRule="exact"/>
              <w:ind w:left="106"/>
              <w:rPr>
                <w:sz w:val="21"/>
              </w:rPr>
            </w:pPr>
            <w:r>
              <w:rPr>
                <w:sz w:val="21"/>
              </w:rPr>
              <w:t>欠交保险费及未还款项的扣</w:t>
            </w:r>
          </w:p>
        </w:tc>
        <w:tc>
          <w:tcPr>
            <w:tcW w:w="651" w:type="dxa"/>
          </w:tcPr>
          <w:p>
            <w:pPr>
              <w:pStyle w:val="TableParagraph"/>
              <w:spacing w:line="256" w:lineRule="exact"/>
              <w:ind w:left="172"/>
              <w:rPr>
                <w:sz w:val="21"/>
              </w:rPr>
            </w:pPr>
            <w:r>
              <w:rPr>
                <w:sz w:val="21"/>
              </w:rPr>
              <w:t>6.11</w:t>
            </w:r>
          </w:p>
        </w:tc>
        <w:tc>
          <w:tcPr>
            <w:tcW w:w="2206" w:type="dxa"/>
          </w:tcPr>
          <w:p>
            <w:pPr>
              <w:pStyle w:val="TableParagraph"/>
              <w:spacing w:line="256" w:lineRule="exact"/>
              <w:ind w:left="49"/>
              <w:rPr>
                <w:sz w:val="21"/>
              </w:rPr>
            </w:pPr>
            <w:r>
              <w:rPr>
                <w:sz w:val="21"/>
              </w:rPr>
              <w:t>本合同所指的特定严重</w:t>
            </w:r>
          </w:p>
        </w:tc>
      </w:tr>
      <w:tr>
        <w:trPr>
          <w:trHeight w:val="266" w:hRule="atLeast"/>
        </w:trPr>
        <w:tc>
          <w:tcPr>
            <w:tcW w:w="468" w:type="dxa"/>
          </w:tcPr>
          <w:p>
            <w:pPr>
              <w:pStyle w:val="TableParagraph"/>
              <w:spacing w:line="247" w:lineRule="exact"/>
              <w:ind w:left="50"/>
              <w:rPr>
                <w:sz w:val="21"/>
              </w:rPr>
            </w:pPr>
            <w:r>
              <w:rPr>
                <w:sz w:val="21"/>
              </w:rPr>
              <w:t>1.6</w:t>
            </w:r>
          </w:p>
        </w:tc>
        <w:tc>
          <w:tcPr>
            <w:tcW w:w="1839" w:type="dxa"/>
          </w:tcPr>
          <w:p>
            <w:pPr>
              <w:pStyle w:val="TableParagraph"/>
              <w:spacing w:line="247" w:lineRule="exact"/>
              <w:ind w:left="110"/>
              <w:rPr>
                <w:sz w:val="21"/>
              </w:rPr>
            </w:pPr>
            <w:r>
              <w:rPr>
                <w:sz w:val="21"/>
              </w:rPr>
              <w:t>合同终止</w:t>
            </w:r>
          </w:p>
        </w:tc>
        <w:tc>
          <w:tcPr>
            <w:tcW w:w="675" w:type="dxa"/>
          </w:tcPr>
          <w:p>
            <w:pPr>
              <w:pStyle w:val="TableParagraph"/>
              <w:spacing w:line="240" w:lineRule="auto"/>
              <w:ind w:left="0"/>
              <w:rPr>
                <w:rFonts w:ascii="Times New Roman"/>
                <w:sz w:val="18"/>
              </w:rPr>
            </w:pPr>
          </w:p>
        </w:tc>
        <w:tc>
          <w:tcPr>
            <w:tcW w:w="2804" w:type="dxa"/>
          </w:tcPr>
          <w:p>
            <w:pPr>
              <w:pStyle w:val="TableParagraph"/>
              <w:spacing w:line="247" w:lineRule="exact"/>
              <w:ind w:left="101"/>
              <w:rPr>
                <w:sz w:val="21"/>
              </w:rPr>
            </w:pPr>
            <w:r>
              <w:rPr>
                <w:w w:val="100"/>
                <w:sz w:val="21"/>
              </w:rPr>
              <w:t>除</w:t>
            </w:r>
          </w:p>
        </w:tc>
        <w:tc>
          <w:tcPr>
            <w:tcW w:w="651" w:type="dxa"/>
          </w:tcPr>
          <w:p>
            <w:pPr>
              <w:pStyle w:val="TableParagraph"/>
              <w:spacing w:line="240" w:lineRule="auto"/>
              <w:ind w:left="0"/>
              <w:rPr>
                <w:rFonts w:ascii="Times New Roman"/>
                <w:sz w:val="18"/>
              </w:rPr>
            </w:pPr>
          </w:p>
        </w:tc>
        <w:tc>
          <w:tcPr>
            <w:tcW w:w="2206" w:type="dxa"/>
          </w:tcPr>
          <w:p>
            <w:pPr>
              <w:pStyle w:val="TableParagraph"/>
              <w:spacing w:line="247" w:lineRule="exact"/>
              <w:ind w:left="49"/>
              <w:rPr>
                <w:sz w:val="21"/>
              </w:rPr>
            </w:pPr>
            <w:r>
              <w:rPr>
                <w:sz w:val="21"/>
              </w:rPr>
              <w:t>疾病</w:t>
            </w:r>
          </w:p>
        </w:tc>
      </w:tr>
    </w:tbl>
    <w:p>
      <w:pPr>
        <w:spacing w:after="0" w:line="247" w:lineRule="exact"/>
        <w:rPr>
          <w:sz w:val="21"/>
        </w:rPr>
        <w:sectPr>
          <w:type w:val="continuous"/>
          <w:pgSz w:w="11910" w:h="16840"/>
          <w:pgMar w:top="1040" w:bottom="1180" w:left="1200" w:right="120"/>
        </w:sectPr>
      </w:pPr>
    </w:p>
    <w:p>
      <w:pPr>
        <w:pStyle w:val="Heading2"/>
        <w:spacing w:line="336" w:lineRule="exact"/>
        <w:ind w:left="547"/>
      </w:pPr>
      <w:r>
        <w:rPr/>
        <w:t>2.我们提供的保障</w:t>
      </w:r>
    </w:p>
    <w:p>
      <w:pPr>
        <w:pStyle w:val="ListParagraph"/>
        <w:numPr>
          <w:ilvl w:val="1"/>
          <w:numId w:val="3"/>
        </w:numPr>
        <w:tabs>
          <w:tab w:pos="1286" w:val="left" w:leader="none"/>
          <w:tab w:pos="1287" w:val="left" w:leader="none"/>
        </w:tabs>
        <w:spacing w:line="240" w:lineRule="auto" w:before="13" w:after="0"/>
        <w:ind w:left="547" w:right="0" w:firstLine="211"/>
        <w:jc w:val="left"/>
        <w:rPr>
          <w:rFonts w:ascii="宋体" w:eastAsia="宋体" w:hint="eastAsia"/>
          <w:sz w:val="21"/>
        </w:rPr>
      </w:pPr>
      <w:r>
        <w:rPr>
          <w:rFonts w:ascii="宋体" w:eastAsia="宋体" w:hint="eastAsia"/>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rFonts w:ascii="宋体" w:eastAsia="宋体" w:hint="eastAsia"/>
          <w:sz w:val="21"/>
        </w:rPr>
      </w:pPr>
      <w:r>
        <w:rPr>
          <w:rFonts w:ascii="宋体" w:eastAsia="宋体" w:hint="eastAsia"/>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rFonts w:ascii="宋体" w:eastAsia="宋体" w:hint="eastAsia"/>
          <w:sz w:val="21"/>
        </w:rPr>
      </w:pPr>
      <w:r>
        <w:rPr>
          <w:rFonts w:ascii="宋体" w:eastAsia="宋体" w:hint="eastAsia"/>
          <w:spacing w:val="-2"/>
          <w:sz w:val="21"/>
        </w:rPr>
        <w:t>保险责任</w:t>
      </w:r>
    </w:p>
    <w:p>
      <w:pPr>
        <w:pStyle w:val="ListParagraph"/>
        <w:numPr>
          <w:ilvl w:val="1"/>
          <w:numId w:val="3"/>
        </w:numPr>
        <w:tabs>
          <w:tab w:pos="1286" w:val="left" w:leader="none"/>
          <w:tab w:pos="1287" w:val="left" w:leader="none"/>
        </w:tabs>
        <w:spacing w:line="218" w:lineRule="auto" w:before="62" w:after="0"/>
        <w:ind w:left="547" w:right="0" w:firstLine="211"/>
        <w:jc w:val="left"/>
        <w:rPr>
          <w:b/>
          <w:sz w:val="21"/>
        </w:rPr>
      </w:pPr>
      <w:r>
        <w:rPr>
          <w:rFonts w:ascii="宋体" w:eastAsia="宋体" w:hint="eastAsia"/>
          <w:spacing w:val="-2"/>
          <w:sz w:val="21"/>
        </w:rPr>
        <w:t>责任免除</w:t>
      </w:r>
      <w:r>
        <w:rPr>
          <w:b/>
          <w:spacing w:val="-2"/>
          <w:sz w:val="21"/>
        </w:rPr>
        <w:t>3.您的权利和义务</w:t>
      </w:r>
    </w:p>
    <w:p>
      <w:pPr>
        <w:pStyle w:val="Heading2"/>
        <w:spacing w:line="336" w:lineRule="exact"/>
        <w:ind w:left="547"/>
      </w:pPr>
      <w:r>
        <w:rPr>
          <w:b w:val="0"/>
        </w:rPr>
        <w:br w:type="column"/>
      </w:r>
      <w:r>
        <w:rPr/>
        <w:t>5.基本条款</w:t>
      </w:r>
    </w:p>
    <w:p>
      <w:pPr>
        <w:pStyle w:val="ListParagraph"/>
        <w:numPr>
          <w:ilvl w:val="1"/>
          <w:numId w:val="4"/>
        </w:numPr>
        <w:tabs>
          <w:tab w:pos="1286" w:val="left" w:leader="none"/>
          <w:tab w:pos="1287" w:val="left" w:leader="none"/>
        </w:tabs>
        <w:spacing w:line="240" w:lineRule="auto" w:before="13" w:after="0"/>
        <w:ind w:left="1286" w:right="0" w:hanging="528"/>
        <w:jc w:val="left"/>
        <w:rPr>
          <w:rFonts w:ascii="宋体" w:eastAsia="宋体" w:hint="eastAsia"/>
          <w:sz w:val="21"/>
        </w:rPr>
      </w:pPr>
      <w:r>
        <w:rPr>
          <w:rFonts w:ascii="宋体" w:eastAsia="宋体" w:hint="eastAsia"/>
          <w:spacing w:val="-3"/>
          <w:sz w:val="21"/>
        </w:rPr>
        <w:t>明确说明与如实告知</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3"/>
          <w:sz w:val="21"/>
        </w:rPr>
        <w:t>本公司合同解除权的限制</w:t>
      </w:r>
    </w:p>
    <w:p>
      <w:pPr>
        <w:pStyle w:val="ListParagraph"/>
        <w:numPr>
          <w:ilvl w:val="1"/>
          <w:numId w:val="4"/>
        </w:numPr>
        <w:tabs>
          <w:tab w:pos="1286" w:val="left" w:leader="none"/>
          <w:tab w:pos="1287" w:val="left" w:leader="none"/>
        </w:tabs>
        <w:spacing w:line="240" w:lineRule="auto" w:before="37" w:after="0"/>
        <w:ind w:left="1286" w:right="0" w:hanging="528"/>
        <w:jc w:val="left"/>
        <w:rPr>
          <w:rFonts w:ascii="宋体" w:eastAsia="宋体" w:hint="eastAsia"/>
          <w:sz w:val="21"/>
        </w:rPr>
      </w:pPr>
      <w:r>
        <w:rPr>
          <w:rFonts w:ascii="宋体" w:eastAsia="宋体" w:hint="eastAsia"/>
          <w:spacing w:val="-3"/>
          <w:sz w:val="21"/>
        </w:rPr>
        <w:t>年龄确定与错误处理</w:t>
      </w:r>
    </w:p>
    <w:p>
      <w:pPr>
        <w:pStyle w:val="ListParagraph"/>
        <w:numPr>
          <w:ilvl w:val="1"/>
          <w:numId w:val="4"/>
        </w:numPr>
        <w:tabs>
          <w:tab w:pos="1286" w:val="left" w:leader="none"/>
          <w:tab w:pos="1287" w:val="left" w:leader="none"/>
        </w:tabs>
        <w:spacing w:line="240" w:lineRule="auto" w:before="36" w:after="0"/>
        <w:ind w:left="1286" w:right="0" w:hanging="528"/>
        <w:jc w:val="left"/>
        <w:rPr>
          <w:rFonts w:ascii="宋体" w:eastAsia="宋体" w:hint="eastAsia"/>
          <w:sz w:val="21"/>
        </w:rPr>
      </w:pPr>
      <w:r>
        <w:rPr>
          <w:rFonts w:ascii="宋体" w:eastAsia="宋体" w:hint="eastAsia"/>
          <w:spacing w:val="-2"/>
          <w:sz w:val="21"/>
        </w:rPr>
        <w:t>联系方式变更</w:t>
      </w:r>
    </w:p>
    <w:p>
      <w:pPr>
        <w:pStyle w:val="ListParagraph"/>
        <w:numPr>
          <w:ilvl w:val="1"/>
          <w:numId w:val="4"/>
        </w:numPr>
        <w:tabs>
          <w:tab w:pos="1286" w:val="left" w:leader="none"/>
          <w:tab w:pos="1287" w:val="left" w:leader="none"/>
        </w:tabs>
        <w:spacing w:line="240" w:lineRule="auto" w:before="36" w:after="0"/>
        <w:ind w:left="1286" w:right="0" w:hanging="528"/>
        <w:jc w:val="left"/>
        <w:rPr>
          <w:rFonts w:ascii="宋体" w:eastAsia="宋体" w:hint="eastAsia"/>
          <w:sz w:val="21"/>
        </w:rPr>
      </w:pPr>
      <w:r>
        <w:rPr>
          <w:rFonts w:ascii="宋体" w:eastAsia="宋体" w:hint="eastAsia"/>
          <w:spacing w:val="-2"/>
          <w:sz w:val="21"/>
        </w:rPr>
        <w:t>失踪处理</w:t>
      </w:r>
    </w:p>
    <w:p>
      <w:pPr>
        <w:pStyle w:val="ListParagraph"/>
        <w:numPr>
          <w:ilvl w:val="1"/>
          <w:numId w:val="5"/>
        </w:numPr>
        <w:tabs>
          <w:tab w:pos="1045" w:val="left" w:leader="none"/>
        </w:tabs>
        <w:spacing w:line="240" w:lineRule="auto" w:before="27" w:after="0"/>
        <w:ind w:left="1044" w:right="0" w:hanging="528"/>
        <w:jc w:val="left"/>
        <w:rPr>
          <w:rFonts w:ascii="宋体" w:eastAsia="宋体" w:hint="eastAsia"/>
          <w:sz w:val="21"/>
        </w:rPr>
      </w:pPr>
      <w:r>
        <w:rPr>
          <w:rFonts w:ascii="宋体" w:eastAsia="宋体" w:hint="eastAsia"/>
          <w:w w:val="100"/>
          <w:sz w:val="21"/>
        </w:rPr>
        <w:br w:type="column"/>
      </w:r>
      <w:r>
        <w:rPr>
          <w:rFonts w:ascii="宋体" w:eastAsia="宋体" w:hint="eastAsia"/>
          <w:sz w:val="21"/>
        </w:rPr>
        <w:t>毒品</w:t>
      </w:r>
    </w:p>
    <w:p>
      <w:pPr>
        <w:pStyle w:val="ListParagraph"/>
        <w:numPr>
          <w:ilvl w:val="1"/>
          <w:numId w:val="5"/>
        </w:numPr>
        <w:tabs>
          <w:tab w:pos="1045" w:val="left" w:leader="none"/>
        </w:tabs>
        <w:spacing w:line="240" w:lineRule="auto" w:before="37" w:after="0"/>
        <w:ind w:left="1044" w:right="0" w:hanging="528"/>
        <w:jc w:val="left"/>
        <w:rPr>
          <w:rFonts w:ascii="宋体" w:eastAsia="宋体" w:hint="eastAsia"/>
          <w:sz w:val="21"/>
        </w:rPr>
      </w:pPr>
      <w:r>
        <w:rPr>
          <w:rFonts w:ascii="宋体" w:eastAsia="宋体" w:hint="eastAsia"/>
          <w:spacing w:val="-2"/>
          <w:sz w:val="21"/>
        </w:rPr>
        <w:t>遗传性疾病</w:t>
      </w:r>
    </w:p>
    <w:p>
      <w:pPr>
        <w:pStyle w:val="ListParagraph"/>
        <w:numPr>
          <w:ilvl w:val="1"/>
          <w:numId w:val="5"/>
        </w:numPr>
        <w:tabs>
          <w:tab w:pos="1045" w:val="left" w:leader="none"/>
        </w:tabs>
        <w:spacing w:line="273" w:lineRule="auto" w:before="37" w:after="0"/>
        <w:ind w:left="1044" w:right="1284" w:hanging="528"/>
        <w:jc w:val="left"/>
        <w:rPr>
          <w:rFonts w:ascii="宋体" w:eastAsia="宋体" w:hint="eastAsia"/>
          <w:sz w:val="21"/>
        </w:rPr>
      </w:pPr>
      <w:r>
        <w:rPr>
          <w:rFonts w:ascii="宋体" w:eastAsia="宋体" w:hint="eastAsia"/>
          <w:spacing w:val="-3"/>
          <w:sz w:val="21"/>
        </w:rPr>
        <w:t>先天性畸形、变形或染色体异常</w:t>
      </w:r>
    </w:p>
    <w:p>
      <w:pPr>
        <w:pStyle w:val="ListParagraph"/>
        <w:numPr>
          <w:ilvl w:val="1"/>
          <w:numId w:val="5"/>
        </w:numPr>
        <w:tabs>
          <w:tab w:pos="1045" w:val="left" w:leader="none"/>
        </w:tabs>
        <w:spacing w:line="273" w:lineRule="auto" w:before="7" w:after="0"/>
        <w:ind w:left="1044" w:right="1284" w:hanging="528"/>
        <w:jc w:val="left"/>
        <w:rPr>
          <w:rFonts w:ascii="宋体" w:eastAsia="宋体" w:hint="eastAsia"/>
          <w:sz w:val="21"/>
        </w:rPr>
      </w:pPr>
      <w:r>
        <w:rPr>
          <w:rFonts w:ascii="宋体" w:eastAsia="宋体" w:hint="eastAsia"/>
          <w:spacing w:val="-3"/>
          <w:sz w:val="21"/>
        </w:rPr>
        <w:t>感染艾滋病病毒或患艾滋病</w:t>
      </w:r>
    </w:p>
    <w:p>
      <w:pPr>
        <w:spacing w:after="0" w:line="273" w:lineRule="auto"/>
        <w:jc w:val="left"/>
        <w:rPr>
          <w:rFonts w:ascii="宋体" w:eastAsia="宋体" w:hint="eastAsia"/>
          <w:sz w:val="21"/>
        </w:rPr>
        <w:sectPr>
          <w:type w:val="continuous"/>
          <w:pgSz w:w="11910" w:h="16840"/>
          <w:pgMar w:top="1040" w:bottom="1180" w:left="1200" w:right="120"/>
          <w:cols w:num="3" w:equalWidth="0">
            <w:col w:w="2237" w:space="273"/>
            <w:col w:w="3601" w:space="40"/>
            <w:col w:w="4439"/>
          </w:cols>
        </w:sectPr>
      </w:pPr>
    </w:p>
    <w:p>
      <w:pPr>
        <w:pStyle w:val="BodyText"/>
        <w:spacing w:before="1"/>
        <w:rPr>
          <w:sz w:val="5"/>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2206"/>
      </w:tblGrid>
      <w:tr>
        <w:trPr>
          <w:trHeight w:val="266" w:hRule="atLeast"/>
        </w:trPr>
        <w:tc>
          <w:tcPr>
            <w:tcW w:w="470" w:type="dxa"/>
          </w:tcPr>
          <w:p>
            <w:pPr>
              <w:pStyle w:val="TableParagraph"/>
              <w:spacing w:line="222" w:lineRule="exact"/>
              <w:ind w:left="50"/>
              <w:rPr>
                <w:sz w:val="21"/>
              </w:rPr>
            </w:pPr>
            <w:r>
              <w:rPr>
                <w:sz w:val="21"/>
              </w:rPr>
              <w:t>3.1</w:t>
            </w:r>
          </w:p>
        </w:tc>
        <w:tc>
          <w:tcPr>
            <w:tcW w:w="1730" w:type="dxa"/>
          </w:tcPr>
          <w:p>
            <w:pPr>
              <w:pStyle w:val="TableParagraph"/>
              <w:spacing w:line="222" w:lineRule="exact"/>
              <w:ind w:left="108"/>
              <w:rPr>
                <w:sz w:val="21"/>
              </w:rPr>
            </w:pPr>
            <w:r>
              <w:rPr>
                <w:sz w:val="21"/>
              </w:rPr>
              <w:t>保险费的交纳</w:t>
            </w:r>
          </w:p>
        </w:tc>
        <w:tc>
          <w:tcPr>
            <w:tcW w:w="835" w:type="dxa"/>
          </w:tcPr>
          <w:p>
            <w:pPr>
              <w:pStyle w:val="TableParagraph"/>
              <w:spacing w:line="222" w:lineRule="exact"/>
              <w:ind w:left="237" w:right="35"/>
              <w:jc w:val="center"/>
              <w:rPr>
                <w:sz w:val="21"/>
              </w:rPr>
            </w:pPr>
            <w:r>
              <w:rPr>
                <w:sz w:val="21"/>
              </w:rPr>
              <w:t>5.6</w:t>
            </w:r>
          </w:p>
        </w:tc>
        <w:tc>
          <w:tcPr>
            <w:tcW w:w="2645" w:type="dxa"/>
          </w:tcPr>
          <w:p>
            <w:pPr>
              <w:pStyle w:val="TableParagraph"/>
              <w:spacing w:line="222" w:lineRule="exact"/>
              <w:ind w:left="53"/>
              <w:rPr>
                <w:sz w:val="21"/>
              </w:rPr>
            </w:pPr>
            <w:r>
              <w:rPr>
                <w:sz w:val="21"/>
              </w:rPr>
              <w:t>争议处理</w:t>
            </w:r>
          </w:p>
        </w:tc>
        <w:tc>
          <w:tcPr>
            <w:tcW w:w="754" w:type="dxa"/>
          </w:tcPr>
          <w:p>
            <w:pPr>
              <w:pStyle w:val="TableParagraph"/>
              <w:spacing w:line="211" w:lineRule="exact"/>
              <w:ind w:left="0" w:right="50"/>
              <w:jc w:val="right"/>
              <w:rPr>
                <w:sz w:val="21"/>
              </w:rPr>
            </w:pPr>
            <w:r>
              <w:rPr>
                <w:sz w:val="21"/>
              </w:rPr>
              <w:t>6.16</w:t>
            </w:r>
          </w:p>
        </w:tc>
        <w:tc>
          <w:tcPr>
            <w:tcW w:w="2206" w:type="dxa"/>
          </w:tcPr>
          <w:p>
            <w:pPr>
              <w:pStyle w:val="TableParagraph"/>
              <w:spacing w:line="211" w:lineRule="exact"/>
              <w:ind w:left="52"/>
              <w:rPr>
                <w:sz w:val="21"/>
              </w:rPr>
            </w:pPr>
            <w:r>
              <w:rPr>
                <w:sz w:val="21"/>
              </w:rPr>
              <w:t>酒后驾驶</w:t>
            </w:r>
          </w:p>
        </w:tc>
      </w:tr>
      <w:tr>
        <w:trPr>
          <w:trHeight w:val="311" w:hRule="atLeast"/>
        </w:trPr>
        <w:tc>
          <w:tcPr>
            <w:tcW w:w="470" w:type="dxa"/>
          </w:tcPr>
          <w:p>
            <w:pPr>
              <w:pStyle w:val="TableParagraph"/>
              <w:spacing w:line="267" w:lineRule="exact"/>
              <w:ind w:left="50"/>
              <w:rPr>
                <w:sz w:val="21"/>
              </w:rPr>
            </w:pPr>
            <w:r>
              <w:rPr>
                <w:sz w:val="21"/>
              </w:rPr>
              <w:t>3.2</w:t>
            </w:r>
          </w:p>
        </w:tc>
        <w:tc>
          <w:tcPr>
            <w:tcW w:w="1730" w:type="dxa"/>
          </w:tcPr>
          <w:p>
            <w:pPr>
              <w:pStyle w:val="TableParagraph"/>
              <w:spacing w:line="267" w:lineRule="exact"/>
              <w:ind w:left="108"/>
              <w:rPr>
                <w:sz w:val="21"/>
              </w:rPr>
            </w:pPr>
            <w:r>
              <w:rPr>
                <w:sz w:val="21"/>
              </w:rPr>
              <w:t>续期保险费的交</w:t>
            </w:r>
          </w:p>
        </w:tc>
        <w:tc>
          <w:tcPr>
            <w:tcW w:w="835" w:type="dxa"/>
          </w:tcPr>
          <w:p>
            <w:pPr>
              <w:pStyle w:val="TableParagraph"/>
              <w:spacing w:line="291" w:lineRule="exact"/>
              <w:ind w:left="131" w:right="35"/>
              <w:jc w:val="center"/>
              <w:rPr>
                <w:rFonts w:ascii="Microsoft JhengHei" w:eastAsia="Microsoft JhengHei" w:hint="eastAsia"/>
                <w:b/>
                <w:sz w:val="21"/>
              </w:rPr>
            </w:pPr>
            <w:r>
              <w:rPr>
                <w:rFonts w:ascii="Microsoft JhengHei" w:eastAsia="Microsoft JhengHei" w:hint="eastAsia"/>
                <w:b/>
                <w:w w:val="105"/>
                <w:sz w:val="21"/>
              </w:rPr>
              <w:t>6.释义</w:t>
            </w:r>
          </w:p>
        </w:tc>
        <w:tc>
          <w:tcPr>
            <w:tcW w:w="2645" w:type="dxa"/>
          </w:tcPr>
          <w:p>
            <w:pPr>
              <w:pStyle w:val="TableParagraph"/>
              <w:spacing w:line="240" w:lineRule="auto"/>
              <w:ind w:left="0"/>
              <w:rPr>
                <w:rFonts w:ascii="Times New Roman"/>
                <w:sz w:val="20"/>
              </w:rPr>
            </w:pPr>
          </w:p>
        </w:tc>
        <w:tc>
          <w:tcPr>
            <w:tcW w:w="754" w:type="dxa"/>
          </w:tcPr>
          <w:p>
            <w:pPr>
              <w:pStyle w:val="TableParagraph"/>
              <w:spacing w:line="256" w:lineRule="exact"/>
              <w:ind w:left="0" w:right="50"/>
              <w:jc w:val="right"/>
              <w:rPr>
                <w:sz w:val="21"/>
              </w:rPr>
            </w:pPr>
            <w:r>
              <w:rPr>
                <w:sz w:val="21"/>
              </w:rPr>
              <w:t>6.17</w:t>
            </w:r>
          </w:p>
        </w:tc>
        <w:tc>
          <w:tcPr>
            <w:tcW w:w="2206" w:type="dxa"/>
          </w:tcPr>
          <w:p>
            <w:pPr>
              <w:pStyle w:val="TableParagraph"/>
              <w:spacing w:line="256" w:lineRule="exact"/>
              <w:ind w:left="52"/>
              <w:rPr>
                <w:sz w:val="21"/>
              </w:rPr>
            </w:pPr>
            <w:r>
              <w:rPr>
                <w:sz w:val="21"/>
              </w:rPr>
              <w:t>无合法有效驾驶证驾驶</w:t>
            </w:r>
          </w:p>
        </w:tc>
      </w:tr>
      <w:tr>
        <w:trPr>
          <w:trHeight w:val="311" w:hRule="atLeast"/>
        </w:trPr>
        <w:tc>
          <w:tcPr>
            <w:tcW w:w="470" w:type="dxa"/>
          </w:tcPr>
          <w:p>
            <w:pPr>
              <w:pStyle w:val="TableParagraph"/>
              <w:spacing w:line="240" w:lineRule="auto"/>
              <w:ind w:left="0"/>
              <w:rPr>
                <w:rFonts w:ascii="Times New Roman"/>
                <w:sz w:val="20"/>
              </w:rPr>
            </w:pPr>
          </w:p>
        </w:tc>
        <w:tc>
          <w:tcPr>
            <w:tcW w:w="1730" w:type="dxa"/>
          </w:tcPr>
          <w:p>
            <w:pPr>
              <w:pStyle w:val="TableParagraph"/>
              <w:spacing w:line="267" w:lineRule="exact"/>
              <w:ind w:left="103"/>
              <w:rPr>
                <w:sz w:val="21"/>
              </w:rPr>
            </w:pPr>
            <w:r>
              <w:rPr>
                <w:sz w:val="21"/>
              </w:rPr>
              <w:t>纳、宽限期</w:t>
            </w:r>
          </w:p>
        </w:tc>
        <w:tc>
          <w:tcPr>
            <w:tcW w:w="835" w:type="dxa"/>
          </w:tcPr>
          <w:p>
            <w:pPr>
              <w:pStyle w:val="TableParagraph"/>
              <w:spacing w:line="267" w:lineRule="exact"/>
              <w:ind w:left="237" w:right="35"/>
              <w:jc w:val="center"/>
              <w:rPr>
                <w:sz w:val="21"/>
              </w:rPr>
            </w:pPr>
            <w:r>
              <w:rPr>
                <w:sz w:val="21"/>
              </w:rPr>
              <w:t>6.1</w:t>
            </w:r>
          </w:p>
        </w:tc>
        <w:tc>
          <w:tcPr>
            <w:tcW w:w="2645" w:type="dxa"/>
          </w:tcPr>
          <w:p>
            <w:pPr>
              <w:pStyle w:val="TableParagraph"/>
              <w:spacing w:line="267" w:lineRule="exact"/>
              <w:ind w:left="53"/>
              <w:rPr>
                <w:sz w:val="21"/>
              </w:rPr>
            </w:pPr>
            <w:r>
              <w:rPr>
                <w:sz w:val="21"/>
              </w:rPr>
              <w:t>周岁</w:t>
            </w:r>
          </w:p>
        </w:tc>
        <w:tc>
          <w:tcPr>
            <w:tcW w:w="754" w:type="dxa"/>
          </w:tcPr>
          <w:p>
            <w:pPr>
              <w:pStyle w:val="TableParagraph"/>
              <w:spacing w:line="256" w:lineRule="exact"/>
              <w:ind w:left="0" w:right="50"/>
              <w:jc w:val="right"/>
              <w:rPr>
                <w:sz w:val="21"/>
              </w:rPr>
            </w:pPr>
            <w:r>
              <w:rPr>
                <w:sz w:val="21"/>
              </w:rPr>
              <w:t>6.18</w:t>
            </w:r>
          </w:p>
        </w:tc>
        <w:tc>
          <w:tcPr>
            <w:tcW w:w="2206" w:type="dxa"/>
          </w:tcPr>
          <w:p>
            <w:pPr>
              <w:pStyle w:val="TableParagraph"/>
              <w:spacing w:line="256" w:lineRule="exact"/>
              <w:ind w:left="52"/>
              <w:rPr>
                <w:sz w:val="21"/>
              </w:rPr>
            </w:pPr>
            <w:r>
              <w:rPr>
                <w:sz w:val="21"/>
              </w:rPr>
              <w:t>无有效行驶证</w:t>
            </w:r>
          </w:p>
        </w:tc>
      </w:tr>
      <w:tr>
        <w:trPr>
          <w:trHeight w:val="317" w:hRule="atLeast"/>
        </w:trPr>
        <w:tc>
          <w:tcPr>
            <w:tcW w:w="470" w:type="dxa"/>
          </w:tcPr>
          <w:p>
            <w:pPr>
              <w:pStyle w:val="TableParagraph"/>
              <w:spacing w:line="267" w:lineRule="exact"/>
              <w:ind w:left="50"/>
              <w:rPr>
                <w:sz w:val="21"/>
              </w:rPr>
            </w:pPr>
            <w:r>
              <w:rPr>
                <w:sz w:val="21"/>
              </w:rPr>
              <w:t>3.3</w:t>
            </w:r>
          </w:p>
        </w:tc>
        <w:tc>
          <w:tcPr>
            <w:tcW w:w="1730" w:type="dxa"/>
          </w:tcPr>
          <w:p>
            <w:pPr>
              <w:pStyle w:val="TableParagraph"/>
              <w:spacing w:line="267" w:lineRule="exact"/>
              <w:ind w:left="108"/>
              <w:rPr>
                <w:sz w:val="21"/>
              </w:rPr>
            </w:pPr>
            <w:r>
              <w:rPr>
                <w:sz w:val="21"/>
              </w:rPr>
              <w:t>合同效力中止</w:t>
            </w:r>
          </w:p>
        </w:tc>
        <w:tc>
          <w:tcPr>
            <w:tcW w:w="835" w:type="dxa"/>
          </w:tcPr>
          <w:p>
            <w:pPr>
              <w:pStyle w:val="TableParagraph"/>
              <w:spacing w:line="267" w:lineRule="exact"/>
              <w:ind w:left="237" w:right="35"/>
              <w:jc w:val="center"/>
              <w:rPr>
                <w:sz w:val="21"/>
              </w:rPr>
            </w:pPr>
            <w:r>
              <w:rPr>
                <w:sz w:val="21"/>
              </w:rPr>
              <w:t>6.2</w:t>
            </w:r>
          </w:p>
        </w:tc>
        <w:tc>
          <w:tcPr>
            <w:tcW w:w="2645" w:type="dxa"/>
          </w:tcPr>
          <w:p>
            <w:pPr>
              <w:pStyle w:val="TableParagraph"/>
              <w:spacing w:line="267" w:lineRule="exact"/>
              <w:ind w:left="53"/>
              <w:rPr>
                <w:sz w:val="21"/>
              </w:rPr>
            </w:pPr>
            <w:r>
              <w:rPr>
                <w:sz w:val="21"/>
              </w:rPr>
              <w:t>本保险实际交纳的保险费</w:t>
            </w:r>
          </w:p>
        </w:tc>
        <w:tc>
          <w:tcPr>
            <w:tcW w:w="754" w:type="dxa"/>
          </w:tcPr>
          <w:p>
            <w:pPr>
              <w:pStyle w:val="TableParagraph"/>
              <w:spacing w:line="256" w:lineRule="exact"/>
              <w:ind w:left="0" w:right="50"/>
              <w:jc w:val="right"/>
              <w:rPr>
                <w:sz w:val="21"/>
              </w:rPr>
            </w:pPr>
            <w:r>
              <w:rPr>
                <w:sz w:val="21"/>
              </w:rPr>
              <w:t>6.19</w:t>
            </w:r>
          </w:p>
        </w:tc>
        <w:tc>
          <w:tcPr>
            <w:tcW w:w="2206" w:type="dxa"/>
          </w:tcPr>
          <w:p>
            <w:pPr>
              <w:pStyle w:val="TableParagraph"/>
              <w:spacing w:line="256" w:lineRule="exact"/>
              <w:ind w:left="52"/>
              <w:rPr>
                <w:sz w:val="21"/>
              </w:rPr>
            </w:pPr>
            <w:r>
              <w:rPr>
                <w:sz w:val="21"/>
              </w:rPr>
              <w:t>机动车</w:t>
            </w:r>
          </w:p>
        </w:tc>
      </w:tr>
      <w:tr>
        <w:trPr>
          <w:trHeight w:val="311" w:hRule="atLeast"/>
        </w:trPr>
        <w:tc>
          <w:tcPr>
            <w:tcW w:w="470" w:type="dxa"/>
          </w:tcPr>
          <w:p>
            <w:pPr>
              <w:pStyle w:val="TableParagraph"/>
              <w:spacing w:line="261" w:lineRule="exact"/>
              <w:ind w:left="50"/>
              <w:rPr>
                <w:sz w:val="21"/>
              </w:rPr>
            </w:pPr>
            <w:r>
              <w:rPr>
                <w:sz w:val="21"/>
              </w:rPr>
              <w:t>3.4</w:t>
            </w:r>
          </w:p>
        </w:tc>
        <w:tc>
          <w:tcPr>
            <w:tcW w:w="1730" w:type="dxa"/>
          </w:tcPr>
          <w:p>
            <w:pPr>
              <w:pStyle w:val="TableParagraph"/>
              <w:spacing w:line="261" w:lineRule="exact"/>
              <w:ind w:left="108"/>
              <w:rPr>
                <w:sz w:val="21"/>
              </w:rPr>
            </w:pPr>
            <w:r>
              <w:rPr>
                <w:sz w:val="21"/>
              </w:rPr>
              <w:t>合同效力恢复</w:t>
            </w:r>
          </w:p>
        </w:tc>
        <w:tc>
          <w:tcPr>
            <w:tcW w:w="835" w:type="dxa"/>
          </w:tcPr>
          <w:p>
            <w:pPr>
              <w:pStyle w:val="TableParagraph"/>
              <w:spacing w:line="261" w:lineRule="exact"/>
              <w:ind w:left="237" w:right="35"/>
              <w:jc w:val="center"/>
              <w:rPr>
                <w:sz w:val="21"/>
              </w:rPr>
            </w:pPr>
            <w:r>
              <w:rPr>
                <w:sz w:val="21"/>
              </w:rPr>
              <w:t>6.3</w:t>
            </w:r>
          </w:p>
        </w:tc>
        <w:tc>
          <w:tcPr>
            <w:tcW w:w="2645" w:type="dxa"/>
          </w:tcPr>
          <w:p>
            <w:pPr>
              <w:pStyle w:val="TableParagraph"/>
              <w:spacing w:line="261" w:lineRule="exact"/>
              <w:ind w:left="53"/>
              <w:rPr>
                <w:sz w:val="21"/>
              </w:rPr>
            </w:pPr>
            <w:r>
              <w:rPr>
                <w:sz w:val="21"/>
              </w:rPr>
              <w:t>现金价值</w:t>
            </w:r>
          </w:p>
        </w:tc>
        <w:tc>
          <w:tcPr>
            <w:tcW w:w="754" w:type="dxa"/>
          </w:tcPr>
          <w:p>
            <w:pPr>
              <w:pStyle w:val="TableParagraph"/>
              <w:spacing w:line="240" w:lineRule="auto"/>
              <w:ind w:left="0"/>
              <w:rPr>
                <w:rFonts w:ascii="Times New Roman"/>
                <w:sz w:val="20"/>
              </w:rPr>
            </w:pPr>
          </w:p>
        </w:tc>
        <w:tc>
          <w:tcPr>
            <w:tcW w:w="2206" w:type="dxa"/>
          </w:tcPr>
          <w:p>
            <w:pPr>
              <w:pStyle w:val="TableParagraph"/>
              <w:spacing w:line="240" w:lineRule="auto"/>
              <w:ind w:left="0"/>
              <w:rPr>
                <w:rFonts w:ascii="Times New Roman"/>
                <w:sz w:val="20"/>
              </w:rPr>
            </w:pPr>
          </w:p>
        </w:tc>
      </w:tr>
      <w:tr>
        <w:trPr>
          <w:trHeight w:val="261" w:hRule="atLeast"/>
        </w:trPr>
        <w:tc>
          <w:tcPr>
            <w:tcW w:w="470" w:type="dxa"/>
          </w:tcPr>
          <w:p>
            <w:pPr>
              <w:pStyle w:val="TableParagraph"/>
              <w:spacing w:line="242" w:lineRule="exact"/>
              <w:ind w:left="50"/>
              <w:rPr>
                <w:sz w:val="21"/>
              </w:rPr>
            </w:pPr>
            <w:r>
              <w:rPr>
                <w:sz w:val="21"/>
              </w:rPr>
              <w:t>3.5</w:t>
            </w:r>
          </w:p>
        </w:tc>
        <w:tc>
          <w:tcPr>
            <w:tcW w:w="1730" w:type="dxa"/>
          </w:tcPr>
          <w:p>
            <w:pPr>
              <w:pStyle w:val="TableParagraph"/>
              <w:spacing w:line="242" w:lineRule="exact"/>
              <w:ind w:left="108"/>
              <w:rPr>
                <w:sz w:val="21"/>
              </w:rPr>
            </w:pPr>
            <w:r>
              <w:rPr>
                <w:sz w:val="21"/>
              </w:rPr>
              <w:t>减保</w:t>
            </w:r>
          </w:p>
        </w:tc>
        <w:tc>
          <w:tcPr>
            <w:tcW w:w="835" w:type="dxa"/>
          </w:tcPr>
          <w:p>
            <w:pPr>
              <w:pStyle w:val="TableParagraph"/>
              <w:spacing w:line="242" w:lineRule="exact"/>
              <w:ind w:left="237" w:right="35"/>
              <w:jc w:val="center"/>
              <w:rPr>
                <w:sz w:val="21"/>
              </w:rPr>
            </w:pPr>
            <w:r>
              <w:rPr>
                <w:sz w:val="21"/>
              </w:rPr>
              <w:t>6.4</w:t>
            </w:r>
          </w:p>
        </w:tc>
        <w:tc>
          <w:tcPr>
            <w:tcW w:w="2645" w:type="dxa"/>
          </w:tcPr>
          <w:p>
            <w:pPr>
              <w:pStyle w:val="TableParagraph"/>
              <w:spacing w:line="242" w:lineRule="exact"/>
              <w:ind w:left="53"/>
              <w:rPr>
                <w:sz w:val="21"/>
              </w:rPr>
            </w:pPr>
            <w:r>
              <w:rPr>
                <w:sz w:val="21"/>
              </w:rPr>
              <w:t>本合同所指的轻症疾病</w:t>
            </w:r>
          </w:p>
        </w:tc>
        <w:tc>
          <w:tcPr>
            <w:tcW w:w="754" w:type="dxa"/>
          </w:tcPr>
          <w:p>
            <w:pPr>
              <w:pStyle w:val="TableParagraph"/>
              <w:spacing w:line="240" w:lineRule="auto"/>
              <w:ind w:left="0"/>
              <w:rPr>
                <w:rFonts w:ascii="Times New Roman"/>
                <w:sz w:val="18"/>
              </w:rPr>
            </w:pPr>
          </w:p>
        </w:tc>
        <w:tc>
          <w:tcPr>
            <w:tcW w:w="2206" w:type="dxa"/>
          </w:tcPr>
          <w:p>
            <w:pPr>
              <w:pStyle w:val="TableParagraph"/>
              <w:spacing w:line="240" w:lineRule="auto"/>
              <w:ind w:left="0"/>
              <w:rPr>
                <w:rFonts w:ascii="Times New Roman"/>
                <w:sz w:val="18"/>
              </w:rPr>
            </w:pPr>
          </w:p>
        </w:tc>
      </w:tr>
    </w:tbl>
    <w:p>
      <w:pPr>
        <w:spacing w:after="0" w:line="240" w:lineRule="auto"/>
        <w:rPr>
          <w:rFonts w:ascii="Times New Roman"/>
          <w:sz w:val="18"/>
        </w:rPr>
        <w:sectPr>
          <w:type w:val="continuous"/>
          <w:pgSz w:w="11910" w:h="16840"/>
          <w:pgMar w:top="1040" w:bottom="1180" w:left="1200" w:right="120"/>
        </w:sectPr>
      </w:pPr>
    </w:p>
    <w:p>
      <w:pPr>
        <w:pStyle w:val="BodyText"/>
        <w:spacing w:before="0"/>
        <w:rPr>
          <w:sz w:val="20"/>
        </w:rPr>
      </w:pPr>
    </w:p>
    <w:p>
      <w:pPr>
        <w:pStyle w:val="BodyText"/>
        <w:spacing w:before="2"/>
        <w:rPr>
          <w:sz w:val="19"/>
        </w:rPr>
      </w:pPr>
    </w:p>
    <w:p>
      <w:pPr>
        <w:spacing w:line="411" w:lineRule="exact" w:before="0"/>
        <w:ind w:left="3282" w:right="0" w:firstLine="0"/>
        <w:jc w:val="left"/>
        <w:rPr>
          <w:rFonts w:ascii="Microsoft JhengHei" w:eastAsia="Microsoft JhengHei" w:hint="eastAsia"/>
          <w:b/>
          <w:sz w:val="28"/>
        </w:rPr>
      </w:pPr>
      <w:r>
        <w:rPr>
          <w:rFonts w:ascii="Microsoft JhengHei" w:eastAsia="Microsoft JhengHei" w:hint="eastAsia"/>
          <w:b/>
          <w:w w:val="95"/>
          <w:sz w:val="28"/>
        </w:rPr>
        <w:t>新华人寿保险股份有限公司</w:t>
      </w:r>
    </w:p>
    <w:p>
      <w:pPr>
        <w:spacing w:before="136"/>
        <w:ind w:left="3282" w:right="0" w:firstLine="0"/>
        <w:jc w:val="left"/>
        <w:rPr>
          <w:rFonts w:ascii="Microsoft JhengHei" w:eastAsia="Microsoft JhengHei" w:hint="eastAsia"/>
          <w:b/>
          <w:sz w:val="28"/>
        </w:rPr>
      </w:pPr>
      <w:r>
        <w:rPr>
          <w:rFonts w:ascii="Microsoft JhengHei" w:eastAsia="Microsoft JhengHei" w:hint="eastAsia"/>
          <w:b/>
          <w:w w:val="95"/>
          <w:sz w:val="28"/>
        </w:rPr>
        <w:t>多倍保障重大疾病保险条款</w:t>
      </w:r>
    </w:p>
    <w:p>
      <w:pPr>
        <w:pStyle w:val="BodyText"/>
        <w:spacing w:before="13"/>
        <w:rPr>
          <w:rFonts w:ascii="Microsoft JhengHei"/>
          <w:b/>
          <w:sz w:val="15"/>
        </w:rPr>
      </w:pPr>
    </w:p>
    <w:p>
      <w:pPr>
        <w:pStyle w:val="Heading1"/>
        <w:numPr>
          <w:ilvl w:val="0"/>
          <w:numId w:val="6"/>
        </w:numPr>
        <w:tabs>
          <w:tab w:pos="1112" w:val="left" w:leader="none"/>
          <w:tab w:pos="1113" w:val="left" w:leader="none"/>
        </w:tabs>
        <w:spacing w:line="368" w:lineRule="exact" w:before="0" w:after="11"/>
        <w:ind w:left="1112" w:right="0" w:hanging="892"/>
        <w:jc w:val="left"/>
      </w:pPr>
      <w:r>
        <w:rPr/>
        <w:t>您与我们的合同</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4"/>
        <w:rPr>
          <w:rFonts w:ascii="Microsoft JhengHei"/>
          <w:b/>
          <w:sz w:val="7"/>
        </w:rPr>
      </w:pPr>
    </w:p>
    <w:p>
      <w:pPr>
        <w:pStyle w:val="ListParagraph"/>
        <w:numPr>
          <w:ilvl w:val="1"/>
          <w:numId w:val="6"/>
        </w:numPr>
        <w:tabs>
          <w:tab w:pos="1112" w:val="left" w:leader="none"/>
          <w:tab w:pos="1113" w:val="left" w:leader="none"/>
          <w:tab w:pos="2706" w:val="left" w:leader="none"/>
        </w:tabs>
        <w:spacing w:line="312" w:lineRule="exact" w:before="32" w:after="0"/>
        <w:ind w:left="2284" w:right="268" w:hanging="2064"/>
        <w:jc w:val="both"/>
        <w:rPr>
          <w:rFonts w:ascii="宋体" w:hAnsi="宋体" w:eastAsia="宋体" w:hint="eastAsia"/>
          <w:sz w:val="21"/>
        </w:rPr>
      </w:pPr>
      <w:r>
        <w:rPr>
          <w:b/>
          <w:w w:val="100"/>
          <w:sz w:val="21"/>
        </w:rPr>
        <w:t>合同构成</w:t>
      </w:r>
      <w:r>
        <w:rPr>
          <w:b/>
          <w:sz w:val="21"/>
        </w:rPr>
        <w:tab/>
        <w:tab/>
      </w:r>
      <w:r>
        <w:rPr>
          <w:rFonts w:ascii="宋体" w:hAnsi="宋体" w:eastAsia="宋体" w:hint="eastAsia"/>
          <w:w w:val="100"/>
          <w:sz w:val="21"/>
        </w:rPr>
        <w:t>多倍保障</w:t>
      </w:r>
      <w:r>
        <w:rPr>
          <w:rFonts w:ascii="宋体" w:hAnsi="宋体" w:eastAsia="宋体" w:hint="eastAsia"/>
          <w:spacing w:val="-5"/>
          <w:w w:val="100"/>
          <w:sz w:val="21"/>
        </w:rPr>
        <w:t>重</w:t>
      </w:r>
      <w:r>
        <w:rPr>
          <w:rFonts w:ascii="宋体" w:hAnsi="宋体" w:eastAsia="宋体" w:hint="eastAsia"/>
          <w:w w:val="100"/>
          <w:sz w:val="21"/>
        </w:rPr>
        <w:t>大疾病</w:t>
      </w:r>
      <w:r>
        <w:rPr>
          <w:rFonts w:ascii="宋体" w:hAnsi="宋体" w:eastAsia="宋体" w:hint="eastAsia"/>
          <w:spacing w:val="-5"/>
          <w:w w:val="100"/>
          <w:sz w:val="21"/>
        </w:rPr>
        <w:t>保</w:t>
      </w:r>
      <w:r>
        <w:rPr>
          <w:rFonts w:ascii="宋体" w:hAnsi="宋体" w:eastAsia="宋体" w:hint="eastAsia"/>
          <w:w w:val="100"/>
          <w:sz w:val="21"/>
        </w:rPr>
        <w:t>险合</w:t>
      </w:r>
      <w:r>
        <w:rPr>
          <w:rFonts w:ascii="宋体" w:hAnsi="宋体" w:eastAsia="宋体" w:hint="eastAsia"/>
          <w:spacing w:val="-5"/>
          <w:w w:val="100"/>
          <w:sz w:val="21"/>
        </w:rPr>
        <w:t>同</w:t>
      </w:r>
      <w:r>
        <w:rPr>
          <w:rFonts w:ascii="宋体" w:hAnsi="宋体" w:eastAsia="宋体" w:hint="eastAsia"/>
          <w:w w:val="100"/>
          <w:sz w:val="21"/>
        </w:rPr>
        <w:t>（</w:t>
      </w:r>
      <w:r>
        <w:rPr>
          <w:rFonts w:ascii="宋体" w:hAnsi="宋体" w:eastAsia="宋体" w:hint="eastAsia"/>
          <w:spacing w:val="-5"/>
          <w:w w:val="100"/>
          <w:sz w:val="21"/>
        </w:rPr>
        <w:t>以</w:t>
      </w:r>
      <w:r>
        <w:rPr>
          <w:rFonts w:ascii="宋体" w:hAnsi="宋体" w:eastAsia="宋体" w:hint="eastAsia"/>
          <w:w w:val="100"/>
          <w:sz w:val="21"/>
        </w:rPr>
        <w:t>下简</w:t>
      </w:r>
      <w:r>
        <w:rPr>
          <w:rFonts w:ascii="宋体" w:hAnsi="宋体" w:eastAsia="宋体" w:hint="eastAsia"/>
          <w:spacing w:val="-5"/>
          <w:w w:val="100"/>
          <w:sz w:val="21"/>
        </w:rPr>
        <w:t>称</w:t>
      </w:r>
      <w:r>
        <w:rPr>
          <w:rFonts w:ascii="宋体" w:hAnsi="宋体" w:eastAsia="宋体" w:hint="eastAsia"/>
          <w:w w:val="100"/>
          <w:sz w:val="21"/>
        </w:rPr>
        <w:t>“</w:t>
      </w:r>
      <w:r>
        <w:rPr>
          <w:rFonts w:ascii="宋体" w:hAnsi="宋体" w:eastAsia="宋体" w:hint="eastAsia"/>
          <w:spacing w:val="-5"/>
          <w:w w:val="100"/>
          <w:sz w:val="21"/>
        </w:rPr>
        <w:t>本</w:t>
      </w:r>
      <w:r>
        <w:rPr>
          <w:rFonts w:ascii="宋体" w:hAnsi="宋体" w:eastAsia="宋体" w:hint="eastAsia"/>
          <w:w w:val="100"/>
          <w:sz w:val="21"/>
        </w:rPr>
        <w:t>合同</w:t>
      </w:r>
      <w:r>
        <w:rPr>
          <w:rFonts w:ascii="宋体" w:hAnsi="宋体" w:eastAsia="宋体" w:hint="eastAsia"/>
          <w:spacing w:val="-106"/>
          <w:w w:val="100"/>
          <w:sz w:val="21"/>
        </w:rPr>
        <w:t>”</w:t>
      </w:r>
      <w:r>
        <w:rPr>
          <w:rFonts w:ascii="宋体" w:hAnsi="宋体" w:eastAsia="宋体" w:hint="eastAsia"/>
          <w:spacing w:val="-10"/>
          <w:w w:val="100"/>
          <w:sz w:val="21"/>
        </w:rPr>
        <w:t>）</w:t>
      </w:r>
      <w:r>
        <w:rPr>
          <w:rFonts w:ascii="宋体" w:hAnsi="宋体" w:eastAsia="宋体" w:hint="eastAsia"/>
          <w:w w:val="100"/>
          <w:sz w:val="21"/>
        </w:rPr>
        <w:t>由保险单</w:t>
      </w:r>
      <w:r>
        <w:rPr>
          <w:rFonts w:ascii="宋体" w:hAnsi="宋体" w:eastAsia="宋体" w:hint="eastAsia"/>
          <w:spacing w:val="-5"/>
          <w:w w:val="100"/>
          <w:sz w:val="21"/>
        </w:rPr>
        <w:t>及</w:t>
      </w:r>
      <w:r>
        <w:rPr>
          <w:rFonts w:ascii="宋体" w:hAnsi="宋体" w:eastAsia="宋体" w:hint="eastAsia"/>
          <w:w w:val="100"/>
          <w:sz w:val="21"/>
        </w:rPr>
        <w:t>所附多</w:t>
      </w:r>
      <w:r>
        <w:rPr>
          <w:rFonts w:ascii="宋体" w:hAnsi="宋体" w:eastAsia="宋体" w:hint="eastAsia"/>
          <w:spacing w:val="-5"/>
          <w:w w:val="100"/>
          <w:sz w:val="21"/>
        </w:rPr>
        <w:t>倍</w:t>
      </w:r>
      <w:r>
        <w:rPr>
          <w:rFonts w:ascii="宋体" w:hAnsi="宋体" w:eastAsia="宋体" w:hint="eastAsia"/>
          <w:w w:val="100"/>
          <w:sz w:val="21"/>
        </w:rPr>
        <w:t>保障</w:t>
      </w:r>
      <w:r>
        <w:rPr>
          <w:rFonts w:ascii="宋体" w:hAnsi="宋体" w:eastAsia="宋体" w:hint="eastAsia"/>
          <w:spacing w:val="2"/>
          <w:sz w:val="21"/>
        </w:rPr>
        <w:t>重</w:t>
      </w:r>
      <w:r>
        <w:rPr>
          <w:rFonts w:ascii="宋体" w:hAnsi="宋体" w:eastAsia="宋体" w:hint="eastAsia"/>
          <w:sz w:val="21"/>
        </w:rPr>
        <w:t>大疾</w:t>
      </w:r>
      <w:r>
        <w:rPr>
          <w:rFonts w:ascii="宋体" w:hAnsi="宋体" w:eastAsia="宋体" w:hint="eastAsia"/>
          <w:spacing w:val="2"/>
          <w:sz w:val="21"/>
        </w:rPr>
        <w:t>病</w:t>
      </w:r>
      <w:r>
        <w:rPr>
          <w:rFonts w:ascii="宋体" w:hAnsi="宋体" w:eastAsia="宋体" w:hint="eastAsia"/>
          <w:sz w:val="21"/>
        </w:rPr>
        <w:t>保险条</w:t>
      </w:r>
      <w:r>
        <w:rPr>
          <w:rFonts w:ascii="宋体" w:hAnsi="宋体" w:eastAsia="宋体" w:hint="eastAsia"/>
          <w:spacing w:val="2"/>
          <w:sz w:val="21"/>
        </w:rPr>
        <w:t>款</w:t>
      </w:r>
      <w:r>
        <w:rPr>
          <w:rFonts w:ascii="宋体" w:hAnsi="宋体" w:eastAsia="宋体" w:hint="eastAsia"/>
          <w:sz w:val="21"/>
        </w:rPr>
        <w:t>（以</w:t>
      </w:r>
      <w:r>
        <w:rPr>
          <w:rFonts w:ascii="宋体" w:hAnsi="宋体" w:eastAsia="宋体" w:hint="eastAsia"/>
          <w:spacing w:val="2"/>
          <w:sz w:val="21"/>
        </w:rPr>
        <w:t>下</w:t>
      </w:r>
      <w:r>
        <w:rPr>
          <w:rFonts w:ascii="宋体" w:hAnsi="宋体" w:eastAsia="宋体" w:hint="eastAsia"/>
          <w:sz w:val="21"/>
        </w:rPr>
        <w:t>简称</w:t>
      </w:r>
      <w:r>
        <w:rPr>
          <w:rFonts w:ascii="宋体" w:hAnsi="宋体" w:eastAsia="宋体" w:hint="eastAsia"/>
          <w:spacing w:val="2"/>
          <w:sz w:val="21"/>
        </w:rPr>
        <w:t>“</w:t>
      </w:r>
      <w:r>
        <w:rPr>
          <w:rFonts w:ascii="宋体" w:hAnsi="宋体" w:eastAsia="宋体" w:hint="eastAsia"/>
          <w:sz w:val="21"/>
        </w:rPr>
        <w:t>本条</w:t>
      </w:r>
      <w:r>
        <w:rPr>
          <w:rFonts w:ascii="宋体" w:hAnsi="宋体" w:eastAsia="宋体" w:hint="eastAsia"/>
          <w:spacing w:val="2"/>
          <w:sz w:val="21"/>
        </w:rPr>
        <w:t>款</w:t>
      </w:r>
      <w:r>
        <w:rPr>
          <w:rFonts w:ascii="宋体" w:hAnsi="宋体" w:eastAsia="宋体" w:hint="eastAsia"/>
          <w:spacing w:val="-106"/>
          <w:sz w:val="21"/>
        </w:rPr>
        <w:t>”）</w:t>
      </w:r>
      <w:r>
        <w:rPr>
          <w:rFonts w:ascii="宋体" w:hAnsi="宋体" w:eastAsia="宋体" w:hint="eastAsia"/>
          <w:spacing w:val="2"/>
          <w:sz w:val="21"/>
        </w:rPr>
        <w:t>、</w:t>
      </w:r>
      <w:r>
        <w:rPr>
          <w:rFonts w:ascii="宋体" w:hAnsi="宋体" w:eastAsia="宋体" w:hint="eastAsia"/>
          <w:sz w:val="21"/>
        </w:rPr>
        <w:t>投保</w:t>
      </w:r>
      <w:r>
        <w:rPr>
          <w:rFonts w:ascii="宋体" w:hAnsi="宋体" w:eastAsia="宋体" w:hint="eastAsia"/>
          <w:spacing w:val="2"/>
          <w:sz w:val="21"/>
        </w:rPr>
        <w:t>单</w:t>
      </w:r>
      <w:r>
        <w:rPr>
          <w:rFonts w:ascii="宋体" w:hAnsi="宋体" w:eastAsia="宋体" w:hint="eastAsia"/>
          <w:sz w:val="21"/>
        </w:rPr>
        <w:t>、</w:t>
      </w:r>
      <w:r>
        <w:rPr>
          <w:rFonts w:ascii="宋体" w:hAnsi="宋体" w:eastAsia="宋体" w:hint="eastAsia"/>
          <w:spacing w:val="2"/>
          <w:sz w:val="21"/>
        </w:rPr>
        <w:t>与</w:t>
      </w:r>
      <w:r>
        <w:rPr>
          <w:rFonts w:ascii="宋体" w:hAnsi="宋体" w:eastAsia="宋体" w:hint="eastAsia"/>
          <w:sz w:val="21"/>
        </w:rPr>
        <w:t>本合</w:t>
      </w:r>
      <w:r>
        <w:rPr>
          <w:rFonts w:ascii="宋体" w:hAnsi="宋体" w:eastAsia="宋体" w:hint="eastAsia"/>
          <w:spacing w:val="2"/>
          <w:sz w:val="21"/>
        </w:rPr>
        <w:t>同</w:t>
      </w:r>
      <w:r>
        <w:rPr>
          <w:rFonts w:ascii="宋体" w:hAnsi="宋体" w:eastAsia="宋体" w:hint="eastAsia"/>
          <w:sz w:val="21"/>
        </w:rPr>
        <w:t>有关的</w:t>
      </w:r>
      <w:r>
        <w:rPr>
          <w:rFonts w:ascii="宋体" w:hAnsi="宋体" w:eastAsia="宋体" w:hint="eastAsia"/>
          <w:spacing w:val="2"/>
          <w:sz w:val="21"/>
        </w:rPr>
        <w:t>其</w:t>
      </w:r>
      <w:r>
        <w:rPr>
          <w:rFonts w:ascii="宋体" w:hAnsi="宋体" w:eastAsia="宋体" w:hint="eastAsia"/>
          <w:sz w:val="21"/>
        </w:rPr>
        <w:t>他投</w:t>
      </w:r>
      <w:r>
        <w:rPr>
          <w:rFonts w:ascii="宋体" w:hAnsi="宋体" w:eastAsia="宋体" w:hint="eastAsia"/>
          <w:spacing w:val="2"/>
          <w:sz w:val="21"/>
        </w:rPr>
        <w:t>保</w:t>
      </w:r>
      <w:r>
        <w:rPr>
          <w:rFonts w:ascii="宋体" w:hAnsi="宋体" w:eastAsia="宋体" w:hint="eastAsia"/>
          <w:sz w:val="21"/>
        </w:rPr>
        <w:t>文</w:t>
      </w:r>
      <w:r>
        <w:rPr>
          <w:rFonts w:ascii="宋体" w:hAnsi="宋体" w:eastAsia="宋体" w:hint="eastAsia"/>
          <w:spacing w:val="2"/>
          <w:sz w:val="21"/>
        </w:rPr>
        <w:t>件</w:t>
      </w:r>
      <w:r>
        <w:rPr>
          <w:rFonts w:ascii="宋体" w:hAnsi="宋体" w:eastAsia="宋体" w:hint="eastAsia"/>
          <w:sz w:val="21"/>
        </w:rPr>
        <w:t>、健</w:t>
      </w:r>
      <w:r>
        <w:rPr>
          <w:rFonts w:ascii="宋体" w:hAnsi="宋体" w:eastAsia="宋体" w:hint="eastAsia"/>
          <w:spacing w:val="2"/>
          <w:sz w:val="21"/>
        </w:rPr>
        <w:t>康</w:t>
      </w:r>
      <w:r>
        <w:rPr>
          <w:rFonts w:ascii="宋体" w:hAnsi="宋体" w:eastAsia="宋体" w:hint="eastAsia"/>
          <w:sz w:val="21"/>
        </w:rPr>
        <w:t>告知</w:t>
      </w:r>
      <w:r>
        <w:rPr>
          <w:rFonts w:ascii="宋体" w:hAnsi="宋体" w:eastAsia="宋体" w:hint="eastAsia"/>
          <w:spacing w:val="2"/>
          <w:sz w:val="21"/>
        </w:rPr>
        <w:t>书</w:t>
      </w:r>
      <w:r>
        <w:rPr>
          <w:rFonts w:ascii="宋体" w:hAnsi="宋体" w:eastAsia="宋体" w:hint="eastAsia"/>
          <w:sz w:val="21"/>
        </w:rPr>
        <w:t>、变</w:t>
      </w:r>
      <w:r>
        <w:rPr>
          <w:rFonts w:ascii="宋体" w:hAnsi="宋体" w:eastAsia="宋体" w:hint="eastAsia"/>
          <w:spacing w:val="2"/>
          <w:sz w:val="21"/>
        </w:rPr>
        <w:t>更</w:t>
      </w:r>
      <w:r>
        <w:rPr>
          <w:rFonts w:ascii="宋体" w:hAnsi="宋体" w:eastAsia="宋体" w:hint="eastAsia"/>
          <w:sz w:val="21"/>
        </w:rPr>
        <w:t>申请</w:t>
      </w:r>
      <w:r>
        <w:rPr>
          <w:rFonts w:ascii="宋体" w:hAnsi="宋体" w:eastAsia="宋体" w:hint="eastAsia"/>
          <w:spacing w:val="2"/>
          <w:sz w:val="21"/>
        </w:rPr>
        <w:t>书</w:t>
      </w:r>
      <w:r>
        <w:rPr>
          <w:rFonts w:ascii="宋体" w:hAnsi="宋体" w:eastAsia="宋体" w:hint="eastAsia"/>
          <w:sz w:val="21"/>
        </w:rPr>
        <w:t>、复</w:t>
      </w:r>
      <w:r>
        <w:rPr>
          <w:rFonts w:ascii="宋体" w:hAnsi="宋体" w:eastAsia="宋体" w:hint="eastAsia"/>
          <w:spacing w:val="2"/>
          <w:sz w:val="21"/>
        </w:rPr>
        <w:t>效</w:t>
      </w:r>
      <w:r>
        <w:rPr>
          <w:rFonts w:ascii="宋体" w:hAnsi="宋体" w:eastAsia="宋体" w:hint="eastAsia"/>
          <w:sz w:val="21"/>
        </w:rPr>
        <w:t>申请</w:t>
      </w:r>
      <w:r>
        <w:rPr>
          <w:rFonts w:ascii="宋体" w:hAnsi="宋体" w:eastAsia="宋体" w:hint="eastAsia"/>
          <w:spacing w:val="2"/>
          <w:sz w:val="21"/>
        </w:rPr>
        <w:t>书</w:t>
      </w:r>
      <w:r>
        <w:rPr>
          <w:rFonts w:ascii="宋体" w:hAnsi="宋体" w:eastAsia="宋体" w:hint="eastAsia"/>
          <w:sz w:val="21"/>
        </w:rPr>
        <w:t>、声明、</w:t>
      </w:r>
      <w:r>
        <w:rPr>
          <w:rFonts w:ascii="宋体" w:hAnsi="宋体" w:eastAsia="宋体" w:hint="eastAsia"/>
          <w:spacing w:val="2"/>
          <w:sz w:val="21"/>
        </w:rPr>
        <w:t>批</w:t>
      </w:r>
      <w:r>
        <w:rPr>
          <w:rFonts w:ascii="宋体" w:hAnsi="宋体" w:eastAsia="宋体" w:hint="eastAsia"/>
          <w:sz w:val="21"/>
        </w:rPr>
        <w:t>注、</w:t>
      </w:r>
      <w:r>
        <w:rPr>
          <w:rFonts w:ascii="宋体" w:hAnsi="宋体" w:eastAsia="宋体" w:hint="eastAsia"/>
          <w:spacing w:val="2"/>
          <w:sz w:val="21"/>
        </w:rPr>
        <w:t>附</w:t>
      </w:r>
      <w:r>
        <w:rPr>
          <w:rFonts w:ascii="宋体" w:hAnsi="宋体" w:eastAsia="宋体" w:hint="eastAsia"/>
          <w:sz w:val="21"/>
        </w:rPr>
        <w:t>贴批</w:t>
      </w:r>
      <w:r>
        <w:rPr>
          <w:rFonts w:ascii="宋体" w:hAnsi="宋体" w:eastAsia="宋体" w:hint="eastAsia"/>
          <w:spacing w:val="2"/>
          <w:sz w:val="21"/>
        </w:rPr>
        <w:t>单</w:t>
      </w:r>
      <w:r>
        <w:rPr>
          <w:rFonts w:ascii="宋体" w:hAnsi="宋体" w:eastAsia="宋体" w:hint="eastAsia"/>
          <w:sz w:val="21"/>
        </w:rPr>
        <w:t>及其</w:t>
      </w:r>
      <w:r>
        <w:rPr>
          <w:rFonts w:ascii="宋体" w:hAnsi="宋体" w:eastAsia="宋体" w:hint="eastAsia"/>
          <w:spacing w:val="2"/>
          <w:sz w:val="21"/>
        </w:rPr>
        <w:t>他</w:t>
      </w:r>
      <w:r>
        <w:rPr>
          <w:rFonts w:ascii="宋体" w:hAnsi="宋体" w:eastAsia="宋体" w:hint="eastAsia"/>
          <w:sz w:val="21"/>
        </w:rPr>
        <w:t>书面协议构成。</w:t>
      </w:r>
    </w:p>
    <w:p>
      <w:pPr>
        <w:pStyle w:val="ListParagraph"/>
        <w:numPr>
          <w:ilvl w:val="1"/>
          <w:numId w:val="6"/>
        </w:numPr>
        <w:tabs>
          <w:tab w:pos="1112" w:val="left" w:leader="none"/>
          <w:tab w:pos="1113" w:val="left" w:leader="none"/>
          <w:tab w:pos="2706" w:val="left" w:leader="none"/>
        </w:tabs>
        <w:spacing w:line="240" w:lineRule="auto" w:before="139" w:after="0"/>
        <w:ind w:left="2284" w:right="0" w:hanging="2064"/>
        <w:jc w:val="left"/>
        <w:rPr>
          <w:rFonts w:ascii="宋体" w:eastAsia="宋体" w:hint="eastAsia"/>
          <w:sz w:val="21"/>
        </w:rPr>
      </w:pPr>
      <w:r>
        <w:rPr>
          <w:b/>
          <w:w w:val="100"/>
          <w:sz w:val="21"/>
        </w:rPr>
        <w:t>投保范围</w:t>
      </w:r>
      <w:r>
        <w:rPr>
          <w:b/>
          <w:sz w:val="21"/>
        </w:rPr>
        <w:tab/>
      </w:r>
      <w:r>
        <w:rPr>
          <w:rFonts w:ascii="宋体" w:eastAsia="宋体" w:hint="eastAsia"/>
          <w:w w:val="100"/>
          <w:sz w:val="21"/>
        </w:rPr>
        <w:t>1.被保险</w:t>
      </w:r>
      <w:r>
        <w:rPr>
          <w:rFonts w:ascii="宋体" w:eastAsia="宋体" w:hint="eastAsia"/>
          <w:spacing w:val="-5"/>
          <w:w w:val="100"/>
          <w:sz w:val="21"/>
        </w:rPr>
        <w:t>人</w:t>
      </w:r>
      <w:r>
        <w:rPr>
          <w:rFonts w:ascii="宋体" w:eastAsia="宋体" w:hint="eastAsia"/>
          <w:w w:val="100"/>
          <w:sz w:val="21"/>
        </w:rPr>
        <w:t>范围</w:t>
      </w:r>
      <w:r>
        <w:rPr>
          <w:rFonts w:ascii="宋体" w:eastAsia="宋体" w:hint="eastAsia"/>
          <w:spacing w:val="-5"/>
          <w:w w:val="100"/>
          <w:sz w:val="21"/>
        </w:rPr>
        <w:t>：</w:t>
      </w:r>
      <w:r>
        <w:rPr>
          <w:rFonts w:ascii="宋体" w:eastAsia="宋体" w:hint="eastAsia"/>
          <w:w w:val="100"/>
          <w:sz w:val="21"/>
        </w:rPr>
        <w:t>凡年满</w:t>
      </w:r>
      <w:r>
        <w:rPr>
          <w:rFonts w:ascii="宋体" w:eastAsia="宋体" w:hint="eastAsia"/>
          <w:spacing w:val="-57"/>
          <w:sz w:val="21"/>
        </w:rPr>
        <w:t> </w:t>
      </w:r>
      <w:r>
        <w:rPr>
          <w:rFonts w:ascii="宋体" w:eastAsia="宋体" w:hint="eastAsia"/>
          <w:w w:val="100"/>
          <w:sz w:val="21"/>
        </w:rPr>
        <w:t>18</w:t>
      </w:r>
      <w:r>
        <w:rPr>
          <w:rFonts w:ascii="宋体" w:eastAsia="宋体" w:hint="eastAsia"/>
          <w:spacing w:val="-53"/>
          <w:sz w:val="21"/>
        </w:rPr>
        <w:t> </w:t>
      </w:r>
      <w:r>
        <w:rPr>
          <w:rFonts w:ascii="宋体" w:eastAsia="宋体" w:hint="eastAsia"/>
          <w:w w:val="100"/>
          <w:sz w:val="21"/>
        </w:rPr>
        <w:t>周</w:t>
      </w:r>
      <w:r>
        <w:rPr>
          <w:rFonts w:ascii="宋体" w:eastAsia="宋体" w:hint="eastAsia"/>
          <w:spacing w:val="-5"/>
          <w:w w:val="100"/>
          <w:sz w:val="21"/>
        </w:rPr>
        <w:t>岁</w:t>
      </w:r>
      <w:r>
        <w:rPr>
          <w:rFonts w:ascii="宋体" w:eastAsia="宋体" w:hint="eastAsia"/>
          <w:w w:val="100"/>
          <w:sz w:val="21"/>
        </w:rPr>
        <w:t>（</w:t>
      </w:r>
      <w:r>
        <w:rPr>
          <w:rFonts w:ascii="宋体" w:eastAsia="宋体" w:hint="eastAsia"/>
          <w:spacing w:val="-5"/>
          <w:w w:val="100"/>
          <w:sz w:val="21"/>
        </w:rPr>
        <w:t>详</w:t>
      </w:r>
      <w:r>
        <w:rPr>
          <w:rFonts w:ascii="宋体" w:eastAsia="宋体" w:hint="eastAsia"/>
          <w:w w:val="100"/>
          <w:sz w:val="21"/>
        </w:rPr>
        <w:t>见释义</w:t>
      </w:r>
      <w:r>
        <w:rPr>
          <w:rFonts w:ascii="宋体" w:eastAsia="宋体" w:hint="eastAsia"/>
          <w:spacing w:val="-106"/>
          <w:w w:val="100"/>
          <w:sz w:val="21"/>
        </w:rPr>
        <w:t>）</w:t>
      </w:r>
      <w:r>
        <w:rPr>
          <w:rFonts w:ascii="宋体" w:eastAsia="宋体" w:hint="eastAsia"/>
          <w:spacing w:val="-5"/>
          <w:w w:val="100"/>
          <w:sz w:val="21"/>
        </w:rPr>
        <w:t>，</w:t>
      </w:r>
      <w:r>
        <w:rPr>
          <w:rFonts w:ascii="宋体" w:eastAsia="宋体" w:hint="eastAsia"/>
          <w:w w:val="100"/>
          <w:sz w:val="21"/>
        </w:rPr>
        <w:t>男</w:t>
      </w:r>
      <w:r>
        <w:rPr>
          <w:rFonts w:ascii="宋体" w:eastAsia="宋体" w:hint="eastAsia"/>
          <w:spacing w:val="-5"/>
          <w:w w:val="100"/>
          <w:sz w:val="21"/>
        </w:rPr>
        <w:t>性</w:t>
      </w:r>
      <w:r>
        <w:rPr>
          <w:rFonts w:ascii="宋体" w:eastAsia="宋体" w:hint="eastAsia"/>
          <w:w w:val="100"/>
          <w:sz w:val="21"/>
        </w:rPr>
        <w:t>不满</w:t>
      </w:r>
      <w:r>
        <w:rPr>
          <w:rFonts w:ascii="宋体" w:eastAsia="宋体" w:hint="eastAsia"/>
          <w:spacing w:val="-53"/>
          <w:sz w:val="21"/>
        </w:rPr>
        <w:t> </w:t>
      </w:r>
      <w:r>
        <w:rPr>
          <w:rFonts w:ascii="宋体" w:eastAsia="宋体" w:hint="eastAsia"/>
          <w:w w:val="100"/>
          <w:sz w:val="21"/>
        </w:rPr>
        <w:t>51</w:t>
      </w:r>
      <w:r>
        <w:rPr>
          <w:rFonts w:ascii="宋体" w:eastAsia="宋体" w:hint="eastAsia"/>
          <w:spacing w:val="-53"/>
          <w:sz w:val="21"/>
        </w:rPr>
        <w:t> </w:t>
      </w:r>
      <w:r>
        <w:rPr>
          <w:rFonts w:ascii="宋体" w:eastAsia="宋体" w:hint="eastAsia"/>
          <w:w w:val="100"/>
          <w:sz w:val="21"/>
        </w:rPr>
        <w:t>周岁</w:t>
      </w:r>
      <w:r>
        <w:rPr>
          <w:rFonts w:ascii="宋体" w:eastAsia="宋体" w:hint="eastAsia"/>
          <w:spacing w:val="-5"/>
          <w:w w:val="100"/>
          <w:sz w:val="21"/>
        </w:rPr>
        <w:t>、女</w:t>
      </w:r>
      <w:r>
        <w:rPr>
          <w:rFonts w:ascii="宋体" w:eastAsia="宋体" w:hint="eastAsia"/>
          <w:w w:val="100"/>
          <w:sz w:val="21"/>
        </w:rPr>
        <w:t>性不满</w:t>
      </w:r>
    </w:p>
    <w:p>
      <w:pPr>
        <w:pStyle w:val="BodyText"/>
        <w:spacing w:before="13"/>
        <w:ind w:left="2283"/>
      </w:pPr>
      <w:r>
        <w:rPr/>
        <w:t>56 周岁，身体健康者均可作为被保险人参加本保险。</w:t>
      </w:r>
    </w:p>
    <w:p>
      <w:pPr>
        <w:pStyle w:val="BodyText"/>
        <w:spacing w:line="273" w:lineRule="auto"/>
        <w:ind w:left="2283" w:right="268" w:firstLine="422"/>
      </w:pPr>
      <w:r>
        <w:rPr/>
        <w:t>2.投保人范围：被保险人本人或对被保险人有保险利益的其他人可作为投保人向本公司投保本保险。</w:t>
      </w:r>
    </w:p>
    <w:p>
      <w:pPr>
        <w:pStyle w:val="BodyText"/>
        <w:spacing w:before="2"/>
        <w:rPr>
          <w:sz w:val="13"/>
        </w:rPr>
      </w:pPr>
    </w:p>
    <w:p>
      <w:pPr>
        <w:spacing w:after="0"/>
        <w:rPr>
          <w:sz w:val="13"/>
        </w:rPr>
        <w:sectPr>
          <w:headerReference w:type="default" r:id="rId9"/>
          <w:pgSz w:w="11910" w:h="16840"/>
          <w:pgMar w:header="870" w:footer="998" w:top="1120" w:bottom="1180" w:left="980" w:right="920"/>
        </w:sectPr>
      </w:pPr>
    </w:p>
    <w:p>
      <w:pPr>
        <w:pStyle w:val="Heading2"/>
        <w:numPr>
          <w:ilvl w:val="1"/>
          <w:numId w:val="6"/>
        </w:numPr>
        <w:tabs>
          <w:tab w:pos="1112" w:val="left" w:leader="none"/>
          <w:tab w:pos="1113" w:val="left" w:leader="none"/>
        </w:tabs>
        <w:spacing w:line="204" w:lineRule="auto" w:before="24" w:after="0"/>
        <w:ind w:left="1112" w:right="0" w:hanging="892"/>
        <w:jc w:val="left"/>
      </w:pPr>
      <w:r>
        <w:rPr>
          <w:spacing w:val="26"/>
        </w:rPr>
        <w:t>合同成立与生效</w:t>
      </w:r>
    </w:p>
    <w:p>
      <w:pPr>
        <w:pStyle w:val="BodyText"/>
        <w:spacing w:line="273" w:lineRule="auto"/>
        <w:ind w:left="171" w:right="268" w:firstLine="422"/>
        <w:jc w:val="both"/>
      </w:pPr>
      <w:r>
        <w:rPr/>
        <w:br w:type="column"/>
      </w:r>
      <w:r>
        <w:rPr/>
        <w:t>您提出保险申请、本公司同意承保，本合同成立，合同成立日期在保险单上载明。</w:t>
      </w:r>
    </w:p>
    <w:p>
      <w:pPr>
        <w:pStyle w:val="Heading2"/>
        <w:spacing w:line="312" w:lineRule="exact" w:before="2"/>
        <w:ind w:left="171" w:right="273" w:firstLine="422"/>
        <w:jc w:val="both"/>
        <w:rPr>
          <w:rFonts w:ascii="宋体" w:eastAsia="宋体" w:hint="eastAsia"/>
          <w:b w:val="0"/>
        </w:rPr>
      </w:pPr>
      <w:r>
        <w:rPr/>
        <w:t>除另有约定外，自本合同成立、本公司收取首期保险费并签发保险单的次日零时起本合同生效，本公司开始承担保险责任，合同生效日期在保险单上载明。</w:t>
      </w:r>
      <w:r>
        <w:rPr>
          <w:rFonts w:ascii="宋体" w:eastAsia="宋体" w:hint="eastAsia"/>
          <w:b w:val="0"/>
        </w:rPr>
        <w:t>本合同生效日即为保单生效日。</w:t>
      </w:r>
    </w:p>
    <w:p>
      <w:pPr>
        <w:spacing w:after="0" w:line="312" w:lineRule="exact"/>
        <w:jc w:val="both"/>
        <w:rPr>
          <w:rFonts w:ascii="宋体" w:eastAsia="宋体" w:hint="eastAsia"/>
        </w:rPr>
        <w:sectPr>
          <w:type w:val="continuous"/>
          <w:pgSz w:w="11910" w:h="16840"/>
          <w:pgMar w:top="1040" w:bottom="1180" w:left="980" w:right="920"/>
          <w:cols w:num="2" w:equalWidth="0">
            <w:col w:w="2073" w:space="40"/>
            <w:col w:w="7897"/>
          </w:cols>
        </w:sectPr>
      </w:pPr>
    </w:p>
    <w:p>
      <w:pPr>
        <w:pStyle w:val="BodyText"/>
        <w:spacing w:before="4"/>
        <w:rPr>
          <w:sz w:val="18"/>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354"/>
        <w:gridCol w:w="7711"/>
      </w:tblGrid>
      <w:tr>
        <w:trPr>
          <w:trHeight w:val="672" w:hRule="atLeast"/>
        </w:trPr>
        <w:tc>
          <w:tcPr>
            <w:tcW w:w="655" w:type="dxa"/>
          </w:tcPr>
          <w:p>
            <w:pPr>
              <w:pStyle w:val="TableParagraph"/>
              <w:spacing w:line="235" w:lineRule="exact"/>
              <w:ind w:left="50"/>
              <w:rPr>
                <w:rFonts w:ascii="Microsoft JhengHei"/>
                <w:b/>
                <w:sz w:val="21"/>
              </w:rPr>
            </w:pPr>
            <w:r>
              <w:rPr>
                <w:rFonts w:ascii="Microsoft JhengHei"/>
                <w:b/>
                <w:w w:val="105"/>
                <w:sz w:val="21"/>
              </w:rPr>
              <w:t>1.4</w:t>
            </w:r>
          </w:p>
        </w:tc>
        <w:tc>
          <w:tcPr>
            <w:tcW w:w="1354" w:type="dxa"/>
          </w:tcPr>
          <w:p>
            <w:pPr>
              <w:pStyle w:val="TableParagraph"/>
              <w:spacing w:line="208" w:lineRule="exact"/>
              <w:ind w:left="287"/>
              <w:rPr>
                <w:rFonts w:ascii="Microsoft JhengHei" w:eastAsia="Microsoft JhengHei" w:hint="eastAsia"/>
                <w:b/>
                <w:sz w:val="21"/>
              </w:rPr>
            </w:pPr>
            <w:r>
              <w:rPr>
                <w:rFonts w:ascii="Microsoft JhengHei" w:eastAsia="Microsoft JhengHei" w:hint="eastAsia"/>
                <w:b/>
                <w:sz w:val="21"/>
              </w:rPr>
              <w:t>合同内容</w:t>
            </w:r>
          </w:p>
          <w:p>
            <w:pPr>
              <w:pStyle w:val="TableParagraph"/>
              <w:spacing w:line="339" w:lineRule="exact"/>
              <w:ind w:left="287"/>
              <w:rPr>
                <w:rFonts w:ascii="Microsoft JhengHei" w:eastAsia="Microsoft JhengHei" w:hint="eastAsia"/>
                <w:b/>
                <w:sz w:val="21"/>
              </w:rPr>
            </w:pPr>
            <w:r>
              <w:rPr>
                <w:rFonts w:ascii="Microsoft JhengHei" w:eastAsia="Microsoft JhengHei" w:hint="eastAsia"/>
                <w:b/>
                <w:sz w:val="21"/>
              </w:rPr>
              <w:t>变更</w:t>
            </w:r>
          </w:p>
        </w:tc>
        <w:tc>
          <w:tcPr>
            <w:tcW w:w="7711" w:type="dxa"/>
          </w:tcPr>
          <w:p>
            <w:pPr>
              <w:pStyle w:val="TableParagraph"/>
              <w:spacing w:line="211" w:lineRule="exact"/>
              <w:ind w:left="527"/>
              <w:rPr>
                <w:sz w:val="21"/>
              </w:rPr>
            </w:pPr>
            <w:r>
              <w:rPr>
                <w:sz w:val="21"/>
              </w:rPr>
              <w:t>您和本公司可以协商变更本合同的有关内容。变更本合同的，由本公司在保</w:t>
            </w:r>
          </w:p>
          <w:p>
            <w:pPr>
              <w:pStyle w:val="TableParagraph"/>
              <w:spacing w:line="240" w:lineRule="auto" w:before="37"/>
              <w:ind w:left="105"/>
              <w:rPr>
                <w:sz w:val="21"/>
              </w:rPr>
            </w:pPr>
            <w:r>
              <w:rPr>
                <w:sz w:val="21"/>
              </w:rPr>
              <w:t>险单上批注或附贴批单，或由您和本公司订立变更的书面协议。</w:t>
            </w:r>
          </w:p>
        </w:tc>
      </w:tr>
      <w:tr>
        <w:trPr>
          <w:trHeight w:val="3319" w:hRule="atLeast"/>
        </w:trPr>
        <w:tc>
          <w:tcPr>
            <w:tcW w:w="655" w:type="dxa"/>
          </w:tcPr>
          <w:p>
            <w:pPr>
              <w:pStyle w:val="TableParagraph"/>
              <w:spacing w:line="240" w:lineRule="auto" w:before="18"/>
              <w:ind w:left="50"/>
              <w:rPr>
                <w:rFonts w:ascii="Microsoft JhengHei"/>
                <w:b/>
                <w:sz w:val="21"/>
              </w:rPr>
            </w:pPr>
            <w:r>
              <w:rPr>
                <w:rFonts w:ascii="Microsoft JhengHei"/>
                <w:b/>
                <w:w w:val="105"/>
                <w:sz w:val="21"/>
              </w:rPr>
              <w:t>1.5</w:t>
            </w:r>
          </w:p>
        </w:tc>
        <w:tc>
          <w:tcPr>
            <w:tcW w:w="1354" w:type="dxa"/>
          </w:tcPr>
          <w:p>
            <w:pPr>
              <w:pStyle w:val="TableParagraph"/>
              <w:spacing w:line="204" w:lineRule="auto" w:before="73"/>
              <w:ind w:left="287" w:right="104"/>
              <w:jc w:val="both"/>
              <w:rPr>
                <w:rFonts w:ascii="Microsoft JhengHei" w:eastAsia="Microsoft JhengHei" w:hint="eastAsia"/>
                <w:b/>
                <w:sz w:val="21"/>
              </w:rPr>
            </w:pPr>
            <w:r>
              <w:rPr>
                <w:rFonts w:ascii="Microsoft JhengHei" w:eastAsia="Microsoft JhengHei" w:hint="eastAsia"/>
                <w:b/>
                <w:sz w:val="21"/>
              </w:rPr>
              <w:t>投保人解除合同的手续及风险</w:t>
            </w:r>
          </w:p>
        </w:tc>
        <w:tc>
          <w:tcPr>
            <w:tcW w:w="7711" w:type="dxa"/>
          </w:tcPr>
          <w:p>
            <w:pPr>
              <w:pStyle w:val="TableParagraph"/>
              <w:spacing w:line="273" w:lineRule="auto" w:before="85"/>
              <w:ind w:left="105" w:right="154" w:firstLine="422"/>
              <w:rPr>
                <w:sz w:val="21"/>
              </w:rPr>
            </w:pPr>
            <w:r>
              <w:rPr>
                <w:sz w:val="21"/>
              </w:rPr>
              <w:t>1.</w:t>
            </w:r>
            <w:r>
              <w:rPr>
                <w:spacing w:val="-7"/>
                <w:sz w:val="21"/>
              </w:rPr>
              <w:t>本合同生效后，本公司为您提供 </w:t>
            </w:r>
            <w:r>
              <w:rPr>
                <w:sz w:val="21"/>
              </w:rPr>
              <w:t>10</w:t>
            </w:r>
            <w:r>
              <w:rPr>
                <w:spacing w:val="-8"/>
                <w:sz w:val="21"/>
              </w:rPr>
              <w:t> 日的犹豫期，犹豫期指您收到保险单并</w:t>
            </w:r>
            <w:r>
              <w:rPr>
                <w:spacing w:val="-10"/>
                <w:sz w:val="21"/>
              </w:rPr>
              <w:t>书面签收之日起 </w:t>
            </w:r>
            <w:r>
              <w:rPr>
                <w:sz w:val="21"/>
              </w:rPr>
              <w:t>10</w:t>
            </w:r>
            <w:r>
              <w:rPr>
                <w:spacing w:val="-7"/>
                <w:sz w:val="21"/>
              </w:rPr>
              <w:t> 日的期间，您在上述期间内要求解除本合同的，本公司自本合</w:t>
            </w:r>
          </w:p>
          <w:p>
            <w:pPr>
              <w:pStyle w:val="TableParagraph"/>
              <w:spacing w:line="240" w:lineRule="auto" w:before="7"/>
              <w:ind w:left="105"/>
              <w:rPr>
                <w:sz w:val="21"/>
              </w:rPr>
            </w:pPr>
            <w:r>
              <w:rPr>
                <w:spacing w:val="-6"/>
                <w:sz w:val="21"/>
              </w:rPr>
              <w:t>同解除之日起 </w:t>
            </w:r>
            <w:r>
              <w:rPr>
                <w:sz w:val="21"/>
              </w:rPr>
              <w:t>10</w:t>
            </w:r>
            <w:r>
              <w:rPr>
                <w:spacing w:val="-8"/>
                <w:sz w:val="21"/>
              </w:rPr>
              <w:t> 日内在扣除工本费后退还本保险实际交纳的保险费</w:t>
            </w:r>
            <w:r>
              <w:rPr>
                <w:sz w:val="21"/>
              </w:rPr>
              <w:t>（</w:t>
            </w:r>
            <w:r>
              <w:rPr>
                <w:spacing w:val="-2"/>
                <w:sz w:val="21"/>
              </w:rPr>
              <w:t>详见释义</w:t>
            </w:r>
            <w:r>
              <w:rPr>
                <w:spacing w:val="-106"/>
                <w:sz w:val="21"/>
              </w:rPr>
              <w:t>）</w:t>
            </w:r>
            <w:r>
              <w:rPr>
                <w:sz w:val="21"/>
              </w:rPr>
              <w:t>。</w:t>
            </w:r>
          </w:p>
          <w:p>
            <w:pPr>
              <w:pStyle w:val="TableParagraph"/>
              <w:spacing w:line="218" w:lineRule="auto" w:before="61"/>
              <w:ind w:left="105" w:right="135" w:firstLine="422"/>
              <w:rPr>
                <w:rFonts w:ascii="Microsoft JhengHei" w:eastAsia="Microsoft JhengHei" w:hint="eastAsia"/>
                <w:b/>
                <w:sz w:val="21"/>
              </w:rPr>
            </w:pPr>
            <w:r>
              <w:rPr>
                <w:sz w:val="21"/>
              </w:rPr>
              <w:t>2.</w:t>
            </w:r>
            <w:r>
              <w:rPr>
                <w:spacing w:val="-7"/>
                <w:sz w:val="21"/>
              </w:rPr>
              <w:t>您在犹豫期后要求解除本合同的，本公司自本合同解除之日起 </w:t>
            </w:r>
            <w:r>
              <w:rPr>
                <w:spacing w:val="-3"/>
                <w:sz w:val="21"/>
              </w:rPr>
              <w:t>10</w:t>
            </w:r>
            <w:r>
              <w:rPr>
                <w:spacing w:val="-9"/>
                <w:sz w:val="21"/>
              </w:rPr>
              <w:t> 日内向您</w:t>
            </w:r>
            <w:r>
              <w:rPr>
                <w:spacing w:val="-7"/>
                <w:sz w:val="21"/>
              </w:rPr>
              <w:t>退还保险单的现金价值</w:t>
            </w:r>
            <w:r>
              <w:rPr>
                <w:sz w:val="21"/>
              </w:rPr>
              <w:t>（</w:t>
            </w:r>
            <w:r>
              <w:rPr>
                <w:spacing w:val="-2"/>
                <w:sz w:val="21"/>
              </w:rPr>
              <w:t>详见释义</w:t>
            </w:r>
            <w:r>
              <w:rPr>
                <w:spacing w:val="-111"/>
                <w:sz w:val="21"/>
              </w:rPr>
              <w:t>）</w:t>
            </w:r>
            <w:r>
              <w:rPr>
                <w:spacing w:val="-5"/>
                <w:sz w:val="21"/>
              </w:rPr>
              <w:t>。</w:t>
            </w:r>
            <w:r>
              <w:rPr>
                <w:rFonts w:ascii="Microsoft JhengHei" w:eastAsia="Microsoft JhengHei" w:hint="eastAsia"/>
                <w:b/>
                <w:spacing w:val="-1"/>
                <w:sz w:val="21"/>
              </w:rPr>
              <w:t>您犹豫期后解除合同可能会遭受一定损失。</w:t>
            </w:r>
          </w:p>
          <w:p>
            <w:pPr>
              <w:pStyle w:val="TableParagraph"/>
              <w:spacing w:line="240" w:lineRule="auto" w:before="12"/>
              <w:ind w:left="527"/>
              <w:rPr>
                <w:sz w:val="21"/>
              </w:rPr>
            </w:pPr>
            <w:r>
              <w:rPr>
                <w:sz w:val="21"/>
              </w:rPr>
              <w:t>3.您要求解除本合同时，应填写合同解除申请书，并提供下列证明和资料：</w:t>
            </w:r>
          </w:p>
          <w:p>
            <w:pPr>
              <w:pStyle w:val="TableParagraph"/>
              <w:spacing w:line="240" w:lineRule="auto" w:before="36"/>
              <w:ind w:left="527"/>
              <w:rPr>
                <w:sz w:val="21"/>
              </w:rPr>
            </w:pPr>
            <w:r>
              <w:rPr>
                <w:sz w:val="21"/>
              </w:rPr>
              <w:t>（1）保险合同；</w:t>
            </w:r>
          </w:p>
          <w:p>
            <w:pPr>
              <w:pStyle w:val="TableParagraph"/>
              <w:spacing w:line="240" w:lineRule="auto" w:before="36"/>
              <w:ind w:left="527"/>
              <w:rPr>
                <w:sz w:val="21"/>
              </w:rPr>
            </w:pPr>
            <w:r>
              <w:rPr>
                <w:sz w:val="21"/>
              </w:rPr>
              <w:t>（2）您的有效身份证件。</w:t>
            </w:r>
          </w:p>
          <w:p>
            <w:pPr>
              <w:pStyle w:val="TableParagraph"/>
              <w:spacing w:line="218" w:lineRule="auto" w:before="61"/>
              <w:ind w:left="527" w:right="667"/>
              <w:rPr>
                <w:rFonts w:ascii="Microsoft JhengHei" w:eastAsia="Microsoft JhengHei" w:hint="eastAsia"/>
                <w:b/>
                <w:sz w:val="21"/>
              </w:rPr>
            </w:pPr>
            <w:r>
              <w:rPr>
                <w:sz w:val="21"/>
              </w:rPr>
              <w:t>自本公司收到合同解除申请书及上述证明和资料之日起，本合同终止。</w:t>
            </w:r>
            <w:r>
              <w:rPr>
                <w:rFonts w:ascii="Microsoft JhengHei" w:eastAsia="Microsoft JhengHei" w:hint="eastAsia"/>
                <w:b/>
                <w:sz w:val="21"/>
              </w:rPr>
              <w:t>除另有约定外，如已发生保险金给付的，您不得要求解除本合同。</w:t>
            </w:r>
          </w:p>
        </w:tc>
      </w:tr>
      <w:tr>
        <w:trPr>
          <w:trHeight w:val="412" w:hRule="atLeast"/>
        </w:trPr>
        <w:tc>
          <w:tcPr>
            <w:tcW w:w="655" w:type="dxa"/>
          </w:tcPr>
          <w:p>
            <w:pPr>
              <w:pStyle w:val="TableParagraph"/>
              <w:spacing w:line="240" w:lineRule="auto" w:before="20"/>
              <w:ind w:left="50"/>
              <w:rPr>
                <w:rFonts w:ascii="Microsoft JhengHei"/>
                <w:b/>
                <w:sz w:val="21"/>
              </w:rPr>
            </w:pPr>
            <w:r>
              <w:rPr>
                <w:rFonts w:ascii="Microsoft JhengHei"/>
                <w:b/>
                <w:w w:val="105"/>
                <w:sz w:val="21"/>
              </w:rPr>
              <w:t>1.6</w:t>
            </w:r>
          </w:p>
        </w:tc>
        <w:tc>
          <w:tcPr>
            <w:tcW w:w="1354" w:type="dxa"/>
          </w:tcPr>
          <w:p>
            <w:pPr>
              <w:pStyle w:val="TableParagraph"/>
              <w:spacing w:line="240" w:lineRule="auto" w:before="20"/>
              <w:ind w:left="287"/>
              <w:rPr>
                <w:rFonts w:ascii="Microsoft JhengHei" w:eastAsia="Microsoft JhengHei" w:hint="eastAsia"/>
                <w:b/>
                <w:sz w:val="21"/>
              </w:rPr>
            </w:pPr>
            <w:r>
              <w:rPr>
                <w:rFonts w:ascii="Microsoft JhengHei" w:eastAsia="Microsoft JhengHei" w:hint="eastAsia"/>
                <w:b/>
                <w:sz w:val="21"/>
              </w:rPr>
              <w:t>合同终止</w:t>
            </w:r>
          </w:p>
        </w:tc>
        <w:tc>
          <w:tcPr>
            <w:tcW w:w="7711" w:type="dxa"/>
          </w:tcPr>
          <w:p>
            <w:pPr>
              <w:pStyle w:val="TableParagraph"/>
              <w:spacing w:line="240" w:lineRule="auto" w:before="87"/>
              <w:ind w:left="527"/>
              <w:rPr>
                <w:sz w:val="21"/>
              </w:rPr>
            </w:pPr>
            <w:r>
              <w:rPr>
                <w:sz w:val="21"/>
              </w:rPr>
              <w:t>以下任何一种情况发生时，本合同终止：</w:t>
            </w:r>
          </w:p>
        </w:tc>
      </w:tr>
      <w:tr>
        <w:trPr>
          <w:trHeight w:val="311" w:hRule="atLeast"/>
        </w:trPr>
        <w:tc>
          <w:tcPr>
            <w:tcW w:w="2009" w:type="dxa"/>
            <w:gridSpan w:val="2"/>
            <w:vMerge w:val="restart"/>
          </w:tcPr>
          <w:p>
            <w:pPr>
              <w:pStyle w:val="TableParagraph"/>
              <w:spacing w:line="240" w:lineRule="auto"/>
              <w:ind w:left="0"/>
              <w:rPr>
                <w:rFonts w:ascii="Times New Roman"/>
                <w:sz w:val="20"/>
              </w:rPr>
            </w:pPr>
          </w:p>
        </w:tc>
        <w:tc>
          <w:tcPr>
            <w:tcW w:w="7711" w:type="dxa"/>
          </w:tcPr>
          <w:p>
            <w:pPr>
              <w:pStyle w:val="TableParagraph"/>
              <w:spacing w:line="261" w:lineRule="exact"/>
              <w:ind w:left="527"/>
              <w:rPr>
                <w:sz w:val="21"/>
              </w:rPr>
            </w:pPr>
            <w:r>
              <w:rPr>
                <w:sz w:val="21"/>
              </w:rPr>
              <w:t>1.在本合同有效期内解除本合同的；</w:t>
            </w:r>
          </w:p>
        </w:tc>
      </w:tr>
      <w:tr>
        <w:trPr>
          <w:trHeight w:val="311" w:hRule="atLeast"/>
        </w:trPr>
        <w:tc>
          <w:tcPr>
            <w:tcW w:w="2009" w:type="dxa"/>
            <w:gridSpan w:val="2"/>
            <w:vMerge/>
            <w:tcBorders>
              <w:top w:val="nil"/>
            </w:tcBorders>
          </w:tcPr>
          <w:p>
            <w:pPr>
              <w:rPr>
                <w:sz w:val="2"/>
                <w:szCs w:val="2"/>
              </w:rPr>
            </w:pPr>
          </w:p>
        </w:tc>
        <w:tc>
          <w:tcPr>
            <w:tcW w:w="7711" w:type="dxa"/>
          </w:tcPr>
          <w:p>
            <w:pPr>
              <w:pStyle w:val="TableParagraph"/>
              <w:spacing w:line="261" w:lineRule="exact"/>
              <w:ind w:left="527"/>
              <w:rPr>
                <w:sz w:val="21"/>
              </w:rPr>
            </w:pPr>
            <w:r>
              <w:rPr>
                <w:sz w:val="21"/>
              </w:rPr>
              <w:t>2.本公司已经履行完毕保险责任的；</w:t>
            </w:r>
          </w:p>
        </w:tc>
      </w:tr>
      <w:tr>
        <w:trPr>
          <w:trHeight w:val="261" w:hRule="atLeast"/>
        </w:trPr>
        <w:tc>
          <w:tcPr>
            <w:tcW w:w="2009" w:type="dxa"/>
            <w:gridSpan w:val="2"/>
            <w:vMerge/>
            <w:tcBorders>
              <w:top w:val="nil"/>
            </w:tcBorders>
          </w:tcPr>
          <w:p>
            <w:pPr>
              <w:rPr>
                <w:sz w:val="2"/>
                <w:szCs w:val="2"/>
              </w:rPr>
            </w:pPr>
          </w:p>
        </w:tc>
        <w:tc>
          <w:tcPr>
            <w:tcW w:w="7711" w:type="dxa"/>
          </w:tcPr>
          <w:p>
            <w:pPr>
              <w:pStyle w:val="TableParagraph"/>
              <w:spacing w:line="242" w:lineRule="exact"/>
              <w:ind w:left="527"/>
              <w:rPr>
                <w:sz w:val="21"/>
              </w:rPr>
            </w:pPr>
            <w:r>
              <w:rPr>
                <w:sz w:val="21"/>
              </w:rPr>
              <w:t>3.本合同因条款所列其他情况而终止的。</w:t>
            </w:r>
          </w:p>
        </w:tc>
      </w:tr>
    </w:tbl>
    <w:p>
      <w:pPr>
        <w:pStyle w:val="BodyText"/>
        <w:spacing w:before="4"/>
        <w:rPr>
          <w:sz w:val="14"/>
        </w:rPr>
      </w:pPr>
    </w:p>
    <w:p>
      <w:pPr>
        <w:pStyle w:val="ListParagraph"/>
        <w:numPr>
          <w:ilvl w:val="0"/>
          <w:numId w:val="6"/>
        </w:numPr>
        <w:tabs>
          <w:tab w:pos="1112" w:val="left" w:leader="none"/>
          <w:tab w:pos="1113" w:val="left" w:leader="none"/>
        </w:tabs>
        <w:spacing w:line="368" w:lineRule="exact" w:before="0" w:after="11"/>
        <w:ind w:left="1112" w:right="0" w:hanging="892"/>
        <w:jc w:val="left"/>
        <w:rPr>
          <w:b/>
          <w:sz w:val="24"/>
        </w:rPr>
      </w:pPr>
      <w:r>
        <w:rPr>
          <w:b/>
          <w:sz w:val="24"/>
        </w:rPr>
        <w:t>我们提供的保障</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4"/>
        <w:rPr>
          <w:rFonts w:ascii="Microsoft JhengHei"/>
          <w:b/>
          <w:sz w:val="7"/>
        </w:rPr>
      </w:pPr>
    </w:p>
    <w:p>
      <w:pPr>
        <w:pStyle w:val="ListParagraph"/>
        <w:numPr>
          <w:ilvl w:val="1"/>
          <w:numId w:val="6"/>
        </w:numPr>
        <w:tabs>
          <w:tab w:pos="1112" w:val="left" w:leader="none"/>
          <w:tab w:pos="1113" w:val="left" w:leader="none"/>
          <w:tab w:pos="2706" w:val="left" w:leader="none"/>
        </w:tabs>
        <w:spacing w:line="312" w:lineRule="exact" w:before="32" w:after="0"/>
        <w:ind w:left="2284" w:right="268" w:hanging="2064"/>
        <w:jc w:val="both"/>
        <w:rPr>
          <w:rFonts w:ascii="宋体" w:eastAsia="宋体" w:hint="eastAsia"/>
          <w:sz w:val="21"/>
        </w:rPr>
      </w:pPr>
      <w:r>
        <w:rPr>
          <w:b/>
          <w:sz w:val="21"/>
        </w:rPr>
        <w:t>保险金额</w:t>
        <w:tab/>
        <w:tab/>
      </w:r>
      <w:r>
        <w:rPr>
          <w:rFonts w:ascii="宋体" w:eastAsia="宋体" w:hint="eastAsia"/>
          <w:sz w:val="21"/>
        </w:rPr>
        <w:t>本合同保</w:t>
      </w:r>
      <w:r>
        <w:rPr>
          <w:rFonts w:ascii="宋体" w:eastAsia="宋体" w:hint="eastAsia"/>
          <w:spacing w:val="-5"/>
          <w:sz w:val="21"/>
        </w:rPr>
        <w:t>险</w:t>
      </w:r>
      <w:r>
        <w:rPr>
          <w:rFonts w:ascii="宋体" w:eastAsia="宋体" w:hint="eastAsia"/>
          <w:sz w:val="21"/>
        </w:rPr>
        <w:t>金额按</w:t>
      </w:r>
      <w:r>
        <w:rPr>
          <w:rFonts w:ascii="宋体" w:eastAsia="宋体" w:hint="eastAsia"/>
          <w:spacing w:val="-5"/>
          <w:sz w:val="21"/>
        </w:rPr>
        <w:t>本</w:t>
      </w:r>
      <w:r>
        <w:rPr>
          <w:rFonts w:ascii="宋体" w:eastAsia="宋体" w:hint="eastAsia"/>
          <w:sz w:val="21"/>
        </w:rPr>
        <w:t>条款第</w:t>
      </w:r>
      <w:r>
        <w:rPr>
          <w:rFonts w:ascii="宋体" w:eastAsia="宋体" w:hint="eastAsia"/>
          <w:spacing w:val="10"/>
          <w:sz w:val="21"/>
        </w:rPr>
        <w:t> </w:t>
      </w:r>
      <w:r>
        <w:rPr>
          <w:rFonts w:ascii="宋体" w:eastAsia="宋体" w:hint="eastAsia"/>
          <w:sz w:val="21"/>
        </w:rPr>
        <w:t>2.3</w:t>
      </w:r>
      <w:r>
        <w:rPr>
          <w:rFonts w:ascii="宋体" w:eastAsia="宋体" w:hint="eastAsia"/>
          <w:spacing w:val="10"/>
          <w:sz w:val="21"/>
        </w:rPr>
        <w:t> </w:t>
      </w:r>
      <w:r>
        <w:rPr>
          <w:rFonts w:ascii="宋体" w:eastAsia="宋体" w:hint="eastAsia"/>
          <w:sz w:val="21"/>
        </w:rPr>
        <w:t>条</w:t>
      </w:r>
      <w:r>
        <w:rPr>
          <w:rFonts w:ascii="宋体" w:eastAsia="宋体" w:hint="eastAsia"/>
          <w:spacing w:val="-5"/>
          <w:sz w:val="21"/>
        </w:rPr>
        <w:t>规</w:t>
      </w:r>
      <w:r>
        <w:rPr>
          <w:rFonts w:ascii="宋体" w:eastAsia="宋体" w:hint="eastAsia"/>
          <w:sz w:val="21"/>
        </w:rPr>
        <w:t>定、根</w:t>
      </w:r>
      <w:r>
        <w:rPr>
          <w:rFonts w:ascii="宋体" w:eastAsia="宋体" w:hint="eastAsia"/>
          <w:spacing w:val="-5"/>
          <w:sz w:val="21"/>
        </w:rPr>
        <w:t>据</w:t>
      </w:r>
      <w:r>
        <w:rPr>
          <w:rFonts w:ascii="宋体" w:eastAsia="宋体" w:hint="eastAsia"/>
          <w:sz w:val="21"/>
        </w:rPr>
        <w:t>基</w:t>
      </w:r>
      <w:r>
        <w:rPr>
          <w:rFonts w:ascii="宋体" w:eastAsia="宋体" w:hint="eastAsia"/>
          <w:spacing w:val="-5"/>
          <w:sz w:val="21"/>
        </w:rPr>
        <w:t>本</w:t>
      </w:r>
      <w:r>
        <w:rPr>
          <w:rFonts w:ascii="宋体" w:eastAsia="宋体" w:hint="eastAsia"/>
          <w:sz w:val="21"/>
        </w:rPr>
        <w:t>保险金额</w:t>
      </w:r>
      <w:r>
        <w:rPr>
          <w:rFonts w:ascii="宋体" w:eastAsia="宋体" w:hint="eastAsia"/>
          <w:spacing w:val="-5"/>
          <w:sz w:val="21"/>
        </w:rPr>
        <w:t>进</w:t>
      </w:r>
      <w:r>
        <w:rPr>
          <w:rFonts w:ascii="宋体" w:eastAsia="宋体" w:hint="eastAsia"/>
          <w:sz w:val="21"/>
        </w:rPr>
        <w:t>行计算</w:t>
      </w:r>
      <w:r>
        <w:rPr>
          <w:rFonts w:ascii="宋体" w:eastAsia="宋体" w:hint="eastAsia"/>
          <w:spacing w:val="-5"/>
          <w:sz w:val="21"/>
        </w:rPr>
        <w:t>确</w:t>
      </w:r>
      <w:r>
        <w:rPr>
          <w:rFonts w:ascii="宋体" w:eastAsia="宋体" w:hint="eastAsia"/>
          <w:sz w:val="21"/>
        </w:rPr>
        <w:t>定。</w:t>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基</w:t>
      </w:r>
      <w:r>
        <w:rPr>
          <w:rFonts w:ascii="宋体" w:eastAsia="宋体" w:hint="eastAsia"/>
          <w:sz w:val="21"/>
        </w:rPr>
        <w:t>本保</w:t>
      </w:r>
      <w:r>
        <w:rPr>
          <w:rFonts w:ascii="宋体" w:eastAsia="宋体" w:hint="eastAsia"/>
          <w:spacing w:val="2"/>
          <w:sz w:val="21"/>
        </w:rPr>
        <w:t>险</w:t>
      </w:r>
      <w:r>
        <w:rPr>
          <w:rFonts w:ascii="宋体" w:eastAsia="宋体" w:hint="eastAsia"/>
          <w:sz w:val="21"/>
        </w:rPr>
        <w:t>金额</w:t>
      </w:r>
      <w:r>
        <w:rPr>
          <w:rFonts w:ascii="宋体" w:eastAsia="宋体" w:hint="eastAsia"/>
          <w:spacing w:val="2"/>
          <w:sz w:val="21"/>
        </w:rPr>
        <w:t>由</w:t>
      </w:r>
      <w:r>
        <w:rPr>
          <w:rFonts w:ascii="宋体" w:eastAsia="宋体" w:hint="eastAsia"/>
          <w:sz w:val="21"/>
        </w:rPr>
        <w:t>您和</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在</w:t>
      </w:r>
      <w:r>
        <w:rPr>
          <w:rFonts w:ascii="宋体" w:eastAsia="宋体" w:hint="eastAsia"/>
          <w:sz w:val="21"/>
        </w:rPr>
        <w:t>投保</w:t>
      </w:r>
      <w:r>
        <w:rPr>
          <w:rFonts w:ascii="宋体" w:eastAsia="宋体" w:hint="eastAsia"/>
          <w:spacing w:val="2"/>
          <w:sz w:val="21"/>
        </w:rPr>
        <w:t>时</w:t>
      </w:r>
      <w:r>
        <w:rPr>
          <w:rFonts w:ascii="宋体" w:eastAsia="宋体" w:hint="eastAsia"/>
          <w:sz w:val="21"/>
        </w:rPr>
        <w:t>约定，但</w:t>
      </w:r>
      <w:r>
        <w:rPr>
          <w:rFonts w:ascii="宋体" w:eastAsia="宋体" w:hint="eastAsia"/>
          <w:spacing w:val="2"/>
          <w:sz w:val="21"/>
        </w:rPr>
        <w:t>须</w:t>
      </w:r>
      <w:r>
        <w:rPr>
          <w:rFonts w:ascii="宋体" w:eastAsia="宋体" w:hint="eastAsia"/>
          <w:sz w:val="21"/>
        </w:rPr>
        <w:t>符合</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当</w:t>
      </w:r>
      <w:r>
        <w:rPr>
          <w:rFonts w:ascii="宋体" w:eastAsia="宋体" w:hint="eastAsia"/>
          <w:sz w:val="21"/>
        </w:rPr>
        <w:t>时的</w:t>
      </w:r>
      <w:r>
        <w:rPr>
          <w:rFonts w:ascii="宋体" w:eastAsia="宋体" w:hint="eastAsia"/>
          <w:spacing w:val="2"/>
          <w:sz w:val="21"/>
        </w:rPr>
        <w:t>投</w:t>
      </w:r>
      <w:r>
        <w:rPr>
          <w:rFonts w:ascii="宋体" w:eastAsia="宋体" w:hint="eastAsia"/>
          <w:sz w:val="21"/>
        </w:rPr>
        <w:t>保规定，约定</w:t>
      </w:r>
      <w:r>
        <w:rPr>
          <w:rFonts w:ascii="宋体" w:eastAsia="宋体" w:hint="eastAsia"/>
          <w:spacing w:val="-5"/>
          <w:sz w:val="21"/>
        </w:rPr>
        <w:t>的</w:t>
      </w:r>
      <w:r>
        <w:rPr>
          <w:rFonts w:ascii="宋体" w:eastAsia="宋体" w:hint="eastAsia"/>
          <w:sz w:val="21"/>
        </w:rPr>
        <w:t>基本保</w:t>
      </w:r>
      <w:r>
        <w:rPr>
          <w:rFonts w:ascii="宋体" w:eastAsia="宋体" w:hint="eastAsia"/>
          <w:spacing w:val="-5"/>
          <w:sz w:val="21"/>
        </w:rPr>
        <w:t>险</w:t>
      </w:r>
      <w:r>
        <w:rPr>
          <w:rFonts w:ascii="宋体" w:eastAsia="宋体" w:hint="eastAsia"/>
          <w:sz w:val="21"/>
        </w:rPr>
        <w:t>金额将</w:t>
      </w:r>
      <w:r>
        <w:rPr>
          <w:rFonts w:ascii="宋体" w:eastAsia="宋体" w:hint="eastAsia"/>
          <w:spacing w:val="-5"/>
          <w:sz w:val="21"/>
        </w:rPr>
        <w:t>在</w:t>
      </w:r>
      <w:r>
        <w:rPr>
          <w:rFonts w:ascii="宋体" w:eastAsia="宋体" w:hint="eastAsia"/>
          <w:sz w:val="21"/>
        </w:rPr>
        <w:t>保险单</w:t>
      </w:r>
      <w:r>
        <w:rPr>
          <w:rFonts w:ascii="宋体" w:eastAsia="宋体" w:hint="eastAsia"/>
          <w:spacing w:val="-5"/>
          <w:sz w:val="21"/>
        </w:rPr>
        <w:t>上</w:t>
      </w:r>
      <w:r>
        <w:rPr>
          <w:rFonts w:ascii="宋体" w:eastAsia="宋体" w:hint="eastAsia"/>
          <w:sz w:val="21"/>
        </w:rPr>
        <w:t>载明。</w:t>
      </w:r>
    </w:p>
    <w:p>
      <w:pPr>
        <w:spacing w:after="0" w:line="312" w:lineRule="exact"/>
        <w:jc w:val="both"/>
        <w:rPr>
          <w:rFonts w:ascii="宋体" w:eastAsia="宋体" w:hint="eastAsia"/>
          <w:sz w:val="21"/>
        </w:rPr>
        <w:sectPr>
          <w:type w:val="continuous"/>
          <w:pgSz w:w="11910" w:h="16840"/>
          <w:pgMar w:top="1040" w:bottom="1180" w:left="980" w:right="920"/>
        </w:sectPr>
      </w:pPr>
    </w:p>
    <w:p>
      <w:pPr>
        <w:pStyle w:val="BodyText"/>
        <w:spacing w:before="7"/>
        <w:rPr>
          <w:sz w:val="17"/>
        </w:rPr>
      </w:pPr>
    </w:p>
    <w:p>
      <w:pPr>
        <w:pStyle w:val="ListParagraph"/>
        <w:numPr>
          <w:ilvl w:val="1"/>
          <w:numId w:val="6"/>
        </w:numPr>
        <w:tabs>
          <w:tab w:pos="992" w:val="left" w:leader="none"/>
          <w:tab w:pos="993" w:val="left" w:leader="none"/>
          <w:tab w:pos="2586" w:val="left" w:leader="none"/>
        </w:tabs>
        <w:spacing w:line="312" w:lineRule="exact" w:before="32" w:after="0"/>
        <w:ind w:left="2164" w:right="108" w:hanging="2064"/>
        <w:jc w:val="left"/>
        <w:rPr>
          <w:rFonts w:ascii="宋体" w:eastAsia="宋体" w:hint="eastAsia"/>
          <w:sz w:val="21"/>
        </w:rPr>
      </w:pPr>
      <w:r>
        <w:rPr>
          <w:b/>
          <w:sz w:val="21"/>
        </w:rPr>
        <w:t>保险期间</w:t>
        <w:tab/>
        <w:tab/>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的</w:t>
      </w:r>
      <w:r>
        <w:rPr>
          <w:rFonts w:ascii="宋体" w:eastAsia="宋体" w:hint="eastAsia"/>
          <w:sz w:val="21"/>
        </w:rPr>
        <w:t>保</w:t>
      </w:r>
      <w:r>
        <w:rPr>
          <w:rFonts w:ascii="宋体" w:eastAsia="宋体" w:hint="eastAsia"/>
          <w:spacing w:val="2"/>
          <w:sz w:val="21"/>
        </w:rPr>
        <w:t>险</w:t>
      </w:r>
      <w:r>
        <w:rPr>
          <w:rFonts w:ascii="宋体" w:eastAsia="宋体" w:hint="eastAsia"/>
          <w:sz w:val="21"/>
        </w:rPr>
        <w:t>期间</w:t>
      </w:r>
      <w:r>
        <w:rPr>
          <w:rFonts w:ascii="宋体" w:eastAsia="宋体" w:hint="eastAsia"/>
          <w:spacing w:val="2"/>
          <w:sz w:val="21"/>
        </w:rPr>
        <w:t>为</w:t>
      </w:r>
      <w:r>
        <w:rPr>
          <w:rFonts w:ascii="宋体" w:eastAsia="宋体" w:hint="eastAsia"/>
          <w:sz w:val="21"/>
        </w:rPr>
        <w:t>被保</w:t>
      </w:r>
      <w:r>
        <w:rPr>
          <w:rFonts w:ascii="宋体" w:eastAsia="宋体" w:hint="eastAsia"/>
          <w:spacing w:val="2"/>
          <w:sz w:val="21"/>
        </w:rPr>
        <w:t>险</w:t>
      </w:r>
      <w:r>
        <w:rPr>
          <w:rFonts w:ascii="宋体" w:eastAsia="宋体" w:hint="eastAsia"/>
          <w:sz w:val="21"/>
        </w:rPr>
        <w:t>人终</w:t>
      </w:r>
      <w:r>
        <w:rPr>
          <w:rFonts w:ascii="宋体" w:eastAsia="宋体" w:hint="eastAsia"/>
          <w:spacing w:val="2"/>
          <w:sz w:val="21"/>
        </w:rPr>
        <w:t>身</w:t>
      </w:r>
      <w:r>
        <w:rPr>
          <w:rFonts w:ascii="宋体" w:eastAsia="宋体" w:hint="eastAsia"/>
          <w:sz w:val="21"/>
        </w:rPr>
        <w:t>，</w:t>
      </w:r>
      <w:r>
        <w:rPr>
          <w:rFonts w:ascii="宋体" w:eastAsia="宋体" w:hint="eastAsia"/>
          <w:spacing w:val="2"/>
          <w:sz w:val="21"/>
        </w:rPr>
        <w:t>并</w:t>
      </w:r>
      <w:r>
        <w:rPr>
          <w:rFonts w:ascii="宋体" w:eastAsia="宋体" w:hint="eastAsia"/>
          <w:sz w:val="21"/>
        </w:rPr>
        <w:t>在保</w:t>
      </w:r>
      <w:r>
        <w:rPr>
          <w:rFonts w:ascii="宋体" w:eastAsia="宋体" w:hint="eastAsia"/>
          <w:spacing w:val="2"/>
          <w:sz w:val="21"/>
        </w:rPr>
        <w:t>险</w:t>
      </w:r>
      <w:r>
        <w:rPr>
          <w:rFonts w:ascii="宋体" w:eastAsia="宋体" w:hint="eastAsia"/>
          <w:sz w:val="21"/>
        </w:rPr>
        <w:t>单上载</w:t>
      </w:r>
      <w:r>
        <w:rPr>
          <w:rFonts w:ascii="宋体" w:eastAsia="宋体" w:hint="eastAsia"/>
          <w:spacing w:val="2"/>
          <w:sz w:val="21"/>
        </w:rPr>
        <w:t>明</w:t>
      </w:r>
      <w:r>
        <w:rPr>
          <w:rFonts w:ascii="宋体" w:eastAsia="宋体" w:hint="eastAsia"/>
          <w:sz w:val="21"/>
        </w:rPr>
        <w:t>。保</w:t>
      </w:r>
      <w:r>
        <w:rPr>
          <w:rFonts w:ascii="宋体" w:eastAsia="宋体" w:hint="eastAsia"/>
          <w:spacing w:val="2"/>
          <w:sz w:val="21"/>
        </w:rPr>
        <w:t>险</w:t>
      </w:r>
      <w:r>
        <w:rPr>
          <w:rFonts w:ascii="宋体" w:eastAsia="宋体" w:hint="eastAsia"/>
          <w:sz w:val="21"/>
        </w:rPr>
        <w:t>期</w:t>
      </w:r>
      <w:r>
        <w:rPr>
          <w:rFonts w:ascii="宋体" w:eastAsia="宋体" w:hint="eastAsia"/>
          <w:spacing w:val="2"/>
          <w:sz w:val="21"/>
        </w:rPr>
        <w:t>间</w:t>
      </w:r>
      <w:r>
        <w:rPr>
          <w:rFonts w:ascii="宋体" w:eastAsia="宋体" w:hint="eastAsia"/>
          <w:sz w:val="21"/>
        </w:rPr>
        <w:t>自本</w:t>
      </w:r>
      <w:r>
        <w:rPr>
          <w:rFonts w:ascii="宋体" w:eastAsia="宋体" w:hint="eastAsia"/>
          <w:spacing w:val="2"/>
          <w:sz w:val="21"/>
        </w:rPr>
        <w:t>合</w:t>
      </w:r>
      <w:r>
        <w:rPr>
          <w:rFonts w:ascii="宋体" w:eastAsia="宋体" w:hint="eastAsia"/>
          <w:sz w:val="21"/>
        </w:rPr>
        <w:t>同 生效日的</w:t>
      </w:r>
      <w:r>
        <w:rPr>
          <w:rFonts w:ascii="宋体" w:eastAsia="宋体" w:hint="eastAsia"/>
          <w:spacing w:val="-5"/>
          <w:sz w:val="21"/>
        </w:rPr>
        <w:t>零</w:t>
      </w:r>
      <w:r>
        <w:rPr>
          <w:rFonts w:ascii="宋体" w:eastAsia="宋体" w:hint="eastAsia"/>
          <w:sz w:val="21"/>
        </w:rPr>
        <w:t>时开始。</w:t>
      </w:r>
    </w:p>
    <w:p>
      <w:pPr>
        <w:pStyle w:val="ListParagraph"/>
        <w:numPr>
          <w:ilvl w:val="1"/>
          <w:numId w:val="6"/>
        </w:numPr>
        <w:tabs>
          <w:tab w:pos="992" w:val="left" w:leader="none"/>
          <w:tab w:pos="993" w:val="left" w:leader="none"/>
          <w:tab w:pos="2586" w:val="left" w:leader="none"/>
        </w:tabs>
        <w:spacing w:line="240" w:lineRule="auto" w:before="139" w:after="0"/>
        <w:ind w:left="992" w:right="0" w:hanging="892"/>
        <w:jc w:val="left"/>
        <w:rPr>
          <w:rFonts w:ascii="宋体" w:eastAsia="宋体" w:hint="eastAsia"/>
          <w:sz w:val="21"/>
        </w:rPr>
      </w:pPr>
      <w:r>
        <w:rPr>
          <w:b/>
          <w:sz w:val="21"/>
        </w:rPr>
        <w:t>保险责任</w:t>
        <w:tab/>
      </w:r>
      <w:r>
        <w:rPr>
          <w:rFonts w:ascii="宋体" w:eastAsia="宋体" w:hint="eastAsia"/>
          <w:sz w:val="21"/>
        </w:rPr>
        <w:t>在本合同</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内</w:t>
      </w:r>
      <w:r>
        <w:rPr>
          <w:rFonts w:ascii="宋体" w:eastAsia="宋体" w:hint="eastAsia"/>
          <w:sz w:val="21"/>
        </w:rPr>
        <w:t>，本公</w:t>
      </w:r>
      <w:r>
        <w:rPr>
          <w:rFonts w:ascii="宋体" w:eastAsia="宋体" w:hint="eastAsia"/>
          <w:spacing w:val="-5"/>
          <w:sz w:val="21"/>
        </w:rPr>
        <w:t>司</w:t>
      </w:r>
      <w:r>
        <w:rPr>
          <w:rFonts w:ascii="宋体" w:eastAsia="宋体" w:hint="eastAsia"/>
          <w:sz w:val="21"/>
        </w:rPr>
        <w:t>承担下</w:t>
      </w:r>
      <w:r>
        <w:rPr>
          <w:rFonts w:ascii="宋体" w:eastAsia="宋体" w:hint="eastAsia"/>
          <w:spacing w:val="-5"/>
          <w:sz w:val="21"/>
        </w:rPr>
        <w:t>列</w:t>
      </w:r>
      <w:r>
        <w:rPr>
          <w:rFonts w:ascii="宋体" w:eastAsia="宋体" w:hint="eastAsia"/>
          <w:sz w:val="21"/>
        </w:rPr>
        <w:t>保险责</w:t>
      </w:r>
      <w:r>
        <w:rPr>
          <w:rFonts w:ascii="宋体" w:eastAsia="宋体" w:hint="eastAsia"/>
          <w:spacing w:val="-5"/>
          <w:sz w:val="21"/>
        </w:rPr>
        <w:t>任</w:t>
      </w:r>
      <w:r>
        <w:rPr>
          <w:rFonts w:ascii="宋体" w:eastAsia="宋体" w:hint="eastAsia"/>
          <w:sz w:val="21"/>
        </w:rPr>
        <w:t>：</w:t>
      </w:r>
    </w:p>
    <w:p>
      <w:pPr>
        <w:pStyle w:val="BodyText"/>
        <w:spacing w:before="8"/>
        <w:rPr>
          <w:sz w:val="13"/>
        </w:rPr>
      </w:pPr>
    </w:p>
    <w:p>
      <w:pPr>
        <w:spacing w:after="0"/>
        <w:rPr>
          <w:sz w:val="13"/>
        </w:rPr>
        <w:sectPr>
          <w:pgSz w:w="11910" w:h="16840"/>
          <w:pgMar w:header="870" w:footer="998" w:top="1120" w:bottom="1180" w:left="1100" w:right="1080"/>
        </w:sectPr>
      </w:pPr>
    </w:p>
    <w:p>
      <w:pPr>
        <w:pStyle w:val="Heading2"/>
        <w:numPr>
          <w:ilvl w:val="2"/>
          <w:numId w:val="6"/>
        </w:numPr>
        <w:tabs>
          <w:tab w:pos="1736" w:val="left" w:leader="none"/>
          <w:tab w:pos="1737" w:val="left" w:leader="none"/>
        </w:tabs>
        <w:spacing w:line="204" w:lineRule="auto" w:before="25" w:after="0"/>
        <w:ind w:left="992" w:right="0" w:firstLine="0"/>
        <w:jc w:val="left"/>
      </w:pPr>
      <w:r>
        <w:rPr/>
        <w:t>疾病保险金</w:t>
      </w:r>
    </w:p>
    <w:p>
      <w:pPr>
        <w:pStyle w:val="BodyText"/>
        <w:spacing w:line="273" w:lineRule="auto" w:before="37"/>
        <w:ind w:left="175" w:right="108" w:firstLine="422"/>
        <w:jc w:val="both"/>
      </w:pPr>
      <w:r>
        <w:rPr/>
        <w:br w:type="column"/>
      </w:r>
      <w:r>
        <w:rPr/>
        <w:t>本合同疾病保险金包括轻症疾病保险金和重大疾病保险金。疾病保险金保障</w:t>
      </w:r>
      <w:r>
        <w:rPr>
          <w:spacing w:val="-6"/>
        </w:rPr>
        <w:t>的疾病范围包括本合同所指的轻症疾病</w:t>
      </w:r>
      <w:r>
        <w:rPr/>
        <w:t>（</w:t>
      </w:r>
      <w:r>
        <w:rPr>
          <w:spacing w:val="-2"/>
        </w:rPr>
        <w:t>详见释义</w:t>
      </w:r>
      <w:r>
        <w:rPr>
          <w:spacing w:val="-44"/>
        </w:rPr>
        <w:t>）</w:t>
      </w:r>
      <w:r>
        <w:rPr>
          <w:spacing w:val="-6"/>
        </w:rPr>
        <w:t>和本合同所指的重大疾病</w:t>
      </w:r>
      <w:r>
        <w:rPr/>
        <w:t>（详</w:t>
      </w:r>
      <w:r>
        <w:rPr>
          <w:w w:val="100"/>
        </w:rPr>
        <w:t>见释义</w:t>
      </w:r>
      <w:r>
        <w:rPr>
          <w:spacing w:val="-106"/>
          <w:w w:val="100"/>
        </w:rPr>
        <w:t>）</w:t>
      </w:r>
      <w:r>
        <w:rPr>
          <w:spacing w:val="-3"/>
          <w:w w:val="100"/>
        </w:rPr>
        <w:t>，所有疾病分为</w:t>
      </w:r>
      <w:r>
        <w:rPr>
          <w:spacing w:val="-3"/>
        </w:rPr>
        <w:t> </w:t>
      </w:r>
      <w:r>
        <w:rPr>
          <w:w w:val="100"/>
        </w:rPr>
        <w:t>5</w:t>
      </w:r>
      <w:r>
        <w:rPr>
          <w:spacing w:val="-57"/>
        </w:rPr>
        <w:t> </w:t>
      </w:r>
      <w:r>
        <w:rPr>
          <w:spacing w:val="-5"/>
          <w:w w:val="100"/>
        </w:rPr>
        <w:t>组</w:t>
      </w:r>
      <w:r>
        <w:rPr>
          <w:w w:val="100"/>
        </w:rPr>
        <w:t>（</w:t>
      </w:r>
      <w:r>
        <w:rPr>
          <w:spacing w:val="-11"/>
          <w:w w:val="100"/>
        </w:rPr>
        <w:t>详见本合同附录《疾病分组与给付限额表》</w:t>
      </w:r>
      <w:r>
        <w:rPr>
          <w:spacing w:val="-106"/>
          <w:w w:val="100"/>
        </w:rPr>
        <w:t>）</w:t>
      </w:r>
      <w:r>
        <w:rPr>
          <w:spacing w:val="-2"/>
          <w:w w:val="100"/>
        </w:rPr>
        <w:t>。在本</w:t>
      </w:r>
      <w:r>
        <w:rPr>
          <w:spacing w:val="-5"/>
        </w:rPr>
        <w:t>合同保险期间内，本公司按下列规定承担给付疾病保险金责任：</w:t>
      </w:r>
    </w:p>
    <w:p>
      <w:pPr>
        <w:spacing w:after="0" w:line="273" w:lineRule="auto"/>
        <w:jc w:val="both"/>
        <w:sectPr>
          <w:type w:val="continuous"/>
          <w:pgSz w:w="11910" w:h="16840"/>
          <w:pgMar w:top="1040" w:bottom="1180" w:left="1100" w:right="1080"/>
          <w:cols w:num="2" w:equalWidth="0">
            <w:col w:w="1949" w:space="40"/>
            <w:col w:w="7741"/>
          </w:cols>
        </w:sectPr>
      </w:pPr>
    </w:p>
    <w:p>
      <w:pPr>
        <w:pStyle w:val="BodyText"/>
        <w:spacing w:before="3"/>
        <w:rPr>
          <w:sz w:val="13"/>
        </w:rPr>
      </w:pPr>
    </w:p>
    <w:p>
      <w:pPr>
        <w:spacing w:after="0"/>
        <w:rPr>
          <w:sz w:val="13"/>
        </w:rPr>
        <w:sectPr>
          <w:type w:val="continuous"/>
          <w:pgSz w:w="11910" w:h="16840"/>
          <w:pgMar w:top="1040" w:bottom="1180" w:left="1100" w:right="1080"/>
        </w:sectPr>
      </w:pPr>
    </w:p>
    <w:p>
      <w:pPr>
        <w:pStyle w:val="Heading2"/>
        <w:spacing w:line="204" w:lineRule="auto" w:before="24"/>
        <w:ind w:left="992"/>
        <w:jc w:val="both"/>
      </w:pPr>
      <w:r>
        <w:rPr/>
        <w:t>疾病保险金单一组别给付限额和累计给付限额</w:t>
      </w:r>
    </w:p>
    <w:p>
      <w:pPr>
        <w:spacing w:line="204" w:lineRule="auto" w:before="24"/>
        <w:ind w:left="171" w:right="113" w:firstLine="422"/>
        <w:jc w:val="both"/>
        <w:rPr>
          <w:rFonts w:ascii="Microsoft JhengHei" w:eastAsia="Microsoft JhengHei" w:hint="eastAsia"/>
          <w:b/>
          <w:sz w:val="21"/>
        </w:rPr>
      </w:pPr>
      <w:r>
        <w:rPr/>
        <w:br w:type="column"/>
      </w:r>
      <w:r>
        <w:rPr>
          <w:rFonts w:ascii="Microsoft JhengHei" w:eastAsia="Microsoft JhengHei" w:hint="eastAsia"/>
          <w:b/>
          <w:sz w:val="21"/>
        </w:rPr>
        <w:t>在本合同保险期间内，本公司对《疾病分组与给付限额表》中单一组别内所</w:t>
      </w:r>
      <w:r>
        <w:rPr>
          <w:rFonts w:ascii="Microsoft JhengHei" w:eastAsia="Microsoft JhengHei" w:hint="eastAsia"/>
          <w:b/>
          <w:spacing w:val="-13"/>
          <w:sz w:val="21"/>
        </w:rPr>
        <w:t>有疾病</w:t>
      </w:r>
      <w:r>
        <w:rPr>
          <w:rFonts w:ascii="Microsoft JhengHei" w:eastAsia="Microsoft JhengHei" w:hint="eastAsia"/>
          <w:b/>
          <w:sz w:val="21"/>
        </w:rPr>
        <w:t>（</w:t>
      </w:r>
      <w:r>
        <w:rPr>
          <w:rFonts w:ascii="Microsoft JhengHei" w:eastAsia="Microsoft JhengHei" w:hint="eastAsia"/>
          <w:b/>
          <w:spacing w:val="-4"/>
          <w:sz w:val="21"/>
        </w:rPr>
        <w:t>包括该组别中的轻症疾病和重大疾病，下同</w:t>
      </w:r>
      <w:r>
        <w:rPr>
          <w:rFonts w:ascii="Microsoft JhengHei" w:eastAsia="Microsoft JhengHei" w:hint="eastAsia"/>
          <w:b/>
          <w:spacing w:val="-39"/>
          <w:sz w:val="21"/>
        </w:rPr>
        <w:t>）</w:t>
      </w:r>
      <w:r>
        <w:rPr>
          <w:rFonts w:ascii="Microsoft JhengHei" w:eastAsia="Microsoft JhengHei" w:hint="eastAsia"/>
          <w:b/>
          <w:spacing w:val="-4"/>
          <w:sz w:val="21"/>
        </w:rPr>
        <w:t>累计给付的疾病保险金</w:t>
      </w:r>
      <w:r>
        <w:rPr>
          <w:rFonts w:ascii="Microsoft JhengHei" w:eastAsia="Microsoft JhengHei" w:hint="eastAsia"/>
          <w:b/>
          <w:sz w:val="21"/>
        </w:rPr>
        <w:t>（包括轻症疾病保险金和重大疾病保险金之和，下同）以该组别对应的单一组别给付限额为限；本公司对单一组别内所有疾病累计给付的疾病保险金达到该组别对应的单一组别给付限额时，本公司对该组别内的各项疾病不再承担给付疾病保险金责任。</w:t>
      </w:r>
    </w:p>
    <w:p>
      <w:pPr>
        <w:spacing w:line="204" w:lineRule="auto" w:before="1"/>
        <w:ind w:left="171" w:right="113" w:firstLine="422"/>
        <w:jc w:val="both"/>
        <w:rPr>
          <w:rFonts w:ascii="Microsoft JhengHei" w:eastAsia="Microsoft JhengHei" w:hint="eastAsia"/>
          <w:b/>
          <w:sz w:val="21"/>
        </w:rPr>
      </w:pPr>
      <w:r>
        <w:rPr>
          <w:rFonts w:ascii="Microsoft JhengHei" w:eastAsia="Microsoft JhengHei" w:hint="eastAsia"/>
          <w:b/>
          <w:sz w:val="21"/>
        </w:rPr>
        <w:t>单一组别给付限额是指在本合同保险期间内，本公司按照本合同疾病保险金给付规定，对某一组别内所有疾病（包括该组别中的轻症疾病和重大疾病）累计给付的疾病保险金（包括轻症疾病保险金和重大疾病保险金之和）的上限，各组别对应的单一组别给付限额具体见《疾病分组与给付限额表》。</w:t>
      </w:r>
    </w:p>
    <w:p>
      <w:pPr>
        <w:spacing w:line="204" w:lineRule="auto" w:before="1"/>
        <w:ind w:left="171" w:right="113" w:firstLine="422"/>
        <w:jc w:val="both"/>
        <w:rPr>
          <w:rFonts w:ascii="Microsoft JhengHei" w:eastAsia="Microsoft JhengHei" w:hint="eastAsia"/>
          <w:b/>
          <w:sz w:val="21"/>
        </w:rPr>
      </w:pPr>
      <w:r>
        <w:rPr>
          <w:rFonts w:ascii="Microsoft JhengHei" w:eastAsia="Microsoft JhengHei" w:hint="eastAsia"/>
          <w:b/>
          <w:sz w:val="21"/>
        </w:rPr>
        <w:t>在本合同保险期间内，本公司对《疾病分组与给付限额表》中所有疾病的疾病保险金累计给付限额，按下列规定确定：</w:t>
      </w:r>
    </w:p>
    <w:p>
      <w:pPr>
        <w:spacing w:line="204" w:lineRule="auto" w:before="1"/>
        <w:ind w:left="171" w:right="108" w:firstLine="422"/>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1"/>
          <w:sz w:val="21"/>
        </w:rPr>
        <w:t>被保险人 </w:t>
      </w:r>
      <w:r>
        <w:rPr>
          <w:rFonts w:ascii="Microsoft JhengHei" w:eastAsia="Microsoft JhengHei" w:hint="eastAsia"/>
          <w:b/>
          <w:sz w:val="21"/>
        </w:rPr>
        <w:t>85</w:t>
      </w:r>
      <w:r>
        <w:rPr>
          <w:rFonts w:ascii="Microsoft JhengHei" w:eastAsia="Microsoft JhengHei" w:hint="eastAsia"/>
          <w:b/>
          <w:spacing w:val="-2"/>
          <w:sz w:val="21"/>
        </w:rPr>
        <w:t> 周岁保单生效对应日</w:t>
      </w:r>
      <w:r>
        <w:rPr>
          <w:rFonts w:ascii="Microsoft JhengHei" w:eastAsia="Microsoft JhengHei" w:hint="eastAsia"/>
          <w:b/>
          <w:sz w:val="21"/>
        </w:rPr>
        <w:t>（详见释义</w:t>
      </w:r>
      <w:r>
        <w:rPr>
          <w:rFonts w:ascii="Microsoft JhengHei" w:eastAsia="Microsoft JhengHei" w:hint="eastAsia"/>
          <w:b/>
          <w:spacing w:val="-15"/>
          <w:sz w:val="21"/>
        </w:rPr>
        <w:t>）</w:t>
      </w:r>
      <w:r>
        <w:rPr>
          <w:rFonts w:ascii="Microsoft JhengHei" w:eastAsia="Microsoft JhengHei" w:hint="eastAsia"/>
          <w:b/>
          <w:spacing w:val="-5"/>
          <w:sz w:val="21"/>
        </w:rPr>
        <w:t>之前，本公司累计给付的疾</w:t>
      </w:r>
      <w:r>
        <w:rPr>
          <w:rFonts w:ascii="Microsoft JhengHei" w:eastAsia="Microsoft JhengHei" w:hint="eastAsia"/>
          <w:b/>
          <w:sz w:val="21"/>
        </w:rPr>
        <w:t>病保险金以各组别对应的单一组别给付限额之和为限，本公司累计给付的疾病保</w:t>
      </w:r>
      <w:r>
        <w:rPr>
          <w:rFonts w:ascii="Microsoft JhengHei" w:eastAsia="Microsoft JhengHei" w:hint="eastAsia"/>
          <w:b/>
          <w:spacing w:val="-2"/>
          <w:sz w:val="21"/>
        </w:rPr>
        <w:t>险金达到各组别对应的单一组别给付限额之和时，本合同终止；</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2.被保险人 85 周岁保单生效对应日及以后，本公司自本合同生效之日起累计</w:t>
      </w:r>
    </w:p>
    <w:p>
      <w:pPr>
        <w:spacing w:line="204" w:lineRule="auto" w:before="28"/>
        <w:ind w:left="171" w:right="108" w:firstLine="0"/>
        <w:jc w:val="both"/>
        <w:rPr>
          <w:rFonts w:ascii="Microsoft JhengHei" w:eastAsia="Microsoft JhengHei" w:hint="eastAsia"/>
          <w:b/>
          <w:sz w:val="21"/>
        </w:rPr>
      </w:pPr>
      <w:r>
        <w:rPr>
          <w:rFonts w:ascii="Microsoft JhengHei" w:eastAsia="Microsoft JhengHei" w:hint="eastAsia"/>
          <w:b/>
          <w:spacing w:val="-5"/>
          <w:sz w:val="21"/>
        </w:rPr>
        <w:t>给付的疾病保险金</w:t>
      </w:r>
      <w:r>
        <w:rPr>
          <w:rFonts w:ascii="Microsoft JhengHei" w:eastAsia="Microsoft JhengHei" w:hint="eastAsia"/>
          <w:b/>
          <w:sz w:val="21"/>
        </w:rPr>
        <w:t>（</w:t>
      </w:r>
      <w:r>
        <w:rPr>
          <w:rFonts w:ascii="Microsoft JhengHei" w:eastAsia="Microsoft JhengHei" w:hint="eastAsia"/>
          <w:b/>
          <w:spacing w:val="-2"/>
          <w:sz w:val="21"/>
        </w:rPr>
        <w:t>包括被保险人 </w:t>
      </w:r>
      <w:r>
        <w:rPr>
          <w:rFonts w:ascii="Microsoft JhengHei" w:eastAsia="Microsoft JhengHei" w:hint="eastAsia"/>
          <w:b/>
          <w:sz w:val="21"/>
        </w:rPr>
        <w:t>85</w:t>
      </w:r>
      <w:r>
        <w:rPr>
          <w:rFonts w:ascii="Microsoft JhengHei" w:eastAsia="Microsoft JhengHei" w:hint="eastAsia"/>
          <w:b/>
          <w:spacing w:val="-1"/>
          <w:sz w:val="21"/>
        </w:rPr>
        <w:t> 周岁保单生效对应日之前和之后给付金额之</w:t>
      </w:r>
      <w:r>
        <w:rPr>
          <w:rFonts w:ascii="Microsoft JhengHei" w:eastAsia="Microsoft JhengHei" w:hint="eastAsia"/>
          <w:b/>
          <w:spacing w:val="2"/>
          <w:sz w:val="21"/>
        </w:rPr>
        <w:t>和</w:t>
      </w:r>
      <w:r>
        <w:rPr>
          <w:rFonts w:ascii="Microsoft JhengHei" w:eastAsia="Microsoft JhengHei" w:hint="eastAsia"/>
          <w:b/>
          <w:sz w:val="21"/>
        </w:rPr>
        <w:t>）以基本保险金额为限，本公司自本合同生效之日起累计给付的疾病保险金达到基本保险金额时，本合同终止。</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被保险人 85 周岁保单生效对应日零时，如本公司自本合同生效之日起累计给</w:t>
      </w:r>
    </w:p>
    <w:p>
      <w:pPr>
        <w:spacing w:line="204" w:lineRule="auto" w:before="28"/>
        <w:ind w:left="171" w:right="108" w:firstLine="0"/>
        <w:jc w:val="both"/>
        <w:rPr>
          <w:rFonts w:ascii="Microsoft JhengHei" w:eastAsia="Microsoft JhengHei" w:hint="eastAsia"/>
          <w:b/>
          <w:sz w:val="21"/>
        </w:rPr>
      </w:pPr>
      <w:r>
        <w:rPr>
          <w:rFonts w:ascii="Microsoft JhengHei" w:eastAsia="Microsoft JhengHei" w:hint="eastAsia"/>
          <w:b/>
          <w:spacing w:val="-4"/>
          <w:sz w:val="21"/>
        </w:rPr>
        <w:t>付的疾病保险金已达到或超过基本保险金额，本合同自被保险人 </w:t>
      </w:r>
      <w:r>
        <w:rPr>
          <w:rFonts w:ascii="Microsoft JhengHei" w:eastAsia="Microsoft JhengHei" w:hint="eastAsia"/>
          <w:b/>
          <w:sz w:val="21"/>
        </w:rPr>
        <w:t>85 周岁保单生效对应日零时终止。</w:t>
      </w:r>
    </w:p>
    <w:p>
      <w:pPr>
        <w:spacing w:after="0" w:line="204" w:lineRule="auto"/>
        <w:jc w:val="both"/>
        <w:rPr>
          <w:rFonts w:ascii="Microsoft JhengHei" w:eastAsia="Microsoft JhengHei" w:hint="eastAsia"/>
          <w:sz w:val="21"/>
        </w:rPr>
        <w:sectPr>
          <w:type w:val="continuous"/>
          <w:pgSz w:w="11910" w:h="16840"/>
          <w:pgMar w:top="1040" w:bottom="1180" w:left="1100" w:right="1080"/>
          <w:cols w:num="2" w:equalWidth="0">
            <w:col w:w="1953" w:space="40"/>
            <w:col w:w="7737"/>
          </w:cols>
        </w:sectPr>
      </w:pPr>
    </w:p>
    <w:p>
      <w:pPr>
        <w:pStyle w:val="BodyText"/>
        <w:spacing w:before="1"/>
        <w:rPr>
          <w:rFonts w:ascii="Microsoft JhengHei"/>
          <w:b/>
          <w:sz w:val="10"/>
        </w:rPr>
      </w:pPr>
    </w:p>
    <w:p>
      <w:pPr>
        <w:spacing w:after="0"/>
        <w:rPr>
          <w:rFonts w:ascii="Microsoft JhengHei"/>
          <w:sz w:val="10"/>
        </w:rPr>
        <w:sectPr>
          <w:type w:val="continuous"/>
          <w:pgSz w:w="11910" w:h="16840"/>
          <w:pgMar w:top="1040" w:bottom="1180" w:left="1100" w:right="1080"/>
        </w:sectPr>
      </w:pPr>
    </w:p>
    <w:p>
      <w:pPr>
        <w:spacing w:line="204" w:lineRule="auto" w:before="24"/>
        <w:ind w:left="992" w:right="0" w:firstLine="0"/>
        <w:jc w:val="left"/>
        <w:rPr>
          <w:rFonts w:ascii="Microsoft JhengHei" w:eastAsia="Microsoft JhengHei" w:hint="eastAsia"/>
          <w:b/>
          <w:sz w:val="21"/>
        </w:rPr>
      </w:pPr>
      <w:r>
        <w:rPr>
          <w:rFonts w:ascii="Microsoft JhengHei" w:eastAsia="Microsoft JhengHei" w:hint="eastAsia"/>
          <w:b/>
          <w:sz w:val="21"/>
        </w:rPr>
        <w:t>轻症疾病保险金</w:t>
      </w:r>
    </w:p>
    <w:p>
      <w:pPr>
        <w:spacing w:line="208" w:lineRule="auto" w:before="72"/>
        <w:ind w:left="171" w:right="103" w:firstLine="422"/>
        <w:jc w:val="both"/>
        <w:rPr>
          <w:sz w:val="21"/>
        </w:rPr>
      </w:pPr>
      <w:r>
        <w:rPr/>
        <w:br w:type="column"/>
      </w:r>
      <w:r>
        <w:rPr>
          <w:spacing w:val="-3"/>
          <w:sz w:val="21"/>
        </w:rPr>
        <w:t>被保险人于本合同生效</w:t>
      </w:r>
      <w:r>
        <w:rPr>
          <w:sz w:val="21"/>
        </w:rPr>
        <w:t>（</w:t>
      </w:r>
      <w:r>
        <w:rPr>
          <w:spacing w:val="-2"/>
          <w:sz w:val="21"/>
        </w:rPr>
        <w:t>或合同效力恢复</w:t>
      </w:r>
      <w:r>
        <w:rPr>
          <w:spacing w:val="-10"/>
          <w:sz w:val="21"/>
        </w:rPr>
        <w:t>）</w:t>
      </w:r>
      <w:r>
        <w:rPr>
          <w:spacing w:val="-9"/>
          <w:sz w:val="21"/>
        </w:rPr>
        <w:t>之日起 </w:t>
      </w:r>
      <w:r>
        <w:rPr>
          <w:spacing w:val="-3"/>
          <w:sz w:val="21"/>
        </w:rPr>
        <w:t>90</w:t>
      </w:r>
      <w:r>
        <w:rPr>
          <w:spacing w:val="-7"/>
          <w:sz w:val="21"/>
        </w:rPr>
        <w:t> 日内因疾病原因，由本</w:t>
      </w:r>
      <w:r>
        <w:rPr>
          <w:sz w:val="21"/>
        </w:rPr>
        <w:t>公司认可医院</w:t>
      </w:r>
      <w:r>
        <w:rPr>
          <w:spacing w:val="2"/>
          <w:sz w:val="21"/>
        </w:rPr>
        <w:t>（</w:t>
      </w:r>
      <w:r>
        <w:rPr>
          <w:sz w:val="21"/>
        </w:rPr>
        <w:t>详见释义）的专科医生（详见释义）</w:t>
      </w:r>
      <w:r>
        <w:rPr>
          <w:spacing w:val="0"/>
          <w:sz w:val="21"/>
        </w:rPr>
        <w:t>确诊</w:t>
      </w:r>
      <w:r>
        <w:rPr>
          <w:rFonts w:ascii="Microsoft JhengHei" w:eastAsia="Microsoft JhengHei" w:hint="eastAsia"/>
          <w:b/>
          <w:spacing w:val="2"/>
          <w:sz w:val="21"/>
        </w:rPr>
        <w:t>初次</w:t>
      </w:r>
      <w:r>
        <w:rPr>
          <w:sz w:val="21"/>
        </w:rPr>
        <w:t>发生本合同所指的</w:t>
      </w:r>
      <w:r>
        <w:rPr>
          <w:spacing w:val="-3"/>
          <w:w w:val="100"/>
          <w:sz w:val="21"/>
        </w:rPr>
        <w:t>轻症疾病</w:t>
      </w:r>
      <w:r>
        <w:rPr>
          <w:w w:val="100"/>
          <w:sz w:val="21"/>
        </w:rPr>
        <w:t>（</w:t>
      </w:r>
      <w:r>
        <w:rPr>
          <w:spacing w:val="-3"/>
          <w:w w:val="100"/>
          <w:sz w:val="21"/>
        </w:rPr>
        <w:t>无论一项或多项</w:t>
      </w:r>
      <w:r>
        <w:rPr>
          <w:spacing w:val="-106"/>
          <w:w w:val="100"/>
          <w:sz w:val="21"/>
        </w:rPr>
        <w:t>）</w:t>
      </w:r>
      <w:r>
        <w:rPr>
          <w:spacing w:val="-15"/>
          <w:w w:val="100"/>
          <w:sz w:val="21"/>
        </w:rPr>
        <w:t>，</w:t>
      </w:r>
      <w:r>
        <w:rPr>
          <w:rFonts w:ascii="Microsoft JhengHei" w:eastAsia="Microsoft JhengHei" w:hint="eastAsia"/>
          <w:b/>
          <w:spacing w:val="-2"/>
          <w:w w:val="100"/>
          <w:sz w:val="21"/>
        </w:rPr>
        <w:t>本公司不承担给付轻症疾病保险金责任，本合同继</w:t>
      </w:r>
      <w:r>
        <w:rPr>
          <w:rFonts w:ascii="Microsoft JhengHei" w:eastAsia="Microsoft JhengHei" w:hint="eastAsia"/>
          <w:b/>
          <w:spacing w:val="-2"/>
          <w:sz w:val="21"/>
        </w:rPr>
        <w:t>续有效</w:t>
      </w:r>
      <w:r>
        <w:rPr>
          <w:spacing w:val="-2"/>
          <w:sz w:val="21"/>
        </w:rPr>
        <w:t>。</w:t>
      </w:r>
    </w:p>
    <w:p>
      <w:pPr>
        <w:pStyle w:val="BodyText"/>
        <w:spacing w:before="13"/>
        <w:ind w:left="593"/>
      </w:pPr>
      <w:r>
        <w:rPr/>
        <w:t>被保险人于本合同生效（或合同效力恢复）之日起 90 日内因意外伤害（详见</w:t>
      </w:r>
    </w:p>
    <w:p>
      <w:pPr>
        <w:spacing w:line="208" w:lineRule="auto" w:before="72"/>
        <w:ind w:left="171" w:right="108" w:firstLine="0"/>
        <w:jc w:val="both"/>
        <w:rPr>
          <w:rFonts w:ascii="Microsoft JhengHei" w:eastAsia="Microsoft JhengHei" w:hint="eastAsia"/>
          <w:b/>
          <w:sz w:val="21"/>
        </w:rPr>
      </w:pPr>
      <w:r>
        <w:rPr>
          <w:sz w:val="21"/>
        </w:rPr>
        <w:t>释义）</w:t>
      </w:r>
      <w:r>
        <w:rPr>
          <w:spacing w:val="-5"/>
          <w:sz w:val="21"/>
        </w:rPr>
        <w:t>原因，或于本合同生效</w:t>
      </w:r>
      <w:r>
        <w:rPr>
          <w:sz w:val="21"/>
        </w:rPr>
        <w:t>（</w:t>
      </w:r>
      <w:r>
        <w:rPr>
          <w:spacing w:val="-3"/>
          <w:sz w:val="21"/>
        </w:rPr>
        <w:t>或合同效力恢复</w:t>
      </w:r>
      <w:r>
        <w:rPr>
          <w:spacing w:val="-5"/>
          <w:sz w:val="21"/>
        </w:rPr>
        <w:t>）</w:t>
      </w:r>
      <w:r>
        <w:rPr>
          <w:spacing w:val="-11"/>
          <w:sz w:val="21"/>
        </w:rPr>
        <w:t>之日起 </w:t>
      </w:r>
      <w:r>
        <w:rPr>
          <w:sz w:val="21"/>
        </w:rPr>
        <w:t>90</w:t>
      </w:r>
      <w:r>
        <w:rPr>
          <w:spacing w:val="-7"/>
          <w:sz w:val="21"/>
        </w:rPr>
        <w:t> 日后，由本公司认可</w:t>
      </w:r>
      <w:r>
        <w:rPr>
          <w:spacing w:val="-6"/>
          <w:w w:val="100"/>
          <w:sz w:val="21"/>
        </w:rPr>
        <w:t>医院的专科医生确诊</w:t>
      </w:r>
      <w:r>
        <w:rPr>
          <w:rFonts w:ascii="Microsoft JhengHei" w:eastAsia="Microsoft JhengHei" w:hint="eastAsia"/>
          <w:b/>
          <w:w w:val="100"/>
          <w:sz w:val="21"/>
        </w:rPr>
        <w:t>初次</w:t>
      </w:r>
      <w:r>
        <w:rPr>
          <w:spacing w:val="-5"/>
          <w:w w:val="100"/>
          <w:sz w:val="21"/>
        </w:rPr>
        <w:t>发生本合同所指的轻症疾病</w:t>
      </w:r>
      <w:r>
        <w:rPr>
          <w:w w:val="100"/>
          <w:sz w:val="21"/>
        </w:rPr>
        <w:t>（</w:t>
      </w:r>
      <w:r>
        <w:rPr>
          <w:spacing w:val="-3"/>
          <w:w w:val="100"/>
          <w:sz w:val="21"/>
        </w:rPr>
        <w:t>无论一项或多项</w:t>
      </w:r>
      <w:r>
        <w:rPr>
          <w:spacing w:val="-106"/>
          <w:w w:val="100"/>
          <w:sz w:val="21"/>
        </w:rPr>
        <w:t>）</w:t>
      </w:r>
      <w:r>
        <w:rPr>
          <w:spacing w:val="-10"/>
          <w:w w:val="100"/>
          <w:sz w:val="21"/>
        </w:rPr>
        <w:t>，</w:t>
      </w:r>
      <w:r>
        <w:rPr>
          <w:rFonts w:ascii="Microsoft JhengHei" w:eastAsia="Microsoft JhengHei" w:hint="eastAsia"/>
          <w:b/>
          <w:w w:val="100"/>
          <w:sz w:val="21"/>
        </w:rPr>
        <w:t>本公司</w:t>
      </w:r>
      <w:r>
        <w:rPr>
          <w:rFonts w:ascii="Microsoft JhengHei" w:eastAsia="Microsoft JhengHei" w:hint="eastAsia"/>
          <w:b/>
          <w:w w:val="95"/>
          <w:sz w:val="21"/>
        </w:rPr>
        <w:t>按基本保险金额的   20%</w:t>
      </w:r>
      <w:r>
        <w:rPr>
          <w:rFonts w:ascii="Microsoft JhengHei" w:eastAsia="Microsoft JhengHei" w:hint="eastAsia"/>
          <w:b/>
          <w:spacing w:val="-10"/>
          <w:w w:val="95"/>
          <w:sz w:val="21"/>
        </w:rPr>
        <w:t>给付轻症疾病保险金，且应符合本合同疾病保险金单一组别</w:t>
      </w:r>
      <w:r>
        <w:rPr>
          <w:rFonts w:ascii="Microsoft JhengHei" w:eastAsia="Microsoft JhengHei" w:hint="eastAsia"/>
          <w:b/>
          <w:spacing w:val="-10"/>
          <w:sz w:val="21"/>
        </w:rPr>
        <w:t>给付限额和累计给付限额的规定。</w:t>
      </w:r>
    </w:p>
    <w:p>
      <w:pPr>
        <w:pStyle w:val="Heading2"/>
        <w:spacing w:line="204" w:lineRule="auto"/>
        <w:ind w:left="171" w:right="113" w:firstLine="422"/>
        <w:jc w:val="both"/>
      </w:pPr>
      <w:r>
        <w:rPr/>
        <w:t>在本合同保险期间内，本公司对每项轻症疾病给付次数以一次为限，每项轻症疾病保险金给付金额不超过 20 万元人民币。</w:t>
      </w:r>
    </w:p>
    <w:p>
      <w:pPr>
        <w:spacing w:after="0" w:line="204" w:lineRule="auto"/>
        <w:jc w:val="both"/>
        <w:sectPr>
          <w:type w:val="continuous"/>
          <w:pgSz w:w="11910" w:h="16840"/>
          <w:pgMar w:top="1040" w:bottom="1180" w:left="1100" w:right="1080"/>
          <w:cols w:num="2" w:equalWidth="0">
            <w:col w:w="1953" w:space="40"/>
            <w:col w:w="7737"/>
          </w:cols>
        </w:sectPr>
      </w:pPr>
    </w:p>
    <w:p>
      <w:pPr>
        <w:pStyle w:val="BodyText"/>
        <w:spacing w:before="4"/>
        <w:rPr>
          <w:rFonts w:ascii="Microsoft JhengHei"/>
          <w:b/>
          <w:sz w:val="10"/>
        </w:rPr>
      </w:pPr>
    </w:p>
    <w:p>
      <w:pPr>
        <w:pStyle w:val="BodyText"/>
        <w:tabs>
          <w:tab w:pos="2586" w:val="left" w:leader="none"/>
        </w:tabs>
        <w:spacing w:line="336" w:lineRule="exact" w:before="0"/>
        <w:ind w:left="992"/>
      </w:pPr>
      <w:r>
        <w:rPr>
          <w:rFonts w:ascii="Microsoft JhengHei" w:eastAsia="Microsoft JhengHei" w:hint="eastAsia"/>
          <w:b/>
          <w:spacing w:val="36"/>
        </w:rPr>
        <w:t>重大疾</w:t>
      </w:r>
      <w:r>
        <w:rPr>
          <w:rFonts w:ascii="Microsoft JhengHei" w:eastAsia="Microsoft JhengHei" w:hint="eastAsia"/>
          <w:b/>
        </w:rPr>
        <w:t>病</w:t>
        <w:tab/>
      </w:r>
      <w:r>
        <w:rPr/>
        <w:t>被保险人</w:t>
      </w:r>
      <w:r>
        <w:rPr>
          <w:spacing w:val="-5"/>
        </w:rPr>
        <w:t>于</w:t>
      </w:r>
      <w:r>
        <w:rPr/>
        <w:t>本合同</w:t>
      </w:r>
      <w:r>
        <w:rPr>
          <w:spacing w:val="-5"/>
        </w:rPr>
        <w:t>生效</w:t>
      </w:r>
      <w:r>
        <w:rPr/>
        <w:t>（或合</w:t>
      </w:r>
      <w:r>
        <w:rPr>
          <w:spacing w:val="-5"/>
        </w:rPr>
        <w:t>同</w:t>
      </w:r>
      <w:r>
        <w:rPr/>
        <w:t>效力恢复</w:t>
      </w:r>
      <w:r>
        <w:rPr>
          <w:spacing w:val="-10"/>
        </w:rPr>
        <w:t>）</w:t>
      </w:r>
      <w:r>
        <w:rPr/>
        <w:t>之日起</w:t>
      </w:r>
      <w:r>
        <w:rPr>
          <w:spacing w:val="-33"/>
        </w:rPr>
        <w:t> </w:t>
      </w:r>
      <w:r>
        <w:rPr>
          <w:spacing w:val="-3"/>
        </w:rPr>
        <w:t>90</w:t>
      </w:r>
      <w:r>
        <w:rPr>
          <w:spacing w:val="-33"/>
        </w:rPr>
        <w:t> </w:t>
      </w:r>
      <w:r>
        <w:rPr/>
        <w:t>日内因疾</w:t>
      </w:r>
      <w:r>
        <w:rPr>
          <w:spacing w:val="-5"/>
        </w:rPr>
        <w:t>病</w:t>
      </w:r>
      <w:r>
        <w:rPr/>
        <w:t>原因</w:t>
      </w:r>
      <w:r>
        <w:rPr>
          <w:spacing w:val="-5"/>
        </w:rPr>
        <w:t>，</w:t>
      </w:r>
      <w:r>
        <w:rPr/>
        <w:t>由本</w:t>
      </w:r>
    </w:p>
    <w:p>
      <w:pPr>
        <w:spacing w:after="0" w:line="336" w:lineRule="exact"/>
        <w:sectPr>
          <w:type w:val="continuous"/>
          <w:pgSz w:w="11910" w:h="16840"/>
          <w:pgMar w:top="1040" w:bottom="1180" w:left="1100" w:right="1080"/>
        </w:sectPr>
      </w:pPr>
    </w:p>
    <w:p>
      <w:pPr>
        <w:pStyle w:val="BodyText"/>
        <w:spacing w:before="7"/>
        <w:rPr>
          <w:sz w:val="17"/>
        </w:rPr>
      </w:pPr>
    </w:p>
    <w:p>
      <w:pPr>
        <w:pStyle w:val="BodyText"/>
        <w:spacing w:line="312" w:lineRule="exact" w:before="32"/>
        <w:ind w:left="1963" w:right="198" w:hanging="1172"/>
        <w:jc w:val="both"/>
      </w:pPr>
      <w:r>
        <w:rPr>
          <w:rFonts w:ascii="Microsoft JhengHei" w:eastAsia="Microsoft JhengHei" w:hint="eastAsia"/>
          <w:b/>
          <w:spacing w:val="6"/>
        </w:rPr>
        <w:t>保险金 </w:t>
      </w:r>
      <w:r>
        <w:rPr>
          <w:spacing w:val="2"/>
        </w:rPr>
        <w:t>公司认可医院的专科医生确诊</w:t>
      </w:r>
      <w:r>
        <w:rPr>
          <w:rFonts w:ascii="Microsoft JhengHei" w:eastAsia="Microsoft JhengHei" w:hint="eastAsia"/>
          <w:b/>
          <w:spacing w:val="7"/>
        </w:rPr>
        <w:t>初次</w:t>
      </w:r>
      <w:r>
        <w:rPr>
          <w:spacing w:val="2"/>
        </w:rPr>
        <w:t>发生本合同所指的重大疾病</w:t>
      </w:r>
      <w:r>
        <w:rPr>
          <w:spacing w:val="7"/>
        </w:rPr>
        <w:t>（</w:t>
      </w:r>
      <w:r>
        <w:rPr>
          <w:spacing w:val="2"/>
        </w:rPr>
        <w:t>无论一项或多</w:t>
      </w:r>
      <w:r>
        <w:rPr>
          <w:w w:val="100"/>
        </w:rPr>
        <w:t>项</w:t>
      </w:r>
      <w:r>
        <w:rPr>
          <w:spacing w:val="-106"/>
          <w:w w:val="100"/>
        </w:rPr>
        <w:t>）</w:t>
      </w:r>
      <w:r>
        <w:rPr>
          <w:w w:val="100"/>
        </w:rPr>
        <w:t>，</w:t>
      </w:r>
      <w:r>
        <w:rPr>
          <w:spacing w:val="-5"/>
          <w:w w:val="100"/>
        </w:rPr>
        <w:t>本公司给付重大疾病保险金，其金额为本保险实际交纳的保险费的</w:t>
      </w:r>
      <w:r>
        <w:rPr>
          <w:spacing w:val="-57"/>
        </w:rPr>
        <w:t> </w:t>
      </w:r>
      <w:r>
        <w:rPr>
          <w:w w:val="100"/>
        </w:rPr>
        <w:t>1.1</w:t>
      </w:r>
      <w:r>
        <w:rPr>
          <w:spacing w:val="-53"/>
        </w:rPr>
        <w:t> </w:t>
      </w:r>
      <w:r>
        <w:rPr>
          <w:w w:val="100"/>
        </w:rPr>
        <w:t>倍，</w:t>
      </w:r>
      <w:r>
        <w:rPr/>
        <w:t>本合</w:t>
      </w:r>
      <w:r>
        <w:rPr>
          <w:spacing w:val="-2"/>
        </w:rPr>
        <w:t>同终止。</w:t>
      </w:r>
    </w:p>
    <w:p>
      <w:pPr>
        <w:pStyle w:val="BodyText"/>
        <w:spacing w:before="4"/>
        <w:ind w:left="2386"/>
      </w:pPr>
      <w:r>
        <w:rPr/>
        <w:t>被保险人于本合同生效（或合同效力恢复）之日起 90 日内因意外伤害原因，</w:t>
      </w:r>
    </w:p>
    <w:p>
      <w:pPr>
        <w:spacing w:line="208" w:lineRule="auto" w:before="72"/>
        <w:ind w:left="1963" w:right="208" w:firstLine="0"/>
        <w:jc w:val="both"/>
        <w:rPr>
          <w:rFonts w:ascii="Microsoft JhengHei" w:eastAsia="Microsoft JhengHei" w:hint="eastAsia"/>
          <w:b/>
          <w:sz w:val="21"/>
        </w:rPr>
      </w:pPr>
      <w:r>
        <w:rPr>
          <w:spacing w:val="-2"/>
          <w:sz w:val="21"/>
        </w:rPr>
        <w:t>或于本合同生效</w:t>
      </w:r>
      <w:r>
        <w:rPr>
          <w:sz w:val="21"/>
        </w:rPr>
        <w:t>（</w:t>
      </w:r>
      <w:r>
        <w:rPr>
          <w:spacing w:val="-3"/>
          <w:sz w:val="21"/>
        </w:rPr>
        <w:t>或合同效力恢复</w:t>
      </w:r>
      <w:r>
        <w:rPr>
          <w:spacing w:val="-5"/>
          <w:sz w:val="21"/>
        </w:rPr>
        <w:t>）</w:t>
      </w:r>
      <w:r>
        <w:rPr>
          <w:spacing w:val="-9"/>
          <w:sz w:val="21"/>
        </w:rPr>
        <w:t>之日起 </w:t>
      </w:r>
      <w:r>
        <w:rPr>
          <w:spacing w:val="-3"/>
          <w:sz w:val="21"/>
        </w:rPr>
        <w:t>90</w:t>
      </w:r>
      <w:r>
        <w:rPr>
          <w:spacing w:val="-7"/>
          <w:sz w:val="21"/>
        </w:rPr>
        <w:t> 日后，由本公司认可医院的专科医</w:t>
      </w:r>
      <w:r>
        <w:rPr>
          <w:spacing w:val="-7"/>
          <w:w w:val="100"/>
          <w:sz w:val="21"/>
        </w:rPr>
        <w:t>生确诊</w:t>
      </w:r>
      <w:r>
        <w:rPr>
          <w:rFonts w:ascii="Microsoft JhengHei" w:eastAsia="Microsoft JhengHei" w:hint="eastAsia"/>
          <w:b/>
          <w:spacing w:val="0"/>
          <w:w w:val="100"/>
          <w:sz w:val="21"/>
        </w:rPr>
        <w:t>初次</w:t>
      </w:r>
      <w:r>
        <w:rPr>
          <w:spacing w:val="-5"/>
          <w:w w:val="100"/>
          <w:sz w:val="21"/>
        </w:rPr>
        <w:t>发生本合同所指的重大疾病（</w:t>
      </w:r>
      <w:r>
        <w:rPr>
          <w:spacing w:val="-3"/>
          <w:w w:val="100"/>
          <w:sz w:val="21"/>
        </w:rPr>
        <w:t>无论一项或多项</w:t>
      </w:r>
      <w:r>
        <w:rPr>
          <w:spacing w:val="-106"/>
          <w:w w:val="100"/>
          <w:sz w:val="21"/>
        </w:rPr>
        <w:t>）</w:t>
      </w:r>
      <w:r>
        <w:rPr>
          <w:spacing w:val="-15"/>
          <w:w w:val="100"/>
          <w:sz w:val="21"/>
        </w:rPr>
        <w:t>，</w:t>
      </w:r>
      <w:r>
        <w:rPr>
          <w:rFonts w:ascii="Microsoft JhengHei" w:eastAsia="Microsoft JhengHei" w:hint="eastAsia"/>
          <w:b/>
          <w:w w:val="100"/>
          <w:sz w:val="21"/>
        </w:rPr>
        <w:t>本公司按下列规定给</w:t>
      </w:r>
      <w:r>
        <w:rPr>
          <w:rFonts w:ascii="Microsoft JhengHei" w:eastAsia="Microsoft JhengHei" w:hint="eastAsia"/>
          <w:b/>
          <w:sz w:val="21"/>
        </w:rPr>
        <w:t>付重大疾病保险金，且应符合本合同疾病保险金单一组别给付限额和累计给付限额的规定：</w:t>
      </w:r>
    </w:p>
    <w:p>
      <w:pPr>
        <w:pStyle w:val="Heading2"/>
        <w:spacing w:line="204" w:lineRule="auto"/>
        <w:ind w:left="1963" w:right="213" w:firstLine="422"/>
        <w:jc w:val="both"/>
      </w:pPr>
      <w:r>
        <w:rPr/>
        <w:t>1.若该项重大疾病确诊初次发生日期在被保险人 85 周岁保单生效对应日之前，本公司按基本保险金额与该项重大疾病所属组别对应的单一组别给付限额的余额二者之较小者，给付重大疾病保险金。</w:t>
      </w:r>
    </w:p>
    <w:p>
      <w:pPr>
        <w:spacing w:line="204" w:lineRule="auto" w:before="0"/>
        <w:ind w:left="1963" w:right="213" w:firstLine="422"/>
        <w:jc w:val="both"/>
        <w:rPr>
          <w:rFonts w:ascii="Microsoft JhengHei" w:eastAsia="Microsoft JhengHei" w:hint="eastAsia"/>
          <w:b/>
          <w:sz w:val="21"/>
        </w:rPr>
      </w:pPr>
      <w:r>
        <w:rPr>
          <w:rFonts w:ascii="Microsoft JhengHei" w:eastAsia="Microsoft JhengHei" w:hint="eastAsia"/>
          <w:b/>
          <w:sz w:val="21"/>
        </w:rPr>
        <w:t>单一组别给付限额的余额指单一组别给付限额减去该组别疾病累计已给付的疾病保险金后的余额。</w:t>
      </w:r>
    </w:p>
    <w:p>
      <w:pPr>
        <w:spacing w:line="204" w:lineRule="auto" w:before="0"/>
        <w:ind w:left="1963" w:right="208" w:firstLine="422"/>
        <w:jc w:val="both"/>
        <w:rPr>
          <w:rFonts w:ascii="Microsoft JhengHei" w:eastAsia="Microsoft JhengHei" w:hint="eastAsia"/>
          <w:b/>
          <w:sz w:val="21"/>
        </w:rPr>
      </w:pPr>
      <w:r>
        <w:rPr>
          <w:rFonts w:ascii="Microsoft JhengHei" w:eastAsia="Microsoft JhengHei" w:hint="eastAsia"/>
          <w:b/>
          <w:sz w:val="21"/>
        </w:rPr>
        <w:t>2.若该项重大疾病确诊初次发生日期在被保险人85</w:t>
      </w:r>
      <w:r>
        <w:rPr>
          <w:rFonts w:ascii="Microsoft JhengHei" w:eastAsia="Microsoft JhengHei" w:hint="eastAsia"/>
          <w:b/>
          <w:spacing w:val="-1"/>
          <w:sz w:val="21"/>
        </w:rPr>
        <w:t> 周岁保单生效对应日及以</w:t>
      </w:r>
      <w:r>
        <w:rPr>
          <w:rFonts w:ascii="Microsoft JhengHei" w:eastAsia="Microsoft JhengHei" w:hint="eastAsia"/>
          <w:b/>
          <w:sz w:val="21"/>
        </w:rPr>
        <w:t>后，本公司按基本保险金额减去自本合同生效之日起累计给付的疾病保险金（包括被保险人 85</w:t>
      </w:r>
      <w:r>
        <w:rPr>
          <w:rFonts w:ascii="Microsoft JhengHei" w:eastAsia="Microsoft JhengHei" w:hint="eastAsia"/>
          <w:b/>
          <w:spacing w:val="-2"/>
          <w:sz w:val="21"/>
        </w:rPr>
        <w:t> 周岁保单生效对应日之前和之后给付金额之和</w:t>
      </w:r>
      <w:r>
        <w:rPr>
          <w:rFonts w:ascii="Microsoft JhengHei" w:eastAsia="Microsoft JhengHei" w:hint="eastAsia"/>
          <w:b/>
          <w:spacing w:val="-20"/>
          <w:sz w:val="21"/>
        </w:rPr>
        <w:t>）</w:t>
      </w:r>
      <w:r>
        <w:rPr>
          <w:rFonts w:ascii="Microsoft JhengHei" w:eastAsia="Microsoft JhengHei" w:hint="eastAsia"/>
          <w:b/>
          <w:spacing w:val="-4"/>
          <w:sz w:val="21"/>
        </w:rPr>
        <w:t>后的余额，给付重大疾病保险金，本合同终止。</w:t>
      </w:r>
    </w:p>
    <w:p>
      <w:pPr>
        <w:pStyle w:val="BodyText"/>
        <w:spacing w:before="4"/>
        <w:rPr>
          <w:rFonts w:ascii="Microsoft JhengHei"/>
          <w:b/>
          <w:sz w:val="10"/>
        </w:rPr>
      </w:pPr>
    </w:p>
    <w:p>
      <w:pPr>
        <w:spacing w:after="0"/>
        <w:rPr>
          <w:rFonts w:ascii="Microsoft JhengHei"/>
          <w:sz w:val="10"/>
        </w:rPr>
        <w:sectPr>
          <w:pgSz w:w="11910" w:h="16840"/>
          <w:pgMar w:header="870" w:footer="998" w:top="1120" w:bottom="1180" w:left="1300" w:right="980"/>
        </w:sectPr>
      </w:pPr>
    </w:p>
    <w:p>
      <w:pPr>
        <w:spacing w:line="204" w:lineRule="auto" w:before="25"/>
        <w:ind w:left="792" w:right="0" w:firstLine="0"/>
        <w:jc w:val="both"/>
        <w:rPr>
          <w:rFonts w:ascii="Microsoft JhengHei" w:eastAsia="Microsoft JhengHei" w:hint="eastAsia"/>
          <w:b/>
          <w:sz w:val="21"/>
        </w:rPr>
      </w:pPr>
      <w:r>
        <w:rPr>
          <w:rFonts w:ascii="Microsoft JhengHei" w:eastAsia="Microsoft JhengHei" w:hint="eastAsia"/>
          <w:b/>
          <w:sz w:val="21"/>
        </w:rPr>
        <w:t>疾病保险金给付特别约定</w:t>
      </w:r>
    </w:p>
    <w:p>
      <w:pPr>
        <w:spacing w:line="204" w:lineRule="auto" w:before="25"/>
        <w:ind w:left="171" w:right="102" w:firstLine="422"/>
        <w:jc w:val="left"/>
        <w:rPr>
          <w:rFonts w:ascii="Microsoft JhengHei" w:eastAsia="Microsoft JhengHei" w:hint="eastAsia"/>
          <w:b/>
          <w:sz w:val="21"/>
        </w:rPr>
      </w:pPr>
      <w:r>
        <w:rPr/>
        <w:br w:type="column"/>
      </w:r>
      <w:r>
        <w:rPr>
          <w:rFonts w:ascii="Microsoft JhengHei" w:eastAsia="Microsoft JhengHei" w:hint="eastAsia"/>
          <w:b/>
          <w:sz w:val="21"/>
        </w:rPr>
        <w:t>1.在本合同保险期间内，被保险人多次确诊初次发生本合同所指的重大疾病， 对于相邻两次确诊初次发生的重大疾病，当且仅当后项重大疾病确诊初次发生日期满足以下条件时，本公司按重大疾病保险金给付规定对后项重大疾病承担保险责任：</w:t>
      </w:r>
    </w:p>
    <w:p>
      <w:pPr>
        <w:spacing w:line="204" w:lineRule="auto" w:before="1"/>
        <w:ind w:left="171" w:right="102" w:firstLine="412"/>
        <w:jc w:val="left"/>
        <w:rPr>
          <w:rFonts w:ascii="Microsoft JhengHei" w:eastAsia="Microsoft JhengHei" w:hint="eastAsia"/>
          <w:b/>
          <w:sz w:val="21"/>
        </w:rPr>
      </w:pPr>
      <w:r>
        <w:rPr>
          <w:rFonts w:ascii="Microsoft JhengHei" w:eastAsia="Microsoft JhengHei" w:hint="eastAsia"/>
          <w:b/>
          <w:spacing w:val="-4"/>
          <w:sz w:val="21"/>
        </w:rPr>
        <w:t>（1）如前项重大疾病为本合同所指的恶性肿瘤，后项重大疾病属于《疾病分</w:t>
      </w:r>
      <w:r>
        <w:rPr>
          <w:rFonts w:ascii="Microsoft JhengHei" w:eastAsia="Microsoft JhengHei" w:hint="eastAsia"/>
          <w:b/>
          <w:spacing w:val="-7"/>
          <w:sz w:val="21"/>
        </w:rPr>
        <w:t>组与给付限额表》中所列第四组重大疾病</w:t>
      </w:r>
      <w:r>
        <w:rPr>
          <w:rFonts w:ascii="Microsoft JhengHei" w:eastAsia="Microsoft JhengHei" w:hint="eastAsia"/>
          <w:b/>
          <w:sz w:val="21"/>
        </w:rPr>
        <w:t>（</w:t>
      </w:r>
      <w:r>
        <w:rPr>
          <w:rFonts w:ascii="Microsoft JhengHei" w:eastAsia="Microsoft JhengHei" w:hint="eastAsia"/>
          <w:b/>
          <w:spacing w:val="-2"/>
          <w:sz w:val="21"/>
        </w:rPr>
        <w:t>与主要器官及功能相关的疾病</w:t>
      </w:r>
      <w:r>
        <w:rPr>
          <w:rFonts w:ascii="Microsoft JhengHei" w:eastAsia="Microsoft JhengHei" w:hint="eastAsia"/>
          <w:b/>
          <w:spacing w:val="-15"/>
          <w:sz w:val="21"/>
        </w:rPr>
        <w:t>）</w:t>
      </w:r>
      <w:r>
        <w:rPr>
          <w:rFonts w:ascii="Microsoft JhengHei" w:eastAsia="Microsoft JhengHei" w:hint="eastAsia"/>
          <w:b/>
          <w:sz w:val="21"/>
        </w:rPr>
        <w:t>之一， </w:t>
      </w:r>
      <w:r>
        <w:rPr>
          <w:rFonts w:ascii="Microsoft JhengHei" w:eastAsia="Microsoft JhengHei" w:hint="eastAsia"/>
          <w:b/>
          <w:spacing w:val="-2"/>
          <w:sz w:val="21"/>
        </w:rPr>
        <w:t>后项重大疾病确诊初次发生日期自前项重大疾病确诊初次发生日期已届满 </w:t>
      </w:r>
      <w:r>
        <w:rPr>
          <w:rFonts w:ascii="Microsoft JhengHei" w:eastAsia="Microsoft JhengHei" w:hint="eastAsia"/>
          <w:b/>
          <w:sz w:val="21"/>
        </w:rPr>
        <w:t>5</w:t>
      </w:r>
      <w:r>
        <w:rPr>
          <w:rFonts w:ascii="Microsoft JhengHei" w:eastAsia="Microsoft JhengHei" w:hint="eastAsia"/>
          <w:b/>
          <w:spacing w:val="2"/>
          <w:sz w:val="21"/>
        </w:rPr>
        <w:t> 年；</w:t>
      </w:r>
    </w:p>
    <w:p>
      <w:pPr>
        <w:spacing w:line="204" w:lineRule="auto" w:before="1"/>
        <w:ind w:left="171" w:right="218" w:firstLine="412"/>
        <w:jc w:val="left"/>
        <w:rPr>
          <w:rFonts w:ascii="Microsoft JhengHei" w:eastAsia="Microsoft JhengHei" w:hint="eastAsia"/>
          <w:b/>
          <w:sz w:val="21"/>
        </w:rPr>
      </w:pPr>
      <w:r>
        <w:rPr>
          <w:rFonts w:ascii="Microsoft JhengHei" w:eastAsia="Microsoft JhengHei" w:hint="eastAsia"/>
          <w:b/>
          <w:sz w:val="21"/>
        </w:rPr>
        <w:t>（2）除上述第（1）项情形之外，后项重大疾病确诊初次发生日期自前项重大疾病确诊初次发生日期已届满 1 年。</w:t>
      </w:r>
    </w:p>
    <w:p>
      <w:pPr>
        <w:spacing w:line="204" w:lineRule="auto" w:before="0"/>
        <w:ind w:left="171" w:right="208" w:firstLine="422"/>
        <w:jc w:val="left"/>
        <w:rPr>
          <w:rFonts w:ascii="Microsoft JhengHei" w:eastAsia="Microsoft JhengHei" w:hint="eastAsia"/>
          <w:b/>
          <w:sz w:val="21"/>
        </w:rPr>
      </w:pPr>
      <w:r>
        <w:rPr>
          <w:rFonts w:ascii="Microsoft JhengHei" w:eastAsia="Microsoft JhengHei" w:hint="eastAsia"/>
          <w:b/>
          <w:sz w:val="21"/>
        </w:rPr>
        <w:t>被保险人在保险期间内确诊初次发生本合同所指的恶性肿瘤之后，再次确诊恶性肿瘤且后次确诊满足 5 年恶性肿瘤等待期（详见释义）的，则后次确诊恶性</w:t>
      </w:r>
    </w:p>
    <w:p>
      <w:pPr>
        <w:spacing w:line="204" w:lineRule="auto" w:before="0"/>
        <w:ind w:left="171" w:right="208" w:firstLine="0"/>
        <w:jc w:val="left"/>
        <w:rPr>
          <w:rFonts w:ascii="Microsoft JhengHei" w:eastAsia="Microsoft JhengHei" w:hint="eastAsia"/>
          <w:b/>
          <w:sz w:val="21"/>
        </w:rPr>
      </w:pPr>
      <w:r>
        <w:rPr>
          <w:rFonts w:ascii="Microsoft JhengHei" w:eastAsia="Microsoft JhengHei" w:hint="eastAsia"/>
          <w:b/>
          <w:sz w:val="21"/>
        </w:rPr>
        <w:t>肿瘤视同初次发生；如后次确诊恶性肿瘤不满足 5 年恶性肿瘤等待期的，则后次确诊不视同初次发生。</w:t>
      </w:r>
    </w:p>
    <w:p>
      <w:pPr>
        <w:spacing w:line="204" w:lineRule="auto" w:before="0"/>
        <w:ind w:left="171" w:right="213" w:firstLine="422"/>
        <w:jc w:val="both"/>
        <w:rPr>
          <w:rFonts w:ascii="Microsoft JhengHei" w:eastAsia="Microsoft JhengHei" w:hint="eastAsia"/>
          <w:b/>
          <w:sz w:val="21"/>
        </w:rPr>
      </w:pPr>
      <w:r>
        <w:rPr>
          <w:rFonts w:ascii="Microsoft JhengHei" w:eastAsia="Microsoft JhengHei" w:hint="eastAsia"/>
          <w:b/>
          <w:sz w:val="21"/>
        </w:rPr>
        <w:t>2.被保险人由于同一疾病原因、同次医疗行为或同次意外伤害事故，确诊初次发生一项或多项本合同所指的轻症疾病或本合同所指的重大疾病，本公司按轻症疾病保险金或重大疾病保险金规定，仅给付其中金额最高的一项保险金。</w:t>
      </w:r>
    </w:p>
    <w:p>
      <w:pPr>
        <w:spacing w:after="0" w:line="204" w:lineRule="auto"/>
        <w:jc w:val="both"/>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9"/>
        <w:rPr>
          <w:rFonts w:ascii="Microsoft JhengHei"/>
          <w:b/>
          <w:sz w:val="16"/>
        </w:rPr>
      </w:pPr>
    </w:p>
    <w:p>
      <w:pPr>
        <w:spacing w:after="0"/>
        <w:rPr>
          <w:rFonts w:ascii="Microsoft JhengHei"/>
          <w:sz w:val="16"/>
        </w:rPr>
        <w:sectPr>
          <w:type w:val="continuous"/>
          <w:pgSz w:w="11910" w:h="16840"/>
          <w:pgMar w:top="1040" w:bottom="1180" w:left="1300" w:right="980"/>
        </w:sectPr>
      </w:pPr>
    </w:p>
    <w:p>
      <w:pPr>
        <w:pStyle w:val="ListParagraph"/>
        <w:numPr>
          <w:ilvl w:val="2"/>
          <w:numId w:val="6"/>
        </w:numPr>
        <w:tabs>
          <w:tab w:pos="1536" w:val="left" w:leader="none"/>
          <w:tab w:pos="1537" w:val="left" w:leader="none"/>
        </w:tabs>
        <w:spacing w:line="204" w:lineRule="auto" w:before="25" w:after="0"/>
        <w:ind w:left="792" w:right="0" w:firstLine="0"/>
        <w:jc w:val="left"/>
        <w:rPr>
          <w:b/>
          <w:sz w:val="21"/>
        </w:rPr>
      </w:pPr>
      <w:r>
        <w:rPr>
          <w:b/>
          <w:sz w:val="21"/>
        </w:rPr>
        <w:t>身故保险金</w:t>
      </w:r>
    </w:p>
    <w:p>
      <w:pPr>
        <w:pStyle w:val="BodyText"/>
        <w:spacing w:line="273" w:lineRule="auto" w:before="37"/>
        <w:ind w:left="175" w:right="103" w:firstLine="422"/>
      </w:pPr>
      <w:r>
        <w:rPr/>
        <w:br w:type="column"/>
      </w:r>
      <w:r>
        <w:rPr>
          <w:spacing w:val="-6"/>
        </w:rPr>
        <w:t>被保险人于本合同生效</w:t>
      </w:r>
      <w:r>
        <w:rPr/>
        <w:t>（</w:t>
      </w:r>
      <w:r>
        <w:rPr>
          <w:spacing w:val="-3"/>
        </w:rPr>
        <w:t>或合同效力恢复</w:t>
      </w:r>
      <w:r>
        <w:rPr>
          <w:spacing w:val="-39"/>
        </w:rPr>
        <w:t>）</w:t>
      </w:r>
      <w:r>
        <w:rPr>
          <w:spacing w:val="-11"/>
        </w:rPr>
        <w:t>之日起 </w:t>
      </w:r>
      <w:r>
        <w:rPr/>
        <w:t>90</w:t>
      </w:r>
      <w:r>
        <w:rPr>
          <w:spacing w:val="-10"/>
        </w:rPr>
        <w:t> 日内，因疾病原因身故， </w:t>
      </w:r>
      <w:r>
        <w:rPr>
          <w:spacing w:val="-7"/>
        </w:rPr>
        <w:t>本公司给付身故保险金，其金额为本保险实际交纳的保险费的 </w:t>
      </w:r>
      <w:r>
        <w:rPr/>
        <w:t>1.1 倍，本合同终止。</w:t>
      </w:r>
    </w:p>
    <w:p>
      <w:pPr>
        <w:pStyle w:val="BodyText"/>
        <w:spacing w:line="273" w:lineRule="auto" w:before="7"/>
        <w:ind w:left="175" w:right="208" w:firstLine="422"/>
        <w:jc w:val="both"/>
      </w:pPr>
      <w:r>
        <w:rPr>
          <w:spacing w:val="-3"/>
        </w:rPr>
        <w:t>被保险人于本合同生效</w:t>
      </w:r>
      <w:r>
        <w:rPr/>
        <w:t>（</w:t>
      </w:r>
      <w:r>
        <w:rPr>
          <w:spacing w:val="-3"/>
        </w:rPr>
        <w:t>或合同效力恢复</w:t>
      </w:r>
      <w:r>
        <w:rPr>
          <w:spacing w:val="-5"/>
        </w:rPr>
        <w:t>）</w:t>
      </w:r>
      <w:r>
        <w:rPr>
          <w:spacing w:val="-11"/>
        </w:rPr>
        <w:t>之日起 </w:t>
      </w:r>
      <w:r>
        <w:rPr>
          <w:spacing w:val="-3"/>
        </w:rPr>
        <w:t>90</w:t>
      </w:r>
      <w:r>
        <w:rPr>
          <w:spacing w:val="-7"/>
        </w:rPr>
        <w:t> 日内因意外伤害原因身</w:t>
      </w:r>
      <w:r>
        <w:rPr>
          <w:spacing w:val="-5"/>
        </w:rPr>
        <w:t>故，或于本合同生效</w:t>
      </w:r>
      <w:r>
        <w:rPr/>
        <w:t>（</w:t>
      </w:r>
      <w:r>
        <w:rPr>
          <w:spacing w:val="-2"/>
        </w:rPr>
        <w:t>或合同效力恢复</w:t>
      </w:r>
      <w:r>
        <w:rPr>
          <w:spacing w:val="-5"/>
        </w:rPr>
        <w:t>）</w:t>
      </w:r>
      <w:r>
        <w:rPr>
          <w:spacing w:val="-10"/>
        </w:rPr>
        <w:t>之日起 </w:t>
      </w:r>
      <w:r>
        <w:rPr/>
        <w:t>90</w:t>
      </w:r>
      <w:r>
        <w:rPr>
          <w:spacing w:val="-8"/>
        </w:rPr>
        <w:t> 日后身故，本公司按基本保险</w:t>
      </w:r>
      <w:r>
        <w:rPr>
          <w:spacing w:val="-5"/>
        </w:rPr>
        <w:t>金额减去累计已给付的本合同第 </w:t>
      </w:r>
      <w:r>
        <w:rPr/>
        <w:t>2.3.1</w:t>
      </w:r>
      <w:r>
        <w:rPr>
          <w:spacing w:val="-2"/>
        </w:rPr>
        <w:t> 条规定的疾病保险金后的余额</w:t>
      </w:r>
      <w:r>
        <w:rPr>
          <w:spacing w:val="-5"/>
        </w:rPr>
        <w:t>（</w:t>
      </w:r>
      <w:r>
        <w:rPr/>
        <w:t>如果基本保险金额低于累计已给付的疾病保险金的，余额视同为零）给付身故保险金，本合同终止。</w:t>
      </w:r>
    </w:p>
    <w:p>
      <w:pPr>
        <w:spacing w:after="0" w:line="273" w:lineRule="auto"/>
        <w:jc w:val="both"/>
        <w:sectPr>
          <w:type w:val="continuous"/>
          <w:pgSz w:w="11910" w:h="16840"/>
          <w:pgMar w:top="1040" w:bottom="1180" w:left="1300" w:right="980"/>
          <w:cols w:num="2" w:equalWidth="0">
            <w:col w:w="1748" w:space="40"/>
            <w:col w:w="7842"/>
          </w:cols>
        </w:sectPr>
      </w:pPr>
    </w:p>
    <w:p>
      <w:pPr>
        <w:pStyle w:val="BodyText"/>
        <w:spacing w:before="4"/>
        <w:rPr>
          <w:sz w:val="25"/>
        </w:rPr>
      </w:pPr>
    </w:p>
    <w:p>
      <w:pPr>
        <w:pStyle w:val="ListParagraph"/>
        <w:numPr>
          <w:ilvl w:val="2"/>
          <w:numId w:val="6"/>
        </w:numPr>
        <w:tabs>
          <w:tab w:pos="1536" w:val="left" w:leader="none"/>
          <w:tab w:pos="1537" w:val="left" w:leader="none"/>
          <w:tab w:pos="2386" w:val="left" w:leader="none"/>
        </w:tabs>
        <w:spacing w:line="336" w:lineRule="exact" w:before="0" w:after="0"/>
        <w:ind w:left="1536" w:right="0" w:hanging="744"/>
        <w:jc w:val="left"/>
        <w:rPr>
          <w:rFonts w:ascii="宋体" w:eastAsia="宋体" w:hint="eastAsia"/>
          <w:sz w:val="21"/>
        </w:rPr>
      </w:pPr>
      <w:r>
        <w:rPr>
          <w:b/>
          <w:sz w:val="21"/>
        </w:rPr>
        <w:t>前</w:t>
        <w:tab/>
      </w:r>
      <w:r>
        <w:rPr>
          <w:rFonts w:ascii="宋体" w:eastAsia="宋体" w:hint="eastAsia"/>
          <w:sz w:val="21"/>
        </w:rPr>
        <w:t>被保险人</w:t>
      </w:r>
      <w:r>
        <w:rPr>
          <w:rFonts w:ascii="宋体" w:eastAsia="宋体" w:hint="eastAsia"/>
          <w:spacing w:val="-5"/>
          <w:sz w:val="21"/>
        </w:rPr>
        <w:t>于</w:t>
      </w:r>
      <w:r>
        <w:rPr>
          <w:rFonts w:ascii="宋体" w:eastAsia="宋体" w:hint="eastAsia"/>
          <w:sz w:val="21"/>
        </w:rPr>
        <w:t>本合同</w:t>
      </w:r>
      <w:r>
        <w:rPr>
          <w:rFonts w:ascii="宋体" w:eastAsia="宋体" w:hint="eastAsia"/>
          <w:spacing w:val="-5"/>
          <w:sz w:val="21"/>
        </w:rPr>
        <w:t>生</w:t>
      </w:r>
      <w:r>
        <w:rPr>
          <w:rFonts w:ascii="宋体" w:eastAsia="宋体" w:hint="eastAsia"/>
          <w:sz w:val="21"/>
        </w:rPr>
        <w:t>效（或</w:t>
      </w:r>
      <w:r>
        <w:rPr>
          <w:rFonts w:ascii="宋体" w:eastAsia="宋体" w:hint="eastAsia"/>
          <w:spacing w:val="-5"/>
          <w:sz w:val="21"/>
        </w:rPr>
        <w:t>合</w:t>
      </w:r>
      <w:r>
        <w:rPr>
          <w:rFonts w:ascii="宋体" w:eastAsia="宋体" w:hint="eastAsia"/>
          <w:sz w:val="21"/>
        </w:rPr>
        <w:t>同效力</w:t>
      </w:r>
      <w:r>
        <w:rPr>
          <w:rFonts w:ascii="宋体" w:eastAsia="宋体" w:hint="eastAsia"/>
          <w:spacing w:val="-5"/>
          <w:sz w:val="21"/>
        </w:rPr>
        <w:t>恢</w:t>
      </w:r>
      <w:r>
        <w:rPr>
          <w:rFonts w:ascii="宋体" w:eastAsia="宋体" w:hint="eastAsia"/>
          <w:sz w:val="21"/>
        </w:rPr>
        <w:t>复）之</w:t>
      </w:r>
      <w:r>
        <w:rPr>
          <w:rFonts w:ascii="宋体" w:eastAsia="宋体" w:hint="eastAsia"/>
          <w:spacing w:val="-5"/>
          <w:sz w:val="21"/>
        </w:rPr>
        <w:t>日</w:t>
      </w:r>
      <w:r>
        <w:rPr>
          <w:rFonts w:ascii="宋体" w:eastAsia="宋体" w:hint="eastAsia"/>
          <w:sz w:val="21"/>
        </w:rPr>
        <w:t>起</w:t>
      </w:r>
      <w:r>
        <w:rPr>
          <w:rFonts w:ascii="宋体" w:eastAsia="宋体" w:hint="eastAsia"/>
          <w:spacing w:val="-20"/>
          <w:sz w:val="21"/>
        </w:rPr>
        <w:t> </w:t>
      </w:r>
      <w:r>
        <w:rPr>
          <w:rFonts w:ascii="宋体" w:eastAsia="宋体" w:hint="eastAsia"/>
          <w:spacing w:val="-3"/>
          <w:sz w:val="21"/>
        </w:rPr>
        <w:t>90</w:t>
      </w:r>
      <w:r>
        <w:rPr>
          <w:rFonts w:ascii="宋体" w:eastAsia="宋体" w:hint="eastAsia"/>
          <w:spacing w:val="-20"/>
          <w:sz w:val="21"/>
        </w:rPr>
        <w:t> </w:t>
      </w:r>
      <w:r>
        <w:rPr>
          <w:rFonts w:ascii="宋体" w:eastAsia="宋体" w:hint="eastAsia"/>
          <w:sz w:val="21"/>
        </w:rPr>
        <w:t>日内且</w:t>
      </w:r>
      <w:r>
        <w:rPr>
          <w:rFonts w:ascii="宋体" w:eastAsia="宋体" w:hint="eastAsia"/>
          <w:spacing w:val="-5"/>
          <w:sz w:val="21"/>
        </w:rPr>
        <w:t>于</w:t>
      </w:r>
      <w:r>
        <w:rPr>
          <w:rFonts w:ascii="宋体" w:eastAsia="宋体" w:hint="eastAsia"/>
          <w:sz w:val="21"/>
        </w:rPr>
        <w:t>第</w:t>
      </w:r>
      <w:r>
        <w:rPr>
          <w:rFonts w:ascii="宋体" w:eastAsia="宋体" w:hint="eastAsia"/>
          <w:spacing w:val="-20"/>
          <w:sz w:val="21"/>
        </w:rPr>
        <w:t> </w:t>
      </w:r>
      <w:r>
        <w:rPr>
          <w:rFonts w:ascii="宋体" w:eastAsia="宋体" w:hint="eastAsia"/>
          <w:sz w:val="21"/>
        </w:rPr>
        <w:t>10</w:t>
      </w:r>
      <w:r>
        <w:rPr>
          <w:rFonts w:ascii="宋体" w:eastAsia="宋体" w:hint="eastAsia"/>
          <w:spacing w:val="-20"/>
          <w:sz w:val="21"/>
        </w:rPr>
        <w:t> </w:t>
      </w:r>
      <w:r>
        <w:rPr>
          <w:rFonts w:ascii="宋体" w:eastAsia="宋体" w:hint="eastAsia"/>
          <w:spacing w:val="-5"/>
          <w:sz w:val="21"/>
        </w:rPr>
        <w:t>个</w:t>
      </w:r>
      <w:r>
        <w:rPr>
          <w:rFonts w:ascii="宋体" w:eastAsia="宋体" w:hint="eastAsia"/>
          <w:sz w:val="21"/>
        </w:rPr>
        <w:t>保单</w:t>
      </w:r>
    </w:p>
    <w:p>
      <w:pPr>
        <w:spacing w:after="0" w:line="336" w:lineRule="exact"/>
        <w:jc w:val="left"/>
        <w:rPr>
          <w:rFonts w:ascii="宋体" w:eastAsia="宋体" w:hint="eastAsia"/>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100" w:right="1080"/>
        </w:sectPr>
      </w:pPr>
    </w:p>
    <w:p>
      <w:pPr>
        <w:pStyle w:val="Heading2"/>
        <w:spacing w:line="204" w:lineRule="auto" w:before="24"/>
        <w:ind w:left="992"/>
      </w:pPr>
      <w:r>
        <w:rPr/>
        <w:t>10 年关爱保险金</w:t>
      </w:r>
    </w:p>
    <w:p>
      <w:pPr>
        <w:pStyle w:val="BodyText"/>
        <w:spacing w:line="273" w:lineRule="auto"/>
        <w:ind w:left="175" w:right="108"/>
      </w:pPr>
      <w:r>
        <w:rPr/>
        <w:br w:type="column"/>
      </w:r>
      <w:r>
        <w:rPr/>
        <w:t>生效对应日零时之前因意外伤害原因，或于本合同生效（或合同效力恢复</w:t>
      </w:r>
      <w:r>
        <w:rPr>
          <w:spacing w:val="2"/>
        </w:rPr>
        <w:t>）</w:t>
      </w:r>
      <w:r>
        <w:rPr/>
        <w:t>之日</w:t>
      </w:r>
      <w:r>
        <w:rPr>
          <w:spacing w:val="-10"/>
        </w:rPr>
        <w:t>起 </w:t>
      </w:r>
      <w:r>
        <w:rPr/>
        <w:t>90</w:t>
      </w:r>
      <w:r>
        <w:rPr>
          <w:spacing w:val="-7"/>
        </w:rPr>
        <w:t> 日后且于第 </w:t>
      </w:r>
      <w:r>
        <w:rPr>
          <w:spacing w:val="-3"/>
        </w:rPr>
        <w:t>10</w:t>
      </w:r>
      <w:r>
        <w:rPr>
          <w:spacing w:val="-5"/>
        </w:rPr>
        <w:t> 个保单生效对应日零时之前，由本公司认可医院的专科医生</w:t>
      </w:r>
    </w:p>
    <w:p>
      <w:pPr>
        <w:pStyle w:val="BodyText"/>
        <w:spacing w:line="306" w:lineRule="exact" w:before="0"/>
        <w:ind w:left="175"/>
      </w:pPr>
      <w:r>
        <w:rPr/>
        <w:t>确诊</w:t>
      </w:r>
      <w:r>
        <w:rPr>
          <w:rFonts w:ascii="Microsoft JhengHei" w:eastAsia="Microsoft JhengHei" w:hint="eastAsia"/>
          <w:b/>
        </w:rPr>
        <w:t>初次</w:t>
      </w:r>
      <w:r>
        <w:rPr/>
        <w:t>发生本合同所指的重大疾病（无论一项或多项）并按本合同第 2.3.1 条</w:t>
      </w:r>
    </w:p>
    <w:p>
      <w:pPr>
        <w:pStyle w:val="BodyText"/>
        <w:spacing w:line="273" w:lineRule="auto" w:before="13"/>
        <w:ind w:left="175" w:right="108"/>
      </w:pPr>
      <w:r>
        <w:rPr>
          <w:spacing w:val="-7"/>
        </w:rPr>
        <w:t>规定给付重大疾病保险金的，本公司将同时给付前 </w:t>
      </w:r>
      <w:r>
        <w:rPr>
          <w:spacing w:val="-3"/>
        </w:rPr>
        <w:t>10</w:t>
      </w:r>
      <w:r>
        <w:rPr>
          <w:spacing w:val="-7"/>
        </w:rPr>
        <w:t> 年关爱保险金，其金额为基</w:t>
      </w:r>
      <w:r>
        <w:rPr>
          <w:spacing w:val="-11"/>
        </w:rPr>
        <w:t>本保险金额的 </w:t>
      </w:r>
      <w:r>
        <w:rPr/>
        <w:t>50%</w:t>
      </w:r>
      <w:r>
        <w:rPr>
          <w:spacing w:val="-2"/>
        </w:rPr>
        <w:t>，本项保险责任终止。</w:t>
      </w:r>
    </w:p>
    <w:p>
      <w:pPr>
        <w:pStyle w:val="BodyText"/>
        <w:spacing w:line="273" w:lineRule="auto" w:before="7"/>
        <w:ind w:left="175" w:right="108" w:firstLine="422"/>
        <w:jc w:val="both"/>
      </w:pPr>
      <w:r>
        <w:rPr>
          <w:spacing w:val="-2"/>
        </w:rPr>
        <w:t>被保险人于本合同生效</w:t>
      </w:r>
      <w:r>
        <w:rPr/>
        <w:t>（</w:t>
      </w:r>
      <w:r>
        <w:rPr>
          <w:spacing w:val="-3"/>
        </w:rPr>
        <w:t>或合同效力恢复</w:t>
      </w:r>
      <w:r>
        <w:rPr/>
        <w:t>）</w:t>
      </w:r>
      <w:r>
        <w:rPr>
          <w:spacing w:val="-7"/>
        </w:rPr>
        <w:t>之日起 </w:t>
      </w:r>
      <w:r>
        <w:rPr>
          <w:spacing w:val="-3"/>
        </w:rPr>
        <w:t>90</w:t>
      </w:r>
      <w:r>
        <w:rPr>
          <w:spacing w:val="-8"/>
        </w:rPr>
        <w:t> 日内且于第 </w:t>
      </w:r>
      <w:r>
        <w:rPr/>
        <w:t>10</w:t>
      </w:r>
      <w:r>
        <w:rPr>
          <w:spacing w:val="-7"/>
        </w:rPr>
        <w:t> 个保单</w:t>
      </w:r>
      <w:r>
        <w:rPr/>
        <w:t>生效对应日零时之前因意外伤害原因，或于本合同生效（或合同效力恢复</w:t>
      </w:r>
      <w:r>
        <w:rPr>
          <w:spacing w:val="2"/>
        </w:rPr>
        <w:t>）</w:t>
      </w:r>
      <w:r>
        <w:rPr/>
        <w:t>之日</w:t>
      </w:r>
      <w:r>
        <w:rPr>
          <w:spacing w:val="-9"/>
        </w:rPr>
        <w:t>起 </w:t>
      </w:r>
      <w:r>
        <w:rPr/>
        <w:t>90</w:t>
      </w:r>
      <w:r>
        <w:rPr>
          <w:spacing w:val="-7"/>
        </w:rPr>
        <w:t> 日后且于第 </w:t>
      </w:r>
      <w:r>
        <w:rPr/>
        <w:t>10</w:t>
      </w:r>
      <w:r>
        <w:rPr>
          <w:spacing w:val="-6"/>
        </w:rPr>
        <w:t> 个保单生效对应日零时之前身故，并且符合本合同第 </w:t>
      </w:r>
      <w:r>
        <w:rPr/>
        <w:t>2.3.2 </w:t>
      </w:r>
      <w:r>
        <w:rPr>
          <w:spacing w:val="-7"/>
        </w:rPr>
        <w:t>条身故保险金给付条件的，本公司将同时给付前 </w:t>
      </w:r>
      <w:r>
        <w:rPr/>
        <w:t>10</w:t>
      </w:r>
      <w:r>
        <w:rPr>
          <w:spacing w:val="-8"/>
        </w:rPr>
        <w:t> 年关爱保险金，其金额为基本</w:t>
      </w:r>
      <w:r>
        <w:rPr>
          <w:spacing w:val="-14"/>
        </w:rPr>
        <w:t>保险金额的 </w:t>
      </w:r>
      <w:r>
        <w:rPr/>
        <w:t>50%，</w:t>
      </w:r>
      <w:r>
        <w:rPr>
          <w:spacing w:val="-3"/>
        </w:rPr>
        <w:t>本项保险责任终止。</w:t>
      </w:r>
    </w:p>
    <w:p>
      <w:pPr>
        <w:pStyle w:val="Heading2"/>
        <w:spacing w:line="306" w:lineRule="exact"/>
        <w:ind w:left="598"/>
      </w:pPr>
      <w:r>
        <w:rPr/>
        <w:t>在本合同保险期间内，前 10 年关爱保险金给付次数以一次为限。</w:t>
      </w:r>
    </w:p>
    <w:p>
      <w:pPr>
        <w:spacing w:after="0" w:line="306" w:lineRule="exact"/>
        <w:sectPr>
          <w:type w:val="continuous"/>
          <w:pgSz w:w="11910" w:h="16840"/>
          <w:pgMar w:top="1040" w:bottom="1180" w:left="1100" w:right="1080"/>
          <w:cols w:num="2" w:equalWidth="0">
            <w:col w:w="1948" w:space="40"/>
            <w:col w:w="7742"/>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特</w:t>
      </w:r>
      <w:r>
        <w:rPr>
          <w:b/>
          <w:spacing w:val="26"/>
          <w:sz w:val="21"/>
        </w:rPr>
        <w:t>定严重疾病保险金</w:t>
      </w:r>
    </w:p>
    <w:p>
      <w:pPr>
        <w:pStyle w:val="BodyText"/>
        <w:spacing w:before="37"/>
        <w:ind w:left="593"/>
      </w:pPr>
      <w:r>
        <w:rPr/>
        <w:br w:type="column"/>
      </w:r>
      <w:r>
        <w:rPr/>
        <w:t>被保险人于本合同生效（或合同效力恢复）之日起 90 日内因意外伤害原因，</w:t>
      </w:r>
    </w:p>
    <w:p>
      <w:pPr>
        <w:pStyle w:val="BodyText"/>
        <w:spacing w:line="260" w:lineRule="exact" w:before="37"/>
        <w:ind w:left="171"/>
      </w:pPr>
      <w:r>
        <w:rPr/>
        <w:t>或于本合同生效（或合同效力恢复）之日起 90 日后，由本公司认可医院的专科医</w:t>
      </w:r>
    </w:p>
    <w:p>
      <w:pPr>
        <w:spacing w:line="223" w:lineRule="auto" w:before="10"/>
        <w:ind w:left="171" w:right="108" w:firstLine="0"/>
        <w:jc w:val="both"/>
        <w:rPr>
          <w:rFonts w:ascii="Microsoft JhengHei" w:eastAsia="Microsoft JhengHei" w:hint="eastAsia"/>
          <w:b/>
          <w:sz w:val="21"/>
        </w:rPr>
      </w:pPr>
      <w:r>
        <w:rPr>
          <w:spacing w:val="-2"/>
          <w:sz w:val="21"/>
        </w:rPr>
        <w:t>生确诊</w:t>
      </w:r>
      <w:r>
        <w:rPr>
          <w:rFonts w:ascii="Microsoft JhengHei" w:eastAsia="Microsoft JhengHei" w:hint="eastAsia"/>
          <w:b/>
          <w:spacing w:val="0"/>
          <w:sz w:val="21"/>
        </w:rPr>
        <w:t>初次</w:t>
      </w:r>
      <w:r>
        <w:rPr>
          <w:spacing w:val="-5"/>
          <w:sz w:val="21"/>
        </w:rPr>
        <w:t>发生本合同所指的重大疾病并按本合同第 </w:t>
      </w:r>
      <w:r>
        <w:rPr>
          <w:sz w:val="21"/>
        </w:rPr>
        <w:t>2.3.1</w:t>
      </w:r>
      <w:r>
        <w:rPr>
          <w:spacing w:val="-1"/>
          <w:sz w:val="21"/>
        </w:rPr>
        <w:t> 条规定给付重大疾病</w:t>
      </w:r>
      <w:r>
        <w:rPr>
          <w:sz w:val="21"/>
        </w:rPr>
        <w:t>保险金的，如果上述所确诊的重大疾病同时符合本合同所指的特定严重疾病（详</w:t>
      </w:r>
      <w:r>
        <w:rPr>
          <w:w w:val="100"/>
          <w:sz w:val="21"/>
        </w:rPr>
        <w:t>见释义</w:t>
      </w:r>
      <w:r>
        <w:rPr>
          <w:spacing w:val="-101"/>
          <w:w w:val="100"/>
          <w:sz w:val="21"/>
        </w:rPr>
        <w:t>）</w:t>
      </w:r>
      <w:r>
        <w:rPr>
          <w:w w:val="100"/>
          <w:sz w:val="21"/>
        </w:rPr>
        <w:t>（无论一项或多项</w:t>
      </w:r>
      <w:r>
        <w:rPr>
          <w:spacing w:val="-101"/>
          <w:w w:val="100"/>
          <w:sz w:val="21"/>
        </w:rPr>
        <w:t>）</w:t>
      </w:r>
      <w:r>
        <w:rPr>
          <w:spacing w:val="-1"/>
          <w:w w:val="100"/>
          <w:sz w:val="21"/>
        </w:rPr>
        <w:t>，</w:t>
      </w:r>
      <w:r>
        <w:rPr>
          <w:rFonts w:ascii="Microsoft JhengHei" w:eastAsia="Microsoft JhengHei" w:hint="eastAsia"/>
          <w:b/>
          <w:w w:val="100"/>
          <w:sz w:val="21"/>
        </w:rPr>
        <w:t>本公司将同时给付特定严重疾病保险金，其金额为</w:t>
      </w:r>
      <w:r>
        <w:rPr>
          <w:rFonts w:ascii="Microsoft JhengHei" w:eastAsia="Microsoft JhengHei" w:hint="eastAsia"/>
          <w:b/>
          <w:w w:val="95"/>
          <w:sz w:val="21"/>
        </w:rPr>
        <w:t>基本保险金额的   20%，本项保险责任终止。</w:t>
      </w:r>
    </w:p>
    <w:p>
      <w:pPr>
        <w:pStyle w:val="Heading2"/>
        <w:spacing w:line="312" w:lineRule="exact"/>
        <w:ind w:left="593"/>
      </w:pPr>
      <w:r>
        <w:rPr/>
        <w:t>在本合同保险期间内，特定严重疾病保险金给付次数以一次为限。</w:t>
      </w:r>
    </w:p>
    <w:p>
      <w:pPr>
        <w:spacing w:after="0" w:line="312" w:lineRule="exact"/>
        <w:sectPr>
          <w:type w:val="continuous"/>
          <w:pgSz w:w="11910" w:h="16840"/>
          <w:pgMar w:top="1040" w:bottom="1180" w:left="1100" w:right="1080"/>
          <w:cols w:num="2" w:equalWidth="0">
            <w:col w:w="1953" w:space="40"/>
            <w:col w:w="7737"/>
          </w:cols>
        </w:sectPr>
      </w:pPr>
    </w:p>
    <w:p>
      <w:pPr>
        <w:pStyle w:val="BodyText"/>
        <w:spacing w:before="6"/>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6" w:val="left" w:leader="none"/>
          <w:tab w:pos="1737" w:val="left" w:leader="none"/>
        </w:tabs>
        <w:spacing w:line="204" w:lineRule="auto" w:before="24" w:after="0"/>
        <w:ind w:left="992" w:right="0" w:firstLine="0"/>
        <w:jc w:val="left"/>
        <w:rPr>
          <w:b/>
          <w:sz w:val="21"/>
        </w:rPr>
      </w:pPr>
      <w:r>
        <w:rPr>
          <w:b/>
          <w:sz w:val="21"/>
        </w:rPr>
        <w:t>豁免保险费</w:t>
      </w:r>
    </w:p>
    <w:p>
      <w:pPr>
        <w:pStyle w:val="BodyText"/>
        <w:spacing w:line="273" w:lineRule="auto"/>
        <w:ind w:left="175" w:right="108" w:firstLine="422"/>
      </w:pPr>
      <w:r>
        <w:rPr/>
        <w:br w:type="column"/>
      </w:r>
      <w:r>
        <w:rPr/>
        <w:t>在本合同交费期间内，如本公司按本合同第 2.3.1 条规定累计给付的疾病保险金达到基本保险金额时，您可免交后续保险费，本合同继续有效。</w:t>
      </w:r>
    </w:p>
    <w:p>
      <w:pPr>
        <w:spacing w:after="0" w:line="273" w:lineRule="auto"/>
        <w:sectPr>
          <w:type w:val="continuous"/>
          <w:pgSz w:w="11910" w:h="16840"/>
          <w:pgMar w:top="1040" w:bottom="1180" w:left="1100" w:right="1080"/>
          <w:cols w:num="2" w:equalWidth="0">
            <w:col w:w="1949" w:space="40"/>
            <w:col w:w="7741"/>
          </w:cols>
        </w:sectPr>
      </w:pPr>
    </w:p>
    <w:p>
      <w:pPr>
        <w:pStyle w:val="BodyText"/>
        <w:spacing w:before="11"/>
        <w:rPr>
          <w:sz w:val="12"/>
        </w:rPr>
      </w:pPr>
    </w:p>
    <w:p>
      <w:pPr>
        <w:pStyle w:val="Heading2"/>
        <w:numPr>
          <w:ilvl w:val="1"/>
          <w:numId w:val="6"/>
        </w:numPr>
        <w:tabs>
          <w:tab w:pos="992" w:val="left" w:leader="none"/>
          <w:tab w:pos="993" w:val="left" w:leader="none"/>
        </w:tabs>
        <w:spacing w:line="335" w:lineRule="exact" w:before="0" w:after="0"/>
        <w:ind w:left="992" w:right="0" w:hanging="892"/>
        <w:jc w:val="left"/>
      </w:pPr>
      <w:r>
        <w:rPr/>
        <w:t>责任免除</w:t>
      </w: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轻</w:t>
      </w:r>
      <w:r>
        <w:rPr>
          <w:b/>
          <w:spacing w:val="-21"/>
          <w:sz w:val="21"/>
        </w:rPr>
        <w:t>症疾病、重</w:t>
      </w:r>
      <w:r>
        <w:rPr>
          <w:b/>
          <w:spacing w:val="-33"/>
          <w:sz w:val="21"/>
        </w:rPr>
        <w:t>大疾病、特</w:t>
      </w:r>
      <w:r>
        <w:rPr>
          <w:b/>
          <w:spacing w:val="26"/>
          <w:sz w:val="21"/>
        </w:rPr>
        <w:t>定严重疾病保险责任免除</w:t>
      </w:r>
    </w:p>
    <w:p>
      <w:pPr>
        <w:spacing w:line="308" w:lineRule="exact" w:before="0"/>
        <w:ind w:left="588" w:right="0" w:firstLine="0"/>
        <w:jc w:val="left"/>
        <w:rPr>
          <w:rFonts w:ascii="Microsoft JhengHei" w:eastAsia="Microsoft JhengHei" w:hint="eastAsia"/>
          <w:b/>
          <w:sz w:val="21"/>
        </w:rPr>
      </w:pPr>
      <w:r>
        <w:rPr/>
        <w:br w:type="column"/>
      </w:r>
      <w:r>
        <w:rPr>
          <w:rFonts w:ascii="Microsoft JhengHei" w:eastAsia="Microsoft JhengHei" w:hint="eastAsia"/>
          <w:b/>
          <w:sz w:val="21"/>
        </w:rPr>
        <w:t>被保险人因下列 1-8 项情形之一发生本合同所指的轻症疾病、本合同所指的</w:t>
      </w:r>
    </w:p>
    <w:p>
      <w:pPr>
        <w:spacing w:line="204" w:lineRule="auto" w:before="28"/>
        <w:ind w:left="166" w:right="113" w:firstLine="0"/>
        <w:jc w:val="left"/>
        <w:rPr>
          <w:rFonts w:ascii="Microsoft JhengHei" w:eastAsia="Microsoft JhengHei" w:hint="eastAsia"/>
          <w:b/>
          <w:sz w:val="21"/>
        </w:rPr>
      </w:pPr>
      <w:r>
        <w:rPr>
          <w:rFonts w:ascii="Microsoft JhengHei" w:eastAsia="Microsoft JhengHei" w:hint="eastAsia"/>
          <w:b/>
          <w:sz w:val="21"/>
        </w:rPr>
        <w:t>重大疾病或本合同所指的特定严重疾病的，或在第 9 项期间遭受意外伤害导致上述疾病的，本公司不承担保险责任：</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2.被保险人故意自伤，但自伤时为无民事行为能力人的除外；</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3.被保险人故意犯罪或抗拒依法采取的刑事强制措施；</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4.被保险人主动吸食或注射毒品（</w:t>
      </w:r>
      <w:r>
        <w:rPr>
          <w:rFonts w:ascii="Microsoft JhengHei" w:eastAsia="Microsoft JhengHei" w:hint="eastAsia"/>
          <w:b/>
          <w:spacing w:val="-2"/>
          <w:w w:val="101"/>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6.核爆炸、核辐射或核污染；</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7.遗传性疾病（详见释义</w:t>
      </w:r>
      <w:r>
        <w:rPr>
          <w:rFonts w:ascii="Microsoft JhengHei" w:eastAsia="Microsoft JhengHei" w:hint="eastAsia"/>
          <w:b/>
          <w:spacing w:val="-106"/>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101"/>
          <w:sz w:val="21"/>
        </w:rPr>
        <w:t>8.被保险人感染艾滋病病毒或患艾滋病（</w:t>
      </w:r>
      <w:r>
        <w:rPr>
          <w:rFonts w:ascii="Microsoft JhengHei" w:eastAsia="Microsoft JhengHei" w:hint="eastAsia"/>
          <w:b/>
          <w:spacing w:val="-5"/>
          <w:w w:val="101"/>
          <w:sz w:val="21"/>
        </w:rPr>
        <w:t>详</w:t>
      </w:r>
      <w:r>
        <w:rPr>
          <w:rFonts w:ascii="Microsoft JhengHei" w:eastAsia="Microsoft JhengHei" w:hint="eastAsia"/>
          <w:b/>
          <w:w w:val="100"/>
          <w:sz w:val="21"/>
        </w:rPr>
        <w:t>见释义</w:t>
      </w:r>
      <w:r>
        <w:rPr>
          <w:rFonts w:ascii="Microsoft JhengHei" w:eastAsia="Microsoft JhengHei" w:hint="eastAsia"/>
          <w:b/>
          <w:spacing w:val="-111"/>
          <w:w w:val="100"/>
          <w:sz w:val="21"/>
        </w:rPr>
        <w:t>）</w:t>
      </w:r>
      <w:r>
        <w:rPr>
          <w:rFonts w:ascii="Microsoft JhengHei" w:eastAsia="Microsoft JhengHei" w:hint="eastAsia"/>
          <w:b/>
          <w:w w:val="100"/>
          <w:sz w:val="21"/>
        </w:rPr>
        <w:t>；</w:t>
      </w:r>
    </w:p>
    <w:p>
      <w:pPr>
        <w:spacing w:line="204" w:lineRule="auto" w:before="28"/>
        <w:ind w:left="171" w:right="108" w:firstLine="422"/>
        <w:jc w:val="left"/>
        <w:rPr>
          <w:rFonts w:ascii="Microsoft JhengHei" w:eastAsia="Microsoft JhengHei" w:hint="eastAsia"/>
          <w:b/>
          <w:sz w:val="21"/>
        </w:rPr>
      </w:pPr>
      <w:r>
        <w:rPr>
          <w:rFonts w:ascii="Microsoft JhengHei" w:eastAsia="Microsoft JhengHei" w:hint="eastAsia"/>
          <w:b/>
          <w:sz w:val="21"/>
        </w:rPr>
        <w:t>9.</w:t>
      </w:r>
      <w:r>
        <w:rPr>
          <w:rFonts w:ascii="Microsoft JhengHei" w:eastAsia="Microsoft JhengHei" w:hint="eastAsia"/>
          <w:b/>
          <w:spacing w:val="-2"/>
          <w:sz w:val="21"/>
        </w:rPr>
        <w:t>被保险人酒后驾驶</w:t>
      </w:r>
      <w:r>
        <w:rPr>
          <w:rFonts w:ascii="Microsoft JhengHei" w:eastAsia="Microsoft JhengHei" w:hint="eastAsia"/>
          <w:b/>
          <w:sz w:val="21"/>
        </w:rPr>
        <w:t>（详见释义</w:t>
      </w:r>
      <w:r>
        <w:rPr>
          <w:rFonts w:ascii="Microsoft JhengHei" w:eastAsia="Microsoft JhengHei" w:hint="eastAsia"/>
          <w:b/>
          <w:spacing w:val="-106"/>
          <w:sz w:val="21"/>
        </w:rPr>
        <w:t>）</w:t>
      </w:r>
      <w:r>
        <w:rPr>
          <w:rFonts w:ascii="Microsoft JhengHei" w:eastAsia="Microsoft JhengHei" w:hint="eastAsia"/>
          <w:b/>
          <w:spacing w:val="-6"/>
          <w:sz w:val="21"/>
        </w:rPr>
        <w:t>、无合法有效驾驶证驾驶</w:t>
      </w:r>
      <w:r>
        <w:rPr>
          <w:rFonts w:ascii="Microsoft JhengHei" w:eastAsia="Microsoft JhengHei" w:hint="eastAsia"/>
          <w:b/>
          <w:sz w:val="21"/>
        </w:rPr>
        <w:t>（详见释义</w:t>
      </w:r>
      <w:r>
        <w:rPr>
          <w:rFonts w:ascii="Microsoft JhengHei" w:eastAsia="Microsoft JhengHei" w:hint="eastAsia"/>
          <w:b/>
          <w:spacing w:val="-10"/>
          <w:sz w:val="21"/>
        </w:rPr>
        <w:t>）</w:t>
      </w:r>
      <w:r>
        <w:rPr>
          <w:rFonts w:ascii="Microsoft JhengHei" w:eastAsia="Microsoft JhengHei" w:hint="eastAsia"/>
          <w:b/>
          <w:sz w:val="21"/>
        </w:rPr>
        <w:t>或驾驶无有效行驶证（详见释义）</w:t>
      </w:r>
      <w:r>
        <w:rPr>
          <w:rFonts w:ascii="Microsoft JhengHei" w:eastAsia="Microsoft JhengHei" w:hint="eastAsia"/>
          <w:b/>
          <w:spacing w:val="-2"/>
          <w:sz w:val="21"/>
        </w:rPr>
        <w:t>的机动车</w:t>
      </w:r>
      <w:r>
        <w:rPr>
          <w:rFonts w:ascii="Microsoft JhengHei" w:eastAsia="Microsoft JhengHei" w:hint="eastAsia"/>
          <w:b/>
          <w:sz w:val="21"/>
        </w:rPr>
        <w:t>（详见释义</w:t>
      </w:r>
      <w:r>
        <w:rPr>
          <w:rFonts w:ascii="Microsoft JhengHei" w:eastAsia="Microsoft JhengHei" w:hint="eastAsia"/>
          <w:b/>
          <w:spacing w:val="-5"/>
          <w:sz w:val="21"/>
        </w:rPr>
        <w:t>）</w:t>
      </w:r>
      <w:r>
        <w:rPr>
          <w:rFonts w:ascii="Microsoft JhengHei" w:eastAsia="Microsoft JhengHei" w:hint="eastAsia"/>
          <w:b/>
          <w:sz w:val="21"/>
        </w:rPr>
        <w:t>期间。</w:t>
      </w:r>
    </w:p>
    <w:p>
      <w:pPr>
        <w:spacing w:after="0" w:line="204" w:lineRule="auto"/>
        <w:jc w:val="left"/>
        <w:rPr>
          <w:rFonts w:ascii="Microsoft JhengHei" w:eastAsia="Microsoft JhengHei" w:hint="eastAsia"/>
          <w:sz w:val="21"/>
        </w:rPr>
        <w:sectPr>
          <w:type w:val="continuous"/>
          <w:pgSz w:w="11910" w:h="16840"/>
          <w:pgMar w:top="1040" w:bottom="1180" w:left="1100" w:right="1080"/>
          <w:cols w:num="2" w:equalWidth="0">
            <w:col w:w="1953" w:space="40"/>
            <w:col w:w="77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1080"/>
        </w:sectPr>
      </w:pPr>
    </w:p>
    <w:p>
      <w:pPr>
        <w:pStyle w:val="ListParagraph"/>
        <w:numPr>
          <w:ilvl w:val="2"/>
          <w:numId w:val="6"/>
        </w:numPr>
        <w:tabs>
          <w:tab w:pos="1737" w:val="left" w:leader="none"/>
        </w:tabs>
        <w:spacing w:line="204" w:lineRule="auto" w:before="25" w:after="0"/>
        <w:ind w:left="992" w:right="0" w:firstLine="0"/>
        <w:jc w:val="both"/>
        <w:rPr>
          <w:b/>
          <w:sz w:val="21"/>
        </w:rPr>
      </w:pPr>
      <w:r>
        <w:rPr>
          <w:b/>
          <w:sz w:val="21"/>
        </w:rPr>
        <w:t>身</w:t>
      </w:r>
      <w:r>
        <w:rPr>
          <w:b/>
          <w:spacing w:val="26"/>
          <w:sz w:val="21"/>
        </w:rPr>
        <w:t>故保险责任免除</w:t>
      </w:r>
    </w:p>
    <w:p>
      <w:pPr>
        <w:spacing w:line="204" w:lineRule="auto" w:before="24"/>
        <w:ind w:left="171" w:right="108" w:firstLine="422"/>
        <w:jc w:val="left"/>
        <w:rPr>
          <w:rFonts w:ascii="Microsoft JhengHei" w:eastAsia="Microsoft JhengHei" w:hint="eastAsia"/>
          <w:b/>
          <w:sz w:val="21"/>
        </w:rPr>
      </w:pPr>
      <w:r>
        <w:rPr/>
        <w:br w:type="column"/>
      </w:r>
      <w:r>
        <w:rPr>
          <w:rFonts w:ascii="Microsoft JhengHei" w:eastAsia="Microsoft JhengHei" w:hint="eastAsia"/>
          <w:b/>
          <w:sz w:val="21"/>
        </w:rPr>
        <w:t>被保险人因下列 1-6 项情形之一身故的，或在第 7 项期间遭受意外伤害导致身故的，本公司不承担保险责任：</w:t>
      </w:r>
    </w:p>
    <w:p>
      <w:pPr>
        <w:spacing w:line="285"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2.故意犯罪或抗拒依法采取的刑事强制措施；</w:t>
      </w:r>
    </w:p>
    <w:p>
      <w:pPr>
        <w:spacing w:line="204" w:lineRule="auto" w:before="27"/>
        <w:ind w:left="171" w:right="113" w:firstLine="422"/>
        <w:jc w:val="left"/>
        <w:rPr>
          <w:rFonts w:ascii="Microsoft JhengHei" w:eastAsia="Microsoft JhengHei" w:hint="eastAsia"/>
          <w:b/>
          <w:sz w:val="21"/>
        </w:rPr>
      </w:pPr>
      <w:r>
        <w:rPr>
          <w:rFonts w:ascii="Microsoft JhengHei" w:eastAsia="Microsoft JhengHei" w:hint="eastAsia"/>
          <w:b/>
          <w:sz w:val="21"/>
        </w:rPr>
        <w:t>3.自本合同成立或合同效力恢复之日起二年内自杀，但自杀时为无民事行为能力人的除外；</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4.主动吸食或注射毒品；</w:t>
      </w:r>
    </w:p>
    <w:p>
      <w:pPr>
        <w:spacing w:after="0" w:line="312" w:lineRule="exact"/>
        <w:jc w:val="left"/>
        <w:rPr>
          <w:rFonts w:ascii="Microsoft JhengHei" w:eastAsia="Microsoft JhengHei" w:hint="eastAsia"/>
          <w:sz w:val="21"/>
        </w:rPr>
        <w:sectPr>
          <w:type w:val="continuous"/>
          <w:pgSz w:w="11910" w:h="16840"/>
          <w:pgMar w:top="1040" w:bottom="1180" w:left="1100" w:right="1080"/>
          <w:cols w:num="2" w:equalWidth="0">
            <w:col w:w="1953" w:space="40"/>
            <w:col w:w="7737"/>
          </w:cols>
        </w:sectPr>
      </w:pPr>
    </w:p>
    <w:p>
      <w:pPr>
        <w:pStyle w:val="BodyText"/>
        <w:spacing w:before="3"/>
        <w:rPr>
          <w:rFonts w:ascii="Microsoft JhengHei"/>
          <w:b/>
          <w:sz w:val="13"/>
        </w:rPr>
      </w:pPr>
    </w:p>
    <w:p>
      <w:pPr>
        <w:spacing w:line="309" w:lineRule="exact" w:before="0"/>
        <w:ind w:left="2706"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312" w:lineRule="exact" w:before="0"/>
        <w:ind w:left="2706" w:right="0" w:firstLine="0"/>
        <w:jc w:val="left"/>
        <w:rPr>
          <w:rFonts w:ascii="Microsoft JhengHei" w:eastAsia="Microsoft JhengHei" w:hint="eastAsia"/>
          <w:b/>
          <w:sz w:val="21"/>
        </w:rPr>
      </w:pPr>
      <w:r>
        <w:rPr>
          <w:rFonts w:ascii="Microsoft JhengHei" w:eastAsia="Microsoft JhengHei" w:hint="eastAsia"/>
          <w:b/>
          <w:sz w:val="21"/>
        </w:rPr>
        <w:t>6.核爆炸、核辐射或核污染；</w:t>
      </w:r>
    </w:p>
    <w:p>
      <w:pPr>
        <w:spacing w:line="204" w:lineRule="auto" w:before="28"/>
        <w:ind w:left="2706" w:right="157" w:firstLine="0"/>
        <w:jc w:val="left"/>
        <w:rPr>
          <w:rFonts w:ascii="Microsoft JhengHei" w:eastAsia="Microsoft JhengHei" w:hint="eastAsia"/>
          <w:b/>
          <w:sz w:val="21"/>
        </w:rPr>
      </w:pPr>
      <w:r>
        <w:rPr>
          <w:rFonts w:ascii="Microsoft JhengHei" w:eastAsia="Microsoft JhengHei" w:hint="eastAsia"/>
          <w:b/>
          <w:sz w:val="21"/>
        </w:rPr>
        <w:t>7.酒后驾驶、无合法有效驾驶证驾驶或驾驶无有效行驶证的机动车期间。   发生上述第 1 项情形导致被保险人身故的，本合同终止，对于未发生保险金</w:t>
      </w:r>
    </w:p>
    <w:p>
      <w:pPr>
        <w:spacing w:line="285" w:lineRule="exact" w:before="0"/>
        <w:ind w:left="2284" w:right="0" w:firstLine="0"/>
        <w:jc w:val="left"/>
        <w:rPr>
          <w:rFonts w:ascii="Microsoft JhengHei" w:eastAsia="Microsoft JhengHei" w:hint="eastAsia"/>
          <w:b/>
          <w:sz w:val="21"/>
        </w:rPr>
      </w:pPr>
      <w:r>
        <w:rPr>
          <w:rFonts w:ascii="Microsoft JhengHei" w:eastAsia="Microsoft JhengHei" w:hint="eastAsia"/>
          <w:b/>
          <w:sz w:val="21"/>
        </w:rPr>
        <w:t>给付的，本公司向被保险人继承人退还保险单的现金价值。</w:t>
      </w:r>
    </w:p>
    <w:p>
      <w:pPr>
        <w:spacing w:line="204" w:lineRule="auto" w:before="28"/>
        <w:ind w:left="2284" w:right="208" w:firstLine="422"/>
        <w:jc w:val="left"/>
        <w:rPr>
          <w:rFonts w:ascii="Microsoft JhengHei" w:eastAsia="Microsoft JhengHei" w:hint="eastAsia"/>
          <w:b/>
          <w:sz w:val="21"/>
        </w:rPr>
      </w:pPr>
      <w:r>
        <w:rPr>
          <w:rFonts w:ascii="Microsoft JhengHei" w:eastAsia="Microsoft JhengHei" w:hint="eastAsia"/>
          <w:b/>
          <w:sz w:val="21"/>
        </w:rPr>
        <w:t>因上述第 2-6 项情形或在第 7 项期间被保险人身故的，本合同终止，对于未发生保险金给付的，本公司向您退还保险单的现金价值。</w:t>
      </w:r>
    </w:p>
    <w:p>
      <w:pPr>
        <w:pStyle w:val="ListParagraph"/>
        <w:numPr>
          <w:ilvl w:val="0"/>
          <w:numId w:val="6"/>
        </w:numPr>
        <w:tabs>
          <w:tab w:pos="1112" w:val="left" w:leader="none"/>
          <w:tab w:pos="1113" w:val="left" w:leader="none"/>
        </w:tabs>
        <w:spacing w:line="240" w:lineRule="auto" w:before="113" w:after="10"/>
        <w:ind w:left="1112" w:right="0" w:hanging="892"/>
        <w:jc w:val="left"/>
        <w:rPr>
          <w:b/>
          <w:sz w:val="24"/>
        </w:rPr>
      </w:pPr>
      <w:r>
        <w:rPr>
          <w:b/>
          <w:sz w:val="24"/>
        </w:rPr>
        <w:t>您的权利和义务</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9"/>
        <w:rPr>
          <w:rFonts w:ascii="Microsoft JhengHei"/>
          <w:b/>
          <w:sz w:val="7"/>
        </w:rPr>
      </w:pPr>
    </w:p>
    <w:p>
      <w:pPr>
        <w:spacing w:after="0"/>
        <w:rPr>
          <w:rFonts w:ascii="Microsoft JhengHei"/>
          <w:sz w:val="7"/>
        </w:rPr>
        <w:sectPr>
          <w:pgSz w:w="11910" w:h="16840"/>
          <w:pgMar w:header="870" w:footer="998" w:top="1120" w:bottom="1180" w:left="980" w:right="980"/>
        </w:sectPr>
      </w:pPr>
    </w:p>
    <w:p>
      <w:pPr>
        <w:pStyle w:val="ListParagraph"/>
        <w:numPr>
          <w:ilvl w:val="1"/>
          <w:numId w:val="6"/>
        </w:numPr>
        <w:tabs>
          <w:tab w:pos="1112" w:val="left" w:leader="none"/>
          <w:tab w:pos="1113" w:val="left" w:leader="none"/>
        </w:tabs>
        <w:spacing w:line="204" w:lineRule="auto" w:before="24" w:after="0"/>
        <w:ind w:left="1112" w:right="0" w:hanging="892"/>
        <w:jc w:val="left"/>
        <w:rPr>
          <w:b/>
          <w:sz w:val="21"/>
        </w:rPr>
      </w:pPr>
      <w:r>
        <w:rPr>
          <w:b/>
          <w:spacing w:val="26"/>
          <w:sz w:val="21"/>
        </w:rPr>
        <w:t>保险费的交纳</w:t>
      </w:r>
    </w:p>
    <w:p>
      <w:pPr>
        <w:pStyle w:val="BodyText"/>
        <w:spacing w:line="273" w:lineRule="auto"/>
        <w:ind w:left="171" w:right="208" w:firstLine="422"/>
      </w:pPr>
      <w:r>
        <w:rPr/>
        <w:br w:type="column"/>
      </w:r>
      <w:r>
        <w:rPr/>
        <w:t>本合同的交费方式和交费期间由您和本公司约定，但须符合本公司当时的投保规定，约定的交费方式和交费期间将在保险单上载明。</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1"/>
        <w:rPr>
          <w:sz w:val="12"/>
        </w:rPr>
      </w:pPr>
    </w:p>
    <w:p>
      <w:pPr>
        <w:spacing w:after="0"/>
        <w:rPr>
          <w:sz w:val="12"/>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4" w:after="0"/>
        <w:ind w:left="1112" w:right="0" w:hanging="892"/>
        <w:jc w:val="left"/>
      </w:pPr>
      <w:r>
        <w:rPr>
          <w:spacing w:val="26"/>
        </w:rPr>
        <w:t>续期保险费的交纳、宽限期</w:t>
      </w:r>
    </w:p>
    <w:p>
      <w:pPr>
        <w:pStyle w:val="BodyText"/>
        <w:spacing w:line="273" w:lineRule="auto"/>
        <w:ind w:left="75" w:right="208" w:firstLine="422"/>
        <w:jc w:val="both"/>
      </w:pPr>
      <w:r>
        <w:rPr/>
        <w:br w:type="column"/>
      </w:r>
      <w:r>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9"/>
        </w:rPr>
        <w:t>零时起 </w:t>
      </w:r>
      <w:r>
        <w:rPr/>
        <w:t>60</w:t>
      </w:r>
      <w:r>
        <w:rPr>
          <w:spacing w:val="-10"/>
        </w:rPr>
        <w:t> 日为宽限期。宽限期内发生保险事故的，本公司承担保险责任，但在给</w:t>
      </w:r>
      <w:r>
        <w:rPr>
          <w:spacing w:val="-7"/>
        </w:rPr>
        <w:t>付保险金时将扣减您欠交的保险费。</w:t>
      </w:r>
    </w:p>
    <w:p>
      <w:pPr>
        <w:pStyle w:val="Heading2"/>
        <w:spacing w:line="204" w:lineRule="auto"/>
        <w:ind w:left="75" w:right="213" w:firstLine="422"/>
        <w:jc w:val="both"/>
      </w:pPr>
      <w:r>
        <w:rPr/>
        <w:t>除另有约定外，您逾宽限期仍未交纳续期保险费的，本合同自宽限期满的次日零时起效力中止。</w:t>
      </w:r>
    </w:p>
    <w:p>
      <w:pPr>
        <w:spacing w:after="0" w:line="204" w:lineRule="auto"/>
        <w:jc w:val="both"/>
        <w:sectPr>
          <w:type w:val="continuous"/>
          <w:pgSz w:w="11910" w:h="16840"/>
          <w:pgMar w:top="1040" w:bottom="1180" w:left="980" w:right="980"/>
          <w:cols w:num="2" w:equalWidth="0">
            <w:col w:w="2169" w:space="40"/>
            <w:col w:w="77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5" w:after="0"/>
        <w:ind w:left="1112" w:right="0" w:hanging="892"/>
        <w:jc w:val="left"/>
        <w:rPr>
          <w:b/>
          <w:sz w:val="21"/>
        </w:rPr>
      </w:pPr>
      <w:r>
        <w:rPr>
          <w:b/>
          <w:spacing w:val="26"/>
          <w:sz w:val="21"/>
        </w:rPr>
        <w:t>合同效力中止</w:t>
      </w:r>
    </w:p>
    <w:p>
      <w:pPr>
        <w:spacing w:line="336" w:lineRule="exact" w:before="0"/>
        <w:ind w:left="220" w:right="0" w:firstLine="0"/>
        <w:jc w:val="left"/>
        <w:rPr>
          <w:rFonts w:ascii="Microsoft JhengHei" w:eastAsia="Microsoft JhengHei" w:hint="eastAsia"/>
          <w:b/>
          <w:sz w:val="21"/>
        </w:rPr>
      </w:pPr>
      <w:r>
        <w:rPr/>
        <w:br w:type="column"/>
      </w:r>
      <w:r>
        <w:rPr>
          <w:rFonts w:ascii="Microsoft JhengHei" w:eastAsia="Microsoft JhengHei" w:hint="eastAsia"/>
          <w:b/>
          <w:sz w:val="21"/>
        </w:rPr>
        <w:t>本合同效力中止期间发生保险事故的，本公司不承担保险责任。</w:t>
      </w:r>
    </w:p>
    <w:p>
      <w:pPr>
        <w:spacing w:after="0" w:line="336" w:lineRule="exact"/>
        <w:jc w:val="left"/>
        <w:rPr>
          <w:rFonts w:ascii="Microsoft JhengHei" w:eastAsia="Microsoft JhengHei" w:hint="eastAsia"/>
          <w:sz w:val="21"/>
        </w:rPr>
        <w:sectPr>
          <w:type w:val="continuous"/>
          <w:pgSz w:w="11910" w:h="16840"/>
          <w:pgMar w:top="1040" w:bottom="1180" w:left="980" w:right="980"/>
          <w:cols w:num="2" w:equalWidth="0">
            <w:col w:w="2073" w:space="413"/>
            <w:col w:w="7464"/>
          </w:cols>
        </w:sectPr>
      </w:pPr>
    </w:p>
    <w:p>
      <w:pPr>
        <w:pStyle w:val="BodyText"/>
        <w:spacing w:before="17"/>
        <w:rPr>
          <w:rFonts w:ascii="Microsoft JhengHei"/>
          <w:b/>
          <w:sz w:val="9"/>
        </w:rPr>
      </w:pPr>
    </w:p>
    <w:p>
      <w:pPr>
        <w:spacing w:after="0"/>
        <w:rPr>
          <w:rFonts w:ascii="Microsoft JhengHei"/>
          <w:sz w:val="9"/>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4" w:after="0"/>
        <w:ind w:left="1112" w:right="0" w:hanging="892"/>
        <w:jc w:val="left"/>
        <w:rPr>
          <w:b/>
          <w:sz w:val="21"/>
        </w:rPr>
      </w:pPr>
      <w:r>
        <w:rPr>
          <w:b/>
          <w:spacing w:val="26"/>
          <w:sz w:val="21"/>
        </w:rPr>
        <w:t>合同效力恢复</w:t>
      </w:r>
    </w:p>
    <w:p>
      <w:pPr>
        <w:pStyle w:val="BodyText"/>
        <w:spacing w:line="273" w:lineRule="auto"/>
        <w:ind w:left="171" w:right="208" w:firstLine="422"/>
      </w:pPr>
      <w:r>
        <w:rPr/>
        <w:br w:type="column"/>
      </w:r>
      <w:r>
        <w:rPr/>
        <w:t>本合同效力中止后二年内，您可以申请恢复本合同效力。经本公司与您协商并达成协议，自您补交保险费、偿还保单贷款及利息之日起，本合同效力恢复。</w:t>
      </w:r>
    </w:p>
    <w:p>
      <w:pPr>
        <w:pStyle w:val="BodyText"/>
        <w:spacing w:line="273" w:lineRule="auto" w:before="7"/>
        <w:ind w:left="171" w:right="102" w:firstLine="422"/>
      </w:pPr>
      <w:r>
        <w:rPr/>
        <w:t>自本合同效力中止之日起满二年双方未达成复效协议的，本公司有权解除本合同，对于未发生保险金给付的，本公司退还合同效力中止时保险单的现金价值。</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2"/>
        <w:rPr>
          <w:sz w:val="13"/>
        </w:rPr>
      </w:pPr>
    </w:p>
    <w:p>
      <w:pPr>
        <w:pStyle w:val="ListParagraph"/>
        <w:numPr>
          <w:ilvl w:val="1"/>
          <w:numId w:val="6"/>
        </w:numPr>
        <w:tabs>
          <w:tab w:pos="1112" w:val="left" w:leader="none"/>
          <w:tab w:pos="1113" w:val="left" w:leader="none"/>
          <w:tab w:pos="2706" w:val="left" w:leader="none"/>
        </w:tabs>
        <w:spacing w:line="312" w:lineRule="exact" w:before="33" w:after="0"/>
        <w:ind w:left="2284" w:right="208" w:hanging="2064"/>
        <w:jc w:val="both"/>
        <w:rPr>
          <w:rFonts w:ascii="宋体" w:eastAsia="宋体" w:hint="eastAsia"/>
          <w:sz w:val="21"/>
        </w:rPr>
      </w:pPr>
      <w:r>
        <w:rPr>
          <w:b/>
          <w:sz w:val="21"/>
        </w:rPr>
        <w:t>减保</w:t>
        <w:tab/>
        <w:tab/>
      </w:r>
      <w:r>
        <w:rPr>
          <w:rFonts w:ascii="宋体" w:eastAsia="宋体" w:hint="eastAsia"/>
          <w:spacing w:val="2"/>
          <w:sz w:val="21"/>
        </w:rPr>
        <w:t>在</w:t>
      </w:r>
      <w:r>
        <w:rPr>
          <w:rFonts w:ascii="宋体" w:eastAsia="宋体" w:hint="eastAsia"/>
          <w:sz w:val="21"/>
        </w:rPr>
        <w:t>本合</w:t>
      </w:r>
      <w:r>
        <w:rPr>
          <w:rFonts w:ascii="宋体" w:eastAsia="宋体" w:hint="eastAsia"/>
          <w:spacing w:val="2"/>
          <w:sz w:val="21"/>
        </w:rPr>
        <w:t>同</w:t>
      </w:r>
      <w:r>
        <w:rPr>
          <w:rFonts w:ascii="宋体" w:eastAsia="宋体" w:hint="eastAsia"/>
          <w:sz w:val="21"/>
        </w:rPr>
        <w:t>有</w:t>
      </w:r>
      <w:r>
        <w:rPr>
          <w:rFonts w:ascii="宋体" w:eastAsia="宋体" w:hint="eastAsia"/>
          <w:spacing w:val="2"/>
          <w:sz w:val="21"/>
        </w:rPr>
        <w:t>效</w:t>
      </w:r>
      <w:r>
        <w:rPr>
          <w:rFonts w:ascii="宋体" w:eastAsia="宋体" w:hint="eastAsia"/>
          <w:sz w:val="21"/>
        </w:rPr>
        <w:t>期内</w:t>
      </w:r>
      <w:r>
        <w:rPr>
          <w:rFonts w:ascii="宋体" w:eastAsia="宋体" w:hint="eastAsia"/>
          <w:spacing w:val="2"/>
          <w:sz w:val="21"/>
        </w:rPr>
        <w:t>，</w:t>
      </w:r>
      <w:r>
        <w:rPr>
          <w:rFonts w:ascii="宋体" w:eastAsia="宋体" w:hint="eastAsia"/>
          <w:sz w:val="21"/>
        </w:rPr>
        <w:t>您可</w:t>
      </w:r>
      <w:r>
        <w:rPr>
          <w:rFonts w:ascii="宋体" w:eastAsia="宋体" w:hint="eastAsia"/>
          <w:spacing w:val="2"/>
          <w:sz w:val="21"/>
        </w:rPr>
        <w:t>以</w:t>
      </w:r>
      <w:r>
        <w:rPr>
          <w:rFonts w:ascii="宋体" w:eastAsia="宋体" w:hint="eastAsia"/>
          <w:sz w:val="21"/>
        </w:rPr>
        <w:t>申请</w:t>
      </w:r>
      <w:r>
        <w:rPr>
          <w:rFonts w:ascii="宋体" w:eastAsia="宋体" w:hint="eastAsia"/>
          <w:spacing w:val="2"/>
          <w:sz w:val="21"/>
        </w:rPr>
        <w:t>减</w:t>
      </w:r>
      <w:r>
        <w:rPr>
          <w:rFonts w:ascii="宋体" w:eastAsia="宋体" w:hint="eastAsia"/>
          <w:sz w:val="21"/>
        </w:rPr>
        <w:t>保</w:t>
      </w:r>
      <w:r>
        <w:rPr>
          <w:rFonts w:ascii="宋体" w:eastAsia="宋体" w:hint="eastAsia"/>
          <w:spacing w:val="2"/>
          <w:sz w:val="21"/>
        </w:rPr>
        <w:t>，</w:t>
      </w:r>
      <w:r>
        <w:rPr>
          <w:rFonts w:ascii="宋体" w:eastAsia="宋体" w:hint="eastAsia"/>
          <w:sz w:val="21"/>
        </w:rPr>
        <w:t>并领</w:t>
      </w:r>
      <w:r>
        <w:rPr>
          <w:rFonts w:ascii="宋体" w:eastAsia="宋体" w:hint="eastAsia"/>
          <w:spacing w:val="2"/>
          <w:sz w:val="21"/>
        </w:rPr>
        <w:t>取</w:t>
      </w:r>
      <w:r>
        <w:rPr>
          <w:rFonts w:ascii="宋体" w:eastAsia="宋体" w:hint="eastAsia"/>
          <w:sz w:val="21"/>
        </w:rPr>
        <w:t>减少部</w:t>
      </w:r>
      <w:r>
        <w:rPr>
          <w:rFonts w:ascii="宋体" w:eastAsia="宋体" w:hint="eastAsia"/>
          <w:spacing w:val="2"/>
          <w:sz w:val="21"/>
        </w:rPr>
        <w:t>分</w:t>
      </w:r>
      <w:r>
        <w:rPr>
          <w:rFonts w:ascii="宋体" w:eastAsia="宋体" w:hint="eastAsia"/>
          <w:sz w:val="21"/>
        </w:rPr>
        <w:t>对应</w:t>
      </w:r>
      <w:r>
        <w:rPr>
          <w:rFonts w:ascii="宋体" w:eastAsia="宋体" w:hint="eastAsia"/>
          <w:spacing w:val="2"/>
          <w:sz w:val="21"/>
        </w:rPr>
        <w:t>的</w:t>
      </w:r>
      <w:r>
        <w:rPr>
          <w:rFonts w:ascii="宋体" w:eastAsia="宋体" w:hint="eastAsia"/>
          <w:sz w:val="21"/>
        </w:rPr>
        <w:t>现</w:t>
      </w:r>
      <w:r>
        <w:rPr>
          <w:rFonts w:ascii="宋体" w:eastAsia="宋体" w:hint="eastAsia"/>
          <w:spacing w:val="2"/>
          <w:sz w:val="21"/>
        </w:rPr>
        <w:t>金</w:t>
      </w:r>
      <w:r>
        <w:rPr>
          <w:rFonts w:ascii="宋体" w:eastAsia="宋体" w:hint="eastAsia"/>
          <w:sz w:val="21"/>
        </w:rPr>
        <w:t>价值</w:t>
      </w:r>
      <w:r>
        <w:rPr>
          <w:rFonts w:ascii="宋体" w:eastAsia="宋体" w:hint="eastAsia"/>
          <w:spacing w:val="2"/>
          <w:sz w:val="21"/>
        </w:rPr>
        <w:t>。</w:t>
      </w:r>
      <w:r>
        <w:rPr>
          <w:rFonts w:ascii="宋体" w:eastAsia="宋体" w:hint="eastAsia"/>
          <w:sz w:val="21"/>
        </w:rPr>
        <w:t>减 </w:t>
      </w:r>
      <w:r>
        <w:rPr>
          <w:rFonts w:ascii="宋体" w:eastAsia="宋体" w:hint="eastAsia"/>
          <w:spacing w:val="2"/>
          <w:sz w:val="21"/>
        </w:rPr>
        <w:t>保</w:t>
      </w:r>
      <w:r>
        <w:rPr>
          <w:rFonts w:ascii="宋体" w:eastAsia="宋体" w:hint="eastAsia"/>
          <w:sz w:val="21"/>
        </w:rPr>
        <w:t>后，</w:t>
      </w:r>
      <w:r>
        <w:rPr>
          <w:rFonts w:ascii="宋体" w:eastAsia="宋体" w:hint="eastAsia"/>
          <w:spacing w:val="2"/>
          <w:sz w:val="21"/>
        </w:rPr>
        <w:t>基</w:t>
      </w:r>
      <w:r>
        <w:rPr>
          <w:rFonts w:ascii="宋体" w:eastAsia="宋体" w:hint="eastAsia"/>
          <w:sz w:val="21"/>
        </w:rPr>
        <w:t>本保</w:t>
      </w:r>
      <w:r>
        <w:rPr>
          <w:rFonts w:ascii="宋体" w:eastAsia="宋体" w:hint="eastAsia"/>
          <w:spacing w:val="2"/>
          <w:sz w:val="21"/>
        </w:rPr>
        <w:t>险</w:t>
      </w:r>
      <w:r>
        <w:rPr>
          <w:rFonts w:ascii="宋体" w:eastAsia="宋体" w:hint="eastAsia"/>
          <w:sz w:val="21"/>
        </w:rPr>
        <w:t>金额</w:t>
      </w:r>
      <w:r>
        <w:rPr>
          <w:rFonts w:ascii="宋体" w:eastAsia="宋体" w:hint="eastAsia"/>
          <w:spacing w:val="2"/>
          <w:sz w:val="21"/>
        </w:rPr>
        <w:t>不</w:t>
      </w:r>
      <w:r>
        <w:rPr>
          <w:rFonts w:ascii="宋体" w:eastAsia="宋体" w:hint="eastAsia"/>
          <w:sz w:val="21"/>
        </w:rPr>
        <w:t>得低</w:t>
      </w:r>
      <w:r>
        <w:rPr>
          <w:rFonts w:ascii="宋体" w:eastAsia="宋体" w:hint="eastAsia"/>
          <w:spacing w:val="2"/>
          <w:sz w:val="21"/>
        </w:rPr>
        <w:t>于</w:t>
      </w:r>
      <w:r>
        <w:rPr>
          <w:rFonts w:ascii="宋体" w:eastAsia="宋体" w:hint="eastAsia"/>
          <w:sz w:val="21"/>
        </w:rPr>
        <w:t>本公</w:t>
      </w:r>
      <w:r>
        <w:rPr>
          <w:rFonts w:ascii="宋体" w:eastAsia="宋体" w:hint="eastAsia"/>
          <w:spacing w:val="2"/>
          <w:sz w:val="21"/>
        </w:rPr>
        <w:t>司</w:t>
      </w:r>
      <w:r>
        <w:rPr>
          <w:rFonts w:ascii="宋体" w:eastAsia="宋体" w:hint="eastAsia"/>
          <w:sz w:val="21"/>
        </w:rPr>
        <w:t>规定</w:t>
      </w:r>
      <w:r>
        <w:rPr>
          <w:rFonts w:ascii="宋体" w:eastAsia="宋体" w:hint="eastAsia"/>
          <w:spacing w:val="2"/>
          <w:sz w:val="21"/>
        </w:rPr>
        <w:t>的</w:t>
      </w:r>
      <w:r>
        <w:rPr>
          <w:rFonts w:ascii="宋体" w:eastAsia="宋体" w:hint="eastAsia"/>
          <w:sz w:val="21"/>
        </w:rPr>
        <w:t>最低标准</w:t>
      </w:r>
      <w:r>
        <w:rPr>
          <w:rFonts w:ascii="宋体" w:eastAsia="宋体" w:hint="eastAsia"/>
          <w:spacing w:val="2"/>
          <w:sz w:val="21"/>
        </w:rPr>
        <w:t>。</w:t>
      </w:r>
      <w:r>
        <w:rPr>
          <w:rFonts w:ascii="宋体" w:eastAsia="宋体" w:hint="eastAsia"/>
          <w:sz w:val="21"/>
        </w:rPr>
        <w:t>减保</w:t>
      </w:r>
      <w:r>
        <w:rPr>
          <w:rFonts w:ascii="宋体" w:eastAsia="宋体" w:hint="eastAsia"/>
          <w:spacing w:val="2"/>
          <w:sz w:val="21"/>
        </w:rPr>
        <w:t>后</w:t>
      </w:r>
      <w:r>
        <w:rPr>
          <w:rFonts w:ascii="宋体" w:eastAsia="宋体" w:hint="eastAsia"/>
          <w:sz w:val="21"/>
        </w:rPr>
        <w:t>的保</w:t>
      </w:r>
      <w:r>
        <w:rPr>
          <w:rFonts w:ascii="宋体" w:eastAsia="宋体" w:hint="eastAsia"/>
          <w:spacing w:val="2"/>
          <w:sz w:val="21"/>
        </w:rPr>
        <w:t>险</w:t>
      </w:r>
      <w:r>
        <w:rPr>
          <w:rFonts w:ascii="宋体" w:eastAsia="宋体" w:hint="eastAsia"/>
          <w:sz w:val="21"/>
        </w:rPr>
        <w:t>费按</w:t>
      </w:r>
      <w:r>
        <w:rPr>
          <w:rFonts w:ascii="宋体" w:eastAsia="宋体" w:hint="eastAsia"/>
          <w:spacing w:val="2"/>
          <w:sz w:val="21"/>
        </w:rPr>
        <w:t>下</w:t>
      </w:r>
      <w:r>
        <w:rPr>
          <w:rFonts w:ascii="宋体" w:eastAsia="宋体" w:hint="eastAsia"/>
          <w:sz w:val="21"/>
        </w:rPr>
        <w:t>列公式计算：</w:t>
      </w:r>
    </w:p>
    <w:p>
      <w:pPr>
        <w:pStyle w:val="BodyText"/>
        <w:spacing w:line="273" w:lineRule="auto" w:before="4"/>
        <w:ind w:left="2706" w:right="2089"/>
      </w:pPr>
      <w:r>
        <w:rPr/>
        <w:t>减保后的保险费＝本次减保前的保险费×(1－减保比例) 本公司按减保后的基本保险金额承担保险责任。</w:t>
      </w:r>
    </w:p>
    <w:p>
      <w:pPr>
        <w:pStyle w:val="Heading2"/>
        <w:spacing w:line="306" w:lineRule="exact"/>
        <w:ind w:left="2706"/>
      </w:pPr>
      <w:r>
        <w:rPr/>
        <w:t>如已发生保险金给付的，您不得申请减保。</w:t>
      </w:r>
    </w:p>
    <w:p>
      <w:pPr>
        <w:pStyle w:val="ListParagraph"/>
        <w:numPr>
          <w:ilvl w:val="1"/>
          <w:numId w:val="6"/>
        </w:numPr>
        <w:tabs>
          <w:tab w:pos="1112" w:val="left" w:leader="none"/>
          <w:tab w:pos="1113" w:val="left" w:leader="none"/>
          <w:tab w:pos="2706" w:val="left" w:leader="none"/>
        </w:tabs>
        <w:spacing w:line="264" w:lineRule="auto" w:before="144" w:after="0"/>
        <w:ind w:left="2284" w:right="102" w:hanging="2064"/>
        <w:jc w:val="left"/>
        <w:rPr>
          <w:rFonts w:ascii="宋体" w:eastAsia="宋体" w:hint="eastAsia"/>
          <w:sz w:val="21"/>
        </w:rPr>
      </w:pPr>
      <w:r>
        <w:rPr>
          <w:b/>
          <w:sz w:val="21"/>
        </w:rPr>
        <w:t>保单贷款</w:t>
        <w:tab/>
        <w:tab/>
      </w:r>
      <w:r>
        <w:rPr>
          <w:rFonts w:ascii="宋体" w:eastAsia="宋体" w:hint="eastAsia"/>
          <w:spacing w:val="2"/>
          <w:sz w:val="21"/>
        </w:rPr>
        <w:t>在</w:t>
      </w:r>
      <w:r>
        <w:rPr>
          <w:rFonts w:ascii="宋体" w:eastAsia="宋体" w:hint="eastAsia"/>
          <w:sz w:val="21"/>
        </w:rPr>
        <w:t>本合</w:t>
      </w:r>
      <w:r>
        <w:rPr>
          <w:rFonts w:ascii="宋体" w:eastAsia="宋体" w:hint="eastAsia"/>
          <w:spacing w:val="2"/>
          <w:sz w:val="21"/>
        </w:rPr>
        <w:t>同</w:t>
      </w:r>
      <w:r>
        <w:rPr>
          <w:rFonts w:ascii="宋体" w:eastAsia="宋体" w:hint="eastAsia"/>
          <w:sz w:val="21"/>
        </w:rPr>
        <w:t>有</w:t>
      </w:r>
      <w:r>
        <w:rPr>
          <w:rFonts w:ascii="宋体" w:eastAsia="宋体" w:hint="eastAsia"/>
          <w:spacing w:val="2"/>
          <w:sz w:val="21"/>
        </w:rPr>
        <w:t>效</w:t>
      </w:r>
      <w:r>
        <w:rPr>
          <w:rFonts w:ascii="宋体" w:eastAsia="宋体" w:hint="eastAsia"/>
          <w:sz w:val="21"/>
        </w:rPr>
        <w:t>期内</w:t>
      </w:r>
      <w:r>
        <w:rPr>
          <w:rFonts w:ascii="宋体" w:eastAsia="宋体" w:hint="eastAsia"/>
          <w:spacing w:val="2"/>
          <w:sz w:val="21"/>
        </w:rPr>
        <w:t>，</w:t>
      </w:r>
      <w:r>
        <w:rPr>
          <w:rFonts w:ascii="宋体" w:eastAsia="宋体" w:hint="eastAsia"/>
          <w:sz w:val="21"/>
        </w:rPr>
        <w:t>经被</w:t>
      </w:r>
      <w:r>
        <w:rPr>
          <w:rFonts w:ascii="宋体" w:eastAsia="宋体" w:hint="eastAsia"/>
          <w:spacing w:val="2"/>
          <w:sz w:val="21"/>
        </w:rPr>
        <w:t>保</w:t>
      </w:r>
      <w:r>
        <w:rPr>
          <w:rFonts w:ascii="宋体" w:eastAsia="宋体" w:hint="eastAsia"/>
          <w:sz w:val="21"/>
        </w:rPr>
        <w:t>险人</w:t>
      </w:r>
      <w:r>
        <w:rPr>
          <w:rFonts w:ascii="宋体" w:eastAsia="宋体" w:hint="eastAsia"/>
          <w:spacing w:val="2"/>
          <w:sz w:val="21"/>
        </w:rPr>
        <w:t>、</w:t>
      </w:r>
      <w:r>
        <w:rPr>
          <w:rFonts w:ascii="宋体" w:eastAsia="宋体" w:hint="eastAsia"/>
          <w:sz w:val="21"/>
        </w:rPr>
        <w:t>受</w:t>
      </w:r>
      <w:r>
        <w:rPr>
          <w:rFonts w:ascii="宋体" w:eastAsia="宋体" w:hint="eastAsia"/>
          <w:spacing w:val="2"/>
          <w:sz w:val="21"/>
        </w:rPr>
        <w:t>益</w:t>
      </w:r>
      <w:r>
        <w:rPr>
          <w:rFonts w:ascii="宋体" w:eastAsia="宋体" w:hint="eastAsia"/>
          <w:sz w:val="21"/>
        </w:rPr>
        <w:t>人书</w:t>
      </w:r>
      <w:r>
        <w:rPr>
          <w:rFonts w:ascii="宋体" w:eastAsia="宋体" w:hint="eastAsia"/>
          <w:spacing w:val="2"/>
          <w:sz w:val="21"/>
        </w:rPr>
        <w:t>面</w:t>
      </w:r>
      <w:r>
        <w:rPr>
          <w:rFonts w:ascii="宋体" w:eastAsia="宋体" w:hint="eastAsia"/>
          <w:sz w:val="21"/>
        </w:rPr>
        <w:t>同意，</w:t>
      </w:r>
      <w:r>
        <w:rPr>
          <w:rFonts w:ascii="宋体" w:eastAsia="宋体" w:hint="eastAsia"/>
          <w:spacing w:val="2"/>
          <w:sz w:val="21"/>
        </w:rPr>
        <w:t>您</w:t>
      </w:r>
      <w:r>
        <w:rPr>
          <w:rFonts w:ascii="宋体" w:eastAsia="宋体" w:hint="eastAsia"/>
          <w:sz w:val="21"/>
        </w:rPr>
        <w:t>可凭</w:t>
      </w:r>
      <w:r>
        <w:rPr>
          <w:rFonts w:ascii="宋体" w:eastAsia="宋体" w:hint="eastAsia"/>
          <w:spacing w:val="2"/>
          <w:sz w:val="21"/>
        </w:rPr>
        <w:t>保</w:t>
      </w:r>
      <w:r>
        <w:rPr>
          <w:rFonts w:ascii="宋体" w:eastAsia="宋体" w:hint="eastAsia"/>
          <w:sz w:val="21"/>
        </w:rPr>
        <w:t>险</w:t>
      </w:r>
      <w:r>
        <w:rPr>
          <w:rFonts w:ascii="宋体" w:eastAsia="宋体" w:hint="eastAsia"/>
          <w:spacing w:val="2"/>
          <w:sz w:val="21"/>
        </w:rPr>
        <w:t>单</w:t>
      </w:r>
      <w:r>
        <w:rPr>
          <w:rFonts w:ascii="宋体" w:eastAsia="宋体" w:hint="eastAsia"/>
          <w:sz w:val="21"/>
        </w:rPr>
        <w:t>向本</w:t>
      </w:r>
      <w:r>
        <w:rPr>
          <w:rFonts w:ascii="宋体" w:eastAsia="宋体" w:hint="eastAsia"/>
          <w:spacing w:val="2"/>
          <w:sz w:val="21"/>
        </w:rPr>
        <w:t>公</w:t>
      </w:r>
      <w:r>
        <w:rPr>
          <w:rFonts w:ascii="宋体" w:eastAsia="宋体" w:hint="eastAsia"/>
          <w:sz w:val="21"/>
        </w:rPr>
        <w:t>司 </w:t>
      </w:r>
      <w:r>
        <w:rPr>
          <w:rFonts w:ascii="宋体" w:eastAsia="宋体" w:hint="eastAsia"/>
          <w:spacing w:val="2"/>
          <w:sz w:val="21"/>
        </w:rPr>
        <w:t>提</w:t>
      </w:r>
      <w:r>
        <w:rPr>
          <w:rFonts w:ascii="宋体" w:eastAsia="宋体" w:hint="eastAsia"/>
          <w:sz w:val="21"/>
        </w:rPr>
        <w:t>出保</w:t>
      </w:r>
      <w:r>
        <w:rPr>
          <w:rFonts w:ascii="宋体" w:eastAsia="宋体" w:hint="eastAsia"/>
          <w:spacing w:val="2"/>
          <w:sz w:val="21"/>
        </w:rPr>
        <w:t>单</w:t>
      </w:r>
      <w:r>
        <w:rPr>
          <w:rFonts w:ascii="宋体" w:eastAsia="宋体" w:hint="eastAsia"/>
          <w:sz w:val="21"/>
        </w:rPr>
        <w:t>贷款</w:t>
      </w:r>
      <w:r>
        <w:rPr>
          <w:rFonts w:ascii="宋体" w:eastAsia="宋体" w:hint="eastAsia"/>
          <w:spacing w:val="2"/>
          <w:sz w:val="21"/>
        </w:rPr>
        <w:t>申</w:t>
      </w:r>
      <w:r>
        <w:rPr>
          <w:rFonts w:ascii="宋体" w:eastAsia="宋体" w:hint="eastAsia"/>
          <w:sz w:val="21"/>
        </w:rPr>
        <w:t>请，</w:t>
      </w:r>
      <w:r>
        <w:rPr>
          <w:rFonts w:ascii="宋体" w:eastAsia="宋体" w:hint="eastAsia"/>
          <w:spacing w:val="2"/>
          <w:sz w:val="21"/>
        </w:rPr>
        <w:t>经</w:t>
      </w:r>
      <w:r>
        <w:rPr>
          <w:rFonts w:ascii="宋体" w:eastAsia="宋体" w:hint="eastAsia"/>
          <w:sz w:val="21"/>
        </w:rPr>
        <w:t>本公</w:t>
      </w:r>
      <w:r>
        <w:rPr>
          <w:rFonts w:ascii="宋体" w:eastAsia="宋体" w:hint="eastAsia"/>
          <w:spacing w:val="2"/>
          <w:sz w:val="21"/>
        </w:rPr>
        <w:t>司</w:t>
      </w:r>
      <w:r>
        <w:rPr>
          <w:rFonts w:ascii="宋体" w:eastAsia="宋体" w:hint="eastAsia"/>
          <w:sz w:val="21"/>
        </w:rPr>
        <w:t>审核</w:t>
      </w:r>
      <w:r>
        <w:rPr>
          <w:rFonts w:ascii="宋体" w:eastAsia="宋体" w:hint="eastAsia"/>
          <w:spacing w:val="2"/>
          <w:sz w:val="21"/>
        </w:rPr>
        <w:t>同</w:t>
      </w:r>
      <w:r>
        <w:rPr>
          <w:rFonts w:ascii="宋体" w:eastAsia="宋体" w:hint="eastAsia"/>
          <w:sz w:val="21"/>
        </w:rPr>
        <w:t>意后</w:t>
      </w:r>
      <w:r>
        <w:rPr>
          <w:rFonts w:ascii="宋体" w:eastAsia="宋体" w:hint="eastAsia"/>
          <w:spacing w:val="2"/>
          <w:sz w:val="21"/>
        </w:rPr>
        <w:t>您</w:t>
      </w:r>
      <w:r>
        <w:rPr>
          <w:rFonts w:ascii="宋体" w:eastAsia="宋体" w:hint="eastAsia"/>
          <w:sz w:val="21"/>
        </w:rPr>
        <w:t>可办理保</w:t>
      </w:r>
      <w:r>
        <w:rPr>
          <w:rFonts w:ascii="宋体" w:eastAsia="宋体" w:hint="eastAsia"/>
          <w:spacing w:val="2"/>
          <w:sz w:val="21"/>
        </w:rPr>
        <w:t>单</w:t>
      </w:r>
      <w:r>
        <w:rPr>
          <w:rFonts w:ascii="宋体" w:eastAsia="宋体" w:hint="eastAsia"/>
          <w:sz w:val="21"/>
        </w:rPr>
        <w:t>贷款</w:t>
      </w:r>
      <w:r>
        <w:rPr>
          <w:rFonts w:ascii="宋体" w:eastAsia="宋体" w:hint="eastAsia"/>
          <w:spacing w:val="2"/>
          <w:sz w:val="21"/>
        </w:rPr>
        <w:t>。</w:t>
      </w:r>
      <w:r>
        <w:rPr>
          <w:rFonts w:ascii="宋体" w:eastAsia="宋体" w:hint="eastAsia"/>
          <w:sz w:val="21"/>
        </w:rPr>
        <w:t>每次</w:t>
      </w:r>
      <w:r>
        <w:rPr>
          <w:rFonts w:ascii="宋体" w:eastAsia="宋体" w:hint="eastAsia"/>
          <w:spacing w:val="2"/>
          <w:sz w:val="21"/>
        </w:rPr>
        <w:t>贷</w:t>
      </w:r>
      <w:r>
        <w:rPr>
          <w:rFonts w:ascii="宋体" w:eastAsia="宋体" w:hint="eastAsia"/>
          <w:sz w:val="21"/>
        </w:rPr>
        <w:t>款期</w:t>
      </w:r>
      <w:r>
        <w:rPr>
          <w:rFonts w:ascii="宋体" w:eastAsia="宋体" w:hint="eastAsia"/>
          <w:spacing w:val="2"/>
          <w:sz w:val="21"/>
        </w:rPr>
        <w:t>限</w:t>
      </w:r>
      <w:r>
        <w:rPr>
          <w:rFonts w:ascii="宋体" w:eastAsia="宋体" w:hint="eastAsia"/>
          <w:sz w:val="21"/>
        </w:rPr>
        <w:t>不得</w:t>
      </w:r>
      <w:r>
        <w:rPr>
          <w:rFonts w:ascii="宋体" w:eastAsia="宋体" w:hint="eastAsia"/>
          <w:spacing w:val="2"/>
          <w:sz w:val="21"/>
        </w:rPr>
        <w:t>超</w:t>
      </w:r>
      <w:r>
        <w:rPr>
          <w:rFonts w:ascii="宋体" w:eastAsia="宋体" w:hint="eastAsia"/>
          <w:sz w:val="21"/>
        </w:rPr>
        <w:t>过六</w:t>
      </w:r>
      <w:r>
        <w:rPr>
          <w:rFonts w:ascii="宋体" w:eastAsia="宋体" w:hint="eastAsia"/>
          <w:spacing w:val="2"/>
          <w:sz w:val="21"/>
        </w:rPr>
        <w:t>个</w:t>
      </w:r>
      <w:r>
        <w:rPr>
          <w:rFonts w:ascii="宋体" w:eastAsia="宋体" w:hint="eastAsia"/>
          <w:sz w:val="21"/>
        </w:rPr>
        <w:t>月，</w:t>
      </w:r>
      <w:r>
        <w:rPr>
          <w:rFonts w:ascii="宋体" w:eastAsia="宋体" w:hint="eastAsia"/>
          <w:spacing w:val="2"/>
          <w:sz w:val="21"/>
        </w:rPr>
        <w:t>贷</w:t>
      </w:r>
      <w:r>
        <w:rPr>
          <w:rFonts w:ascii="宋体" w:eastAsia="宋体" w:hint="eastAsia"/>
          <w:sz w:val="21"/>
        </w:rPr>
        <w:t>款额</w:t>
      </w:r>
      <w:r>
        <w:rPr>
          <w:rFonts w:ascii="宋体" w:eastAsia="宋体" w:hint="eastAsia"/>
          <w:spacing w:val="2"/>
          <w:sz w:val="21"/>
        </w:rPr>
        <w:t>度</w:t>
      </w:r>
      <w:r>
        <w:rPr>
          <w:rFonts w:ascii="宋体" w:eastAsia="宋体" w:hint="eastAsia"/>
          <w:sz w:val="21"/>
        </w:rPr>
        <w:t>和贷</w:t>
      </w:r>
      <w:r>
        <w:rPr>
          <w:rFonts w:ascii="宋体" w:eastAsia="宋体" w:hint="eastAsia"/>
          <w:spacing w:val="2"/>
          <w:sz w:val="21"/>
        </w:rPr>
        <w:t>款</w:t>
      </w:r>
      <w:r>
        <w:rPr>
          <w:rFonts w:ascii="宋体" w:eastAsia="宋体" w:hint="eastAsia"/>
          <w:sz w:val="21"/>
        </w:rPr>
        <w:t>利率</w:t>
      </w:r>
      <w:r>
        <w:rPr>
          <w:rFonts w:ascii="宋体" w:eastAsia="宋体" w:hint="eastAsia"/>
          <w:spacing w:val="2"/>
          <w:sz w:val="21"/>
        </w:rPr>
        <w:t>根</w:t>
      </w:r>
      <w:r>
        <w:rPr>
          <w:rFonts w:ascii="宋体" w:eastAsia="宋体" w:hint="eastAsia"/>
          <w:sz w:val="21"/>
        </w:rPr>
        <w:t>据您</w:t>
      </w:r>
      <w:r>
        <w:rPr>
          <w:rFonts w:ascii="宋体" w:eastAsia="宋体" w:hint="eastAsia"/>
          <w:spacing w:val="2"/>
          <w:sz w:val="21"/>
        </w:rPr>
        <w:t>与</w:t>
      </w:r>
      <w:r>
        <w:rPr>
          <w:rFonts w:ascii="宋体" w:eastAsia="宋体" w:hint="eastAsia"/>
          <w:sz w:val="21"/>
        </w:rPr>
        <w:t>我们的约</w:t>
      </w:r>
      <w:r>
        <w:rPr>
          <w:rFonts w:ascii="宋体" w:eastAsia="宋体" w:hint="eastAsia"/>
          <w:spacing w:val="2"/>
          <w:sz w:val="21"/>
        </w:rPr>
        <w:t>定</w:t>
      </w:r>
      <w:r>
        <w:rPr>
          <w:rFonts w:ascii="宋体" w:eastAsia="宋体" w:hint="eastAsia"/>
          <w:sz w:val="21"/>
        </w:rPr>
        <w:t>执行</w:t>
      </w:r>
      <w:r>
        <w:rPr>
          <w:rFonts w:ascii="宋体" w:eastAsia="宋体" w:hint="eastAsia"/>
          <w:spacing w:val="2"/>
          <w:sz w:val="21"/>
        </w:rPr>
        <w:t>。</w:t>
      </w:r>
      <w:r>
        <w:rPr>
          <w:rFonts w:ascii="宋体" w:eastAsia="宋体" w:hint="eastAsia"/>
          <w:sz w:val="21"/>
        </w:rPr>
        <w:t>贷款</w:t>
      </w:r>
      <w:r>
        <w:rPr>
          <w:rFonts w:ascii="宋体" w:eastAsia="宋体" w:hint="eastAsia"/>
          <w:spacing w:val="2"/>
          <w:sz w:val="21"/>
        </w:rPr>
        <w:t>利</w:t>
      </w:r>
      <w:r>
        <w:rPr>
          <w:rFonts w:ascii="宋体" w:eastAsia="宋体" w:hint="eastAsia"/>
          <w:sz w:val="21"/>
        </w:rPr>
        <w:t>息根</w:t>
      </w:r>
      <w:r>
        <w:rPr>
          <w:rFonts w:ascii="宋体" w:eastAsia="宋体" w:hint="eastAsia"/>
          <w:spacing w:val="2"/>
          <w:sz w:val="21"/>
        </w:rPr>
        <w:t>据</w:t>
      </w:r>
      <w:r>
        <w:rPr>
          <w:rFonts w:ascii="宋体" w:eastAsia="宋体" w:hint="eastAsia"/>
          <w:sz w:val="21"/>
        </w:rPr>
        <w:t>贷款额度和贷</w:t>
      </w:r>
      <w:r>
        <w:rPr>
          <w:rFonts w:ascii="宋体" w:eastAsia="宋体" w:hint="eastAsia"/>
          <w:spacing w:val="-5"/>
          <w:sz w:val="21"/>
        </w:rPr>
        <w:t>款</w:t>
      </w:r>
      <w:r>
        <w:rPr>
          <w:rFonts w:ascii="宋体" w:eastAsia="宋体" w:hint="eastAsia"/>
          <w:sz w:val="21"/>
        </w:rPr>
        <w:t>利率按</w:t>
      </w:r>
      <w:r>
        <w:rPr>
          <w:rFonts w:ascii="宋体" w:eastAsia="宋体" w:hint="eastAsia"/>
          <w:spacing w:val="-5"/>
          <w:sz w:val="21"/>
        </w:rPr>
        <w:t>年</w:t>
      </w:r>
      <w:r>
        <w:rPr>
          <w:rFonts w:ascii="宋体" w:eastAsia="宋体" w:hint="eastAsia"/>
          <w:sz w:val="21"/>
        </w:rPr>
        <w:t>复利计</w:t>
      </w:r>
      <w:r>
        <w:rPr>
          <w:rFonts w:ascii="宋体" w:eastAsia="宋体" w:hint="eastAsia"/>
          <w:spacing w:val="-5"/>
          <w:sz w:val="21"/>
        </w:rPr>
        <w:t>算，</w:t>
      </w:r>
      <w:r>
        <w:rPr>
          <w:rFonts w:ascii="宋体" w:eastAsia="宋体" w:hint="eastAsia"/>
          <w:sz w:val="21"/>
        </w:rPr>
        <w:t>并应</w:t>
      </w:r>
      <w:r>
        <w:rPr>
          <w:rFonts w:ascii="宋体" w:eastAsia="宋体" w:hint="eastAsia"/>
          <w:spacing w:val="-5"/>
          <w:sz w:val="21"/>
        </w:rPr>
        <w:t>在</w:t>
      </w:r>
      <w:r>
        <w:rPr>
          <w:rFonts w:ascii="宋体" w:eastAsia="宋体" w:hint="eastAsia"/>
          <w:sz w:val="21"/>
        </w:rPr>
        <w:t>贷款到</w:t>
      </w:r>
      <w:r>
        <w:rPr>
          <w:rFonts w:ascii="宋体" w:eastAsia="宋体" w:hint="eastAsia"/>
          <w:spacing w:val="-5"/>
          <w:sz w:val="21"/>
        </w:rPr>
        <w:t>期</w:t>
      </w:r>
      <w:r>
        <w:rPr>
          <w:rFonts w:ascii="宋体" w:eastAsia="宋体" w:hint="eastAsia"/>
          <w:sz w:val="21"/>
        </w:rPr>
        <w:t>时</w:t>
      </w:r>
      <w:r>
        <w:rPr>
          <w:rFonts w:ascii="宋体" w:eastAsia="宋体" w:hint="eastAsia"/>
          <w:spacing w:val="-5"/>
          <w:sz w:val="21"/>
        </w:rPr>
        <w:t>与</w:t>
      </w:r>
      <w:r>
        <w:rPr>
          <w:rFonts w:ascii="宋体" w:eastAsia="宋体" w:hint="eastAsia"/>
          <w:sz w:val="21"/>
        </w:rPr>
        <w:t>本金一并</w:t>
      </w:r>
      <w:r>
        <w:rPr>
          <w:rFonts w:ascii="宋体" w:eastAsia="宋体" w:hint="eastAsia"/>
          <w:spacing w:val="-5"/>
          <w:sz w:val="21"/>
        </w:rPr>
        <w:t>归</w:t>
      </w:r>
      <w:r>
        <w:rPr>
          <w:rFonts w:ascii="宋体" w:eastAsia="宋体" w:hint="eastAsia"/>
          <w:sz w:val="21"/>
        </w:rPr>
        <w:t>还</w:t>
      </w:r>
      <w:r>
        <w:rPr>
          <w:rFonts w:ascii="宋体" w:eastAsia="宋体" w:hint="eastAsia"/>
          <w:spacing w:val="-5"/>
          <w:sz w:val="21"/>
        </w:rPr>
        <w:t>，</w:t>
      </w:r>
      <w:r>
        <w:rPr>
          <w:rFonts w:ascii="宋体" w:eastAsia="宋体" w:hint="eastAsia"/>
          <w:sz w:val="21"/>
        </w:rPr>
        <w:t>逾</w:t>
      </w:r>
      <w:r>
        <w:rPr>
          <w:rFonts w:ascii="宋体" w:eastAsia="宋体" w:hint="eastAsia"/>
          <w:spacing w:val="-5"/>
          <w:sz w:val="21"/>
        </w:rPr>
        <w:t>期</w:t>
      </w:r>
      <w:r>
        <w:rPr>
          <w:rFonts w:ascii="宋体" w:eastAsia="宋体" w:hint="eastAsia"/>
          <w:sz w:val="21"/>
        </w:rPr>
        <w:t>不还者， 贷款本息</w:t>
      </w:r>
      <w:r>
        <w:rPr>
          <w:rFonts w:ascii="宋体" w:eastAsia="宋体" w:hint="eastAsia"/>
          <w:spacing w:val="-5"/>
          <w:sz w:val="21"/>
        </w:rPr>
        <w:t>与</w:t>
      </w:r>
      <w:r>
        <w:rPr>
          <w:rFonts w:ascii="宋体" w:eastAsia="宋体" w:hint="eastAsia"/>
          <w:sz w:val="21"/>
        </w:rPr>
        <w:t>其他各</w:t>
      </w:r>
      <w:r>
        <w:rPr>
          <w:rFonts w:ascii="宋体" w:eastAsia="宋体" w:hint="eastAsia"/>
          <w:spacing w:val="-5"/>
          <w:sz w:val="21"/>
        </w:rPr>
        <w:t>项</w:t>
      </w:r>
      <w:r>
        <w:rPr>
          <w:rFonts w:ascii="宋体" w:eastAsia="宋体" w:hint="eastAsia"/>
          <w:sz w:val="21"/>
        </w:rPr>
        <w:t>欠款达</w:t>
      </w:r>
      <w:r>
        <w:rPr>
          <w:rFonts w:ascii="宋体" w:eastAsia="宋体" w:hint="eastAsia"/>
          <w:spacing w:val="-5"/>
          <w:sz w:val="21"/>
        </w:rPr>
        <w:t>到</w:t>
      </w:r>
      <w:r>
        <w:rPr>
          <w:rFonts w:ascii="宋体" w:eastAsia="宋体" w:hint="eastAsia"/>
          <w:sz w:val="21"/>
        </w:rPr>
        <w:t>保险单</w:t>
      </w:r>
      <w:r>
        <w:rPr>
          <w:rFonts w:ascii="宋体" w:eastAsia="宋体" w:hint="eastAsia"/>
          <w:spacing w:val="-5"/>
          <w:sz w:val="21"/>
        </w:rPr>
        <w:t>的</w:t>
      </w:r>
      <w:r>
        <w:rPr>
          <w:rFonts w:ascii="宋体" w:eastAsia="宋体" w:hint="eastAsia"/>
          <w:sz w:val="21"/>
        </w:rPr>
        <w:t>现金价</w:t>
      </w:r>
      <w:r>
        <w:rPr>
          <w:rFonts w:ascii="宋体" w:eastAsia="宋体" w:hint="eastAsia"/>
          <w:spacing w:val="-5"/>
          <w:sz w:val="21"/>
        </w:rPr>
        <w:t>值</w:t>
      </w:r>
      <w:r>
        <w:rPr>
          <w:rFonts w:ascii="宋体" w:eastAsia="宋体" w:hint="eastAsia"/>
          <w:sz w:val="21"/>
        </w:rPr>
        <w:t>时</w:t>
      </w:r>
      <w:r>
        <w:rPr>
          <w:rFonts w:ascii="宋体" w:eastAsia="宋体" w:hint="eastAsia"/>
          <w:spacing w:val="-5"/>
          <w:sz w:val="21"/>
        </w:rPr>
        <w:t>，</w:t>
      </w:r>
      <w:r>
        <w:rPr>
          <w:rFonts w:ascii="宋体" w:eastAsia="宋体" w:hint="eastAsia"/>
          <w:sz w:val="21"/>
        </w:rPr>
        <w:t>本合同效</w:t>
      </w:r>
      <w:r>
        <w:rPr>
          <w:rFonts w:ascii="宋体" w:eastAsia="宋体" w:hint="eastAsia"/>
          <w:spacing w:val="-5"/>
          <w:sz w:val="21"/>
        </w:rPr>
        <w:t>力</w:t>
      </w:r>
      <w:r>
        <w:rPr>
          <w:rFonts w:ascii="宋体" w:eastAsia="宋体" w:hint="eastAsia"/>
          <w:sz w:val="21"/>
        </w:rPr>
        <w:t>中止。</w:t>
      </w:r>
    </w:p>
    <w:p>
      <w:pPr>
        <w:pStyle w:val="Heading2"/>
        <w:spacing w:line="315" w:lineRule="exact"/>
        <w:ind w:left="2706"/>
      </w:pPr>
      <w:r>
        <w:rPr/>
        <w:t>如已发生保险金给付的，您不得申请保单贷款。</w:t>
      </w:r>
    </w:p>
    <w:p>
      <w:pPr>
        <w:pStyle w:val="ListParagraph"/>
        <w:numPr>
          <w:ilvl w:val="0"/>
          <w:numId w:val="6"/>
        </w:numPr>
        <w:tabs>
          <w:tab w:pos="1112" w:val="left" w:leader="none"/>
          <w:tab w:pos="1113" w:val="left" w:leader="none"/>
        </w:tabs>
        <w:spacing w:line="240" w:lineRule="auto" w:before="113" w:after="10"/>
        <w:ind w:left="1112" w:right="0" w:hanging="892"/>
        <w:jc w:val="left"/>
        <w:rPr>
          <w:b/>
          <w:sz w:val="24"/>
        </w:rPr>
      </w:pPr>
      <w:r>
        <w:rPr>
          <w:b/>
          <w:sz w:val="24"/>
        </w:rPr>
        <w:t>如何申请领取保险金</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8"/>
        <w:rPr>
          <w:rFonts w:ascii="Microsoft JhengHei"/>
          <w:b/>
          <w:sz w:val="7"/>
        </w:rPr>
      </w:pPr>
    </w:p>
    <w:p>
      <w:pPr>
        <w:spacing w:after="0"/>
        <w:rPr>
          <w:rFonts w:ascii="Microsoft JhengHei"/>
          <w:sz w:val="7"/>
        </w:rPr>
        <w:sectPr>
          <w:type w:val="continuous"/>
          <w:pgSz w:w="11910" w:h="16840"/>
          <w:pgMar w:top="1040" w:bottom="1180" w:left="980" w:right="980"/>
        </w:sectPr>
      </w:pPr>
    </w:p>
    <w:p>
      <w:pPr>
        <w:pStyle w:val="ListParagraph"/>
        <w:numPr>
          <w:ilvl w:val="1"/>
          <w:numId w:val="6"/>
        </w:numPr>
        <w:tabs>
          <w:tab w:pos="1112" w:val="left" w:leader="none"/>
          <w:tab w:pos="1113" w:val="left" w:leader="none"/>
        </w:tabs>
        <w:spacing w:line="204" w:lineRule="auto" w:before="25" w:after="0"/>
        <w:ind w:left="1112" w:right="0" w:hanging="892"/>
        <w:jc w:val="both"/>
        <w:rPr>
          <w:b/>
          <w:sz w:val="21"/>
        </w:rPr>
      </w:pPr>
      <w:r>
        <w:rPr>
          <w:b/>
          <w:spacing w:val="26"/>
          <w:sz w:val="21"/>
        </w:rPr>
        <w:t>保险金受益人的指定和变更</w:t>
      </w:r>
    </w:p>
    <w:p>
      <w:pPr>
        <w:pStyle w:val="BodyText"/>
        <w:spacing w:line="273" w:lineRule="auto" w:before="37"/>
        <w:ind w:left="171" w:right="208" w:firstLine="422"/>
      </w:pPr>
      <w:r>
        <w:rPr/>
        <w:br w:type="column"/>
      </w:r>
      <w:r>
        <w:rPr>
          <w:spacing w:val="-6"/>
        </w:rPr>
        <w:t>疾病保险金、因重大疾病原因导致的前 </w:t>
      </w:r>
      <w:r>
        <w:rPr/>
        <w:t>10</w:t>
      </w:r>
      <w:r>
        <w:rPr>
          <w:spacing w:val="-8"/>
        </w:rPr>
        <w:t> 年关爱保险金、特定严重疾病保险</w:t>
      </w:r>
      <w:r>
        <w:rPr>
          <w:spacing w:val="-6"/>
        </w:rPr>
        <w:t>金的受益人均为被保险人本人。</w:t>
      </w:r>
    </w:p>
    <w:p>
      <w:pPr>
        <w:pStyle w:val="BodyText"/>
        <w:spacing w:before="7"/>
        <w:ind w:left="593"/>
      </w:pPr>
      <w:r>
        <w:rPr/>
        <w:t>您或被保险人可指定一人或数人为身故保险金受益人，受益人为数人时，应</w:t>
      </w:r>
    </w:p>
    <w:p>
      <w:pPr>
        <w:spacing w:after="0"/>
        <w:sectPr>
          <w:type w:val="continuous"/>
          <w:pgSz w:w="11910" w:h="16840"/>
          <w:pgMar w:top="1040" w:bottom="1180" w:left="980" w:right="980"/>
          <w:cols w:num="2" w:equalWidth="0">
            <w:col w:w="2073" w:space="40"/>
            <w:col w:w="7837"/>
          </w:cols>
        </w:sectPr>
      </w:pPr>
    </w:p>
    <w:p>
      <w:pPr>
        <w:pStyle w:val="BodyText"/>
        <w:spacing w:before="7"/>
        <w:rPr>
          <w:sz w:val="17"/>
        </w:rPr>
      </w:pPr>
    </w:p>
    <w:p>
      <w:pPr>
        <w:pStyle w:val="BodyText"/>
        <w:spacing w:line="273" w:lineRule="auto"/>
        <w:ind w:left="2586" w:right="102" w:hanging="423"/>
      </w:pPr>
      <w:r>
        <w:rPr>
          <w:spacing w:val="-6"/>
        </w:rPr>
        <w:t>确定受益顺序和受益份额，未确定受益份额的，各受益人按相等份额享有受益权。</w:t>
      </w:r>
      <w:r>
        <w:rPr/>
        <w:t>您或被保险人可以变更身故保险金受益人，但须书面通知本公司，由本公司</w:t>
      </w:r>
    </w:p>
    <w:p>
      <w:pPr>
        <w:pStyle w:val="BodyText"/>
        <w:spacing w:before="7"/>
        <w:ind w:left="2164"/>
      </w:pPr>
      <w:r>
        <w:rPr/>
        <w:t>在保险单上批注或附贴批单。</w:t>
      </w:r>
    </w:p>
    <w:p>
      <w:pPr>
        <w:pStyle w:val="BodyText"/>
        <w:spacing w:line="273" w:lineRule="auto" w:before="37"/>
        <w:ind w:left="2164" w:right="208" w:firstLine="422"/>
      </w:pPr>
      <w:r>
        <w:rPr/>
        <w:t>被保险人为无民事行为能力人或限制民事行为能力人的，可以由其监护人指定或变更受益人。</w:t>
      </w:r>
    </w:p>
    <w:p>
      <w:pPr>
        <w:pStyle w:val="BodyText"/>
        <w:spacing w:line="273" w:lineRule="auto" w:before="8"/>
        <w:ind w:left="2164" w:right="208" w:firstLine="422"/>
      </w:pPr>
      <w:r>
        <w:rPr/>
        <w:t>您在指定和变更身故保险金受益人时，须经被保险人书面同意。为与您有劳动关系的劳动者投保，不得指定被保险人及其近亲属以外的人为受益人。</w:t>
      </w:r>
    </w:p>
    <w:p>
      <w:pPr>
        <w:pStyle w:val="BodyText"/>
        <w:spacing w:line="273" w:lineRule="auto" w:before="8"/>
        <w:ind w:left="2164" w:right="208" w:firstLine="422"/>
      </w:pPr>
      <w:r>
        <w:rPr/>
        <w:t>被保险人身故后，有下列情形之一的，身故保险金作为被保险人的遗产，由本公司依照《中华人民共和国继承法》的规定履行给付保险金的义务：</w:t>
      </w:r>
    </w:p>
    <w:p>
      <w:pPr>
        <w:pStyle w:val="BodyText"/>
        <w:spacing w:before="8"/>
        <w:ind w:left="2586"/>
      </w:pPr>
      <w:r>
        <w:rPr/>
        <w:t>1.没有指定受益人或受益人指定不明无法确定的；</w:t>
      </w:r>
    </w:p>
    <w:p>
      <w:pPr>
        <w:pStyle w:val="BodyText"/>
        <w:spacing w:before="37"/>
        <w:ind w:left="2586"/>
      </w:pPr>
      <w:r>
        <w:rPr/>
        <w:t>2.受益人先于被保险人身故，没有其他受益人的；</w:t>
      </w:r>
    </w:p>
    <w:p>
      <w:pPr>
        <w:pStyle w:val="BodyText"/>
        <w:spacing w:before="37"/>
        <w:ind w:left="2586"/>
      </w:pPr>
      <w:r>
        <w:rPr/>
        <w:t>3.受益人依法丧失受益权或放弃受益权，没有其他受益人的。</w:t>
      </w:r>
    </w:p>
    <w:p>
      <w:pPr>
        <w:pStyle w:val="BodyText"/>
        <w:spacing w:line="273" w:lineRule="auto" w:before="37"/>
        <w:ind w:left="2164" w:right="208" w:firstLine="422"/>
      </w:pPr>
      <w:r>
        <w:rPr/>
        <w:t>被保险人和受益人在同一事件中身故，无法确定两者身故先后顺序的，推定受益人先于被保险人身故。</w:t>
      </w:r>
    </w:p>
    <w:p>
      <w:pPr>
        <w:pStyle w:val="Heading2"/>
        <w:spacing w:line="204" w:lineRule="auto"/>
        <w:ind w:left="2164" w:right="102" w:firstLine="422"/>
      </w:pPr>
      <w:r>
        <w:rPr/>
        <w:t>受益人故意造成被保险人身故、伤残、疾病的，或故意杀害被保险人未遂的， 该受益人丧失受益权。</w:t>
      </w:r>
    </w:p>
    <w:p>
      <w:pPr>
        <w:pStyle w:val="BodyText"/>
        <w:spacing w:before="10"/>
        <w:rPr>
          <w:rFonts w:ascii="Microsoft JhengHei"/>
          <w:b/>
          <w:sz w:val="10"/>
        </w:rPr>
      </w:pPr>
    </w:p>
    <w:p>
      <w:pPr>
        <w:spacing w:after="0"/>
        <w:rPr>
          <w:rFonts w:ascii="Microsoft JhengHei"/>
          <w:sz w:val="10"/>
        </w:rPr>
        <w:sectPr>
          <w:pgSz w:w="11910" w:h="16840"/>
          <w:pgMar w:header="870" w:footer="998" w:top="1120" w:bottom="1180" w:left="1100" w:right="980"/>
        </w:sectPr>
      </w:pPr>
    </w:p>
    <w:p>
      <w:pPr>
        <w:pStyle w:val="ListParagraph"/>
        <w:numPr>
          <w:ilvl w:val="1"/>
          <w:numId w:val="6"/>
        </w:numPr>
        <w:tabs>
          <w:tab w:pos="992" w:val="left" w:leader="none"/>
          <w:tab w:pos="993" w:val="left" w:leader="none"/>
        </w:tabs>
        <w:spacing w:line="204" w:lineRule="auto" w:before="24" w:after="0"/>
        <w:ind w:left="992" w:right="0" w:hanging="892"/>
        <w:jc w:val="left"/>
        <w:rPr>
          <w:b/>
          <w:sz w:val="21"/>
        </w:rPr>
      </w:pPr>
      <w:r>
        <w:rPr>
          <w:b/>
          <w:spacing w:val="26"/>
          <w:sz w:val="21"/>
        </w:rPr>
        <w:t>保险事故通知</w:t>
      </w:r>
    </w:p>
    <w:p>
      <w:pPr>
        <w:spacing w:line="218" w:lineRule="auto" w:before="61"/>
        <w:ind w:left="522" w:right="213" w:firstLine="0"/>
        <w:jc w:val="left"/>
        <w:rPr>
          <w:rFonts w:ascii="Microsoft JhengHei" w:eastAsia="Microsoft JhengHei" w:hint="eastAsia"/>
          <w:b/>
          <w:sz w:val="21"/>
        </w:rPr>
      </w:pPr>
      <w:r>
        <w:rPr/>
        <w:br w:type="column"/>
      </w:r>
      <w:r>
        <w:rPr>
          <w:spacing w:val="-7"/>
          <w:sz w:val="21"/>
        </w:rPr>
        <w:t>您、被保险人或受益人应在知道保险事故发生之日起 </w:t>
      </w:r>
      <w:r>
        <w:rPr>
          <w:sz w:val="21"/>
        </w:rPr>
        <w:t>10</w:t>
      </w:r>
      <w:r>
        <w:rPr>
          <w:spacing w:val="-7"/>
          <w:sz w:val="21"/>
        </w:rPr>
        <w:t> 日内通知本公司。</w:t>
      </w:r>
      <w:r>
        <w:rPr>
          <w:rFonts w:ascii="Microsoft JhengHei" w:eastAsia="Microsoft JhengHei" w:hint="eastAsia"/>
          <w:b/>
          <w:spacing w:val="2"/>
          <w:sz w:val="21"/>
        </w:rPr>
        <w:t>如</w:t>
      </w:r>
      <w:r>
        <w:rPr>
          <w:rFonts w:ascii="Microsoft JhengHei" w:eastAsia="Microsoft JhengHei" w:hint="eastAsia"/>
          <w:b/>
          <w:sz w:val="21"/>
        </w:rPr>
        <w:t>您、被保险人或受益人故意或因重大过失未及时通知本公司，致使保险事</w:t>
      </w:r>
    </w:p>
    <w:p>
      <w:pPr>
        <w:pStyle w:val="Heading2"/>
        <w:spacing w:line="204" w:lineRule="auto" w:before="1"/>
        <w:ind w:left="100" w:right="213"/>
        <w:jc w:val="both"/>
      </w:pPr>
      <w:r>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4" w:lineRule="auto"/>
        <w:jc w:val="both"/>
        <w:sectPr>
          <w:type w:val="continuous"/>
          <w:pgSz w:w="11910" w:h="16840"/>
          <w:pgMar w:top="1040" w:bottom="1180" w:left="1100" w:right="980"/>
          <w:cols w:num="2" w:equalWidth="0">
            <w:col w:w="1953" w:space="111"/>
            <w:col w:w="7766"/>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1"/>
          <w:numId w:val="6"/>
        </w:numPr>
        <w:tabs>
          <w:tab w:pos="992" w:val="left" w:leader="none"/>
          <w:tab w:pos="993" w:val="left" w:leader="none"/>
        </w:tabs>
        <w:spacing w:line="204" w:lineRule="auto" w:before="25" w:after="0"/>
        <w:ind w:left="992" w:right="0" w:hanging="892"/>
        <w:jc w:val="both"/>
        <w:rPr>
          <w:b/>
          <w:sz w:val="21"/>
        </w:rPr>
      </w:pPr>
      <w:r>
        <w:rPr>
          <w:b/>
          <w:spacing w:val="26"/>
          <w:sz w:val="21"/>
        </w:rPr>
        <w:t>保险金及豁免保险费的申请</w:t>
      </w:r>
    </w:p>
    <w:p>
      <w:pPr>
        <w:pStyle w:val="BodyText"/>
        <w:spacing w:line="273" w:lineRule="auto"/>
        <w:ind w:left="100" w:right="208" w:firstLine="422"/>
        <w:jc w:val="both"/>
      </w:pPr>
      <w:r>
        <w:rPr/>
        <w:br w:type="column"/>
      </w:r>
      <w:r>
        <w:rPr/>
        <w:t>1.</w:t>
      </w:r>
      <w:r>
        <w:rPr>
          <w:spacing w:val="-7"/>
        </w:rPr>
        <w:t>申请疾病保险金、因重大疾病原因导致的前 </w:t>
      </w:r>
      <w:r>
        <w:rPr>
          <w:spacing w:val="-3"/>
        </w:rPr>
        <w:t>10</w:t>
      </w:r>
      <w:r>
        <w:rPr>
          <w:spacing w:val="-8"/>
        </w:rPr>
        <w:t> 年关爱保险金、特定严重疾</w:t>
      </w:r>
      <w:r>
        <w:rPr/>
        <w:t>病保险金或豁免保险费时，由被保险人作为申请人填写保险金给付申请书，并提</w:t>
      </w:r>
      <w:r>
        <w:rPr>
          <w:spacing w:val="-1"/>
        </w:rPr>
        <w:t>供下列证明和资料：</w:t>
      </w:r>
    </w:p>
    <w:p>
      <w:pPr>
        <w:pStyle w:val="BodyText"/>
        <w:spacing w:before="7"/>
        <w:ind w:left="522"/>
      </w:pPr>
      <w:r>
        <w:rPr/>
        <w:t>（1）保险合同；</w:t>
      </w:r>
    </w:p>
    <w:p>
      <w:pPr>
        <w:pStyle w:val="BodyText"/>
        <w:spacing w:before="37"/>
        <w:ind w:left="522"/>
      </w:pPr>
      <w:r>
        <w:rPr/>
        <w:t>（2）被保险人的有效身份证件；</w:t>
      </w:r>
    </w:p>
    <w:p>
      <w:pPr>
        <w:pStyle w:val="BodyText"/>
        <w:spacing w:line="273" w:lineRule="auto" w:before="37"/>
        <w:ind w:left="100" w:right="208" w:firstLine="422"/>
      </w:pPr>
      <w:r>
        <w:rPr/>
        <w:t>（3）本公司认可医院出具的附有病历、必要病理检验、血液检验及其他科学方法检验报告的疾病诊断书；</w:t>
      </w:r>
    </w:p>
    <w:p>
      <w:pPr>
        <w:pStyle w:val="BodyText"/>
        <w:spacing w:line="273" w:lineRule="auto" w:before="7"/>
        <w:ind w:left="100" w:right="208" w:firstLine="422"/>
      </w:pPr>
      <w:r>
        <w:rPr/>
        <w:t>（4）所能提供的与确认保险事故的性质、原因、伤害程度等有关的其他证明和资料。</w:t>
      </w:r>
    </w:p>
    <w:p>
      <w:pPr>
        <w:pStyle w:val="Heading2"/>
        <w:spacing w:line="204" w:lineRule="auto"/>
        <w:ind w:left="100" w:right="213" w:firstLine="422"/>
      </w:pPr>
      <w:r>
        <w:rPr/>
        <w:t>上述相关疾病诊断资料须在被保险人生存期间内由本公司认可医院出具，任何针对遗体检查的资料不能作为保险金申请依据。</w:t>
      </w:r>
    </w:p>
    <w:p>
      <w:pPr>
        <w:pStyle w:val="BodyText"/>
        <w:spacing w:line="268" w:lineRule="auto" w:before="176"/>
        <w:ind w:left="100" w:right="208" w:firstLine="422"/>
      </w:pPr>
      <w:r>
        <w:rPr/>
        <w:t>2.</w:t>
      </w:r>
      <w:r>
        <w:rPr>
          <w:spacing w:val="-6"/>
        </w:rPr>
        <w:t>申请身故保险金或因身故导致的前 </w:t>
      </w:r>
      <w:r>
        <w:rPr/>
        <w:t>10</w:t>
      </w:r>
      <w:r>
        <w:rPr>
          <w:spacing w:val="-9"/>
        </w:rPr>
        <w:t> 年关爱保险金时，由受益人或其他有</w:t>
      </w:r>
      <w:r>
        <w:rPr>
          <w:spacing w:val="-7"/>
        </w:rPr>
        <w:t>权领取保险金的人作为申请人填写保险金给付申请书，并提供下列证明和资料：</w:t>
      </w:r>
    </w:p>
    <w:p>
      <w:pPr>
        <w:pStyle w:val="BodyText"/>
        <w:spacing w:before="11"/>
        <w:ind w:left="522"/>
      </w:pPr>
      <w:r>
        <w:rPr/>
        <w:t>（1）保险合同；</w:t>
      </w:r>
    </w:p>
    <w:p>
      <w:pPr>
        <w:pStyle w:val="BodyText"/>
        <w:ind w:left="522"/>
      </w:pPr>
      <w:r>
        <w:rPr/>
        <w:t>（2）申请人的有效身份证件；</w:t>
      </w:r>
    </w:p>
    <w:p>
      <w:pPr>
        <w:pStyle w:val="BodyText"/>
        <w:spacing w:line="273" w:lineRule="auto"/>
        <w:ind w:left="100" w:right="208" w:firstLine="422"/>
      </w:pPr>
      <w:r>
        <w:rPr/>
        <w:t>（3）国家卫生行政部门认定的医疗机构、公安部门或其他相关机构出具的被保险人的死亡证明；</w:t>
      </w:r>
    </w:p>
    <w:p>
      <w:pPr>
        <w:pStyle w:val="BodyText"/>
        <w:spacing w:line="273" w:lineRule="auto" w:before="7"/>
        <w:ind w:left="100" w:right="208" w:firstLine="422"/>
      </w:pPr>
      <w:r>
        <w:rPr/>
        <w:t>（4）所能提供的与确认保险事故的性质、原因、伤害程度等有关的其他证明和资料。</w:t>
      </w:r>
    </w:p>
    <w:p>
      <w:pPr>
        <w:pStyle w:val="BodyText"/>
        <w:spacing w:before="7"/>
        <w:ind w:left="522"/>
      </w:pPr>
      <w:r>
        <w:rPr/>
        <w:t>保险金作为被保险人遗产时，须提供可证明合法继承权的相关权利文件。</w:t>
      </w:r>
    </w:p>
    <w:p>
      <w:pPr>
        <w:pStyle w:val="BodyText"/>
        <w:ind w:left="522"/>
      </w:pPr>
      <w:r>
        <w:rPr/>
        <w:t>3.如申请人为无民事行为能力人或限制民事行为能力人，由其法定代理人代</w:t>
      </w:r>
    </w:p>
    <w:p>
      <w:pPr>
        <w:spacing w:after="0"/>
        <w:sectPr>
          <w:type w:val="continuous"/>
          <w:pgSz w:w="11910" w:h="16840"/>
          <w:pgMar w:top="1040" w:bottom="1180" w:left="1100" w:right="980"/>
          <w:cols w:num="2" w:equalWidth="0">
            <w:col w:w="1953" w:space="111"/>
            <w:col w:w="7766"/>
          </w:cols>
        </w:sectPr>
      </w:pPr>
    </w:p>
    <w:p>
      <w:pPr>
        <w:pStyle w:val="BodyText"/>
        <w:spacing w:before="7"/>
        <w:rPr>
          <w:sz w:val="17"/>
        </w:rPr>
      </w:pPr>
    </w:p>
    <w:p>
      <w:pPr>
        <w:pStyle w:val="BodyText"/>
        <w:ind w:left="2284"/>
      </w:pPr>
      <w:r>
        <w:rPr/>
        <w:t>为办理保险金申请。</w:t>
      </w:r>
    </w:p>
    <w:p>
      <w:pPr>
        <w:pStyle w:val="BodyText"/>
        <w:ind w:left="2706"/>
      </w:pPr>
      <w:r>
        <w:rPr/>
        <w:t>4.如委托他人代为申请，应提供授权委托书及受托人的有效身份证件。</w:t>
      </w:r>
    </w:p>
    <w:p>
      <w:pPr>
        <w:pStyle w:val="BodyText"/>
        <w:ind w:left="2706"/>
      </w:pPr>
      <w:r>
        <w:rPr/>
        <w:t>5.本公司认为有关证明和资料不完整的，将及时一次性通知申请人补充提供。</w:t>
      </w:r>
    </w:p>
    <w:p>
      <w:pPr>
        <w:pStyle w:val="BodyText"/>
        <w:spacing w:before="5"/>
        <w:rPr>
          <w:sz w:val="15"/>
        </w:rPr>
      </w:pPr>
    </w:p>
    <w:p>
      <w:pPr>
        <w:spacing w:after="0"/>
        <w:rPr>
          <w:sz w:val="15"/>
        </w:rPr>
        <w:sectPr>
          <w:pgSz w:w="11910" w:h="16840"/>
          <w:pgMar w:header="870" w:footer="998" w:top="1120" w:bottom="1180" w:left="980" w:right="980"/>
        </w:sectPr>
      </w:pPr>
    </w:p>
    <w:p>
      <w:pPr>
        <w:pStyle w:val="Heading2"/>
        <w:numPr>
          <w:ilvl w:val="1"/>
          <w:numId w:val="6"/>
        </w:numPr>
        <w:tabs>
          <w:tab w:pos="1112" w:val="left" w:leader="none"/>
          <w:tab w:pos="1113" w:val="left" w:leader="none"/>
        </w:tabs>
        <w:spacing w:line="204" w:lineRule="auto" w:before="25" w:after="0"/>
        <w:ind w:left="1112" w:right="0" w:hanging="892"/>
        <w:jc w:val="left"/>
      </w:pPr>
      <w:r>
        <w:rPr>
          <w:spacing w:val="26"/>
        </w:rPr>
        <w:t>保险金的给付</w:t>
      </w:r>
    </w:p>
    <w:p>
      <w:pPr>
        <w:pStyle w:val="BodyText"/>
        <w:spacing w:before="37"/>
        <w:ind w:left="593"/>
      </w:pPr>
      <w:r>
        <w:rPr/>
        <w:br w:type="column"/>
      </w:r>
      <w:r>
        <w:rPr/>
        <w:t>本公司在收到保险金给付申请书及上述有关证明和资料后，将在 5 日内作出</w:t>
      </w:r>
    </w:p>
    <w:p>
      <w:pPr>
        <w:pStyle w:val="BodyText"/>
        <w:spacing w:before="37"/>
        <w:ind w:left="171"/>
      </w:pPr>
      <w:r>
        <w:rPr/>
        <w:t>核定；情形复杂的，在 30 日内作出核定。对属于保险责任的，本公司在与被保险</w:t>
      </w:r>
    </w:p>
    <w:p>
      <w:pPr>
        <w:pStyle w:val="BodyText"/>
        <w:spacing w:line="273" w:lineRule="auto" w:before="37"/>
        <w:ind w:left="593" w:right="208" w:hanging="423"/>
      </w:pPr>
      <w:r>
        <w:rPr>
          <w:spacing w:val="-6"/>
        </w:rPr>
        <w:t>人或受益人达成有关给付保险金数额的协议后 </w:t>
      </w:r>
      <w:r>
        <w:rPr>
          <w:spacing w:val="-3"/>
        </w:rPr>
        <w:t>10</w:t>
      </w:r>
      <w:r>
        <w:rPr>
          <w:spacing w:val="-7"/>
        </w:rPr>
        <w:t> 日内，履行给付保险金义务。本</w:t>
      </w:r>
      <w:r>
        <w:rPr/>
        <w:t>公司未及时履行前款规定义务的，将赔偿被保险人或受益人因此受到的损</w:t>
      </w:r>
    </w:p>
    <w:p>
      <w:pPr>
        <w:pStyle w:val="BodyText"/>
        <w:spacing w:before="7"/>
        <w:ind w:left="171"/>
      </w:pPr>
      <w:r>
        <w:rPr/>
        <w:t>失。</w:t>
      </w:r>
    </w:p>
    <w:p>
      <w:pPr>
        <w:pStyle w:val="BodyText"/>
        <w:spacing w:line="273" w:lineRule="auto"/>
        <w:ind w:left="171" w:right="208" w:firstLine="422"/>
        <w:jc w:val="both"/>
      </w:pPr>
      <w:r>
        <w:rPr/>
        <w:t>对不属于保险责任的，本公司自作出核定之日起 3 日内向申请人发出拒绝给付保险金通知书，并说明理由。</w:t>
      </w:r>
    </w:p>
    <w:p>
      <w:pPr>
        <w:pStyle w:val="BodyText"/>
        <w:spacing w:line="273" w:lineRule="auto" w:before="7"/>
        <w:ind w:left="171" w:right="208" w:firstLine="422"/>
        <w:jc w:val="both"/>
      </w:pPr>
      <w:r>
        <w:rPr>
          <w:spacing w:val="-7"/>
        </w:rPr>
        <w:t>本公司在收到保险金给付申请书及有关证明和资料之日起 </w:t>
      </w:r>
      <w:r>
        <w:rPr/>
        <w:t>60</w:t>
      </w:r>
      <w:r>
        <w:rPr>
          <w:spacing w:val="-8"/>
        </w:rPr>
        <w:t> 日内，对给付保</w:t>
      </w:r>
      <w:r>
        <w:rPr/>
        <w:t>险金的数额不能确定的，根据已有证明和资料可以确定的数额先予支付；本公司</w:t>
      </w:r>
      <w:r>
        <w:rPr>
          <w:spacing w:val="-5"/>
        </w:rPr>
        <w:t>最终确定给付保险金的数额后，将支付相应的差额。</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3"/>
        <w:rPr>
          <w:sz w:val="13"/>
        </w:rPr>
      </w:pPr>
    </w:p>
    <w:p>
      <w:pPr>
        <w:spacing w:after="0"/>
        <w:rPr>
          <w:sz w:val="13"/>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4" w:after="0"/>
        <w:ind w:left="1112" w:right="0" w:hanging="892"/>
        <w:jc w:val="both"/>
      </w:pPr>
      <w:r>
        <w:rPr>
          <w:spacing w:val="26"/>
        </w:rPr>
        <w:t>欠交保险费及未还款项的扣除</w:t>
      </w:r>
    </w:p>
    <w:p>
      <w:pPr>
        <w:pStyle w:val="BodyText"/>
        <w:spacing w:line="273" w:lineRule="auto"/>
        <w:ind w:left="171" w:right="208" w:firstLine="422"/>
        <w:jc w:val="both"/>
      </w:pPr>
      <w:r>
        <w:rPr/>
        <w:br w:type="column"/>
      </w:r>
      <w:r>
        <w:rPr/>
        <w:t>本公司在办理给付保险金、退还保险单的现金价值或退还本保险实际交纳的保险费等事项时，如您欠交保险费或有其他款项未还清的，本公司先扣除上述款项后，再办理相关手续。</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1"/>
        <w:rPr>
          <w:sz w:val="12"/>
        </w:rPr>
      </w:pPr>
    </w:p>
    <w:p>
      <w:pPr>
        <w:pStyle w:val="Heading1"/>
        <w:numPr>
          <w:ilvl w:val="0"/>
          <w:numId w:val="6"/>
        </w:numPr>
        <w:tabs>
          <w:tab w:pos="1112" w:val="left" w:leader="none"/>
          <w:tab w:pos="1113" w:val="left" w:leader="none"/>
        </w:tabs>
        <w:spacing w:line="367" w:lineRule="exact" w:before="0" w:after="11"/>
        <w:ind w:left="1112" w:right="0" w:hanging="892"/>
        <w:jc w:val="left"/>
      </w:pPr>
      <w:r>
        <w:rPr/>
        <w:t>基本条款</w:t>
      </w:r>
    </w:p>
    <w:p>
      <w:pPr>
        <w:pStyle w:val="BodyText"/>
        <w:spacing w:line="20" w:lineRule="exact" w:before="0"/>
        <w:ind w:left="99"/>
        <w:rPr>
          <w:rFonts w:ascii="Microsoft JhengHei"/>
          <w:sz w:val="2"/>
        </w:rPr>
      </w:pPr>
      <w:r>
        <w:rPr>
          <w:rFonts w:ascii="Times New Roman"/>
          <w:spacing w:val="6"/>
          <w:sz w:val="2"/>
        </w:rPr>
        <w:t> </w:t>
      </w:r>
      <w:r>
        <w:rPr>
          <w:rFonts w:ascii="Microsoft JhengHei"/>
          <w:spacing w:val="6"/>
          <w:sz w:val="2"/>
        </w:rPr>
        <w:pict>
          <v:group style="width:486.25pt;height:1pt;mso-position-horizontal-relative:char;mso-position-vertical-relative:line" coordorigin="0,0" coordsize="9725,20">
            <v:line style="position:absolute" from="0,10" to="893,10" stroked="true" strokeweight=".96pt" strokecolor="#000000">
              <v:stroke dashstyle="solid"/>
            </v:line>
            <v:rect style="position:absolute;left:892;top:0;width:20;height:20" filled="true" fillcolor="#000000" stroked="false">
              <v:fill type="solid"/>
            </v:rect>
            <v:line style="position:absolute" from="912,10" to="2064,10" stroked="true" strokeweight=".96pt" strokecolor="#000000">
              <v:stroke dashstyle="solid"/>
            </v:line>
            <v:rect style="position:absolute;left:2064;top:0;width:20;height:20" filled="true" fillcolor="#000000" stroked="false">
              <v:fill type="solid"/>
            </v:rect>
            <v:line style="position:absolute" from="2083,10" to="9725,10" stroked="true" strokeweight=".96pt" strokecolor="#000000">
              <v:stroke dashstyle="solid"/>
            </v:line>
          </v:group>
        </w:pict>
      </w:r>
      <w:r>
        <w:rPr>
          <w:rFonts w:ascii="Microsoft JhengHei"/>
          <w:spacing w:val="6"/>
          <w:sz w:val="2"/>
        </w:rPr>
      </w:r>
    </w:p>
    <w:p>
      <w:pPr>
        <w:pStyle w:val="BodyText"/>
        <w:spacing w:before="3"/>
        <w:rPr>
          <w:rFonts w:ascii="Microsoft JhengHei"/>
          <w:b/>
          <w:sz w:val="9"/>
        </w:rPr>
      </w:pPr>
    </w:p>
    <w:p>
      <w:pPr>
        <w:spacing w:after="0"/>
        <w:rPr>
          <w:rFonts w:ascii="Microsoft JhengHei"/>
          <w:sz w:val="9"/>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4" w:after="0"/>
        <w:ind w:left="1112" w:right="0" w:hanging="892"/>
        <w:jc w:val="both"/>
      </w:pPr>
      <w:r>
        <w:rPr>
          <w:spacing w:val="26"/>
        </w:rPr>
        <w:t>明确说明与如实告知</w:t>
      </w:r>
    </w:p>
    <w:p>
      <w:pPr>
        <w:pStyle w:val="BodyText"/>
        <w:spacing w:line="273" w:lineRule="auto"/>
        <w:ind w:left="171" w:right="208" w:firstLine="422"/>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Heading2"/>
        <w:spacing w:line="204" w:lineRule="auto"/>
        <w:ind w:left="171" w:right="213" w:firstLine="422"/>
        <w:jc w:val="both"/>
      </w:pPr>
      <w:r>
        <w:rPr/>
        <w:t>您故意或因重大过失未履行如实告知义务，足以影响本公司决定是否同意承保或提高保险费率的，本公司有权解除本合同。</w:t>
      </w:r>
    </w:p>
    <w:p>
      <w:pPr>
        <w:spacing w:line="204" w:lineRule="auto" w:before="6"/>
        <w:ind w:left="171" w:right="213" w:firstLine="422"/>
        <w:jc w:val="both"/>
        <w:rPr>
          <w:rFonts w:ascii="Microsoft JhengHei" w:eastAsia="Microsoft JhengHei" w:hint="eastAsia"/>
          <w:b/>
          <w:sz w:val="21"/>
        </w:rPr>
      </w:pPr>
      <w:r>
        <w:rPr>
          <w:rFonts w:ascii="Microsoft JhengHei" w:eastAsia="Microsoft JhengHei" w:hint="eastAsia"/>
          <w:b/>
          <w:sz w:val="21"/>
        </w:rPr>
        <w:t>您故意不履行如实告知义务，对于本合同解除前发生的保险事故，本公司不承担保险责任，并不退还本保险实际交纳的保险费。</w:t>
      </w:r>
    </w:p>
    <w:p>
      <w:pPr>
        <w:spacing w:line="204" w:lineRule="auto" w:before="1"/>
        <w:ind w:left="171" w:right="213" w:firstLine="422"/>
        <w:jc w:val="both"/>
        <w:rPr>
          <w:rFonts w:ascii="Microsoft JhengHei" w:eastAsia="Microsoft JhengHei" w:hint="eastAsia"/>
          <w:b/>
          <w:sz w:val="21"/>
        </w:rPr>
      </w:pPr>
      <w:r>
        <w:rPr>
          <w:rFonts w:ascii="Microsoft JhengHei" w:eastAsia="Microsoft JhengHei" w:hint="eastAsia"/>
          <w:b/>
          <w:sz w:val="21"/>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13"/>
        <w:ind w:left="171" w:right="102" w:firstLine="422"/>
      </w:pPr>
      <w:r>
        <w:rPr>
          <w:spacing w:val="-6"/>
        </w:rPr>
        <w:t>本公司在合同订立时已经知道您未如实告知的情况的，本公司不得解除合同； </w:t>
      </w:r>
      <w:r>
        <w:rPr>
          <w:spacing w:val="-5"/>
        </w:rPr>
        <w:t>发生保险事故的，本公司承担给付保险金的责任。</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11"/>
        <w:rPr>
          <w:sz w:val="12"/>
        </w:rPr>
      </w:pPr>
    </w:p>
    <w:p>
      <w:pPr>
        <w:spacing w:after="0"/>
        <w:rPr>
          <w:sz w:val="12"/>
        </w:rPr>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5" w:after="0"/>
        <w:ind w:left="1112" w:right="0" w:hanging="892"/>
        <w:jc w:val="both"/>
      </w:pPr>
      <w:r>
        <w:rPr>
          <w:spacing w:val="26"/>
        </w:rPr>
        <w:t>本公司合同解除权的限制</w:t>
      </w:r>
    </w:p>
    <w:p>
      <w:pPr>
        <w:pStyle w:val="BodyText"/>
        <w:spacing w:line="273" w:lineRule="auto" w:before="37"/>
        <w:ind w:left="171" w:right="208" w:firstLine="422"/>
        <w:jc w:val="both"/>
      </w:pPr>
      <w:r>
        <w:rPr/>
        <w:br w:type="column"/>
      </w:r>
      <w:r>
        <w:rPr>
          <w:spacing w:val="-7"/>
        </w:rPr>
        <w:t>前条规定的合同解除权，自本公司知道有解除事由之日起，超过 </w:t>
      </w:r>
      <w:r>
        <w:rPr/>
        <w:t>30</w:t>
      </w:r>
      <w:r>
        <w:rPr>
          <w:spacing w:val="-9"/>
        </w:rPr>
        <w:t> 日不行使</w:t>
      </w:r>
      <w:r>
        <w:rPr/>
        <w:t>而消灭。自本合同成立之日起超过二年的，本公司不得解除本合同；发生保险事</w:t>
      </w:r>
      <w:r>
        <w:rPr>
          <w:spacing w:val="-3"/>
        </w:rPr>
        <w:t>故的，本公司承担给付保险金的责任。</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8"/>
      </w:pPr>
    </w:p>
    <w:p>
      <w:pPr>
        <w:spacing w:after="0"/>
        <w:sectPr>
          <w:type w:val="continuous"/>
          <w:pgSz w:w="11910" w:h="16840"/>
          <w:pgMar w:top="1040" w:bottom="1180" w:left="980" w:right="980"/>
        </w:sectPr>
      </w:pPr>
    </w:p>
    <w:p>
      <w:pPr>
        <w:pStyle w:val="Heading2"/>
        <w:numPr>
          <w:ilvl w:val="1"/>
          <w:numId w:val="6"/>
        </w:numPr>
        <w:tabs>
          <w:tab w:pos="1112" w:val="left" w:leader="none"/>
          <w:tab w:pos="1113" w:val="left" w:leader="none"/>
        </w:tabs>
        <w:spacing w:line="204" w:lineRule="auto" w:before="25" w:after="0"/>
        <w:ind w:left="1112" w:right="0" w:hanging="892"/>
        <w:jc w:val="both"/>
      </w:pPr>
      <w:r>
        <w:rPr>
          <w:spacing w:val="26"/>
        </w:rPr>
        <w:t>年龄确定与错误处理</w:t>
      </w:r>
    </w:p>
    <w:p>
      <w:pPr>
        <w:pStyle w:val="BodyText"/>
        <w:spacing w:before="37"/>
        <w:ind w:left="593"/>
      </w:pPr>
      <w:r>
        <w:rPr/>
        <w:br w:type="column"/>
      </w:r>
      <w:r>
        <w:rPr/>
        <w:t>1.被保险人的年龄以周岁计算。</w:t>
      </w:r>
    </w:p>
    <w:p>
      <w:pPr>
        <w:pStyle w:val="BodyText"/>
        <w:spacing w:line="273" w:lineRule="auto" w:before="37"/>
        <w:ind w:left="171" w:right="208" w:firstLine="422"/>
      </w:pPr>
      <w:r>
        <w:rPr/>
        <w:t>2.您在申请投保时，应将与有效身份证件相符的被保险人的出生日期在投保单上填明，如发生错误按下列方式办理：</w:t>
      </w:r>
    </w:p>
    <w:p>
      <w:pPr>
        <w:pStyle w:val="Heading2"/>
        <w:spacing w:line="204" w:lineRule="auto"/>
        <w:ind w:left="171" w:right="158" w:firstLine="422"/>
      </w:pPr>
      <w:r>
        <w:rPr/>
        <w:t>（1）您申报的被保险人年龄不真实，并且其真实年龄不符合本合同约定投保年龄限制的，本公司有权解除合同，并向您退还保险单的现金价值。本公司行使</w:t>
      </w:r>
    </w:p>
    <w:p>
      <w:pPr>
        <w:spacing w:after="0" w:line="204" w:lineRule="auto"/>
        <w:sectPr>
          <w:type w:val="continuous"/>
          <w:pgSz w:w="11910" w:h="16840"/>
          <w:pgMar w:top="1040" w:bottom="1180" w:left="980" w:right="980"/>
          <w:cols w:num="2" w:equalWidth="0">
            <w:col w:w="2073" w:space="40"/>
            <w:col w:w="7837"/>
          </w:cols>
        </w:sectPr>
      </w:pPr>
    </w:p>
    <w:p>
      <w:pPr>
        <w:pStyle w:val="BodyText"/>
        <w:spacing w:before="3"/>
        <w:rPr>
          <w:rFonts w:ascii="Microsoft JhengHei"/>
          <w:b/>
          <w:sz w:val="13"/>
        </w:rPr>
      </w:pPr>
    </w:p>
    <w:p>
      <w:pPr>
        <w:spacing w:line="309" w:lineRule="exact" w:before="0"/>
        <w:ind w:left="2284"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合同解除权适用前条“本公司合同解除权的限制”的规定。</w:t>
      </w:r>
    </w:p>
    <w:p>
      <w:pPr>
        <w:spacing w:line="204" w:lineRule="auto" w:before="28"/>
        <w:ind w:left="2284" w:right="169" w:firstLine="422"/>
        <w:jc w:val="both"/>
        <w:rPr>
          <w:rFonts w:ascii="Microsoft JhengHei" w:eastAsia="Microsoft JhengHei" w:hint="eastAsia"/>
          <w:b/>
          <w:sz w:val="21"/>
        </w:rPr>
      </w:pPr>
      <w:r>
        <w:rPr>
          <w:rFonts w:ascii="Microsoft JhengHei" w:eastAsia="Microsoft JhengHei" w:hint="eastAsia"/>
          <w:b/>
          <w:sz w:val="21"/>
        </w:rPr>
        <w:t>（2）您申报的被保险人年龄不真实，致使您实付保险费少于应付保险费的， 本公司有权更正并要求您补交保险费；如已发生保险事故，在给付保险金时按实付保险费和应付保险费的比例支付。</w:t>
      </w:r>
    </w:p>
    <w:p>
      <w:pPr>
        <w:pStyle w:val="BodyText"/>
        <w:spacing w:line="273" w:lineRule="auto" w:before="13"/>
        <w:ind w:left="2284" w:right="198" w:firstLine="422"/>
        <w:jc w:val="both"/>
      </w:pPr>
      <w:r>
        <w:rPr/>
        <w:t>（3）您申报的被保险人年龄不真实，致使您实付保险费多于应付保险费的， 本公司会将多收的保险费退还给您。</w:t>
      </w:r>
    </w:p>
    <w:p>
      <w:pPr>
        <w:pStyle w:val="BodyText"/>
        <w:spacing w:before="3"/>
        <w:rPr>
          <w:sz w:val="13"/>
        </w:rPr>
      </w:pPr>
    </w:p>
    <w:p>
      <w:pPr>
        <w:spacing w:after="0"/>
        <w:rPr>
          <w:sz w:val="13"/>
        </w:rPr>
        <w:sectPr>
          <w:pgSz w:w="11910" w:h="16840"/>
          <w:pgMar w:header="870" w:footer="998" w:top="1120" w:bottom="1180" w:left="980" w:right="980"/>
        </w:sectPr>
      </w:pPr>
    </w:p>
    <w:p>
      <w:pPr>
        <w:pStyle w:val="Heading2"/>
        <w:numPr>
          <w:ilvl w:val="1"/>
          <w:numId w:val="6"/>
        </w:numPr>
        <w:tabs>
          <w:tab w:pos="1112" w:val="left" w:leader="none"/>
          <w:tab w:pos="1113" w:val="left" w:leader="none"/>
        </w:tabs>
        <w:spacing w:line="204" w:lineRule="auto" w:before="24" w:after="0"/>
        <w:ind w:left="1112" w:right="0" w:hanging="892"/>
        <w:jc w:val="left"/>
      </w:pPr>
      <w:r>
        <w:rPr>
          <w:spacing w:val="26"/>
        </w:rPr>
        <w:t>联系方式变更</w:t>
      </w:r>
    </w:p>
    <w:p>
      <w:pPr>
        <w:pStyle w:val="BodyText"/>
        <w:spacing w:line="273" w:lineRule="auto"/>
        <w:ind w:left="171" w:right="208" w:firstLine="422"/>
        <w:jc w:val="both"/>
      </w:pPr>
      <w:r>
        <w:rPr/>
        <w:br w:type="column"/>
      </w:r>
      <w:r>
        <w:rPr/>
        <w:t>为了保障您的合法权益，您的住所、通讯地址或电话等联系方式变更时，请及时通知本公司。如您未通知本公司，本公司按本合同载明的最后住所、通讯地址或电话等联系方式发送的有关通知，均视为已送达给您。</w:t>
      </w:r>
    </w:p>
    <w:p>
      <w:pPr>
        <w:spacing w:after="0" w:line="273" w:lineRule="auto"/>
        <w:jc w:val="both"/>
        <w:sectPr>
          <w:type w:val="continuous"/>
          <w:pgSz w:w="11910" w:h="16840"/>
          <w:pgMar w:top="1040" w:bottom="1180" w:left="980" w:right="980"/>
          <w:cols w:num="2" w:equalWidth="0">
            <w:col w:w="2073" w:space="40"/>
            <w:col w:w="7837"/>
          </w:cols>
        </w:sectPr>
      </w:pPr>
    </w:p>
    <w:p>
      <w:pPr>
        <w:pStyle w:val="BodyText"/>
        <w:spacing w:before="2"/>
        <w:rPr>
          <w:sz w:val="13"/>
        </w:rPr>
      </w:pPr>
    </w:p>
    <w:p>
      <w:pPr>
        <w:pStyle w:val="ListParagraph"/>
        <w:numPr>
          <w:ilvl w:val="1"/>
          <w:numId w:val="6"/>
        </w:numPr>
        <w:tabs>
          <w:tab w:pos="1112" w:val="left" w:leader="none"/>
          <w:tab w:pos="1113" w:val="left" w:leader="none"/>
          <w:tab w:pos="2706" w:val="left" w:leader="none"/>
        </w:tabs>
        <w:spacing w:line="312" w:lineRule="exact" w:before="32" w:after="0"/>
        <w:ind w:left="2284" w:right="208" w:hanging="2064"/>
        <w:jc w:val="left"/>
        <w:rPr>
          <w:rFonts w:ascii="宋体" w:eastAsia="宋体" w:hint="eastAsia"/>
          <w:sz w:val="21"/>
        </w:rPr>
      </w:pPr>
      <w:r>
        <w:rPr>
          <w:b/>
          <w:sz w:val="21"/>
        </w:rPr>
        <w:t>失踪处理</w:t>
        <w:tab/>
        <w:tab/>
      </w:r>
      <w:r>
        <w:rPr>
          <w:rFonts w:ascii="宋体" w:eastAsia="宋体" w:hint="eastAsia"/>
          <w:spacing w:val="2"/>
          <w:sz w:val="21"/>
        </w:rPr>
        <w:t>被</w:t>
      </w:r>
      <w:r>
        <w:rPr>
          <w:rFonts w:ascii="宋体" w:eastAsia="宋体" w:hint="eastAsia"/>
          <w:sz w:val="21"/>
        </w:rPr>
        <w:t>保险</w:t>
      </w:r>
      <w:r>
        <w:rPr>
          <w:rFonts w:ascii="宋体" w:eastAsia="宋体" w:hint="eastAsia"/>
          <w:spacing w:val="2"/>
          <w:sz w:val="21"/>
        </w:rPr>
        <w:t>人</w:t>
      </w:r>
      <w:r>
        <w:rPr>
          <w:rFonts w:ascii="宋体" w:eastAsia="宋体" w:hint="eastAsia"/>
          <w:sz w:val="21"/>
        </w:rPr>
        <w:t>在</w:t>
      </w:r>
      <w:r>
        <w:rPr>
          <w:rFonts w:ascii="宋体" w:eastAsia="宋体" w:hint="eastAsia"/>
          <w:spacing w:val="2"/>
          <w:sz w:val="21"/>
        </w:rPr>
        <w:t>本</w:t>
      </w:r>
      <w:r>
        <w:rPr>
          <w:rFonts w:ascii="宋体" w:eastAsia="宋体" w:hint="eastAsia"/>
          <w:sz w:val="21"/>
        </w:rPr>
        <w:t>合同</w:t>
      </w:r>
      <w:r>
        <w:rPr>
          <w:rFonts w:ascii="宋体" w:eastAsia="宋体" w:hint="eastAsia"/>
          <w:spacing w:val="2"/>
          <w:sz w:val="21"/>
        </w:rPr>
        <w:t>保</w:t>
      </w:r>
      <w:r>
        <w:rPr>
          <w:rFonts w:ascii="宋体" w:eastAsia="宋体" w:hint="eastAsia"/>
          <w:sz w:val="21"/>
        </w:rPr>
        <w:t>险期</w:t>
      </w:r>
      <w:r>
        <w:rPr>
          <w:rFonts w:ascii="宋体" w:eastAsia="宋体" w:hint="eastAsia"/>
          <w:spacing w:val="2"/>
          <w:sz w:val="21"/>
        </w:rPr>
        <w:t>间</w:t>
      </w:r>
      <w:r>
        <w:rPr>
          <w:rFonts w:ascii="宋体" w:eastAsia="宋体" w:hint="eastAsia"/>
          <w:sz w:val="21"/>
        </w:rPr>
        <w:t>内失</w:t>
      </w:r>
      <w:r>
        <w:rPr>
          <w:rFonts w:ascii="宋体" w:eastAsia="宋体" w:hint="eastAsia"/>
          <w:spacing w:val="2"/>
          <w:sz w:val="21"/>
        </w:rPr>
        <w:t>踪</w:t>
      </w:r>
      <w:r>
        <w:rPr>
          <w:rFonts w:ascii="宋体" w:eastAsia="宋体" w:hint="eastAsia"/>
          <w:sz w:val="21"/>
        </w:rPr>
        <w:t>，</w:t>
      </w:r>
      <w:r>
        <w:rPr>
          <w:rFonts w:ascii="宋体" w:eastAsia="宋体" w:hint="eastAsia"/>
          <w:spacing w:val="2"/>
          <w:sz w:val="21"/>
        </w:rPr>
        <w:t>并</w:t>
      </w:r>
      <w:r>
        <w:rPr>
          <w:rFonts w:ascii="宋体" w:eastAsia="宋体" w:hint="eastAsia"/>
          <w:sz w:val="21"/>
        </w:rPr>
        <w:t>经人</w:t>
      </w:r>
      <w:r>
        <w:rPr>
          <w:rFonts w:ascii="宋体" w:eastAsia="宋体" w:hint="eastAsia"/>
          <w:spacing w:val="2"/>
          <w:sz w:val="21"/>
        </w:rPr>
        <w:t>民</w:t>
      </w:r>
      <w:r>
        <w:rPr>
          <w:rFonts w:ascii="宋体" w:eastAsia="宋体" w:hint="eastAsia"/>
          <w:sz w:val="21"/>
        </w:rPr>
        <w:t>法院宣</w:t>
      </w:r>
      <w:r>
        <w:rPr>
          <w:rFonts w:ascii="宋体" w:eastAsia="宋体" w:hint="eastAsia"/>
          <w:spacing w:val="2"/>
          <w:sz w:val="21"/>
        </w:rPr>
        <w:t>告</w:t>
      </w:r>
      <w:r>
        <w:rPr>
          <w:rFonts w:ascii="宋体" w:eastAsia="宋体" w:hint="eastAsia"/>
          <w:sz w:val="21"/>
        </w:rPr>
        <w:t>死亡</w:t>
      </w:r>
      <w:r>
        <w:rPr>
          <w:rFonts w:ascii="宋体" w:eastAsia="宋体" w:hint="eastAsia"/>
          <w:spacing w:val="2"/>
          <w:sz w:val="21"/>
        </w:rPr>
        <w:t>，</w:t>
      </w:r>
      <w:r>
        <w:rPr>
          <w:rFonts w:ascii="宋体" w:eastAsia="宋体" w:hint="eastAsia"/>
          <w:sz w:val="21"/>
        </w:rPr>
        <w:t>本</w:t>
      </w:r>
      <w:r>
        <w:rPr>
          <w:rFonts w:ascii="宋体" w:eastAsia="宋体" w:hint="eastAsia"/>
          <w:spacing w:val="2"/>
          <w:sz w:val="21"/>
        </w:rPr>
        <w:t>公</w:t>
      </w:r>
      <w:r>
        <w:rPr>
          <w:rFonts w:ascii="宋体" w:eastAsia="宋体" w:hint="eastAsia"/>
          <w:sz w:val="21"/>
        </w:rPr>
        <w:t>司依</w:t>
      </w:r>
      <w:r>
        <w:rPr>
          <w:rFonts w:ascii="宋体" w:eastAsia="宋体" w:hint="eastAsia"/>
          <w:spacing w:val="2"/>
          <w:sz w:val="21"/>
        </w:rPr>
        <w:t>据</w:t>
      </w:r>
      <w:r>
        <w:rPr>
          <w:rFonts w:ascii="宋体" w:eastAsia="宋体" w:hint="eastAsia"/>
          <w:sz w:val="21"/>
        </w:rPr>
        <w:t>人 民法院的</w:t>
      </w:r>
      <w:r>
        <w:rPr>
          <w:rFonts w:ascii="宋体" w:eastAsia="宋体" w:hint="eastAsia"/>
          <w:spacing w:val="-5"/>
          <w:sz w:val="21"/>
        </w:rPr>
        <w:t>宣</w:t>
      </w:r>
      <w:r>
        <w:rPr>
          <w:rFonts w:ascii="宋体" w:eastAsia="宋体" w:hint="eastAsia"/>
          <w:sz w:val="21"/>
        </w:rPr>
        <w:t>告死亡</w:t>
      </w:r>
      <w:r>
        <w:rPr>
          <w:rFonts w:ascii="宋体" w:eastAsia="宋体" w:hint="eastAsia"/>
          <w:spacing w:val="-5"/>
          <w:sz w:val="21"/>
        </w:rPr>
        <w:t>判</w:t>
      </w:r>
      <w:r>
        <w:rPr>
          <w:rFonts w:ascii="宋体" w:eastAsia="宋体" w:hint="eastAsia"/>
          <w:sz w:val="21"/>
        </w:rPr>
        <w:t>决及宣</w:t>
      </w:r>
      <w:r>
        <w:rPr>
          <w:rFonts w:ascii="宋体" w:eastAsia="宋体" w:hint="eastAsia"/>
          <w:spacing w:val="-5"/>
          <w:sz w:val="21"/>
        </w:rPr>
        <w:t>告</w:t>
      </w:r>
      <w:r>
        <w:rPr>
          <w:rFonts w:ascii="宋体" w:eastAsia="宋体" w:hint="eastAsia"/>
          <w:sz w:val="21"/>
        </w:rPr>
        <w:t>死亡日</w:t>
      </w:r>
      <w:r>
        <w:rPr>
          <w:rFonts w:ascii="宋体" w:eastAsia="宋体" w:hint="eastAsia"/>
          <w:spacing w:val="-5"/>
          <w:sz w:val="21"/>
        </w:rPr>
        <w:t>，</w:t>
      </w:r>
      <w:r>
        <w:rPr>
          <w:rFonts w:ascii="宋体" w:eastAsia="宋体" w:hint="eastAsia"/>
          <w:sz w:val="21"/>
        </w:rPr>
        <w:t>按本合</w:t>
      </w:r>
      <w:r>
        <w:rPr>
          <w:rFonts w:ascii="宋体" w:eastAsia="宋体" w:hint="eastAsia"/>
          <w:spacing w:val="-5"/>
          <w:sz w:val="21"/>
        </w:rPr>
        <w:t>同</w:t>
      </w:r>
      <w:r>
        <w:rPr>
          <w:rFonts w:ascii="宋体" w:eastAsia="宋体" w:hint="eastAsia"/>
          <w:sz w:val="21"/>
        </w:rPr>
        <w:t>规</w:t>
      </w:r>
      <w:r>
        <w:rPr>
          <w:rFonts w:ascii="宋体" w:eastAsia="宋体" w:hint="eastAsia"/>
          <w:spacing w:val="-5"/>
          <w:sz w:val="21"/>
        </w:rPr>
        <w:t>定</w:t>
      </w:r>
      <w:r>
        <w:rPr>
          <w:rFonts w:ascii="宋体" w:eastAsia="宋体" w:hint="eastAsia"/>
          <w:sz w:val="21"/>
        </w:rPr>
        <w:t>给付保险</w:t>
      </w:r>
      <w:r>
        <w:rPr>
          <w:rFonts w:ascii="宋体" w:eastAsia="宋体" w:hint="eastAsia"/>
          <w:spacing w:val="-5"/>
          <w:sz w:val="21"/>
        </w:rPr>
        <w:t>金</w:t>
      </w:r>
      <w:r>
        <w:rPr>
          <w:rFonts w:ascii="宋体" w:eastAsia="宋体" w:hint="eastAsia"/>
          <w:sz w:val="21"/>
        </w:rPr>
        <w:t>。</w:t>
      </w:r>
    </w:p>
    <w:p>
      <w:pPr>
        <w:pStyle w:val="BodyText"/>
        <w:spacing w:line="273" w:lineRule="auto" w:before="3"/>
        <w:ind w:left="2284" w:right="208" w:firstLine="422"/>
        <w:jc w:val="both"/>
      </w:pPr>
      <w:r>
        <w:rPr/>
        <w:t>如日后被保险人重新出现或确知其没有死亡，保险金领取人应将已领取的保</w:t>
      </w:r>
      <w:r>
        <w:rPr>
          <w:spacing w:val="-7"/>
        </w:rPr>
        <w:t>险金于被保险人重新出现或确知其没有死亡之日起 </w:t>
      </w:r>
      <w:r>
        <w:rPr>
          <w:spacing w:val="-3"/>
        </w:rPr>
        <w:t>30</w:t>
      </w:r>
      <w:r>
        <w:rPr>
          <w:spacing w:val="-8"/>
        </w:rPr>
        <w:t> 日内退还本公司，本合同的</w:t>
      </w:r>
      <w:r>
        <w:rPr>
          <w:spacing w:val="-6"/>
        </w:rPr>
        <w:t>效力由您和本公司依法协商处理。</w:t>
      </w:r>
    </w:p>
    <w:p>
      <w:pPr>
        <w:pStyle w:val="ListParagraph"/>
        <w:numPr>
          <w:ilvl w:val="1"/>
          <w:numId w:val="6"/>
        </w:numPr>
        <w:tabs>
          <w:tab w:pos="1112" w:val="left" w:leader="none"/>
          <w:tab w:pos="1113" w:val="left" w:leader="none"/>
          <w:tab w:pos="2706" w:val="left" w:leader="none"/>
        </w:tabs>
        <w:spacing w:line="240" w:lineRule="auto" w:before="137" w:after="0"/>
        <w:ind w:left="1112" w:right="0" w:hanging="892"/>
        <w:jc w:val="left"/>
        <w:rPr>
          <w:rFonts w:ascii="宋体" w:eastAsia="宋体" w:hint="eastAsia"/>
          <w:sz w:val="21"/>
        </w:rPr>
      </w:pPr>
      <w:r>
        <w:rPr>
          <w:b/>
          <w:sz w:val="21"/>
        </w:rPr>
        <w:t>争议处理</w:t>
        <w:tab/>
      </w:r>
      <w:r>
        <w:rPr>
          <w:rFonts w:ascii="宋体" w:eastAsia="宋体" w:hint="eastAsia"/>
          <w:sz w:val="21"/>
        </w:rPr>
        <w:t>本合同争</w:t>
      </w:r>
      <w:r>
        <w:rPr>
          <w:rFonts w:ascii="宋体" w:eastAsia="宋体" w:hint="eastAsia"/>
          <w:spacing w:val="-5"/>
          <w:sz w:val="21"/>
        </w:rPr>
        <w:t>议</w:t>
      </w:r>
      <w:r>
        <w:rPr>
          <w:rFonts w:ascii="宋体" w:eastAsia="宋体" w:hint="eastAsia"/>
          <w:sz w:val="21"/>
        </w:rPr>
        <w:t>解决方</w:t>
      </w:r>
      <w:r>
        <w:rPr>
          <w:rFonts w:ascii="宋体" w:eastAsia="宋体" w:hint="eastAsia"/>
          <w:spacing w:val="-5"/>
          <w:sz w:val="21"/>
        </w:rPr>
        <w:t>式</w:t>
      </w:r>
      <w:r>
        <w:rPr>
          <w:rFonts w:ascii="宋体" w:eastAsia="宋体" w:hint="eastAsia"/>
          <w:sz w:val="21"/>
        </w:rPr>
        <w:t>由当事</w:t>
      </w:r>
      <w:r>
        <w:rPr>
          <w:rFonts w:ascii="宋体" w:eastAsia="宋体" w:hint="eastAsia"/>
          <w:spacing w:val="-5"/>
          <w:sz w:val="21"/>
        </w:rPr>
        <w:t>人</w:t>
      </w:r>
      <w:r>
        <w:rPr>
          <w:rFonts w:ascii="宋体" w:eastAsia="宋体" w:hint="eastAsia"/>
          <w:sz w:val="21"/>
        </w:rPr>
        <w:t>约定从</w:t>
      </w:r>
      <w:r>
        <w:rPr>
          <w:rFonts w:ascii="宋体" w:eastAsia="宋体" w:hint="eastAsia"/>
          <w:spacing w:val="-5"/>
          <w:sz w:val="21"/>
        </w:rPr>
        <w:t>下</w:t>
      </w:r>
      <w:r>
        <w:rPr>
          <w:rFonts w:ascii="宋体" w:eastAsia="宋体" w:hint="eastAsia"/>
          <w:sz w:val="21"/>
        </w:rPr>
        <w:t>列二种</w:t>
      </w:r>
      <w:r>
        <w:rPr>
          <w:rFonts w:ascii="宋体" w:eastAsia="宋体" w:hint="eastAsia"/>
          <w:spacing w:val="-5"/>
          <w:sz w:val="21"/>
        </w:rPr>
        <w:t>方</w:t>
      </w:r>
      <w:r>
        <w:rPr>
          <w:rFonts w:ascii="宋体" w:eastAsia="宋体" w:hint="eastAsia"/>
          <w:sz w:val="21"/>
        </w:rPr>
        <w:t>式</w:t>
      </w:r>
      <w:r>
        <w:rPr>
          <w:rFonts w:ascii="宋体" w:eastAsia="宋体" w:hint="eastAsia"/>
          <w:spacing w:val="-5"/>
          <w:sz w:val="21"/>
        </w:rPr>
        <w:t>中</w:t>
      </w:r>
      <w:r>
        <w:rPr>
          <w:rFonts w:ascii="宋体" w:eastAsia="宋体" w:hint="eastAsia"/>
          <w:sz w:val="21"/>
        </w:rPr>
        <w:t>选择一种：</w:t>
      </w:r>
    </w:p>
    <w:p>
      <w:pPr>
        <w:pStyle w:val="BodyText"/>
        <w:spacing w:line="273" w:lineRule="auto" w:before="12"/>
        <w:ind w:left="2284" w:right="208" w:firstLine="422"/>
        <w:jc w:val="both"/>
      </w:pPr>
      <w:r>
        <w:rPr/>
        <w:t>1.因履行本合同发生的争议，由当事人协商解决，协商不成的，提交双方共同选择的仲裁委员会仲裁；</w:t>
      </w:r>
    </w:p>
    <w:p>
      <w:pPr>
        <w:pStyle w:val="BodyText"/>
        <w:spacing w:line="273" w:lineRule="auto" w:before="7"/>
        <w:ind w:left="2284" w:right="208" w:firstLine="422"/>
        <w:jc w:val="both"/>
      </w:pPr>
      <w:r>
        <w:rPr/>
        <w:t>2.因履行本合同发生的争议，由当事人协商解决，协商不成的，依法向人民法院起诉。</w:t>
      </w:r>
    </w:p>
    <w:p>
      <w:pPr>
        <w:pStyle w:val="BodyText"/>
        <w:spacing w:before="2"/>
        <w:rPr>
          <w:sz w:val="15"/>
        </w:rPr>
      </w:pPr>
    </w:p>
    <w:p>
      <w:pPr>
        <w:pStyle w:val="Heading1"/>
        <w:numPr>
          <w:ilvl w:val="0"/>
          <w:numId w:val="6"/>
        </w:numPr>
        <w:tabs>
          <w:tab w:pos="1112" w:val="left" w:leader="none"/>
          <w:tab w:pos="1113" w:val="left" w:leader="none"/>
        </w:tabs>
        <w:spacing w:line="240" w:lineRule="auto" w:before="0" w:after="0"/>
        <w:ind w:left="1112" w:right="0" w:hanging="892"/>
        <w:jc w:val="left"/>
      </w:pPr>
      <w:r>
        <w:rPr/>
        <w:pict>
          <v:group style="position:absolute;margin-left:54.48pt;margin-top:27.433645pt;width:486.25pt;height:1pt;mso-position-horizontal-relative:page;mso-position-vertical-relative:paragraph;z-index:1216;mso-wrap-distance-left:0;mso-wrap-distance-right:0" coordorigin="1090,549" coordsize="9725,20">
            <v:line style="position:absolute" from="1090,558" to="1982,558" stroked="true" strokeweight=".96pt" strokecolor="#000000">
              <v:stroke dashstyle="solid"/>
            </v:line>
            <v:rect style="position:absolute;left:1982;top:548;width:20;height:20" filled="true" fillcolor="#000000" stroked="false">
              <v:fill type="solid"/>
            </v:rect>
            <v:line style="position:absolute" from="2002,558" to="3154,558" stroked="true" strokeweight=".96pt" strokecolor="#000000">
              <v:stroke dashstyle="solid"/>
            </v:line>
            <v:rect style="position:absolute;left:3153;top:548;width:20;height:20" filled="true" fillcolor="#000000" stroked="false">
              <v:fill type="solid"/>
            </v:rect>
            <v:line style="position:absolute" from="3173,558" to="10814,558" stroked="true" strokeweight=".96pt" strokecolor="#000000">
              <v:stroke dashstyle="solid"/>
            </v:line>
            <w10:wrap type="topAndBottom"/>
          </v:group>
        </w:pict>
      </w:r>
      <w:r>
        <w:rPr/>
        <w:t>释义</w:t>
      </w:r>
    </w:p>
    <w:p>
      <w:pPr>
        <w:pStyle w:val="BodyText"/>
        <w:spacing w:before="10"/>
        <w:rPr>
          <w:rFonts w:ascii="Microsoft JhengHei"/>
          <w:b/>
          <w:sz w:val="5"/>
        </w:rPr>
      </w:pPr>
    </w:p>
    <w:p>
      <w:pPr>
        <w:pStyle w:val="ListParagraph"/>
        <w:numPr>
          <w:ilvl w:val="1"/>
          <w:numId w:val="6"/>
        </w:numPr>
        <w:tabs>
          <w:tab w:pos="1098" w:val="left" w:leader="none"/>
          <w:tab w:pos="1099" w:val="left" w:leader="none"/>
          <w:tab w:pos="2706" w:val="left" w:leader="none"/>
        </w:tabs>
        <w:spacing w:line="335" w:lineRule="exact" w:before="0" w:after="0"/>
        <w:ind w:left="1098" w:right="0" w:hanging="878"/>
        <w:jc w:val="left"/>
        <w:rPr>
          <w:rFonts w:ascii="宋体" w:eastAsia="宋体" w:hint="eastAsia"/>
          <w:sz w:val="21"/>
        </w:rPr>
      </w:pPr>
      <w:r>
        <w:rPr>
          <w:b/>
          <w:sz w:val="21"/>
        </w:rPr>
        <w:t>周岁</w:t>
        <w:tab/>
      </w:r>
      <w:r>
        <w:rPr>
          <w:rFonts w:ascii="宋体" w:eastAsia="宋体" w:hint="eastAsia"/>
          <w:sz w:val="21"/>
        </w:rPr>
        <w:t>以法定有</w:t>
      </w:r>
      <w:r>
        <w:rPr>
          <w:rFonts w:ascii="宋体" w:eastAsia="宋体" w:hint="eastAsia"/>
          <w:spacing w:val="-5"/>
          <w:sz w:val="21"/>
        </w:rPr>
        <w:t>效</w:t>
      </w:r>
      <w:r>
        <w:rPr>
          <w:rFonts w:ascii="宋体" w:eastAsia="宋体" w:hint="eastAsia"/>
          <w:sz w:val="21"/>
        </w:rPr>
        <w:t>身份证</w:t>
      </w:r>
      <w:r>
        <w:rPr>
          <w:rFonts w:ascii="宋体" w:eastAsia="宋体" w:hint="eastAsia"/>
          <w:spacing w:val="-5"/>
          <w:sz w:val="21"/>
        </w:rPr>
        <w:t>件</w:t>
      </w:r>
      <w:r>
        <w:rPr>
          <w:rFonts w:ascii="宋体" w:eastAsia="宋体" w:hint="eastAsia"/>
          <w:sz w:val="21"/>
        </w:rPr>
        <w:t>中记载</w:t>
      </w:r>
      <w:r>
        <w:rPr>
          <w:rFonts w:ascii="宋体" w:eastAsia="宋体" w:hint="eastAsia"/>
          <w:spacing w:val="-5"/>
          <w:sz w:val="21"/>
        </w:rPr>
        <w:t>的</w:t>
      </w:r>
      <w:r>
        <w:rPr>
          <w:rFonts w:ascii="宋体" w:eastAsia="宋体" w:hint="eastAsia"/>
          <w:sz w:val="21"/>
        </w:rPr>
        <w:t>出生日</w:t>
      </w:r>
      <w:r>
        <w:rPr>
          <w:rFonts w:ascii="宋体" w:eastAsia="宋体" w:hint="eastAsia"/>
          <w:spacing w:val="-5"/>
          <w:sz w:val="21"/>
        </w:rPr>
        <w:t>期</w:t>
      </w:r>
      <w:r>
        <w:rPr>
          <w:rFonts w:ascii="宋体" w:eastAsia="宋体" w:hint="eastAsia"/>
          <w:sz w:val="21"/>
        </w:rPr>
        <w:t>为计算</w:t>
      </w:r>
      <w:r>
        <w:rPr>
          <w:rFonts w:ascii="宋体" w:eastAsia="宋体" w:hint="eastAsia"/>
          <w:spacing w:val="-5"/>
          <w:sz w:val="21"/>
        </w:rPr>
        <w:t>基</w:t>
      </w:r>
      <w:r>
        <w:rPr>
          <w:rFonts w:ascii="宋体" w:eastAsia="宋体" w:hint="eastAsia"/>
          <w:sz w:val="21"/>
        </w:rPr>
        <w:t>础。</w:t>
      </w:r>
    </w:p>
    <w:p>
      <w:pPr>
        <w:pStyle w:val="BodyText"/>
        <w:spacing w:before="8"/>
        <w:rPr>
          <w:sz w:val="13"/>
        </w:rPr>
      </w:pPr>
    </w:p>
    <w:p>
      <w:pPr>
        <w:spacing w:after="0"/>
        <w:rPr>
          <w:sz w:val="13"/>
        </w:rPr>
        <w:sectPr>
          <w:type w:val="continuous"/>
          <w:pgSz w:w="11910" w:h="16840"/>
          <w:pgMar w:top="1040" w:bottom="1180" w:left="980" w:right="980"/>
        </w:sectPr>
      </w:pPr>
    </w:p>
    <w:p>
      <w:pPr>
        <w:pStyle w:val="Heading2"/>
        <w:numPr>
          <w:ilvl w:val="1"/>
          <w:numId w:val="6"/>
        </w:numPr>
        <w:tabs>
          <w:tab w:pos="1098" w:val="left" w:leader="none"/>
          <w:tab w:pos="1099" w:val="left" w:leader="none"/>
        </w:tabs>
        <w:spacing w:line="204" w:lineRule="auto" w:before="24" w:after="0"/>
        <w:ind w:left="1098" w:right="0" w:hanging="878"/>
        <w:jc w:val="both"/>
      </w:pPr>
      <w:r>
        <w:rPr>
          <w:spacing w:val="30"/>
        </w:rPr>
        <w:t>本保险实际交纳的保险费</w:t>
      </w:r>
    </w:p>
    <w:p>
      <w:pPr>
        <w:pStyle w:val="BodyText"/>
        <w:spacing w:line="273" w:lineRule="auto"/>
        <w:ind w:left="171" w:right="208" w:firstLine="422"/>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80" w:right="980"/>
          <w:cols w:num="2" w:equalWidth="0">
            <w:col w:w="2073" w:space="40"/>
            <w:col w:w="7837"/>
          </w:cols>
        </w:sectPr>
      </w:pPr>
    </w:p>
    <w:p>
      <w:pPr>
        <w:pStyle w:val="BodyText"/>
        <w:spacing w:before="3"/>
        <w:rPr>
          <w:sz w:val="13"/>
        </w:rPr>
      </w:pPr>
    </w:p>
    <w:p>
      <w:pPr>
        <w:pStyle w:val="ListParagraph"/>
        <w:numPr>
          <w:ilvl w:val="1"/>
          <w:numId w:val="6"/>
        </w:numPr>
        <w:tabs>
          <w:tab w:pos="1098" w:val="left" w:leader="none"/>
          <w:tab w:pos="1099" w:val="left" w:leader="none"/>
          <w:tab w:pos="2706" w:val="left" w:leader="none"/>
        </w:tabs>
        <w:spacing w:line="312" w:lineRule="exact" w:before="32" w:after="0"/>
        <w:ind w:left="2284" w:right="208" w:hanging="2064"/>
        <w:jc w:val="both"/>
        <w:rPr>
          <w:rFonts w:ascii="宋体" w:eastAsia="宋体" w:hint="eastAsia"/>
          <w:sz w:val="21"/>
        </w:rPr>
      </w:pPr>
      <w:r>
        <w:rPr>
          <w:b/>
          <w:sz w:val="21"/>
        </w:rPr>
        <w:t>现金价值</w:t>
        <w:tab/>
        <w:tab/>
      </w:r>
      <w:r>
        <w:rPr>
          <w:rFonts w:ascii="宋体" w:eastAsia="宋体" w:hint="eastAsia"/>
          <w:spacing w:val="2"/>
          <w:sz w:val="21"/>
        </w:rPr>
        <w:t>指</w:t>
      </w:r>
      <w:r>
        <w:rPr>
          <w:rFonts w:ascii="宋体" w:eastAsia="宋体" w:hint="eastAsia"/>
          <w:sz w:val="21"/>
        </w:rPr>
        <w:t>保险</w:t>
      </w:r>
      <w:r>
        <w:rPr>
          <w:rFonts w:ascii="宋体" w:eastAsia="宋体" w:hint="eastAsia"/>
          <w:spacing w:val="2"/>
          <w:sz w:val="21"/>
        </w:rPr>
        <w:t>单</w:t>
      </w:r>
      <w:r>
        <w:rPr>
          <w:rFonts w:ascii="宋体" w:eastAsia="宋体" w:hint="eastAsia"/>
          <w:sz w:val="21"/>
        </w:rPr>
        <w:t>所</w:t>
      </w:r>
      <w:r>
        <w:rPr>
          <w:rFonts w:ascii="宋体" w:eastAsia="宋体" w:hint="eastAsia"/>
          <w:spacing w:val="2"/>
          <w:sz w:val="21"/>
        </w:rPr>
        <w:t>具</w:t>
      </w:r>
      <w:r>
        <w:rPr>
          <w:rFonts w:ascii="宋体" w:eastAsia="宋体" w:hint="eastAsia"/>
          <w:sz w:val="21"/>
        </w:rPr>
        <w:t>有的</w:t>
      </w:r>
      <w:r>
        <w:rPr>
          <w:rFonts w:ascii="宋体" w:eastAsia="宋体" w:hint="eastAsia"/>
          <w:spacing w:val="2"/>
          <w:sz w:val="21"/>
        </w:rPr>
        <w:t>价</w:t>
      </w:r>
      <w:r>
        <w:rPr>
          <w:rFonts w:ascii="宋体" w:eastAsia="宋体" w:hint="eastAsia"/>
          <w:sz w:val="21"/>
        </w:rPr>
        <w:t>值。</w:t>
      </w:r>
      <w:r>
        <w:rPr>
          <w:rFonts w:ascii="宋体" w:eastAsia="宋体" w:hint="eastAsia"/>
          <w:spacing w:val="2"/>
          <w:sz w:val="21"/>
        </w:rPr>
        <w:t>通</w:t>
      </w:r>
      <w:r>
        <w:rPr>
          <w:rFonts w:ascii="宋体" w:eastAsia="宋体" w:hint="eastAsia"/>
          <w:sz w:val="21"/>
        </w:rPr>
        <w:t>常体</w:t>
      </w:r>
      <w:r>
        <w:rPr>
          <w:rFonts w:ascii="宋体" w:eastAsia="宋体" w:hint="eastAsia"/>
          <w:spacing w:val="2"/>
          <w:sz w:val="21"/>
        </w:rPr>
        <w:t>现</w:t>
      </w:r>
      <w:r>
        <w:rPr>
          <w:rFonts w:ascii="宋体" w:eastAsia="宋体" w:hint="eastAsia"/>
          <w:sz w:val="21"/>
        </w:rPr>
        <w:t>为</w:t>
      </w:r>
      <w:r>
        <w:rPr>
          <w:rFonts w:ascii="宋体" w:eastAsia="宋体" w:hint="eastAsia"/>
          <w:spacing w:val="2"/>
          <w:sz w:val="21"/>
        </w:rPr>
        <w:t>解</w:t>
      </w:r>
      <w:r>
        <w:rPr>
          <w:rFonts w:ascii="宋体" w:eastAsia="宋体" w:hint="eastAsia"/>
          <w:sz w:val="21"/>
        </w:rPr>
        <w:t>除合</w:t>
      </w:r>
      <w:r>
        <w:rPr>
          <w:rFonts w:ascii="宋体" w:eastAsia="宋体" w:hint="eastAsia"/>
          <w:spacing w:val="2"/>
          <w:sz w:val="21"/>
        </w:rPr>
        <w:t>同</w:t>
      </w:r>
      <w:r>
        <w:rPr>
          <w:rFonts w:ascii="宋体" w:eastAsia="宋体" w:hint="eastAsia"/>
          <w:sz w:val="21"/>
        </w:rPr>
        <w:t>时，根</w:t>
      </w:r>
      <w:r>
        <w:rPr>
          <w:rFonts w:ascii="宋体" w:eastAsia="宋体" w:hint="eastAsia"/>
          <w:spacing w:val="2"/>
          <w:sz w:val="21"/>
        </w:rPr>
        <w:t>据</w:t>
      </w:r>
      <w:r>
        <w:rPr>
          <w:rFonts w:ascii="宋体" w:eastAsia="宋体" w:hint="eastAsia"/>
          <w:sz w:val="21"/>
        </w:rPr>
        <w:t>精算</w:t>
      </w:r>
      <w:r>
        <w:rPr>
          <w:rFonts w:ascii="宋体" w:eastAsia="宋体" w:hint="eastAsia"/>
          <w:spacing w:val="2"/>
          <w:sz w:val="21"/>
        </w:rPr>
        <w:t>原</w:t>
      </w:r>
      <w:r>
        <w:rPr>
          <w:rFonts w:ascii="宋体" w:eastAsia="宋体" w:hint="eastAsia"/>
          <w:sz w:val="21"/>
        </w:rPr>
        <w:t>理</w:t>
      </w:r>
      <w:r>
        <w:rPr>
          <w:rFonts w:ascii="宋体" w:eastAsia="宋体" w:hint="eastAsia"/>
          <w:spacing w:val="2"/>
          <w:sz w:val="21"/>
        </w:rPr>
        <w:t>计</w:t>
      </w:r>
      <w:r>
        <w:rPr>
          <w:rFonts w:ascii="宋体" w:eastAsia="宋体" w:hint="eastAsia"/>
          <w:sz w:val="21"/>
        </w:rPr>
        <w:t>算的</w:t>
      </w:r>
      <w:r>
        <w:rPr>
          <w:rFonts w:ascii="宋体" w:eastAsia="宋体" w:hint="eastAsia"/>
          <w:spacing w:val="2"/>
          <w:sz w:val="21"/>
        </w:rPr>
        <w:t>，</w:t>
      </w:r>
      <w:r>
        <w:rPr>
          <w:rFonts w:ascii="宋体" w:eastAsia="宋体" w:hint="eastAsia"/>
          <w:sz w:val="21"/>
        </w:rPr>
        <w:t>由 </w:t>
      </w:r>
      <w:r>
        <w:rPr>
          <w:rFonts w:ascii="宋体" w:eastAsia="宋体" w:hint="eastAsia"/>
          <w:spacing w:val="2"/>
          <w:sz w:val="21"/>
        </w:rPr>
        <w:t>本</w:t>
      </w:r>
      <w:r>
        <w:rPr>
          <w:rFonts w:ascii="宋体" w:eastAsia="宋体" w:hint="eastAsia"/>
          <w:sz w:val="21"/>
        </w:rPr>
        <w:t>公司</w:t>
      </w:r>
      <w:r>
        <w:rPr>
          <w:rFonts w:ascii="宋体" w:eastAsia="宋体" w:hint="eastAsia"/>
          <w:spacing w:val="2"/>
          <w:sz w:val="21"/>
        </w:rPr>
        <w:t>退</w:t>
      </w:r>
      <w:r>
        <w:rPr>
          <w:rFonts w:ascii="宋体" w:eastAsia="宋体" w:hint="eastAsia"/>
          <w:sz w:val="21"/>
        </w:rPr>
        <w:t>还的</w:t>
      </w:r>
      <w:r>
        <w:rPr>
          <w:rFonts w:ascii="宋体" w:eastAsia="宋体" w:hint="eastAsia"/>
          <w:spacing w:val="2"/>
          <w:sz w:val="21"/>
        </w:rPr>
        <w:t>那</w:t>
      </w:r>
      <w:r>
        <w:rPr>
          <w:rFonts w:ascii="宋体" w:eastAsia="宋体" w:hint="eastAsia"/>
          <w:sz w:val="21"/>
        </w:rPr>
        <w:t>部分</w:t>
      </w:r>
      <w:r>
        <w:rPr>
          <w:rFonts w:ascii="宋体" w:eastAsia="宋体" w:hint="eastAsia"/>
          <w:spacing w:val="2"/>
          <w:sz w:val="21"/>
        </w:rPr>
        <w:t>金</w:t>
      </w:r>
      <w:r>
        <w:rPr>
          <w:rFonts w:ascii="宋体" w:eastAsia="宋体" w:hint="eastAsia"/>
          <w:sz w:val="21"/>
        </w:rPr>
        <w:t>额。</w:t>
      </w:r>
      <w:r>
        <w:rPr>
          <w:rFonts w:ascii="宋体" w:eastAsia="宋体" w:hint="eastAsia"/>
          <w:spacing w:val="2"/>
          <w:sz w:val="21"/>
        </w:rPr>
        <w:t>保</w:t>
      </w:r>
      <w:r>
        <w:rPr>
          <w:rFonts w:ascii="宋体" w:eastAsia="宋体" w:hint="eastAsia"/>
          <w:sz w:val="21"/>
        </w:rPr>
        <w:t>单年</w:t>
      </w:r>
      <w:r>
        <w:rPr>
          <w:rFonts w:ascii="宋体" w:eastAsia="宋体" w:hint="eastAsia"/>
          <w:spacing w:val="2"/>
          <w:sz w:val="21"/>
        </w:rPr>
        <w:t>度</w:t>
      </w:r>
      <w:r>
        <w:rPr>
          <w:rFonts w:ascii="宋体" w:eastAsia="宋体" w:hint="eastAsia"/>
          <w:sz w:val="21"/>
        </w:rPr>
        <w:t>末的</w:t>
      </w:r>
      <w:r>
        <w:rPr>
          <w:rFonts w:ascii="宋体" w:eastAsia="宋体" w:hint="eastAsia"/>
          <w:spacing w:val="2"/>
          <w:sz w:val="21"/>
        </w:rPr>
        <w:t>现</w:t>
      </w:r>
      <w:r>
        <w:rPr>
          <w:rFonts w:ascii="宋体" w:eastAsia="宋体" w:hint="eastAsia"/>
          <w:sz w:val="21"/>
        </w:rPr>
        <w:t>金价值金</w:t>
      </w:r>
      <w:r>
        <w:rPr>
          <w:rFonts w:ascii="宋体" w:eastAsia="宋体" w:hint="eastAsia"/>
          <w:spacing w:val="2"/>
          <w:sz w:val="21"/>
        </w:rPr>
        <w:t>额</w:t>
      </w:r>
      <w:r>
        <w:rPr>
          <w:rFonts w:ascii="宋体" w:eastAsia="宋体" w:hint="eastAsia"/>
          <w:sz w:val="21"/>
        </w:rPr>
        <w:t>在现</w:t>
      </w:r>
      <w:r>
        <w:rPr>
          <w:rFonts w:ascii="宋体" w:eastAsia="宋体" w:hint="eastAsia"/>
          <w:spacing w:val="2"/>
          <w:sz w:val="21"/>
        </w:rPr>
        <w:t>金</w:t>
      </w:r>
      <w:r>
        <w:rPr>
          <w:rFonts w:ascii="宋体" w:eastAsia="宋体" w:hint="eastAsia"/>
          <w:sz w:val="21"/>
        </w:rPr>
        <w:t>价值</w:t>
      </w:r>
      <w:r>
        <w:rPr>
          <w:rFonts w:ascii="宋体" w:eastAsia="宋体" w:hint="eastAsia"/>
          <w:spacing w:val="2"/>
          <w:sz w:val="21"/>
        </w:rPr>
        <w:t>表</w:t>
      </w:r>
      <w:r>
        <w:rPr>
          <w:rFonts w:ascii="宋体" w:eastAsia="宋体" w:hint="eastAsia"/>
          <w:sz w:val="21"/>
        </w:rPr>
        <w:t>上载</w:t>
      </w:r>
      <w:r>
        <w:rPr>
          <w:rFonts w:ascii="宋体" w:eastAsia="宋体" w:hint="eastAsia"/>
          <w:spacing w:val="2"/>
          <w:sz w:val="21"/>
        </w:rPr>
        <w:t>明</w:t>
      </w:r>
      <w:r>
        <w:rPr>
          <w:rFonts w:ascii="宋体" w:eastAsia="宋体" w:hint="eastAsia"/>
          <w:sz w:val="21"/>
        </w:rPr>
        <w:t>，保单年度之</w:t>
      </w:r>
      <w:r>
        <w:rPr>
          <w:rFonts w:ascii="宋体" w:eastAsia="宋体" w:hint="eastAsia"/>
          <w:spacing w:val="-5"/>
          <w:sz w:val="21"/>
        </w:rPr>
        <w:t>内</w:t>
      </w:r>
      <w:r>
        <w:rPr>
          <w:rFonts w:ascii="宋体" w:eastAsia="宋体" w:hint="eastAsia"/>
          <w:sz w:val="21"/>
        </w:rPr>
        <w:t>的现金</w:t>
      </w:r>
      <w:r>
        <w:rPr>
          <w:rFonts w:ascii="宋体" w:eastAsia="宋体" w:hint="eastAsia"/>
          <w:spacing w:val="-5"/>
          <w:sz w:val="21"/>
        </w:rPr>
        <w:t>价</w:t>
      </w:r>
      <w:r>
        <w:rPr>
          <w:rFonts w:ascii="宋体" w:eastAsia="宋体" w:hint="eastAsia"/>
          <w:sz w:val="21"/>
        </w:rPr>
        <w:t>值金额</w:t>
      </w:r>
      <w:r>
        <w:rPr>
          <w:rFonts w:ascii="宋体" w:eastAsia="宋体" w:hint="eastAsia"/>
          <w:spacing w:val="-5"/>
          <w:sz w:val="21"/>
        </w:rPr>
        <w:t>您</w:t>
      </w:r>
      <w:r>
        <w:rPr>
          <w:rFonts w:ascii="宋体" w:eastAsia="宋体" w:hint="eastAsia"/>
          <w:sz w:val="21"/>
        </w:rPr>
        <w:t>可以向</w:t>
      </w:r>
      <w:r>
        <w:rPr>
          <w:rFonts w:ascii="宋体" w:eastAsia="宋体" w:hint="eastAsia"/>
          <w:spacing w:val="-5"/>
          <w:sz w:val="21"/>
        </w:rPr>
        <w:t>我</w:t>
      </w:r>
      <w:r>
        <w:rPr>
          <w:rFonts w:ascii="宋体" w:eastAsia="宋体" w:hint="eastAsia"/>
          <w:sz w:val="21"/>
        </w:rPr>
        <w:t>们查询。</w:t>
      </w:r>
    </w:p>
    <w:p>
      <w:pPr>
        <w:pStyle w:val="BodyText"/>
        <w:spacing w:line="273" w:lineRule="auto" w:before="4"/>
        <w:ind w:left="2284" w:right="208" w:firstLine="422"/>
      </w:pPr>
      <w:r>
        <w:rPr/>
        <w:t>保单年度：从保单生效日或保单生效对应日零时起至下一年度保单生效对应日零时止为一个保单年度。</w:t>
      </w:r>
    </w:p>
    <w:p>
      <w:pPr>
        <w:pStyle w:val="BodyText"/>
        <w:spacing w:before="11"/>
        <w:rPr>
          <w:sz w:val="16"/>
        </w:rPr>
      </w:pPr>
    </w:p>
    <w:p>
      <w:pPr>
        <w:spacing w:after="0"/>
        <w:rPr>
          <w:sz w:val="16"/>
        </w:rPr>
        <w:sectPr>
          <w:type w:val="continuous"/>
          <w:pgSz w:w="11910" w:h="16840"/>
          <w:pgMar w:top="1040" w:bottom="1180" w:left="980" w:right="980"/>
        </w:sectPr>
      </w:pPr>
    </w:p>
    <w:p>
      <w:pPr>
        <w:pStyle w:val="Heading2"/>
        <w:numPr>
          <w:ilvl w:val="1"/>
          <w:numId w:val="6"/>
        </w:numPr>
        <w:tabs>
          <w:tab w:pos="1098" w:val="left" w:leader="none"/>
          <w:tab w:pos="1099" w:val="left" w:leader="none"/>
        </w:tabs>
        <w:spacing w:line="204" w:lineRule="auto" w:before="25" w:after="0"/>
        <w:ind w:left="1098" w:right="0" w:hanging="878"/>
        <w:jc w:val="both"/>
      </w:pPr>
      <w:r>
        <w:rPr>
          <w:spacing w:val="30"/>
        </w:rPr>
        <w:t>本合同所指的轻症疾病</w:t>
      </w:r>
    </w:p>
    <w:p>
      <w:pPr>
        <w:pStyle w:val="BodyText"/>
        <w:ind w:left="220"/>
      </w:pPr>
      <w:r>
        <w:rPr/>
        <w:br w:type="column"/>
      </w:r>
      <w:r>
        <w:rPr/>
        <w:t>本合同所指的轻症疾病，是指下列疾病、疾病状态或手术：</w:t>
      </w:r>
    </w:p>
    <w:p>
      <w:pPr>
        <w:spacing w:after="0"/>
        <w:sectPr>
          <w:type w:val="continuous"/>
          <w:pgSz w:w="11910" w:h="16840"/>
          <w:pgMar w:top="1040" w:bottom="1180" w:left="980" w:right="980"/>
          <w:cols w:num="2" w:equalWidth="0">
            <w:col w:w="2073" w:space="413"/>
            <w:col w:w="7464"/>
          </w:cols>
        </w:sectPr>
      </w:pPr>
    </w:p>
    <w:p>
      <w:pPr>
        <w:pStyle w:val="BodyText"/>
        <w:spacing w:before="8"/>
        <w:rPr>
          <w:sz w:val="13"/>
        </w:rPr>
      </w:pPr>
    </w:p>
    <w:p>
      <w:pPr>
        <w:spacing w:after="0"/>
        <w:rPr>
          <w:sz w:val="13"/>
        </w:rPr>
        <w:sectPr>
          <w:type w:val="continuous"/>
          <w:pgSz w:w="11910" w:h="16840"/>
          <w:pgMar w:top="1040" w:bottom="1180" w:left="980" w:right="980"/>
        </w:sectPr>
      </w:pPr>
    </w:p>
    <w:p>
      <w:pPr>
        <w:pStyle w:val="Heading2"/>
        <w:numPr>
          <w:ilvl w:val="2"/>
          <w:numId w:val="6"/>
        </w:numPr>
        <w:tabs>
          <w:tab w:pos="1857" w:val="left" w:leader="none"/>
        </w:tabs>
        <w:spacing w:line="204" w:lineRule="auto" w:before="25" w:after="0"/>
        <w:ind w:left="1098" w:right="0" w:firstLine="0"/>
        <w:jc w:val="both"/>
      </w:pPr>
      <w:r>
        <w:rPr/>
        <w:t>极</w:t>
      </w:r>
      <w:r>
        <w:rPr>
          <w:spacing w:val="30"/>
        </w:rPr>
        <w:t>早期恶性肿瘤或恶性病变</w:t>
      </w:r>
    </w:p>
    <w:p>
      <w:pPr>
        <w:pStyle w:val="BodyText"/>
        <w:spacing w:line="273" w:lineRule="auto" w:before="37"/>
        <w:ind w:left="171" w:right="208" w:firstLine="422"/>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2"/>
          <w:w w:val="100"/>
        </w:rPr>
        <w:t>原位癌</w:t>
      </w:r>
      <w:r>
        <w:rPr>
          <w:w w:val="100"/>
        </w:rPr>
        <w:t>（注</w:t>
      </w:r>
      <w:r>
        <w:rPr>
          <w:spacing w:val="-106"/>
          <w:w w:val="100"/>
        </w:rPr>
        <w:t>）</w:t>
      </w:r>
      <w:r>
        <w:rPr>
          <w:w w:val="100"/>
        </w:rPr>
        <w:t>；</w:t>
      </w:r>
    </w:p>
    <w:p>
      <w:pPr>
        <w:pStyle w:val="BodyText"/>
        <w:spacing w:before="37"/>
        <w:ind w:left="593"/>
      </w:pPr>
      <w:r>
        <w:rPr/>
        <w:t>（2）相当于Binet 分期方案A 期程度的慢性淋巴细胞白血病；</w:t>
      </w:r>
    </w:p>
    <w:p>
      <w:pPr>
        <w:pStyle w:val="BodyText"/>
        <w:spacing w:before="37"/>
        <w:ind w:left="593"/>
      </w:pPr>
      <w:r>
        <w:rPr/>
        <w:t>（3）相当于Ann Arbor 分期方案 I 期程度的何杰金氏病；</w:t>
      </w:r>
    </w:p>
    <w:p>
      <w:pPr>
        <w:pStyle w:val="BodyText"/>
        <w:spacing w:before="37"/>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spacing w:after="0"/>
        <w:sectPr>
          <w:type w:val="continuous"/>
          <w:pgSz w:w="11910" w:h="16840"/>
          <w:pgMar w:top="1040" w:bottom="1180" w:left="980" w:right="980"/>
          <w:cols w:num="2" w:equalWidth="0">
            <w:col w:w="2073" w:space="40"/>
            <w:col w:w="7837"/>
          </w:cols>
        </w:sectPr>
      </w:pPr>
    </w:p>
    <w:p>
      <w:pPr>
        <w:pStyle w:val="BodyText"/>
        <w:spacing w:before="7"/>
        <w:rPr>
          <w:sz w:val="17"/>
        </w:rPr>
      </w:pPr>
    </w:p>
    <w:p>
      <w:pPr>
        <w:pStyle w:val="BodyText"/>
        <w:spacing w:line="273" w:lineRule="auto"/>
        <w:ind w:left="1964" w:right="208" w:firstLine="422"/>
      </w:pPr>
      <w:r>
        <w:rPr>
          <w:spacing w:val="-6"/>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7"/>
          <w:position w:val="1"/>
        </w:rPr>
        <w:t>期或更轻分期的前列腺癌</w:t>
      </w:r>
      <w:r>
        <w:rPr>
          <w:position w:val="1"/>
        </w:rPr>
        <w:t>（</w:t>
      </w:r>
      <w:r>
        <w:rPr>
          <w:spacing w:val="-7"/>
          <w:position w:val="1"/>
        </w:rPr>
        <w:t>如为女性被保险人，则不包</w:t>
      </w:r>
      <w:r>
        <w:rPr>
          <w:spacing w:val="-7"/>
        </w:rPr>
        <w:t>括此项</w:t>
      </w:r>
      <w:r>
        <w:rPr>
          <w:spacing w:val="-106"/>
        </w:rPr>
        <w:t>）</w:t>
      </w:r>
      <w:r>
        <w:rPr/>
        <w:t>。</w:t>
      </w:r>
    </w:p>
    <w:p>
      <w:pPr>
        <w:pStyle w:val="BodyText"/>
        <w:spacing w:line="273" w:lineRule="auto" w:before="7"/>
        <w:ind w:left="1964" w:right="102" w:firstLine="422"/>
      </w:pPr>
      <w:r>
        <w:rPr/>
        <w:t>注：原位癌指恶性细胞局限于上皮内尚未穿破基底膜浸润周围正常组织的癌</w:t>
      </w:r>
      <w:r>
        <w:rPr>
          <w:spacing w:val="-5"/>
        </w:rPr>
        <w:t>细胞新生物。被保险人必须经对固定活组织的组织病理学检查明确诊断为原位癌， 且已经接受了针对原位癌病灶的积极治疗。</w:t>
      </w:r>
    </w:p>
    <w:p>
      <w:pPr>
        <w:pStyle w:val="BodyText"/>
        <w:spacing w:before="2"/>
        <w:rPr>
          <w:sz w:val="13"/>
        </w:rPr>
      </w:pPr>
    </w:p>
    <w:p>
      <w:pPr>
        <w:spacing w:after="0"/>
        <w:rPr>
          <w:sz w:val="13"/>
        </w:rPr>
        <w:sectPr>
          <w:pgSz w:w="11910" w:h="16840"/>
          <w:pgMar w:header="870" w:footer="998" w:top="1120" w:bottom="1180" w:left="1300" w:right="980"/>
        </w:sectPr>
      </w:pPr>
    </w:p>
    <w:p>
      <w:pPr>
        <w:pStyle w:val="Heading2"/>
        <w:numPr>
          <w:ilvl w:val="2"/>
          <w:numId w:val="6"/>
        </w:numPr>
        <w:tabs>
          <w:tab w:pos="1537" w:val="left" w:leader="none"/>
        </w:tabs>
        <w:spacing w:line="204" w:lineRule="auto" w:before="25" w:after="0"/>
        <w:ind w:left="778" w:right="0" w:firstLine="0"/>
        <w:jc w:val="both"/>
      </w:pPr>
      <w:r>
        <w:rPr/>
        <w:t>侵</w:t>
      </w:r>
      <w:r>
        <w:rPr>
          <w:spacing w:val="30"/>
        </w:rPr>
        <w:t>蚀性葡萄胎</w:t>
      </w:r>
    </w:p>
    <w:p>
      <w:pPr>
        <w:pStyle w:val="BodyText"/>
        <w:spacing w:line="273" w:lineRule="auto"/>
        <w:ind w:left="171" w:right="208" w:firstLine="422"/>
      </w:pPr>
      <w:r>
        <w:rPr/>
        <w:br w:type="column"/>
      </w:r>
      <w:r>
        <w:rPr/>
        <w:t>指异常增生的绒毛组织浸润性生长侵入子宫肌层或转移至其他器官或组织的葡萄胎，经组织病理学检查明确诊断并已经进行化疗或手术治疗的。</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rPr>
          <w:sz w:val="17"/>
        </w:rPr>
      </w:pPr>
    </w:p>
    <w:p>
      <w:pPr>
        <w:spacing w:after="0"/>
        <w:rPr>
          <w:sz w:val="17"/>
        </w:rPr>
        <w:sectPr>
          <w:type w:val="continuous"/>
          <w:pgSz w:w="11910" w:h="16840"/>
          <w:pgMar w:top="1040" w:bottom="1180" w:left="1300" w:right="980"/>
        </w:sectPr>
      </w:pPr>
    </w:p>
    <w:p>
      <w:pPr>
        <w:pStyle w:val="Heading2"/>
        <w:numPr>
          <w:ilvl w:val="2"/>
          <w:numId w:val="6"/>
        </w:numPr>
        <w:tabs>
          <w:tab w:pos="1537" w:val="left" w:leader="none"/>
        </w:tabs>
        <w:spacing w:line="204" w:lineRule="auto" w:before="25" w:after="0"/>
        <w:ind w:left="778" w:right="0" w:firstLine="0"/>
        <w:jc w:val="both"/>
      </w:pPr>
      <w:r>
        <w:rPr/>
        <w:t>不</w:t>
      </w:r>
      <w:r>
        <w:rPr>
          <w:spacing w:val="30"/>
        </w:rPr>
        <w:t>典型的急性心肌梗塞</w:t>
      </w:r>
    </w:p>
    <w:p>
      <w:pPr>
        <w:pStyle w:val="BodyText"/>
        <w:spacing w:line="273" w:lineRule="auto" w:before="37"/>
        <w:ind w:left="171" w:right="208" w:firstLine="422"/>
      </w:pPr>
      <w:r>
        <w:rPr/>
        <w:br w:type="column"/>
      </w:r>
      <w:r>
        <w:rPr/>
        <w:t>指被临床诊断为急性心肌梗塞并接受了急性心肌梗塞治疗，且满足下列全部条件，但未达到本合同所指重大疾病“急性心肌梗塞”的标准：</w:t>
      </w:r>
    </w:p>
    <w:p>
      <w:pPr>
        <w:pStyle w:val="BodyText"/>
        <w:spacing w:line="260" w:lineRule="exact" w:before="7"/>
        <w:ind w:left="593"/>
      </w:pPr>
      <w:r>
        <w:rPr/>
        <w:t>（1）心肌酶或肌钙蛋白有诊断意义的升高；</w:t>
      </w:r>
    </w:p>
    <w:p>
      <w:pPr>
        <w:pStyle w:val="BodyText"/>
        <w:spacing w:line="351" w:lineRule="exact" w:before="0"/>
        <w:ind w:left="593"/>
      </w:pPr>
      <w:r>
        <w:rPr/>
        <w:t>（2）心电图有损伤性的 </w:t>
      </w:r>
      <w:r>
        <w:rPr>
          <w:rFonts w:ascii="Microsoft JhengHei Light" w:eastAsia="Microsoft JhengHei Light" w:hint="eastAsia"/>
          <w:b w:val="0"/>
        </w:rPr>
        <w:t>ST </w:t>
      </w:r>
      <w:r>
        <w:rPr/>
        <w:t>段改变但未出现病理 </w:t>
      </w:r>
      <w:r>
        <w:rPr>
          <w:rFonts w:ascii="Microsoft JhengHei Light" w:eastAsia="Microsoft JhengHei Light" w:hint="eastAsia"/>
          <w:b w:val="0"/>
        </w:rPr>
        <w:t>Q </w:t>
      </w:r>
      <w:r>
        <w:rPr/>
        <w:t>波。</w:t>
      </w:r>
    </w:p>
    <w:p>
      <w:pPr>
        <w:spacing w:after="0" w:line="351" w:lineRule="exact"/>
        <w:sectPr>
          <w:type w:val="continuous"/>
          <w:pgSz w:w="11910" w:h="16840"/>
          <w:pgMar w:top="1040" w:bottom="1180" w:left="1300" w:right="980"/>
          <w:cols w:num="2" w:equalWidth="0">
            <w:col w:w="1753" w:space="40"/>
            <w:col w:w="7837"/>
          </w:cols>
        </w:sectPr>
      </w:pPr>
    </w:p>
    <w:p>
      <w:pPr>
        <w:pStyle w:val="BodyText"/>
        <w:spacing w:before="8"/>
        <w:rPr>
          <w:sz w:val="13"/>
        </w:rPr>
      </w:pPr>
    </w:p>
    <w:p>
      <w:pPr>
        <w:spacing w:after="0"/>
        <w:rPr>
          <w:sz w:val="13"/>
        </w:rPr>
        <w:sectPr>
          <w:type w:val="continuous"/>
          <w:pgSz w:w="11910" w:h="16840"/>
          <w:pgMar w:top="1040" w:bottom="1180" w:left="1300" w:right="980"/>
        </w:sectPr>
      </w:pPr>
    </w:p>
    <w:p>
      <w:pPr>
        <w:pStyle w:val="Heading2"/>
        <w:numPr>
          <w:ilvl w:val="2"/>
          <w:numId w:val="6"/>
        </w:numPr>
        <w:tabs>
          <w:tab w:pos="1537" w:val="left" w:leader="none"/>
        </w:tabs>
        <w:spacing w:line="204" w:lineRule="auto" w:before="24" w:after="0"/>
        <w:ind w:left="778" w:right="0" w:firstLine="0"/>
        <w:jc w:val="both"/>
      </w:pPr>
      <w:r>
        <w:rPr/>
        <w:t>冠</w:t>
      </w:r>
      <w:r>
        <w:rPr>
          <w:spacing w:val="30"/>
        </w:rPr>
        <w:t>状动脉介入手术</w:t>
      </w:r>
    </w:p>
    <w:p>
      <w:pPr>
        <w:pStyle w:val="BodyText"/>
        <w:spacing w:line="312" w:lineRule="exact" w:before="32"/>
        <w:ind w:left="171" w:right="102" w:firstLine="422"/>
      </w:pPr>
      <w:r>
        <w:rPr/>
        <w:br w:type="column"/>
      </w:r>
      <w:r>
        <w:rPr/>
        <w:t>指为了治疗明显的冠状动脉狭窄性疾病，</w:t>
      </w:r>
      <w:r>
        <w:rPr>
          <w:rFonts w:ascii="Microsoft JhengHei" w:eastAsia="Microsoft JhengHei" w:hint="eastAsia"/>
          <w:b/>
        </w:rPr>
        <w:t>首次</w:t>
      </w:r>
      <w:r>
        <w:rPr/>
        <w:t>实际实施了冠状动脉球囊扩张成形术、冠状动脉支架植入术、冠状动脉粥样斑块切除术或激光冠状动脉成形术。</w:t>
      </w:r>
    </w:p>
    <w:p>
      <w:pPr>
        <w:pStyle w:val="Heading2"/>
        <w:spacing w:line="204" w:lineRule="auto"/>
        <w:ind w:left="171" w:right="213" w:firstLine="422"/>
      </w:pPr>
      <w:r>
        <w:rPr/>
        <w:t>被保险人已达到本合同所指重大疾病“急性心肌梗塞”或“严重冠心病”标准的，本公司不承担本项手术保险责任。</w:t>
      </w:r>
    </w:p>
    <w:p>
      <w:pPr>
        <w:spacing w:line="285" w:lineRule="exact" w:before="7"/>
        <w:ind w:left="593"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本公司仅对本条“冠状动脉介入手术”、6.4.8  条“微创冠状动脉搭桥术”和</w:t>
      </w:r>
    </w:p>
    <w:p>
      <w:pPr>
        <w:spacing w:line="204" w:lineRule="auto" w:before="27"/>
        <w:ind w:left="171" w:right="208"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6.4.14 条“激光心肌血运重建术”三项中的其中一项承担保险责任，给付其中一项保险金后，对其他两项轻症疾病保险责任同时终止。</w:t>
      </w:r>
    </w:p>
    <w:p>
      <w:pPr>
        <w:spacing w:after="0" w:line="204" w:lineRule="auto"/>
        <w:jc w:val="left"/>
        <w:rPr>
          <w:rFonts w:ascii="Microsoft JhengHei" w:hAns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16"/>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心</w:t>
      </w:r>
      <w:r>
        <w:rPr>
          <w:b/>
          <w:spacing w:val="30"/>
          <w:sz w:val="21"/>
        </w:rPr>
        <w:t>脏瓣膜介入手术</w:t>
      </w:r>
    </w:p>
    <w:p>
      <w:pPr>
        <w:pStyle w:val="BodyText"/>
        <w:spacing w:line="273" w:lineRule="auto" w:before="37"/>
        <w:ind w:left="171" w:right="208" w:firstLine="422"/>
      </w:pPr>
      <w:r>
        <w:rPr/>
        <w:br w:type="column"/>
      </w:r>
      <w:r>
        <w:rPr/>
        <w:t>指为了治疗心脏瓣膜疾病，实际实施了非开胸的经胸壁打孔内镜手术或经皮经导管介入手术进行的心脏瓣膜置换或修复手术。</w:t>
      </w:r>
    </w:p>
    <w:p>
      <w:pPr>
        <w:pStyle w:val="Heading2"/>
        <w:spacing w:line="306" w:lineRule="exact"/>
        <w:ind w:left="593"/>
      </w:pPr>
      <w:r>
        <w:rPr/>
        <w:t>实施开胸心脏瓣膜置换或修复手术的，本公司不承担本项手术保险责任。</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轻</w:t>
      </w:r>
      <w:r>
        <w:rPr>
          <w:b/>
          <w:spacing w:val="30"/>
          <w:sz w:val="21"/>
        </w:rPr>
        <w:t>度原发性肺动脉高压</w:t>
      </w:r>
    </w:p>
    <w:p>
      <w:pPr>
        <w:pStyle w:val="BodyText"/>
        <w:spacing w:line="273" w:lineRule="auto"/>
        <w:ind w:left="171" w:right="198" w:firstLine="422"/>
        <w:jc w:val="both"/>
      </w:pPr>
      <w:r>
        <w:rPr/>
        <w:br w:type="column"/>
      </w:r>
      <w:r>
        <w:rPr/>
        <w:t>指由于原发性肺动脉高压进行性发展而导致右心室肥厚，已经造成永久不可</w:t>
      </w:r>
      <w:r>
        <w:rPr>
          <w:spacing w:val="-5"/>
          <w:w w:val="100"/>
        </w:rPr>
        <w:t>逆性的体力活动能力受限，达到美国纽约心脏病学会心功能状态分级Ⅲ级</w:t>
      </w:r>
      <w:r>
        <w:rPr>
          <w:w w:val="100"/>
        </w:rPr>
        <w:t>（注</w:t>
      </w:r>
      <w:r>
        <w:rPr>
          <w:spacing w:val="-106"/>
          <w:w w:val="100"/>
        </w:rPr>
        <w:t>）</w:t>
      </w:r>
      <w:r>
        <w:rPr>
          <w:w w:val="100"/>
        </w:rPr>
        <w:t>，</w:t>
      </w:r>
      <w:r>
        <w:rPr>
          <w:spacing w:val="-2"/>
        </w:rPr>
        <w:t>且静息状态下肺动脉平均压超过 </w:t>
      </w:r>
      <w:r>
        <w:rPr/>
        <w:t>25mmHg，</w:t>
      </w:r>
      <w:r>
        <w:rPr>
          <w:spacing w:val="-5"/>
        </w:rPr>
        <w:t>但未达到本合同所指重大疾病“严重原发性肺动脉高压”的标准。</w:t>
      </w:r>
    </w:p>
    <w:p>
      <w:pPr>
        <w:pStyle w:val="BodyText"/>
        <w:spacing w:line="273" w:lineRule="auto" w:before="7"/>
        <w:ind w:left="171" w:right="208" w:firstLine="422"/>
        <w:jc w:val="both"/>
      </w:pPr>
      <w:r>
        <w:rPr/>
        <w:t>注：美国纽约心脏病学会心功能状态分级Ⅲ级是指体力活动明显受限，休息时无症状，轻于日常的活动即可引起充血性心力衰竭的症状。</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11"/>
        <w:rPr>
          <w:sz w:val="9"/>
        </w:rPr>
      </w:pPr>
    </w:p>
    <w:p>
      <w:pPr>
        <w:spacing w:after="0"/>
        <w:rPr>
          <w:sz w:val="9"/>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主</w:t>
      </w:r>
      <w:r>
        <w:rPr>
          <w:spacing w:val="30"/>
        </w:rPr>
        <w:t>动脉内手术</w:t>
      </w:r>
    </w:p>
    <w:p>
      <w:pPr>
        <w:spacing w:line="216" w:lineRule="auto" w:before="64"/>
        <w:ind w:left="171" w:right="208" w:firstLine="422"/>
        <w:jc w:val="left"/>
        <w:rPr>
          <w:rFonts w:ascii="Microsoft JhengHei" w:eastAsia="Microsoft JhengHei" w:hint="eastAsia"/>
          <w:b/>
          <w:sz w:val="21"/>
        </w:rPr>
      </w:pPr>
      <w:r>
        <w:rPr/>
        <w:br w:type="column"/>
      </w:r>
      <w:r>
        <w:rPr>
          <w:sz w:val="21"/>
        </w:rPr>
        <w:t>指为了治疗主动脉疾病实际实施了经皮经导管进行的动脉内手术。主动脉指胸主动脉和腹主动脉，</w:t>
      </w:r>
      <w:r>
        <w:rPr>
          <w:rFonts w:ascii="Microsoft JhengHei" w:eastAsia="Microsoft JhengHei" w:hint="eastAsia"/>
          <w:b/>
          <w:sz w:val="21"/>
        </w:rPr>
        <w:t>不包括胸主动脉和腹主动脉的分支血管。</w:t>
      </w:r>
    </w:p>
    <w:p>
      <w:pPr>
        <w:pStyle w:val="Heading2"/>
        <w:spacing w:line="312" w:lineRule="exact"/>
        <w:ind w:left="593"/>
      </w:pPr>
      <w:r>
        <w:rPr/>
        <w:t>实施开胸或开腹主动脉手术的，本公司不承担本项手术保险责任。</w:t>
      </w:r>
    </w:p>
    <w:p>
      <w:pPr>
        <w:spacing w:after="0" w:line="312"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微</w:t>
      </w:r>
      <w:r>
        <w:rPr>
          <w:b/>
          <w:spacing w:val="30"/>
          <w:sz w:val="21"/>
        </w:rPr>
        <w:t>创冠状动脉搭桥术</w:t>
      </w:r>
    </w:p>
    <w:p>
      <w:pPr>
        <w:pStyle w:val="BodyText"/>
        <w:spacing w:line="273" w:lineRule="auto" w:before="37"/>
        <w:ind w:left="171" w:right="208" w:firstLine="422"/>
        <w:jc w:val="both"/>
      </w:pPr>
      <w:r>
        <w:rPr/>
        <w:br w:type="column"/>
      </w:r>
      <w:r>
        <w:rPr>
          <w:spacing w:val="-3"/>
          <w:w w:val="100"/>
        </w:rPr>
        <w:t>指确实透过微型的胸壁锁孔</w:t>
      </w:r>
      <w:r>
        <w:rPr>
          <w:spacing w:val="-5"/>
          <w:w w:val="100"/>
        </w:rPr>
        <w:t>（</w:t>
      </w:r>
      <w:r>
        <w:rPr>
          <w:spacing w:val="-4"/>
          <w:w w:val="100"/>
        </w:rPr>
        <w:t>于肋骨之间开一个细小的切口</w:t>
      </w:r>
      <w:r>
        <w:rPr>
          <w:spacing w:val="-106"/>
          <w:w w:val="100"/>
        </w:rPr>
        <w:t>）</w:t>
      </w:r>
      <w:r>
        <w:rPr>
          <w:spacing w:val="-4"/>
          <w:w w:val="100"/>
        </w:rPr>
        <w:t>，进行非体外循</w:t>
      </w:r>
      <w:r>
        <w:rPr/>
        <w:t>环下的冠状动脉搭桥手术，以矫正一条或以上冠状动脉狭窄或闭塞。微创进行直接的冠状动脉搭桥手术亦可称“锁孔”式冠状动脉手术。有关程序为医疗所需及</w:t>
      </w:r>
      <w:r>
        <w:rPr>
          <w:spacing w:val="-4"/>
        </w:rPr>
        <w:t>由本公司认可医院的心脏专科医生进行。</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both"/>
      </w:pPr>
      <w:r>
        <w:rPr/>
        <w:t>早</w:t>
      </w:r>
      <w:r>
        <w:rPr>
          <w:spacing w:val="30"/>
        </w:rPr>
        <w:t>期原发性心肌病</w:t>
      </w:r>
    </w:p>
    <w:p>
      <w:pPr>
        <w:pStyle w:val="BodyText"/>
        <w:spacing w:line="273" w:lineRule="auto"/>
        <w:ind w:left="171" w:right="208" w:firstLine="422"/>
      </w:pPr>
      <w:r>
        <w:rPr/>
        <w:br w:type="column"/>
      </w:r>
      <w:r>
        <w:rPr/>
        <w:t>被诊断为原发性心肌病，并符合下列所有条件，但未达到本合同所指重大疾病“严重原发性心肌病”的标准：</w:t>
      </w:r>
    </w:p>
    <w:p>
      <w:pPr>
        <w:pStyle w:val="BodyText"/>
        <w:spacing w:line="273" w:lineRule="auto" w:before="7"/>
        <w:ind w:left="171" w:right="208" w:firstLine="422"/>
      </w:pPr>
      <w:r>
        <w:rPr/>
        <w:t>（1）</w:t>
      </w:r>
      <w:r>
        <w:rPr>
          <w:spacing w:val="-5"/>
        </w:rPr>
        <w:t>导致心室功能受损，其受损程度达到美国纽约心脏病学会心功能状态分</w:t>
      </w:r>
      <w:r>
        <w:rPr>
          <w:spacing w:val="-5"/>
          <w:w w:val="100"/>
        </w:rPr>
        <w:t>级Ⅲ级（注</w:t>
      </w:r>
      <w:r>
        <w:rPr>
          <w:spacing w:val="-111"/>
          <w:w w:val="100"/>
        </w:rPr>
        <w:t>）</w:t>
      </w:r>
      <w:r>
        <w:rPr>
          <w:spacing w:val="-2"/>
          <w:w w:val="100"/>
        </w:rPr>
        <w:t>，或其同等级别。</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386"/>
      </w:pPr>
      <w:r>
        <w:rPr/>
        <w:t>（2）左室射血分数 LVEF &lt;35%。</w:t>
      </w:r>
    </w:p>
    <w:p>
      <w:pPr>
        <w:pStyle w:val="BodyText"/>
        <w:spacing w:line="273" w:lineRule="auto"/>
        <w:ind w:left="1964" w:right="208" w:firstLine="422"/>
      </w:pPr>
      <w:r>
        <w:rPr/>
        <w:t>（3）原发性心肌病的诊断必须由本公司认可医院的心脏专科医生确认，并提供心脏超声检查结果报告。</w:t>
      </w:r>
    </w:p>
    <w:p>
      <w:pPr>
        <w:spacing w:line="218" w:lineRule="auto" w:before="32"/>
        <w:ind w:left="2386" w:right="102" w:firstLine="0"/>
        <w:jc w:val="left"/>
        <w:rPr>
          <w:rFonts w:ascii="Microsoft JhengHei" w:eastAsia="Microsoft JhengHei" w:hint="eastAsia"/>
          <w:b/>
          <w:sz w:val="21"/>
        </w:rPr>
      </w:pPr>
      <w:r>
        <w:rPr>
          <w:sz w:val="21"/>
        </w:rPr>
        <w:t>本保障范围内的心肌病仅包括扩张型心肌病、肥厚型心肌病及限制型心肌病。</w:t>
      </w:r>
      <w:r>
        <w:rPr>
          <w:rFonts w:ascii="Microsoft JhengHei" w:eastAsia="Microsoft JhengHei" w:hint="eastAsia"/>
          <w:b/>
          <w:sz w:val="21"/>
        </w:rPr>
        <w:t>继发于全身性疾病或其他器官系统疾病及酒精滥用造成的心肌病变不在保障</w:t>
      </w:r>
    </w:p>
    <w:p>
      <w:pPr>
        <w:pStyle w:val="Heading2"/>
        <w:spacing w:line="312" w:lineRule="exact"/>
        <w:ind w:left="1964"/>
      </w:pPr>
      <w:r>
        <w:rPr/>
        <w:t>范围内。</w:t>
      </w:r>
    </w:p>
    <w:p>
      <w:pPr>
        <w:pStyle w:val="BodyText"/>
        <w:spacing w:line="273" w:lineRule="auto" w:before="13"/>
        <w:ind w:left="1964" w:right="208" w:firstLine="422"/>
      </w:pPr>
      <w:r>
        <w:rPr/>
        <w:t>注：美国纽约心脏病学会心功能状态分级Ⅲ级是指体力活动明显受限，休息时无症状，轻于日常的活动即可引起充血性心力衰竭的症状。</w:t>
      </w:r>
    </w:p>
    <w:p>
      <w:pPr>
        <w:pStyle w:val="BodyText"/>
        <w:spacing w:before="3"/>
        <w:rPr>
          <w:sz w:val="13"/>
        </w:rPr>
      </w:pPr>
    </w:p>
    <w:p>
      <w:pPr>
        <w:spacing w:after="0"/>
        <w:rPr>
          <w:sz w:val="13"/>
        </w:rPr>
        <w:sectPr>
          <w:pgSz w:w="11910" w:h="16840"/>
          <w:pgMar w:header="870" w:footer="998" w:top="1120" w:bottom="1180" w:left="1300" w:right="980"/>
        </w:sectPr>
      </w:pPr>
    </w:p>
    <w:p>
      <w:pPr>
        <w:pStyle w:val="Heading2"/>
        <w:numPr>
          <w:ilvl w:val="2"/>
          <w:numId w:val="7"/>
        </w:numPr>
        <w:tabs>
          <w:tab w:pos="1537" w:val="left" w:leader="none"/>
        </w:tabs>
        <w:spacing w:line="204" w:lineRule="auto" w:before="24" w:after="0"/>
        <w:ind w:left="778" w:right="0" w:firstLine="0"/>
        <w:jc w:val="both"/>
      </w:pPr>
      <w:r>
        <w:rPr/>
        <w:t>风</w:t>
      </w:r>
      <w:r>
        <w:rPr>
          <w:spacing w:val="30"/>
        </w:rPr>
        <w:t>湿热导致的心脏瓣膜疾病</w:t>
      </w:r>
    </w:p>
    <w:p>
      <w:pPr>
        <w:pStyle w:val="BodyText"/>
        <w:ind w:left="694"/>
      </w:pPr>
      <w:r>
        <w:rPr/>
        <w:br w:type="column"/>
      </w:r>
      <w:r>
        <w:rPr/>
        <w:t>本疾病须满足下列所有条件：</w:t>
      </w:r>
    </w:p>
    <w:p>
      <w:pPr>
        <w:pStyle w:val="BodyText"/>
        <w:spacing w:line="273" w:lineRule="auto" w:before="37"/>
        <w:ind w:left="171" w:right="208" w:firstLine="422"/>
        <w:jc w:val="both"/>
      </w:pPr>
      <w:r>
        <w:rPr>
          <w:spacing w:val="-21"/>
        </w:rPr>
        <w:t>（1）</w:t>
      </w:r>
      <w:r>
        <w:rPr>
          <w:spacing w:val="-7"/>
        </w:rPr>
        <w:t>经由本公司认可医院的专科医生根据已修订的 </w:t>
      </w:r>
      <w:r>
        <w:rPr/>
        <w:t>Jones</w:t>
      </w:r>
      <w:r>
        <w:rPr>
          <w:spacing w:val="-1"/>
        </w:rPr>
        <w:t> 标准诊断证实罹患</w:t>
      </w:r>
      <w:r>
        <w:rPr>
          <w:spacing w:val="-2"/>
        </w:rPr>
        <w:t>急性风湿热；</w:t>
      </w:r>
    </w:p>
    <w:p>
      <w:pPr>
        <w:pStyle w:val="BodyText"/>
        <w:spacing w:line="273" w:lineRule="auto" w:before="8"/>
        <w:ind w:left="171" w:right="208" w:firstLine="422"/>
        <w:jc w:val="both"/>
      </w:pPr>
      <w:r>
        <w:rPr/>
        <w:t>（2）因风湿热所导致至少一个心脏瓣膜存在狭窄或者关闭不全损伤，且已经被心脏超声检查证实。有关诊断及心脏超声检查必须由本公司认可医院的专科医生证实。</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8"/>
      </w:pPr>
    </w:p>
    <w:p>
      <w:pPr>
        <w:spacing w:after="0"/>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特</w:t>
      </w:r>
      <w:r>
        <w:rPr>
          <w:spacing w:val="30"/>
        </w:rPr>
        <w:t>定周围动脉狭窄的血管介入治疗</w:t>
      </w:r>
    </w:p>
    <w:p>
      <w:pPr>
        <w:pStyle w:val="BodyText"/>
        <w:spacing w:line="273" w:lineRule="auto" w:before="37"/>
        <w:ind w:left="171" w:right="208" w:firstLine="422"/>
      </w:pPr>
      <w:r>
        <w:rPr/>
        <w:br w:type="column"/>
      </w:r>
      <w:r>
        <w:rPr/>
        <w:t>指一条或以上的下列血管存在狭窄。本疾病的诊断及治疗均须在本公司认可医院内由专科医生认为是医疗必须的情况下进行：</w:t>
      </w:r>
    </w:p>
    <w:p>
      <w:pPr>
        <w:pStyle w:val="BodyText"/>
        <w:spacing w:before="8"/>
        <w:ind w:left="593"/>
      </w:pPr>
      <w:r>
        <w:rPr>
          <w:w w:val="100"/>
        </w:rPr>
        <w:t>（1）</w:t>
      </w:r>
      <w:r>
        <w:rPr>
          <w:spacing w:val="-4"/>
          <w:w w:val="100"/>
        </w:rPr>
        <w:t>为下肢或上肢供血的动脉</w:t>
      </w:r>
      <w:r>
        <w:rPr>
          <w:w w:val="100"/>
        </w:rPr>
        <w:t>（</w:t>
      </w:r>
      <w:r>
        <w:rPr>
          <w:spacing w:val="-4"/>
          <w:w w:val="100"/>
        </w:rPr>
        <w:t>如髂、股、腘、肱、桡动脉等</w:t>
      </w:r>
      <w:r>
        <w:rPr>
          <w:spacing w:val="-111"/>
          <w:w w:val="100"/>
        </w:rPr>
        <w:t>）</w:t>
      </w:r>
      <w:r>
        <w:rPr>
          <w:w w:val="100"/>
        </w:rPr>
        <w:t>；</w:t>
      </w:r>
    </w:p>
    <w:p>
      <w:pPr>
        <w:pStyle w:val="BodyText"/>
        <w:spacing w:before="37"/>
        <w:ind w:left="593"/>
      </w:pPr>
      <w:r>
        <w:rPr/>
        <w:t>（2）肾动脉；</w:t>
      </w:r>
    </w:p>
    <w:p>
      <w:pPr>
        <w:pStyle w:val="BodyText"/>
        <w:spacing w:before="37"/>
        <w:ind w:left="593"/>
      </w:pPr>
      <w:r>
        <w:rPr/>
        <w:t>（3）肠系膜动脉。</w:t>
      </w:r>
    </w:p>
    <w:p>
      <w:pPr>
        <w:pStyle w:val="BodyText"/>
        <w:spacing w:before="37"/>
        <w:ind w:left="593"/>
      </w:pPr>
      <w:r>
        <w:rPr/>
        <w:t>理赔时必须同时符合下列所有条件：</w:t>
      </w:r>
    </w:p>
    <w:p>
      <w:pPr>
        <w:pStyle w:val="BodyText"/>
        <w:spacing w:before="37"/>
        <w:ind w:left="593"/>
      </w:pPr>
      <w:r>
        <w:rPr/>
        <w:t>（1）经血管造影术证明一条或以上的血管存在 50%或以上狭窄；</w:t>
      </w:r>
    </w:p>
    <w:p>
      <w:pPr>
        <w:pStyle w:val="BodyText"/>
        <w:spacing w:line="273" w:lineRule="auto" w:before="37"/>
        <w:ind w:left="171" w:right="208" w:firstLine="422"/>
      </w:pPr>
      <w:r>
        <w:rPr/>
        <w:t>（2）确实已针对以上狭窄血管进行介入治疗以减轻症状，介入治疗包括血管成形术及/或进行植入支架或动脉粥样斑块清除手术。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植</w:t>
      </w:r>
      <w:r>
        <w:rPr>
          <w:spacing w:val="30"/>
        </w:rPr>
        <w:t>入心脏除纤颤器</w:t>
      </w:r>
    </w:p>
    <w:p>
      <w:pPr>
        <w:pStyle w:val="BodyText"/>
        <w:spacing w:line="273" w:lineRule="auto" w:before="37"/>
        <w:ind w:left="171" w:right="208" w:firstLine="422"/>
        <w:jc w:val="both"/>
      </w:pPr>
      <w:r>
        <w:rPr/>
        <w:br w:type="column"/>
      </w:r>
      <w:r>
        <w:rPr/>
        <w:t>因严重心律失常而确实已经实施植入永久性心脏除纤颤器的手术。理赔时须提供完整病历资料及手术记录，诊断及治疗均须本公司认可医院的专科医生认为是医疗必须的情况下进行。</w:t>
      </w:r>
    </w:p>
    <w:p>
      <w:pPr>
        <w:pStyle w:val="Heading2"/>
        <w:spacing w:line="204" w:lineRule="auto"/>
        <w:ind w:left="171" w:right="208" w:firstLine="422"/>
        <w:jc w:val="both"/>
      </w:pPr>
      <w:r>
        <w:rPr/>
        <w:t>本公司仅对本条“植入心脏除纤颤器”和 6.4.13 条“植入心脏起搏器”两项中的其中一项承担保险责任，给付其中一项保险金后，对另一项轻症疾病保险责任同时终止。</w:t>
      </w:r>
    </w:p>
    <w:p>
      <w:pPr>
        <w:spacing w:after="0" w:line="204" w:lineRule="auto"/>
        <w:jc w:val="both"/>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植</w:t>
      </w:r>
      <w:r>
        <w:rPr>
          <w:b/>
          <w:spacing w:val="30"/>
          <w:sz w:val="21"/>
        </w:rPr>
        <w:t>入心脏起搏器</w:t>
      </w:r>
    </w:p>
    <w:p>
      <w:pPr>
        <w:pStyle w:val="BodyText"/>
        <w:spacing w:line="273" w:lineRule="auto"/>
        <w:ind w:left="171" w:right="208" w:firstLine="422"/>
        <w:jc w:val="both"/>
      </w:pPr>
      <w:r>
        <w:rPr/>
        <w:br w:type="column"/>
      </w:r>
      <w:r>
        <w:rPr/>
        <w:t>因严重心律失常而确实已经实施植入永久性心脏起搏器的手术。理赔时须提供完整病历资料及手术记录，诊断及治疗均须在本公司认可医院专科医生认为是医疗必须的情况下进行。由于心脏再同步化治疗而实施的植入心脏起博器包括在本项保障范围内。</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激</w:t>
      </w:r>
      <w:r>
        <w:rPr>
          <w:spacing w:val="30"/>
        </w:rPr>
        <w:t>光心肌血运重建术</w:t>
      </w:r>
    </w:p>
    <w:p>
      <w:pPr>
        <w:pStyle w:val="BodyText"/>
        <w:spacing w:line="273" w:lineRule="auto" w:before="37"/>
        <w:ind w:left="171" w:right="208" w:firstLine="422"/>
        <w:jc w:val="both"/>
      </w:pPr>
      <w:r>
        <w:rPr/>
        <w:br w:type="column"/>
      </w:r>
      <w:r>
        <w:rPr/>
        <w:t>指患有顽固性心绞痛，经持续药物治疗后无改善，冠状动脉搭桥手术及经皮血管成形手术已失败或者被认为不适合。在本公司认可医院内实际进行了开胸手术下或者胸腔镜下的激光心肌血运重建术。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1"/>
        <w:rPr>
          <w:sz w:val="19"/>
        </w:rPr>
      </w:pPr>
    </w:p>
    <w:p>
      <w:pPr>
        <w:spacing w:after="0"/>
        <w:rPr>
          <w:sz w:val="19"/>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心</w:t>
      </w:r>
      <w:r>
        <w:rPr>
          <w:spacing w:val="30"/>
        </w:rPr>
        <w:t>包膜切除术</w:t>
      </w:r>
    </w:p>
    <w:p>
      <w:pPr>
        <w:pStyle w:val="BodyText"/>
        <w:spacing w:line="273" w:lineRule="auto" w:before="37"/>
        <w:ind w:left="171" w:right="208" w:firstLine="422"/>
      </w:pPr>
      <w:r>
        <w:rPr/>
        <w:br w:type="column"/>
      </w:r>
      <w:r>
        <w:rPr/>
        <w:t>因心包膜疾病导致已经接受心包膜切除术。手术必须由本公司认可医院的心脏专科医生认为是医学上必须的情况下进行。</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7"/>
        </w:numPr>
        <w:tabs>
          <w:tab w:pos="1537" w:val="left" w:leader="none"/>
        </w:tabs>
        <w:spacing w:line="204" w:lineRule="auto" w:before="24" w:after="0"/>
        <w:ind w:left="778" w:right="0" w:firstLine="0"/>
        <w:jc w:val="left"/>
      </w:pPr>
      <w:r>
        <w:rPr/>
        <w:t>轻度脑中风</w:t>
      </w:r>
    </w:p>
    <w:p>
      <w:pPr>
        <w:pStyle w:val="BodyText"/>
        <w:spacing w:line="273" w:lineRule="auto"/>
        <w:ind w:left="176" w:right="208" w:firstLine="422"/>
        <w:jc w:val="both"/>
      </w:pPr>
      <w:r>
        <w:rPr/>
        <w:br w:type="column"/>
      </w:r>
      <w:r>
        <w:rPr/>
        <w:t>指实际发生了脑血管的突发病变，出现神经系统功能障碍表现，头颅断层扫</w:t>
      </w:r>
      <w:r>
        <w:rPr>
          <w:w w:val="100"/>
        </w:rPr>
        <w:t>描（CT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w:t>
      </w:r>
      <w:r>
        <w:rPr>
          <w:spacing w:val="-3"/>
          <w:w w:val="100"/>
        </w:rPr>
        <w:t>等影像学检查证实</w:t>
      </w:r>
      <w:r>
        <w:rPr>
          <w:spacing w:val="-5"/>
        </w:rPr>
        <w:t>存在对应病灶，确诊为脑出血、脑栓塞或脑梗塞，且在确诊 </w:t>
      </w:r>
      <w:r>
        <w:rPr/>
        <w:t>180 天后，被保险人</w:t>
      </w:r>
      <w:r>
        <w:rPr>
          <w:spacing w:val="-5"/>
        </w:rPr>
        <w:t>仍遗留下列障碍，但未达到本合同所指重大疾病“脑中风后遗症”的标准：</w:t>
      </w:r>
    </w:p>
    <w:p>
      <w:pPr>
        <w:pStyle w:val="BodyText"/>
        <w:spacing w:line="273" w:lineRule="auto" w:before="7"/>
        <w:ind w:left="176" w:right="208" w:firstLine="422"/>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040" w:bottom="1180" w:left="1300" w:right="980"/>
          <w:cols w:num="2" w:equalWidth="0">
            <w:col w:w="1749" w:space="40"/>
            <w:col w:w="7841"/>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脑</w:t>
      </w:r>
      <w:r>
        <w:rPr>
          <w:spacing w:val="-18"/>
        </w:rPr>
        <w:t>垂体瘤、脑</w:t>
      </w:r>
      <w:r>
        <w:rPr>
          <w:spacing w:val="30"/>
        </w:rPr>
        <w:t>囊肿和脑血管瘤</w:t>
      </w:r>
    </w:p>
    <w:p>
      <w:pPr>
        <w:pStyle w:val="BodyText"/>
        <w:spacing w:line="273" w:lineRule="auto" w:before="37"/>
        <w:ind w:left="171" w:right="102" w:firstLine="422"/>
      </w:pPr>
      <w:r>
        <w:rPr/>
        <w:br w:type="column"/>
      </w:r>
      <w:r>
        <w:rPr>
          <w:spacing w:val="-4"/>
          <w:w w:val="100"/>
        </w:rPr>
        <w:t>指经头颅断层扫描</w:t>
      </w:r>
      <w:r>
        <w:rPr>
          <w:w w:val="100"/>
        </w:rPr>
        <w:t>（CT</w:t>
      </w:r>
      <w:r>
        <w:rPr>
          <w:spacing w:val="-111"/>
          <w:w w:val="100"/>
        </w:rPr>
        <w:t>）</w:t>
      </w:r>
      <w:r>
        <w:rPr>
          <w:spacing w:val="-9"/>
          <w:w w:val="100"/>
        </w:rPr>
        <w:t>、核磁共振检查</w:t>
      </w:r>
      <w:r>
        <w:rPr>
          <w:w w:val="100"/>
        </w:rPr>
        <w:t>（M</w:t>
      </w:r>
      <w:r>
        <w:rPr>
          <w:spacing w:val="-5"/>
          <w:w w:val="100"/>
        </w:rPr>
        <w:t>R</w:t>
      </w:r>
      <w:r>
        <w:rPr>
          <w:w w:val="100"/>
        </w:rPr>
        <w:t>I</w:t>
      </w:r>
      <w:r>
        <w:rPr>
          <w:spacing w:val="-24"/>
          <w:w w:val="100"/>
        </w:rPr>
        <w:t>）</w:t>
      </w:r>
      <w:r>
        <w:rPr>
          <w:spacing w:val="-6"/>
          <w:w w:val="100"/>
        </w:rPr>
        <w:t>或正电子发射断层扫描</w:t>
      </w:r>
      <w:r>
        <w:rPr>
          <w:w w:val="100"/>
        </w:rPr>
        <w:t>（PE</w:t>
      </w:r>
      <w:r>
        <w:rPr>
          <w:spacing w:val="-5"/>
          <w:w w:val="100"/>
        </w:rPr>
        <w:t>T</w:t>
      </w:r>
      <w:r>
        <w:rPr>
          <w:w w:val="100"/>
        </w:rPr>
        <w:t>）</w:t>
      </w:r>
      <w:r>
        <w:rPr>
          <w:spacing w:val="-5"/>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00" w:right="980"/>
          <w:cols w:num="2" w:equalWidth="0">
            <w:col w:w="1753" w:space="40"/>
            <w:col w:w="7837"/>
          </w:cols>
        </w:sectPr>
      </w:pPr>
    </w:p>
    <w:p>
      <w:pPr>
        <w:pStyle w:val="BodyText"/>
        <w:spacing w:before="5"/>
        <w:rPr>
          <w:sz w:val="15"/>
        </w:rPr>
      </w:pPr>
    </w:p>
    <w:p>
      <w:pPr>
        <w:spacing w:after="0"/>
        <w:rPr>
          <w:sz w:val="15"/>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中</w:t>
      </w:r>
      <w:r>
        <w:rPr>
          <w:spacing w:val="30"/>
        </w:rPr>
        <w:t>度细菌性脑膜炎</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4"/>
        <w:rPr>
          <w:rFonts w:ascii="Microsoft JhengHei"/>
          <w:b/>
          <w:sz w:val="14"/>
        </w:rPr>
      </w:pPr>
    </w:p>
    <w:p>
      <w:pPr>
        <w:pStyle w:val="ListParagraph"/>
        <w:numPr>
          <w:ilvl w:val="2"/>
          <w:numId w:val="7"/>
        </w:numPr>
        <w:tabs>
          <w:tab w:pos="1537" w:val="left" w:leader="none"/>
        </w:tabs>
        <w:spacing w:line="204" w:lineRule="auto" w:before="0" w:after="0"/>
        <w:ind w:left="778" w:right="0" w:firstLine="0"/>
        <w:jc w:val="both"/>
        <w:rPr>
          <w:b/>
          <w:sz w:val="21"/>
        </w:rPr>
      </w:pPr>
      <w:r>
        <w:rPr>
          <w:b/>
          <w:sz w:val="21"/>
        </w:rPr>
        <w:t>中</w:t>
      </w:r>
      <w:r>
        <w:rPr>
          <w:b/>
          <w:spacing w:val="30"/>
          <w:sz w:val="21"/>
        </w:rPr>
        <w:t>度病毒性脑炎</w:t>
      </w:r>
    </w:p>
    <w:p>
      <w:pPr>
        <w:pStyle w:val="BodyText"/>
        <w:spacing w:line="273" w:lineRule="auto" w:before="37"/>
        <w:ind w:left="171" w:right="208" w:firstLine="422"/>
        <w:jc w:val="both"/>
      </w:pPr>
      <w:r>
        <w:rPr/>
        <w:br w:type="column"/>
      </w:r>
      <w:r>
        <w:rPr/>
        <w:t>指细菌感染性脑（脊髓）膜炎导致神经系统永久性的中度功能障碍，但未达到本合同所指重大疾病“脑炎后遗症或脑膜炎后遗症”的标准，即：疾病首次确诊 180 天后，仍遗留下列功能障碍，其自主生活能力部分丧失，无法独立完成六项基本日常生活活动中的二项。</w:t>
      </w:r>
    </w:p>
    <w:p>
      <w:pPr>
        <w:pStyle w:val="BodyText"/>
        <w:spacing w:line="273" w:lineRule="auto" w:before="7"/>
        <w:ind w:left="171" w:right="208" w:firstLine="422"/>
        <w:jc w:val="both"/>
      </w:pPr>
      <w:r>
        <w:rPr/>
        <w:t>该病必须由本公司认可医院的专科医生明确诊断，并必须由适当的检查证明疾病原因为急性脑（脊髓）膜受细菌感染。</w:t>
      </w:r>
    </w:p>
    <w:p>
      <w:pPr>
        <w:pStyle w:val="BodyText"/>
        <w:spacing w:before="5"/>
        <w:rPr>
          <w:sz w:val="17"/>
        </w:rPr>
      </w:pPr>
    </w:p>
    <w:p>
      <w:pPr>
        <w:pStyle w:val="BodyText"/>
        <w:spacing w:line="278" w:lineRule="auto" w:before="0"/>
        <w:ind w:left="171" w:right="208" w:firstLine="422"/>
        <w:jc w:val="both"/>
      </w:pPr>
      <w:r>
        <w:rPr/>
        <w:t>因病毒感染致脑炎（大脑半球、脑干或小脑）需要入住医院，并导致神经系统永久性的中度功能障碍，但未达到本合同所指重大疾病“脑炎后遗症或脑膜炎后遗症”的标准，即：疾病首次确诊 180 天后，仍遗留下列功能障碍，其自主生活能力部分丧失，无法独立完成六项基本日常生活活动中的二项。</w:t>
      </w:r>
    </w:p>
    <w:p>
      <w:pPr>
        <w:pStyle w:val="BodyText"/>
        <w:spacing w:line="280" w:lineRule="auto" w:before="12"/>
        <w:ind w:left="171" w:right="208" w:firstLine="422"/>
        <w:jc w:val="both"/>
      </w:pPr>
      <w:r>
        <w:rPr/>
        <w:t>该病必须由本公司认可医院的专科医生明确诊断，并必须由适当的检查证明为急性病毒感染导致的脑炎。</w:t>
      </w:r>
    </w:p>
    <w:p>
      <w:pPr>
        <w:pStyle w:val="Heading2"/>
        <w:spacing w:line="305" w:lineRule="exact"/>
        <w:ind w:left="593"/>
      </w:pPr>
      <w:r>
        <w:rPr>
          <w:w w:val="95"/>
        </w:rPr>
        <w:t>由人类免疫缺陷病毒（HIV）感染导致的脑炎不在保障范围内。</w:t>
      </w:r>
    </w:p>
    <w:p>
      <w:pPr>
        <w:spacing w:after="0" w:line="305" w:lineRule="exact"/>
        <w:sectPr>
          <w:type w:val="continuous"/>
          <w:pgSz w:w="11910" w:h="16840"/>
          <w:pgMar w:top="1040" w:bottom="1180" w:left="1300" w:right="980"/>
          <w:cols w:num="2" w:equalWidth="0">
            <w:col w:w="1753" w:space="40"/>
            <w:col w:w="7837"/>
          </w:cols>
        </w:sectPr>
      </w:pPr>
    </w:p>
    <w:p>
      <w:pPr>
        <w:pStyle w:val="BodyText"/>
        <w:spacing w:before="8"/>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left"/>
        <w:rPr>
          <w:b/>
          <w:sz w:val="21"/>
        </w:rPr>
      </w:pPr>
      <w:r>
        <w:rPr>
          <w:b/>
          <w:sz w:val="21"/>
        </w:rPr>
        <w:t>中度昏迷</w:t>
      </w:r>
    </w:p>
    <w:p>
      <w:pPr>
        <w:pStyle w:val="BodyText"/>
        <w:spacing w:line="273" w:lineRule="auto"/>
        <w:ind w:left="176" w:right="107" w:firstLine="422"/>
        <w:jc w:val="both"/>
      </w:pPr>
      <w:r>
        <w:rPr/>
        <w:br w:type="column"/>
      </w:r>
      <w:r>
        <w:rPr/>
        <w:t>处于昏迷的状态，对外界刺激或体内需求无反应，并需要使用插管和机械性</w:t>
      </w:r>
      <w:r>
        <w:rPr>
          <w:spacing w:val="-6"/>
        </w:rPr>
        <w:t>呼吸的方法来维持生命至少 </w:t>
      </w:r>
      <w:r>
        <w:rPr/>
        <w:t>48</w:t>
      </w:r>
      <w:r>
        <w:rPr>
          <w:spacing w:val="-10"/>
        </w:rPr>
        <w:t> 个小时。昏迷的诊断及有关证明必须由本公司认可</w:t>
      </w:r>
      <w:r>
        <w:rPr>
          <w:spacing w:val="-7"/>
        </w:rPr>
        <w:t>医院的神经科专科医生确定，但未达到本合同所指重大疾病“深度昏迷”的标准。</w:t>
      </w:r>
    </w:p>
    <w:p>
      <w:pPr>
        <w:pStyle w:val="Heading2"/>
        <w:spacing w:line="306" w:lineRule="exact"/>
        <w:ind w:left="598"/>
      </w:pPr>
      <w:r>
        <w:rPr/>
        <w:t>因酗酒或药物滥用导致的昏迷不在保障范围内。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中</w:t>
      </w:r>
      <w:r>
        <w:rPr>
          <w:b/>
          <w:spacing w:val="30"/>
          <w:sz w:val="21"/>
        </w:rPr>
        <w:t>度重症肌无力</w:t>
      </w:r>
    </w:p>
    <w:p>
      <w:pPr>
        <w:pStyle w:val="BodyText"/>
        <w:spacing w:line="273" w:lineRule="auto"/>
        <w:ind w:left="171" w:right="208" w:firstLine="422"/>
        <w:jc w:val="both"/>
      </w:pPr>
      <w:r>
        <w:rPr/>
        <w:br w:type="column"/>
      </w:r>
      <w:r>
        <w:rPr/>
        <w:t>是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w:t>
      </w:r>
      <w:r>
        <w:rPr>
          <w:spacing w:val="0"/>
        </w:rPr>
        <w:t>且疾病确诊 </w:t>
      </w:r>
      <w:r>
        <w:rPr/>
        <w:t>180</w:t>
      </w:r>
      <w:r>
        <w:rPr>
          <w:spacing w:val="-5"/>
        </w:rPr>
        <w:t> 天后，仍然存在自主生活能力部分丧失，无法独立完成六项基本日常生活活动中的二项，但未达到本合同所指重大疾病“重症肌无力”的标准。</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早</w:t>
      </w:r>
      <w:r>
        <w:rPr>
          <w:spacing w:val="30"/>
        </w:rPr>
        <w:t>期脑退化</w:t>
      </w:r>
      <w:r>
        <w:rPr>
          <w:spacing w:val="-87"/>
        </w:rPr>
        <w:t>症</w:t>
      </w:r>
      <w:r>
        <w:rPr/>
        <w:t>（包括早</w:t>
      </w:r>
      <w:r>
        <w:rPr>
          <w:spacing w:val="30"/>
        </w:rPr>
        <w:t>期阿尔茨海默病）</w:t>
      </w:r>
    </w:p>
    <w:p>
      <w:pPr>
        <w:pStyle w:val="BodyText"/>
        <w:spacing w:line="273" w:lineRule="auto" w:before="37"/>
        <w:ind w:left="171" w:right="208" w:firstLine="422"/>
        <w:jc w:val="both"/>
      </w:pPr>
      <w:r>
        <w:rPr/>
        <w:br w:type="column"/>
      </w:r>
      <w:r>
        <w:rPr/>
        <w:t>指脑的器质性疾病造成脑功能衰竭导致永久不可逆性的痴呆，临床表现为明显的认知能力障碍。该疾病必须经本公司认可医院中三级医院的专科医生明确诊断并已经持续治疗了 180 天，且满足以下全部条件，但未达到本合同所指重大疾病“严重阿尔茨海默病”或“非阿尔茨海默病所致严重痴呆”的标准：</w:t>
      </w:r>
    </w:p>
    <w:p>
      <w:pPr>
        <w:pStyle w:val="BodyText"/>
        <w:spacing w:before="8"/>
        <w:ind w:left="593"/>
      </w:pPr>
      <w:r>
        <w:rPr/>
        <w:t>（1）</w:t>
      </w:r>
      <w:r>
        <w:rPr>
          <w:spacing w:val="-3"/>
        </w:rPr>
        <w:t>治疗前后两次简易智能量表</w:t>
      </w:r>
      <w:r>
        <w:rPr/>
        <w:t>（MMSE）</w:t>
      </w:r>
      <w:r>
        <w:rPr>
          <w:spacing w:val="-9"/>
        </w:rPr>
        <w:t>评分均不超过 </w:t>
      </w:r>
      <w:r>
        <w:rPr/>
        <w:t>19</w:t>
      </w:r>
      <w:r>
        <w:rPr>
          <w:spacing w:val="-26"/>
        </w:rPr>
        <w:t> 分</w:t>
      </w:r>
      <w:r>
        <w:rPr/>
        <w:t>（</w:t>
      </w:r>
      <w:r>
        <w:rPr>
          <w:spacing w:val="-18"/>
        </w:rPr>
        <w:t>总分 </w:t>
      </w:r>
      <w:r>
        <w:rPr/>
        <w:t>30</w:t>
      </w:r>
      <w:r>
        <w:rPr>
          <w:spacing w:val="-24"/>
        </w:rPr>
        <w:t> 分</w:t>
      </w:r>
      <w:r>
        <w:rPr>
          <w:spacing w:val="-111"/>
        </w:rPr>
        <w:t>）</w:t>
      </w:r>
      <w:r>
        <w:rPr/>
        <w:t>。</w:t>
      </w:r>
    </w:p>
    <w:p>
      <w:pPr>
        <w:pStyle w:val="BodyText"/>
        <w:spacing w:line="273" w:lineRule="auto" w:before="38"/>
        <w:ind w:left="171" w:right="208" w:firstLine="422"/>
        <w:jc w:val="both"/>
      </w:pPr>
      <w:r>
        <w:rPr/>
        <w:t>（2）存在自主生活能力部分丧失，无法独立完成六项基本日常生活活动中的二项。</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rPr>
          <w:sz w:val="17"/>
        </w:rPr>
      </w:pPr>
    </w:p>
    <w:p>
      <w:pPr>
        <w:pStyle w:val="Heading2"/>
        <w:spacing w:line="335" w:lineRule="exact"/>
        <w:ind w:left="2386"/>
      </w:pPr>
      <w:r>
        <w:rPr/>
        <w:t>神经官能症、精神疾病及酒精中毒所致脑损害不在保障范围内。</w:t>
      </w:r>
    </w:p>
    <w:p>
      <w:pPr>
        <w:pStyle w:val="BodyText"/>
        <w:spacing w:before="10"/>
        <w:rPr>
          <w:rFonts w:ascii="Microsoft JhengHei"/>
          <w:b/>
          <w:sz w:val="16"/>
        </w:rPr>
      </w:pPr>
    </w:p>
    <w:p>
      <w:pPr>
        <w:spacing w:after="0"/>
        <w:rPr>
          <w:rFonts w:ascii="Microsoft JhengHei"/>
          <w:sz w:val="16"/>
        </w:rPr>
        <w:sectPr>
          <w:pgSz w:w="11910" w:h="16840"/>
          <w:pgMar w:header="870" w:footer="998" w:top="112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严</w:t>
      </w:r>
      <w:r>
        <w:rPr>
          <w:b/>
          <w:spacing w:val="30"/>
          <w:sz w:val="21"/>
        </w:rPr>
        <w:t>重头部外伤</w:t>
      </w:r>
    </w:p>
    <w:p>
      <w:pPr>
        <w:pStyle w:val="BodyText"/>
        <w:ind w:left="593"/>
      </w:pPr>
      <w:r>
        <w:rPr/>
        <w:br w:type="column"/>
      </w:r>
      <w:r>
        <w:rPr/>
        <w:t>指因头部遭受机械性外力伤害，引起脑重要部位损伤，并且由头颅断层扫描</w:t>
      </w:r>
    </w:p>
    <w:p>
      <w:pPr>
        <w:pStyle w:val="BodyText"/>
        <w:spacing w:line="273" w:lineRule="auto"/>
        <w:ind w:left="171" w:right="198"/>
        <w:jc w:val="both"/>
      </w:pPr>
      <w:r>
        <w:rPr>
          <w:w w:val="100"/>
        </w:rPr>
        <w:t>（CT</w:t>
      </w:r>
      <w:r>
        <w:rPr>
          <w:spacing w:val="-106"/>
          <w:w w:val="100"/>
        </w:rPr>
        <w:t>）</w:t>
      </w:r>
      <w:r>
        <w:rPr>
          <w:spacing w:val="-3"/>
          <w:w w:val="100"/>
        </w:rPr>
        <w:t>、核磁共振检查</w:t>
      </w:r>
      <w:r>
        <w:rPr>
          <w:w w:val="100"/>
        </w:rPr>
        <w:t>（MRI</w:t>
      </w:r>
      <w:r>
        <w:rPr>
          <w:spacing w:val="-5"/>
          <w:w w:val="100"/>
        </w:rPr>
        <w:t>）</w:t>
      </w:r>
      <w:r>
        <w:rPr>
          <w:spacing w:val="-4"/>
          <w:w w:val="100"/>
        </w:rPr>
        <w:t>或正电子发射断层扫描</w:t>
      </w:r>
      <w:r>
        <w:rPr>
          <w:w w:val="100"/>
        </w:rPr>
        <w:t>（PET）</w:t>
      </w:r>
      <w:r>
        <w:rPr>
          <w:spacing w:val="-3"/>
          <w:w w:val="100"/>
        </w:rPr>
        <w:t>等影像学检查证实。</w:t>
      </w:r>
      <w:r>
        <w:rPr/>
        <w:t>头部外伤导致神经系统功能障碍，且须满足下列条件之一，但未达到本合同所指</w:t>
      </w:r>
      <w:r>
        <w:rPr>
          <w:spacing w:val="-3"/>
        </w:rPr>
        <w:t>重大疾病“严重脑损伤”的标准：</w:t>
      </w:r>
    </w:p>
    <w:p>
      <w:pPr>
        <w:pStyle w:val="BodyText"/>
        <w:spacing w:before="7"/>
        <w:ind w:left="382"/>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73" w:lineRule="auto" w:before="37"/>
        <w:ind w:left="171" w:right="208" w:firstLine="211"/>
      </w:pPr>
      <w:r>
        <w:rPr/>
        <w:t>（2）</w:t>
      </w:r>
      <w:r>
        <w:rPr>
          <w:spacing w:val="-8"/>
        </w:rPr>
        <w:t>在遭受外伤 </w:t>
      </w:r>
      <w:r>
        <w:rPr/>
        <w:t>180</w:t>
      </w:r>
      <w:r>
        <w:rPr>
          <w:spacing w:val="-9"/>
        </w:rPr>
        <w:t> 天后一肢或一肢以上肢体机能部分丧失，其肢体肌力为Ⅲ </w:t>
      </w:r>
      <w:r>
        <w:rPr>
          <w:spacing w:val="-7"/>
        </w:rPr>
        <w:t>级，或小于Ⅲ级。</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中</w:t>
      </w:r>
      <w:r>
        <w:rPr>
          <w:spacing w:val="30"/>
        </w:rPr>
        <w:t>度帕金森病</w:t>
      </w:r>
    </w:p>
    <w:p>
      <w:pPr>
        <w:pStyle w:val="BodyText"/>
        <w:spacing w:line="273" w:lineRule="auto"/>
        <w:ind w:left="171" w:right="208" w:firstLine="422"/>
        <w:jc w:val="both"/>
      </w:pPr>
      <w:r>
        <w:rPr/>
        <w:br w:type="column"/>
      </w:r>
      <w:r>
        <w:rPr/>
        <w:t>指经本公司认可医院的神经科专科医生明确诊断为原发性帕金森病。该诊断必须同时符合下列所有条件，但未达到本合同所指重大疾病“严重帕金森病”的标准：</w:t>
      </w:r>
    </w:p>
    <w:p>
      <w:pPr>
        <w:pStyle w:val="BodyText"/>
        <w:spacing w:before="7"/>
        <w:ind w:left="488"/>
      </w:pPr>
      <w:r>
        <w:rPr/>
        <w:t>（1）无法通过药物控制；</w:t>
      </w:r>
    </w:p>
    <w:p>
      <w:pPr>
        <w:pStyle w:val="BodyText"/>
        <w:spacing w:before="37"/>
        <w:ind w:left="488"/>
      </w:pPr>
      <w:r>
        <w:rPr/>
        <w:t>（2）出现逐步退化客观征状；</w:t>
      </w:r>
    </w:p>
    <w:p>
      <w:pPr>
        <w:spacing w:line="218" w:lineRule="auto" w:before="61"/>
        <w:ind w:left="593" w:right="1355" w:hanging="106"/>
        <w:jc w:val="left"/>
        <w:rPr>
          <w:rFonts w:ascii="Microsoft JhengHei" w:eastAsia="Microsoft JhengHei" w:hint="eastAsia"/>
          <w:b/>
          <w:sz w:val="21"/>
        </w:rPr>
      </w:pPr>
      <w:r>
        <w:rPr>
          <w:sz w:val="21"/>
        </w:rPr>
        <w:t>（3）</w:t>
      </w:r>
      <w:r>
        <w:rPr>
          <w:spacing w:val="-15"/>
          <w:sz w:val="21"/>
        </w:rPr>
        <w:t>至少 </w:t>
      </w:r>
      <w:r>
        <w:rPr>
          <w:sz w:val="21"/>
        </w:rPr>
        <w:t>180</w:t>
      </w:r>
      <w:r>
        <w:rPr>
          <w:spacing w:val="-8"/>
          <w:sz w:val="21"/>
        </w:rPr>
        <w:t> 天无法独立完成六项基本日常生活活动中的二项。</w:t>
      </w:r>
      <w:r>
        <w:rPr>
          <w:rFonts w:ascii="Microsoft JhengHei" w:eastAsia="Microsoft JhengHei" w:hint="eastAsia"/>
          <w:b/>
          <w:spacing w:val="-8"/>
          <w:sz w:val="21"/>
        </w:rPr>
        <w:t>继发性帕金森综合征不在保障范围内。</w:t>
      </w:r>
    </w:p>
    <w:p>
      <w:pPr>
        <w:spacing w:after="0" w:line="218" w:lineRule="auto"/>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both"/>
      </w:pPr>
      <w:r>
        <w:rPr/>
        <w:t>早</w:t>
      </w:r>
      <w:r>
        <w:rPr>
          <w:spacing w:val="30"/>
        </w:rPr>
        <w:t>期运动神经元病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本合同所指重大疾病“严重运动神经元病”的标准。</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both"/>
      </w:pPr>
      <w:r>
        <w:rPr/>
        <w:t>颈</w:t>
      </w:r>
      <w:r>
        <w:rPr>
          <w:spacing w:val="30"/>
        </w:rPr>
        <w:t>动脉内膜切除手术</w:t>
      </w:r>
    </w:p>
    <w:p>
      <w:pPr>
        <w:pStyle w:val="BodyText"/>
        <w:spacing w:line="273" w:lineRule="auto"/>
        <w:ind w:left="171" w:right="208" w:firstLine="422"/>
      </w:pPr>
      <w:r>
        <w:rPr/>
        <w:br w:type="column"/>
      </w:r>
      <w:r>
        <w:rPr>
          <w:spacing w:val="-4"/>
        </w:rPr>
        <w:t>指颈动脉狭窄超过 </w:t>
      </w:r>
      <w:r>
        <w:rPr/>
        <w:t>80</w:t>
      </w:r>
      <w:r>
        <w:rPr>
          <w:spacing w:val="-9"/>
        </w:rPr>
        <w:t>%且实际实施了颈动脉内膜切除手术，颈动脉狭窄程度必</w:t>
      </w:r>
      <w:r>
        <w:rPr>
          <w:spacing w:val="-7"/>
        </w:rPr>
        <w:t>须经颈动脉造影证实。</w:t>
      </w:r>
    </w:p>
    <w:p>
      <w:pPr>
        <w:pStyle w:val="Heading2"/>
        <w:spacing w:line="306" w:lineRule="exact"/>
        <w:ind w:left="593"/>
      </w:pPr>
      <w:r>
        <w:rPr/>
        <w:t>针对颈动脉以外的血管施行的动脉内膜切除手术不在保障范围内。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颈</w:t>
      </w:r>
      <w:r>
        <w:rPr>
          <w:b/>
          <w:spacing w:val="30"/>
          <w:sz w:val="21"/>
        </w:rPr>
        <w:t>动脉狭窄介入治疗</w:t>
      </w:r>
    </w:p>
    <w:p>
      <w:pPr>
        <w:pStyle w:val="BodyText"/>
        <w:spacing w:line="273" w:lineRule="auto"/>
        <w:ind w:left="171" w:right="208" w:firstLine="422"/>
        <w:jc w:val="both"/>
      </w:pPr>
      <w:r>
        <w:rPr/>
        <w:br w:type="column"/>
      </w:r>
      <w:r>
        <w:rPr/>
        <w:t>指对一条或以上的颈动脉狭窄的治疗，疾病的诊断及治疗均须在本公司认可医院内由专科医生认为是医疗必须的情况下进行。理赔时必须同时符合下列所有条件：</w:t>
      </w:r>
    </w:p>
    <w:p>
      <w:pPr>
        <w:pStyle w:val="BodyText"/>
        <w:spacing w:before="7"/>
        <w:ind w:left="593"/>
      </w:pPr>
      <w:r>
        <w:rPr/>
        <w:t>（1）经由血管造影术证明一条或以上的颈动脉存在 50%或以上狭窄；</w:t>
      </w:r>
    </w:p>
    <w:p>
      <w:pPr>
        <w:pStyle w:val="BodyText"/>
        <w:spacing w:line="273" w:lineRule="auto"/>
        <w:ind w:left="171" w:right="208" w:firstLine="422"/>
        <w:jc w:val="both"/>
      </w:pPr>
      <w:r>
        <w:rPr/>
        <w:t>（2）确实已针对以上狭窄血管进行介入治疗以减轻症状，介入治疗包括血管成形术及/或进行植入支架或颈动脉粥样斑块清除手术。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植</w:t>
      </w:r>
      <w:r>
        <w:rPr>
          <w:spacing w:val="30"/>
        </w:rPr>
        <w:t>入大脑内分流器</w:t>
      </w:r>
    </w:p>
    <w:p>
      <w:pPr>
        <w:pStyle w:val="BodyText"/>
        <w:spacing w:before="37"/>
        <w:ind w:left="593"/>
      </w:pPr>
      <w:r>
        <w:rPr/>
        <w:br w:type="column"/>
      </w:r>
      <w:r>
        <w:rPr/>
        <w:t>为缓解已升高的脑脊液压力而确实已在脑室进行分流器植入手术。</w:t>
      </w:r>
    </w:p>
    <w:p>
      <w:pPr>
        <w:pStyle w:val="BodyText"/>
        <w:spacing w:line="273" w:lineRule="auto" w:before="37"/>
        <w:ind w:left="171" w:right="208" w:firstLine="422"/>
      </w:pPr>
      <w:r>
        <w:rPr/>
        <w:t>诊断及治疗均须在本公司认可医院内由脑神经科专科医生认为是医疗必须的情况下进行。</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both"/>
      </w:pPr>
      <w:r>
        <w:rPr/>
        <w:t>结</w:t>
      </w:r>
      <w:r>
        <w:rPr>
          <w:spacing w:val="30"/>
        </w:rPr>
        <w:t>核性脊髓炎</w:t>
      </w:r>
    </w:p>
    <w:p>
      <w:pPr>
        <w:pStyle w:val="BodyText"/>
        <w:spacing w:line="273" w:lineRule="auto"/>
        <w:ind w:left="171" w:right="208" w:firstLine="422"/>
      </w:pPr>
      <w:r>
        <w:rPr/>
        <w:br w:type="column"/>
      </w:r>
      <w:r>
        <w:rPr/>
        <w:t>因结核杆菌引起的脊髓炎，导致永久性神经系统功能中度障碍，即：疾病首次确诊 180 天后，仍遗留下列一种或一种以上障碍：</w:t>
      </w:r>
    </w:p>
    <w:p>
      <w:pPr>
        <w:pStyle w:val="BodyText"/>
        <w:spacing w:before="7"/>
        <w:ind w:left="593"/>
      </w:pPr>
      <w:r>
        <w:rPr/>
        <w:t>（1）一肢或一肢以上肢体肌力Ⅲ级或Ⅲ级以下的运动功能障碍；</w:t>
      </w:r>
    </w:p>
    <w:p>
      <w:pPr>
        <w:pStyle w:val="BodyText"/>
        <w:spacing w:line="273" w:lineRule="auto"/>
        <w:ind w:left="171" w:right="208" w:firstLine="422"/>
      </w:pPr>
      <w:r>
        <w:rPr/>
        <w:t>（2）自主生活能力部分丧失，无法独立完成六项基本日常生活活动中的二项或二项以上。</w:t>
      </w:r>
    </w:p>
    <w:p>
      <w:pPr>
        <w:pStyle w:val="BodyText"/>
        <w:spacing w:line="273" w:lineRule="auto" w:before="7"/>
        <w:ind w:left="171" w:right="208" w:firstLine="422"/>
      </w:pPr>
      <w:r>
        <w:rPr/>
        <w:t>该诊断必须由本公司认可医院的神经专科医生证实，并必须由适当的检查证明为结核性脊髓炎。</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0"/>
        <w:rPr>
          <w:sz w:val="12"/>
        </w:rPr>
      </w:pPr>
    </w:p>
    <w:p>
      <w:pPr>
        <w:pStyle w:val="ListParagraph"/>
        <w:numPr>
          <w:ilvl w:val="2"/>
          <w:numId w:val="7"/>
        </w:numPr>
        <w:tabs>
          <w:tab w:pos="1537" w:val="left" w:leader="none"/>
          <w:tab w:pos="2386" w:val="left" w:leader="none"/>
        </w:tabs>
        <w:spacing w:line="342" w:lineRule="exact" w:before="0" w:after="0"/>
        <w:ind w:left="778" w:right="0" w:firstLine="0"/>
        <w:jc w:val="left"/>
        <w:rPr>
          <w:rFonts w:ascii="宋体" w:eastAsia="宋体" w:hint="eastAsia"/>
          <w:sz w:val="21"/>
        </w:rPr>
      </w:pPr>
      <w:r>
        <w:rPr>
          <w:b/>
          <w:sz w:val="21"/>
        </w:rPr>
        <w:t>单</w:t>
        <w:tab/>
      </w:r>
      <w:r>
        <w:rPr>
          <w:rFonts w:ascii="宋体" w:eastAsia="宋体" w:hint="eastAsia"/>
          <w:spacing w:val="-1"/>
          <w:sz w:val="21"/>
        </w:rPr>
        <w:t>因肾脏</w:t>
      </w:r>
      <w:r>
        <w:rPr>
          <w:rFonts w:ascii="宋体" w:eastAsia="宋体" w:hint="eastAsia"/>
          <w:sz w:val="21"/>
        </w:rPr>
        <w:t>疾病或外伤而确实已经接受手术完全切除左</w:t>
      </w:r>
      <w:r>
        <w:rPr>
          <w:rFonts w:ascii="宋体" w:eastAsia="宋体" w:hint="eastAsia"/>
          <w:spacing w:val="-5"/>
          <w:sz w:val="21"/>
        </w:rPr>
        <w:t>肾</w:t>
      </w:r>
      <w:r>
        <w:rPr>
          <w:rFonts w:ascii="宋体" w:eastAsia="宋体" w:hint="eastAsia"/>
          <w:sz w:val="21"/>
        </w:rPr>
        <w:t>和</w:t>
      </w:r>
      <w:r>
        <w:rPr>
          <w:rFonts w:ascii="Microsoft JhengHei Light" w:eastAsia="Microsoft JhengHei Light" w:hint="eastAsia"/>
          <w:b w:val="0"/>
          <w:sz w:val="21"/>
        </w:rPr>
        <w:t>/</w:t>
      </w:r>
      <w:r>
        <w:rPr>
          <w:rFonts w:ascii="宋体" w:eastAsia="宋体" w:hint="eastAsia"/>
          <w:sz w:val="21"/>
        </w:rPr>
        <w:t>或右肾。手术必须被</w:t>
      </w:r>
    </w:p>
    <w:p>
      <w:pPr>
        <w:spacing w:after="0" w:line="342" w:lineRule="exact"/>
        <w:jc w:val="left"/>
        <w:rPr>
          <w:rFonts w:ascii="宋体" w:eastAsia="宋体" w:hint="eastAsia"/>
          <w:sz w:val="21"/>
        </w:rPr>
        <w:sectPr>
          <w:type w:val="continuous"/>
          <w:pgSz w:w="11910" w:h="16840"/>
          <w:pgMar w:top="1040" w:bottom="1180" w:left="1300" w:right="980"/>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2"/>
        <w:spacing w:line="204" w:lineRule="auto" w:before="24"/>
      </w:pPr>
      <w:r>
        <w:rPr/>
        <w:t>肾切除手术</w:t>
      </w:r>
    </w:p>
    <w:p>
      <w:pPr>
        <w:pStyle w:val="BodyText"/>
        <w:spacing w:line="260" w:lineRule="exact"/>
        <w:ind w:left="171"/>
      </w:pPr>
      <w:r>
        <w:rPr/>
        <w:br w:type="column"/>
      </w:r>
      <w:r>
        <w:rPr/>
        <w:t>本公司认可医院的专科医生视为必要的。</w:t>
      </w:r>
    </w:p>
    <w:p>
      <w:pPr>
        <w:pStyle w:val="Heading2"/>
        <w:spacing w:line="351" w:lineRule="exact"/>
        <w:ind w:left="593"/>
      </w:pPr>
      <w:r>
        <w:rPr/>
        <w:t>因捐赠肾脏而所需的手术不在保障范围内。</w:t>
      </w:r>
    </w:p>
    <w:p>
      <w:pPr>
        <w:spacing w:after="0" w:line="351" w:lineRule="exact"/>
        <w:sectPr>
          <w:type w:val="continuous"/>
          <w:pgSz w:w="11910" w:h="16840"/>
          <w:pgMar w:top="1040" w:bottom="1180" w:left="1300" w:right="1080"/>
          <w:cols w:num="2" w:equalWidth="0">
            <w:col w:w="1753" w:space="40"/>
            <w:col w:w="7737"/>
          </w:cols>
        </w:sectPr>
      </w:pPr>
    </w:p>
    <w:p>
      <w:pPr>
        <w:pStyle w:val="BodyText"/>
        <w:spacing w:before="3"/>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单</w:t>
      </w:r>
      <w:r>
        <w:rPr>
          <w:b/>
          <w:spacing w:val="30"/>
          <w:sz w:val="21"/>
        </w:rPr>
        <w:t>个肢体缺失</w:t>
      </w:r>
    </w:p>
    <w:p>
      <w:pPr>
        <w:pStyle w:val="BodyText"/>
        <w:spacing w:line="273" w:lineRule="auto" w:before="37"/>
        <w:ind w:left="171" w:right="108" w:firstLine="422"/>
      </w:pPr>
      <w:r>
        <w:rPr/>
        <w:br w:type="column"/>
      </w:r>
      <w:r>
        <w:rPr/>
        <w:t>指一个肢体自腕关节或踝关节近端（靠近躯干端）以上完全性断离，但未达到本合同所指重大疾病“多个肢体缺失”的标准。</w:t>
      </w:r>
    </w:p>
    <w:p>
      <w:pPr>
        <w:pStyle w:val="Heading2"/>
        <w:spacing w:line="204" w:lineRule="auto"/>
        <w:ind w:left="171" w:right="108" w:firstLine="422"/>
      </w:pPr>
      <w:r>
        <w:rPr/>
        <w:t>因 6.4.40 条“糖尿病导致单足切除”导致的单个肢体缺失不在本项保障范围内。</w:t>
      </w:r>
    </w:p>
    <w:p>
      <w:pPr>
        <w:spacing w:after="0" w:line="204" w:lineRule="auto"/>
        <w:sectPr>
          <w:type w:val="continuous"/>
          <w:pgSz w:w="11910" w:h="16840"/>
          <w:pgMar w:top="1040" w:bottom="1180" w:left="1300" w:right="1080"/>
          <w:cols w:num="2" w:equalWidth="0">
            <w:col w:w="1753" w:space="40"/>
            <w:col w:w="7737"/>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病</w:t>
      </w:r>
      <w:r>
        <w:rPr>
          <w:b/>
          <w:spacing w:val="30"/>
          <w:sz w:val="21"/>
        </w:rPr>
        <w:t>毒性肝炎导致的肝硬化</w:t>
      </w:r>
    </w:p>
    <w:p>
      <w:pPr>
        <w:pStyle w:val="BodyText"/>
        <w:spacing w:line="273" w:lineRule="auto"/>
        <w:ind w:left="171" w:right="108" w:firstLine="422"/>
      </w:pPr>
      <w:r>
        <w:rPr/>
        <w:br w:type="column"/>
      </w:r>
      <w:r>
        <w:rPr/>
        <w:t>因肝炎病毒感染的肝脏慢性炎症并发展为肝硬化。理赔时须满足下列全部条件：</w:t>
      </w:r>
    </w:p>
    <w:p>
      <w:pPr>
        <w:pStyle w:val="BodyText"/>
        <w:spacing w:before="7"/>
        <w:ind w:left="593"/>
      </w:pPr>
      <w:r>
        <w:rPr/>
        <w:t>（1）被保人有感染慢性肝炎病毒的血清学及实验室检查报告等临床证据；</w:t>
      </w:r>
    </w:p>
    <w:p>
      <w:pPr>
        <w:pStyle w:val="BodyText"/>
        <w:spacing w:line="273" w:lineRule="auto" w:before="37"/>
        <w:ind w:left="171" w:right="113" w:firstLine="422"/>
      </w:pPr>
      <w:r>
        <w:rPr/>
        <w:t>（2）必须由本公司认可医院的消化科专科医生基于肝脏组织病理学检查报告、临床表现及病史对肝炎病毒感染导致肝硬化作出明确诊断；</w:t>
      </w:r>
    </w:p>
    <w:p>
      <w:pPr>
        <w:pStyle w:val="BodyText"/>
        <w:spacing w:line="273" w:lineRule="auto" w:before="8"/>
        <w:ind w:left="171" w:right="108" w:firstLine="422"/>
      </w:pPr>
      <w:r>
        <w:rPr>
          <w:spacing w:val="-21"/>
        </w:rPr>
        <w:t>（3）</w:t>
      </w:r>
      <w:r>
        <w:rPr>
          <w:spacing w:val="-8"/>
        </w:rPr>
        <w:t>病理学检查报告证明肝脏病变按 </w:t>
      </w:r>
      <w:r>
        <w:rPr/>
        <w:t>Metavir</w:t>
      </w:r>
      <w:r>
        <w:rPr>
          <w:spacing w:val="-16"/>
        </w:rPr>
        <w:t> 分级表中属 </w:t>
      </w:r>
      <w:r>
        <w:rPr/>
        <w:t>F4</w:t>
      </w:r>
      <w:r>
        <w:rPr>
          <w:spacing w:val="-21"/>
        </w:rPr>
        <w:t> 阶段或 </w:t>
      </w:r>
      <w:r>
        <w:rPr/>
        <w:t>Knodell </w:t>
      </w:r>
      <w:r>
        <w:rPr>
          <w:spacing w:val="-7"/>
        </w:rPr>
        <w:t>肝纤维化标准达到 </w:t>
      </w:r>
      <w:r>
        <w:rPr/>
        <w:t>4</w:t>
      </w:r>
      <w:r>
        <w:rPr>
          <w:spacing w:val="-18"/>
        </w:rPr>
        <w:t> 分。</w:t>
      </w:r>
    </w:p>
    <w:p>
      <w:pPr>
        <w:pStyle w:val="Heading2"/>
        <w:spacing w:line="306" w:lineRule="exact"/>
        <w:ind w:left="694"/>
      </w:pPr>
      <w:r>
        <w:rPr/>
        <w:t>由酒精或药物滥用而引起的本疾病不在保障范围内。</w:t>
      </w:r>
    </w:p>
    <w:p>
      <w:pPr>
        <w:spacing w:after="0" w:line="306" w:lineRule="exact"/>
        <w:sectPr>
          <w:type w:val="continuous"/>
          <w:pgSz w:w="11910" w:h="16840"/>
          <w:pgMar w:top="1040" w:bottom="1180" w:left="1300" w:right="1080"/>
          <w:cols w:num="2" w:equalWidth="0">
            <w:col w:w="1753" w:space="40"/>
            <w:col w:w="7737"/>
          </w:cols>
        </w:sectPr>
      </w:pPr>
    </w:p>
    <w:p>
      <w:pPr>
        <w:pStyle w:val="BodyText"/>
        <w:spacing w:before="10"/>
        <w:rPr>
          <w:rFonts w:ascii="Microsoft JhengHei"/>
          <w:b/>
          <w:sz w:val="16"/>
        </w:rPr>
      </w:pPr>
    </w:p>
    <w:p>
      <w:pPr>
        <w:spacing w:after="0"/>
        <w:rPr>
          <w:rFonts w:ascii="Microsoft JhengHei"/>
          <w:sz w:val="16"/>
        </w:rPr>
        <w:sectPr>
          <w:type w:val="continuous"/>
          <w:pgSz w:w="11910" w:h="16840"/>
          <w:pgMar w:top="1040" w:bottom="1180" w:left="1300" w:right="10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左</w:t>
      </w:r>
      <w:r>
        <w:rPr>
          <w:b/>
          <w:spacing w:val="2"/>
          <w:sz w:val="21"/>
        </w:rPr>
        <w:t>和/</w:t>
      </w:r>
      <w:r>
        <w:rPr>
          <w:b/>
          <w:spacing w:val="0"/>
          <w:sz w:val="21"/>
        </w:rPr>
        <w:t>或右肝叶切除术</w:t>
      </w:r>
    </w:p>
    <w:p>
      <w:pPr>
        <w:pStyle w:val="BodyText"/>
        <w:spacing w:line="273" w:lineRule="auto"/>
        <w:ind w:left="176" w:right="108" w:firstLine="422"/>
      </w:pPr>
      <w:r>
        <w:rPr/>
        <w:br w:type="column"/>
      </w:r>
      <w:r>
        <w:rPr/>
        <w:t>指因疾病或意外导致必须以部分肝脏切除术切除最少一整叶左肝脏或一整叶右肝脏。</w:t>
      </w:r>
    </w:p>
    <w:p>
      <w:pPr>
        <w:pStyle w:val="BodyText"/>
        <w:spacing w:line="273" w:lineRule="auto" w:before="7"/>
        <w:ind w:left="176" w:right="108" w:firstLine="422"/>
      </w:pPr>
      <w:r>
        <w:rPr/>
        <w:t>诊断及治疗均须在本公司认可医院内由专科医生认为是医疗必须的情况下进行。</w:t>
      </w:r>
    </w:p>
    <w:p>
      <w:pPr>
        <w:pStyle w:val="Heading2"/>
        <w:spacing w:line="204" w:lineRule="auto"/>
        <w:ind w:left="176" w:right="113" w:firstLine="422"/>
      </w:pPr>
      <w:r>
        <w:rPr/>
        <w:t>因酒精或者滥用药物引致的疾病或者紊乱及/或因捐赠肝脏而实施的肝脏手术均不在保障范围内。</w:t>
      </w:r>
    </w:p>
    <w:p>
      <w:pPr>
        <w:spacing w:after="0" w:line="204" w:lineRule="auto"/>
        <w:sectPr>
          <w:type w:val="continuous"/>
          <w:pgSz w:w="11910" w:h="16840"/>
          <w:pgMar w:top="1040" w:bottom="1180" w:left="1300" w:right="1080"/>
          <w:cols w:num="2" w:equalWidth="0">
            <w:col w:w="1748" w:space="40"/>
            <w:col w:w="7742"/>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单</w:t>
      </w:r>
      <w:r>
        <w:rPr>
          <w:b/>
          <w:spacing w:val="30"/>
          <w:sz w:val="21"/>
        </w:rPr>
        <w:t>眼视力丧失</w:t>
      </w:r>
    </w:p>
    <w:p>
      <w:pPr>
        <w:pStyle w:val="BodyText"/>
        <w:spacing w:line="273" w:lineRule="auto"/>
        <w:ind w:left="171" w:right="108" w:firstLine="422"/>
      </w:pPr>
      <w:r>
        <w:rPr/>
        <w:br w:type="column"/>
      </w:r>
      <w:r>
        <w:rPr/>
        <w:t>指单眼视力永久不可逆性丧失，但未达到本合同所指重大疾病“双目失明” 的标准，患眼须满足下列至少一项条件：</w:t>
      </w:r>
    </w:p>
    <w:p>
      <w:pPr>
        <w:pStyle w:val="BodyText"/>
        <w:spacing w:before="7"/>
        <w:ind w:left="593"/>
      </w:pPr>
      <w:r>
        <w:rPr/>
        <w:t>（1）眼球缺失或摘除；</w:t>
      </w:r>
    </w:p>
    <w:p>
      <w:pPr>
        <w:pStyle w:val="BodyText"/>
        <w:spacing w:line="273" w:lineRule="auto" w:before="37"/>
        <w:ind w:left="171" w:right="108" w:firstLine="422"/>
      </w:pPr>
      <w:r>
        <w:rPr>
          <w:spacing w:val="-7"/>
        </w:rPr>
        <w:t>（2）</w:t>
      </w:r>
      <w:r>
        <w:rPr>
          <w:spacing w:val="-6"/>
        </w:rPr>
        <w:t>矫正视力低于 </w:t>
      </w:r>
      <w:r>
        <w:rPr>
          <w:spacing w:val="-5"/>
        </w:rPr>
        <w:t>0.02（</w:t>
      </w:r>
      <w:r>
        <w:rPr>
          <w:spacing w:val="-6"/>
        </w:rPr>
        <w:t>采用国际标准视力表，如果使用其他视力表应进行</w:t>
      </w:r>
      <w:r>
        <w:rPr>
          <w:spacing w:val="-6"/>
          <w:w w:val="100"/>
        </w:rPr>
        <w:t>换算</w:t>
      </w:r>
      <w:r>
        <w:rPr>
          <w:spacing w:val="-106"/>
          <w:w w:val="100"/>
        </w:rPr>
        <w:t>）</w:t>
      </w:r>
      <w:r>
        <w:rPr>
          <w:w w:val="100"/>
        </w:rPr>
        <w:t>；</w:t>
      </w:r>
    </w:p>
    <w:p>
      <w:pPr>
        <w:pStyle w:val="BodyText"/>
        <w:spacing w:line="260" w:lineRule="exact" w:before="7"/>
        <w:ind w:left="593"/>
      </w:pPr>
      <w:r>
        <w:rPr/>
        <w:t>（3）视野半径小于 5 度。</w:t>
      </w:r>
    </w:p>
    <w:p>
      <w:pPr>
        <w:pStyle w:val="Heading2"/>
        <w:spacing w:line="204" w:lineRule="auto" w:before="39"/>
        <w:ind w:left="171" w:right="113" w:firstLine="422"/>
      </w:pPr>
      <w:r>
        <w:rPr/>
        <w:t>除眼球缺失或摘除等情形外，被保险人申请理赔时应提供理赔当时的视力丧失诊断及检查证明。</w:t>
      </w:r>
    </w:p>
    <w:p>
      <w:pPr>
        <w:spacing w:line="204" w:lineRule="auto" w:before="1"/>
        <w:ind w:left="171" w:right="108" w:firstLine="422"/>
        <w:jc w:val="left"/>
        <w:rPr>
          <w:rFonts w:ascii="Microsoft JhengHei" w:hAnsi="Microsoft JhengHei" w:eastAsia="Microsoft JhengHei" w:hint="eastAsia"/>
          <w:b/>
          <w:sz w:val="21"/>
        </w:rPr>
      </w:pPr>
      <w:r>
        <w:rPr>
          <w:rFonts w:ascii="Microsoft JhengHei" w:hAnsi="Microsoft JhengHei" w:eastAsia="Microsoft JhengHei" w:hint="eastAsia"/>
          <w:b/>
          <w:sz w:val="21"/>
        </w:rPr>
        <w:t>因 6.4.39 条“糖尿病视网膜晚期增生性病变”导致的单眼视力丧失不在本项保障范围内。</w:t>
      </w:r>
    </w:p>
    <w:p>
      <w:pPr>
        <w:spacing w:after="0" w:line="204" w:lineRule="auto"/>
        <w:jc w:val="left"/>
        <w:rPr>
          <w:rFonts w:ascii="Microsoft JhengHei" w:hAnsi="Microsoft JhengHei" w:eastAsia="Microsoft JhengHei" w:hint="eastAsia"/>
          <w:sz w:val="21"/>
        </w:rPr>
        <w:sectPr>
          <w:type w:val="continuous"/>
          <w:pgSz w:w="11910" w:h="16840"/>
          <w:pgMar w:top="1040" w:bottom="1180" w:left="1300" w:right="1080"/>
          <w:cols w:num="2" w:equalWidth="0">
            <w:col w:w="1753" w:space="40"/>
            <w:col w:w="7737"/>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中</w:t>
      </w:r>
      <w:r>
        <w:rPr>
          <w:b/>
          <w:spacing w:val="30"/>
          <w:sz w:val="21"/>
        </w:rPr>
        <w:t>度系统性红斑狼疮</w:t>
      </w:r>
    </w:p>
    <w:p>
      <w:pPr>
        <w:pStyle w:val="BodyText"/>
        <w:spacing w:line="273" w:lineRule="auto"/>
        <w:ind w:left="171" w:right="108" w:firstLine="422"/>
      </w:pPr>
      <w:r>
        <w:rPr/>
        <w:br w:type="column"/>
      </w:r>
      <w:r>
        <w:rPr/>
        <w:t>本保障所指的系统性红斑狼疮必须符合下列所有理赔条件，但未达到本合同所指重大疾病“系统性红斑狼疮－Ⅲ型或以上狼疮性肾炎”的标准：</w:t>
      </w:r>
    </w:p>
    <w:p>
      <w:pPr>
        <w:pStyle w:val="BodyText"/>
        <w:spacing w:before="7"/>
        <w:ind w:left="593"/>
      </w:pPr>
      <w:r>
        <w:rPr/>
        <w:t>（1）在下列 5 项情况中出现最少 2 项：</w:t>
      </w:r>
    </w:p>
    <w:p>
      <w:pPr>
        <w:pStyle w:val="BodyText"/>
        <w:spacing w:before="37"/>
        <w:ind w:left="699"/>
      </w:pPr>
      <w:r>
        <w:rPr/>
        <w:t>①关节炎：非磨损性关节炎，需涉及两个或以上关节；</w:t>
      </w:r>
    </w:p>
    <w:p>
      <w:pPr>
        <w:pStyle w:val="BodyText"/>
        <w:spacing w:before="37"/>
        <w:ind w:left="699"/>
      </w:pPr>
      <w:r>
        <w:rPr/>
        <w:t>②浆膜炎：胸膜炎或心包炎；</w:t>
      </w:r>
    </w:p>
    <w:p>
      <w:pPr>
        <w:pStyle w:val="BodyText"/>
        <w:spacing w:before="37"/>
        <w:ind w:left="699"/>
      </w:pPr>
      <w:r>
        <w:rPr/>
        <w:t>③肾病：24 小时尿蛋白定量达到 0.5 克，或尿液检查出现细胞管型；</w:t>
      </w:r>
    </w:p>
    <w:p>
      <w:pPr>
        <w:pStyle w:val="BodyText"/>
        <w:spacing w:before="37"/>
        <w:ind w:left="699"/>
      </w:pPr>
      <w:r>
        <w:rPr/>
        <w:t>④血液学异常：溶血性贫血、白细胞减少、或血小板减少；</w:t>
      </w:r>
    </w:p>
    <w:p>
      <w:pPr>
        <w:pStyle w:val="BodyText"/>
        <w:spacing w:before="37"/>
        <w:ind w:left="699"/>
      </w:pPr>
      <w:r>
        <w:rPr/>
        <w:t>⑤抗核抗体阳性、或抗 dsDNA 阳性，或抗 Smith 抗体阳性。</w:t>
      </w:r>
    </w:p>
    <w:p>
      <w:pPr>
        <w:pStyle w:val="BodyText"/>
        <w:spacing w:line="273" w:lineRule="auto" w:before="37"/>
        <w:ind w:left="171" w:right="108" w:firstLine="422"/>
      </w:pPr>
      <w:r>
        <w:rPr/>
        <w:t>（2）系统性红斑狼疮的诊断必须由本公司认可医院的风湿科或免疫系统专科医生确定。</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7"/>
        <w:rPr>
          <w:sz w:val="17"/>
        </w:rPr>
      </w:pPr>
    </w:p>
    <w:p>
      <w:pPr>
        <w:spacing w:after="0"/>
        <w:rPr>
          <w:sz w:val="17"/>
        </w:rPr>
        <w:sectPr>
          <w:pgSz w:w="11910" w:h="16840"/>
          <w:pgMar w:header="870" w:footer="998" w:top="1120" w:bottom="1180" w:left="1300" w:right="980"/>
        </w:sectPr>
      </w:pPr>
    </w:p>
    <w:p>
      <w:pPr>
        <w:pStyle w:val="Heading2"/>
        <w:numPr>
          <w:ilvl w:val="2"/>
          <w:numId w:val="7"/>
        </w:numPr>
        <w:tabs>
          <w:tab w:pos="1537" w:val="left" w:leader="none"/>
        </w:tabs>
        <w:spacing w:line="204" w:lineRule="auto" w:before="24" w:after="0"/>
        <w:ind w:left="778" w:right="0" w:firstLine="0"/>
        <w:jc w:val="both"/>
      </w:pPr>
      <w:r>
        <w:rPr/>
        <w:t>单</w:t>
      </w:r>
      <w:r>
        <w:rPr>
          <w:spacing w:val="30"/>
        </w:rPr>
        <w:t>肺切除手术</w:t>
      </w:r>
    </w:p>
    <w:p>
      <w:pPr>
        <w:pStyle w:val="BodyText"/>
        <w:spacing w:line="273" w:lineRule="auto"/>
        <w:ind w:left="171" w:right="208" w:firstLine="422"/>
      </w:pPr>
      <w:r>
        <w:rPr/>
        <w:br w:type="column"/>
      </w:r>
      <w:r>
        <w:rPr/>
        <w:t>指因疾病或意外而确实已经接受手术完全切除了左全肺或右全肺。手术必须被本公司认可医院的专科医生视为必要的。</w:t>
      </w:r>
    </w:p>
    <w:p>
      <w:pPr>
        <w:pStyle w:val="Heading2"/>
        <w:spacing w:line="306" w:lineRule="exact"/>
        <w:ind w:left="593"/>
      </w:pPr>
      <w:r>
        <w:rPr/>
        <w:t>部分切除一个肺或因捐赠肺脏而所需的手术不在保障范围内。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3"/>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胆</w:t>
      </w:r>
      <w:r>
        <w:rPr>
          <w:b/>
          <w:spacing w:val="30"/>
          <w:sz w:val="21"/>
        </w:rPr>
        <w:t>总管小肠</w:t>
      </w:r>
      <w:r>
        <w:rPr>
          <w:b/>
          <w:spacing w:val="-9"/>
          <w:sz w:val="21"/>
        </w:rPr>
        <w:t>吻合术</w:t>
      </w:r>
      <w:r>
        <w:rPr>
          <w:b/>
          <w:sz w:val="21"/>
        </w:rPr>
        <w:t>（胆</w:t>
      </w:r>
      <w:r>
        <w:rPr>
          <w:b/>
          <w:spacing w:val="30"/>
          <w:sz w:val="21"/>
        </w:rPr>
        <w:t>道重建手术）</w:t>
      </w:r>
    </w:p>
    <w:p>
      <w:pPr>
        <w:pStyle w:val="BodyText"/>
        <w:spacing w:line="273" w:lineRule="auto" w:before="37"/>
        <w:ind w:left="593" w:right="208"/>
      </w:pPr>
      <w:r>
        <w:rPr/>
        <w:br w:type="column"/>
      </w:r>
      <w:r>
        <w:rPr>
          <w:spacing w:val="-5"/>
        </w:rPr>
        <w:t>因疾病或胆道损伤导致实际接受涉及胆总管小肠吻合术的胆道重建手术。  </w:t>
      </w:r>
      <w:r>
        <w:rPr/>
        <w:t>诊断及治疗均须在本公司认可医院内由专科医生认为是医疗必须的情况下进</w:t>
      </w:r>
    </w:p>
    <w:p>
      <w:pPr>
        <w:pStyle w:val="BodyText"/>
        <w:spacing w:line="260" w:lineRule="exact" w:before="7"/>
        <w:ind w:left="171"/>
      </w:pPr>
      <w:r>
        <w:rPr/>
        <w:t>行。</w:t>
      </w:r>
    </w:p>
    <w:p>
      <w:pPr>
        <w:pStyle w:val="Heading2"/>
        <w:spacing w:line="351" w:lineRule="exact"/>
        <w:ind w:left="593"/>
      </w:pPr>
      <w:r>
        <w:rPr/>
        <w:t>因胆道闭锁等先天性疾病而导致进行的胆道手术不在本项保障范围内。</w:t>
      </w:r>
    </w:p>
    <w:p>
      <w:pPr>
        <w:spacing w:after="0" w:line="351"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早</w:t>
      </w:r>
      <w:r>
        <w:rPr>
          <w:b/>
          <w:spacing w:val="30"/>
          <w:sz w:val="21"/>
        </w:rPr>
        <w:t>期系统性硬皮病</w:t>
      </w:r>
    </w:p>
    <w:p>
      <w:pPr>
        <w:pStyle w:val="BodyText"/>
        <w:spacing w:line="273" w:lineRule="auto"/>
        <w:ind w:left="171" w:right="208" w:firstLine="422"/>
        <w:jc w:val="both"/>
      </w:pPr>
      <w:r>
        <w:rPr/>
        <w:br w:type="column"/>
      </w:r>
      <w:r>
        <w:rPr/>
        <w:t>指一种以局限性或弥漫性皮肤增厚和皮肤、血管、内脏器官异常纤维化为特征的结缔组织病。本病须经专科医生明确诊断，并须满足下列所有条件，但未达到本合同所指重大疾病“全身性硬皮病”的标准：</w:t>
      </w:r>
    </w:p>
    <w:p>
      <w:pPr>
        <w:pStyle w:val="BodyText"/>
        <w:spacing w:line="260" w:lineRule="exact" w:before="7"/>
        <w:ind w:left="593"/>
      </w:pPr>
      <w:r>
        <w:rPr/>
        <w:t>（1）必须是经由本公司认可医院的风湿学专科医生根据美国风湿病学会</w:t>
      </w:r>
    </w:p>
    <w:p>
      <w:pPr>
        <w:pStyle w:val="BodyText"/>
        <w:spacing w:line="225" w:lineRule="auto" w:before="7"/>
        <w:ind w:left="171" w:right="207" w:hanging="1"/>
        <w:jc w:val="both"/>
      </w:pPr>
      <w:r>
        <w:rPr>
          <w:spacing w:val="-6"/>
        </w:rPr>
        <w:t>（</w:t>
      </w:r>
      <w:r>
        <w:rPr>
          <w:rFonts w:ascii="Microsoft JhengHei Light" w:hAnsi="Microsoft JhengHei Light" w:eastAsia="Microsoft JhengHei Light" w:hint="eastAsia"/>
          <w:b w:val="0"/>
          <w:spacing w:val="-6"/>
        </w:rPr>
        <w:t>ACR</w:t>
      </w:r>
      <w:r>
        <w:rPr>
          <w:spacing w:val="-6"/>
        </w:rPr>
        <w:t>）</w:t>
      </w:r>
      <w:r>
        <w:rPr>
          <w:spacing w:val="-2"/>
        </w:rPr>
        <w:t>及欧洲抗风湿病联盟</w:t>
      </w:r>
      <w:r>
        <w:rPr>
          <w:rFonts w:ascii="Microsoft JhengHei Light" w:hAnsi="Microsoft JhengHei Light" w:eastAsia="Microsoft JhengHei Light" w:hint="eastAsia"/>
          <w:b w:val="0"/>
        </w:rPr>
        <w:t>(EULAR)</w:t>
      </w:r>
      <w:r>
        <w:rPr>
          <w:spacing w:val="-1"/>
        </w:rPr>
        <w:t>在 </w:t>
      </w:r>
      <w:r>
        <w:rPr>
          <w:rFonts w:ascii="Microsoft JhengHei Light" w:hAnsi="Microsoft JhengHei Light" w:eastAsia="Microsoft JhengHei Light" w:hint="eastAsia"/>
          <w:b w:val="0"/>
        </w:rPr>
        <w:t>2013 </w:t>
      </w:r>
      <w:r>
        <w:rPr>
          <w:spacing w:val="-4"/>
        </w:rPr>
        <w:t>年发布的系统性硬皮病诊断标准确</w:t>
      </w:r>
      <w:r>
        <w:rPr/>
        <w:t>认达到确诊标准（总分值由每一个分类中的最高比重</w:t>
      </w:r>
      <w:r>
        <w:rPr>
          <w:spacing w:val="2"/>
        </w:rPr>
        <w:t>（</w:t>
      </w:r>
      <w:r>
        <w:rPr/>
        <w:t>分值）相加而成，总分</w:t>
      </w:r>
      <w:r>
        <w:rPr>
          <w:rFonts w:ascii="Microsoft JhengHei Light" w:hAnsi="Microsoft JhengHei Light" w:eastAsia="Microsoft JhengHei Light" w:hint="eastAsia"/>
          <w:b w:val="0"/>
        </w:rPr>
        <w:t>≥9 </w:t>
      </w:r>
      <w:r>
        <w:rPr>
          <w:spacing w:val="-3"/>
        </w:rPr>
        <w:t>分的患者被分类为系统性硬皮病</w:t>
      </w:r>
      <w:r>
        <w:rPr>
          <w:spacing w:val="-106"/>
        </w:rPr>
        <w:t>）</w:t>
      </w:r>
      <w:r>
        <w:rPr/>
        <w:t>。</w:t>
      </w:r>
    </w:p>
    <w:p>
      <w:pPr>
        <w:spacing w:line="218" w:lineRule="auto" w:before="62"/>
        <w:ind w:left="593" w:right="1460" w:firstLine="0"/>
        <w:jc w:val="left"/>
        <w:rPr>
          <w:rFonts w:ascii="Microsoft JhengHei" w:eastAsia="Microsoft JhengHei" w:hint="eastAsia"/>
          <w:b/>
          <w:sz w:val="21"/>
        </w:rPr>
      </w:pPr>
      <w:r>
        <w:rPr>
          <w:sz w:val="21"/>
        </w:rPr>
        <w:t>（2）须提供明确的病理活检及自身抗体免疫血清学证据支持。</w:t>
      </w:r>
      <w:r>
        <w:rPr>
          <w:rFonts w:ascii="Microsoft JhengHei" w:eastAsia="Microsoft JhengHei" w:hint="eastAsia"/>
          <w:b/>
          <w:sz w:val="21"/>
        </w:rPr>
        <w:t>以下情况不在保障范围内：</w:t>
      </w:r>
    </w:p>
    <w:p>
      <w:pPr>
        <w:pStyle w:val="Heading2"/>
        <w:spacing w:line="285" w:lineRule="exact"/>
        <w:ind w:left="593"/>
      </w:pPr>
      <w:r>
        <w:rPr/>
        <w:t>（1）局限性硬皮病（带状硬皮病或斑状损害）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39" w:lineRule="exact" w:before="0"/>
        <w:ind w:left="593" w:right="0" w:firstLine="0"/>
        <w:jc w:val="left"/>
        <w:rPr>
          <w:rFonts w:ascii="Microsoft JhengHei" w:eastAsia="Microsoft JhengHei" w:hint="eastAsia"/>
          <w:b/>
          <w:sz w:val="21"/>
        </w:rPr>
      </w:pPr>
      <w:r>
        <w:rPr>
          <w:rFonts w:ascii="Microsoft JhengHei" w:eastAsia="Microsoft JhengHei" w:hint="eastAsia"/>
          <w:b/>
          <w:w w:val="90"/>
          <w:sz w:val="21"/>
        </w:rPr>
        <w:t>（3）CREST  综合征</w:t>
      </w:r>
    </w:p>
    <w:p>
      <w:pPr>
        <w:spacing w:after="0" w:line="339" w:lineRule="exact"/>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糖</w:t>
      </w:r>
      <w:r>
        <w:rPr>
          <w:b/>
          <w:spacing w:val="30"/>
          <w:sz w:val="21"/>
        </w:rPr>
        <w:t>尿病视网膜晚期增生性病变</w:t>
      </w:r>
    </w:p>
    <w:p>
      <w:pPr>
        <w:pStyle w:val="BodyText"/>
        <w:ind w:left="593"/>
      </w:pPr>
      <w:r>
        <w:rPr/>
        <w:br w:type="column"/>
      </w:r>
      <w:r>
        <w:rPr/>
        <w:t>因糖尿病而并发视网膜晚期增生性血管病变，并必须符合下列所有条件：</w:t>
      </w:r>
    </w:p>
    <w:p>
      <w:pPr>
        <w:pStyle w:val="BodyText"/>
        <w:ind w:left="593"/>
      </w:pPr>
      <w:r>
        <w:rPr/>
        <w:t>（1）确诊糖尿病视网膜病变时已患有糖尿病；</w:t>
      </w:r>
    </w:p>
    <w:p>
      <w:pPr>
        <w:pStyle w:val="BodyText"/>
        <w:spacing w:line="273" w:lineRule="auto"/>
        <w:ind w:left="171" w:right="208" w:firstLine="422"/>
      </w:pPr>
      <w:r>
        <w:rPr/>
        <w:t>（2）</w:t>
      </w:r>
      <w:r>
        <w:rPr>
          <w:spacing w:val="-1"/>
        </w:rPr>
        <w:t>双眼最佳矫正视力低于 </w:t>
      </w:r>
      <w:r>
        <w:rPr/>
        <w:t>0.3（</w:t>
      </w:r>
      <w:r>
        <w:rPr>
          <w:spacing w:val="-5"/>
        </w:rPr>
        <w:t>采用国际标准视力表，如果使用其他视力</w:t>
      </w:r>
      <w:r>
        <w:rPr>
          <w:spacing w:val="-5"/>
          <w:w w:val="100"/>
        </w:rPr>
        <w:t>表应进行换算</w:t>
      </w:r>
      <w:r>
        <w:rPr>
          <w:spacing w:val="-106"/>
          <w:w w:val="100"/>
        </w:rPr>
        <w:t>）</w:t>
      </w:r>
      <w:r>
        <w:rPr>
          <w:w w:val="100"/>
        </w:rPr>
        <w:t>；</w:t>
      </w:r>
    </w:p>
    <w:p>
      <w:pPr>
        <w:pStyle w:val="BodyText"/>
        <w:spacing w:before="7"/>
        <w:ind w:left="593"/>
      </w:pPr>
      <w:r>
        <w:rPr/>
        <w:t>（3）已确实进行了激光治疗等以改善视力障碍；</w:t>
      </w:r>
    </w:p>
    <w:p>
      <w:pPr>
        <w:pStyle w:val="BodyText"/>
        <w:spacing w:line="273" w:lineRule="auto" w:before="37"/>
        <w:ind w:left="171" w:right="208" w:firstLine="422"/>
      </w:pPr>
      <w:r>
        <w:rPr/>
        <w:t>（4）糖尿病视网膜病变的诊断、视力障碍的程度及治疗的医疗之必要性必须由本公司认可医院的眼科专科医生确定。</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糖</w:t>
      </w:r>
      <w:r>
        <w:rPr>
          <w:spacing w:val="30"/>
        </w:rPr>
        <w:t>尿病导致单足截除</w:t>
      </w:r>
    </w:p>
    <w:p>
      <w:pPr>
        <w:pStyle w:val="BodyText"/>
        <w:spacing w:line="273" w:lineRule="auto"/>
        <w:ind w:left="171" w:right="208" w:firstLine="422"/>
      </w:pPr>
      <w:r>
        <w:rPr/>
        <w:br w:type="column"/>
      </w:r>
      <w:r>
        <w:rPr/>
        <w:t>因糖尿病引起的神经及血管病变累及足部，为了维持生命在本公司认可医院内已经进行了医疗必须的由足踝或以上位置的单足截除手术。</w:t>
      </w:r>
    </w:p>
    <w:p>
      <w:pPr>
        <w:pStyle w:val="Heading2"/>
        <w:spacing w:line="306" w:lineRule="exact"/>
        <w:ind w:left="699"/>
      </w:pPr>
      <w:r>
        <w:rPr/>
        <w:t>切除多只脚趾或因任何其他原因引起的截除术不在保障范围内。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中</w:t>
      </w:r>
      <w:r>
        <w:rPr>
          <w:b/>
          <w:spacing w:val="30"/>
          <w:sz w:val="21"/>
        </w:rPr>
        <w:t>度溃疡性结肠炎</w:t>
      </w:r>
    </w:p>
    <w:p>
      <w:pPr>
        <w:pStyle w:val="BodyText"/>
        <w:spacing w:line="273" w:lineRule="auto" w:before="37"/>
        <w:ind w:left="171" w:right="102" w:firstLine="422"/>
      </w:pPr>
      <w:r>
        <w:rPr/>
        <w:br w:type="column"/>
      </w:r>
      <w:r>
        <w:rPr/>
        <w:t>指伴有致命性电解质紊乱及肠道肿胀及有肠破裂的风险的大肠（结肠及直肠） 粘膜炎症，但未达到本合同所指重大疾病“溃疡性结肠炎”的标准。本保障所指的中度溃疡性结肠炎须满足下列所有条件：</w:t>
      </w:r>
    </w:p>
    <w:p>
      <w:pPr>
        <w:pStyle w:val="BodyText"/>
        <w:spacing w:line="273" w:lineRule="auto" w:before="8"/>
        <w:ind w:left="171" w:right="208" w:firstLine="422"/>
      </w:pPr>
      <w:r>
        <w:rPr/>
        <w:t>（1）须经由内窥镜检查证实该疾病侵犯全部结肠及直肠及活检病理学组织切片检查证实为溃疡性结肠炎；</w:t>
      </w:r>
    </w:p>
    <w:p>
      <w:pPr>
        <w:pStyle w:val="BodyText"/>
        <w:spacing w:before="8"/>
        <w:ind w:left="593"/>
      </w:pPr>
      <w:r>
        <w:rPr/>
        <w:t>（2）经专科医生以类固醇或免疫抑制剂连续治疗 6 个月。</w:t>
      </w:r>
    </w:p>
    <w:p>
      <w:pPr>
        <w:pStyle w:val="BodyText"/>
        <w:spacing w:line="273" w:lineRule="auto" w:before="37"/>
        <w:ind w:left="171" w:right="208" w:firstLine="422"/>
      </w:pPr>
      <w:r>
        <w:rPr/>
        <w:t>诊断及治疗均须在本公司认可医院内由专科医生认为是医疗必须的情况下进行。</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植</w:t>
      </w:r>
      <w:r>
        <w:rPr>
          <w:spacing w:val="30"/>
        </w:rPr>
        <w:t>入腔静脉过滤器</w:t>
      </w:r>
    </w:p>
    <w:p>
      <w:pPr>
        <w:pStyle w:val="BodyText"/>
        <w:spacing w:line="273" w:lineRule="auto"/>
        <w:ind w:left="171" w:right="208" w:firstLine="422"/>
        <w:jc w:val="both"/>
      </w:pPr>
      <w:r>
        <w:rPr/>
        <w:br w:type="column"/>
      </w: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0"/>
        <w:rPr>
          <w:sz w:val="20"/>
        </w:rPr>
      </w:pPr>
    </w:p>
    <w:p>
      <w:pPr>
        <w:spacing w:after="0"/>
        <w:rPr>
          <w:sz w:val="20"/>
        </w:rPr>
        <w:sectPr>
          <w:pgSz w:w="11910" w:h="16840"/>
          <w:pgMar w:header="870" w:footer="998" w:top="1120" w:bottom="1180" w:left="1300" w:right="980"/>
        </w:sectPr>
      </w:pPr>
    </w:p>
    <w:p>
      <w:pPr>
        <w:pStyle w:val="BodyText"/>
        <w:spacing w:before="10"/>
        <w:rPr>
          <w:sz w:val="14"/>
        </w:rPr>
      </w:pPr>
    </w:p>
    <w:p>
      <w:pPr>
        <w:pStyle w:val="Heading2"/>
        <w:numPr>
          <w:ilvl w:val="2"/>
          <w:numId w:val="7"/>
        </w:numPr>
        <w:tabs>
          <w:tab w:pos="1537" w:val="left" w:leader="none"/>
        </w:tabs>
        <w:spacing w:line="204" w:lineRule="auto" w:before="0" w:after="0"/>
        <w:ind w:left="778" w:right="0" w:firstLine="0"/>
        <w:jc w:val="left"/>
      </w:pPr>
      <w:r>
        <w:rPr/>
        <w:t>单耳失聪</w:t>
      </w:r>
    </w:p>
    <w:p>
      <w:pPr>
        <w:pStyle w:val="BodyText"/>
        <w:spacing w:before="14"/>
        <w:rPr>
          <w:rFonts w:ascii="Microsoft JhengHei"/>
          <w:b/>
          <w:sz w:val="11"/>
        </w:rPr>
      </w:pPr>
      <w:r>
        <w:rPr/>
        <w:br w:type="column"/>
      </w:r>
      <w:r>
        <w:rPr>
          <w:rFonts w:ascii="Microsoft JhengHei"/>
          <w:b/>
          <w:sz w:val="11"/>
        </w:rPr>
      </w:r>
    </w:p>
    <w:p>
      <w:pPr>
        <w:pStyle w:val="BodyText"/>
        <w:spacing w:before="0"/>
        <w:ind w:left="598"/>
      </w:pPr>
      <w:r>
        <w:rPr/>
        <w:t>指因疾病或者意外伤害导致单耳听力永久不可逆性丧失，在 500 赫兹、1000</w:t>
      </w:r>
    </w:p>
    <w:p>
      <w:pPr>
        <w:pStyle w:val="BodyText"/>
        <w:spacing w:line="273" w:lineRule="auto" w:before="37"/>
        <w:ind w:left="176" w:right="102"/>
      </w:pPr>
      <w:r>
        <w:rPr>
          <w:spacing w:val="-13"/>
        </w:rPr>
        <w:t>赫兹和 </w:t>
      </w:r>
      <w:r>
        <w:rPr/>
        <w:t>2000</w:t>
      </w:r>
      <w:r>
        <w:rPr>
          <w:spacing w:val="-8"/>
        </w:rPr>
        <w:t> 赫兹语音频率下，平均听阈大于 </w:t>
      </w:r>
      <w:r>
        <w:rPr/>
        <w:t>90</w:t>
      </w:r>
      <w:r>
        <w:rPr>
          <w:spacing w:val="-4"/>
        </w:rPr>
        <w:t> 分贝，且经纯音听力测试、声导</w:t>
      </w:r>
      <w:r>
        <w:rPr>
          <w:spacing w:val="-6"/>
        </w:rPr>
        <w:t>抗检测或者听觉诱发电位检测等证实，但未达到本合同所指重大疾病“双耳失聪” 的标准。</w:t>
      </w:r>
    </w:p>
    <w:p>
      <w:pPr>
        <w:pStyle w:val="Heading2"/>
        <w:spacing w:line="204" w:lineRule="auto"/>
        <w:ind w:left="176" w:right="213" w:firstLine="422"/>
      </w:pPr>
      <w:r>
        <w:rPr/>
        <w:t>除内耳结构损伤等情形外，被保险人申请理赔时应提供理赔当时的听力丧失诊断及检查证据。</w:t>
      </w:r>
    </w:p>
    <w:p>
      <w:pPr>
        <w:spacing w:after="0" w:line="204" w:lineRule="auto"/>
        <w:sectPr>
          <w:type w:val="continuous"/>
          <w:pgSz w:w="11910" w:h="16840"/>
          <w:pgMar w:top="1040" w:bottom="1180" w:left="1300" w:right="980"/>
          <w:cols w:num="2" w:equalWidth="0">
            <w:col w:w="1749" w:space="40"/>
            <w:col w:w="7841"/>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植</w:t>
      </w:r>
      <w:r>
        <w:rPr>
          <w:b/>
          <w:spacing w:val="30"/>
          <w:sz w:val="21"/>
        </w:rPr>
        <w:t>入人工耳蜗手术</w:t>
      </w:r>
    </w:p>
    <w:p>
      <w:pPr>
        <w:pStyle w:val="BodyText"/>
        <w:spacing w:line="273" w:lineRule="auto"/>
        <w:ind w:left="171" w:right="208" w:firstLine="422"/>
      </w:pPr>
      <w:r>
        <w:rPr/>
        <w:br w:type="column"/>
      </w:r>
      <w:r>
        <w:rPr/>
        <w:t>指因意外或疾病导致耳蜗或听觉神经永久性损坏，被保险人实际已经在本公司认可医院内进行了医疗必须的人工耳蜗植入手术。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both"/>
      </w:pPr>
      <w:r>
        <w:rPr/>
        <w:t>较</w:t>
      </w:r>
      <w:r>
        <w:rPr>
          <w:spacing w:val="30"/>
        </w:rPr>
        <w:t>小面积Ⅲ 度烧伤</w:t>
      </w:r>
    </w:p>
    <w:p>
      <w:pPr>
        <w:pStyle w:val="BodyText"/>
        <w:spacing w:line="273" w:lineRule="auto"/>
        <w:ind w:left="171" w:right="198" w:firstLine="422"/>
      </w:pPr>
      <w:r>
        <w:rPr/>
        <w:br w:type="column"/>
      </w:r>
      <w:r>
        <w:rPr>
          <w:spacing w:val="-7"/>
        </w:rPr>
        <w:t>指烧伤程度为Ⅲ度，且Ⅲ度烧伤的面积大于全身体表面积的 </w:t>
      </w:r>
      <w:r>
        <w:rPr/>
        <w:t>10%</w:t>
      </w:r>
      <w:r>
        <w:rPr>
          <w:spacing w:val="-11"/>
        </w:rPr>
        <w:t>但小于 </w:t>
      </w:r>
      <w:r>
        <w:rPr/>
        <w:t>20%。</w:t>
      </w:r>
      <w:r>
        <w:rPr>
          <w:spacing w:val="-3"/>
        </w:rPr>
        <w:t>体表面积根据《中国新九分法》计算。</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4" w:after="0"/>
        <w:ind w:left="778" w:right="0" w:firstLine="0"/>
        <w:jc w:val="left"/>
      </w:pPr>
      <w:r>
        <w:rPr/>
        <w:t>早期象皮病</w:t>
      </w:r>
    </w:p>
    <w:p>
      <w:pPr>
        <w:pStyle w:val="BodyText"/>
        <w:spacing w:line="273" w:lineRule="auto"/>
        <w:ind w:left="176" w:right="208" w:firstLine="422"/>
        <w:jc w:val="both"/>
      </w:pPr>
      <w:r>
        <w:rPr/>
        <w:br w:type="column"/>
      </w:r>
      <w:r>
        <w:rPr/>
        <w:t>指因丝虫感染导致淋巴管阻塞而造成身体组织出现严重淋巴水肿，但未达到本合同所指重大疾病“丝虫病所致象皮肿”的标准。此病症须经本公司认可医院的专科医生根据临床表现和微丝蚴的化验结果确诊。</w:t>
      </w:r>
    </w:p>
    <w:p>
      <w:pPr>
        <w:pStyle w:val="Heading2"/>
        <w:spacing w:line="204" w:lineRule="auto"/>
        <w:ind w:left="176" w:right="213" w:firstLine="422"/>
        <w:jc w:val="both"/>
      </w:pPr>
      <w:r>
        <w:rPr/>
        <w:t>由性接触传染的疾病、创伤、手术后疤痕、充血性心力衰竭或先天性淋巴系统异常引起的淋巴水肿，以及急性淋巴管炎或其他原因引起的淋巴水肿不在保障范围内。</w:t>
      </w:r>
    </w:p>
    <w:p>
      <w:pPr>
        <w:spacing w:after="0" w:line="204" w:lineRule="auto"/>
        <w:jc w:val="both"/>
        <w:sectPr>
          <w:type w:val="continuous"/>
          <w:pgSz w:w="11910" w:h="16840"/>
          <w:pgMar w:top="1040" w:bottom="1180" w:left="1300" w:right="980"/>
          <w:cols w:num="2" w:equalWidth="0">
            <w:col w:w="1749" w:space="40"/>
            <w:col w:w="7841"/>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5" w:after="0"/>
        <w:ind w:left="778" w:right="0" w:firstLine="0"/>
        <w:jc w:val="both"/>
        <w:rPr>
          <w:b/>
          <w:sz w:val="21"/>
        </w:rPr>
      </w:pPr>
      <w:r>
        <w:rPr>
          <w:b/>
          <w:sz w:val="21"/>
        </w:rPr>
        <w:t>中</w:t>
      </w:r>
      <w:r>
        <w:rPr>
          <w:b/>
          <w:spacing w:val="30"/>
          <w:sz w:val="21"/>
        </w:rPr>
        <w:t>度类风湿性关节炎</w:t>
      </w:r>
    </w:p>
    <w:p>
      <w:pPr>
        <w:pStyle w:val="BodyText"/>
        <w:spacing w:line="273" w:lineRule="auto"/>
        <w:ind w:left="171" w:right="208" w:firstLine="422"/>
      </w:pPr>
      <w:r>
        <w:rPr/>
        <w:br w:type="column"/>
      </w:r>
      <w:r>
        <w:rPr/>
        <w:t>根据美国风湿病学院的诊断标准，由风湿科专科医生明确诊断并符合下列所有理赔条件，但未达到本合同所指重大疾病“严重类风湿性关节炎”的标准：</w:t>
      </w:r>
    </w:p>
    <w:p>
      <w:pPr>
        <w:pStyle w:val="BodyText"/>
        <w:spacing w:line="273" w:lineRule="auto" w:before="7"/>
        <w:ind w:left="171" w:right="208" w:firstLine="422"/>
      </w:pPr>
      <w:r>
        <w:rPr/>
        <w:t>（1）</w:t>
      </w:r>
      <w:r>
        <w:rPr>
          <w:spacing w:val="-8"/>
        </w:rPr>
        <w:t>关节广泛受损，并经临床证实出现最少 </w:t>
      </w:r>
      <w:r>
        <w:rPr/>
        <w:t>2</w:t>
      </w:r>
      <w:r>
        <w:rPr>
          <w:spacing w:val="-9"/>
        </w:rPr>
        <w:t> 个下列关节位置严重变形：手</w:t>
      </w:r>
      <w:r>
        <w:rPr>
          <w:spacing w:val="-7"/>
        </w:rPr>
        <w:t>部、手腕、肘部、膝部、髋部、踝部、颈椎或脚部；</w:t>
      </w:r>
    </w:p>
    <w:p>
      <w:pPr>
        <w:pStyle w:val="BodyText"/>
        <w:spacing w:before="7"/>
        <w:ind w:left="593"/>
      </w:pPr>
      <w:r>
        <w:rPr/>
        <w:t>（2）至少 180 天无法独立完成六项基本日常生活活动中的二项或二项以上。</w:t>
      </w:r>
    </w:p>
    <w:p>
      <w:pPr>
        <w:spacing w:after="0"/>
        <w:sectPr>
          <w:type w:val="continuous"/>
          <w:pgSz w:w="11910" w:h="16840"/>
          <w:pgMar w:top="1040" w:bottom="1180" w:left="1300" w:right="980"/>
          <w:cols w:num="2" w:equalWidth="0">
            <w:col w:w="1753" w:space="40"/>
            <w:col w:w="7837"/>
          </w:cols>
        </w:sectPr>
      </w:pPr>
    </w:p>
    <w:p>
      <w:pPr>
        <w:pStyle w:val="BodyText"/>
        <w:spacing w:before="9"/>
        <w:rPr>
          <w:sz w:val="14"/>
        </w:rPr>
      </w:pPr>
    </w:p>
    <w:p>
      <w:pPr>
        <w:spacing w:after="0"/>
        <w:rPr>
          <w:sz w:val="14"/>
        </w:rPr>
        <w:sectPr>
          <w:type w:val="continuous"/>
          <w:pgSz w:w="11910" w:h="16840"/>
          <w:pgMar w:top="1040" w:bottom="1180" w:left="1300" w:right="980"/>
        </w:sectPr>
      </w:pPr>
    </w:p>
    <w:p>
      <w:pPr>
        <w:pStyle w:val="Heading2"/>
        <w:numPr>
          <w:ilvl w:val="2"/>
          <w:numId w:val="7"/>
        </w:numPr>
        <w:tabs>
          <w:tab w:pos="1537" w:val="left" w:leader="none"/>
        </w:tabs>
        <w:spacing w:line="204" w:lineRule="auto" w:before="29" w:after="0"/>
        <w:ind w:left="778" w:right="0" w:firstLine="0"/>
        <w:jc w:val="both"/>
      </w:pPr>
      <w:r>
        <w:rPr/>
        <w:t>意</w:t>
      </w:r>
      <w:r>
        <w:rPr>
          <w:spacing w:val="30"/>
        </w:rPr>
        <w:t>外受伤所需的面部重建手术</w:t>
      </w:r>
    </w:p>
    <w:p>
      <w:pPr>
        <w:pStyle w:val="BodyText"/>
        <w:spacing w:line="204" w:lineRule="auto" w:before="24"/>
        <w:ind w:left="171" w:right="208" w:firstLine="422"/>
        <w:jc w:val="both"/>
      </w:pPr>
      <w:r>
        <w:rPr/>
        <w:br w:type="column"/>
      </w:r>
      <w:r>
        <w:rPr/>
        <w:t>因意外伤害导致面部受伤而确实进</w:t>
      </w:r>
      <w:r>
        <w:rPr>
          <w:rFonts w:ascii="Microsoft JhengHei Light" w:eastAsia="Microsoft JhengHei Light" w:hint="eastAsia"/>
          <w:b w:val="0"/>
        </w:rPr>
        <w:t>行</w:t>
      </w:r>
      <w:r>
        <w:rPr/>
        <w:t>整形或者重建手术（颈部以上的面部构</w:t>
      </w:r>
      <w:r>
        <w:rPr>
          <w:w w:val="100"/>
        </w:rPr>
        <w:t>造</w:t>
      </w:r>
      <w:r>
        <w:rPr>
          <w:rFonts w:ascii="Microsoft JhengHei Light" w:eastAsia="Microsoft JhengHei Light" w:hint="eastAsia"/>
          <w:b w:val="0"/>
          <w:w w:val="100"/>
        </w:rPr>
        <w:t>不</w:t>
      </w:r>
      <w:r>
        <w:rPr>
          <w:spacing w:val="-5"/>
          <w:w w:val="100"/>
        </w:rPr>
        <w:t>完整、缺掉或者受损而对其形态及外观进</w:t>
      </w:r>
      <w:r>
        <w:rPr>
          <w:rFonts w:ascii="Microsoft JhengHei Light" w:eastAsia="Microsoft JhengHei Light" w:hint="eastAsia"/>
          <w:b w:val="0"/>
          <w:spacing w:val="-5"/>
          <w:w w:val="100"/>
        </w:rPr>
        <w:t>行</w:t>
      </w:r>
      <w:r>
        <w:rPr>
          <w:spacing w:val="-2"/>
          <w:w w:val="100"/>
        </w:rPr>
        <w:t>修复或者重建</w:t>
      </w:r>
      <w:r>
        <w:rPr>
          <w:spacing w:val="-106"/>
          <w:w w:val="100"/>
        </w:rPr>
        <w:t>）</w:t>
      </w:r>
      <w:r>
        <w:rPr>
          <w:spacing w:val="-4"/>
          <w:w w:val="100"/>
        </w:rPr>
        <w:t>，同时必须由本公</w:t>
      </w:r>
      <w:r>
        <w:rPr>
          <w:spacing w:val="-5"/>
        </w:rPr>
        <w:t>司认可医院的专科医生证实该面部毁容所进</w:t>
      </w:r>
      <w:r>
        <w:rPr>
          <w:rFonts w:ascii="Microsoft JhengHei Light" w:eastAsia="Microsoft JhengHei Light" w:hint="eastAsia"/>
          <w:b w:val="0"/>
        </w:rPr>
        <w:t>行</w:t>
      </w:r>
      <w:r>
        <w:rPr>
          <w:spacing w:val="-4"/>
        </w:rPr>
        <w:t>的治疗是医疗所必须。</w:t>
      </w:r>
    </w:p>
    <w:p>
      <w:pPr>
        <w:pStyle w:val="Heading2"/>
        <w:spacing w:line="204" w:lineRule="auto" w:before="5"/>
        <w:ind w:left="171" w:right="213" w:firstLine="422"/>
        <w:jc w:val="both"/>
      </w:pPr>
      <w:r>
        <w:rPr/>
        <w:t>因纯粹整容原因、独立的牙齿修复、独立的鼻骨折断或者独立的皮肤伤口所进行的手术均不在保障范围内。</w:t>
      </w:r>
    </w:p>
    <w:p>
      <w:pPr>
        <w:spacing w:after="0" w:line="204" w:lineRule="auto"/>
        <w:jc w:val="both"/>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7"/>
        </w:numPr>
        <w:tabs>
          <w:tab w:pos="1537" w:val="left" w:leader="none"/>
        </w:tabs>
        <w:spacing w:line="204" w:lineRule="auto" w:before="24" w:after="0"/>
        <w:ind w:left="778" w:right="0" w:firstLine="0"/>
        <w:jc w:val="both"/>
        <w:rPr>
          <w:b/>
          <w:sz w:val="21"/>
        </w:rPr>
      </w:pPr>
      <w:r>
        <w:rPr>
          <w:b/>
          <w:sz w:val="21"/>
        </w:rPr>
        <w:t>因</w:t>
      </w:r>
      <w:r>
        <w:rPr>
          <w:b/>
          <w:spacing w:val="30"/>
          <w:sz w:val="21"/>
        </w:rPr>
        <w:t>肾上腺皮脂腺瘤切除肾上腺</w:t>
      </w:r>
    </w:p>
    <w:p>
      <w:pPr>
        <w:pStyle w:val="BodyText"/>
        <w:spacing w:line="273" w:lineRule="auto"/>
        <w:ind w:left="171" w:right="208" w:firstLine="422"/>
        <w:jc w:val="both"/>
      </w:pPr>
      <w:r>
        <w:rPr/>
        <w:br w:type="column"/>
      </w:r>
      <w:r>
        <w:rPr/>
        <w:t>因肾上腺皮质腺瘤所导致的醛固酮分泌过多而产生的继发性恶性高血压而实际接受了肾上腺切除术治疗。诊断及治疗均须在本公司认可医院内由专科医生认为是医疗必须的情况下进行。</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7"/>
        <w:rPr>
          <w:sz w:val="13"/>
        </w:rPr>
      </w:pPr>
    </w:p>
    <w:p>
      <w:pPr>
        <w:spacing w:after="0"/>
        <w:rPr>
          <w:sz w:val="13"/>
        </w:rPr>
        <w:sectPr>
          <w:type w:val="continuous"/>
          <w:pgSz w:w="11910" w:h="16840"/>
          <w:pgMar w:top="1040" w:bottom="1180" w:left="1300" w:right="980"/>
        </w:sectPr>
      </w:pPr>
    </w:p>
    <w:p>
      <w:pPr>
        <w:pStyle w:val="Heading2"/>
        <w:numPr>
          <w:ilvl w:val="2"/>
          <w:numId w:val="7"/>
        </w:numPr>
        <w:tabs>
          <w:tab w:pos="1537" w:val="left" w:leader="none"/>
        </w:tabs>
        <w:spacing w:line="204" w:lineRule="auto" w:before="25" w:after="0"/>
        <w:ind w:left="778" w:right="0" w:firstLine="0"/>
        <w:jc w:val="both"/>
      </w:pPr>
      <w:r>
        <w:rPr/>
        <w:t>出</w:t>
      </w:r>
      <w:r>
        <w:rPr>
          <w:spacing w:val="30"/>
        </w:rPr>
        <w:t>血性登革热</w:t>
      </w:r>
    </w:p>
    <w:p>
      <w:pPr>
        <w:pStyle w:val="BodyText"/>
        <w:spacing w:line="218" w:lineRule="auto" w:before="62"/>
        <w:ind w:left="171" w:right="208" w:firstLine="422"/>
      </w:pPr>
      <w:r>
        <w:rPr/>
        <w:br w:type="column"/>
      </w:r>
      <w:r>
        <w:rPr/>
        <w:t>出血性登革热须出现全部四种症状，包括发高烧、出血现象、肝肿大和循环衰竭（</w:t>
      </w:r>
      <w:r>
        <w:rPr>
          <w:spacing w:val="-9"/>
        </w:rPr>
        <w:t>登革热休克综合症即符合 </w:t>
      </w:r>
      <w:r>
        <w:rPr>
          <w:rFonts w:ascii="Microsoft JhengHei Light" w:hAnsi="Microsoft JhengHei Light" w:eastAsia="Microsoft JhengHei Light" w:hint="eastAsia"/>
          <w:b w:val="0"/>
        </w:rPr>
        <w:t>WHO </w:t>
      </w:r>
      <w:r>
        <w:rPr>
          <w:spacing w:val="-3"/>
        </w:rPr>
        <w:t>登革热第Ⅲ级及第Ⅳ级</w:t>
      </w:r>
      <w:r>
        <w:rPr>
          <w:spacing w:val="-106"/>
        </w:rPr>
        <w:t>）</w:t>
      </w:r>
      <w:r>
        <w:rPr/>
        <w:t>。</w:t>
      </w:r>
    </w:p>
    <w:p>
      <w:pPr>
        <w:spacing w:line="218" w:lineRule="auto" w:before="38"/>
        <w:ind w:left="593" w:right="1566" w:firstLine="0"/>
        <w:jc w:val="left"/>
        <w:rPr>
          <w:rFonts w:ascii="Microsoft JhengHei" w:eastAsia="Microsoft JhengHei" w:hint="eastAsia"/>
          <w:b/>
          <w:sz w:val="21"/>
        </w:rPr>
      </w:pPr>
      <w:r>
        <w:rPr>
          <w:sz w:val="21"/>
        </w:rPr>
        <w:t>出血性登革热的诊断必须由本公司认可医院的专科医生证实。</w:t>
      </w:r>
      <w:r>
        <w:rPr>
          <w:rFonts w:ascii="Microsoft JhengHei" w:eastAsia="Microsoft JhengHei" w:hint="eastAsia"/>
          <w:b/>
          <w:sz w:val="21"/>
        </w:rPr>
        <w:t>非出血性登革热不在保障范围内。</w:t>
      </w:r>
    </w:p>
    <w:p>
      <w:pPr>
        <w:pStyle w:val="BodyText"/>
        <w:spacing w:before="0"/>
        <w:rPr>
          <w:rFonts w:ascii="Microsoft JhengHei"/>
          <w:b/>
          <w:sz w:val="14"/>
        </w:rPr>
      </w:pPr>
    </w:p>
    <w:p>
      <w:pPr>
        <w:pStyle w:val="BodyText"/>
        <w:spacing w:line="273" w:lineRule="auto" w:before="0"/>
        <w:ind w:left="171" w:right="208" w:firstLine="422"/>
      </w:pPr>
      <w:r>
        <w:rPr/>
        <w:t>上述轻症疾病中所指的永久不可逆，指自疾病确诊或意外伤害发生之日起， 经过积极治疗 180 天后，仍无法通过现有医疗手段恢复。</w:t>
      </w:r>
    </w:p>
    <w:p>
      <w:pPr>
        <w:pStyle w:val="BodyText"/>
        <w:spacing w:before="7"/>
        <w:ind w:left="593"/>
      </w:pPr>
      <w:r>
        <w:rPr/>
        <w:t>上述轻症疾病中所指的六项基本日常生活活动是指：</w:t>
      </w:r>
    </w:p>
    <w:p>
      <w:pPr>
        <w:spacing w:after="0"/>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586"/>
      </w:pPr>
      <w:r>
        <w:rPr/>
        <w:t>（1）穿衣：自己能够穿衣及脱衣；</w:t>
      </w:r>
    </w:p>
    <w:p>
      <w:pPr>
        <w:pStyle w:val="BodyText"/>
        <w:ind w:left="2586"/>
      </w:pPr>
      <w:r>
        <w:rPr/>
        <w:t>（2）移动：自己从一个房间到另一个房间；</w:t>
      </w:r>
    </w:p>
    <w:p>
      <w:pPr>
        <w:pStyle w:val="BodyText"/>
        <w:ind w:left="2586"/>
      </w:pPr>
      <w:r>
        <w:rPr/>
        <w:t>（3）行动：自己上下床或上下轮椅；</w:t>
      </w:r>
    </w:p>
    <w:p>
      <w:pPr>
        <w:pStyle w:val="BodyText"/>
        <w:ind w:left="2586"/>
      </w:pPr>
      <w:r>
        <w:rPr/>
        <w:t>（4）如厕：自己控制进行大小便；</w:t>
      </w:r>
    </w:p>
    <w:p>
      <w:pPr>
        <w:pStyle w:val="BodyText"/>
        <w:ind w:left="2586"/>
      </w:pPr>
      <w:r>
        <w:rPr/>
        <w:t>（5）进食：自己从已准备好的碗或碟中取食物放入口中；</w:t>
      </w:r>
    </w:p>
    <w:p>
      <w:pPr>
        <w:pStyle w:val="BodyText"/>
        <w:ind w:left="2586"/>
      </w:pPr>
      <w:r>
        <w:rPr/>
        <w:t>（6）洗澡：自己进行淋浴或盆浴。</w:t>
      </w:r>
    </w:p>
    <w:p>
      <w:pPr>
        <w:pStyle w:val="BodyText"/>
        <w:spacing w:before="5"/>
        <w:rPr>
          <w:sz w:val="15"/>
        </w:rPr>
      </w:pPr>
    </w:p>
    <w:p>
      <w:pPr>
        <w:spacing w:after="0"/>
        <w:rPr>
          <w:sz w:val="15"/>
        </w:rPr>
        <w:sectPr>
          <w:pgSz w:w="11910" w:h="16840"/>
          <w:pgMar w:header="870" w:footer="998" w:top="1120" w:bottom="1180" w:left="1100" w:right="980"/>
        </w:sectPr>
      </w:pPr>
    </w:p>
    <w:p>
      <w:pPr>
        <w:pStyle w:val="Heading2"/>
        <w:numPr>
          <w:ilvl w:val="1"/>
          <w:numId w:val="7"/>
        </w:numPr>
        <w:tabs>
          <w:tab w:pos="978" w:val="left" w:leader="none"/>
          <w:tab w:pos="979" w:val="left" w:leader="none"/>
        </w:tabs>
        <w:spacing w:line="204" w:lineRule="auto" w:before="25" w:after="0"/>
        <w:ind w:left="978" w:right="0" w:hanging="878"/>
        <w:jc w:val="both"/>
      </w:pPr>
      <w:r>
        <w:rPr>
          <w:spacing w:val="30"/>
        </w:rPr>
        <w:t>本合同所指的重大疾病</w:t>
      </w:r>
    </w:p>
    <w:p>
      <w:pPr>
        <w:pStyle w:val="BodyText"/>
        <w:spacing w:before="37"/>
        <w:ind w:left="100"/>
      </w:pPr>
      <w:r>
        <w:rPr/>
        <w:br w:type="column"/>
      </w:r>
      <w:r>
        <w:rPr/>
        <w:t>本合同所指的重大疾病，是指下列疾病、疾病状态或手术：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8"/>
        <w:rPr>
          <w:sz w:val="13"/>
        </w:rPr>
      </w:pPr>
    </w:p>
    <w:p>
      <w:pPr>
        <w:spacing w:after="0"/>
        <w:rPr>
          <w:sz w:val="13"/>
        </w:rPr>
        <w:sectPr>
          <w:type w:val="continuous"/>
          <w:pgSz w:w="11910" w:h="16840"/>
          <w:pgMar w:top="1040" w:bottom="1180" w:left="1100" w:right="980"/>
        </w:sectPr>
      </w:pPr>
    </w:p>
    <w:p>
      <w:pPr>
        <w:pStyle w:val="Heading2"/>
        <w:numPr>
          <w:ilvl w:val="2"/>
          <w:numId w:val="8"/>
        </w:numPr>
        <w:tabs>
          <w:tab w:pos="1736" w:val="left" w:leader="none"/>
          <w:tab w:pos="1737" w:val="left" w:leader="none"/>
        </w:tabs>
        <w:spacing w:line="204" w:lineRule="auto" w:before="24" w:after="0"/>
        <w:ind w:left="978" w:right="0" w:firstLine="0"/>
        <w:jc w:val="left"/>
      </w:pPr>
      <w:r>
        <w:rPr/>
        <w:t>恶性肿瘤</w:t>
      </w:r>
    </w:p>
    <w:p>
      <w:pPr>
        <w:pStyle w:val="BodyText"/>
        <w:spacing w:line="273" w:lineRule="auto"/>
        <w:ind w:left="176" w:right="107" w:firstLine="422"/>
        <w:jc w:val="both"/>
      </w:pPr>
      <w:r>
        <w:rPr/>
        <w:br w:type="column"/>
      </w:r>
      <w:r>
        <w:rPr/>
        <w:t>指恶性细胞不受控制的进行性增长和扩散，浸润和破坏周围正常组织，可以经血管、淋巴管和体腔扩散转移到身体其他部位的疾病。经病理学检查结果明确诊断， 临床诊断属于世界卫生组织《疾病和有关健康问题的国际统计分类》</w:t>
      </w:r>
    </w:p>
    <w:p>
      <w:pPr>
        <w:pStyle w:val="BodyText"/>
        <w:spacing w:line="260" w:lineRule="exact" w:before="7"/>
        <w:ind w:left="176"/>
      </w:pPr>
      <w:r>
        <w:rPr/>
        <w:t>（ICD-10）的恶性肿瘤范畴。</w:t>
      </w:r>
    </w:p>
    <w:p>
      <w:pPr>
        <w:pStyle w:val="Heading2"/>
        <w:spacing w:line="324" w:lineRule="exact"/>
        <w:ind w:left="598"/>
      </w:pPr>
      <w:r>
        <w:rPr/>
        <w:t>下列疾病不在本项保障范围内：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w w:val="95"/>
          <w:sz w:val="21"/>
        </w:rPr>
        <w:t>（1）原位癌；</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sz w:val="21"/>
        </w:rPr>
        <w:t>（3）相当于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spacing w:line="312" w:lineRule="exact" w:before="0"/>
        <w:ind w:left="598" w:right="0" w:firstLine="0"/>
        <w:jc w:val="left"/>
        <w:rPr>
          <w:rFonts w:ascii="Microsoft JhengHei" w:eastAsia="Microsoft JhengHei" w:hint="eastAsia"/>
          <w:b/>
          <w:sz w:val="21"/>
        </w:rPr>
      </w:pPr>
      <w:r>
        <w:rPr>
          <w:rFonts w:ascii="Microsoft JhengHei" w:eastAsia="Microsoft JhengHei" w:hint="eastAsia"/>
          <w:b/>
          <w:w w:val="100"/>
          <w:sz w:val="21"/>
        </w:rPr>
        <w:t>（4）皮肤癌（</w:t>
      </w:r>
      <w:r>
        <w:rPr>
          <w:rFonts w:ascii="Microsoft JhengHei" w:eastAsia="Microsoft JhengHei" w:hint="eastAsia"/>
          <w:b/>
          <w:spacing w:val="-1"/>
          <w:w w:val="100"/>
          <w:sz w:val="21"/>
        </w:rPr>
        <w:t>不包括恶性黑色素瘤及已</w:t>
      </w:r>
      <w:r>
        <w:rPr>
          <w:rFonts w:ascii="Microsoft JhengHei" w:eastAsia="Microsoft JhengHei" w:hint="eastAsia"/>
          <w:b/>
          <w:spacing w:val="-1"/>
          <w:w w:val="100"/>
          <w:sz w:val="21"/>
        </w:rPr>
        <w:t>发生转移的皮肤癌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04" w:lineRule="auto" w:before="29"/>
        <w:ind w:left="176" w:right="208" w:firstLine="422"/>
        <w:jc w:val="left"/>
        <w:rPr>
          <w:rFonts w:ascii="Microsoft JhengHei" w:eastAsia="Microsoft JhengHei" w:hint="eastAsia"/>
          <w:b/>
          <w:sz w:val="21"/>
        </w:rPr>
      </w:pPr>
      <w:r>
        <w:rPr>
          <w:rFonts w:ascii="Microsoft JhengHei" w:eastAsia="Microsoft JhengHei" w:hint="eastAsia"/>
          <w:b/>
          <w:w w:val="95"/>
          <w:position w:val="1"/>
          <w:sz w:val="21"/>
        </w:rPr>
        <w:t>（5）TNM</w:t>
      </w:r>
      <w:r>
        <w:rPr>
          <w:rFonts w:ascii="Microsoft JhengHei" w:eastAsia="Microsoft JhengHei" w:hint="eastAsia"/>
          <w:b/>
          <w:spacing w:val="7"/>
          <w:w w:val="95"/>
          <w:position w:val="1"/>
          <w:sz w:val="21"/>
        </w:rPr>
        <w:t> 分期为 </w:t>
      </w:r>
      <w:r>
        <w:rPr>
          <w:rFonts w:ascii="Microsoft JhengHei" w:eastAsia="Microsoft JhengHei" w:hint="eastAsia"/>
          <w:b/>
          <w:w w:val="95"/>
          <w:position w:val="1"/>
          <w:sz w:val="21"/>
        </w:rPr>
        <w:t>T</w:t>
      </w:r>
      <w:r>
        <w:rPr>
          <w:rFonts w:ascii="Microsoft JhengHei" w:eastAsia="Microsoft JhengHei" w:hint="eastAsia"/>
          <w:b/>
          <w:w w:val="95"/>
          <w:sz w:val="11"/>
        </w:rPr>
        <w:t>1</w:t>
      </w:r>
      <w:r>
        <w:rPr>
          <w:rFonts w:ascii="Microsoft JhengHei" w:eastAsia="Microsoft JhengHei" w:hint="eastAsia"/>
          <w:b/>
          <w:w w:val="95"/>
          <w:position w:val="1"/>
          <w:sz w:val="21"/>
        </w:rPr>
        <w:t>N</w:t>
      </w:r>
      <w:r>
        <w:rPr>
          <w:rFonts w:ascii="Microsoft JhengHei" w:eastAsia="Microsoft JhengHei" w:hint="eastAsia"/>
          <w:b/>
          <w:w w:val="95"/>
          <w:sz w:val="11"/>
        </w:rPr>
        <w:t>0</w:t>
      </w:r>
      <w:r>
        <w:rPr>
          <w:rFonts w:ascii="Microsoft JhengHei" w:eastAsia="Microsoft JhengHei" w:hint="eastAsia"/>
          <w:b/>
          <w:w w:val="95"/>
          <w:position w:val="1"/>
          <w:sz w:val="21"/>
        </w:rPr>
        <w:t>M</w:t>
      </w:r>
      <w:r>
        <w:rPr>
          <w:rFonts w:ascii="Microsoft JhengHei" w:eastAsia="Microsoft JhengHei" w:hint="eastAsia"/>
          <w:b/>
          <w:w w:val="95"/>
          <w:sz w:val="11"/>
        </w:rPr>
        <w:t>0 </w:t>
      </w:r>
      <w:r>
        <w:rPr>
          <w:rFonts w:ascii="Microsoft JhengHei" w:eastAsia="Microsoft JhengHei" w:hint="eastAsia"/>
          <w:b/>
          <w:spacing w:val="-2"/>
          <w:w w:val="95"/>
          <w:position w:val="1"/>
          <w:sz w:val="21"/>
        </w:rPr>
        <w:t>期或更轻分期的前列腺癌</w:t>
      </w:r>
      <w:r>
        <w:rPr>
          <w:rFonts w:ascii="Microsoft JhengHei" w:eastAsia="Microsoft JhengHei" w:hint="eastAsia"/>
          <w:b/>
          <w:spacing w:val="-5"/>
          <w:w w:val="95"/>
          <w:position w:val="1"/>
          <w:sz w:val="21"/>
        </w:rPr>
        <w:t>（</w:t>
      </w:r>
      <w:r>
        <w:rPr>
          <w:rFonts w:ascii="Microsoft JhengHei" w:eastAsia="Microsoft JhengHei" w:hint="eastAsia"/>
          <w:b/>
          <w:w w:val="95"/>
          <w:position w:val="1"/>
          <w:sz w:val="21"/>
        </w:rPr>
        <w:t>如为女性被保险人，则不</w:t>
      </w:r>
      <w:r>
        <w:rPr>
          <w:rFonts w:ascii="Microsoft JhengHei" w:eastAsia="Microsoft JhengHei" w:hint="eastAsia"/>
          <w:b/>
          <w:w w:val="100"/>
          <w:sz w:val="21"/>
        </w:rPr>
        <w:t>包括此项</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88" w:lineRule="exact" w:before="0"/>
        <w:ind w:left="588" w:right="0" w:firstLine="0"/>
        <w:jc w:val="left"/>
        <w:rPr>
          <w:rFonts w:ascii="Microsoft JhengHei" w:eastAsia="Microsoft JhengHei" w:hint="eastAsia"/>
          <w:b/>
          <w:sz w:val="21"/>
        </w:rPr>
      </w:pPr>
      <w:r>
        <w:rPr>
          <w:rFonts w:ascii="Microsoft JhengHei" w:eastAsia="Microsoft JhengHei" w:hint="eastAsia"/>
          <w:b/>
          <w:sz w:val="21"/>
        </w:rPr>
        <w:t>（6）感染艾滋病病毒或患艾滋病期间所患恶性肿瘤。</w:t>
      </w:r>
    </w:p>
    <w:p>
      <w:pPr>
        <w:spacing w:after="0" w:line="288" w:lineRule="exact"/>
        <w:jc w:val="left"/>
        <w:rPr>
          <w:rFonts w:ascii="Microsoft JhengHei" w:eastAsia="Microsoft JhengHei" w:hint="eastAsia"/>
          <w:sz w:val="21"/>
        </w:rPr>
        <w:sectPr>
          <w:type w:val="continuous"/>
          <w:pgSz w:w="11910" w:h="16840"/>
          <w:pgMar w:top="1040" w:bottom="1180" w:left="1100" w:right="980"/>
          <w:cols w:num="2" w:equalWidth="0">
            <w:col w:w="1949" w:space="40"/>
            <w:col w:w="7841"/>
          </w:cols>
        </w:sectPr>
      </w:pPr>
    </w:p>
    <w:p>
      <w:pPr>
        <w:pStyle w:val="BodyText"/>
        <w:spacing w:before="14"/>
        <w:rPr>
          <w:rFonts w:ascii="Microsoft JhengHei"/>
          <w:b/>
          <w:sz w:val="7"/>
        </w:rPr>
      </w:pPr>
    </w:p>
    <w:p>
      <w:pPr>
        <w:spacing w:after="0"/>
        <w:rPr>
          <w:rFonts w:ascii="Microsoft JhengHei"/>
          <w:sz w:val="7"/>
        </w:rPr>
        <w:sectPr>
          <w:type w:val="continuous"/>
          <w:pgSz w:w="11910" w:h="16840"/>
          <w:pgMar w:top="1040" w:bottom="1180" w:left="1100" w:right="980"/>
        </w:sectPr>
      </w:pPr>
    </w:p>
    <w:p>
      <w:pPr>
        <w:pStyle w:val="ListParagraph"/>
        <w:numPr>
          <w:ilvl w:val="2"/>
          <w:numId w:val="8"/>
        </w:numPr>
        <w:tabs>
          <w:tab w:pos="1737" w:val="left" w:leader="none"/>
        </w:tabs>
        <w:spacing w:line="204" w:lineRule="auto" w:before="48" w:after="0"/>
        <w:ind w:left="978" w:right="0" w:firstLine="0"/>
        <w:jc w:val="both"/>
        <w:rPr>
          <w:b/>
          <w:sz w:val="21"/>
        </w:rPr>
      </w:pPr>
      <w:r>
        <w:rPr>
          <w:b/>
          <w:sz w:val="21"/>
        </w:rPr>
        <w:t>急</w:t>
      </w:r>
      <w:r>
        <w:rPr>
          <w:b/>
          <w:spacing w:val="30"/>
          <w:sz w:val="21"/>
        </w:rPr>
        <w:t>性心肌梗塞</w:t>
      </w:r>
    </w:p>
    <w:p>
      <w:pPr>
        <w:pStyle w:val="BodyText"/>
        <w:ind w:left="171" w:right="208" w:firstLine="422"/>
      </w:pPr>
      <w:r>
        <w:rPr/>
        <w:br w:type="column"/>
      </w:r>
      <w:r>
        <w:rPr/>
        <w:t>指因冠状动脉阻塞导致的相应区域供血不足造成部分心肌坏死。须满足下列至少三项条件：</w:t>
      </w:r>
    </w:p>
    <w:p>
      <w:pPr>
        <w:pStyle w:val="BodyText"/>
        <w:spacing w:line="271" w:lineRule="exact" w:before="0"/>
        <w:ind w:left="593"/>
      </w:pPr>
      <w:r>
        <w:rPr/>
        <w:t>（1）典型临床表现，例如急性胸痛等；</w:t>
      </w:r>
    </w:p>
    <w:p>
      <w:pPr>
        <w:pStyle w:val="BodyText"/>
        <w:spacing w:line="271" w:lineRule="exact" w:before="0"/>
        <w:ind w:left="593"/>
      </w:pPr>
      <w:r>
        <w:rPr/>
        <w:t>（2）新近的心电图改变提示急性心肌梗塞；</w:t>
      </w:r>
    </w:p>
    <w:p>
      <w:pPr>
        <w:pStyle w:val="BodyText"/>
        <w:spacing w:before="0"/>
        <w:ind w:left="171" w:right="208" w:firstLine="422"/>
      </w:pPr>
      <w:r>
        <w:rPr/>
        <w:t>（3）心肌酶或肌钙蛋白有诊断意义的升高，或呈符合急性心肌梗塞的动态性变化；</w:t>
      </w:r>
    </w:p>
    <w:p>
      <w:pPr>
        <w:pStyle w:val="BodyText"/>
        <w:spacing w:line="274" w:lineRule="exact" w:before="1"/>
        <w:ind w:left="593"/>
      </w:pPr>
      <w:r>
        <w:rPr>
          <w:spacing w:val="-20"/>
        </w:rPr>
        <w:t>（4）</w:t>
      </w:r>
      <w:r>
        <w:rPr>
          <w:spacing w:val="-14"/>
        </w:rPr>
        <w:t>发病 </w:t>
      </w:r>
      <w:r>
        <w:rPr/>
        <w:t>90</w:t>
      </w:r>
      <w:r>
        <w:rPr>
          <w:spacing w:val="-16"/>
        </w:rPr>
        <w:t> 天后，经检查证实左心室功能降低，如左心室射血分数低于 </w:t>
      </w:r>
      <w:r>
        <w:rPr/>
        <w:t>50%。</w:t>
      </w:r>
    </w:p>
    <w:p>
      <w:pPr>
        <w:spacing w:after="0" w:line="274" w:lineRule="exact"/>
        <w:sectPr>
          <w:type w:val="continuous"/>
          <w:pgSz w:w="11910" w:h="16840"/>
          <w:pgMar w:top="1040" w:bottom="1180" w:left="1100" w:right="980"/>
          <w:cols w:num="2" w:equalWidth="0">
            <w:col w:w="1953" w:space="40"/>
            <w:col w:w="7837"/>
          </w:cols>
        </w:sectPr>
      </w:pPr>
    </w:p>
    <w:p>
      <w:pPr>
        <w:pStyle w:val="BodyText"/>
        <w:spacing w:before="0"/>
        <w:rPr>
          <w:sz w:val="14"/>
        </w:rPr>
      </w:pPr>
    </w:p>
    <w:p>
      <w:pPr>
        <w:spacing w:after="0"/>
        <w:rPr>
          <w:sz w:val="14"/>
        </w:rPr>
        <w:sectPr>
          <w:type w:val="continuous"/>
          <w:pgSz w:w="11910" w:h="16840"/>
          <w:pgMar w:top="1040" w:bottom="1180" w:left="1100" w:right="980"/>
        </w:sectPr>
      </w:pPr>
    </w:p>
    <w:p>
      <w:pPr>
        <w:pStyle w:val="Heading2"/>
        <w:numPr>
          <w:ilvl w:val="2"/>
          <w:numId w:val="8"/>
        </w:numPr>
        <w:tabs>
          <w:tab w:pos="1737" w:val="left" w:leader="none"/>
        </w:tabs>
        <w:spacing w:line="204" w:lineRule="auto" w:before="24" w:after="0"/>
        <w:ind w:left="978" w:right="0" w:firstLine="0"/>
        <w:jc w:val="both"/>
      </w:pPr>
      <w:r>
        <w:rPr/>
        <w:t>冠</w:t>
      </w:r>
      <w:r>
        <w:rPr>
          <w:spacing w:val="30"/>
        </w:rPr>
        <w:t>状动脉搭</w:t>
      </w:r>
      <w:r>
        <w:rPr>
          <w:spacing w:val="-28"/>
        </w:rPr>
        <w:t>桥术</w:t>
      </w:r>
      <w:r>
        <w:rPr/>
        <w:t>（或称</w:t>
      </w:r>
      <w:r>
        <w:rPr>
          <w:spacing w:val="30"/>
        </w:rPr>
        <w:t>冠状动脉旁路移植术）</w:t>
      </w:r>
    </w:p>
    <w:p>
      <w:pPr>
        <w:pStyle w:val="BodyText"/>
        <w:spacing w:line="273" w:lineRule="auto"/>
        <w:ind w:left="171" w:right="208" w:firstLine="422"/>
      </w:pPr>
      <w:r>
        <w:rPr/>
        <w:br w:type="column"/>
      </w:r>
      <w:r>
        <w:rPr/>
        <w:t>指为治疗严重的冠心病，实际实施了开胸进行的冠状动脉血管旁路移植的手术。</w:t>
      </w:r>
    </w:p>
    <w:p>
      <w:pPr>
        <w:pStyle w:val="Heading2"/>
        <w:spacing w:line="204" w:lineRule="auto"/>
        <w:ind w:left="171" w:right="213" w:firstLine="422"/>
      </w:pPr>
      <w:r>
        <w:rPr/>
        <w:t>冠状动脉支架植入术、心导管球囊扩张术、激光射频技术及其他非开胸的介入手术、腔镜手术不在保障范围内。</w:t>
      </w:r>
    </w:p>
    <w:p>
      <w:pPr>
        <w:spacing w:after="0" w:line="204" w:lineRule="auto"/>
        <w:sectPr>
          <w:type w:val="continuous"/>
          <w:pgSz w:w="11910" w:h="16840"/>
          <w:pgMar w:top="1040" w:bottom="1180" w:left="1100" w:right="980"/>
          <w:cols w:num="2" w:equalWidth="0">
            <w:col w:w="19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2"/>
          <w:numId w:val="8"/>
        </w:numPr>
        <w:tabs>
          <w:tab w:pos="1737" w:val="left" w:leader="none"/>
        </w:tabs>
        <w:spacing w:line="204" w:lineRule="auto" w:before="48" w:after="0"/>
        <w:ind w:left="978" w:right="0" w:firstLine="0"/>
        <w:jc w:val="both"/>
        <w:rPr>
          <w:b/>
          <w:sz w:val="21"/>
        </w:rPr>
      </w:pPr>
      <w:r>
        <w:rPr>
          <w:b/>
          <w:sz w:val="21"/>
        </w:rPr>
        <w:t>心</w:t>
      </w:r>
      <w:r>
        <w:rPr>
          <w:b/>
          <w:spacing w:val="30"/>
          <w:sz w:val="21"/>
        </w:rPr>
        <w:t>脏瓣膜手术</w:t>
      </w:r>
    </w:p>
    <w:p>
      <w:pPr>
        <w:pStyle w:val="BodyText"/>
        <w:ind w:left="593"/>
      </w:pPr>
      <w:r>
        <w:rPr/>
        <w:br w:type="column"/>
      </w:r>
      <w:r>
        <w:rPr/>
        <w:t>指为治疗心脏瓣膜疾病，实际实施了开胸进行的心脏瓣膜置换或修复的手术。</w:t>
      </w:r>
    </w:p>
    <w:p>
      <w:pPr>
        <w:spacing w:after="0"/>
        <w:sectPr>
          <w:type w:val="continuous"/>
          <w:pgSz w:w="11910" w:h="16840"/>
          <w:pgMar w:top="1040" w:bottom="1180" w:left="1100" w:right="980"/>
          <w:cols w:num="2" w:equalWidth="0">
            <w:col w:w="1953" w:space="40"/>
            <w:col w:w="7837"/>
          </w:cols>
        </w:sectPr>
      </w:pPr>
    </w:p>
    <w:p>
      <w:pPr>
        <w:pStyle w:val="BodyText"/>
        <w:spacing w:before="7"/>
        <w:rPr>
          <w:sz w:val="13"/>
        </w:rPr>
      </w:pPr>
    </w:p>
    <w:p>
      <w:pPr>
        <w:spacing w:after="0"/>
        <w:rPr>
          <w:sz w:val="13"/>
        </w:rPr>
        <w:sectPr>
          <w:type w:val="continuous"/>
          <w:pgSz w:w="11910" w:h="16840"/>
          <w:pgMar w:top="1040" w:bottom="1180" w:left="1100" w:right="980"/>
        </w:sectPr>
      </w:pPr>
    </w:p>
    <w:p>
      <w:pPr>
        <w:pStyle w:val="Heading2"/>
        <w:numPr>
          <w:ilvl w:val="2"/>
          <w:numId w:val="8"/>
        </w:numPr>
        <w:tabs>
          <w:tab w:pos="1737" w:val="left" w:leader="none"/>
        </w:tabs>
        <w:spacing w:line="204" w:lineRule="auto" w:before="25" w:after="0"/>
        <w:ind w:left="978" w:right="0" w:firstLine="0"/>
        <w:jc w:val="both"/>
      </w:pPr>
      <w:r>
        <w:rPr/>
        <w:t>严</w:t>
      </w:r>
      <w:r>
        <w:rPr>
          <w:spacing w:val="30"/>
        </w:rPr>
        <w:t>重原发性肺动脉高压</w:t>
      </w:r>
    </w:p>
    <w:p>
      <w:pPr>
        <w:pStyle w:val="BodyText"/>
        <w:spacing w:line="273" w:lineRule="auto" w:before="37"/>
        <w:ind w:left="171" w:right="208" w:firstLine="422"/>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040" w:bottom="1180" w:left="1100" w:right="980"/>
          <w:cols w:num="2" w:equalWidth="0">
            <w:col w:w="1953" w:space="40"/>
            <w:col w:w="7837"/>
          </w:cols>
        </w:sectPr>
      </w:pPr>
    </w:p>
    <w:p>
      <w:pPr>
        <w:pStyle w:val="BodyText"/>
        <w:spacing w:before="7"/>
        <w:rPr>
          <w:sz w:val="17"/>
        </w:rPr>
      </w:pPr>
    </w:p>
    <w:p>
      <w:pPr>
        <w:spacing w:after="0"/>
        <w:rPr>
          <w:sz w:val="17"/>
        </w:rPr>
        <w:sectPr>
          <w:pgSz w:w="11910" w:h="16840"/>
          <w:pgMar w:header="870" w:footer="998" w:top="1120" w:bottom="1180" w:left="1300" w:right="1080"/>
        </w:sectPr>
      </w:pPr>
    </w:p>
    <w:p>
      <w:pPr>
        <w:pStyle w:val="Heading2"/>
        <w:numPr>
          <w:ilvl w:val="2"/>
          <w:numId w:val="8"/>
        </w:numPr>
        <w:tabs>
          <w:tab w:pos="1536" w:val="left" w:leader="none"/>
          <w:tab w:pos="1537" w:val="left" w:leader="none"/>
        </w:tabs>
        <w:spacing w:line="204" w:lineRule="auto" w:before="24" w:after="0"/>
        <w:ind w:left="778" w:right="0" w:firstLine="0"/>
        <w:jc w:val="left"/>
      </w:pPr>
      <w:r>
        <w:rPr/>
        <w:t>主动脉手术</w:t>
      </w:r>
    </w:p>
    <w:p>
      <w:pPr>
        <w:pStyle w:val="BodyText"/>
        <w:spacing w:line="273" w:lineRule="auto"/>
        <w:ind w:left="176" w:right="108" w:firstLine="42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2"/>
        <w:spacing w:line="283" w:lineRule="exact"/>
        <w:ind w:left="598"/>
      </w:pPr>
      <w:r>
        <w:rPr/>
        <w:t>动脉内血管成形术不在保障范围内。</w:t>
      </w:r>
    </w:p>
    <w:p>
      <w:pPr>
        <w:spacing w:after="0" w:line="283" w:lineRule="exact"/>
        <w:sectPr>
          <w:type w:val="continuous"/>
          <w:pgSz w:w="11910" w:h="16840"/>
          <w:pgMar w:top="1040" w:bottom="1180" w:left="1300" w:right="1080"/>
          <w:cols w:num="2" w:equalWidth="0">
            <w:col w:w="1749" w:space="40"/>
            <w:col w:w="7741"/>
          </w:cols>
        </w:sectPr>
      </w:pPr>
    </w:p>
    <w:p>
      <w:pPr>
        <w:pStyle w:val="BodyText"/>
        <w:spacing w:before="1"/>
        <w:rPr>
          <w:rFonts w:ascii="Microsoft JhengHei"/>
          <w:b/>
          <w:sz w:val="8"/>
        </w:rPr>
      </w:pPr>
    </w:p>
    <w:p>
      <w:pPr>
        <w:spacing w:after="0"/>
        <w:rPr>
          <w:rFonts w:ascii="Microsoft JhengHei"/>
          <w:sz w:val="8"/>
        </w:rPr>
        <w:sectPr>
          <w:type w:val="continuous"/>
          <w:pgSz w:w="11910" w:h="16840"/>
          <w:pgMar w:top="1040" w:bottom="1180" w:left="1300" w:right="1080"/>
        </w:sectPr>
      </w:pPr>
    </w:p>
    <w:p>
      <w:pPr>
        <w:pStyle w:val="ListParagraph"/>
        <w:numPr>
          <w:ilvl w:val="2"/>
          <w:numId w:val="8"/>
        </w:numPr>
        <w:tabs>
          <w:tab w:pos="1536" w:val="left" w:leader="none"/>
          <w:tab w:pos="1537" w:val="left" w:leader="none"/>
        </w:tabs>
        <w:spacing w:line="204" w:lineRule="auto" w:before="49" w:after="0"/>
        <w:ind w:left="778" w:right="0" w:firstLine="0"/>
        <w:jc w:val="left"/>
        <w:rPr>
          <w:b/>
          <w:sz w:val="21"/>
        </w:rPr>
      </w:pPr>
      <w:r>
        <w:rPr>
          <w:b/>
          <w:sz w:val="21"/>
        </w:rPr>
        <w:t>严重冠心病</w:t>
      </w:r>
    </w:p>
    <w:p>
      <w:pPr>
        <w:pStyle w:val="BodyText"/>
        <w:ind w:left="176" w:right="108" w:firstLine="422"/>
      </w:pPr>
      <w:r>
        <w:rPr/>
        <w:br w:type="column"/>
      </w:r>
      <w:r>
        <w:rPr/>
        <w:t>指经冠状动脉造影检查明确诊断为主要血管严重狭窄性病变，须满足下列至少一项条件：</w:t>
      </w:r>
    </w:p>
    <w:p>
      <w:pPr>
        <w:pStyle w:val="BodyText"/>
        <w:spacing w:before="0"/>
        <w:ind w:left="176" w:right="67" w:firstLine="422"/>
      </w:pPr>
      <w:r>
        <w:rPr/>
        <w:t>（1）左冠状动脉主干和右冠状动脉中，一支血管管腔堵塞 75%以上，另一支血管管腔堵塞 60%以上；</w:t>
      </w:r>
    </w:p>
    <w:p>
      <w:pPr>
        <w:pStyle w:val="BodyText"/>
        <w:spacing w:before="5"/>
        <w:ind w:left="176" w:right="67" w:firstLine="422"/>
      </w:pPr>
      <w:r>
        <w:rPr/>
        <w:t>（2）左前降支、左旋支和右冠状动脉中，至少一支血管管腔堵塞 75%以上， 其他两支血管管腔堵塞 60%以上。</w:t>
      </w:r>
    </w:p>
    <w:p>
      <w:pPr>
        <w:pStyle w:val="Heading2"/>
        <w:spacing w:line="204" w:lineRule="auto" w:before="5"/>
        <w:ind w:left="176" w:right="113" w:firstLine="422"/>
      </w:pPr>
      <w:r>
        <w:rPr/>
        <w:t>左前降支的分支血管、左旋支的分支血管及右冠状动脉的分支血管的狭窄不作为本保障的衡量指标。</w:t>
      </w:r>
    </w:p>
    <w:p>
      <w:pPr>
        <w:spacing w:after="0" w:line="204" w:lineRule="auto"/>
        <w:sectPr>
          <w:type w:val="continuous"/>
          <w:pgSz w:w="11910" w:h="16840"/>
          <w:pgMar w:top="1040" w:bottom="1180" w:left="1300" w:right="1080"/>
          <w:cols w:num="2" w:equalWidth="0">
            <w:col w:w="1749" w:space="40"/>
            <w:col w:w="77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8"/>
        </w:numPr>
        <w:tabs>
          <w:tab w:pos="1537" w:val="left" w:leader="none"/>
        </w:tabs>
        <w:spacing w:line="204" w:lineRule="auto" w:before="24" w:after="0"/>
        <w:ind w:left="778" w:right="0" w:firstLine="0"/>
        <w:jc w:val="both"/>
        <w:rPr>
          <w:b/>
          <w:sz w:val="21"/>
        </w:rPr>
      </w:pPr>
      <w:r>
        <w:rPr>
          <w:b/>
          <w:sz w:val="21"/>
        </w:rPr>
        <w:t>严</w:t>
      </w:r>
      <w:r>
        <w:rPr>
          <w:b/>
          <w:spacing w:val="30"/>
          <w:sz w:val="21"/>
        </w:rPr>
        <w:t>重原发性心肌病</w:t>
      </w:r>
    </w:p>
    <w:p>
      <w:pPr>
        <w:pStyle w:val="BodyText"/>
        <w:spacing w:line="273" w:lineRule="auto"/>
        <w:ind w:left="171" w:right="108" w:firstLine="422"/>
        <w:jc w:val="both"/>
      </w:pPr>
      <w:r>
        <w:rPr/>
        <w:br w:type="column"/>
      </w:r>
      <w:r>
        <w:rPr/>
        <w:t>指经本公司认可医院的心脏专科医师确诊被保险人因原发性心肌病而出现的心室功能障碍而使其出现明显的心功能衰竭（至少达到美国纽约心脏病学会心功能状态分级Ⅳ级（注）)。本保障范围内的心肌病仅包括扩张型心肌病、肥厚型心肌病及限制型心肌病。</w:t>
      </w:r>
    </w:p>
    <w:p>
      <w:pPr>
        <w:pStyle w:val="Heading2"/>
        <w:spacing w:line="306" w:lineRule="exact"/>
        <w:ind w:left="593"/>
      </w:pPr>
      <w:r>
        <w:rPr/>
        <w:t>继发于酒精滥用性的心肌病不在保障范围内。</w:t>
      </w:r>
    </w:p>
    <w:p>
      <w:pPr>
        <w:pStyle w:val="BodyText"/>
        <w:spacing w:line="273" w:lineRule="auto" w:before="14"/>
        <w:ind w:left="171" w:right="1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3"/>
        <w:rPr>
          <w:sz w:val="13"/>
        </w:rPr>
      </w:pPr>
    </w:p>
    <w:p>
      <w:pPr>
        <w:spacing w:after="0"/>
        <w:rPr>
          <w:sz w:val="13"/>
        </w:rPr>
        <w:sectPr>
          <w:type w:val="continuous"/>
          <w:pgSz w:w="11910" w:h="16840"/>
          <w:pgMar w:top="1040" w:bottom="1180" w:left="1300" w:right="1080"/>
        </w:sectPr>
      </w:pPr>
    </w:p>
    <w:p>
      <w:pPr>
        <w:pStyle w:val="Heading2"/>
        <w:numPr>
          <w:ilvl w:val="2"/>
          <w:numId w:val="8"/>
        </w:numPr>
        <w:tabs>
          <w:tab w:pos="1537" w:val="left" w:leader="none"/>
        </w:tabs>
        <w:spacing w:line="204" w:lineRule="auto" w:before="25" w:after="0"/>
        <w:ind w:left="778" w:right="0" w:firstLine="0"/>
        <w:jc w:val="both"/>
      </w:pPr>
      <w:r>
        <w:rPr/>
        <w:t>肺</w:t>
      </w:r>
      <w:r>
        <w:rPr>
          <w:spacing w:val="30"/>
        </w:rPr>
        <w:t>源性心脏病</w:t>
      </w:r>
    </w:p>
    <w:p>
      <w:pPr>
        <w:pStyle w:val="BodyText"/>
        <w:spacing w:line="273" w:lineRule="auto" w:before="37"/>
        <w:ind w:left="171" w:right="98" w:firstLine="422"/>
        <w:jc w:val="both"/>
      </w:pPr>
      <w:r>
        <w:rPr/>
        <w:br w:type="column"/>
      </w:r>
      <w:r>
        <w:rPr/>
        <w:t>指被保险人因慢性肺部疾病导致慢性心功能损害造成永久不可逆性的心功能</w:t>
      </w:r>
      <w:r>
        <w:rPr>
          <w:spacing w:val="-5"/>
        </w:rPr>
        <w:t>衰竭。心功能衰竭程度至少达到美国纽约心脏病学会心功能状态分级Ⅳ级</w:t>
      </w:r>
      <w:r>
        <w:rPr/>
        <w:t>（注</w:t>
      </w:r>
      <w:r>
        <w:rPr>
          <w:spacing w:val="-106"/>
        </w:rPr>
        <w:t>）</w:t>
      </w:r>
      <w:r>
        <w:rPr/>
        <w:t>。</w:t>
      </w:r>
      <w:r>
        <w:rPr>
          <w:spacing w:val="-5"/>
        </w:rPr>
        <w:t>被保险人永久不可逆性的体力活动能力受限，不能从事任何体力活动。</w:t>
      </w:r>
    </w:p>
    <w:p>
      <w:pPr>
        <w:pStyle w:val="BodyText"/>
        <w:spacing w:line="273" w:lineRule="auto" w:before="8"/>
        <w:ind w:left="171" w:right="1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11"/>
        <w:rPr>
          <w:sz w:val="12"/>
        </w:rPr>
      </w:pPr>
    </w:p>
    <w:p>
      <w:pPr>
        <w:spacing w:after="0"/>
        <w:rPr>
          <w:sz w:val="12"/>
        </w:rPr>
        <w:sectPr>
          <w:type w:val="continuous"/>
          <w:pgSz w:w="11910" w:h="16840"/>
          <w:pgMar w:top="1040" w:bottom="1180" w:left="1300" w:right="1080"/>
        </w:sectPr>
      </w:pPr>
    </w:p>
    <w:p>
      <w:pPr>
        <w:pStyle w:val="Heading2"/>
        <w:numPr>
          <w:ilvl w:val="2"/>
          <w:numId w:val="8"/>
        </w:numPr>
        <w:tabs>
          <w:tab w:pos="1465" w:val="left" w:leader="none"/>
        </w:tabs>
        <w:spacing w:line="204" w:lineRule="auto" w:before="25" w:after="0"/>
        <w:ind w:left="778" w:right="0" w:firstLine="0"/>
        <w:jc w:val="left"/>
      </w:pPr>
      <w:r>
        <w:rPr/>
        <w:t>主动脉夹层</w:t>
      </w:r>
    </w:p>
    <w:p>
      <w:pPr>
        <w:pStyle w:val="BodyText"/>
        <w:spacing w:line="273" w:lineRule="auto" w:before="37"/>
        <w:ind w:left="248" w:right="108" w:firstLine="422"/>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诊断需</w:t>
      </w:r>
      <w:r>
        <w:rPr>
          <w:w w:val="100"/>
        </w:rPr>
        <w:t>通过断层扫描</w:t>
      </w:r>
      <w:r>
        <w:rPr>
          <w:spacing w:val="3"/>
          <w:w w:val="100"/>
        </w:rPr>
        <w:t>（</w:t>
      </w:r>
      <w:r>
        <w:rPr>
          <w:w w:val="100"/>
        </w:rPr>
        <w:t>CT</w:t>
      </w:r>
      <w:r>
        <w:rPr>
          <w:spacing w:val="-106"/>
          <w:w w:val="100"/>
        </w:rPr>
        <w:t>）</w:t>
      </w:r>
      <w:r>
        <w:rPr>
          <w:w w:val="100"/>
        </w:rPr>
        <w:t>、核磁共振检查</w:t>
      </w:r>
      <w:r>
        <w:rPr>
          <w:spacing w:val="3"/>
          <w:w w:val="100"/>
        </w:rPr>
        <w:t>（</w:t>
      </w:r>
      <w:r>
        <w:rPr>
          <w:spacing w:val="-5"/>
          <w:w w:val="100"/>
        </w:rPr>
        <w:t>M</w:t>
      </w:r>
      <w:r>
        <w:rPr>
          <w:w w:val="100"/>
        </w:rPr>
        <w:t>RI</w:t>
      </w:r>
      <w:r>
        <w:rPr>
          <w:spacing w:val="-101"/>
          <w:w w:val="100"/>
        </w:rPr>
        <w:t>）</w:t>
      </w:r>
      <w:r>
        <w:rPr>
          <w:w w:val="100"/>
        </w:rPr>
        <w:t>、磁共振血管检验法</w:t>
      </w:r>
      <w:r>
        <w:rPr>
          <w:spacing w:val="3"/>
          <w:w w:val="100"/>
        </w:rPr>
        <w:t>（</w:t>
      </w:r>
      <w:r>
        <w:rPr>
          <w:w w:val="100"/>
        </w:rPr>
        <w:t>M</w:t>
      </w:r>
      <w:r>
        <w:rPr>
          <w:spacing w:val="-5"/>
          <w:w w:val="100"/>
        </w:rPr>
        <w:t>R</w:t>
      </w:r>
      <w:r>
        <w:rPr>
          <w:w w:val="100"/>
        </w:rPr>
        <w:t>A</w:t>
      </w:r>
      <w:r>
        <w:rPr>
          <w:spacing w:val="3"/>
          <w:w w:val="100"/>
        </w:rPr>
        <w:t>）</w:t>
      </w:r>
      <w:r>
        <w:rPr>
          <w:w w:val="100"/>
        </w:rPr>
        <w:t>或血管扫</w:t>
      </w:r>
      <w:r>
        <w:rPr>
          <w:spacing w:val="-2"/>
        </w:rPr>
        <w:t>描等影像学检查证实。</w:t>
      </w:r>
    </w:p>
    <w:p>
      <w:pPr>
        <w:spacing w:after="0" w:line="273" w:lineRule="auto"/>
        <w:jc w:val="both"/>
        <w:sectPr>
          <w:type w:val="continuous"/>
          <w:pgSz w:w="11910" w:h="16840"/>
          <w:pgMar w:top="1040" w:bottom="1180" w:left="1300" w:right="1080"/>
          <w:cols w:num="2" w:equalWidth="0">
            <w:col w:w="1677" w:space="40"/>
            <w:col w:w="7813"/>
          </w:cols>
        </w:sectPr>
      </w:pPr>
    </w:p>
    <w:p>
      <w:pPr>
        <w:pStyle w:val="BodyText"/>
        <w:spacing w:before="2"/>
        <w:rPr>
          <w:sz w:val="13"/>
        </w:rPr>
      </w:pPr>
    </w:p>
    <w:p>
      <w:pPr>
        <w:spacing w:after="0"/>
        <w:rPr>
          <w:sz w:val="13"/>
        </w:rPr>
        <w:sectPr>
          <w:type w:val="continuous"/>
          <w:pgSz w:w="11910" w:h="16840"/>
          <w:pgMar w:top="1040" w:bottom="1180" w:left="1300" w:right="1080"/>
        </w:sectPr>
      </w:pPr>
    </w:p>
    <w:p>
      <w:pPr>
        <w:pStyle w:val="Heading2"/>
        <w:numPr>
          <w:ilvl w:val="2"/>
          <w:numId w:val="8"/>
        </w:numPr>
        <w:tabs>
          <w:tab w:pos="1465" w:val="left" w:leader="none"/>
        </w:tabs>
        <w:spacing w:line="204" w:lineRule="auto" w:before="25" w:after="0"/>
        <w:ind w:left="778" w:right="0" w:firstLine="0"/>
        <w:jc w:val="both"/>
      </w:pPr>
      <w:r>
        <w:rPr/>
        <w:t>感染性心内膜炎</w:t>
      </w:r>
    </w:p>
    <w:p>
      <w:pPr>
        <w:pStyle w:val="BodyText"/>
        <w:spacing w:before="37"/>
        <w:ind w:left="670"/>
      </w:pPr>
      <w:r>
        <w:rPr/>
        <w:br w:type="column"/>
      </w:r>
      <w:r>
        <w:rPr/>
        <w:t>指由感染性微生物引致的心脏内膜炎症，并须符合下列所有标准：</w:t>
      </w:r>
    </w:p>
    <w:p>
      <w:pPr>
        <w:pStyle w:val="BodyText"/>
        <w:spacing w:before="37"/>
        <w:ind w:left="670"/>
      </w:pPr>
      <w:r>
        <w:rPr/>
        <w:t>（1）血液培养结果呈阳性反应，证明感染性微生物的存在；</w:t>
      </w:r>
    </w:p>
    <w:p>
      <w:pPr>
        <w:pStyle w:val="BodyText"/>
        <w:spacing w:line="273" w:lineRule="auto" w:before="37"/>
        <w:ind w:left="248" w:right="108" w:firstLine="422"/>
      </w:pPr>
      <w:r>
        <w:rPr/>
        <w:t>（2）</w:t>
      </w:r>
      <w:r>
        <w:rPr>
          <w:spacing w:val="-5"/>
        </w:rPr>
        <w:t>出现最少中度的心脏瓣膜功能不全</w:t>
      </w:r>
      <w:r>
        <w:rPr/>
        <w:t>（</w:t>
      </w:r>
      <w:r>
        <w:rPr>
          <w:spacing w:val="0"/>
        </w:rPr>
        <w:t>即返流部分达 </w:t>
      </w:r>
      <w:r>
        <w:rPr/>
        <w:t>20%</w:t>
      </w:r>
      <w:r>
        <w:rPr>
          <w:spacing w:val="-2"/>
        </w:rPr>
        <w:t>或以上</w:t>
      </w:r>
      <w:r>
        <w:rPr/>
        <w:t>）</w:t>
      </w:r>
      <w:r>
        <w:rPr>
          <w:spacing w:val="-2"/>
        </w:rPr>
        <w:t>或中度</w:t>
      </w:r>
      <w:r>
        <w:rPr>
          <w:spacing w:val="-3"/>
          <w:w w:val="100"/>
        </w:rPr>
        <w:t>的心脏瓣膜狭窄</w:t>
      </w:r>
      <w:r>
        <w:rPr>
          <w:w w:val="100"/>
        </w:rPr>
        <w:t>（</w:t>
      </w:r>
      <w:r>
        <w:rPr>
          <w:spacing w:val="-4"/>
          <w:w w:val="100"/>
        </w:rPr>
        <w:t>即心脏瓣面积为正常值的</w:t>
      </w:r>
      <w:r>
        <w:rPr>
          <w:spacing w:val="-4"/>
        </w:rPr>
        <w:t> </w:t>
      </w:r>
      <w:r>
        <w:rPr>
          <w:w w:val="100"/>
        </w:rPr>
        <w:t>30</w:t>
      </w:r>
      <w:r>
        <w:rPr>
          <w:spacing w:val="-3"/>
          <w:w w:val="100"/>
        </w:rPr>
        <w:t>%或以下</w:t>
      </w:r>
      <w:r>
        <w:rPr>
          <w:spacing w:val="-106"/>
          <w:w w:val="100"/>
        </w:rPr>
        <w:t>）</w:t>
      </w:r>
      <w:r>
        <w:rPr>
          <w:spacing w:val="-3"/>
          <w:w w:val="100"/>
        </w:rPr>
        <w:t>，导致传染性心内膜炎；</w:t>
      </w:r>
    </w:p>
    <w:p>
      <w:pPr>
        <w:pStyle w:val="BodyText"/>
        <w:spacing w:line="273" w:lineRule="auto" w:before="8"/>
        <w:ind w:left="248" w:right="88" w:firstLine="422"/>
      </w:pPr>
      <w:r>
        <w:rPr/>
        <w:t>（3）传染性心内膜炎的诊断及瓣膜受损的严重程度必须由心脏病专科医生确定。</w:t>
      </w:r>
    </w:p>
    <w:p>
      <w:pPr>
        <w:spacing w:after="0" w:line="273" w:lineRule="auto"/>
        <w:sectPr>
          <w:type w:val="continuous"/>
          <w:pgSz w:w="11910" w:h="16840"/>
          <w:pgMar w:top="1040" w:bottom="1180" w:left="1300" w:right="1080"/>
          <w:cols w:num="2" w:equalWidth="0">
            <w:col w:w="1677" w:space="40"/>
            <w:col w:w="7813"/>
          </w:cols>
        </w:sectPr>
      </w:pPr>
    </w:p>
    <w:p>
      <w:pPr>
        <w:pStyle w:val="BodyText"/>
        <w:spacing w:before="3"/>
        <w:rPr>
          <w:sz w:val="13"/>
        </w:rPr>
      </w:pPr>
    </w:p>
    <w:p>
      <w:pPr>
        <w:spacing w:after="0"/>
        <w:rPr>
          <w:sz w:val="13"/>
        </w:rPr>
        <w:sectPr>
          <w:type w:val="continuous"/>
          <w:pgSz w:w="11910" w:h="16840"/>
          <w:pgMar w:top="1040" w:bottom="1180" w:left="1300" w:right="1080"/>
        </w:sectPr>
      </w:pPr>
    </w:p>
    <w:p>
      <w:pPr>
        <w:pStyle w:val="Heading2"/>
        <w:numPr>
          <w:ilvl w:val="2"/>
          <w:numId w:val="8"/>
        </w:numPr>
        <w:tabs>
          <w:tab w:pos="1465" w:val="left" w:leader="none"/>
        </w:tabs>
        <w:spacing w:line="204" w:lineRule="auto" w:before="24" w:after="0"/>
        <w:ind w:left="778" w:right="0" w:firstLine="0"/>
        <w:jc w:val="left"/>
      </w:pPr>
      <w:r>
        <w:rPr/>
        <w:t>嗜铬细胞瘤</w:t>
      </w:r>
    </w:p>
    <w:p>
      <w:pPr>
        <w:pStyle w:val="BodyText"/>
        <w:spacing w:line="273" w:lineRule="auto"/>
        <w:ind w:left="248" w:right="108" w:firstLine="422"/>
        <w:jc w:val="both"/>
      </w:pPr>
      <w:r>
        <w:rPr/>
        <w:br w:type="column"/>
      </w:r>
      <w:r>
        <w:rPr/>
        <w:t>指肾上腺或嗜铬外组织出现神经内分泌肿瘤，并分泌过多的儿茶酚胺类。嗜铬细胞瘤的诊断需由本公司认可医院的专科医生确认，并已经由组织病理检查证实，且已经进行了切除嗜铬细胞肿瘤的手术治疗。</w:t>
      </w:r>
    </w:p>
    <w:p>
      <w:pPr>
        <w:spacing w:after="0" w:line="273" w:lineRule="auto"/>
        <w:jc w:val="both"/>
        <w:sectPr>
          <w:type w:val="continuous"/>
          <w:pgSz w:w="11910" w:h="16840"/>
          <w:pgMar w:top="1040" w:bottom="1180" w:left="1300" w:right="1080"/>
          <w:cols w:num="2" w:equalWidth="0">
            <w:col w:w="1677" w:space="40"/>
            <w:col w:w="7813"/>
          </w:cols>
        </w:sectPr>
      </w:pPr>
    </w:p>
    <w:p>
      <w:pPr>
        <w:pStyle w:val="BodyText"/>
        <w:spacing w:before="11"/>
        <w:rPr>
          <w:sz w:val="12"/>
        </w:rPr>
      </w:pPr>
    </w:p>
    <w:p>
      <w:pPr>
        <w:spacing w:after="0"/>
        <w:rPr>
          <w:sz w:val="12"/>
        </w:rPr>
        <w:sectPr>
          <w:type w:val="continuous"/>
          <w:pgSz w:w="11910" w:h="16840"/>
          <w:pgMar w:top="1040" w:bottom="1180" w:left="1300" w:right="1080"/>
        </w:sectPr>
      </w:pPr>
    </w:p>
    <w:p>
      <w:pPr>
        <w:pStyle w:val="Heading2"/>
        <w:numPr>
          <w:ilvl w:val="2"/>
          <w:numId w:val="8"/>
        </w:numPr>
        <w:tabs>
          <w:tab w:pos="1465" w:val="left" w:leader="none"/>
        </w:tabs>
        <w:spacing w:line="204" w:lineRule="auto" w:before="24" w:after="0"/>
        <w:ind w:left="778" w:right="0" w:firstLine="0"/>
        <w:jc w:val="left"/>
      </w:pPr>
      <w:r>
        <w:rPr/>
        <w:t>严重心肌炎</w:t>
      </w:r>
    </w:p>
    <w:p>
      <w:pPr>
        <w:pStyle w:val="BodyText"/>
        <w:spacing w:line="273" w:lineRule="auto"/>
        <w:ind w:left="248" w:right="108" w:firstLine="422"/>
      </w:pPr>
      <w:r>
        <w:rPr/>
        <w:br w:type="column"/>
      </w:r>
      <w:r>
        <w:rPr/>
        <w:t>指心肌局限性或弥漫性的急性或慢性炎症病变，导致心脏功能障碍，达到美</w:t>
      </w:r>
      <w:r>
        <w:rPr>
          <w:spacing w:val="-4"/>
          <w:w w:val="100"/>
        </w:rPr>
        <w:t>国纽约心脏病学会心功能状态分级Ⅳ级</w:t>
      </w:r>
      <w:r>
        <w:rPr>
          <w:w w:val="100"/>
        </w:rPr>
        <w:t>（注</w:t>
      </w:r>
      <w:r>
        <w:rPr>
          <w:spacing w:val="-106"/>
          <w:w w:val="100"/>
        </w:rPr>
        <w:t>）</w:t>
      </w:r>
      <w:r>
        <w:rPr>
          <w:spacing w:val="-3"/>
          <w:w w:val="100"/>
        </w:rPr>
        <w:t>，且持续至少</w:t>
      </w:r>
      <w:r>
        <w:rPr>
          <w:spacing w:val="-3"/>
        </w:rPr>
        <w:t> </w:t>
      </w:r>
      <w:r>
        <w:rPr>
          <w:w w:val="100"/>
        </w:rPr>
        <w:t>90</w:t>
      </w:r>
      <w:r>
        <w:rPr/>
        <w:t> </w:t>
      </w:r>
      <w:r>
        <w:rPr>
          <w:spacing w:val="-3"/>
          <w:w w:val="100"/>
        </w:rPr>
        <w:t>天。</w:t>
      </w:r>
    </w:p>
    <w:p>
      <w:pPr>
        <w:pStyle w:val="BodyText"/>
        <w:spacing w:before="7"/>
        <w:ind w:left="670"/>
      </w:pPr>
      <w:r>
        <w:rPr/>
        <w:t>注：美国纽约心脏病学会心功能状态分级Ⅳ级是指不能从事任何体力活动，</w:t>
      </w:r>
    </w:p>
    <w:p>
      <w:pPr>
        <w:spacing w:after="0"/>
        <w:sectPr>
          <w:type w:val="continuous"/>
          <w:pgSz w:w="11910" w:h="16840"/>
          <w:pgMar w:top="1040" w:bottom="1180" w:left="1300" w:right="1080"/>
          <w:cols w:num="2" w:equalWidth="0">
            <w:col w:w="1677" w:space="40"/>
            <w:col w:w="7813"/>
          </w:cols>
        </w:sectPr>
      </w:pPr>
    </w:p>
    <w:p>
      <w:pPr>
        <w:pStyle w:val="BodyText"/>
        <w:spacing w:before="7"/>
        <w:rPr>
          <w:sz w:val="17"/>
        </w:rPr>
      </w:pPr>
    </w:p>
    <w:p>
      <w:pPr>
        <w:pStyle w:val="BodyText"/>
        <w:ind w:left="1964"/>
      </w:pPr>
      <w:r>
        <w:rPr/>
        <w:t>休息时亦有症状。</w:t>
      </w:r>
    </w:p>
    <w:p>
      <w:pPr>
        <w:pStyle w:val="BodyText"/>
        <w:spacing w:before="5"/>
        <w:rPr>
          <w:sz w:val="15"/>
        </w:rPr>
      </w:pPr>
    </w:p>
    <w:p>
      <w:pPr>
        <w:spacing w:after="0"/>
        <w:rPr>
          <w:sz w:val="15"/>
        </w:rPr>
        <w:sectPr>
          <w:pgSz w:w="11910" w:h="16840"/>
          <w:pgMar w:header="870" w:footer="998" w:top="1120" w:bottom="1180" w:left="1300" w:right="980"/>
        </w:sectPr>
      </w:pPr>
    </w:p>
    <w:p>
      <w:pPr>
        <w:pStyle w:val="Heading2"/>
        <w:spacing w:line="204" w:lineRule="auto" w:before="25"/>
      </w:pPr>
      <w:r>
        <w:rPr/>
        <w:t>6.5.14 Ⅲ度房室传导阻滞</w:t>
      </w:r>
    </w:p>
    <w:p>
      <w:pPr>
        <w:pStyle w:val="BodyText"/>
        <w:spacing w:line="273" w:lineRule="auto" w:before="37"/>
        <w:ind w:left="195" w:right="208" w:firstLine="422"/>
      </w:pPr>
      <w:r>
        <w:rPr/>
        <w:br w:type="column"/>
      </w:r>
      <w:r>
        <w:rPr/>
        <w:t>指心房激动在房室交界区、房室束及其分支内发生阻滞，不能正常地传到心室的心脏传导性疾病，须满足下列全部条件：</w:t>
      </w:r>
    </w:p>
    <w:p>
      <w:pPr>
        <w:pStyle w:val="BodyText"/>
        <w:spacing w:before="8"/>
        <w:ind w:left="617"/>
      </w:pPr>
      <w:r>
        <w:rPr/>
        <w:t>（1）心电图显示房室搏动彼此独立，心室率&lt;50 次/分钟；</w:t>
      </w:r>
    </w:p>
    <w:p>
      <w:pPr>
        <w:pStyle w:val="BodyText"/>
        <w:spacing w:before="37"/>
        <w:ind w:left="617"/>
      </w:pPr>
      <w:r>
        <w:rPr/>
        <w:t>（2）出现阿-斯综合征或心力衰竭的表现；</w:t>
      </w:r>
    </w:p>
    <w:p>
      <w:pPr>
        <w:pStyle w:val="BodyText"/>
        <w:spacing w:before="37"/>
        <w:ind w:left="617"/>
      </w:pPr>
      <w:r>
        <w:rPr>
          <w:spacing w:val="-20"/>
        </w:rPr>
        <w:t>（3）</w:t>
      </w:r>
      <w:r>
        <w:rPr>
          <w:spacing w:val="-8"/>
        </w:rPr>
        <w:t>必须持续性依赖心脏起搏器维持心脏正常功能，且已经放置心脏起搏器。</w:t>
      </w:r>
    </w:p>
    <w:p>
      <w:pPr>
        <w:spacing w:after="0"/>
        <w:sectPr>
          <w:type w:val="continuous"/>
          <w:pgSz w:w="11910" w:h="16840"/>
          <w:pgMar w:top="1040" w:bottom="1180" w:left="1300" w:right="980"/>
          <w:cols w:num="2" w:equalWidth="0">
            <w:col w:w="1729" w:space="40"/>
            <w:col w:w="7861"/>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9"/>
        </w:numPr>
        <w:tabs>
          <w:tab w:pos="1465" w:val="left" w:leader="none"/>
        </w:tabs>
        <w:spacing w:line="204" w:lineRule="auto" w:before="25" w:after="0"/>
        <w:ind w:left="778" w:right="0" w:firstLine="0"/>
        <w:jc w:val="both"/>
      </w:pPr>
      <w:r>
        <w:rPr/>
        <w:t>严重慢性缩窄性心包炎</w:t>
      </w:r>
    </w:p>
    <w:p>
      <w:pPr>
        <w:pStyle w:val="BodyText"/>
        <w:spacing w:line="273" w:lineRule="auto" w:before="37"/>
        <w:ind w:left="248" w:right="208" w:firstLine="422"/>
        <w:jc w:val="both"/>
      </w:pPr>
      <w:r>
        <w:rPr/>
        <w:br w:type="column"/>
      </w:r>
      <w:r>
        <w:rPr/>
        <w:t>由于慢性心包炎症导致心包脏层和壁层广泛瘢痕粘连、增厚和钙化，心包腔闭塞，形成一个纤维瘢痕外壳，使心脏和大血管根部受压，妨碍心脏的舒张。必需经心脏专科医生明确诊断为慢性缩窄性心包炎，并且已经造成永久不可逆性的</w:t>
      </w:r>
      <w:r>
        <w:rPr>
          <w:spacing w:val="-5"/>
          <w:w w:val="100"/>
        </w:rPr>
        <w:t>体力活动能力受限，达到美国纽约心脏病学会心功能状态分级Ⅳ级</w:t>
      </w:r>
      <w:r>
        <w:rPr>
          <w:w w:val="100"/>
        </w:rPr>
        <w:t>（注</w:t>
      </w:r>
      <w:r>
        <w:rPr>
          <w:spacing w:val="-106"/>
          <w:w w:val="100"/>
        </w:rPr>
        <w:t>）</w:t>
      </w:r>
      <w:r>
        <w:rPr>
          <w:spacing w:val="-3"/>
          <w:w w:val="100"/>
        </w:rPr>
        <w:t>，并持续</w:t>
      </w:r>
    </w:p>
    <w:p>
      <w:pPr>
        <w:pStyle w:val="BodyText"/>
        <w:spacing w:before="8"/>
        <w:ind w:left="248"/>
      </w:pPr>
      <w:r>
        <w:rPr/>
        <w:t>180 天以上。</w:t>
      </w:r>
    </w:p>
    <w:p>
      <w:pPr>
        <w:pStyle w:val="BodyText"/>
        <w:spacing w:line="273" w:lineRule="auto" w:before="37"/>
        <w:ind w:left="248" w:right="208" w:firstLine="422"/>
        <w:jc w:val="both"/>
      </w:pPr>
      <w:r>
        <w:rPr/>
        <w:t>注：美国纽约心脏病学会心功能状态分级Ⅳ级是指不能从事任何体力活动， 休息时亦有症状。</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6"/>
        <w:rPr>
          <w:sz w:val="12"/>
        </w:rPr>
      </w:pPr>
    </w:p>
    <w:p>
      <w:pPr>
        <w:spacing w:after="0"/>
        <w:rPr>
          <w:sz w:val="12"/>
        </w:rPr>
        <w:sectPr>
          <w:type w:val="continuous"/>
          <w:pgSz w:w="11910" w:h="16840"/>
          <w:pgMar w:top="1040" w:bottom="1180" w:left="1300" w:right="980"/>
        </w:sectPr>
      </w:pPr>
    </w:p>
    <w:p>
      <w:pPr>
        <w:pStyle w:val="Heading2"/>
        <w:numPr>
          <w:ilvl w:val="2"/>
          <w:numId w:val="9"/>
        </w:numPr>
        <w:tabs>
          <w:tab w:pos="1537" w:val="left" w:leader="none"/>
        </w:tabs>
        <w:spacing w:line="204" w:lineRule="auto" w:before="29" w:after="0"/>
        <w:ind w:left="778" w:right="0" w:firstLine="0"/>
        <w:jc w:val="both"/>
      </w:pPr>
      <w:r>
        <w:rPr/>
        <w:t>艾</w:t>
      </w:r>
      <w:r>
        <w:rPr>
          <w:spacing w:val="30"/>
        </w:rPr>
        <w:t>森门格综合征</w:t>
      </w:r>
    </w:p>
    <w:p>
      <w:pPr>
        <w:pStyle w:val="BodyText"/>
        <w:spacing w:line="247" w:lineRule="auto" w:before="37"/>
        <w:ind w:left="171" w:right="208" w:firstLine="422"/>
      </w:pPr>
      <w:r>
        <w:rPr/>
        <w:br w:type="column"/>
      </w:r>
      <w:r>
        <w:rPr/>
        <w:t>因心脏病导致的严重肺动脉高血压及右向左分流。诊断必须由心脏专科医生经超声心动图和心导管检查证实及需符合以下所有标准：</w:t>
      </w:r>
    </w:p>
    <w:p>
      <w:pPr>
        <w:pStyle w:val="BodyText"/>
        <w:spacing w:line="272" w:lineRule="exact" w:before="0"/>
        <w:ind w:left="593"/>
      </w:pPr>
      <w:r>
        <w:rPr/>
        <w:t>（1）平均肺动脉压高于 40mmHg；</w:t>
      </w:r>
    </w:p>
    <w:p>
      <w:pPr>
        <w:pStyle w:val="BodyText"/>
        <w:spacing w:before="3"/>
        <w:ind w:left="593"/>
      </w:pPr>
      <w:r>
        <w:rPr>
          <w:w w:val="100"/>
        </w:rPr>
        <w:t>（2）</w:t>
      </w:r>
      <w:r>
        <w:rPr>
          <w:spacing w:val="-3"/>
          <w:w w:val="100"/>
        </w:rPr>
        <w:t>肺血管阻力高于</w:t>
      </w:r>
      <w:r>
        <w:rPr>
          <w:spacing w:val="-53"/>
        </w:rPr>
        <w:t> </w:t>
      </w:r>
      <w:r>
        <w:rPr>
          <w:w w:val="100"/>
        </w:rPr>
        <w:t>3mm/L/</w:t>
      </w:r>
      <w:r>
        <w:rPr>
          <w:spacing w:val="-5"/>
          <w:w w:val="100"/>
        </w:rPr>
        <w:t>m</w:t>
      </w:r>
      <w:r>
        <w:rPr>
          <w:w w:val="100"/>
        </w:rPr>
        <w:t>in（Wood</w:t>
      </w:r>
      <w:r>
        <w:rPr>
          <w:spacing w:val="-5"/>
        </w:rPr>
        <w:t> </w:t>
      </w:r>
      <w:r>
        <w:rPr>
          <w:w w:val="100"/>
        </w:rPr>
        <w:t>单位</w:t>
      </w:r>
      <w:r>
        <w:rPr>
          <w:spacing w:val="-106"/>
          <w:w w:val="100"/>
        </w:rPr>
        <w:t>）</w:t>
      </w:r>
      <w:r>
        <w:rPr>
          <w:w w:val="100"/>
        </w:rPr>
        <w:t>；</w:t>
      </w:r>
    </w:p>
    <w:p>
      <w:pPr>
        <w:pStyle w:val="BodyText"/>
        <w:spacing w:before="8"/>
        <w:ind w:left="593"/>
      </w:pPr>
      <w:r>
        <w:rPr/>
        <w:t>（3）正常肺微血管楔压低于 15mmHg。</w:t>
      </w:r>
    </w:p>
    <w:p>
      <w:pPr>
        <w:spacing w:after="0"/>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9"/>
        </w:numPr>
        <w:tabs>
          <w:tab w:pos="1537" w:val="left" w:leader="none"/>
        </w:tabs>
        <w:spacing w:line="204" w:lineRule="auto" w:before="30" w:after="0"/>
        <w:ind w:left="778" w:right="0" w:firstLine="0"/>
        <w:jc w:val="both"/>
      </w:pPr>
      <w:r>
        <w:rPr/>
        <w:t>脑</w:t>
      </w:r>
      <w:r>
        <w:rPr>
          <w:spacing w:val="30"/>
        </w:rPr>
        <w:t>中风后遗症</w:t>
      </w:r>
    </w:p>
    <w:p>
      <w:pPr>
        <w:pStyle w:val="BodyText"/>
        <w:spacing w:line="242" w:lineRule="auto" w:before="37"/>
        <w:ind w:left="171" w:right="208" w:firstLine="422"/>
      </w:pPr>
      <w:r>
        <w:rPr/>
        <w:br w:type="column"/>
      </w:r>
      <w:r>
        <w:rPr/>
        <w:t>指因脑血管的突发病变引起脑血管出血、栓塞或梗塞，并导致神经系统永久性的功能障碍。</w:t>
      </w:r>
    </w:p>
    <w:p>
      <w:pPr>
        <w:pStyle w:val="BodyText"/>
        <w:spacing w:line="247" w:lineRule="auto" w:before="1"/>
        <w:ind w:left="171" w:right="208" w:firstLine="422"/>
      </w:pPr>
      <w:r>
        <w:rPr/>
        <w:t>神经系统永久性的功能障碍，指疾病确诊 180 天后，仍遗留下列一种或一种以上障碍：</w:t>
      </w:r>
    </w:p>
    <w:p>
      <w:pPr>
        <w:pStyle w:val="BodyText"/>
        <w:spacing w:line="272" w:lineRule="exact" w:before="0"/>
        <w:ind w:left="593"/>
      </w:pPr>
      <w:r>
        <w:rPr/>
        <w:t>（1）一肢或一肢以上肢体机能完全丧失；</w:t>
      </w:r>
    </w:p>
    <w:p>
      <w:pPr>
        <w:pStyle w:val="BodyText"/>
        <w:spacing w:before="4"/>
        <w:ind w:left="593"/>
      </w:pPr>
      <w:r>
        <w:rPr/>
        <w:t>（2）语言能力或咀嚼吞咽能力完全丧失；</w:t>
      </w:r>
    </w:p>
    <w:p>
      <w:pPr>
        <w:pStyle w:val="BodyText"/>
        <w:spacing w:line="242" w:lineRule="auto" w:before="8"/>
        <w:ind w:left="171" w:right="208" w:firstLine="422"/>
      </w:pPr>
      <w:r>
        <w:rPr/>
        <w:t>（3）自主生活能力完全丧失，无法独立完成六项基本日常生活活动中的三项或三项以上。</w:t>
      </w:r>
    </w:p>
    <w:p>
      <w:pPr>
        <w:pStyle w:val="BodyText"/>
        <w:spacing w:line="247" w:lineRule="auto" w:before="1"/>
        <w:ind w:left="171" w:right="208" w:firstLine="422"/>
      </w:pPr>
      <w:r>
        <w:rPr/>
        <w:t>肢体机能完全丧失，指肢体的三大关节中的两大关节僵硬，或不能随意识活动。肢体是指包括肩关节的整个上肢或包括髋关节的整个下肢。</w:t>
      </w:r>
    </w:p>
    <w:p>
      <w:pPr>
        <w:pStyle w:val="BodyText"/>
        <w:spacing w:line="242" w:lineRule="auto" w:before="0"/>
        <w:ind w:left="171" w:right="102"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14"/>
        <w:ind w:left="171" w:right="208" w:firstLine="422"/>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left"/>
      </w:pPr>
      <w:r>
        <w:rPr/>
        <w:t>良性脑肿瘤</w:t>
      </w:r>
    </w:p>
    <w:p>
      <w:pPr>
        <w:pStyle w:val="BodyText"/>
        <w:spacing w:line="273" w:lineRule="auto"/>
        <w:ind w:left="176" w:right="208" w:firstLine="422"/>
        <w:jc w:val="both"/>
      </w:pPr>
      <w:r>
        <w:rPr/>
        <w:br w:type="column"/>
      </w:r>
      <w:r>
        <w:rPr/>
        <w:t>指脑的良性肿瘤，已经引起颅内压增高，临床表现为视神经乳头水肿、精神</w:t>
      </w:r>
      <w:r>
        <w:rPr>
          <w:spacing w:val="-5"/>
          <w:w w:val="100"/>
        </w:rPr>
        <w:t>症状、癫痫及运动感觉障碍等，并危及生命。须由头颅断层扫描</w:t>
      </w:r>
      <w:r>
        <w:rPr>
          <w:w w:val="100"/>
        </w:rPr>
        <w:t>（CT</w:t>
      </w:r>
      <w:r>
        <w:rPr>
          <w:spacing w:val="-111"/>
          <w:w w:val="100"/>
        </w:rPr>
        <w:t>）</w:t>
      </w:r>
      <w:r>
        <w:rPr>
          <w:spacing w:val="-2"/>
          <w:w w:val="100"/>
        </w:rPr>
        <w:t>、核磁共振</w:t>
      </w:r>
      <w:r>
        <w:rPr>
          <w:spacing w:val="0"/>
        </w:rPr>
        <w:t>检查</w:t>
      </w:r>
      <w:r>
        <w:rPr/>
        <w:t>（MRI）或正电子发射断层扫描（PET）等影像学检查证实，并须满足下列至</w:t>
      </w:r>
      <w:r>
        <w:rPr>
          <w:spacing w:val="-1"/>
        </w:rPr>
        <w:t>少一项条件：</w:t>
      </w:r>
    </w:p>
    <w:p>
      <w:pPr>
        <w:pStyle w:val="BodyText"/>
        <w:spacing w:before="7"/>
        <w:ind w:left="598"/>
      </w:pPr>
      <w:r>
        <w:rPr/>
        <w:t>（1）实际实施了开颅进行的脑肿瘤完全切除或部分切除的手术；</w:t>
      </w:r>
    </w:p>
    <w:p>
      <w:pPr>
        <w:pStyle w:val="BodyText"/>
        <w:spacing w:line="260" w:lineRule="exact" w:before="37"/>
        <w:ind w:left="598"/>
      </w:pPr>
      <w:r>
        <w:rPr/>
        <w:t>（2）实际实施了对脑肿瘤进行的放射治疗。</w:t>
      </w:r>
    </w:p>
    <w:p>
      <w:pPr>
        <w:pStyle w:val="Heading2"/>
        <w:spacing w:line="351" w:lineRule="exact"/>
        <w:ind w:left="598"/>
      </w:pPr>
      <w:r>
        <w:rPr/>
        <w:t>脑垂体瘤、脑囊肿、脑血管性疾病不在保障范围内。</w:t>
      </w:r>
    </w:p>
    <w:p>
      <w:pPr>
        <w:spacing w:after="0" w:line="351" w:lineRule="exact"/>
        <w:sectPr>
          <w:type w:val="continuous"/>
          <w:pgSz w:w="11910" w:h="16840"/>
          <w:pgMar w:top="1040" w:bottom="1180" w:left="1300" w:right="980"/>
          <w:cols w:num="2" w:equalWidth="0">
            <w:col w:w="1749" w:space="40"/>
            <w:col w:w="78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脑</w:t>
      </w:r>
      <w:r>
        <w:rPr>
          <w:b/>
          <w:spacing w:val="30"/>
          <w:sz w:val="21"/>
        </w:rPr>
        <w:t>炎后遗症或脑膜炎</w:t>
      </w:r>
    </w:p>
    <w:p>
      <w:pPr>
        <w:pStyle w:val="BodyText"/>
        <w:spacing w:line="273" w:lineRule="auto" w:before="37"/>
        <w:ind w:left="171" w:right="208" w:firstLine="422"/>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spacing w:after="0"/>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tabs>
          <w:tab w:pos="2386" w:val="left" w:leader="none"/>
        </w:tabs>
        <w:spacing w:line="335" w:lineRule="exact" w:before="0"/>
        <w:ind w:left="778"/>
      </w:pPr>
      <w:r>
        <w:rPr>
          <w:rFonts w:ascii="Microsoft JhengHei" w:eastAsia="Microsoft JhengHei" w:hint="eastAsia"/>
          <w:b/>
        </w:rPr>
        <w:t>后遗症</w:t>
        <w:tab/>
      </w:r>
      <w:r>
        <w:rPr/>
        <w:t>（2）语言</w:t>
      </w:r>
      <w:r>
        <w:rPr>
          <w:spacing w:val="-5"/>
        </w:rPr>
        <w:t>能</w:t>
      </w:r>
      <w:r>
        <w:rPr/>
        <w:t>力或咀</w:t>
      </w:r>
      <w:r>
        <w:rPr>
          <w:spacing w:val="-5"/>
        </w:rPr>
        <w:t>嚼</w:t>
      </w:r>
      <w:r>
        <w:rPr/>
        <w:t>吞咽能</w:t>
      </w:r>
      <w:r>
        <w:rPr>
          <w:spacing w:val="-5"/>
        </w:rPr>
        <w:t>力</w:t>
      </w:r>
      <w:r>
        <w:rPr/>
        <w:t>完全丧</w:t>
      </w:r>
      <w:r>
        <w:rPr>
          <w:spacing w:val="-5"/>
        </w:rPr>
        <w:t>失</w:t>
      </w:r>
      <w:r>
        <w:rPr/>
        <w:t>；</w:t>
      </w:r>
    </w:p>
    <w:p>
      <w:pPr>
        <w:pStyle w:val="BodyText"/>
        <w:spacing w:line="273" w:lineRule="auto" w:before="13"/>
        <w:ind w:left="1964" w:right="208" w:firstLine="422"/>
      </w:pPr>
      <w:r>
        <w:rPr/>
        <w:t>（3）自主生活能力完全丧失，无法独立完成六项基本日常生活活动中的三项或三项以上。</w:t>
      </w:r>
    </w:p>
    <w:p>
      <w:pPr>
        <w:pStyle w:val="BodyText"/>
        <w:spacing w:before="2"/>
        <w:rPr>
          <w:sz w:val="13"/>
        </w:rPr>
      </w:pPr>
    </w:p>
    <w:p>
      <w:pPr>
        <w:spacing w:after="0"/>
        <w:rPr>
          <w:sz w:val="13"/>
        </w:rPr>
        <w:sectPr>
          <w:pgSz w:w="11910" w:h="16840"/>
          <w:pgMar w:header="870" w:footer="998" w:top="1120" w:bottom="1180" w:left="1300" w:right="980"/>
        </w:sectPr>
      </w:pPr>
    </w:p>
    <w:p>
      <w:pPr>
        <w:pStyle w:val="Heading2"/>
        <w:numPr>
          <w:ilvl w:val="2"/>
          <w:numId w:val="9"/>
        </w:numPr>
        <w:tabs>
          <w:tab w:pos="1537" w:val="left" w:leader="none"/>
        </w:tabs>
        <w:spacing w:line="204" w:lineRule="auto" w:before="25" w:after="0"/>
        <w:ind w:left="778" w:right="0" w:firstLine="0"/>
        <w:jc w:val="left"/>
      </w:pPr>
      <w:r>
        <w:rPr/>
        <w:t>深度昏迷</w:t>
      </w:r>
    </w:p>
    <w:p>
      <w:pPr>
        <w:pStyle w:val="BodyText"/>
        <w:spacing w:line="273" w:lineRule="auto" w:before="37"/>
        <w:ind w:left="176" w:right="208" w:firstLine="422"/>
        <w:jc w:val="both"/>
      </w:pPr>
      <w:r>
        <w:rPr/>
        <w:br w:type="column"/>
      </w:r>
      <w:r>
        <w:rPr/>
        <w:t>指因疾病或意外伤害导致意识丧失,对外界刺激和体内需求均无反应,昏迷程</w:t>
      </w:r>
      <w:r>
        <w:rPr>
          <w:spacing w:val="-2"/>
        </w:rPr>
        <w:t>度按照格拉斯哥昏迷分级</w:t>
      </w:r>
      <w:r>
        <w:rPr/>
        <w:t>（Glasgow coma</w:t>
      </w:r>
      <w:r>
        <w:rPr>
          <w:spacing w:val="2"/>
        </w:rPr>
        <w:t>  </w:t>
      </w:r>
      <w:r>
        <w:rPr/>
        <w:t>scale）</w:t>
      </w:r>
      <w:r>
        <w:rPr>
          <w:spacing w:val="-7"/>
        </w:rPr>
        <w:t>结果为 </w:t>
      </w:r>
      <w:r>
        <w:rPr/>
        <w:t>5</w:t>
      </w:r>
      <w:r>
        <w:rPr>
          <w:spacing w:val="-16"/>
        </w:rPr>
        <w:t> 分或 </w:t>
      </w:r>
      <w:r>
        <w:rPr/>
        <w:t>5</w:t>
      </w:r>
      <w:r>
        <w:rPr>
          <w:spacing w:val="-7"/>
        </w:rPr>
        <w:t> 分以下，且</w:t>
      </w:r>
      <w:r>
        <w:rPr>
          <w:spacing w:val="-5"/>
        </w:rPr>
        <w:t>已经持续使用呼吸机及其他生命维持系统 </w:t>
      </w:r>
      <w:r>
        <w:rPr/>
        <w:t>96 小时以上。</w:t>
      </w:r>
    </w:p>
    <w:p>
      <w:pPr>
        <w:pStyle w:val="Heading2"/>
        <w:spacing w:line="306" w:lineRule="exact"/>
        <w:ind w:left="598"/>
      </w:pPr>
      <w:r>
        <w:rPr/>
        <w:t>因酗酒或药物滥用导致的深度昏迷不在保障范围内。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left"/>
        <w:rPr>
          <w:b/>
          <w:sz w:val="21"/>
        </w:rPr>
      </w:pPr>
      <w:r>
        <w:rPr>
          <w:b/>
          <w:sz w:val="21"/>
        </w:rPr>
        <w:t>重症肌无力</w:t>
      </w:r>
    </w:p>
    <w:p>
      <w:pPr>
        <w:pStyle w:val="BodyText"/>
        <w:spacing w:line="273" w:lineRule="auto" w:before="37"/>
        <w:ind w:left="176" w:right="100" w:firstLine="422"/>
      </w:pPr>
      <w:r>
        <w:rPr/>
        <w:br w:type="column"/>
      </w:r>
      <w:r>
        <w:rPr/>
        <w:t>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598"/>
      </w:pPr>
      <w:r>
        <w:rPr/>
        <w:t>（1）经药物治疗和胸腺切除治疗一年以上仍无法控制病情；</w:t>
      </w:r>
    </w:p>
    <w:p>
      <w:pPr>
        <w:pStyle w:val="BodyText"/>
        <w:spacing w:line="273" w:lineRule="auto"/>
        <w:ind w:left="176" w:right="208" w:firstLine="422"/>
      </w:pPr>
      <w:r>
        <w:rPr/>
        <w:t>（2）自主生活能力完全丧失，无法独立完成六项基本日常生活活动中的三项或三项以上。</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10"/>
        <w:rPr>
          <w:sz w:val="12"/>
        </w:rPr>
      </w:pPr>
    </w:p>
    <w:p>
      <w:pPr>
        <w:spacing w:after="0"/>
        <w:rPr>
          <w:sz w:val="12"/>
        </w:rPr>
        <w:sectPr>
          <w:type w:val="continuous"/>
          <w:pgSz w:w="11910" w:h="16840"/>
          <w:pgMar w:top="1040" w:bottom="1180" w:left="1300" w:right="980"/>
        </w:sectPr>
      </w:pPr>
    </w:p>
    <w:p>
      <w:pPr>
        <w:pStyle w:val="Heading2"/>
        <w:numPr>
          <w:ilvl w:val="2"/>
          <w:numId w:val="9"/>
        </w:numPr>
        <w:tabs>
          <w:tab w:pos="1537" w:val="left" w:leader="none"/>
        </w:tabs>
        <w:spacing w:line="204" w:lineRule="auto" w:before="25" w:after="0"/>
        <w:ind w:left="778" w:right="0" w:firstLine="0"/>
        <w:jc w:val="both"/>
      </w:pPr>
      <w:r>
        <w:rPr/>
        <w:t>严</w:t>
      </w:r>
      <w:r>
        <w:rPr>
          <w:spacing w:val="30"/>
        </w:rPr>
        <w:t>重阿尔茨海默病</w:t>
      </w:r>
    </w:p>
    <w:p>
      <w:pPr>
        <w:pStyle w:val="BodyText"/>
        <w:spacing w:line="273" w:lineRule="auto" w:before="37"/>
        <w:ind w:left="171" w:right="102" w:firstLine="422"/>
      </w:pPr>
      <w:r>
        <w:rPr/>
        <w:br w:type="column"/>
      </w:r>
      <w:r>
        <w:rPr/>
        <w:t>指因大脑进行性、不可逆性改变导致智能严重衰退或丧失，临床表现为明显</w:t>
      </w:r>
      <w:r>
        <w:rPr>
          <w:spacing w:val="-5"/>
        </w:rPr>
        <w:t>的认知能力障碍、行为异常和社交能力减退，其日常生活必须持续受到他人监护。</w:t>
      </w:r>
      <w:r>
        <w:rPr>
          <w:spacing w:val="-5"/>
          <w:w w:val="100"/>
        </w:rPr>
        <w:t>须由头颅断层扫描</w:t>
      </w:r>
      <w:r>
        <w:rPr>
          <w:w w:val="100"/>
        </w:rPr>
        <w:t>（CT</w:t>
      </w:r>
      <w:r>
        <w:rPr>
          <w:spacing w:val="-111"/>
          <w:w w:val="100"/>
        </w:rPr>
        <w:t>）</w:t>
      </w:r>
      <w:r>
        <w:rPr>
          <w:spacing w:val="-3"/>
          <w:w w:val="100"/>
        </w:rPr>
        <w:t>、核磁共振检查</w:t>
      </w:r>
      <w:r>
        <w:rPr>
          <w:w w:val="100"/>
        </w:rPr>
        <w:t>（MR</w:t>
      </w:r>
      <w:r>
        <w:rPr>
          <w:spacing w:val="-5"/>
          <w:w w:val="100"/>
        </w:rPr>
        <w:t>I</w:t>
      </w:r>
      <w:r>
        <w:rPr>
          <w:w w:val="100"/>
        </w:rPr>
        <w:t>）</w:t>
      </w:r>
      <w:r>
        <w:rPr>
          <w:spacing w:val="-4"/>
          <w:w w:val="100"/>
        </w:rPr>
        <w:t>或正电子发射断层扫描</w:t>
      </w:r>
      <w:r>
        <w:rPr>
          <w:w w:val="100"/>
        </w:rPr>
        <w:t>（PE</w:t>
      </w:r>
      <w:r>
        <w:rPr>
          <w:spacing w:val="-5"/>
          <w:w w:val="100"/>
        </w:rPr>
        <w:t>T</w:t>
      </w:r>
      <w:r>
        <w:rPr>
          <w:w w:val="100"/>
        </w:rPr>
        <w:t>）等</w:t>
      </w:r>
      <w:r>
        <w:rPr/>
        <w:t>影像学检查证实，且自主生活能力完全丧失，无法独立完成六项基本日常生活活</w:t>
      </w:r>
      <w:r>
        <w:rPr>
          <w:spacing w:val="-2"/>
        </w:rPr>
        <w:t>动中的三项或三项以上。</w:t>
      </w:r>
    </w:p>
    <w:p>
      <w:pPr>
        <w:pStyle w:val="Heading2"/>
        <w:spacing w:line="283" w:lineRule="exact"/>
        <w:ind w:left="593"/>
      </w:pPr>
      <w:r>
        <w:rPr/>
        <w:t>神经官能症和精神疾病不在保障范围内。</w:t>
      </w:r>
    </w:p>
    <w:p>
      <w:pPr>
        <w:spacing w:after="0" w:line="283" w:lineRule="exact"/>
        <w:sectPr>
          <w:type w:val="continuous"/>
          <w:pgSz w:w="11910" w:h="16840"/>
          <w:pgMar w:top="1040" w:bottom="1180" w:left="1300" w:right="980"/>
          <w:cols w:num="2" w:equalWidth="0">
            <w:col w:w="1753" w:space="40"/>
            <w:col w:w="7837"/>
          </w:cols>
        </w:sectPr>
      </w:pPr>
    </w:p>
    <w:p>
      <w:pPr>
        <w:pStyle w:val="BodyText"/>
        <w:spacing w:before="8"/>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4" w:after="0"/>
        <w:ind w:left="778" w:right="0" w:firstLine="0"/>
        <w:jc w:val="left"/>
        <w:rPr>
          <w:b/>
          <w:sz w:val="21"/>
        </w:rPr>
      </w:pPr>
      <w:r>
        <w:rPr>
          <w:b/>
          <w:sz w:val="21"/>
        </w:rPr>
        <w:t>严重脑损伤</w:t>
      </w:r>
    </w:p>
    <w:p>
      <w:pPr>
        <w:pStyle w:val="BodyText"/>
        <w:spacing w:line="273" w:lineRule="auto"/>
        <w:ind w:left="176" w:right="208" w:firstLine="422"/>
      </w:pPr>
      <w:r>
        <w:rPr/>
        <w:br w:type="column"/>
      </w:r>
      <w:r>
        <w:rPr/>
        <w:t>指因头部遭受机械性外力，引起脑重要部位损伤，导致神经系统永久性的功</w:t>
      </w:r>
      <w:r>
        <w:rPr>
          <w:w w:val="100"/>
        </w:rPr>
        <w:t>能障碍。须由头颅断层扫描</w:t>
      </w:r>
      <w:r>
        <w:rPr>
          <w:spacing w:val="3"/>
          <w:w w:val="100"/>
        </w:rPr>
        <w:t>（</w:t>
      </w:r>
      <w:r>
        <w:rPr>
          <w:w w:val="100"/>
        </w:rPr>
        <w:t>CT</w:t>
      </w:r>
      <w:r>
        <w:rPr>
          <w:spacing w:val="-106"/>
          <w:w w:val="100"/>
        </w:rPr>
        <w:t>）</w:t>
      </w:r>
      <w:r>
        <w:rPr>
          <w:w w:val="100"/>
        </w:rPr>
        <w:t>、核磁共振检查（</w:t>
      </w:r>
      <w:r>
        <w:rPr>
          <w:spacing w:val="-5"/>
          <w:w w:val="100"/>
        </w:rPr>
        <w:t>M</w:t>
      </w:r>
      <w:r>
        <w:rPr>
          <w:w w:val="100"/>
        </w:rPr>
        <w:t>R</w:t>
      </w:r>
      <w:r>
        <w:rPr>
          <w:spacing w:val="3"/>
          <w:w w:val="100"/>
        </w:rPr>
        <w:t>I</w:t>
      </w:r>
      <w:r>
        <w:rPr>
          <w:w w:val="100"/>
        </w:rPr>
        <w:t>）或正电子发射断层扫描</w:t>
      </w:r>
    </w:p>
    <w:p>
      <w:pPr>
        <w:pStyle w:val="BodyText"/>
        <w:spacing w:line="273" w:lineRule="auto" w:before="7"/>
        <w:ind w:left="176" w:right="208"/>
      </w:pPr>
      <w:r>
        <w:rPr/>
        <w:t>（PET）</w:t>
      </w:r>
      <w:r>
        <w:rPr>
          <w:spacing w:val="-7"/>
        </w:rPr>
        <w:t>等影像学检查证实。神经系统永久性的功能障碍，指脑损伤 </w:t>
      </w:r>
      <w:r>
        <w:rPr/>
        <w:t>180</w:t>
      </w:r>
      <w:r>
        <w:rPr>
          <w:spacing w:val="-9"/>
        </w:rPr>
        <w:t> 天后，仍</w:t>
      </w:r>
      <w:r>
        <w:rPr>
          <w:spacing w:val="-7"/>
        </w:rPr>
        <w:t>遗留下列一种或一种以上障碍：</w:t>
      </w:r>
    </w:p>
    <w:p>
      <w:pPr>
        <w:pStyle w:val="BodyText"/>
        <w:spacing w:before="7"/>
        <w:ind w:left="598"/>
      </w:pPr>
      <w:r>
        <w:rPr/>
        <w:t>（1）一肢或一肢以上肢体机能完全丧失；</w:t>
      </w:r>
    </w:p>
    <w:p>
      <w:pPr>
        <w:pStyle w:val="BodyText"/>
        <w:spacing w:before="37"/>
        <w:ind w:left="598"/>
      </w:pPr>
      <w:r>
        <w:rPr/>
        <w:t>（2）语言能力或咀嚼吞咽能力完全丧失；</w:t>
      </w:r>
    </w:p>
    <w:p>
      <w:pPr>
        <w:pStyle w:val="BodyText"/>
        <w:spacing w:before="13"/>
        <w:ind w:left="176" w:right="208" w:firstLine="422"/>
      </w:pPr>
      <w:r>
        <w:rPr/>
        <w:t>（3）自主生活能力完全丧失，无法独立完成六项基本日常生活活动中的三项或三项以上。</w:t>
      </w:r>
    </w:p>
    <w:p>
      <w:pPr>
        <w:spacing w:after="0"/>
        <w:sectPr>
          <w:type w:val="continuous"/>
          <w:pgSz w:w="11910" w:h="16840"/>
          <w:pgMar w:top="1040" w:bottom="1180" w:left="1300" w:right="980"/>
          <w:cols w:num="2" w:equalWidth="0">
            <w:col w:w="1749" w:space="40"/>
            <w:col w:w="7841"/>
          </w:cols>
        </w:sectPr>
      </w:pPr>
    </w:p>
    <w:p>
      <w:pPr>
        <w:pStyle w:val="BodyText"/>
        <w:spacing w:before="12"/>
        <w:rPr>
          <w:sz w:val="13"/>
        </w:rPr>
      </w:pPr>
    </w:p>
    <w:p>
      <w:pPr>
        <w:spacing w:after="0"/>
        <w:rPr>
          <w:sz w:val="13"/>
        </w:rPr>
        <w:sectPr>
          <w:type w:val="continuous"/>
          <w:pgSz w:w="11910" w:h="16840"/>
          <w:pgMar w:top="1040" w:bottom="1180" w:left="1300" w:right="980"/>
        </w:sectPr>
      </w:pPr>
    </w:p>
    <w:p>
      <w:pPr>
        <w:pStyle w:val="Heading2"/>
        <w:numPr>
          <w:ilvl w:val="2"/>
          <w:numId w:val="9"/>
        </w:numPr>
        <w:tabs>
          <w:tab w:pos="1537" w:val="left" w:leader="none"/>
        </w:tabs>
        <w:spacing w:line="204" w:lineRule="auto" w:before="25" w:after="0"/>
        <w:ind w:left="778" w:right="0" w:firstLine="0"/>
        <w:jc w:val="both"/>
      </w:pPr>
      <w:r>
        <w:rPr/>
        <w:t>严</w:t>
      </w:r>
      <w:r>
        <w:rPr>
          <w:spacing w:val="30"/>
        </w:rPr>
        <w:t>重帕金森病</w:t>
      </w:r>
    </w:p>
    <w:p>
      <w:pPr>
        <w:pStyle w:val="BodyText"/>
        <w:spacing w:line="273" w:lineRule="auto" w:before="37"/>
        <w:ind w:left="171" w:right="208" w:firstLine="422"/>
      </w:pPr>
      <w:r>
        <w:rPr/>
        <w:br w:type="column"/>
      </w:r>
      <w:r>
        <w:rPr/>
        <w:t>是一种中枢神经系统的退行性疾病，临床表现为震颤麻痹、共济失调等。须满足下列全部条件：</w:t>
      </w:r>
    </w:p>
    <w:p>
      <w:pPr>
        <w:pStyle w:val="BodyText"/>
        <w:spacing w:before="7"/>
        <w:ind w:left="593"/>
      </w:pPr>
      <w:r>
        <w:rPr/>
        <w:t>（1）药物治疗无法控制病情；</w:t>
      </w:r>
    </w:p>
    <w:p>
      <w:pPr>
        <w:pStyle w:val="BodyText"/>
        <w:spacing w:line="273" w:lineRule="auto"/>
        <w:ind w:left="171" w:right="208" w:firstLine="422"/>
      </w:pPr>
      <w:r>
        <w:rPr/>
        <w:t>（2）自主生活能力完全丧失，无法独立完成六项基本日常生活活动中的三项或三项以上。</w:t>
      </w:r>
    </w:p>
    <w:p>
      <w:pPr>
        <w:pStyle w:val="Heading2"/>
        <w:spacing w:line="283" w:lineRule="exact"/>
        <w:ind w:left="593"/>
      </w:pPr>
      <w:r>
        <w:rPr/>
        <w:t>继发性帕金森综合征不在保障范围内。</w:t>
      </w:r>
    </w:p>
    <w:p>
      <w:pPr>
        <w:spacing w:after="0" w:line="283" w:lineRule="exact"/>
        <w:sectPr>
          <w:type w:val="continuous"/>
          <w:pgSz w:w="11910" w:h="16840"/>
          <w:pgMar w:top="1040" w:bottom="1180" w:left="1300" w:right="980"/>
          <w:cols w:num="2" w:equalWidth="0">
            <w:col w:w="1753" w:space="40"/>
            <w:col w:w="7837"/>
          </w:cols>
        </w:sectPr>
      </w:pPr>
    </w:p>
    <w:p>
      <w:pPr>
        <w:pStyle w:val="BodyText"/>
        <w:spacing w:before="3"/>
        <w:rPr>
          <w:rFonts w:ascii="Microsoft JhengHei"/>
          <w:b/>
          <w:sz w:val="9"/>
        </w:rPr>
      </w:pPr>
    </w:p>
    <w:p>
      <w:pPr>
        <w:spacing w:after="0"/>
        <w:rPr>
          <w:rFonts w:ascii="Microsoft JhengHei"/>
          <w:sz w:val="9"/>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严</w:t>
      </w:r>
      <w:r>
        <w:rPr>
          <w:b/>
          <w:spacing w:val="30"/>
          <w:sz w:val="21"/>
        </w:rPr>
        <w:t>重运动神经元病</w:t>
      </w:r>
    </w:p>
    <w:p>
      <w:pPr>
        <w:pStyle w:val="BodyText"/>
        <w:spacing w:line="273" w:lineRule="auto"/>
        <w:ind w:left="171" w:right="102" w:firstLine="42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9"/>
        </w:numPr>
        <w:tabs>
          <w:tab w:pos="1465" w:val="left" w:leader="none"/>
        </w:tabs>
        <w:spacing w:line="204" w:lineRule="auto" w:before="25" w:after="0"/>
        <w:ind w:left="778" w:right="0" w:firstLine="0"/>
        <w:jc w:val="both"/>
      </w:pPr>
      <w:r>
        <w:rPr/>
        <w:t>破裂脑动脉瘤夹闭手术</w:t>
      </w:r>
    </w:p>
    <w:p>
      <w:pPr>
        <w:pStyle w:val="BodyText"/>
        <w:spacing w:line="273" w:lineRule="auto"/>
        <w:ind w:left="248" w:right="208" w:firstLine="422"/>
      </w:pPr>
      <w:r>
        <w:rPr/>
        <w:br w:type="column"/>
      </w:r>
      <w:r>
        <w:rPr/>
        <w:t>指因脑动脉瘤破裂造成蛛网膜下腔出血，实际接受了在全麻下进行的开颅动脉瘤夹闭手术。</w:t>
      </w:r>
    </w:p>
    <w:p>
      <w:pPr>
        <w:pStyle w:val="Heading2"/>
        <w:spacing w:line="204" w:lineRule="auto"/>
        <w:ind w:left="248" w:right="213" w:firstLine="422"/>
      </w:pPr>
      <w:r>
        <w:rPr/>
        <w:t>脑动脉瘤（未破裂）预防性手术、颅骨打孔手术、动脉瘤栓塞手术、血管内手术及其他颅脑手术不在保障范围内。</w:t>
      </w:r>
    </w:p>
    <w:p>
      <w:pPr>
        <w:spacing w:after="0" w:line="204" w:lineRule="auto"/>
        <w:sectPr>
          <w:type w:val="continuous"/>
          <w:pgSz w:w="11910" w:h="16840"/>
          <w:pgMar w:top="1040" w:bottom="1180" w:left="1300" w:right="980"/>
          <w:cols w:num="2" w:equalWidth="0">
            <w:col w:w="1677" w:space="40"/>
            <w:col w:w="7913"/>
          </w:cols>
        </w:sectPr>
      </w:pPr>
    </w:p>
    <w:p>
      <w:pPr>
        <w:pStyle w:val="BodyText"/>
        <w:spacing w:before="3"/>
        <w:rPr>
          <w:rFonts w:ascii="Microsoft JhengHei"/>
          <w:b/>
          <w:sz w:val="13"/>
        </w:rPr>
      </w:pPr>
    </w:p>
    <w:p>
      <w:pPr>
        <w:spacing w:after="0"/>
        <w:rPr>
          <w:rFonts w:ascii="Microsoft JhengHei"/>
          <w:sz w:val="13"/>
        </w:rPr>
        <w:sectPr>
          <w:pgSz w:w="11910" w:h="16840"/>
          <w:pgMar w:header="870" w:footer="998" w:top="1120" w:bottom="1180" w:left="1300" w:right="980"/>
        </w:sectPr>
      </w:pPr>
    </w:p>
    <w:p>
      <w:pPr>
        <w:pStyle w:val="ListParagraph"/>
        <w:numPr>
          <w:ilvl w:val="2"/>
          <w:numId w:val="9"/>
        </w:numPr>
        <w:tabs>
          <w:tab w:pos="1537" w:val="left" w:leader="none"/>
        </w:tabs>
        <w:spacing w:line="204" w:lineRule="auto" w:before="24" w:after="0"/>
        <w:ind w:left="778" w:right="0" w:firstLine="0"/>
        <w:jc w:val="both"/>
        <w:rPr>
          <w:b/>
          <w:sz w:val="21"/>
        </w:rPr>
      </w:pPr>
      <w:r>
        <w:rPr>
          <w:b/>
          <w:sz w:val="21"/>
        </w:rPr>
        <w:t>语</w:t>
      </w:r>
      <w:r>
        <w:rPr>
          <w:b/>
          <w:spacing w:val="30"/>
          <w:sz w:val="21"/>
        </w:rPr>
        <w:t>言能力丧失</w:t>
      </w:r>
    </w:p>
    <w:p>
      <w:pPr>
        <w:pStyle w:val="BodyText"/>
        <w:spacing w:line="273" w:lineRule="auto"/>
        <w:ind w:left="171" w:right="203" w:firstLine="422"/>
        <w:jc w:val="both"/>
      </w:pPr>
      <w:r>
        <w:rPr/>
        <w:br w:type="column"/>
      </w:r>
      <w:r>
        <w:rPr>
          <w:spacing w:val="-8"/>
        </w:rPr>
        <w:t>指因疾病或意外伤害导致完全丧失语言能力，经过积极治疗至少 </w:t>
      </w:r>
      <w:r>
        <w:rPr>
          <w:spacing w:val="-3"/>
        </w:rPr>
        <w:t>12</w:t>
      </w:r>
      <w:r>
        <w:rPr>
          <w:spacing w:val="-4"/>
        </w:rPr>
        <w:t> 个月</w:t>
      </w:r>
      <w:r>
        <w:rPr/>
        <w:t>（声</w:t>
      </w:r>
      <w:r>
        <w:rPr>
          <w:spacing w:val="-2"/>
          <w:w w:val="100"/>
        </w:rPr>
        <w:t>带完全切除不受此时间限制</w:t>
      </w:r>
      <w:r>
        <w:rPr>
          <w:spacing w:val="-106"/>
          <w:w w:val="100"/>
        </w:rPr>
        <w:t>）</w:t>
      </w:r>
      <w:r>
        <w:rPr>
          <w:spacing w:val="-5"/>
          <w:w w:val="100"/>
        </w:rPr>
        <w:t>，仍无法通过现有医疗手段恢复。</w:t>
      </w:r>
    </w:p>
    <w:p>
      <w:pPr>
        <w:pStyle w:val="Heading2"/>
        <w:spacing w:line="204" w:lineRule="auto"/>
        <w:ind w:left="171" w:right="213"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04" w:lineRule="auto"/>
        <w:jc w:val="both"/>
        <w:sectPr>
          <w:type w:val="continuous"/>
          <w:pgSz w:w="11910" w:h="16840"/>
          <w:pgMar w:top="1040" w:bottom="1180" w:left="1300" w:right="980"/>
          <w:cols w:num="2" w:equalWidth="0">
            <w:col w:w="1753" w:space="40"/>
            <w:col w:w="7837"/>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严</w:t>
      </w:r>
      <w:r>
        <w:rPr>
          <w:b/>
          <w:spacing w:val="30"/>
          <w:sz w:val="21"/>
        </w:rPr>
        <w:t>重多发性硬化</w:t>
      </w:r>
    </w:p>
    <w:p>
      <w:pPr>
        <w:pStyle w:val="BodyText"/>
        <w:spacing w:line="273" w:lineRule="auto" w:before="37"/>
        <w:ind w:left="171" w:right="208" w:firstLine="422"/>
        <w:jc w:val="both"/>
      </w:pPr>
      <w:r>
        <w:rPr/>
        <w:br w:type="column"/>
      </w:r>
      <w:r>
        <w:rPr/>
        <w:t>指中枢神经系统白质多灶性脱髓鞘病变，病变有时累及灰质。多发性硬化必须明确诊断并由断层扫描（CT）或核磁共振检查（MRI）等影像学检查证实，而且已经造成永久不可逆的神经系统功能损害。</w:t>
      </w:r>
    </w:p>
    <w:p>
      <w:pPr>
        <w:pStyle w:val="BodyText"/>
        <w:spacing w:line="273" w:lineRule="auto" w:before="8"/>
        <w:ind w:left="171" w:right="208" w:firstLine="422"/>
        <w:jc w:val="both"/>
      </w:pPr>
      <w:r>
        <w:rPr/>
        <w:t>永久不可逆的神经系统损害，指被保险人持续 180 天无法独立完成下列基本日常生活活动：</w:t>
      </w:r>
    </w:p>
    <w:p>
      <w:pPr>
        <w:pStyle w:val="BodyText"/>
        <w:spacing w:before="8"/>
        <w:ind w:left="593"/>
      </w:pPr>
      <w:r>
        <w:rPr/>
        <w:t>（1）移动：自己从一个房间到另一个房间；或者</w:t>
      </w:r>
    </w:p>
    <w:p>
      <w:pPr>
        <w:pStyle w:val="BodyText"/>
        <w:spacing w:before="37"/>
        <w:ind w:left="593"/>
      </w:pPr>
      <w:r>
        <w:rPr/>
        <w:t>（2）进食：自己从已准备好的碗或碟中取食物放入口中。</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肌</w:t>
      </w:r>
      <w:r>
        <w:rPr>
          <w:spacing w:val="30"/>
        </w:rPr>
        <w:t>营养不良症</w:t>
      </w:r>
    </w:p>
    <w:p>
      <w:pPr>
        <w:pStyle w:val="BodyText"/>
        <w:spacing w:line="273" w:lineRule="auto"/>
        <w:ind w:left="171" w:right="208" w:firstLine="422"/>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非</w:t>
      </w:r>
      <w:r>
        <w:rPr>
          <w:spacing w:val="30"/>
        </w:rPr>
        <w:t>阿尔茨海默病所致严重痴呆</w:t>
      </w:r>
    </w:p>
    <w:p>
      <w:pPr>
        <w:pStyle w:val="BodyText"/>
        <w:spacing w:line="273" w:lineRule="auto"/>
        <w:ind w:left="171" w:right="208" w:firstLine="42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2"/>
        <w:spacing w:line="306" w:lineRule="exact"/>
        <w:ind w:left="593"/>
      </w:pPr>
      <w:r>
        <w:rPr/>
        <w:t>神经官能症、精神疾病及酒精中毒所致脑损害不在保障范围内。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left"/>
        <w:rPr>
          <w:b/>
          <w:sz w:val="21"/>
        </w:rPr>
      </w:pPr>
      <w:r>
        <w:rPr>
          <w:b/>
          <w:sz w:val="21"/>
        </w:rPr>
        <w:t>植物人状态</w:t>
      </w:r>
    </w:p>
    <w:p>
      <w:pPr>
        <w:pStyle w:val="BodyText"/>
        <w:spacing w:line="273" w:lineRule="auto" w:before="37"/>
        <w:ind w:left="176" w:right="198" w:firstLine="422"/>
        <w:jc w:val="both"/>
      </w:pPr>
      <w:r>
        <w:rPr/>
        <w:br w:type="column"/>
      </w:r>
      <w:r>
        <w:rPr/>
        <w:t>指被保险人已丧失大脑皮层功能，对外界刺激或体内需求皆无反应，人呈无</w:t>
      </w:r>
      <w:r>
        <w:rPr>
          <w:spacing w:val="-6"/>
        </w:rPr>
        <w:t>意识状态，但脑干功能仍然保留，并持续依赖外界生命支持系统至少 </w:t>
      </w:r>
      <w:r>
        <w:rPr/>
        <w:t>30</w:t>
      </w:r>
      <w:r>
        <w:rPr>
          <w:spacing w:val="-9"/>
        </w:rPr>
        <w:t> 天以上， </w:t>
      </w:r>
      <w:r>
        <w:rPr>
          <w:spacing w:val="-7"/>
        </w:rPr>
        <w:t>该病须由本公司认可医院的神经科专家确诊并证明有永久性神经系统损害。</w:t>
      </w:r>
    </w:p>
    <w:p>
      <w:pPr>
        <w:pStyle w:val="Heading2"/>
        <w:spacing w:line="306" w:lineRule="exact"/>
        <w:ind w:left="699"/>
      </w:pPr>
      <w:r>
        <w:rPr/>
        <w:t>由酒精或药物滥用而引起的本疾病不在保障范围内。</w:t>
      </w:r>
    </w:p>
    <w:p>
      <w:pPr>
        <w:spacing w:after="0" w:line="306" w:lineRule="exact"/>
        <w:sectPr>
          <w:type w:val="continuous"/>
          <w:pgSz w:w="11910" w:h="16840"/>
          <w:pgMar w:top="1040" w:bottom="1180" w:left="1300" w:right="980"/>
          <w:cols w:num="2" w:equalWidth="0">
            <w:col w:w="1749" w:space="40"/>
            <w:col w:w="78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left"/>
        <w:rPr>
          <w:b/>
          <w:sz w:val="21"/>
        </w:rPr>
      </w:pPr>
      <w:r>
        <w:rPr>
          <w:b/>
          <w:sz w:val="21"/>
        </w:rPr>
        <w:t>瘫痪</w:t>
      </w:r>
    </w:p>
    <w:p>
      <w:pPr>
        <w:pStyle w:val="BodyText"/>
        <w:spacing w:before="37"/>
        <w:ind w:left="598"/>
      </w:pPr>
      <w:r>
        <w:rPr/>
        <w:br w:type="column"/>
      </w:r>
      <w:r>
        <w:rPr/>
        <w:t>指因疾病或意外伤害导致两肢或两肢以上肢体机能永久完全丧失。</w:t>
      </w:r>
    </w:p>
    <w:p>
      <w:pPr>
        <w:pStyle w:val="BodyText"/>
        <w:spacing w:line="273" w:lineRule="auto" w:before="37"/>
        <w:ind w:left="176" w:right="208" w:firstLine="422"/>
      </w:pPr>
      <w:r>
        <w:rPr>
          <w:spacing w:val="-5"/>
        </w:rPr>
        <w:t>肢体机能永久完全丧失，指疾病确诊 </w:t>
      </w:r>
      <w:r>
        <w:rPr/>
        <w:t>180</w:t>
      </w:r>
      <w:r>
        <w:rPr>
          <w:spacing w:val="-8"/>
        </w:rPr>
        <w:t> 天后或意外伤害发生 </w:t>
      </w:r>
      <w:r>
        <w:rPr/>
        <w:t>180</w:t>
      </w:r>
      <w:r>
        <w:rPr>
          <w:spacing w:val="-7"/>
        </w:rPr>
        <w:t> 天后，每</w:t>
      </w:r>
      <w:r>
        <w:rPr>
          <w:spacing w:val="-6"/>
        </w:rPr>
        <w:t>肢三大关节中的两大关节仍然完全僵硬，或不能随意识活动。</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9"/>
        </w:numPr>
        <w:tabs>
          <w:tab w:pos="1465" w:val="left" w:leader="none"/>
        </w:tabs>
        <w:spacing w:line="204" w:lineRule="auto" w:before="24" w:after="0"/>
        <w:ind w:left="778" w:right="0" w:firstLine="0"/>
        <w:jc w:val="both"/>
      </w:pPr>
      <w:r>
        <w:rPr/>
        <w:t>严重克-雅二氏病</w:t>
      </w:r>
    </w:p>
    <w:p>
      <w:pPr>
        <w:pStyle w:val="BodyText"/>
        <w:spacing w:line="273" w:lineRule="auto"/>
        <w:ind w:left="195" w:right="208" w:firstLine="422"/>
        <w:jc w:val="both"/>
      </w:pPr>
      <w:r>
        <w:rPr/>
        <w:br w:type="column"/>
      </w:r>
      <w:r>
        <w:rPr/>
        <w:t>指一种不可治愈的脑部感染，导致急剧而渐进性的智力功能与活动衰退。神经科注册医生必须根据临床测试、脑电图和影像结果作出诊断，并发现被保险人出现神经系统异常及严重的渐进性痴呆。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040" w:bottom="1180" w:left="1300" w:right="980"/>
          <w:cols w:num="2" w:equalWidth="0">
            <w:col w:w="1729" w:space="40"/>
            <w:col w:w="7861"/>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9"/>
        </w:numPr>
        <w:tabs>
          <w:tab w:pos="1465" w:val="left" w:leader="none"/>
        </w:tabs>
        <w:spacing w:line="204" w:lineRule="auto" w:before="24" w:after="0"/>
        <w:ind w:left="778" w:right="0" w:firstLine="0"/>
        <w:jc w:val="left"/>
      </w:pPr>
      <w:r>
        <w:rPr/>
        <w:t>脑外科手术</w:t>
      </w:r>
    </w:p>
    <w:p>
      <w:pPr>
        <w:pStyle w:val="BodyText"/>
        <w:spacing w:line="273" w:lineRule="auto"/>
        <w:ind w:left="248" w:right="208" w:firstLine="422"/>
        <w:jc w:val="both"/>
      </w:pPr>
      <w:r>
        <w:rPr/>
        <w:br w:type="column"/>
      </w:r>
      <w:r>
        <w:rPr/>
        <w:t>因颅内动脉瘤、帕金森病、癫痫的治疗需要，在全麻下进行脑部颅骨切开手</w:t>
      </w:r>
      <w:r>
        <w:rPr>
          <w:spacing w:val="-5"/>
        </w:rPr>
        <w:t>术</w:t>
      </w:r>
      <w:r>
        <w:rPr/>
        <w:t>（</w:t>
      </w:r>
      <w:r>
        <w:rPr>
          <w:spacing w:val="-3"/>
        </w:rPr>
        <w:t>以切开硬脑膜为准</w:t>
      </w:r>
      <w:r>
        <w:rPr>
          <w:spacing w:val="-106"/>
        </w:rPr>
        <w:t>）</w:t>
      </w:r>
      <w:r>
        <w:rPr>
          <w:spacing w:val="-5"/>
        </w:rPr>
        <w:t>。手术必须是在本公司认可医院内由神经科专科医生认为是医疗必须的情况下进行。</w:t>
      </w:r>
    </w:p>
    <w:p>
      <w:pPr>
        <w:pStyle w:val="Heading2"/>
        <w:spacing w:line="204" w:lineRule="auto"/>
        <w:ind w:left="248" w:right="213" w:firstLine="422"/>
        <w:jc w:val="both"/>
      </w:pPr>
      <w:r>
        <w:rPr/>
        <w:t>不需手术切开或切除组织的治疗（如伽玛射线、脑血管神经放射介入治疗如栓塞形成、血栓溶解及立体定位活检）及因意外而需要进行的脑部外科手术均不在本保障范围内。</w:t>
      </w:r>
    </w:p>
    <w:p>
      <w:pPr>
        <w:spacing w:after="0" w:line="204" w:lineRule="auto"/>
        <w:jc w:val="both"/>
        <w:sectPr>
          <w:type w:val="continuous"/>
          <w:pgSz w:w="11910" w:h="16840"/>
          <w:pgMar w:top="1040" w:bottom="1180" w:left="1300" w:right="980"/>
          <w:cols w:num="2" w:equalWidth="0">
            <w:col w:w="1677" w:space="40"/>
            <w:col w:w="7913"/>
          </w:cols>
        </w:sectPr>
      </w:pPr>
    </w:p>
    <w:p>
      <w:pPr>
        <w:pStyle w:val="BodyText"/>
        <w:spacing w:before="3"/>
        <w:rPr>
          <w:rFonts w:ascii="Microsoft JhengHei"/>
          <w:b/>
          <w:sz w:val="13"/>
        </w:rPr>
      </w:pPr>
    </w:p>
    <w:p>
      <w:pPr>
        <w:spacing w:after="0"/>
        <w:rPr>
          <w:rFonts w:ascii="Microsoft JhengHei"/>
          <w:sz w:val="13"/>
        </w:rPr>
        <w:sectPr>
          <w:pgSz w:w="11910" w:h="16840"/>
          <w:pgMar w:header="870" w:footer="998" w:top="1120" w:bottom="1180" w:left="1300" w:right="980"/>
        </w:sectPr>
      </w:pPr>
    </w:p>
    <w:p>
      <w:pPr>
        <w:pStyle w:val="ListParagraph"/>
        <w:numPr>
          <w:ilvl w:val="2"/>
          <w:numId w:val="9"/>
        </w:numPr>
        <w:tabs>
          <w:tab w:pos="1465" w:val="left" w:leader="none"/>
        </w:tabs>
        <w:spacing w:line="204" w:lineRule="auto" w:before="24" w:after="0"/>
        <w:ind w:left="778" w:right="0" w:firstLine="0"/>
        <w:jc w:val="both"/>
        <w:rPr>
          <w:b/>
          <w:sz w:val="21"/>
        </w:rPr>
      </w:pPr>
      <w:r>
        <w:rPr>
          <w:b/>
          <w:sz w:val="21"/>
        </w:rPr>
        <w:t>进行性核上性麻痹</w:t>
      </w:r>
    </w:p>
    <w:p>
      <w:pPr>
        <w:pStyle w:val="BodyText"/>
        <w:spacing w:line="273" w:lineRule="auto"/>
        <w:ind w:left="248" w:right="208" w:firstLine="422"/>
      </w:pPr>
      <w:r>
        <w:rPr/>
        <w:br w:type="column"/>
      </w:r>
      <w:r>
        <w:rPr/>
        <w:t>指一种隐袭起病、逐渐加重的神经系统变性疾病。本疾病必须由本公司认可医院的神经科专科医生确诊，并满足以下全部临床特征：</w:t>
      </w:r>
    </w:p>
    <w:p>
      <w:pPr>
        <w:pStyle w:val="BodyText"/>
        <w:spacing w:before="7"/>
        <w:ind w:left="670"/>
      </w:pPr>
      <w:r>
        <w:rPr/>
        <w:t>（1）步态共济失调；</w:t>
      </w:r>
    </w:p>
    <w:p>
      <w:pPr>
        <w:pStyle w:val="BodyText"/>
        <w:spacing w:before="37"/>
        <w:ind w:left="670"/>
      </w:pPr>
      <w:r>
        <w:rPr/>
        <w:t>（2）对称性眼球垂直运动障碍；</w:t>
      </w:r>
    </w:p>
    <w:p>
      <w:pPr>
        <w:pStyle w:val="BodyText"/>
        <w:spacing w:before="37"/>
        <w:ind w:left="670"/>
      </w:pPr>
      <w:r>
        <w:rPr/>
        <w:t>（3）</w:t>
      </w:r>
      <w:r>
        <w:rPr>
          <w:spacing w:val="-2"/>
        </w:rPr>
        <w:t>假性球麻痹</w:t>
      </w:r>
      <w:r>
        <w:rPr/>
        <w:t>（</w:t>
      </w:r>
      <w:r>
        <w:rPr>
          <w:spacing w:val="-4"/>
        </w:rPr>
        <w:t>构音障碍和吞咽困难</w:t>
      </w:r>
      <w:r>
        <w:rPr>
          <w:spacing w:val="-106"/>
        </w:rPr>
        <w:t>）</w:t>
      </w:r>
      <w:r>
        <w:rPr/>
        <w:t>。</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终</w:t>
      </w:r>
      <w:r>
        <w:rPr>
          <w:spacing w:val="30"/>
        </w:rPr>
        <w:t>末期肾病</w:t>
      </w:r>
    </w:p>
    <w:p>
      <w:pPr>
        <w:spacing w:line="204" w:lineRule="auto" w:before="0"/>
        <w:ind w:left="778" w:right="0" w:firstLine="0"/>
        <w:jc w:val="both"/>
        <w:rPr>
          <w:rFonts w:ascii="Microsoft JhengHei" w:eastAsia="Microsoft JhengHei" w:hint="eastAsia"/>
          <w:b/>
          <w:sz w:val="21"/>
        </w:rPr>
      </w:pPr>
      <w:r>
        <w:rPr>
          <w:rFonts w:ascii="Microsoft JhengHei" w:eastAsia="Microsoft JhengHei" w:hint="eastAsia"/>
          <w:b/>
          <w:sz w:val="21"/>
        </w:rPr>
        <w:t>（ 或称慢性肾功能衰竭尿毒症期）</w:t>
      </w:r>
    </w:p>
    <w:p>
      <w:pPr>
        <w:pStyle w:val="BodyText"/>
        <w:spacing w:line="273" w:lineRule="auto"/>
        <w:ind w:left="171" w:right="208" w:firstLine="42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8"/>
        <w:rPr>
          <w:sz w:val="13"/>
        </w:rPr>
      </w:pPr>
    </w:p>
    <w:p>
      <w:pPr>
        <w:spacing w:after="0"/>
        <w:rPr>
          <w:sz w:val="13"/>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多</w:t>
      </w:r>
      <w:r>
        <w:rPr>
          <w:spacing w:val="30"/>
        </w:rPr>
        <w:t>个肢体缺失</w:t>
      </w:r>
    </w:p>
    <w:p>
      <w:pPr>
        <w:pStyle w:val="BodyText"/>
        <w:spacing w:line="273" w:lineRule="auto"/>
        <w:ind w:left="171" w:right="208"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一</w:t>
      </w:r>
      <w:r>
        <w:rPr>
          <w:spacing w:val="30"/>
        </w:rPr>
        <w:t>肢及单眼缺失</w:t>
      </w:r>
    </w:p>
    <w:p>
      <w:pPr>
        <w:pStyle w:val="BodyText"/>
        <w:spacing w:line="273" w:lineRule="auto"/>
        <w:ind w:left="171" w:right="208" w:firstLine="422"/>
      </w:pPr>
      <w:r>
        <w:rPr/>
        <w:br w:type="column"/>
      </w:r>
      <w:r>
        <w:rPr/>
        <w:t>因疾病或意外伤害导致单眼视力丧失及任何一肢自腕关节或踝关节近端（靠近躯干端）以上完全性断离。</w:t>
      </w:r>
    </w:p>
    <w:p>
      <w:pPr>
        <w:pStyle w:val="BodyText"/>
        <w:spacing w:before="7"/>
        <w:ind w:left="593"/>
      </w:pPr>
      <w:r>
        <w:rPr/>
        <w:t>单眼视力丧失指单眼视力永久不可逆性丧失，患眼须满足下列至少一项条件：</w:t>
      </w:r>
    </w:p>
    <w:p>
      <w:pPr>
        <w:pStyle w:val="BodyText"/>
        <w:spacing w:before="37"/>
        <w:ind w:left="593"/>
      </w:pPr>
      <w:r>
        <w:rPr/>
        <w:t>（1）眼球缺失或摘除；</w:t>
      </w:r>
    </w:p>
    <w:p>
      <w:pPr>
        <w:pStyle w:val="BodyText"/>
        <w:spacing w:line="273" w:lineRule="auto" w:before="37"/>
        <w:ind w:left="171" w:right="208" w:firstLine="422"/>
      </w:pPr>
      <w:r>
        <w:rPr>
          <w:spacing w:val="-7"/>
        </w:rPr>
        <w:t>（2）</w:t>
      </w:r>
      <w:r>
        <w:rPr>
          <w:spacing w:val="-6"/>
        </w:rPr>
        <w:t>矫正视力低于 </w:t>
      </w:r>
      <w:r>
        <w:rPr>
          <w:spacing w:val="-5"/>
        </w:rPr>
        <w:t>0.02（</w:t>
      </w:r>
      <w:r>
        <w:rPr>
          <w:spacing w:val="-6"/>
        </w:rPr>
        <w:t>采用国际标准视力表，如果使用其它视力表应进行</w:t>
      </w:r>
      <w:r>
        <w:rPr>
          <w:spacing w:val="-6"/>
          <w:w w:val="100"/>
        </w:rPr>
        <w:t>换算</w:t>
      </w:r>
      <w:r>
        <w:rPr>
          <w:spacing w:val="-106"/>
          <w:w w:val="100"/>
        </w:rPr>
        <w:t>）</w:t>
      </w:r>
      <w:r>
        <w:rPr>
          <w:w w:val="100"/>
        </w:rPr>
        <w:t>；</w:t>
      </w:r>
    </w:p>
    <w:p>
      <w:pPr>
        <w:pStyle w:val="BodyText"/>
        <w:spacing w:line="260" w:lineRule="exact" w:before="7"/>
        <w:ind w:left="593"/>
      </w:pPr>
      <w:r>
        <w:rPr/>
        <w:t>（3）视野半径小于 5 度。</w:t>
      </w:r>
    </w:p>
    <w:p>
      <w:pPr>
        <w:pStyle w:val="Heading2"/>
        <w:spacing w:line="204" w:lineRule="auto" w:before="39"/>
        <w:ind w:left="171" w:right="213" w:firstLine="422"/>
      </w:pPr>
      <w:r>
        <w:rPr/>
        <w:t>除眼球缺失或摘除等情形外，被保险人申请理赔时须提供理赔当时的视力丧失诊断及检查证据。</w:t>
      </w:r>
    </w:p>
    <w:p>
      <w:pPr>
        <w:spacing w:after="0" w:line="204" w:lineRule="auto"/>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急</w:t>
      </w:r>
      <w:r>
        <w:rPr>
          <w:b/>
          <w:spacing w:val="30"/>
          <w:sz w:val="21"/>
        </w:rPr>
        <w:t>性或亚急性重症肝炎</w:t>
      </w:r>
    </w:p>
    <w:p>
      <w:pPr>
        <w:pStyle w:val="BodyText"/>
        <w:spacing w:line="273" w:lineRule="auto"/>
        <w:ind w:left="171" w:right="208" w:firstLine="422"/>
      </w:pPr>
      <w:r>
        <w:rPr/>
        <w:br w:type="column"/>
      </w:r>
      <w:r>
        <w:rPr/>
        <w:t>指因肝炎病毒感染引起肝脏组织弥漫性坏死，导致急性肝功能衰竭，且经血清学或病毒学检查证实，并须满足下列全部条件：</w:t>
      </w:r>
    </w:p>
    <w:p>
      <w:pPr>
        <w:pStyle w:val="BodyText"/>
        <w:spacing w:before="7"/>
        <w:ind w:left="593"/>
      </w:pPr>
      <w:r>
        <w:rPr/>
        <w:t>（1）重度黄疸或黄疸迅速加重；</w:t>
      </w:r>
    </w:p>
    <w:p>
      <w:pPr>
        <w:pStyle w:val="BodyText"/>
        <w:spacing w:before="37"/>
        <w:ind w:left="593"/>
      </w:pPr>
      <w:r>
        <w:rPr/>
        <w:t>（2）肝性脑病；</w:t>
      </w:r>
    </w:p>
    <w:p>
      <w:pPr>
        <w:pStyle w:val="BodyText"/>
        <w:spacing w:before="37"/>
        <w:ind w:left="593"/>
      </w:pPr>
      <w:r>
        <w:rPr/>
        <w:t>（3）B 超或其他影像学检查显示肝脏体积急速萎缩；</w:t>
      </w:r>
    </w:p>
    <w:p>
      <w:pPr>
        <w:pStyle w:val="BodyText"/>
        <w:spacing w:before="37"/>
        <w:ind w:left="593"/>
      </w:pPr>
      <w:r>
        <w:rPr/>
        <w:t>（4）肝功能指标进行性恶化。</w:t>
      </w:r>
    </w:p>
    <w:p>
      <w:pPr>
        <w:spacing w:after="0"/>
        <w:sectPr>
          <w:type w:val="continuous"/>
          <w:pgSz w:w="11910" w:h="16840"/>
          <w:pgMar w:top="1040" w:bottom="1180" w:left="1300" w:right="980"/>
          <w:cols w:num="2" w:equalWidth="0">
            <w:col w:w="1753" w:space="40"/>
            <w:col w:w="7837"/>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both"/>
      </w:pPr>
      <w:r>
        <w:rPr/>
        <w:t>慢</w:t>
      </w:r>
      <w:r>
        <w:rPr>
          <w:spacing w:val="30"/>
        </w:rPr>
        <w:t>性肝功能衰竭失代偿期</w:t>
      </w:r>
    </w:p>
    <w:p>
      <w:pPr>
        <w:pStyle w:val="BodyText"/>
        <w:ind w:left="593"/>
      </w:pPr>
      <w:r>
        <w:rPr/>
        <w:br w:type="column"/>
      </w:r>
      <w:r>
        <w:rPr/>
        <w:t>指因慢性肝脏疾病导致肝功能衰竭。须满足下列全部条件：</w:t>
      </w:r>
    </w:p>
    <w:p>
      <w:pPr>
        <w:pStyle w:val="BodyText"/>
        <w:ind w:left="593"/>
      </w:pPr>
      <w:r>
        <w:rPr/>
        <w:t>（1）持续性黄疸；</w:t>
      </w:r>
    </w:p>
    <w:p>
      <w:pPr>
        <w:pStyle w:val="BodyText"/>
        <w:ind w:left="593"/>
      </w:pPr>
      <w:r>
        <w:rPr/>
        <w:t>（2）腹水；</w:t>
      </w:r>
    </w:p>
    <w:p>
      <w:pPr>
        <w:pStyle w:val="BodyText"/>
        <w:ind w:left="593"/>
      </w:pPr>
      <w:r>
        <w:rPr/>
        <w:t>（3）肝性脑病；</w:t>
      </w:r>
    </w:p>
    <w:p>
      <w:pPr>
        <w:spacing w:line="218" w:lineRule="auto" w:before="61"/>
        <w:ind w:left="593" w:right="2089" w:firstLine="0"/>
        <w:jc w:val="left"/>
        <w:rPr>
          <w:rFonts w:ascii="Microsoft JhengHei" w:eastAsia="Microsoft JhengHei" w:hint="eastAsia"/>
          <w:b/>
          <w:sz w:val="21"/>
        </w:rPr>
      </w:pPr>
      <w:r>
        <w:rPr>
          <w:sz w:val="21"/>
        </w:rPr>
        <w:t>（4）充血性脾肿大伴脾功能亢进或食管胃底静脉曲张。</w:t>
      </w:r>
      <w:r>
        <w:rPr>
          <w:rFonts w:ascii="Microsoft JhengHei" w:eastAsia="Microsoft JhengHei" w:hint="eastAsia"/>
          <w:b/>
          <w:sz w:val="21"/>
        </w:rPr>
        <w:t>因酗酒或药物滥用导致的肝功能衰竭不在保障范围内。</w:t>
      </w:r>
    </w:p>
    <w:p>
      <w:pPr>
        <w:spacing w:after="0" w:line="218" w:lineRule="auto"/>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17"/>
        <w:rPr>
          <w:rFonts w:ascii="Microsoft JhengHei"/>
          <w:b/>
          <w:sz w:val="9"/>
        </w:rPr>
      </w:pPr>
    </w:p>
    <w:p>
      <w:pPr>
        <w:spacing w:after="0"/>
        <w:rPr>
          <w:rFonts w:ascii="Microsoft JhengHei"/>
          <w:sz w:val="9"/>
        </w:rPr>
        <w:sectPr>
          <w:type w:val="continuous"/>
          <w:pgSz w:w="11910" w:h="16840"/>
          <w:pgMar w:top="1040" w:bottom="1180" w:left="1300" w:right="980"/>
        </w:sectPr>
      </w:pPr>
    </w:p>
    <w:p>
      <w:pPr>
        <w:pStyle w:val="Heading2"/>
        <w:numPr>
          <w:ilvl w:val="2"/>
          <w:numId w:val="9"/>
        </w:numPr>
        <w:tabs>
          <w:tab w:pos="1537" w:val="left" w:leader="none"/>
        </w:tabs>
        <w:spacing w:line="204" w:lineRule="auto" w:before="24" w:after="0"/>
        <w:ind w:left="778" w:right="0" w:firstLine="0"/>
        <w:jc w:val="left"/>
      </w:pPr>
      <w:r>
        <w:rPr/>
        <w:t>双目失明</w:t>
      </w:r>
    </w:p>
    <w:p>
      <w:pPr>
        <w:pStyle w:val="BodyText"/>
        <w:spacing w:line="273" w:lineRule="auto"/>
        <w:ind w:left="176" w:right="208" w:firstLine="422"/>
      </w:pPr>
      <w:r>
        <w:rPr/>
        <w:br w:type="column"/>
      </w:r>
      <w:r>
        <w:rPr/>
        <w:t>指因疾病或意外伤害导致双眼视力永久不可逆性丧失，双眼中较好眼须满足下列至少一项条件：</w:t>
      </w:r>
    </w:p>
    <w:p>
      <w:pPr>
        <w:pStyle w:val="BodyText"/>
        <w:spacing w:before="7"/>
        <w:ind w:left="598"/>
      </w:pPr>
      <w:r>
        <w:rPr/>
        <w:t>（1）眼球缺失或摘除；</w:t>
      </w:r>
    </w:p>
    <w:p>
      <w:pPr>
        <w:pStyle w:val="BodyText"/>
        <w:spacing w:line="273" w:lineRule="auto" w:before="37"/>
        <w:ind w:left="176" w:right="208" w:firstLine="422"/>
      </w:pPr>
      <w:r>
        <w:rPr/>
        <w:t>（2）</w:t>
      </w:r>
      <w:r>
        <w:rPr>
          <w:spacing w:val="7"/>
        </w:rPr>
        <w:t>矫正视力低于 </w:t>
      </w:r>
      <w:r>
        <w:rPr/>
        <w:t>0.02（采用国际标准视力表，如使用其他视力表应进行</w:t>
      </w:r>
      <w:r>
        <w:rPr>
          <w:w w:val="100"/>
        </w:rPr>
        <w:t>换算</w:t>
      </w:r>
      <w:r>
        <w:rPr>
          <w:spacing w:val="-106"/>
          <w:w w:val="100"/>
        </w:rPr>
        <w:t>）</w:t>
      </w:r>
      <w:r>
        <w:rPr>
          <w:w w:val="100"/>
        </w:rPr>
        <w:t>；</w:t>
      </w:r>
    </w:p>
    <w:p>
      <w:pPr>
        <w:pStyle w:val="BodyText"/>
        <w:spacing w:before="7"/>
        <w:ind w:left="598"/>
      </w:pPr>
      <w:r>
        <w:rPr/>
        <w:t>（3）视野半径小于 5 度。</w:t>
      </w:r>
    </w:p>
    <w:p>
      <w:pPr>
        <w:spacing w:after="0"/>
        <w:sectPr>
          <w:type w:val="continuous"/>
          <w:pgSz w:w="11910" w:h="16840"/>
          <w:pgMar w:top="1040" w:bottom="1180" w:left="1300" w:right="980"/>
          <w:cols w:num="2" w:equalWidth="0">
            <w:col w:w="1749" w:space="40"/>
            <w:col w:w="7841"/>
          </w:cols>
        </w:sectPr>
      </w:pPr>
    </w:p>
    <w:p>
      <w:pPr>
        <w:pStyle w:val="BodyText"/>
        <w:spacing w:before="7"/>
        <w:rPr>
          <w:sz w:val="17"/>
        </w:rPr>
      </w:pPr>
    </w:p>
    <w:p>
      <w:pPr>
        <w:pStyle w:val="Heading2"/>
        <w:spacing w:line="204" w:lineRule="auto" w:before="24"/>
        <w:ind w:left="1964" w:right="213" w:firstLine="422"/>
      </w:pPr>
      <w:r>
        <w:rPr/>
        <w:t>除眼球缺失或摘除等情形外，被保险人申请理赔时须提供理赔当时的视力丧失诊断及检查证据。</w:t>
      </w:r>
    </w:p>
    <w:p>
      <w:pPr>
        <w:pStyle w:val="BodyText"/>
        <w:spacing w:before="3"/>
        <w:rPr>
          <w:rFonts w:ascii="Microsoft JhengHei"/>
          <w:b/>
          <w:sz w:val="10"/>
        </w:rPr>
      </w:pPr>
    </w:p>
    <w:p>
      <w:pPr>
        <w:spacing w:after="0"/>
        <w:rPr>
          <w:rFonts w:ascii="Microsoft JhengHei"/>
          <w:sz w:val="10"/>
        </w:rPr>
        <w:sectPr>
          <w:pgSz w:w="11910" w:h="16840"/>
          <w:pgMar w:header="870" w:footer="998" w:top="1120" w:bottom="1180" w:left="1300" w:right="980"/>
        </w:sectPr>
      </w:pPr>
    </w:p>
    <w:p>
      <w:pPr>
        <w:pStyle w:val="ListParagraph"/>
        <w:numPr>
          <w:ilvl w:val="2"/>
          <w:numId w:val="9"/>
        </w:numPr>
        <w:tabs>
          <w:tab w:pos="1537" w:val="left" w:leader="none"/>
        </w:tabs>
        <w:spacing w:line="204" w:lineRule="auto" w:before="25" w:after="0"/>
        <w:ind w:left="778" w:right="0" w:firstLine="0"/>
        <w:jc w:val="both"/>
        <w:rPr>
          <w:b/>
          <w:sz w:val="21"/>
        </w:rPr>
      </w:pPr>
      <w:r>
        <w:rPr>
          <w:b/>
          <w:sz w:val="21"/>
        </w:rPr>
        <w:t>系</w:t>
      </w:r>
      <w:r>
        <w:rPr>
          <w:b/>
          <w:spacing w:val="30"/>
          <w:sz w:val="21"/>
        </w:rPr>
        <w:t>统性红斑</w:t>
      </w:r>
      <w:r>
        <w:rPr>
          <w:b/>
          <w:spacing w:val="15"/>
          <w:sz w:val="21"/>
        </w:rPr>
        <w:t>狼疮－ Ⅲ</w:t>
      </w:r>
      <w:r>
        <w:rPr>
          <w:b/>
          <w:spacing w:val="30"/>
          <w:sz w:val="21"/>
        </w:rPr>
        <w:t>型或以上狼疮性肾炎</w:t>
      </w: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0"/>
        <w:rPr>
          <w:rFonts w:ascii="Microsoft JhengHei"/>
          <w:b/>
          <w:sz w:val="20"/>
        </w:rPr>
      </w:pPr>
    </w:p>
    <w:p>
      <w:pPr>
        <w:pStyle w:val="BodyText"/>
        <w:spacing w:before="9"/>
        <w:rPr>
          <w:rFonts w:ascii="Microsoft JhengHei"/>
          <w:b/>
          <w:sz w:val="29"/>
        </w:rPr>
      </w:pPr>
    </w:p>
    <w:p>
      <w:pPr>
        <w:pStyle w:val="ListParagraph"/>
        <w:numPr>
          <w:ilvl w:val="2"/>
          <w:numId w:val="9"/>
        </w:numPr>
        <w:tabs>
          <w:tab w:pos="1537" w:val="left" w:leader="none"/>
        </w:tabs>
        <w:spacing w:line="204" w:lineRule="auto" w:before="0" w:after="0"/>
        <w:ind w:left="778" w:right="0" w:firstLine="0"/>
        <w:jc w:val="both"/>
        <w:rPr>
          <w:b/>
          <w:sz w:val="21"/>
        </w:rPr>
      </w:pPr>
      <w:r>
        <w:rPr>
          <w:b/>
          <w:sz w:val="21"/>
        </w:rPr>
        <w:t>慢</w:t>
      </w:r>
      <w:r>
        <w:rPr>
          <w:b/>
          <w:spacing w:val="30"/>
          <w:sz w:val="21"/>
        </w:rPr>
        <w:t>性呼吸功能衰竭</w:t>
      </w:r>
    </w:p>
    <w:p>
      <w:pPr>
        <w:pStyle w:val="BodyText"/>
        <w:spacing w:line="273" w:lineRule="auto" w:before="37"/>
        <w:ind w:left="171" w:right="208" w:firstLine="422"/>
      </w:pPr>
      <w:r>
        <w:rPr/>
        <w:br w:type="column"/>
      </w:r>
      <w:r>
        <w:rPr/>
        <w:t>系统性红斑狼疮是一种表现有多系统损害的慢性系统性自身免疫病，其特点是血清具有以抗核抗体为代表的多种自身抗体。</w:t>
      </w:r>
    </w:p>
    <w:p>
      <w:pPr>
        <w:spacing w:line="211" w:lineRule="auto" w:before="40"/>
        <w:ind w:left="171" w:right="203" w:firstLine="422"/>
        <w:jc w:val="both"/>
        <w:rPr>
          <w:rFonts w:ascii="Microsoft JhengHei" w:hAnsi="Microsoft JhengHei" w:eastAsia="Microsoft JhengHei" w:hint="eastAsia"/>
          <w:b/>
          <w:sz w:val="21"/>
        </w:rPr>
      </w:pPr>
      <w:r>
        <w:rPr>
          <w:spacing w:val="-6"/>
          <w:sz w:val="21"/>
        </w:rPr>
        <w:t>本合同所指的系统性红斑狼疮仅限于累及肾脏</w:t>
      </w:r>
      <w:r>
        <w:rPr>
          <w:sz w:val="21"/>
        </w:rPr>
        <w:t>（</w:t>
      </w:r>
      <w:r>
        <w:rPr>
          <w:spacing w:val="-9"/>
          <w:sz w:val="21"/>
        </w:rPr>
        <w:t>经肾脏活检确认的，符合 </w:t>
      </w:r>
      <w:r>
        <w:rPr>
          <w:sz w:val="21"/>
        </w:rPr>
        <w:t>WHO 诊断标准定义Ⅲ型或Ⅲ型以上狼疮性肾炎）的系统性红斑狼疮。</w:t>
      </w:r>
      <w:r>
        <w:rPr>
          <w:rFonts w:ascii="Microsoft JhengHei" w:hAnsi="Microsoft JhengHei" w:eastAsia="Microsoft JhengHei" w:hint="eastAsia"/>
          <w:b/>
          <w:sz w:val="21"/>
        </w:rPr>
        <w:t>其他类型的红斑</w:t>
      </w:r>
      <w:r>
        <w:rPr>
          <w:rFonts w:ascii="Microsoft JhengHei" w:hAnsi="Microsoft JhengHei" w:eastAsia="Microsoft JhengHei" w:hint="eastAsia"/>
          <w:b/>
          <w:spacing w:val="-2"/>
          <w:sz w:val="21"/>
        </w:rPr>
        <w:t>性狼疮，如盘状狼疮、仅累及血液及关节的狼疮不在保障范围内。</w:t>
      </w:r>
    </w:p>
    <w:p>
      <w:pPr>
        <w:pStyle w:val="BodyText"/>
        <w:spacing w:before="12"/>
        <w:ind w:left="171"/>
      </w:pPr>
      <w:r>
        <w:rPr/>
        <w:t>世界卫生组织（WHO）狼疮性肾炎分型：</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line="240" w:lineRule="auto" w:before="10"/>
              <w:ind w:left="23"/>
              <w:rPr>
                <w:sz w:val="21"/>
              </w:rPr>
            </w:pPr>
            <w:r>
              <w:rPr>
                <w:sz w:val="21"/>
              </w:rPr>
              <w:t>Ⅰ型</w:t>
            </w:r>
          </w:p>
        </w:tc>
        <w:tc>
          <w:tcPr>
            <w:tcW w:w="1757" w:type="dxa"/>
          </w:tcPr>
          <w:p>
            <w:pPr>
              <w:pStyle w:val="TableParagraph"/>
              <w:spacing w:line="240" w:lineRule="auto" w:before="11"/>
              <w:ind w:left="26"/>
              <w:rPr>
                <w:sz w:val="21"/>
              </w:rPr>
            </w:pPr>
            <w:r>
              <w:rPr>
                <w:sz w:val="21"/>
              </w:rPr>
              <w:t>微小病变型</w:t>
            </w:r>
          </w:p>
        </w:tc>
      </w:tr>
      <w:tr>
        <w:trPr>
          <w:trHeight w:val="363" w:hRule="atLeast"/>
        </w:trPr>
        <w:tc>
          <w:tcPr>
            <w:tcW w:w="655" w:type="dxa"/>
          </w:tcPr>
          <w:p>
            <w:pPr>
              <w:pStyle w:val="TableParagraph"/>
              <w:spacing w:line="240" w:lineRule="auto" w:before="8"/>
              <w:ind w:left="23"/>
              <w:rPr>
                <w:sz w:val="21"/>
              </w:rPr>
            </w:pPr>
            <w:r>
              <w:rPr>
                <w:sz w:val="21"/>
              </w:rPr>
              <w:t>Ⅱ型</w:t>
            </w:r>
          </w:p>
        </w:tc>
        <w:tc>
          <w:tcPr>
            <w:tcW w:w="1757" w:type="dxa"/>
          </w:tcPr>
          <w:p>
            <w:pPr>
              <w:pStyle w:val="TableParagraph"/>
              <w:spacing w:line="240" w:lineRule="auto" w:before="8"/>
              <w:ind w:left="26"/>
              <w:rPr>
                <w:sz w:val="21"/>
              </w:rPr>
            </w:pPr>
            <w:r>
              <w:rPr>
                <w:sz w:val="21"/>
              </w:rPr>
              <w:t>系膜病变型</w:t>
            </w:r>
          </w:p>
        </w:tc>
      </w:tr>
      <w:tr>
        <w:trPr>
          <w:trHeight w:val="358" w:hRule="atLeast"/>
        </w:trPr>
        <w:tc>
          <w:tcPr>
            <w:tcW w:w="655" w:type="dxa"/>
          </w:tcPr>
          <w:p>
            <w:pPr>
              <w:pStyle w:val="TableParagraph"/>
              <w:spacing w:line="240" w:lineRule="auto" w:before="8"/>
              <w:ind w:left="23"/>
              <w:rPr>
                <w:sz w:val="21"/>
              </w:rPr>
            </w:pPr>
            <w:r>
              <w:rPr>
                <w:sz w:val="21"/>
              </w:rPr>
              <w:t>Ⅲ型</w:t>
            </w:r>
          </w:p>
        </w:tc>
        <w:tc>
          <w:tcPr>
            <w:tcW w:w="1757" w:type="dxa"/>
          </w:tcPr>
          <w:p>
            <w:pPr>
              <w:pStyle w:val="TableParagraph"/>
              <w:spacing w:line="240" w:lineRule="auto" w:before="8"/>
              <w:ind w:left="26"/>
              <w:rPr>
                <w:sz w:val="21"/>
              </w:rPr>
            </w:pPr>
            <w:r>
              <w:rPr>
                <w:sz w:val="21"/>
              </w:rPr>
              <w:t>局灶及节段增生型</w:t>
            </w:r>
          </w:p>
        </w:tc>
      </w:tr>
      <w:tr>
        <w:trPr>
          <w:trHeight w:val="363" w:hRule="atLeast"/>
        </w:trPr>
        <w:tc>
          <w:tcPr>
            <w:tcW w:w="655" w:type="dxa"/>
          </w:tcPr>
          <w:p>
            <w:pPr>
              <w:pStyle w:val="TableParagraph"/>
              <w:spacing w:line="240" w:lineRule="auto" w:before="13"/>
              <w:ind w:left="23"/>
              <w:rPr>
                <w:sz w:val="21"/>
              </w:rPr>
            </w:pPr>
            <w:r>
              <w:rPr>
                <w:sz w:val="21"/>
              </w:rPr>
              <w:t>Ⅳ型</w:t>
            </w:r>
          </w:p>
        </w:tc>
        <w:tc>
          <w:tcPr>
            <w:tcW w:w="1757" w:type="dxa"/>
          </w:tcPr>
          <w:p>
            <w:pPr>
              <w:pStyle w:val="TableParagraph"/>
              <w:spacing w:line="240" w:lineRule="auto" w:before="13"/>
              <w:ind w:left="26"/>
              <w:rPr>
                <w:sz w:val="21"/>
              </w:rPr>
            </w:pPr>
            <w:r>
              <w:rPr>
                <w:sz w:val="21"/>
              </w:rPr>
              <w:t>弥漫增生型</w:t>
            </w:r>
          </w:p>
        </w:tc>
      </w:tr>
      <w:tr>
        <w:trPr>
          <w:trHeight w:val="363" w:hRule="atLeast"/>
        </w:trPr>
        <w:tc>
          <w:tcPr>
            <w:tcW w:w="655" w:type="dxa"/>
          </w:tcPr>
          <w:p>
            <w:pPr>
              <w:pStyle w:val="TableParagraph"/>
              <w:spacing w:line="240" w:lineRule="auto" w:before="8"/>
              <w:ind w:left="23"/>
              <w:rPr>
                <w:sz w:val="21"/>
              </w:rPr>
            </w:pPr>
            <w:r>
              <w:rPr>
                <w:sz w:val="21"/>
              </w:rPr>
              <w:t>Ⅴ型</w:t>
            </w:r>
          </w:p>
        </w:tc>
        <w:tc>
          <w:tcPr>
            <w:tcW w:w="1757" w:type="dxa"/>
          </w:tcPr>
          <w:p>
            <w:pPr>
              <w:pStyle w:val="TableParagraph"/>
              <w:spacing w:line="240" w:lineRule="auto" w:before="8"/>
              <w:ind w:left="26"/>
              <w:rPr>
                <w:sz w:val="21"/>
              </w:rPr>
            </w:pPr>
            <w:r>
              <w:rPr>
                <w:sz w:val="21"/>
              </w:rPr>
              <w:t>膜型</w:t>
            </w:r>
          </w:p>
        </w:tc>
      </w:tr>
      <w:tr>
        <w:trPr>
          <w:trHeight w:val="356" w:hRule="atLeast"/>
        </w:trPr>
        <w:tc>
          <w:tcPr>
            <w:tcW w:w="655" w:type="dxa"/>
          </w:tcPr>
          <w:p>
            <w:pPr>
              <w:pStyle w:val="TableParagraph"/>
              <w:spacing w:line="240" w:lineRule="auto" w:before="8"/>
              <w:ind w:left="23"/>
              <w:rPr>
                <w:sz w:val="21"/>
              </w:rPr>
            </w:pPr>
            <w:r>
              <w:rPr>
                <w:sz w:val="21"/>
              </w:rPr>
              <w:t>Ⅵ型</w:t>
            </w:r>
          </w:p>
        </w:tc>
        <w:tc>
          <w:tcPr>
            <w:tcW w:w="1757" w:type="dxa"/>
          </w:tcPr>
          <w:p>
            <w:pPr>
              <w:pStyle w:val="TableParagraph"/>
              <w:spacing w:line="240" w:lineRule="auto" w:before="8"/>
              <w:ind w:left="26"/>
              <w:rPr>
                <w:sz w:val="21"/>
              </w:rPr>
            </w:pPr>
            <w:r>
              <w:rPr>
                <w:sz w:val="21"/>
              </w:rPr>
              <w:t>肾小球硬化型</w:t>
            </w:r>
          </w:p>
        </w:tc>
      </w:tr>
    </w:tbl>
    <w:p>
      <w:pPr>
        <w:pStyle w:val="BodyText"/>
        <w:spacing w:before="11"/>
        <w:rPr>
          <w:sz w:val="15"/>
        </w:rPr>
      </w:pPr>
    </w:p>
    <w:p>
      <w:pPr>
        <w:pStyle w:val="BodyText"/>
        <w:spacing w:line="273" w:lineRule="auto" w:before="1"/>
        <w:ind w:left="171" w:right="208" w:firstLine="422"/>
      </w:pPr>
      <w:r>
        <w:rPr/>
        <w:t>指慢性肺部疾病导致永久不可逆性的慢性呼吸功能衰竭。慢性呼吸功能衰竭必须明确诊断并满足下列全部条件：</w:t>
      </w:r>
    </w:p>
    <w:p>
      <w:pPr>
        <w:pStyle w:val="BodyText"/>
        <w:spacing w:before="8"/>
        <w:ind w:left="593"/>
      </w:pPr>
      <w:r>
        <w:rPr/>
        <w:t>（1）休息时出现呼吸困难；</w:t>
      </w:r>
    </w:p>
    <w:p>
      <w:pPr>
        <w:pStyle w:val="BodyText"/>
        <w:spacing w:before="37"/>
        <w:ind w:left="593"/>
      </w:pPr>
      <w:r>
        <w:rPr>
          <w:position w:val="1"/>
        </w:rPr>
        <w:t>（2）动脉血氧分压（PaO</w:t>
      </w:r>
      <w:r>
        <w:rPr>
          <w:sz w:val="11"/>
        </w:rPr>
        <w:t>2</w:t>
      </w:r>
      <w:r>
        <w:rPr>
          <w:position w:val="1"/>
        </w:rPr>
        <w:t>）&lt; 50mmHg；</w:t>
      </w:r>
    </w:p>
    <w:p>
      <w:pPr>
        <w:pStyle w:val="BodyText"/>
        <w:spacing w:before="37"/>
        <w:ind w:left="593"/>
      </w:pPr>
      <w:r>
        <w:rPr>
          <w:position w:val="1"/>
        </w:rPr>
        <w:t>（3）动脉血氧饱和度（SaO</w:t>
      </w:r>
      <w:r>
        <w:rPr>
          <w:sz w:val="11"/>
        </w:rPr>
        <w:t>2</w:t>
      </w:r>
      <w:r>
        <w:rPr>
          <w:position w:val="1"/>
        </w:rPr>
        <w:t>）&lt; 80%；</w:t>
      </w:r>
    </w:p>
    <w:p>
      <w:pPr>
        <w:pStyle w:val="BodyText"/>
        <w:spacing w:before="37"/>
        <w:ind w:left="593"/>
      </w:pPr>
      <w:r>
        <w:rPr/>
        <w:t>（4）因缺氧必须接受输氧治疗。</w:t>
      </w:r>
    </w:p>
    <w:p>
      <w:pPr>
        <w:spacing w:after="0"/>
        <w:sectPr>
          <w:type w:val="continuous"/>
          <w:pgSz w:w="11910" w:h="16840"/>
          <w:pgMar w:top="1040" w:bottom="1180" w:left="1300" w:right="980"/>
          <w:cols w:num="2" w:equalWidth="0">
            <w:col w:w="1753" w:space="40"/>
            <w:col w:w="7837"/>
          </w:cols>
        </w:sectPr>
      </w:pPr>
    </w:p>
    <w:p>
      <w:pPr>
        <w:pStyle w:val="BodyText"/>
        <w:spacing w:before="5"/>
        <w:rPr>
          <w:sz w:val="15"/>
        </w:rPr>
      </w:pPr>
    </w:p>
    <w:p>
      <w:pPr>
        <w:spacing w:after="0"/>
        <w:rPr>
          <w:sz w:val="15"/>
        </w:rPr>
        <w:sectPr>
          <w:type w:val="continuous"/>
          <w:pgSz w:w="11910" w:h="16840"/>
          <w:pgMar w:top="1040" w:bottom="1180" w:left="1300" w:right="980"/>
        </w:sectPr>
      </w:pPr>
    </w:p>
    <w:p>
      <w:pPr>
        <w:pStyle w:val="Heading2"/>
        <w:numPr>
          <w:ilvl w:val="2"/>
          <w:numId w:val="9"/>
        </w:numPr>
        <w:tabs>
          <w:tab w:pos="1465" w:val="left" w:leader="none"/>
        </w:tabs>
        <w:spacing w:line="204" w:lineRule="auto" w:before="25" w:after="0"/>
        <w:ind w:left="778" w:right="0" w:firstLine="0"/>
        <w:jc w:val="both"/>
      </w:pPr>
      <w:r>
        <w:rPr/>
        <w:t>原发性硬化性胆管炎</w:t>
      </w:r>
    </w:p>
    <w:p>
      <w:pPr>
        <w:pStyle w:val="BodyText"/>
        <w:spacing w:line="273" w:lineRule="auto"/>
        <w:ind w:left="248" w:right="102" w:firstLine="422"/>
      </w:pPr>
      <w:r>
        <w:rPr/>
        <w:br w:type="column"/>
      </w:r>
      <w:r>
        <w:rPr/>
        <w:t>指一种胆汁淤积综合征，其特征是肝内、肝外胆道因纤维化性炎症逐渐狭窄， 并最终导致完全阻塞而发展为肝硬化。须经内镜逆行胰胆管造影等影像学检查证实，并须满足下列全部条件：</w:t>
      </w:r>
    </w:p>
    <w:p>
      <w:pPr>
        <w:pStyle w:val="BodyText"/>
        <w:spacing w:before="7"/>
        <w:ind w:left="670"/>
      </w:pPr>
      <w:r>
        <w:rPr/>
        <w:t>（1）总胆红素和直接胆红素同时升高，血清 ALP&gt;200U/L；</w:t>
      </w:r>
    </w:p>
    <w:p>
      <w:pPr>
        <w:pStyle w:val="BodyText"/>
        <w:spacing w:before="37"/>
        <w:ind w:left="670"/>
      </w:pPr>
      <w:r>
        <w:rPr/>
        <w:t>（2）持续性黄疸病史；</w:t>
      </w:r>
    </w:p>
    <w:p>
      <w:pPr>
        <w:pStyle w:val="BodyText"/>
        <w:spacing w:line="260" w:lineRule="exact" w:before="37"/>
        <w:ind w:left="670"/>
      </w:pPr>
      <w:r>
        <w:rPr/>
        <w:t>（3）出现胆汁性肝硬化或门脉高压。</w:t>
      </w:r>
    </w:p>
    <w:p>
      <w:pPr>
        <w:pStyle w:val="Heading2"/>
        <w:spacing w:line="351" w:lineRule="exact"/>
        <w:ind w:left="670"/>
      </w:pPr>
      <w:r>
        <w:rPr/>
        <w:t>因肿瘤或胆管损伤等继发性的硬化性胆管炎不在保障范围内。</w:t>
      </w:r>
    </w:p>
    <w:p>
      <w:pPr>
        <w:spacing w:after="0" w:line="351" w:lineRule="exact"/>
        <w:sectPr>
          <w:type w:val="continuous"/>
          <w:pgSz w:w="11910" w:h="16840"/>
          <w:pgMar w:top="1040" w:bottom="1180" w:left="1300" w:right="980"/>
          <w:cols w:num="2" w:equalWidth="0">
            <w:col w:w="1677" w:space="40"/>
            <w:col w:w="7913"/>
          </w:cols>
        </w:sectPr>
      </w:pPr>
    </w:p>
    <w:p>
      <w:pPr>
        <w:pStyle w:val="BodyText"/>
        <w:spacing w:before="0"/>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9"/>
        </w:numPr>
        <w:tabs>
          <w:tab w:pos="1537" w:val="left" w:leader="none"/>
        </w:tabs>
        <w:spacing w:line="204" w:lineRule="auto" w:before="24" w:after="0"/>
        <w:ind w:left="778" w:right="0" w:firstLine="0"/>
        <w:jc w:val="both"/>
        <w:rPr>
          <w:b/>
          <w:sz w:val="21"/>
        </w:rPr>
      </w:pPr>
      <w:r>
        <w:rPr>
          <w:b/>
          <w:sz w:val="21"/>
        </w:rPr>
        <w:t>全</w:t>
      </w:r>
      <w:r>
        <w:rPr>
          <w:b/>
          <w:spacing w:val="30"/>
          <w:sz w:val="21"/>
        </w:rPr>
        <w:t>身性硬皮病</w:t>
      </w:r>
    </w:p>
    <w:p>
      <w:pPr>
        <w:pStyle w:val="BodyText"/>
        <w:spacing w:line="273" w:lineRule="auto"/>
        <w:ind w:left="171" w:right="208" w:firstLine="422"/>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Heading2"/>
        <w:spacing w:line="280" w:lineRule="exact"/>
        <w:ind w:left="593"/>
      </w:pPr>
      <w:r>
        <w:rPr/>
        <w:t>以下情况不在保障范围内：</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sz w:val="21"/>
        </w:rPr>
        <w:t>（1）局限性硬皮病（带状硬皮病或斑状损害）</w:t>
      </w:r>
    </w:p>
    <w:p>
      <w:pPr>
        <w:spacing w:line="312" w:lineRule="exact" w:before="0"/>
        <w:ind w:left="593"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39" w:lineRule="exact" w:before="0"/>
        <w:ind w:left="593" w:right="0" w:firstLine="0"/>
        <w:jc w:val="left"/>
        <w:rPr>
          <w:rFonts w:ascii="Microsoft JhengHei" w:eastAsia="Microsoft JhengHei" w:hint="eastAsia"/>
          <w:b/>
          <w:sz w:val="21"/>
        </w:rPr>
      </w:pPr>
      <w:r>
        <w:rPr>
          <w:rFonts w:ascii="Microsoft JhengHei" w:eastAsia="Microsoft JhengHei" w:hint="eastAsia"/>
          <w:b/>
          <w:w w:val="90"/>
          <w:sz w:val="21"/>
        </w:rPr>
        <w:t>（3）CREST  综合征</w:t>
      </w:r>
    </w:p>
    <w:p>
      <w:pPr>
        <w:spacing w:after="0" w:line="339" w:lineRule="exact"/>
        <w:jc w:val="left"/>
        <w:rPr>
          <w:rFonts w:ascii="Microsoft JhengHei" w:eastAsia="Microsoft JhengHei" w:hint="eastAsia"/>
          <w:sz w:val="21"/>
        </w:rPr>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tabs>
          <w:tab w:pos="1642" w:val="left" w:leader="none"/>
        </w:tabs>
        <w:spacing w:line="204" w:lineRule="auto" w:before="25"/>
        <w:ind w:left="778" w:right="0" w:firstLine="0"/>
        <w:jc w:val="left"/>
        <w:rPr>
          <w:rFonts w:ascii="Microsoft JhengHei" w:eastAsia="Microsoft JhengHei" w:hint="eastAsia"/>
          <w:b/>
          <w:sz w:val="21"/>
        </w:rPr>
      </w:pPr>
      <w:r>
        <w:rPr>
          <w:rFonts w:ascii="Microsoft JhengHei" w:eastAsia="Microsoft JhengHei" w:hint="eastAsia"/>
          <w:b/>
          <w:w w:val="105"/>
          <w:sz w:val="21"/>
        </w:rPr>
        <w:t>6.5.46</w:t>
        <w:tab/>
      </w:r>
      <w:r>
        <w:rPr>
          <w:rFonts w:ascii="Microsoft JhengHei" w:eastAsia="Microsoft JhengHei" w:hint="eastAsia"/>
          <w:b/>
          <w:w w:val="85"/>
          <w:sz w:val="21"/>
        </w:rPr>
        <w:t>1</w:t>
      </w:r>
      <w:r>
        <w:rPr>
          <w:rFonts w:ascii="Microsoft JhengHei" w:eastAsia="Microsoft JhengHei" w:hint="eastAsia"/>
          <w:b/>
          <w:sz w:val="21"/>
        </w:rPr>
        <w:t>型糖尿病</w:t>
      </w:r>
    </w:p>
    <w:p>
      <w:pPr>
        <w:pStyle w:val="BodyText"/>
        <w:spacing w:line="273" w:lineRule="auto" w:before="37"/>
        <w:ind w:left="176" w:right="208" w:firstLine="422"/>
        <w:jc w:val="both"/>
      </w:pPr>
      <w:r>
        <w:rPr/>
        <w:br w:type="column"/>
      </w:r>
      <w:r>
        <w:rPr/>
        <w:t>1 型糖尿病的特征为由于胰岛素分泌绝对不足引起严重胰岛素缺乏导致慢性血糖升高，需要依赖外源性胰岛素进行机体的葡萄糖代谢和维持生命。被保险人</w:t>
      </w:r>
      <w:r>
        <w:rPr>
          <w:spacing w:val="-16"/>
        </w:rPr>
        <w:t>的 </w:t>
      </w:r>
      <w:r>
        <w:rPr/>
        <w:t>1</w:t>
      </w:r>
      <w:r>
        <w:rPr>
          <w:spacing w:val="-9"/>
        </w:rPr>
        <w:t> 型糖尿病必须明确诊断，而且有血胰岛素测定及血 </w:t>
      </w:r>
      <w:r>
        <w:rPr/>
        <w:t>C</w:t>
      </w:r>
      <w:r>
        <w:rPr>
          <w:spacing w:val="-14"/>
        </w:rPr>
        <w:t> 肽或尿 </w:t>
      </w:r>
      <w:r>
        <w:rPr/>
        <w:t>C</w:t>
      </w:r>
      <w:r>
        <w:rPr>
          <w:spacing w:val="-7"/>
        </w:rPr>
        <w:t> 肽测定结果支</w:t>
      </w:r>
      <w:r>
        <w:rPr>
          <w:spacing w:val="-6"/>
        </w:rPr>
        <w:t>持诊断，并且满足下列全部条件：</w:t>
      </w:r>
    </w:p>
    <w:p>
      <w:pPr>
        <w:pStyle w:val="BodyText"/>
        <w:spacing w:before="8"/>
        <w:ind w:left="598"/>
      </w:pPr>
      <w:r>
        <w:rPr/>
        <w:t>（1）已经持续性地接受外源性胰岛素注射治疗连续 180 天以上；</w:t>
      </w:r>
    </w:p>
    <w:p>
      <w:pPr>
        <w:spacing w:after="0"/>
        <w:sectPr>
          <w:type w:val="continuous"/>
          <w:pgSz w:w="11910" w:h="16840"/>
          <w:pgMar w:top="1040" w:bottom="1180" w:left="1300" w:right="980"/>
          <w:cols w:num="2" w:equalWidth="0">
            <w:col w:w="1749" w:space="40"/>
            <w:col w:w="7841"/>
          </w:cols>
        </w:sectPr>
      </w:pPr>
    </w:p>
    <w:p>
      <w:pPr>
        <w:pStyle w:val="BodyText"/>
        <w:spacing w:before="7"/>
        <w:rPr>
          <w:sz w:val="17"/>
        </w:rPr>
      </w:pPr>
    </w:p>
    <w:p>
      <w:pPr>
        <w:pStyle w:val="BodyText"/>
        <w:spacing w:line="273" w:lineRule="auto"/>
        <w:ind w:left="1964" w:right="208" w:firstLine="422"/>
      </w:pPr>
      <w:r>
        <w:rPr/>
        <w:t>（2）因需要已经接受了下列治疗：因严重心律失常植入了心脏起搏器，或因坏疽自跖趾关节或以上切除了一趾或多趾。</w:t>
      </w:r>
    </w:p>
    <w:p>
      <w:pPr>
        <w:pStyle w:val="Heading2"/>
        <w:spacing w:line="204" w:lineRule="auto"/>
        <w:ind w:left="1964" w:right="213" w:firstLine="422"/>
      </w:pPr>
      <w:r>
        <w:rPr/>
        <w:t>因上述原因植入心脏起搏器的，本公司不承担本合同轻症疾病 6.4.13“植入心脏起搏器”责任。</w:t>
      </w:r>
    </w:p>
    <w:p>
      <w:pPr>
        <w:pStyle w:val="BodyText"/>
        <w:spacing w:before="9"/>
        <w:rPr>
          <w:rFonts w:ascii="Microsoft JhengHei"/>
          <w:b/>
          <w:sz w:val="10"/>
        </w:rPr>
      </w:pPr>
    </w:p>
    <w:p>
      <w:pPr>
        <w:spacing w:after="0"/>
        <w:rPr>
          <w:rFonts w:ascii="Microsoft JhengHei"/>
          <w:sz w:val="10"/>
        </w:rPr>
        <w:sectPr>
          <w:pgSz w:w="11910" w:h="16840"/>
          <w:pgMar w:header="870" w:footer="998" w:top="1120" w:bottom="1180" w:left="1300" w:right="9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糖</w:t>
      </w:r>
      <w:r>
        <w:rPr>
          <w:b/>
          <w:spacing w:val="30"/>
          <w:sz w:val="21"/>
        </w:rPr>
        <w:t>尿病导致双足截除</w:t>
      </w:r>
    </w:p>
    <w:p>
      <w:pPr>
        <w:pStyle w:val="BodyText"/>
        <w:spacing w:line="273" w:lineRule="auto"/>
        <w:ind w:left="171" w:right="208" w:firstLine="422"/>
      </w:pPr>
      <w:r>
        <w:rPr/>
        <w:br w:type="column"/>
      </w:r>
      <w:r>
        <w:rPr/>
        <w:t>因糖尿病引起的神经及血管病变累及足部，为了维持生命在本公司认可医院内已经进行了医疗必须的由足踝或以上位置的双足截除手术。</w:t>
      </w:r>
    </w:p>
    <w:p>
      <w:pPr>
        <w:pStyle w:val="Heading2"/>
        <w:spacing w:line="306" w:lineRule="exact"/>
        <w:ind w:left="593"/>
      </w:pPr>
      <w:r>
        <w:rPr/>
        <w:t>切除多只脚趾或因任何其他原因引起的截除术不在保障范围内。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溃</w:t>
      </w:r>
      <w:r>
        <w:rPr>
          <w:b/>
          <w:spacing w:val="30"/>
          <w:sz w:val="21"/>
        </w:rPr>
        <w:t>疡性结肠炎</w:t>
      </w:r>
    </w:p>
    <w:p>
      <w:pPr>
        <w:pStyle w:val="BodyText"/>
        <w:spacing w:line="273" w:lineRule="auto" w:before="37"/>
        <w:ind w:left="171" w:right="102" w:firstLine="422"/>
      </w:pPr>
      <w:r>
        <w:rPr/>
        <w:br w:type="column"/>
      </w:r>
      <w:r>
        <w:rPr/>
        <w:t>指伴有致命性电解质紊乱的急性暴发性溃疡性结肠炎，病变累及全结肠，表</w:t>
      </w:r>
      <w:r>
        <w:rPr>
          <w:spacing w:val="-5"/>
        </w:rPr>
        <w:t>现为严重的血便和系统性症状体征。溃疡性结肠炎必须根据组织病理学特点诊断， 并且被保险人已经接受了结肠切除和</w:t>
      </w:r>
      <w:r>
        <w:rPr/>
        <w:t>/</w:t>
      </w:r>
      <w:r>
        <w:rPr>
          <w:spacing w:val="-4"/>
        </w:rPr>
        <w:t>或回肠造瘘术。</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0"/>
        </w:numPr>
        <w:tabs>
          <w:tab w:pos="1537" w:val="left" w:leader="none"/>
        </w:tabs>
        <w:spacing w:line="204" w:lineRule="auto" w:before="25" w:after="0"/>
        <w:ind w:left="778" w:right="0" w:firstLine="0"/>
        <w:jc w:val="both"/>
      </w:pPr>
      <w:r>
        <w:rPr/>
        <w:t>重</w:t>
      </w:r>
      <w:r>
        <w:rPr>
          <w:spacing w:val="30"/>
        </w:rPr>
        <w:t>型再生障碍性贫血</w:t>
      </w:r>
    </w:p>
    <w:p>
      <w:pPr>
        <w:pStyle w:val="BodyText"/>
        <w:spacing w:line="273" w:lineRule="auto" w:before="37"/>
        <w:ind w:left="171" w:right="208" w:firstLine="422"/>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spacing w:before="37"/>
        <w:ind w:left="593"/>
      </w:pPr>
      <w:r>
        <w:rPr/>
        <w:t>（2）外周血象须具备以下三项条件：</w:t>
      </w:r>
    </w:p>
    <w:p>
      <w:pPr>
        <w:pStyle w:val="BodyText"/>
        <w:spacing w:before="37"/>
        <w:ind w:left="1049"/>
      </w:pPr>
      <w:r>
        <w:rPr/>
        <w:t>① 中性粒细胞绝对值≤0.5×10</w:t>
      </w:r>
      <w:r>
        <w:rPr>
          <w:position w:val="11"/>
          <w:sz w:val="11"/>
        </w:rPr>
        <w:t>9</w:t>
      </w:r>
      <w:r>
        <w:rPr/>
        <w:t>/L；</w:t>
      </w:r>
    </w:p>
    <w:p>
      <w:pPr>
        <w:pStyle w:val="BodyText"/>
        <w:spacing w:before="37"/>
        <w:ind w:left="1049"/>
      </w:pPr>
      <w:r>
        <w:rPr/>
        <w:t>② 网织红细胞＜1%；</w:t>
      </w:r>
    </w:p>
    <w:p>
      <w:pPr>
        <w:pStyle w:val="BodyText"/>
        <w:spacing w:before="37"/>
        <w:ind w:left="1049"/>
      </w:pPr>
      <w:r>
        <w:rPr/>
        <w:t>③ 血小板绝对值≤20×10</w:t>
      </w:r>
      <w:r>
        <w:rPr>
          <w:position w:val="11"/>
          <w:sz w:val="11"/>
        </w:rPr>
        <w:t>9</w:t>
      </w:r>
      <w:r>
        <w:rPr/>
        <w:t>/L。</w:t>
      </w:r>
    </w:p>
    <w:p>
      <w:pPr>
        <w:spacing w:after="0"/>
        <w:sectPr>
          <w:type w:val="continuous"/>
          <w:pgSz w:w="11910" w:h="16840"/>
          <w:pgMar w:top="1040" w:bottom="1180" w:left="1300" w:right="980"/>
          <w:cols w:num="2" w:equalWidth="0">
            <w:col w:w="1753" w:space="40"/>
            <w:col w:w="7837"/>
          </w:cols>
        </w:sectPr>
      </w:pPr>
    </w:p>
    <w:p>
      <w:pPr>
        <w:pStyle w:val="BodyText"/>
        <w:spacing w:before="5"/>
        <w:rPr>
          <w:sz w:val="15"/>
        </w:rPr>
      </w:pPr>
    </w:p>
    <w:p>
      <w:pPr>
        <w:spacing w:after="0"/>
        <w:rPr>
          <w:sz w:val="15"/>
        </w:rPr>
        <w:sectPr>
          <w:type w:val="continuous"/>
          <w:pgSz w:w="11910" w:h="16840"/>
          <w:pgMar w:top="1040" w:bottom="1180" w:left="1300" w:right="980"/>
        </w:sectPr>
      </w:pPr>
    </w:p>
    <w:p>
      <w:pPr>
        <w:pStyle w:val="Heading2"/>
        <w:numPr>
          <w:ilvl w:val="2"/>
          <w:numId w:val="10"/>
        </w:numPr>
        <w:tabs>
          <w:tab w:pos="1537" w:val="left" w:leader="none"/>
        </w:tabs>
        <w:spacing w:line="204" w:lineRule="auto" w:before="25" w:after="0"/>
        <w:ind w:left="778" w:right="0" w:firstLine="0"/>
        <w:jc w:val="both"/>
      </w:pPr>
      <w:r>
        <w:rPr/>
        <w:t>重</w:t>
      </w:r>
      <w:r>
        <w:rPr>
          <w:spacing w:val="30"/>
        </w:rPr>
        <w:t>大器官移植术或造血干细胞移植术</w:t>
      </w:r>
    </w:p>
    <w:p>
      <w:pPr>
        <w:pStyle w:val="BodyText"/>
        <w:spacing w:line="273" w:lineRule="auto" w:before="37"/>
        <w:ind w:left="171" w:right="208" w:firstLine="422"/>
        <w:jc w:val="both"/>
      </w:pPr>
      <w:r>
        <w:rPr/>
        <w:br w:type="column"/>
      </w:r>
      <w:r>
        <w:rPr/>
        <w:t>重大器官移植术，指因相应器官功能衰竭，已经实施了肾脏、肝脏、心脏或肺脏的异体移植手术。</w:t>
      </w:r>
    </w:p>
    <w:p>
      <w:pPr>
        <w:pStyle w:val="BodyText"/>
        <w:spacing w:line="273" w:lineRule="auto" w:before="7"/>
        <w:ind w:left="171" w:right="208"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300" w:right="980"/>
          <w:cols w:num="2" w:equalWidth="0">
            <w:col w:w="1753" w:space="40"/>
            <w:col w:w="7837"/>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537" w:val="left" w:leader="none"/>
        </w:tabs>
        <w:spacing w:line="204" w:lineRule="auto" w:before="25" w:after="0"/>
        <w:ind w:left="778" w:right="0" w:firstLine="0"/>
        <w:jc w:val="left"/>
      </w:pPr>
      <w:r>
        <w:rPr/>
        <w:t>严重克隆病</w:t>
      </w:r>
    </w:p>
    <w:p>
      <w:pPr>
        <w:pStyle w:val="BodyText"/>
        <w:spacing w:line="273" w:lineRule="auto" w:before="37"/>
        <w:ind w:left="176" w:right="208" w:firstLine="422"/>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040" w:bottom="1180" w:left="1300" w:right="980"/>
          <w:cols w:num="2" w:equalWidth="0">
            <w:col w:w="1749" w:space="40"/>
            <w:col w:w="7841"/>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0"/>
        </w:numPr>
        <w:tabs>
          <w:tab w:pos="1537" w:val="left" w:leader="none"/>
        </w:tabs>
        <w:spacing w:line="204" w:lineRule="auto" w:before="24" w:after="0"/>
        <w:ind w:left="778" w:right="0" w:firstLine="0"/>
        <w:jc w:val="both"/>
      </w:pPr>
      <w:r>
        <w:rPr/>
        <w:t>肾</w:t>
      </w:r>
      <w:r>
        <w:rPr>
          <w:spacing w:val="30"/>
        </w:rPr>
        <w:t>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1"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3"/>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4" w:lineRule="auto" w:before="24" w:after="0"/>
        <w:ind w:left="778" w:right="0" w:firstLine="0"/>
        <w:jc w:val="left"/>
      </w:pPr>
      <w:r>
        <w:rPr/>
        <w:t>胰腺移植</w:t>
      </w:r>
    </w:p>
    <w:p>
      <w:pPr>
        <w:pStyle w:val="BodyText"/>
        <w:spacing w:line="273" w:lineRule="auto"/>
        <w:ind w:left="248" w:right="208" w:firstLine="422"/>
      </w:pPr>
      <w:r>
        <w:rPr/>
        <w:br w:type="column"/>
      </w:r>
      <w:r>
        <w:rPr/>
        <w:t>指因胰腺功能衰竭，已经实施了在全身麻醉下进行的胰腺的异体器官移植手术（</w:t>
      </w:r>
      <w:r>
        <w:rPr>
          <w:spacing w:val="-3"/>
        </w:rPr>
        <w:t>供体必须是人体器官</w:t>
      </w:r>
      <w:r>
        <w:rPr>
          <w:spacing w:val="-106"/>
        </w:rPr>
        <w:t>）</w:t>
      </w:r>
      <w:r>
        <w:rPr/>
        <w:t>。</w:t>
      </w:r>
    </w:p>
    <w:p>
      <w:pPr>
        <w:pStyle w:val="Heading2"/>
        <w:spacing w:line="306" w:lineRule="exact"/>
        <w:ind w:left="670"/>
      </w:pPr>
      <w:r>
        <w:rPr/>
        <w:t>单纯胰岛移植、部分胰腺组织或细胞的移植不在保障范围内。</w:t>
      </w:r>
    </w:p>
    <w:p>
      <w:pPr>
        <w:spacing w:after="0" w:line="306" w:lineRule="exact"/>
        <w:sectPr>
          <w:type w:val="continuous"/>
          <w:pgSz w:w="11910" w:h="16840"/>
          <w:pgMar w:top="1040" w:bottom="1180" w:left="1300" w:right="980"/>
          <w:cols w:num="2" w:equalWidth="0">
            <w:col w:w="1677" w:space="40"/>
            <w:col w:w="7913"/>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465" w:val="left" w:leader="none"/>
        </w:tabs>
        <w:spacing w:line="204" w:lineRule="auto" w:before="25" w:after="0"/>
        <w:ind w:left="778" w:right="0" w:firstLine="0"/>
        <w:jc w:val="both"/>
        <w:rPr>
          <w:b/>
          <w:sz w:val="21"/>
        </w:rPr>
      </w:pPr>
      <w:r>
        <w:rPr>
          <w:b/>
          <w:sz w:val="21"/>
        </w:rPr>
        <w:t>坏死性筋膜炎</w:t>
      </w:r>
    </w:p>
    <w:p>
      <w:pPr>
        <w:pStyle w:val="BodyText"/>
        <w:spacing w:line="273" w:lineRule="auto" w:before="37"/>
        <w:ind w:left="248" w:right="208" w:firstLine="422"/>
        <w:jc w:val="both"/>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7"/>
        <w:ind w:left="670"/>
      </w:pPr>
      <w:r>
        <w:rPr/>
        <w:t>（1）细菌培养和临床表现符合坏死性筋膜炎诊断标准；</w:t>
      </w:r>
    </w:p>
    <w:p>
      <w:pPr>
        <w:pStyle w:val="BodyText"/>
        <w:ind w:left="670"/>
      </w:pPr>
      <w:r>
        <w:rPr/>
        <w:t>（2）病情迅速恶化，有脓毒血症表现；</w:t>
      </w:r>
    </w:p>
    <w:p>
      <w:pPr>
        <w:spacing w:after="0"/>
        <w:sectPr>
          <w:type w:val="continuous"/>
          <w:pgSz w:w="11910" w:h="16840"/>
          <w:pgMar w:top="1040" w:bottom="1180" w:left="1300" w:right="980"/>
          <w:cols w:num="2" w:equalWidth="0">
            <w:col w:w="1677" w:space="40"/>
            <w:col w:w="7913"/>
          </w:cols>
        </w:sectPr>
      </w:pPr>
    </w:p>
    <w:p>
      <w:pPr>
        <w:pStyle w:val="BodyText"/>
        <w:spacing w:before="7"/>
        <w:rPr>
          <w:sz w:val="17"/>
        </w:rPr>
      </w:pPr>
    </w:p>
    <w:p>
      <w:pPr>
        <w:pStyle w:val="BodyText"/>
        <w:ind w:left="2386"/>
      </w:pPr>
      <w:r>
        <w:rPr/>
        <w:t>（3）</w:t>
      </w:r>
      <w:r>
        <w:rPr>
          <w:spacing w:val="-3"/>
        </w:rPr>
        <w:t>受感染肢体被截肢</w:t>
      </w:r>
      <w:r>
        <w:rPr/>
        <w:t>（</w:t>
      </w:r>
      <w:r>
        <w:rPr>
          <w:spacing w:val="-4"/>
        </w:rPr>
        <w:t>自腕关节或踝关节近端</w:t>
      </w:r>
      <w:r>
        <w:rPr>
          <w:spacing w:val="-106"/>
        </w:rPr>
        <w:t>）</w:t>
      </w:r>
      <w:r>
        <w:rPr/>
        <w:t>。</w:t>
      </w:r>
    </w:p>
    <w:p>
      <w:pPr>
        <w:pStyle w:val="BodyText"/>
        <w:spacing w:before="5"/>
        <w:rPr>
          <w:sz w:val="15"/>
        </w:rPr>
      </w:pPr>
    </w:p>
    <w:p>
      <w:pPr>
        <w:spacing w:after="0"/>
        <w:rPr>
          <w:sz w:val="15"/>
        </w:rPr>
        <w:sectPr>
          <w:pgSz w:w="11910" w:h="16840"/>
          <w:pgMar w:header="870" w:footer="998" w:top="1120" w:bottom="1180" w:left="1300" w:right="980"/>
        </w:sectPr>
      </w:pPr>
    </w:p>
    <w:p>
      <w:pPr>
        <w:pStyle w:val="Heading2"/>
        <w:numPr>
          <w:ilvl w:val="2"/>
          <w:numId w:val="10"/>
        </w:numPr>
        <w:tabs>
          <w:tab w:pos="1537" w:val="left" w:leader="none"/>
        </w:tabs>
        <w:spacing w:line="204" w:lineRule="auto" w:before="25" w:after="0"/>
        <w:ind w:left="778" w:right="0" w:firstLine="0"/>
        <w:jc w:val="both"/>
      </w:pPr>
      <w:r>
        <w:rPr/>
        <w:t>重</w:t>
      </w:r>
      <w:r>
        <w:rPr>
          <w:spacing w:val="30"/>
        </w:rPr>
        <w:t>症急性胰腺炎</w:t>
      </w:r>
    </w:p>
    <w:p>
      <w:pPr>
        <w:pStyle w:val="BodyText"/>
        <w:spacing w:line="273" w:lineRule="auto" w:before="37"/>
        <w:ind w:left="171" w:right="208" w:firstLine="422"/>
        <w:jc w:val="both"/>
      </w:pPr>
      <w:r>
        <w:rPr/>
        <w:br w:type="column"/>
      </w:r>
      <w:r>
        <w:rPr/>
        <w:t>指急性胰腺炎伴有脏器功能障碍。被保险人所患的重症急性胰腺炎必须明确</w:t>
      </w:r>
      <w:r>
        <w:rPr>
          <w:spacing w:val="-9"/>
        </w:rPr>
        <w:t>诊断，按 </w:t>
      </w:r>
      <w:r>
        <w:rPr/>
        <w:t>APACHEⅡ</w:t>
      </w:r>
      <w:r>
        <w:rPr>
          <w:spacing w:val="-11"/>
        </w:rPr>
        <w:t>评分达到 </w:t>
      </w:r>
      <w:r>
        <w:rPr/>
        <w:t>8</w:t>
      </w:r>
      <w:r>
        <w:rPr>
          <w:spacing w:val="-23"/>
        </w:rPr>
        <w:t> 分或 </w:t>
      </w:r>
      <w:r>
        <w:rPr/>
        <w:t>8</w:t>
      </w:r>
      <w:r>
        <w:rPr>
          <w:spacing w:val="-17"/>
        </w:rPr>
        <w:t> 分以上和 </w:t>
      </w:r>
      <w:r>
        <w:rPr/>
        <w:t>Balthazar</w:t>
      </w:r>
      <w:r>
        <w:rPr>
          <w:spacing w:val="-8"/>
        </w:rPr>
        <w:t> 分级系统达到Ⅱ级或Ⅱ </w:t>
      </w:r>
      <w:r>
        <w:rPr/>
        <w:t>级以上，并且接受了外科剖腹手术治疗，以进行坏死组织清除、坏死病灶切除或胰腺切除。</w:t>
      </w:r>
    </w:p>
    <w:p>
      <w:pPr>
        <w:pStyle w:val="Heading2"/>
        <w:spacing w:line="306" w:lineRule="exact"/>
        <w:ind w:left="593"/>
      </w:pPr>
      <w:r>
        <w:rPr/>
        <w:t>因酗酒或饮酒过量所致的胰腺炎以及腹腔镜手术不在保障范围内。</w:t>
      </w:r>
    </w:p>
    <w:p>
      <w:pPr>
        <w:spacing w:after="0" w:line="306" w:lineRule="exact"/>
        <w:sectPr>
          <w:type w:val="continuous"/>
          <w:pgSz w:w="11910" w:h="16840"/>
          <w:pgMar w:top="1040" w:bottom="1180" w:left="1300" w:right="980"/>
          <w:cols w:num="2" w:equalWidth="0">
            <w:col w:w="1753" w:space="40"/>
            <w:col w:w="7837"/>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465" w:val="left" w:leader="none"/>
        </w:tabs>
        <w:spacing w:line="204" w:lineRule="auto" w:before="25" w:after="0"/>
        <w:ind w:left="778" w:right="0" w:firstLine="0"/>
        <w:jc w:val="both"/>
        <w:rPr>
          <w:b/>
          <w:sz w:val="21"/>
        </w:rPr>
      </w:pPr>
      <w:r>
        <w:rPr>
          <w:b/>
          <w:sz w:val="21"/>
        </w:rPr>
        <w:t>严重自身免疫性肝炎</w:t>
      </w:r>
    </w:p>
    <w:p>
      <w:pPr>
        <w:pStyle w:val="BodyText"/>
        <w:spacing w:line="273" w:lineRule="auto" w:before="37"/>
        <w:ind w:left="248" w:right="208" w:firstLine="422"/>
        <w:jc w:val="both"/>
      </w:pPr>
      <w:r>
        <w:rPr/>
        <w:br w:type="column"/>
      </w:r>
      <w:r>
        <w:rPr/>
        <w:t>指一种原因不明的慢性肝脏的坏死炎性疾病，机体免疫机制被破坏，产生针对肝脏自身抗原的抗体导致自身免疫反应，从而破坏肝细胞造成肝脏炎症坏死， 进而发展为肝硬化。须满足以下全部条件：</w:t>
      </w:r>
    </w:p>
    <w:p>
      <w:pPr>
        <w:pStyle w:val="BodyText"/>
        <w:spacing w:before="7"/>
        <w:ind w:left="670"/>
      </w:pPr>
      <w:r>
        <w:rPr/>
        <w:t>（1）高γ球蛋白血症；</w:t>
      </w:r>
    </w:p>
    <w:p>
      <w:pPr>
        <w:pStyle w:val="BodyText"/>
        <w:spacing w:line="273" w:lineRule="auto"/>
        <w:ind w:left="248" w:right="203" w:firstLine="422"/>
      </w:pPr>
      <w:r>
        <w:rPr>
          <w:spacing w:val="-12"/>
        </w:rPr>
        <w:t>（2）</w:t>
      </w:r>
      <w:r>
        <w:rPr>
          <w:spacing w:val="-5"/>
        </w:rPr>
        <w:t>血液中存在高水平的自身免疫抗体,如 </w:t>
      </w:r>
      <w:r>
        <w:rPr/>
        <w:t>ANA(</w:t>
      </w:r>
      <w:r>
        <w:rPr>
          <w:spacing w:val="-8"/>
        </w:rPr>
        <w:t>抗核抗体)、</w:t>
      </w:r>
      <w:r>
        <w:rPr/>
        <w:t>SMA(</w:t>
      </w:r>
      <w:r>
        <w:rPr>
          <w:spacing w:val="-2"/>
        </w:rPr>
        <w:t>抗平滑肌抗</w:t>
      </w:r>
      <w:r>
        <w:rPr>
          <w:spacing w:val="-12"/>
        </w:rPr>
        <w:t>体)、抗 </w:t>
      </w:r>
      <w:r>
        <w:rPr/>
        <w:t>LKM1</w:t>
      </w:r>
      <w:r>
        <w:rPr>
          <w:spacing w:val="-12"/>
        </w:rPr>
        <w:t> 抗体或抗</w:t>
      </w:r>
      <w:r>
        <w:rPr/>
        <w:t>-SLA/LP</w:t>
      </w:r>
      <w:r>
        <w:rPr>
          <w:spacing w:val="-13"/>
        </w:rPr>
        <w:t> 抗体；</w:t>
      </w:r>
    </w:p>
    <w:p>
      <w:pPr>
        <w:pStyle w:val="BodyText"/>
        <w:spacing w:before="7"/>
        <w:ind w:left="670"/>
      </w:pPr>
      <w:r>
        <w:rPr/>
        <w:t>（3）肝脏活检证实免疫性肝炎；</w:t>
      </w:r>
    </w:p>
    <w:p>
      <w:pPr>
        <w:pStyle w:val="BodyText"/>
        <w:ind w:left="670"/>
      </w:pPr>
      <w:r>
        <w:rPr/>
        <w:t>（4）临床已经出现腹水、食道静脉曲张和脾肿大等肝硬化表现。</w:t>
      </w:r>
    </w:p>
    <w:p>
      <w:pPr>
        <w:spacing w:after="0"/>
        <w:sectPr>
          <w:type w:val="continuous"/>
          <w:pgSz w:w="11910" w:h="16840"/>
          <w:pgMar w:top="1040" w:bottom="1180" w:left="1300" w:right="980"/>
          <w:cols w:num="2" w:equalWidth="0">
            <w:col w:w="1677" w:space="40"/>
            <w:col w:w="7913"/>
          </w:cols>
        </w:sectPr>
      </w:pPr>
    </w:p>
    <w:p>
      <w:pPr>
        <w:pStyle w:val="BodyText"/>
        <w:spacing w:before="1"/>
        <w:rPr>
          <w:sz w:val="15"/>
        </w:rPr>
      </w:pPr>
    </w:p>
    <w:p>
      <w:pPr>
        <w:spacing w:after="0"/>
        <w:rPr>
          <w:sz w:val="15"/>
        </w:rPr>
        <w:sectPr>
          <w:type w:val="continuous"/>
          <w:pgSz w:w="11910" w:h="16840"/>
          <w:pgMar w:top="1040" w:bottom="1180" w:left="1300" w:right="980"/>
        </w:sectPr>
      </w:pPr>
    </w:p>
    <w:p>
      <w:pPr>
        <w:pStyle w:val="Heading2"/>
        <w:numPr>
          <w:ilvl w:val="2"/>
          <w:numId w:val="10"/>
        </w:numPr>
        <w:tabs>
          <w:tab w:pos="1465" w:val="left" w:leader="none"/>
        </w:tabs>
        <w:spacing w:line="204" w:lineRule="auto" w:before="24" w:after="0"/>
        <w:ind w:left="778" w:right="0" w:firstLine="0"/>
        <w:jc w:val="left"/>
      </w:pPr>
      <w:r>
        <w:rPr/>
        <w:t>骨髓纤维化</w:t>
      </w:r>
    </w:p>
    <w:p>
      <w:pPr>
        <w:pStyle w:val="BodyText"/>
        <w:spacing w:line="273" w:lineRule="auto"/>
        <w:ind w:left="248" w:right="208" w:firstLine="422"/>
        <w:jc w:val="both"/>
      </w:pPr>
      <w:r>
        <w:rPr/>
        <w:br w:type="column"/>
      </w:r>
      <w:r>
        <w:rPr/>
        <w:t>指一种因纤维组织取代正常骨髓从而导致贫血、白血球及血小板含量过低及脾脏肿大的疾病。病况必须恶化至永久性及严重程度导致被保险人需最少每月进行输血。</w:t>
      </w:r>
    </w:p>
    <w:p>
      <w:pPr>
        <w:pStyle w:val="BodyText"/>
        <w:spacing w:line="273" w:lineRule="auto" w:before="7"/>
        <w:ind w:left="248" w:right="208" w:firstLine="422"/>
        <w:jc w:val="both"/>
      </w:pPr>
      <w:r>
        <w:rPr/>
        <w:t>此病症须由本公司认可医院的专科医生作出诊断，并需提供骨髓穿刺检查诊断报告。</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4" w:lineRule="auto" w:before="25" w:after="0"/>
        <w:ind w:left="778" w:right="0" w:firstLine="0"/>
        <w:jc w:val="both"/>
      </w:pPr>
      <w:r>
        <w:rPr/>
        <w:t>肝</w:t>
      </w:r>
      <w:r>
        <w:rPr>
          <w:spacing w:val="-18"/>
        </w:rPr>
        <w:t>豆状核变性</w:t>
      </w:r>
      <w:r>
        <w:rPr/>
        <w:t>（Wilson 病）</w:t>
      </w:r>
    </w:p>
    <w:p>
      <w:pPr>
        <w:pStyle w:val="BodyText"/>
        <w:spacing w:line="273" w:lineRule="auto" w:before="37"/>
        <w:ind w:left="176" w:right="208" w:firstLine="422"/>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7"/>
        <w:ind w:left="598"/>
      </w:pPr>
      <w:r>
        <w:rPr/>
        <w:t>（1）典型症状；</w:t>
      </w:r>
    </w:p>
    <w:p>
      <w:pPr>
        <w:pStyle w:val="BodyText"/>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ind w:left="598"/>
      </w:pPr>
      <w:r>
        <w:rPr/>
        <w:t>（3）血清铜和血清铜蓝蛋白降低，尿铜增加；</w:t>
      </w:r>
    </w:p>
    <w:p>
      <w:pPr>
        <w:pStyle w:val="BodyText"/>
        <w:ind w:left="598"/>
      </w:pPr>
      <w:r>
        <w:rPr/>
        <w:t>（4）经皮做肝脏活检来定量分析肝脏铜的含量。</w:t>
      </w:r>
    </w:p>
    <w:p>
      <w:pPr>
        <w:pStyle w:val="BodyText"/>
        <w:spacing w:line="273" w:lineRule="auto"/>
        <w:ind w:left="176" w:right="102" w:firstLine="422"/>
      </w:pPr>
      <w:r>
        <w:rPr>
          <w:spacing w:val="-6"/>
        </w:rPr>
        <w:t>本公司承担本项疾病保险责任不受本条款第 </w:t>
      </w:r>
      <w:r>
        <w:rPr/>
        <w:t>2.4</w:t>
      </w:r>
      <w:r>
        <w:rPr>
          <w:spacing w:val="-9"/>
        </w:rPr>
        <w:t> 条责任免除中“遗传性疾病， </w:t>
      </w:r>
      <w:r>
        <w:rPr>
          <w:spacing w:val="-7"/>
        </w:rPr>
        <w:t>先天性畸形、变形或染色体异常”的限制。</w:t>
      </w:r>
    </w:p>
    <w:p>
      <w:pPr>
        <w:spacing w:after="0" w:line="273" w:lineRule="auto"/>
        <w:sectPr>
          <w:type w:val="continuous"/>
          <w:pgSz w:w="11910" w:h="16840"/>
          <w:pgMar w:top="1040" w:bottom="1180" w:left="1300" w:right="980"/>
          <w:cols w:num="2" w:equalWidth="0">
            <w:col w:w="1749" w:space="40"/>
            <w:col w:w="7841"/>
          </w:cols>
        </w:sectPr>
      </w:pPr>
    </w:p>
    <w:p>
      <w:pPr>
        <w:pStyle w:val="BodyText"/>
        <w:spacing w:before="2"/>
        <w:rPr>
          <w:sz w:val="13"/>
        </w:rPr>
      </w:pPr>
    </w:p>
    <w:p>
      <w:pPr>
        <w:spacing w:after="0"/>
        <w:rPr>
          <w:sz w:val="13"/>
        </w:rPr>
        <w:sectPr>
          <w:type w:val="continuous"/>
          <w:pgSz w:w="11910" w:h="16840"/>
          <w:pgMar w:top="1040" w:bottom="1180" w:left="1300" w:right="980"/>
        </w:sectPr>
      </w:pPr>
    </w:p>
    <w:p>
      <w:pPr>
        <w:pStyle w:val="Heading2"/>
        <w:numPr>
          <w:ilvl w:val="2"/>
          <w:numId w:val="10"/>
        </w:numPr>
        <w:tabs>
          <w:tab w:pos="1465" w:val="left" w:leader="none"/>
        </w:tabs>
        <w:spacing w:line="204" w:lineRule="auto" w:before="25" w:after="0"/>
        <w:ind w:left="778" w:right="0" w:firstLine="0"/>
        <w:jc w:val="both"/>
      </w:pPr>
      <w:r>
        <w:rPr/>
        <w:t>肺泡蛋白质沉积症</w:t>
      </w:r>
    </w:p>
    <w:p>
      <w:pPr>
        <w:pStyle w:val="BodyText"/>
        <w:spacing w:line="273" w:lineRule="auto" w:before="37"/>
        <w:ind w:left="248" w:right="208" w:firstLine="422"/>
        <w:jc w:val="both"/>
      </w:pPr>
      <w:r>
        <w:rPr/>
        <w:br w:type="column"/>
      </w:r>
      <w:r>
        <w:rPr/>
        <w:t>指肺泡和细支气管腔内充满不可溶性富磷脂蛋白的疾病，胸部 X 线呈双肺弥漫性肺部磨玻璃影，病理学检查肺泡内充满有过碘酸雪夫（PAS）染色阳性的蛋白样物质，并且接受了肺灌洗治疗。</w:t>
      </w:r>
    </w:p>
    <w:p>
      <w:pPr>
        <w:spacing w:after="0" w:line="273" w:lineRule="auto"/>
        <w:jc w:val="both"/>
        <w:sectPr>
          <w:type w:val="continuous"/>
          <w:pgSz w:w="11910" w:h="16840"/>
          <w:pgMar w:top="1040" w:bottom="1180" w:left="1300" w:right="980"/>
          <w:cols w:num="2" w:equalWidth="0">
            <w:col w:w="1677" w:space="40"/>
            <w:col w:w="7913"/>
          </w:cols>
        </w:sectPr>
      </w:pPr>
    </w:p>
    <w:p>
      <w:pPr>
        <w:pStyle w:val="BodyText"/>
        <w:spacing w:before="11"/>
        <w:rPr>
          <w:sz w:val="12"/>
        </w:rPr>
      </w:pPr>
    </w:p>
    <w:p>
      <w:pPr>
        <w:spacing w:after="0"/>
        <w:rPr>
          <w:sz w:val="12"/>
        </w:rPr>
        <w:sectPr>
          <w:type w:val="continuous"/>
          <w:pgSz w:w="11910" w:h="16840"/>
          <w:pgMar w:top="1040" w:bottom="1180" w:left="1300" w:right="980"/>
        </w:sectPr>
      </w:pPr>
    </w:p>
    <w:p>
      <w:pPr>
        <w:pStyle w:val="Heading2"/>
        <w:numPr>
          <w:ilvl w:val="2"/>
          <w:numId w:val="10"/>
        </w:numPr>
        <w:tabs>
          <w:tab w:pos="1465" w:val="left" w:leader="none"/>
        </w:tabs>
        <w:spacing w:line="204" w:lineRule="auto" w:before="25" w:after="0"/>
        <w:ind w:left="778" w:right="0" w:firstLine="0"/>
        <w:jc w:val="both"/>
      </w:pPr>
      <w:r>
        <w:rPr/>
        <w:t>肺淋巴管肌瘤病</w:t>
      </w:r>
    </w:p>
    <w:p>
      <w:pPr>
        <w:pStyle w:val="BodyText"/>
        <w:spacing w:line="273" w:lineRule="auto" w:before="37"/>
        <w:ind w:left="248" w:right="208" w:firstLine="422"/>
      </w:pPr>
      <w:r>
        <w:rPr/>
        <w:br w:type="column"/>
      </w:r>
      <w:r>
        <w:rPr/>
        <w:t>是一种弥漫性肺部疾病，主要病理改变为肺间质、支气管、血管和淋巴管内出现未成熟的平滑肌异常增生，同时需满足下列全部条件：</w:t>
      </w:r>
    </w:p>
    <w:p>
      <w:pPr>
        <w:pStyle w:val="BodyText"/>
        <w:spacing w:before="8"/>
        <w:ind w:left="670"/>
      </w:pPr>
      <w:r>
        <w:rPr/>
        <w:t>（1）经组织病理学诊断；</w:t>
      </w:r>
    </w:p>
    <w:p>
      <w:pPr>
        <w:pStyle w:val="BodyText"/>
        <w:spacing w:before="37"/>
        <w:ind w:left="670"/>
      </w:pPr>
      <w:r>
        <w:rPr/>
        <w:t>（2）CT 显示双肺弥漫性囊性改变；</w:t>
      </w:r>
    </w:p>
    <w:p>
      <w:pPr>
        <w:pStyle w:val="BodyText"/>
        <w:spacing w:before="37"/>
        <w:ind w:left="670"/>
      </w:pPr>
      <w:r>
        <w:rPr/>
        <w:t>（3）血气提示低氧血症。</w:t>
      </w:r>
    </w:p>
    <w:p>
      <w:pPr>
        <w:spacing w:after="0"/>
        <w:sectPr>
          <w:type w:val="continuous"/>
          <w:pgSz w:w="11910" w:h="16840"/>
          <w:pgMar w:top="1040" w:bottom="1180" w:left="1300" w:right="980"/>
          <w:cols w:num="2" w:equalWidth="0">
            <w:col w:w="1677" w:space="40"/>
            <w:col w:w="7913"/>
          </w:cols>
        </w:sectPr>
      </w:pPr>
    </w:p>
    <w:p>
      <w:pPr>
        <w:pStyle w:val="BodyText"/>
        <w:spacing w:before="6"/>
        <w:rPr>
          <w:sz w:val="15"/>
        </w:rPr>
      </w:pPr>
    </w:p>
    <w:p>
      <w:pPr>
        <w:spacing w:after="0"/>
        <w:rPr>
          <w:sz w:val="15"/>
        </w:rPr>
        <w:sectPr>
          <w:type w:val="continuous"/>
          <w:pgSz w:w="11910" w:h="16840"/>
          <w:pgMar w:top="1040" w:bottom="1180" w:left="1300" w:right="980"/>
        </w:sectPr>
      </w:pPr>
    </w:p>
    <w:p>
      <w:pPr>
        <w:pStyle w:val="Heading2"/>
        <w:numPr>
          <w:ilvl w:val="2"/>
          <w:numId w:val="10"/>
        </w:numPr>
        <w:tabs>
          <w:tab w:pos="1537" w:val="left" w:leader="none"/>
        </w:tabs>
        <w:spacing w:line="204" w:lineRule="auto" w:before="25" w:after="0"/>
        <w:ind w:left="778" w:right="0" w:firstLine="0"/>
        <w:jc w:val="both"/>
      </w:pPr>
      <w:r>
        <w:rPr/>
        <w:t>严</w:t>
      </w:r>
      <w:r>
        <w:rPr>
          <w:spacing w:val="30"/>
        </w:rPr>
        <w:t>重骨髓异常增生综合征</w:t>
      </w:r>
    </w:p>
    <w:p>
      <w:pPr>
        <w:pStyle w:val="BodyText"/>
        <w:spacing w:line="273" w:lineRule="auto" w:before="37"/>
        <w:ind w:left="171" w:right="208" w:firstLine="422"/>
        <w:jc w:val="both"/>
      </w:pPr>
      <w:r>
        <w:rPr/>
        <w:br w:type="column"/>
      </w:r>
      <w:r>
        <w:rPr>
          <w:spacing w:val="-5"/>
        </w:rPr>
        <w:t>指符合世界卫生组织（WHO）2008 年分型方案中的难治性贫血细胞减少伴原始</w:t>
      </w:r>
      <w:r>
        <w:rPr>
          <w:w w:val="100"/>
        </w:rPr>
        <w:t>细胞增多-1</w:t>
      </w:r>
      <w:r>
        <w:rPr>
          <w:spacing w:val="3"/>
          <w:w w:val="100"/>
        </w:rPr>
        <w:t>（</w:t>
      </w:r>
      <w:r>
        <w:rPr>
          <w:w w:val="100"/>
        </w:rPr>
        <w:t>RAEB</w:t>
      </w:r>
      <w:r>
        <w:rPr>
          <w:spacing w:val="-5"/>
          <w:w w:val="100"/>
        </w:rPr>
        <w:t>-</w:t>
      </w:r>
      <w:r>
        <w:rPr>
          <w:spacing w:val="3"/>
          <w:w w:val="100"/>
        </w:rPr>
        <w:t>1</w:t>
      </w:r>
      <w:r>
        <w:rPr>
          <w:spacing w:val="-106"/>
          <w:w w:val="100"/>
        </w:rPr>
        <w:t>）</w:t>
      </w:r>
      <w:r>
        <w:rPr>
          <w:w w:val="100"/>
        </w:rPr>
        <w:t>、难治性贫血细胞减少伴原始细胞增多-2</w:t>
      </w:r>
      <w:r>
        <w:rPr>
          <w:spacing w:val="3"/>
          <w:w w:val="100"/>
        </w:rPr>
        <w:t>（</w:t>
      </w:r>
      <w:r>
        <w:rPr>
          <w:w w:val="100"/>
        </w:rPr>
        <w:t>RAEB</w:t>
      </w:r>
      <w:r>
        <w:rPr>
          <w:spacing w:val="-5"/>
          <w:w w:val="100"/>
        </w:rPr>
        <w:t>-</w:t>
      </w:r>
      <w:r>
        <w:rPr>
          <w:spacing w:val="3"/>
          <w:w w:val="100"/>
        </w:rPr>
        <w:t>2</w:t>
      </w:r>
      <w:r>
        <w:rPr>
          <w:spacing w:val="-106"/>
          <w:w w:val="100"/>
        </w:rPr>
        <w:t>）</w:t>
      </w:r>
      <w:r>
        <w:rPr>
          <w:spacing w:val="3"/>
          <w:w w:val="100"/>
        </w:rPr>
        <w:t>、</w:t>
      </w:r>
      <w:r>
        <w:rPr>
          <w:w w:val="100"/>
        </w:rPr>
        <w:t>MDS-未分类（MD</w:t>
      </w:r>
      <w:r>
        <w:rPr>
          <w:spacing w:val="-5"/>
          <w:w w:val="100"/>
        </w:rPr>
        <w:t>S</w:t>
      </w:r>
      <w:r>
        <w:rPr>
          <w:w w:val="100"/>
        </w:rPr>
        <w:t>-U</w:t>
      </w:r>
      <w:r>
        <w:rPr>
          <w:spacing w:val="-106"/>
          <w:w w:val="100"/>
        </w:rPr>
        <w:t>）</w:t>
      </w:r>
      <w:r>
        <w:rPr>
          <w:w w:val="100"/>
        </w:rPr>
        <w:t>、M</w:t>
      </w:r>
      <w:r>
        <w:rPr>
          <w:spacing w:val="-5"/>
          <w:w w:val="100"/>
        </w:rPr>
        <w:t>D</w:t>
      </w:r>
      <w:r>
        <w:rPr>
          <w:w w:val="100"/>
        </w:rPr>
        <w:t>S</w:t>
      </w:r>
      <w:r>
        <w:rPr>
          <w:spacing w:val="-53"/>
        </w:rPr>
        <w:t> </w:t>
      </w:r>
      <w:r>
        <w:rPr>
          <w:w w:val="100"/>
        </w:rPr>
        <w:t>伴单纯</w:t>
      </w:r>
      <w:r>
        <w:rPr>
          <w:spacing w:val="-53"/>
        </w:rPr>
        <w:t> </w:t>
      </w:r>
      <w:r>
        <w:rPr>
          <w:spacing w:val="-5"/>
          <w:w w:val="100"/>
        </w:rPr>
        <w:t>5</w:t>
      </w:r>
      <w:r>
        <w:rPr>
          <w:w w:val="100"/>
        </w:rPr>
        <w:t>q-，</w:t>
      </w:r>
      <w:r>
        <w:rPr>
          <w:spacing w:val="-4"/>
          <w:w w:val="100"/>
        </w:rPr>
        <w:t>且需满足下列所有条件：</w:t>
      </w:r>
    </w:p>
    <w:p>
      <w:pPr>
        <w:pStyle w:val="BodyText"/>
        <w:spacing w:before="8"/>
        <w:ind w:left="593"/>
      </w:pPr>
      <w:r>
        <w:rPr/>
        <w:t>（1）由我们认可医院中三级医院血液病专科医生确诊；</w:t>
      </w:r>
    </w:p>
    <w:p>
      <w:pPr>
        <w:pStyle w:val="BodyText"/>
        <w:spacing w:before="37"/>
        <w:ind w:left="593"/>
      </w:pPr>
      <w:r>
        <w:rPr/>
        <w:t>（2）骨髓穿刺或骨髓活检结果支持诊断；</w:t>
      </w:r>
    </w:p>
    <w:p>
      <w:pPr>
        <w:spacing w:after="0"/>
        <w:sectPr>
          <w:type w:val="continuous"/>
          <w:pgSz w:w="11910" w:h="16840"/>
          <w:pgMar w:top="1040" w:bottom="1180" w:left="1300" w:right="980"/>
          <w:cols w:num="2" w:equalWidth="0">
            <w:col w:w="1753" w:space="40"/>
            <w:col w:w="7837"/>
          </w:cols>
        </w:sectPr>
      </w:pPr>
    </w:p>
    <w:p>
      <w:pPr>
        <w:pStyle w:val="BodyText"/>
        <w:spacing w:before="7"/>
        <w:rPr>
          <w:sz w:val="17"/>
        </w:rPr>
      </w:pPr>
    </w:p>
    <w:p>
      <w:pPr>
        <w:pStyle w:val="BodyText"/>
        <w:ind w:left="2386"/>
      </w:pPr>
      <w:r>
        <w:rPr/>
        <w:t>（3）已持续接受一个月以上的化疗或已接受骨髓移植治疗。</w:t>
      </w:r>
    </w:p>
    <w:p>
      <w:pPr>
        <w:pStyle w:val="BodyText"/>
        <w:spacing w:before="5"/>
        <w:rPr>
          <w:sz w:val="15"/>
        </w:rPr>
      </w:pPr>
    </w:p>
    <w:p>
      <w:pPr>
        <w:spacing w:after="0"/>
        <w:rPr>
          <w:sz w:val="15"/>
        </w:rPr>
        <w:sectPr>
          <w:pgSz w:w="11910" w:h="16840"/>
          <w:pgMar w:header="870" w:footer="998" w:top="1120" w:bottom="1180" w:left="1300" w:right="1080"/>
        </w:sectPr>
      </w:pPr>
    </w:p>
    <w:p>
      <w:pPr>
        <w:pStyle w:val="Heading2"/>
        <w:numPr>
          <w:ilvl w:val="2"/>
          <w:numId w:val="10"/>
        </w:numPr>
        <w:tabs>
          <w:tab w:pos="1537" w:val="left" w:leader="none"/>
        </w:tabs>
        <w:spacing w:line="204" w:lineRule="auto" w:before="25" w:after="0"/>
        <w:ind w:left="778" w:right="0" w:firstLine="0"/>
        <w:jc w:val="both"/>
      </w:pPr>
      <w:r>
        <w:rPr/>
        <w:t>自</w:t>
      </w:r>
      <w:r>
        <w:rPr>
          <w:spacing w:val="30"/>
        </w:rPr>
        <w:t>体造血干细胞移植</w:t>
      </w:r>
    </w:p>
    <w:p>
      <w:pPr>
        <w:pStyle w:val="BodyText"/>
        <w:spacing w:line="273" w:lineRule="auto" w:before="37"/>
        <w:ind w:left="171" w:right="108" w:firstLine="422"/>
        <w:jc w:val="both"/>
      </w:pPr>
      <w:r>
        <w:rPr/>
        <w:br w:type="column"/>
      </w:r>
      <w:r>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本公司认可医院由专科医生实施完成。</w:t>
      </w:r>
    </w:p>
    <w:p>
      <w:pPr>
        <w:spacing w:after="0" w:line="273" w:lineRule="auto"/>
        <w:jc w:val="both"/>
        <w:sectPr>
          <w:type w:val="continuous"/>
          <w:pgSz w:w="11910" w:h="16840"/>
          <w:pgMar w:top="1040" w:bottom="1180" w:left="1300" w:right="1080"/>
          <w:cols w:num="2" w:equalWidth="0">
            <w:col w:w="1753" w:space="40"/>
            <w:col w:w="7737"/>
          </w:cols>
        </w:sectPr>
      </w:pPr>
    </w:p>
    <w:p>
      <w:pPr>
        <w:pStyle w:val="BodyText"/>
        <w:spacing w:before="3"/>
        <w:rPr>
          <w:sz w:val="13"/>
        </w:rPr>
      </w:pPr>
    </w:p>
    <w:p>
      <w:pPr>
        <w:spacing w:after="0"/>
        <w:rPr>
          <w:sz w:val="13"/>
        </w:rPr>
        <w:sectPr>
          <w:type w:val="continuous"/>
          <w:pgSz w:w="11910" w:h="16840"/>
          <w:pgMar w:top="1040" w:bottom="1180" w:left="1300" w:right="1080"/>
        </w:sectPr>
      </w:pPr>
    </w:p>
    <w:p>
      <w:pPr>
        <w:pStyle w:val="Heading2"/>
        <w:numPr>
          <w:ilvl w:val="2"/>
          <w:numId w:val="10"/>
        </w:numPr>
        <w:tabs>
          <w:tab w:pos="1537" w:val="left" w:leader="none"/>
        </w:tabs>
        <w:spacing w:line="204" w:lineRule="auto" w:before="24" w:after="0"/>
        <w:ind w:left="778" w:right="0" w:firstLine="0"/>
        <w:jc w:val="left"/>
      </w:pPr>
      <w:r>
        <w:rPr/>
        <w:t>双耳失聪</w:t>
      </w:r>
    </w:p>
    <w:p>
      <w:pPr>
        <w:pStyle w:val="BodyText"/>
        <w:spacing w:line="273" w:lineRule="auto"/>
        <w:ind w:left="176" w:right="108" w:firstLine="422"/>
        <w:jc w:val="both"/>
      </w:pPr>
      <w:r>
        <w:rPr/>
        <w:br w:type="column"/>
      </w:r>
      <w:r>
        <w:rPr>
          <w:spacing w:val="-8"/>
        </w:rPr>
        <w:t>指因疾病或意外伤害导致双耳听力永久不可逆性丧失，在 </w:t>
      </w:r>
      <w:r>
        <w:rPr/>
        <w:t>500</w:t>
      </w:r>
      <w:r>
        <w:rPr>
          <w:spacing w:val="-14"/>
        </w:rPr>
        <w:t> 赫兹、</w:t>
      </w:r>
      <w:r>
        <w:rPr/>
        <w:t>1000</w:t>
      </w:r>
      <w:r>
        <w:rPr>
          <w:spacing w:val="2"/>
        </w:rPr>
        <w:t> 赫</w:t>
      </w:r>
      <w:r>
        <w:rPr>
          <w:spacing w:val="5"/>
        </w:rPr>
        <w:t>兹和 </w:t>
      </w:r>
      <w:r>
        <w:rPr/>
        <w:t>2000</w:t>
      </w:r>
      <w:r>
        <w:rPr>
          <w:spacing w:val="-7"/>
        </w:rPr>
        <w:t> 赫兹语音频率下，平均听阈大于 </w:t>
      </w:r>
      <w:r>
        <w:rPr/>
        <w:t>90</w:t>
      </w:r>
      <w:r>
        <w:rPr>
          <w:spacing w:val="-8"/>
        </w:rPr>
        <w:t> 分贝，且经纯音听力测试、声导抗</w:t>
      </w:r>
      <w:r>
        <w:rPr>
          <w:spacing w:val="-6"/>
        </w:rPr>
        <w:t>检测或听觉诱发电位检测等证实。</w:t>
      </w:r>
    </w:p>
    <w:p>
      <w:pPr>
        <w:pStyle w:val="Heading2"/>
        <w:spacing w:line="204" w:lineRule="auto"/>
        <w:ind w:left="176" w:right="113" w:firstLine="422"/>
        <w:jc w:val="both"/>
      </w:pPr>
      <w:r>
        <w:rPr/>
        <w:t>除内耳结构损伤等情形外，被保险人申请理赔时应提供理赔当时的听力丧失诊断及检查证据。</w:t>
      </w:r>
    </w:p>
    <w:p>
      <w:pPr>
        <w:spacing w:after="0" w:line="204" w:lineRule="auto"/>
        <w:jc w:val="both"/>
        <w:sectPr>
          <w:type w:val="continuous"/>
          <w:pgSz w:w="11910" w:h="16840"/>
          <w:pgMar w:top="1040" w:bottom="1180" w:left="1300" w:right="1080"/>
          <w:cols w:num="2" w:equalWidth="0">
            <w:col w:w="1749" w:space="40"/>
            <w:col w:w="7741"/>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严</w:t>
      </w:r>
      <w:r>
        <w:rPr>
          <w:b/>
          <w:spacing w:val="15"/>
          <w:sz w:val="21"/>
        </w:rPr>
        <w:t>重Ⅲ 度烧伤</w:t>
      </w:r>
    </w:p>
    <w:p>
      <w:pPr>
        <w:pStyle w:val="BodyText"/>
        <w:spacing w:line="273" w:lineRule="auto" w:before="37"/>
        <w:ind w:left="171" w:right="98" w:firstLine="422"/>
      </w:pPr>
      <w:r>
        <w:rPr/>
        <w:br w:type="column"/>
      </w:r>
      <w:r>
        <w:rPr>
          <w:spacing w:val="-7"/>
        </w:rPr>
        <w:t>指烧伤程度为Ⅲ度，且Ⅲ度烧伤的面积达到全身体表面积的 </w:t>
      </w:r>
      <w:r>
        <w:rPr/>
        <w:t>20</w:t>
      </w:r>
      <w:r>
        <w:rPr>
          <w:spacing w:val="-13"/>
        </w:rPr>
        <w:t>%或 </w:t>
      </w:r>
      <w:r>
        <w:rPr/>
        <w:t>20%</w:t>
      </w:r>
      <w:r>
        <w:rPr>
          <w:spacing w:val="-2"/>
        </w:rPr>
        <w:t>以上。</w:t>
      </w:r>
      <w:r>
        <w:rPr>
          <w:spacing w:val="-5"/>
        </w:rPr>
        <w:t>体表面积根据《中国新九分法》计算。</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7"/>
        <w:rPr>
          <w:sz w:val="13"/>
        </w:rPr>
      </w:pPr>
    </w:p>
    <w:p>
      <w:pPr>
        <w:spacing w:after="0"/>
        <w:rPr>
          <w:sz w:val="13"/>
        </w:rPr>
        <w:sectPr>
          <w:type w:val="continuous"/>
          <w:pgSz w:w="11910" w:h="16840"/>
          <w:pgMar w:top="1040" w:bottom="1180" w:left="1300" w:right="1080"/>
        </w:sectPr>
      </w:pPr>
    </w:p>
    <w:p>
      <w:pPr>
        <w:pStyle w:val="Heading2"/>
        <w:numPr>
          <w:ilvl w:val="2"/>
          <w:numId w:val="10"/>
        </w:numPr>
        <w:tabs>
          <w:tab w:pos="1465" w:val="left" w:leader="none"/>
        </w:tabs>
        <w:spacing w:line="204" w:lineRule="auto" w:before="25" w:after="0"/>
        <w:ind w:left="778" w:right="0" w:firstLine="0"/>
        <w:jc w:val="both"/>
      </w:pPr>
      <w:r>
        <w:rPr/>
        <w:t>丝虫病所致象皮肿</w:t>
      </w:r>
    </w:p>
    <w:p>
      <w:pPr>
        <w:pStyle w:val="BodyText"/>
        <w:spacing w:line="273" w:lineRule="auto" w:before="37"/>
        <w:ind w:left="248" w:right="108" w:firstLine="422"/>
        <w:jc w:val="both"/>
      </w:pPr>
      <w:r>
        <w:rPr/>
        <w:br w:type="column"/>
      </w:r>
      <w:r>
        <w:rPr/>
        <w:t>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73" w:lineRule="auto" w:before="7"/>
        <w:ind w:left="248" w:right="108" w:firstLine="422"/>
        <w:jc w:val="both"/>
      </w:pPr>
      <w:r>
        <w:rPr/>
        <w:t>此病症须经本公司认可医院的专科医生根据临床表现和微丝蚴的化验结果确诊。</w:t>
      </w:r>
    </w:p>
    <w:p>
      <w:pPr>
        <w:pStyle w:val="Heading2"/>
        <w:spacing w:line="204" w:lineRule="auto"/>
        <w:ind w:left="248" w:right="113" w:firstLine="422"/>
        <w:jc w:val="both"/>
      </w:pPr>
      <w:r>
        <w:rPr/>
        <w:t>由性接触传染的疾病、创伤、手术后疤痕、充血性心力衰竭或先天性淋巴系统异常引起的淋巴水肿，以及急性淋巴管炎或其他原因引起的淋巴水肿不在保障范围内。</w:t>
      </w:r>
    </w:p>
    <w:p>
      <w:pPr>
        <w:spacing w:after="0" w:line="204" w:lineRule="auto"/>
        <w:jc w:val="both"/>
        <w:sectPr>
          <w:type w:val="continuous"/>
          <w:pgSz w:w="11910" w:h="16840"/>
          <w:pgMar w:top="1040" w:bottom="1180" w:left="1300" w:right="1080"/>
          <w:cols w:num="2" w:equalWidth="0">
            <w:col w:w="1677" w:space="40"/>
            <w:col w:w="7813"/>
          </w:cols>
        </w:sectPr>
      </w:pPr>
    </w:p>
    <w:p>
      <w:pPr>
        <w:pStyle w:val="BodyText"/>
        <w:spacing w:before="9"/>
        <w:rPr>
          <w:rFonts w:ascii="Microsoft JhengHei"/>
          <w:b/>
          <w:sz w:val="10"/>
        </w:rPr>
      </w:pPr>
    </w:p>
    <w:p>
      <w:pPr>
        <w:spacing w:after="0"/>
        <w:rPr>
          <w:rFonts w:ascii="Microsoft JhengHei"/>
          <w:sz w:val="10"/>
        </w:rPr>
        <w:sectPr>
          <w:type w:val="continuous"/>
          <w:pgSz w:w="11910" w:h="16840"/>
          <w:pgMar w:top="1040" w:bottom="1180" w:left="1300" w:right="10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严</w:t>
      </w:r>
      <w:r>
        <w:rPr>
          <w:b/>
          <w:spacing w:val="30"/>
          <w:sz w:val="21"/>
        </w:rPr>
        <w:t>重类风湿性关节炎</w:t>
      </w:r>
    </w:p>
    <w:p>
      <w:pPr>
        <w:pStyle w:val="BodyText"/>
        <w:spacing w:line="273" w:lineRule="auto" w:before="37"/>
        <w:ind w:left="171" w:right="108" w:firstLine="422"/>
        <w:jc w:val="both"/>
      </w:pPr>
      <w:r>
        <w:rPr/>
        <w:br w:type="column"/>
      </w:r>
      <w:r>
        <w:rPr/>
        <w:t>指广泛分布的慢性进行性多关节病变，表现为关节严重变形，侵犯至少三个主要四肢关节或关节组。类风湿性关节炎必须明确诊断并且已经达到类风湿性关节炎功能分类Ⅳ级的永久不可逆性关节功能障碍（生活不能自理，且丧失工作能</w:t>
      </w:r>
      <w:r>
        <w:rPr>
          <w:w w:val="100"/>
        </w:rPr>
        <w:t>力</w:t>
      </w:r>
      <w:r>
        <w:rPr>
          <w:spacing w:val="-106"/>
          <w:w w:val="100"/>
        </w:rPr>
        <w:t>）</w:t>
      </w:r>
      <w:r>
        <w:rPr>
          <w:spacing w:val="-3"/>
          <w:w w:val="100"/>
        </w:rPr>
        <w:t>，并且满足下列全部条件：</w:t>
      </w:r>
    </w:p>
    <w:p>
      <w:pPr>
        <w:pStyle w:val="BodyText"/>
        <w:spacing w:before="7"/>
        <w:ind w:left="593"/>
      </w:pPr>
      <w:r>
        <w:rPr/>
        <w:t>（1）晨僵；</w:t>
      </w:r>
    </w:p>
    <w:p>
      <w:pPr>
        <w:pStyle w:val="BodyText"/>
        <w:ind w:left="593"/>
      </w:pPr>
      <w:r>
        <w:rPr/>
        <w:t>（2）对称性关节炎；</w:t>
      </w:r>
    </w:p>
    <w:p>
      <w:pPr>
        <w:pStyle w:val="BodyText"/>
        <w:ind w:left="593"/>
      </w:pPr>
      <w:r>
        <w:rPr/>
        <w:t>（3）类风湿性皮下结节；</w:t>
      </w:r>
    </w:p>
    <w:p>
      <w:pPr>
        <w:pStyle w:val="BodyText"/>
        <w:ind w:left="593"/>
      </w:pPr>
      <w:r>
        <w:rPr/>
        <w:t>（4）类风湿因子滴度升高；</w:t>
      </w:r>
    </w:p>
    <w:p>
      <w:pPr>
        <w:pStyle w:val="BodyText"/>
        <w:ind w:left="593"/>
      </w:pPr>
      <w:r>
        <w:rPr/>
        <w:t>（5）X 线显示严重的关节（软骨和骨）破坏和关节畸形。</w:t>
      </w:r>
    </w:p>
    <w:p>
      <w:pPr>
        <w:pStyle w:val="BodyText"/>
        <w:spacing w:line="273" w:lineRule="auto"/>
        <w:ind w:left="171" w:right="108" w:firstLine="422"/>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040" w:bottom="1180" w:left="1300" w:right="1080"/>
          <w:cols w:num="2" w:equalWidth="0">
            <w:col w:w="1753" w:space="40"/>
            <w:col w:w="7737"/>
          </w:cols>
        </w:sectPr>
      </w:pPr>
    </w:p>
    <w:p>
      <w:pPr>
        <w:pStyle w:val="BodyText"/>
        <w:spacing w:before="11"/>
        <w:rPr>
          <w:sz w:val="12"/>
        </w:rPr>
      </w:pPr>
    </w:p>
    <w:p>
      <w:pPr>
        <w:spacing w:after="0"/>
        <w:rPr>
          <w:sz w:val="12"/>
        </w:rPr>
        <w:sectPr>
          <w:type w:val="continuous"/>
          <w:pgSz w:w="11910" w:h="16840"/>
          <w:pgMar w:top="1040" w:bottom="1180" w:left="1300" w:right="1080"/>
        </w:sectPr>
      </w:pPr>
    </w:p>
    <w:p>
      <w:pPr>
        <w:pStyle w:val="Heading2"/>
        <w:numPr>
          <w:ilvl w:val="2"/>
          <w:numId w:val="10"/>
        </w:numPr>
        <w:tabs>
          <w:tab w:pos="1537" w:val="left" w:leader="none"/>
        </w:tabs>
        <w:spacing w:line="204" w:lineRule="auto" w:before="25" w:after="0"/>
        <w:ind w:left="778" w:right="0" w:firstLine="0"/>
        <w:jc w:val="both"/>
      </w:pPr>
      <w:r>
        <w:rPr/>
        <w:t>因</w:t>
      </w:r>
      <w:r>
        <w:rPr>
          <w:spacing w:val="30"/>
        </w:rPr>
        <w:t>输血导致的人类免疫缺陷病</w:t>
      </w:r>
      <w:r>
        <w:rPr>
          <w:spacing w:val="2"/>
          <w:w w:val="95"/>
        </w:rPr>
        <w:t>毒</w:t>
      </w:r>
      <w:r>
        <w:rPr>
          <w:spacing w:val="1"/>
          <w:w w:val="95"/>
        </w:rPr>
        <w:t>（HIV） </w:t>
      </w:r>
      <w:r>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 HIV；</w:t>
      </w:r>
    </w:p>
    <w:p>
      <w:pPr>
        <w:pStyle w:val="BodyText"/>
        <w:spacing w:line="273" w:lineRule="auto"/>
        <w:ind w:left="171" w:right="108" w:firstLine="422"/>
      </w:pPr>
      <w:r>
        <w:rPr/>
        <w:t>（2）提供输血治疗的输血中心或医院必须为正规医疗机构，并出具该项输血感染属医疗责任事故的报告，或由已生效的法院判决或裁定认定为医疗责任；</w:t>
      </w:r>
    </w:p>
    <w:p>
      <w:pPr>
        <w:pStyle w:val="BodyText"/>
        <w:spacing w:line="260" w:lineRule="exact" w:before="7"/>
        <w:ind w:left="593"/>
      </w:pPr>
      <w:r>
        <w:rPr/>
        <w:t>（3）受感染的被保险人不是血友病患者。</w:t>
      </w:r>
    </w:p>
    <w:p>
      <w:pPr>
        <w:spacing w:line="225" w:lineRule="auto" w:before="7"/>
        <w:ind w:left="171" w:right="108" w:firstLine="422"/>
        <w:jc w:val="both"/>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spacing w:after="0" w:line="225" w:lineRule="auto"/>
        <w:jc w:val="both"/>
        <w:rPr>
          <w:sz w:val="21"/>
        </w:rPr>
        <w:sectPr>
          <w:type w:val="continuous"/>
          <w:pgSz w:w="11910" w:h="16840"/>
          <w:pgMar w:top="1040" w:bottom="1180" w:left="1300" w:right="1080"/>
          <w:cols w:num="2" w:equalWidth="0">
            <w:col w:w="1753" w:space="40"/>
            <w:col w:w="7737"/>
          </w:cols>
        </w:sectPr>
      </w:pPr>
    </w:p>
    <w:p>
      <w:pPr>
        <w:pStyle w:val="BodyText"/>
        <w:spacing w:before="7"/>
        <w:rPr>
          <w:sz w:val="17"/>
        </w:rPr>
      </w:pPr>
    </w:p>
    <w:p>
      <w:pPr>
        <w:pStyle w:val="BodyText"/>
        <w:spacing w:line="273" w:lineRule="auto"/>
        <w:ind w:left="1964" w:right="208" w:firstLine="422"/>
      </w:pPr>
      <w:r>
        <w:rPr/>
        <w:t>本公司承担本项疾病保险责任不受本条款第 2.4 条责任免除中“被保险人感染艾滋病病毒或患艾滋病”的限制。</w:t>
      </w:r>
    </w:p>
    <w:p>
      <w:pPr>
        <w:pStyle w:val="BodyText"/>
        <w:spacing w:before="2"/>
        <w:rPr>
          <w:sz w:val="13"/>
        </w:rPr>
      </w:pPr>
    </w:p>
    <w:p>
      <w:pPr>
        <w:spacing w:after="0"/>
        <w:rPr>
          <w:sz w:val="13"/>
        </w:rPr>
        <w:sectPr>
          <w:pgSz w:w="11910" w:h="16840"/>
          <w:pgMar w:header="870" w:footer="998" w:top="1120" w:bottom="1180" w:left="1300" w:right="980"/>
        </w:sectPr>
      </w:pPr>
    </w:p>
    <w:p>
      <w:pPr>
        <w:pStyle w:val="Heading2"/>
        <w:numPr>
          <w:ilvl w:val="2"/>
          <w:numId w:val="10"/>
        </w:numPr>
        <w:tabs>
          <w:tab w:pos="1465" w:val="left" w:leader="none"/>
        </w:tabs>
        <w:spacing w:line="204" w:lineRule="auto" w:before="25" w:after="0"/>
        <w:ind w:left="778" w:right="0" w:firstLine="0"/>
        <w:jc w:val="both"/>
      </w:pPr>
      <w:r>
        <w:rPr/>
        <w:t>慢性肾上腺功能不全</w:t>
      </w:r>
    </w:p>
    <w:p>
      <w:pPr>
        <w:pStyle w:val="BodyText"/>
        <w:spacing w:line="273" w:lineRule="auto"/>
        <w:ind w:left="248" w:right="102" w:firstLine="422"/>
      </w:pPr>
      <w:r>
        <w:rPr/>
        <w:br w:type="column"/>
      </w:r>
      <w:r>
        <w:rPr/>
        <w:t>指原发性自身免疫性肾上腺炎，导致肾上腺萎缩和慢性肾上腺皮质功能减退。必须满足所有以下条件：</w:t>
      </w:r>
    </w:p>
    <w:p>
      <w:pPr>
        <w:pStyle w:val="BodyText"/>
        <w:spacing w:before="7"/>
        <w:ind w:left="670"/>
      </w:pPr>
      <w:r>
        <w:rPr/>
        <w:t>（1）明确诊断，符合所有以下诊断标准：</w:t>
      </w:r>
    </w:p>
    <w:p>
      <w:pPr>
        <w:pStyle w:val="BodyText"/>
        <w:spacing w:before="37"/>
        <w:ind w:left="876"/>
      </w:pPr>
      <w:r>
        <w:rPr/>
        <w:t>① 血浆促肾上腺皮质激素（ACTH）水平测定大于 100pg/ml；</w:t>
      </w:r>
    </w:p>
    <w:p>
      <w:pPr>
        <w:pStyle w:val="BodyText"/>
        <w:spacing w:line="273" w:lineRule="auto" w:before="37"/>
        <w:ind w:left="459" w:right="208" w:firstLine="417"/>
        <w:jc w:val="both"/>
      </w:pPr>
      <w:r>
        <w:rPr>
          <w:spacing w:val="-6"/>
        </w:rPr>
        <w:t>② 血浆和尿游离皮质醇及尿 </w:t>
      </w:r>
      <w:r>
        <w:rPr>
          <w:spacing w:val="-3"/>
        </w:rPr>
        <w:t>17</w:t>
      </w:r>
      <w:r>
        <w:rPr>
          <w:spacing w:val="-5"/>
        </w:rPr>
        <w:t> 羟皮质类固醇、</w:t>
      </w:r>
      <w:r>
        <w:rPr/>
        <w:t>17</w:t>
      </w:r>
      <w:r>
        <w:rPr>
          <w:spacing w:val="-5"/>
        </w:rPr>
        <w:t> 酮皮质类固醇测定、血</w:t>
      </w:r>
      <w:r>
        <w:rPr/>
        <w:t>浆肾素活性、血管紧张素Ⅱ和醛固酮测定，显示为原发性肾上腺皮质功能减退症；</w:t>
      </w:r>
    </w:p>
    <w:p>
      <w:pPr>
        <w:pStyle w:val="BodyText"/>
        <w:spacing w:line="273" w:lineRule="auto" w:before="7"/>
        <w:ind w:left="459" w:right="213" w:firstLine="417"/>
        <w:jc w:val="both"/>
      </w:pPr>
      <w:r>
        <w:rPr>
          <w:spacing w:val="-1"/>
        </w:rPr>
        <w:t>③ 促肾上腺皮质激素</w:t>
      </w:r>
      <w:r>
        <w:rPr/>
        <w:t>（ACTH）</w:t>
      </w:r>
      <w:r>
        <w:rPr>
          <w:spacing w:val="-5"/>
        </w:rPr>
        <w:t>刺激试验显示为原发性肾上腺皮质功能减退症。</w:t>
      </w:r>
    </w:p>
    <w:p>
      <w:pPr>
        <w:pStyle w:val="BodyText"/>
        <w:spacing w:line="260" w:lineRule="exact" w:before="7"/>
        <w:ind w:left="670"/>
      </w:pPr>
      <w:r>
        <w:rPr/>
        <w:t>（2）已经采用皮质类固醇替代治疗 180 天以上。</w:t>
      </w:r>
    </w:p>
    <w:p>
      <w:pPr>
        <w:pStyle w:val="Heading2"/>
        <w:spacing w:line="324" w:lineRule="exact"/>
        <w:ind w:left="670"/>
      </w:pPr>
      <w:r>
        <w:rPr/>
        <w:t>本保障仅包括由自身免疫功能紊乱所导致的慢性肾上腺功能不全，其他成因</w:t>
      </w:r>
    </w:p>
    <w:p>
      <w:pPr>
        <w:spacing w:line="204" w:lineRule="auto" w:before="28"/>
        <w:ind w:left="248" w:right="208" w:firstLine="0"/>
        <w:jc w:val="left"/>
        <w:rPr>
          <w:rFonts w:ascii="Microsoft JhengHei" w:eastAsia="Microsoft JhengHei" w:hint="eastAsia"/>
          <w:b/>
          <w:sz w:val="21"/>
        </w:rPr>
      </w:pPr>
      <w:r>
        <w:rPr>
          <w:rFonts w:ascii="Microsoft JhengHei" w:eastAsia="Microsoft JhengHei" w:hint="eastAsia"/>
          <w:b/>
          <w:sz w:val="21"/>
        </w:rPr>
        <w:t>（</w:t>
      </w:r>
      <w:r>
        <w:rPr>
          <w:rFonts w:ascii="Microsoft JhengHei" w:eastAsia="Microsoft JhengHei" w:hint="eastAsia"/>
          <w:b/>
          <w:spacing w:val="-5"/>
          <w:sz w:val="21"/>
        </w:rPr>
        <w:t>包括但不限于：肾上腺结核、</w:t>
      </w:r>
      <w:r>
        <w:rPr>
          <w:rFonts w:ascii="Microsoft JhengHei" w:eastAsia="Microsoft JhengHei" w:hint="eastAsia"/>
          <w:b/>
          <w:sz w:val="21"/>
        </w:rPr>
        <w:t>HIV</w:t>
      </w:r>
      <w:r>
        <w:rPr>
          <w:rFonts w:ascii="Microsoft JhengHei" w:eastAsia="Microsoft JhengHei" w:hint="eastAsia"/>
          <w:b/>
          <w:spacing w:val="-9"/>
          <w:sz w:val="21"/>
        </w:rPr>
        <w:t> 感染或艾滋病、感染、肿瘤</w:t>
      </w:r>
      <w:r>
        <w:rPr>
          <w:rFonts w:ascii="Microsoft JhengHei" w:eastAsia="Microsoft JhengHei" w:hint="eastAsia"/>
          <w:b/>
          <w:spacing w:val="-20"/>
          <w:sz w:val="21"/>
        </w:rPr>
        <w:t>）</w:t>
      </w:r>
      <w:r>
        <w:rPr>
          <w:rFonts w:ascii="Microsoft JhengHei" w:eastAsia="Microsoft JhengHei" w:hint="eastAsia"/>
          <w:b/>
          <w:sz w:val="21"/>
        </w:rPr>
        <w:t>所致的原发性肾</w:t>
      </w:r>
      <w:r>
        <w:rPr>
          <w:rFonts w:ascii="Microsoft JhengHei" w:eastAsia="Microsoft JhengHei" w:hint="eastAsia"/>
          <w:b/>
          <w:spacing w:val="-2"/>
          <w:sz w:val="21"/>
        </w:rPr>
        <w:t>上腺皮质功能减退和继发性肾上腺皮质功能减退均不在保障范围内。</w:t>
      </w:r>
    </w:p>
    <w:p>
      <w:pPr>
        <w:spacing w:after="0" w:line="204" w:lineRule="auto"/>
        <w:jc w:val="left"/>
        <w:rPr>
          <w:rFonts w:ascii="Microsoft JhengHei" w:eastAsia="Microsoft JhengHei" w:hint="eastAsia"/>
          <w:sz w:val="21"/>
        </w:rPr>
        <w:sectPr>
          <w:type w:val="continuous"/>
          <w:pgSz w:w="11910" w:h="16840"/>
          <w:pgMar w:top="1040" w:bottom="1180" w:left="1300" w:right="980"/>
          <w:cols w:num="2" w:equalWidth="0">
            <w:col w:w="1677" w:space="40"/>
            <w:col w:w="7913"/>
          </w:cols>
        </w:sectPr>
      </w:pPr>
    </w:p>
    <w:p>
      <w:pPr>
        <w:pStyle w:val="BodyText"/>
        <w:spacing w:before="4"/>
        <w:rPr>
          <w:rFonts w:ascii="Microsoft JhengHei"/>
          <w:b/>
          <w:sz w:val="10"/>
        </w:rPr>
      </w:pPr>
    </w:p>
    <w:p>
      <w:pPr>
        <w:spacing w:after="0"/>
        <w:rPr>
          <w:rFonts w:ascii="Microsoft JhengHei"/>
          <w:sz w:val="10"/>
        </w:rPr>
        <w:sectPr>
          <w:type w:val="continuous"/>
          <w:pgSz w:w="11910" w:h="16840"/>
          <w:pgMar w:top="1040" w:bottom="1180" w:left="1300" w:right="980"/>
        </w:sectPr>
      </w:pPr>
    </w:p>
    <w:p>
      <w:pPr>
        <w:pStyle w:val="ListParagraph"/>
        <w:numPr>
          <w:ilvl w:val="2"/>
          <w:numId w:val="10"/>
        </w:numPr>
        <w:tabs>
          <w:tab w:pos="1537" w:val="left" w:leader="none"/>
        </w:tabs>
        <w:spacing w:line="204" w:lineRule="auto" w:before="25" w:after="0"/>
        <w:ind w:left="778" w:right="0" w:firstLine="0"/>
        <w:jc w:val="both"/>
        <w:rPr>
          <w:b/>
          <w:sz w:val="21"/>
        </w:rPr>
      </w:pPr>
      <w:r>
        <w:rPr>
          <w:b/>
          <w:sz w:val="21"/>
        </w:rPr>
        <w:t>因</w:t>
      </w:r>
      <w:r>
        <w:rPr>
          <w:b/>
          <w:spacing w:val="30"/>
          <w:sz w:val="21"/>
        </w:rPr>
        <w:t>职业关系导致的人类免疫缺</w:t>
      </w:r>
      <w:r>
        <w:rPr>
          <w:b/>
          <w:spacing w:val="25"/>
          <w:sz w:val="21"/>
        </w:rPr>
        <w:t>陷   病   毒</w:t>
      </w:r>
    </w:p>
    <w:p>
      <w:pPr>
        <w:spacing w:line="204" w:lineRule="auto" w:before="0"/>
        <w:ind w:left="778" w:right="2" w:firstLine="0"/>
        <w:jc w:val="both"/>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p>
      <w:pPr>
        <w:pStyle w:val="BodyText"/>
        <w:spacing w:line="273" w:lineRule="auto" w:before="37"/>
        <w:ind w:left="171" w:right="208" w:firstLine="422"/>
      </w:pPr>
      <w:r>
        <w:rPr/>
        <w:br w:type="column"/>
      </w:r>
      <w:r>
        <w:rPr/>
        <w:t>被保险人在其常规职业工作过程中遭遇外伤，或者职业需要处理血液或者其</w:t>
      </w:r>
      <w:r>
        <w:rPr>
          <w:spacing w:val="-3"/>
          <w:w w:val="100"/>
        </w:rPr>
        <w:t>他体液时感染上人类免疫缺陷病毒</w:t>
      </w:r>
      <w:r>
        <w:rPr>
          <w:w w:val="100"/>
        </w:rPr>
        <w:t>（HI</w:t>
      </w:r>
      <w:r>
        <w:rPr>
          <w:spacing w:val="-5"/>
          <w:w w:val="100"/>
        </w:rPr>
        <w:t>V</w:t>
      </w:r>
      <w:r>
        <w:rPr>
          <w:spacing w:val="-106"/>
          <w:w w:val="100"/>
        </w:rPr>
        <w:t>）</w:t>
      </w:r>
      <w:r>
        <w:rPr>
          <w:spacing w:val="-4"/>
          <w:w w:val="100"/>
        </w:rPr>
        <w:t>。必须满足下列全部条件：</w:t>
      </w:r>
    </w:p>
    <w:p>
      <w:pPr>
        <w:pStyle w:val="BodyText"/>
        <w:spacing w:line="273" w:lineRule="auto" w:before="7"/>
        <w:ind w:left="171" w:right="208" w:firstLine="422"/>
      </w:pPr>
      <w:r>
        <w:rPr/>
        <w:t>（1）感染必须是在被保险人正在从事其职业工作中发生，该职业必须属于以下列表内的职业；</w:t>
      </w:r>
    </w:p>
    <w:p>
      <w:pPr>
        <w:pStyle w:val="BodyText"/>
        <w:spacing w:line="273" w:lineRule="auto" w:before="7"/>
        <w:ind w:left="171" w:right="208" w:firstLine="422"/>
      </w:pPr>
      <w:r>
        <w:rPr/>
        <w:t>（2）</w:t>
      </w:r>
      <w:r>
        <w:rPr>
          <w:spacing w:val="-7"/>
        </w:rPr>
        <w:t>必须提供被保险人在所报事故发生后的 </w:t>
      </w:r>
      <w:r>
        <w:rPr/>
        <w:t>5</w:t>
      </w:r>
      <w:r>
        <w:rPr>
          <w:spacing w:val="-9"/>
        </w:rPr>
        <w:t> 天以内进行的检查报告，该报</w:t>
      </w:r>
      <w:r>
        <w:rPr>
          <w:spacing w:val="-11"/>
        </w:rPr>
        <w:t>告必须显示被保险人血液 </w:t>
      </w:r>
      <w:r>
        <w:rPr/>
        <w:t>HIV</w:t>
      </w:r>
      <w:r>
        <w:rPr>
          <w:spacing w:val="-11"/>
        </w:rPr>
        <w:t> 病毒阴性和</w:t>
      </w:r>
      <w:r>
        <w:rPr/>
        <w:t>/</w:t>
      </w:r>
      <w:r>
        <w:rPr>
          <w:spacing w:val="-24"/>
        </w:rPr>
        <w:t>或 </w:t>
      </w:r>
      <w:r>
        <w:rPr/>
        <w:t>HIV</w:t>
      </w:r>
      <w:r>
        <w:rPr>
          <w:spacing w:val="-10"/>
        </w:rPr>
        <w:t> 抗体阴性；</w:t>
      </w:r>
    </w:p>
    <w:p>
      <w:pPr>
        <w:pStyle w:val="BodyText"/>
        <w:spacing w:line="273" w:lineRule="auto" w:before="7"/>
        <w:ind w:left="171" w:right="203" w:firstLine="422"/>
      </w:pPr>
      <w:r>
        <w:rPr/>
        <w:t>（3）</w:t>
      </w:r>
      <w:r>
        <w:rPr>
          <w:spacing w:val="-7"/>
        </w:rPr>
        <w:t>必须在事故发生后的 </w:t>
      </w:r>
      <w:r>
        <w:rPr/>
        <w:t>6</w:t>
      </w:r>
      <w:r>
        <w:rPr>
          <w:spacing w:val="-9"/>
        </w:rPr>
        <w:t> 个月内证实被保险人体内存在 </w:t>
      </w:r>
      <w:r>
        <w:rPr/>
        <w:t>HIV</w:t>
      </w:r>
      <w:r>
        <w:rPr>
          <w:spacing w:val="-15"/>
        </w:rPr>
        <w:t> 病毒或者 </w:t>
      </w:r>
      <w:r>
        <w:rPr/>
        <w:t>HIV 抗体。</w:t>
      </w:r>
    </w:p>
    <w:p>
      <w:pPr>
        <w:pStyle w:val="BodyText"/>
        <w:spacing w:before="7"/>
        <w:ind w:left="593"/>
      </w:pPr>
      <w:r>
        <w:rPr/>
        <w:t>职业限制如下所示:</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line="240" w:lineRule="auto" w:before="5"/>
              <w:ind w:left="445"/>
              <w:rPr>
                <w:sz w:val="21"/>
              </w:rPr>
            </w:pPr>
            <w:r>
              <w:rPr>
                <w:sz w:val="21"/>
              </w:rPr>
              <w:t>医生和牙科医生</w:t>
            </w:r>
          </w:p>
        </w:tc>
        <w:tc>
          <w:tcPr>
            <w:tcW w:w="2107" w:type="dxa"/>
          </w:tcPr>
          <w:p>
            <w:pPr>
              <w:pStyle w:val="TableParagraph"/>
              <w:spacing w:line="240" w:lineRule="auto" w:before="5"/>
              <w:ind w:left="450"/>
              <w:rPr>
                <w:sz w:val="21"/>
              </w:rPr>
            </w:pPr>
            <w:r>
              <w:rPr>
                <w:sz w:val="21"/>
              </w:rPr>
              <w:t>护士</w:t>
            </w:r>
          </w:p>
        </w:tc>
      </w:tr>
      <w:tr>
        <w:trPr>
          <w:trHeight w:val="358" w:hRule="atLeast"/>
        </w:trPr>
        <w:tc>
          <w:tcPr>
            <w:tcW w:w="2789" w:type="dxa"/>
          </w:tcPr>
          <w:p>
            <w:pPr>
              <w:pStyle w:val="TableParagraph"/>
              <w:spacing w:line="240" w:lineRule="auto" w:before="8"/>
              <w:ind w:left="445"/>
              <w:rPr>
                <w:sz w:val="21"/>
              </w:rPr>
            </w:pPr>
            <w:r>
              <w:rPr>
                <w:sz w:val="21"/>
              </w:rPr>
              <w:t>医院化验室工作人员</w:t>
            </w:r>
          </w:p>
        </w:tc>
        <w:tc>
          <w:tcPr>
            <w:tcW w:w="2107" w:type="dxa"/>
          </w:tcPr>
          <w:p>
            <w:pPr>
              <w:pStyle w:val="TableParagraph"/>
              <w:spacing w:line="240" w:lineRule="auto" w:before="8"/>
              <w:ind w:left="450"/>
              <w:rPr>
                <w:sz w:val="21"/>
              </w:rPr>
            </w:pPr>
            <w:r>
              <w:rPr>
                <w:sz w:val="21"/>
              </w:rPr>
              <w:t>医院护工</w:t>
            </w:r>
          </w:p>
        </w:tc>
      </w:tr>
      <w:tr>
        <w:trPr>
          <w:trHeight w:val="363" w:hRule="atLeast"/>
        </w:trPr>
        <w:tc>
          <w:tcPr>
            <w:tcW w:w="2789" w:type="dxa"/>
          </w:tcPr>
          <w:p>
            <w:pPr>
              <w:pStyle w:val="TableParagraph"/>
              <w:spacing w:line="240" w:lineRule="auto" w:before="13"/>
              <w:ind w:left="445"/>
              <w:rPr>
                <w:sz w:val="21"/>
              </w:rPr>
            </w:pPr>
            <w:r>
              <w:rPr>
                <w:sz w:val="21"/>
              </w:rPr>
              <w:t>医生助理和牙医助理</w:t>
            </w:r>
          </w:p>
        </w:tc>
        <w:tc>
          <w:tcPr>
            <w:tcW w:w="2107" w:type="dxa"/>
          </w:tcPr>
          <w:p>
            <w:pPr>
              <w:pStyle w:val="TableParagraph"/>
              <w:spacing w:line="240" w:lineRule="auto" w:before="13"/>
              <w:ind w:left="450"/>
              <w:rPr>
                <w:sz w:val="21"/>
              </w:rPr>
            </w:pPr>
            <w:r>
              <w:rPr>
                <w:sz w:val="21"/>
              </w:rPr>
              <w:t>救护车工作人员</w:t>
            </w:r>
          </w:p>
        </w:tc>
      </w:tr>
      <w:tr>
        <w:trPr>
          <w:trHeight w:val="361" w:hRule="atLeast"/>
        </w:trPr>
        <w:tc>
          <w:tcPr>
            <w:tcW w:w="2789" w:type="dxa"/>
          </w:tcPr>
          <w:p>
            <w:pPr>
              <w:pStyle w:val="TableParagraph"/>
              <w:spacing w:line="240" w:lineRule="auto" w:before="8"/>
              <w:ind w:left="445"/>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73" w:lineRule="auto" w:before="7"/>
        <w:ind w:left="171" w:right="208"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00" w:right="980"/>
          <w:cols w:num="2" w:equalWidth="0">
            <w:col w:w="1753" w:space="40"/>
            <w:col w:w="7837"/>
          </w:cols>
        </w:sectPr>
      </w:pPr>
    </w:p>
    <w:p>
      <w:pPr>
        <w:pStyle w:val="BodyText"/>
        <w:spacing w:before="10"/>
        <w:rPr>
          <w:sz w:val="12"/>
        </w:rPr>
      </w:pPr>
    </w:p>
    <w:p>
      <w:pPr>
        <w:spacing w:after="0"/>
        <w:rPr>
          <w:sz w:val="12"/>
        </w:rPr>
        <w:sectPr>
          <w:type w:val="continuous"/>
          <w:pgSz w:w="11910" w:h="16840"/>
          <w:pgMar w:top="1040" w:bottom="1180" w:left="1300" w:right="980"/>
        </w:sectPr>
      </w:pPr>
    </w:p>
    <w:p>
      <w:pPr>
        <w:pStyle w:val="Heading2"/>
        <w:numPr>
          <w:ilvl w:val="2"/>
          <w:numId w:val="10"/>
        </w:numPr>
        <w:tabs>
          <w:tab w:pos="1518" w:val="left" w:leader="none"/>
        </w:tabs>
        <w:spacing w:line="204" w:lineRule="auto" w:before="24" w:after="0"/>
        <w:ind w:left="778" w:right="0" w:firstLine="0"/>
        <w:jc w:val="left"/>
      </w:pPr>
      <w:r>
        <w:rPr/>
        <w:t>埃博拉病毒感染</w:t>
      </w:r>
    </w:p>
    <w:p>
      <w:pPr>
        <w:pStyle w:val="BodyText"/>
        <w:ind w:left="617"/>
      </w:pPr>
      <w:r>
        <w:rPr/>
        <w:br w:type="column"/>
      </w:r>
      <w:r>
        <w:rPr/>
        <w:t>指埃博拉病毒感染导致的烈性传染病，并须满足下列全部条件：</w:t>
      </w:r>
    </w:p>
    <w:p>
      <w:pPr>
        <w:pStyle w:val="BodyText"/>
        <w:ind w:left="617"/>
      </w:pPr>
      <w:r>
        <w:rPr/>
        <w:t>（1）实验室检查证实埃博拉病毒的存在；</w:t>
      </w:r>
    </w:p>
    <w:p>
      <w:pPr>
        <w:pStyle w:val="BodyText"/>
        <w:ind w:left="617"/>
      </w:pPr>
      <w:r>
        <w:rPr/>
        <w:t>（2）从发病开始有超过 30 天的进行性感染症状。</w:t>
      </w:r>
    </w:p>
    <w:p>
      <w:pPr>
        <w:pStyle w:val="BodyText"/>
        <w:spacing w:before="2"/>
        <w:rPr>
          <w:sz w:val="18"/>
        </w:rPr>
      </w:pPr>
    </w:p>
    <w:p>
      <w:pPr>
        <w:pStyle w:val="BodyText"/>
        <w:spacing w:line="273" w:lineRule="auto" w:before="1"/>
        <w:ind w:left="195" w:right="208" w:firstLine="422"/>
      </w:pPr>
      <w:r>
        <w:rPr/>
        <w:t>上述重大疾病中所指的永久不可逆，指自疾病确诊或意外伤害发生之日起， 经过积极治疗 180 天后，仍无法通过现有医疗手段恢复。</w:t>
      </w:r>
    </w:p>
    <w:p>
      <w:pPr>
        <w:pStyle w:val="BodyText"/>
        <w:spacing w:before="7"/>
        <w:ind w:left="617"/>
      </w:pPr>
      <w:r>
        <w:rPr/>
        <w:t>上述重大疾病中所指的六项基本日常生活活动是指：</w:t>
      </w:r>
    </w:p>
    <w:p>
      <w:pPr>
        <w:pStyle w:val="BodyText"/>
        <w:ind w:left="617"/>
      </w:pPr>
      <w:r>
        <w:rPr/>
        <w:t>（1）穿衣：自己能够穿衣及脱衣；</w:t>
      </w:r>
    </w:p>
    <w:p>
      <w:pPr>
        <w:pStyle w:val="BodyText"/>
        <w:ind w:left="617"/>
      </w:pPr>
      <w:r>
        <w:rPr/>
        <w:t>（2）移动：自己从一个房间到另一个房间；</w:t>
      </w:r>
    </w:p>
    <w:p>
      <w:pPr>
        <w:pStyle w:val="BodyText"/>
        <w:ind w:left="617"/>
      </w:pPr>
      <w:r>
        <w:rPr/>
        <w:t>（3）行动：自己上下床或上下轮椅；</w:t>
      </w:r>
    </w:p>
    <w:p>
      <w:pPr>
        <w:pStyle w:val="BodyText"/>
        <w:ind w:left="617"/>
      </w:pPr>
      <w:r>
        <w:rPr/>
        <w:t>（4）如厕：自己控制进行大小便；</w:t>
      </w:r>
    </w:p>
    <w:p>
      <w:pPr>
        <w:pStyle w:val="BodyText"/>
        <w:ind w:left="617"/>
      </w:pPr>
      <w:r>
        <w:rPr/>
        <w:t>（5）进食：自己从已准备好的碗或碟中取食物放入口中；</w:t>
      </w:r>
    </w:p>
    <w:p>
      <w:pPr>
        <w:spacing w:after="0"/>
        <w:sectPr>
          <w:type w:val="continuous"/>
          <w:pgSz w:w="11910" w:h="16840"/>
          <w:pgMar w:top="1040" w:bottom="1180" w:left="1300" w:right="980"/>
          <w:cols w:num="2" w:equalWidth="0">
            <w:col w:w="1729" w:space="40"/>
            <w:col w:w="7861"/>
          </w:cols>
        </w:sectPr>
      </w:pPr>
    </w:p>
    <w:p>
      <w:pPr>
        <w:pStyle w:val="BodyText"/>
        <w:spacing w:before="7"/>
        <w:rPr>
          <w:sz w:val="17"/>
        </w:rPr>
      </w:pPr>
    </w:p>
    <w:p>
      <w:pPr>
        <w:pStyle w:val="BodyText"/>
        <w:ind w:left="2586"/>
      </w:pPr>
      <w:r>
        <w:rPr/>
        <w:t>（6）洗澡：自己进行淋浴或盆浴。</w:t>
      </w:r>
    </w:p>
    <w:p>
      <w:pPr>
        <w:pStyle w:val="BodyText"/>
        <w:spacing w:before="7"/>
        <w:rPr>
          <w:sz w:val="27"/>
        </w:rPr>
      </w:pPr>
    </w:p>
    <w:p>
      <w:pPr>
        <w:spacing w:after="0"/>
        <w:rPr>
          <w:sz w:val="27"/>
        </w:rPr>
        <w:sectPr>
          <w:pgSz w:w="11910" w:h="16840"/>
          <w:pgMar w:header="870" w:footer="998" w:top="1120" w:bottom="1180" w:left="1100" w:right="980"/>
        </w:sectPr>
      </w:pPr>
    </w:p>
    <w:p>
      <w:pPr>
        <w:pStyle w:val="Heading2"/>
        <w:numPr>
          <w:ilvl w:val="1"/>
          <w:numId w:val="10"/>
        </w:numPr>
        <w:tabs>
          <w:tab w:pos="978" w:val="left" w:leader="none"/>
          <w:tab w:pos="979" w:val="left" w:leader="none"/>
        </w:tabs>
        <w:spacing w:line="204" w:lineRule="auto" w:before="24" w:after="0"/>
        <w:ind w:left="978" w:right="0" w:hanging="878"/>
        <w:jc w:val="left"/>
      </w:pPr>
      <w:r>
        <w:rPr>
          <w:spacing w:val="30"/>
        </w:rPr>
        <w:t>保单生效对应日</w:t>
      </w:r>
    </w:p>
    <w:p>
      <w:pPr>
        <w:pStyle w:val="BodyText"/>
        <w:spacing w:line="273" w:lineRule="auto"/>
        <w:ind w:left="100" w:right="208" w:firstLine="422"/>
      </w:pPr>
      <w:r>
        <w:rPr/>
        <w:br w:type="column"/>
      </w:r>
      <w:r>
        <w:rPr/>
        <w:t>保单生效日每年的对应日。如当月无对应的同一日，则以当月最后一日为对应日。</w:t>
      </w:r>
    </w:p>
    <w:p>
      <w:pPr>
        <w:spacing w:after="0" w:line="273" w:lineRule="auto"/>
        <w:sectPr>
          <w:type w:val="continuous"/>
          <w:pgSz w:w="11910" w:h="16840"/>
          <w:pgMar w:top="1040" w:bottom="1180" w:left="1100" w:right="980"/>
          <w:cols w:num="2" w:equalWidth="0">
            <w:col w:w="1953" w:space="111"/>
            <w:col w:w="7766"/>
          </w:cols>
        </w:sectPr>
      </w:pPr>
    </w:p>
    <w:p>
      <w:pPr>
        <w:pStyle w:val="BodyText"/>
        <w:spacing w:before="3"/>
        <w:rPr>
          <w:sz w:val="28"/>
        </w:rPr>
      </w:pPr>
    </w:p>
    <w:p>
      <w:pPr>
        <w:pStyle w:val="ListParagraph"/>
        <w:numPr>
          <w:ilvl w:val="1"/>
          <w:numId w:val="10"/>
        </w:numPr>
        <w:tabs>
          <w:tab w:pos="978" w:val="left" w:leader="none"/>
          <w:tab w:pos="979" w:val="left" w:leader="none"/>
          <w:tab w:pos="2586" w:val="left" w:leader="none"/>
        </w:tabs>
        <w:spacing w:line="312" w:lineRule="exact" w:before="32" w:after="0"/>
        <w:ind w:left="2164" w:right="208" w:hanging="2064"/>
        <w:jc w:val="both"/>
        <w:rPr>
          <w:sz w:val="21"/>
        </w:rPr>
      </w:pPr>
      <w:r>
        <w:rPr>
          <w:b/>
          <w:sz w:val="21"/>
        </w:rPr>
        <w:t>认可医院</w:t>
        <w:tab/>
        <w:tab/>
      </w:r>
      <w:r>
        <w:rPr>
          <w:rFonts w:ascii="宋体" w:eastAsia="宋体" w:hint="eastAsia"/>
          <w:spacing w:val="2"/>
          <w:sz w:val="21"/>
        </w:rPr>
        <w:t>指</w:t>
      </w:r>
      <w:r>
        <w:rPr>
          <w:rFonts w:ascii="宋体" w:eastAsia="宋体" w:hint="eastAsia"/>
          <w:sz w:val="21"/>
        </w:rPr>
        <w:t>二级</w:t>
      </w:r>
      <w:r>
        <w:rPr>
          <w:rFonts w:ascii="宋体" w:eastAsia="宋体" w:hint="eastAsia"/>
          <w:spacing w:val="2"/>
          <w:sz w:val="21"/>
        </w:rPr>
        <w:t>及</w:t>
      </w:r>
      <w:r>
        <w:rPr>
          <w:rFonts w:ascii="宋体" w:eastAsia="宋体" w:hint="eastAsia"/>
          <w:sz w:val="21"/>
        </w:rPr>
        <w:t>以</w:t>
      </w:r>
      <w:r>
        <w:rPr>
          <w:rFonts w:ascii="宋体" w:eastAsia="宋体" w:hint="eastAsia"/>
          <w:spacing w:val="2"/>
          <w:sz w:val="21"/>
        </w:rPr>
        <w:t>上</w:t>
      </w:r>
      <w:r>
        <w:rPr>
          <w:rFonts w:ascii="宋体" w:eastAsia="宋体" w:hint="eastAsia"/>
          <w:sz w:val="21"/>
        </w:rPr>
        <w:t>非盈</w:t>
      </w:r>
      <w:r>
        <w:rPr>
          <w:rFonts w:ascii="宋体" w:eastAsia="宋体" w:hint="eastAsia"/>
          <w:spacing w:val="2"/>
          <w:sz w:val="21"/>
        </w:rPr>
        <w:t>利</w:t>
      </w:r>
      <w:r>
        <w:rPr>
          <w:rFonts w:ascii="宋体" w:eastAsia="宋体" w:hint="eastAsia"/>
          <w:sz w:val="21"/>
        </w:rPr>
        <w:t>性医</w:t>
      </w:r>
      <w:r>
        <w:rPr>
          <w:rFonts w:ascii="宋体" w:eastAsia="宋体" w:hint="eastAsia"/>
          <w:spacing w:val="2"/>
          <w:sz w:val="21"/>
        </w:rPr>
        <w:t>院</w:t>
      </w:r>
      <w:r>
        <w:rPr>
          <w:rFonts w:ascii="宋体" w:eastAsia="宋体" w:hint="eastAsia"/>
          <w:sz w:val="21"/>
        </w:rPr>
        <w:t>、二</w:t>
      </w:r>
      <w:r>
        <w:rPr>
          <w:rFonts w:ascii="宋体" w:eastAsia="宋体" w:hint="eastAsia"/>
          <w:spacing w:val="2"/>
          <w:sz w:val="21"/>
        </w:rPr>
        <w:t>级</w:t>
      </w:r>
      <w:r>
        <w:rPr>
          <w:rFonts w:ascii="宋体" w:eastAsia="宋体" w:hint="eastAsia"/>
          <w:sz w:val="21"/>
        </w:rPr>
        <w:t>及</w:t>
      </w:r>
      <w:r>
        <w:rPr>
          <w:rFonts w:ascii="宋体" w:eastAsia="宋体" w:hint="eastAsia"/>
          <w:spacing w:val="2"/>
          <w:sz w:val="21"/>
        </w:rPr>
        <w:t>以</w:t>
      </w:r>
      <w:r>
        <w:rPr>
          <w:rFonts w:ascii="宋体" w:eastAsia="宋体" w:hint="eastAsia"/>
          <w:sz w:val="21"/>
        </w:rPr>
        <w:t>上社</w:t>
      </w:r>
      <w:r>
        <w:rPr>
          <w:rFonts w:ascii="宋体" w:eastAsia="宋体" w:hint="eastAsia"/>
          <w:spacing w:val="2"/>
          <w:sz w:val="21"/>
        </w:rPr>
        <w:t>保</w:t>
      </w:r>
      <w:r>
        <w:rPr>
          <w:rFonts w:ascii="宋体" w:eastAsia="宋体" w:hint="eastAsia"/>
          <w:sz w:val="21"/>
        </w:rPr>
        <w:t>定点医</w:t>
      </w:r>
      <w:r>
        <w:rPr>
          <w:rFonts w:ascii="宋体" w:eastAsia="宋体" w:hint="eastAsia"/>
          <w:spacing w:val="2"/>
          <w:sz w:val="21"/>
        </w:rPr>
        <w:t>院</w:t>
      </w:r>
      <w:r>
        <w:rPr>
          <w:rFonts w:ascii="宋体" w:eastAsia="宋体" w:hint="eastAsia"/>
          <w:sz w:val="21"/>
        </w:rPr>
        <w:t>或本</w:t>
      </w:r>
      <w:r>
        <w:rPr>
          <w:rFonts w:ascii="宋体" w:eastAsia="宋体" w:hint="eastAsia"/>
          <w:spacing w:val="2"/>
          <w:sz w:val="21"/>
        </w:rPr>
        <w:t>公</w:t>
      </w:r>
      <w:r>
        <w:rPr>
          <w:rFonts w:ascii="宋体" w:eastAsia="宋体" w:hint="eastAsia"/>
          <w:sz w:val="21"/>
        </w:rPr>
        <w:t>司</w:t>
      </w:r>
      <w:r>
        <w:rPr>
          <w:rFonts w:ascii="宋体" w:eastAsia="宋体" w:hint="eastAsia"/>
          <w:spacing w:val="2"/>
          <w:sz w:val="21"/>
        </w:rPr>
        <w:t>认</w:t>
      </w:r>
      <w:r>
        <w:rPr>
          <w:rFonts w:ascii="宋体" w:eastAsia="宋体" w:hint="eastAsia"/>
          <w:sz w:val="21"/>
        </w:rPr>
        <w:t>可的</w:t>
      </w:r>
      <w:r>
        <w:rPr>
          <w:rFonts w:ascii="宋体" w:eastAsia="宋体" w:hint="eastAsia"/>
          <w:spacing w:val="2"/>
          <w:sz w:val="21"/>
        </w:rPr>
        <w:t>其</w:t>
      </w:r>
      <w:r>
        <w:rPr>
          <w:rFonts w:ascii="宋体" w:eastAsia="宋体" w:hint="eastAsia"/>
          <w:sz w:val="21"/>
        </w:rPr>
        <w:t>他 </w:t>
      </w:r>
      <w:r>
        <w:rPr>
          <w:rFonts w:ascii="宋体" w:eastAsia="宋体" w:hint="eastAsia"/>
          <w:spacing w:val="2"/>
          <w:sz w:val="21"/>
        </w:rPr>
        <w:t>医院</w:t>
      </w:r>
      <w:r>
        <w:rPr>
          <w:rFonts w:ascii="宋体" w:eastAsia="宋体" w:hint="eastAsia"/>
          <w:sz w:val="21"/>
        </w:rPr>
        <w:t>。</w:t>
      </w:r>
      <w:r>
        <w:rPr>
          <w:rFonts w:ascii="宋体" w:eastAsia="宋体" w:hint="eastAsia"/>
          <w:spacing w:val="2"/>
          <w:sz w:val="21"/>
        </w:rPr>
        <w:t>具</w:t>
      </w:r>
      <w:r>
        <w:rPr>
          <w:rFonts w:ascii="宋体" w:eastAsia="宋体" w:hint="eastAsia"/>
          <w:sz w:val="21"/>
        </w:rPr>
        <w:t>体</w:t>
      </w:r>
      <w:r>
        <w:rPr>
          <w:rFonts w:ascii="宋体" w:eastAsia="宋体" w:hint="eastAsia"/>
          <w:spacing w:val="2"/>
          <w:sz w:val="21"/>
        </w:rPr>
        <w:t>可</w:t>
      </w:r>
      <w:r>
        <w:rPr>
          <w:rFonts w:ascii="宋体" w:eastAsia="宋体" w:hint="eastAsia"/>
          <w:sz w:val="21"/>
        </w:rPr>
        <w:t>登</w:t>
      </w:r>
      <w:r>
        <w:rPr>
          <w:rFonts w:ascii="宋体" w:eastAsia="宋体" w:hint="eastAsia"/>
          <w:spacing w:val="2"/>
          <w:sz w:val="21"/>
        </w:rPr>
        <w:t>陆</w:t>
      </w:r>
      <w:r>
        <w:rPr>
          <w:rFonts w:ascii="宋体" w:eastAsia="宋体" w:hint="eastAsia"/>
          <w:sz w:val="21"/>
        </w:rPr>
        <w:t>本</w:t>
      </w:r>
      <w:r>
        <w:rPr>
          <w:rFonts w:ascii="宋体" w:eastAsia="宋体" w:hint="eastAsia"/>
          <w:spacing w:val="2"/>
          <w:sz w:val="21"/>
        </w:rPr>
        <w:t>公</w:t>
      </w:r>
      <w:r>
        <w:rPr>
          <w:rFonts w:ascii="宋体" w:eastAsia="宋体" w:hint="eastAsia"/>
          <w:sz w:val="21"/>
        </w:rPr>
        <w:t>司</w:t>
      </w:r>
      <w:r>
        <w:rPr>
          <w:rFonts w:ascii="宋体" w:eastAsia="宋体" w:hint="eastAsia"/>
          <w:spacing w:val="2"/>
          <w:sz w:val="21"/>
        </w:rPr>
        <w:t>主</w:t>
      </w:r>
      <w:r>
        <w:rPr>
          <w:rFonts w:ascii="宋体" w:eastAsia="宋体" w:hint="eastAsia"/>
          <w:sz w:val="21"/>
        </w:rPr>
        <w:t>页（</w:t>
      </w:r>
      <w:hyperlink r:id="rId10">
        <w:r>
          <w:rPr>
            <w:rFonts w:ascii="宋体" w:eastAsia="宋体" w:hint="eastAsia"/>
            <w:sz w:val="21"/>
          </w:rPr>
          <w:t>www.newchinalife.com</w:t>
        </w:r>
      </w:hyperlink>
      <w:r>
        <w:rPr>
          <w:rFonts w:ascii="宋体" w:eastAsia="宋体" w:hint="eastAsia"/>
          <w:sz w:val="21"/>
        </w:rPr>
        <w:t>）查</w:t>
      </w:r>
      <w:r>
        <w:rPr>
          <w:rFonts w:ascii="宋体" w:eastAsia="宋体" w:hint="eastAsia"/>
          <w:spacing w:val="2"/>
          <w:sz w:val="21"/>
        </w:rPr>
        <w:t>询</w:t>
      </w:r>
      <w:r>
        <w:rPr>
          <w:rFonts w:ascii="宋体" w:eastAsia="宋体" w:hint="eastAsia"/>
          <w:sz w:val="21"/>
        </w:rPr>
        <w:t>或</w:t>
      </w:r>
      <w:r>
        <w:rPr>
          <w:rFonts w:ascii="宋体" w:eastAsia="宋体" w:hint="eastAsia"/>
          <w:spacing w:val="2"/>
          <w:sz w:val="21"/>
        </w:rPr>
        <w:t>咨</w:t>
      </w:r>
      <w:r>
        <w:rPr>
          <w:rFonts w:ascii="宋体" w:eastAsia="宋体" w:hint="eastAsia"/>
          <w:sz w:val="21"/>
        </w:rPr>
        <w:t>询</w:t>
      </w:r>
      <w:r>
        <w:rPr>
          <w:rFonts w:ascii="宋体" w:eastAsia="宋体" w:hint="eastAsia"/>
          <w:spacing w:val="2"/>
          <w:sz w:val="21"/>
        </w:rPr>
        <w:t>本</w:t>
      </w:r>
      <w:r>
        <w:rPr>
          <w:rFonts w:ascii="宋体" w:eastAsia="宋体" w:hint="eastAsia"/>
          <w:sz w:val="21"/>
        </w:rPr>
        <w:t>公</w:t>
      </w:r>
      <w:r>
        <w:rPr>
          <w:rFonts w:ascii="宋体" w:eastAsia="宋体" w:hint="eastAsia"/>
          <w:spacing w:val="2"/>
          <w:sz w:val="21"/>
        </w:rPr>
        <w:t>司全</w:t>
      </w:r>
      <w:r>
        <w:rPr>
          <w:rFonts w:ascii="宋体" w:eastAsia="宋体" w:hint="eastAsia"/>
          <w:sz w:val="21"/>
        </w:rPr>
        <w:t>国客户服务</w:t>
      </w:r>
      <w:r>
        <w:rPr>
          <w:rFonts w:ascii="宋体" w:eastAsia="宋体" w:hint="eastAsia"/>
          <w:spacing w:val="-5"/>
          <w:sz w:val="21"/>
        </w:rPr>
        <w:t>电</w:t>
      </w:r>
      <w:r>
        <w:rPr>
          <w:rFonts w:ascii="宋体" w:eastAsia="宋体" w:hint="eastAsia"/>
          <w:sz w:val="21"/>
        </w:rPr>
        <w:t>话</w:t>
      </w:r>
      <w:r>
        <w:rPr>
          <w:rFonts w:ascii="宋体" w:eastAsia="宋体" w:hint="eastAsia"/>
          <w:spacing w:val="-47"/>
          <w:sz w:val="21"/>
        </w:rPr>
        <w:t> </w:t>
      </w:r>
      <w:r>
        <w:rPr>
          <w:rFonts w:ascii="宋体" w:eastAsia="宋体" w:hint="eastAsia"/>
          <w:sz w:val="21"/>
        </w:rPr>
        <w:t>95567。</w:t>
      </w:r>
    </w:p>
    <w:p>
      <w:pPr>
        <w:pStyle w:val="ListParagraph"/>
        <w:numPr>
          <w:ilvl w:val="1"/>
          <w:numId w:val="10"/>
        </w:numPr>
        <w:tabs>
          <w:tab w:pos="978" w:val="left" w:leader="none"/>
          <w:tab w:pos="979" w:val="left" w:leader="none"/>
          <w:tab w:pos="2586" w:val="left" w:leader="none"/>
        </w:tabs>
        <w:spacing w:line="240" w:lineRule="auto" w:before="139" w:after="0"/>
        <w:ind w:left="978" w:right="0" w:hanging="878"/>
        <w:jc w:val="left"/>
        <w:rPr>
          <w:sz w:val="21"/>
        </w:rPr>
      </w:pPr>
      <w:r>
        <w:rPr>
          <w:b/>
          <w:sz w:val="21"/>
        </w:rPr>
        <w:t>专科医生</w:t>
        <w:tab/>
      </w:r>
      <w:r>
        <w:rPr>
          <w:rFonts w:ascii="宋体" w:eastAsia="宋体" w:hint="eastAsia"/>
          <w:sz w:val="21"/>
        </w:rPr>
        <w:t>专科医生</w:t>
      </w:r>
      <w:r>
        <w:rPr>
          <w:rFonts w:ascii="宋体" w:eastAsia="宋体" w:hint="eastAsia"/>
          <w:spacing w:val="-5"/>
          <w:sz w:val="21"/>
        </w:rPr>
        <w:t>应</w:t>
      </w:r>
      <w:r>
        <w:rPr>
          <w:rFonts w:ascii="宋体" w:eastAsia="宋体" w:hint="eastAsia"/>
          <w:sz w:val="21"/>
        </w:rPr>
        <w:t>当同时</w:t>
      </w:r>
      <w:r>
        <w:rPr>
          <w:rFonts w:ascii="宋体" w:eastAsia="宋体" w:hint="eastAsia"/>
          <w:spacing w:val="-5"/>
          <w:sz w:val="21"/>
        </w:rPr>
        <w:t>满</w:t>
      </w:r>
      <w:r>
        <w:rPr>
          <w:rFonts w:ascii="宋体" w:eastAsia="宋体" w:hint="eastAsia"/>
          <w:sz w:val="21"/>
        </w:rPr>
        <w:t>足以下</w:t>
      </w:r>
      <w:r>
        <w:rPr>
          <w:rFonts w:ascii="宋体" w:eastAsia="宋体" w:hint="eastAsia"/>
          <w:spacing w:val="-5"/>
          <w:sz w:val="21"/>
        </w:rPr>
        <w:t>四</w:t>
      </w:r>
      <w:r>
        <w:rPr>
          <w:rFonts w:ascii="宋体" w:eastAsia="宋体" w:hint="eastAsia"/>
          <w:sz w:val="21"/>
        </w:rPr>
        <w:t>项资格</w:t>
      </w:r>
      <w:r>
        <w:rPr>
          <w:rFonts w:ascii="宋体" w:eastAsia="宋体" w:hint="eastAsia"/>
          <w:spacing w:val="-5"/>
          <w:sz w:val="21"/>
        </w:rPr>
        <w:t>条</w:t>
      </w:r>
      <w:r>
        <w:rPr>
          <w:rFonts w:ascii="宋体" w:eastAsia="宋体" w:hint="eastAsia"/>
          <w:sz w:val="21"/>
        </w:rPr>
        <w:t>件：</w:t>
      </w:r>
    </w:p>
    <w:p>
      <w:pPr>
        <w:pStyle w:val="BodyText"/>
        <w:spacing w:before="13"/>
        <w:ind w:left="2586"/>
      </w:pPr>
      <w:r>
        <w:rPr/>
        <w:t>1.具有有效的中华人民共和国《医师资格证书》；</w:t>
      </w:r>
    </w:p>
    <w:p>
      <w:pPr>
        <w:pStyle w:val="BodyText"/>
        <w:spacing w:before="37"/>
        <w:ind w:left="2586"/>
      </w:pPr>
      <w:r>
        <w:rPr/>
        <w:t>2.</w:t>
      </w:r>
      <w:r>
        <w:rPr>
          <w:spacing w:val="-16"/>
        </w:rPr>
        <w:t>具有有效的中华人民共和国《医师执业证书》，并按期到相关部门登记注册；</w:t>
      </w:r>
    </w:p>
    <w:p>
      <w:pPr>
        <w:pStyle w:val="BodyText"/>
        <w:spacing w:line="273" w:lineRule="auto" w:before="37"/>
        <w:ind w:left="2164" w:right="208" w:firstLine="422"/>
      </w:pPr>
      <w:r>
        <w:rPr/>
        <w:t>3.具有有效的中华人民共和国主治医师或主治医师以上职称的《医师职称证书》；</w:t>
      </w:r>
    </w:p>
    <w:p>
      <w:pPr>
        <w:pStyle w:val="BodyText"/>
        <w:spacing w:before="7"/>
        <w:ind w:left="2586"/>
      </w:pPr>
      <w:r>
        <w:rPr/>
        <w:t>4.在二级或二级以上医院的相应科室从事临床工作三年以上。</w:t>
      </w:r>
    </w:p>
    <w:p>
      <w:pPr>
        <w:pStyle w:val="BodyText"/>
        <w:spacing w:before="7"/>
      </w:pPr>
    </w:p>
    <w:p>
      <w:pPr>
        <w:pStyle w:val="ListParagraph"/>
        <w:numPr>
          <w:ilvl w:val="1"/>
          <w:numId w:val="10"/>
        </w:numPr>
        <w:tabs>
          <w:tab w:pos="978" w:val="left" w:leader="none"/>
          <w:tab w:pos="979" w:val="left" w:leader="none"/>
          <w:tab w:pos="2586" w:val="left" w:leader="none"/>
        </w:tabs>
        <w:spacing w:line="249" w:lineRule="auto" w:before="0" w:after="0"/>
        <w:ind w:left="2164" w:right="208" w:hanging="2064"/>
        <w:jc w:val="both"/>
        <w:rPr>
          <w:sz w:val="21"/>
        </w:rPr>
      </w:pPr>
      <w:r>
        <w:rPr>
          <w:b/>
          <w:sz w:val="21"/>
        </w:rPr>
        <w:t>意外伤害</w:t>
        <w:tab/>
        <w:tab/>
      </w:r>
      <w:r>
        <w:rPr>
          <w:rFonts w:ascii="宋体" w:eastAsia="宋体" w:hint="eastAsia"/>
          <w:spacing w:val="2"/>
          <w:sz w:val="21"/>
        </w:rPr>
        <w:t>指</w:t>
      </w:r>
      <w:r>
        <w:rPr>
          <w:rFonts w:ascii="宋体" w:eastAsia="宋体" w:hint="eastAsia"/>
          <w:sz w:val="21"/>
        </w:rPr>
        <w:t>以外</w:t>
      </w:r>
      <w:r>
        <w:rPr>
          <w:rFonts w:ascii="宋体" w:eastAsia="宋体" w:hint="eastAsia"/>
          <w:spacing w:val="2"/>
          <w:sz w:val="21"/>
        </w:rPr>
        <w:t>来</w:t>
      </w:r>
      <w:r>
        <w:rPr>
          <w:rFonts w:ascii="宋体" w:eastAsia="宋体" w:hint="eastAsia"/>
          <w:sz w:val="21"/>
        </w:rPr>
        <w:t>的</w:t>
      </w:r>
      <w:r>
        <w:rPr>
          <w:rFonts w:ascii="宋体" w:eastAsia="宋体" w:hint="eastAsia"/>
          <w:spacing w:val="2"/>
          <w:sz w:val="21"/>
        </w:rPr>
        <w:t>、</w:t>
      </w:r>
      <w:r>
        <w:rPr>
          <w:rFonts w:ascii="宋体" w:eastAsia="宋体" w:hint="eastAsia"/>
          <w:sz w:val="21"/>
        </w:rPr>
        <w:t>突发</w:t>
      </w:r>
      <w:r>
        <w:rPr>
          <w:rFonts w:ascii="宋体" w:eastAsia="宋体" w:hint="eastAsia"/>
          <w:spacing w:val="2"/>
          <w:sz w:val="21"/>
        </w:rPr>
        <w:t>的</w:t>
      </w:r>
      <w:r>
        <w:rPr>
          <w:rFonts w:ascii="宋体" w:eastAsia="宋体" w:hint="eastAsia"/>
          <w:sz w:val="21"/>
        </w:rPr>
        <w:t>、非</w:t>
      </w:r>
      <w:r>
        <w:rPr>
          <w:rFonts w:ascii="宋体" w:eastAsia="宋体" w:hint="eastAsia"/>
          <w:spacing w:val="2"/>
          <w:sz w:val="21"/>
        </w:rPr>
        <w:t>本</w:t>
      </w:r>
      <w:r>
        <w:rPr>
          <w:rFonts w:ascii="宋体" w:eastAsia="宋体" w:hint="eastAsia"/>
          <w:sz w:val="21"/>
        </w:rPr>
        <w:t>意的</w:t>
      </w:r>
      <w:r>
        <w:rPr>
          <w:rFonts w:ascii="宋体" w:eastAsia="宋体" w:hint="eastAsia"/>
          <w:spacing w:val="2"/>
          <w:sz w:val="21"/>
        </w:rPr>
        <w:t>、</w:t>
      </w:r>
      <w:r>
        <w:rPr>
          <w:rFonts w:ascii="宋体" w:eastAsia="宋体" w:hint="eastAsia"/>
          <w:sz w:val="21"/>
        </w:rPr>
        <w:t>非</w:t>
      </w:r>
      <w:r>
        <w:rPr>
          <w:rFonts w:ascii="宋体" w:eastAsia="宋体" w:hint="eastAsia"/>
          <w:spacing w:val="2"/>
          <w:sz w:val="21"/>
        </w:rPr>
        <w:t>疾</w:t>
      </w:r>
      <w:r>
        <w:rPr>
          <w:rFonts w:ascii="宋体" w:eastAsia="宋体" w:hint="eastAsia"/>
          <w:sz w:val="21"/>
        </w:rPr>
        <w:t>病的</w:t>
      </w:r>
      <w:r>
        <w:rPr>
          <w:rFonts w:ascii="宋体" w:eastAsia="宋体" w:hint="eastAsia"/>
          <w:spacing w:val="2"/>
          <w:sz w:val="21"/>
        </w:rPr>
        <w:t>客</w:t>
      </w:r>
      <w:r>
        <w:rPr>
          <w:rFonts w:ascii="宋体" w:eastAsia="宋体" w:hint="eastAsia"/>
          <w:sz w:val="21"/>
        </w:rPr>
        <w:t>观事件</w:t>
      </w:r>
      <w:r>
        <w:rPr>
          <w:rFonts w:ascii="宋体" w:eastAsia="宋体" w:hint="eastAsia"/>
          <w:spacing w:val="2"/>
          <w:sz w:val="21"/>
        </w:rPr>
        <w:t>为</w:t>
      </w:r>
      <w:r>
        <w:rPr>
          <w:rFonts w:ascii="宋体" w:eastAsia="宋体" w:hint="eastAsia"/>
          <w:sz w:val="21"/>
        </w:rPr>
        <w:t>直接</w:t>
      </w:r>
      <w:r>
        <w:rPr>
          <w:rFonts w:ascii="宋体" w:eastAsia="宋体" w:hint="eastAsia"/>
          <w:spacing w:val="2"/>
          <w:sz w:val="21"/>
        </w:rPr>
        <w:t>且</w:t>
      </w:r>
      <w:r>
        <w:rPr>
          <w:rFonts w:ascii="宋体" w:eastAsia="宋体" w:hint="eastAsia"/>
          <w:sz w:val="21"/>
        </w:rPr>
        <w:t>主</w:t>
      </w:r>
      <w:r>
        <w:rPr>
          <w:rFonts w:ascii="宋体" w:eastAsia="宋体" w:hint="eastAsia"/>
          <w:spacing w:val="2"/>
          <w:sz w:val="21"/>
        </w:rPr>
        <w:t>要</w:t>
      </w:r>
      <w:r>
        <w:rPr>
          <w:rFonts w:ascii="宋体" w:eastAsia="宋体" w:hint="eastAsia"/>
          <w:sz w:val="21"/>
        </w:rPr>
        <w:t>原因</w:t>
      </w:r>
      <w:r>
        <w:rPr>
          <w:rFonts w:ascii="宋体" w:eastAsia="宋体" w:hint="eastAsia"/>
          <w:spacing w:val="2"/>
          <w:sz w:val="21"/>
        </w:rPr>
        <w:t>导</w:t>
      </w:r>
      <w:r>
        <w:rPr>
          <w:rFonts w:ascii="宋体" w:eastAsia="宋体" w:hint="eastAsia"/>
          <w:sz w:val="21"/>
        </w:rPr>
        <w:t>致 的身体伤</w:t>
      </w:r>
      <w:r>
        <w:rPr>
          <w:rFonts w:ascii="宋体" w:eastAsia="宋体" w:hint="eastAsia"/>
          <w:spacing w:val="-5"/>
          <w:sz w:val="21"/>
        </w:rPr>
        <w:t>害</w:t>
      </w:r>
      <w:r>
        <w:rPr>
          <w:rFonts w:ascii="宋体" w:eastAsia="宋体" w:hint="eastAsia"/>
          <w:sz w:val="21"/>
        </w:rPr>
        <w:t>，猝死</w:t>
      </w:r>
      <w:r>
        <w:rPr>
          <w:rFonts w:ascii="宋体" w:eastAsia="宋体" w:hint="eastAsia"/>
          <w:spacing w:val="-5"/>
          <w:sz w:val="21"/>
        </w:rPr>
        <w:t>不</w:t>
      </w:r>
      <w:r>
        <w:rPr>
          <w:rFonts w:ascii="宋体" w:eastAsia="宋体" w:hint="eastAsia"/>
          <w:sz w:val="21"/>
        </w:rPr>
        <w:t>属于意</w:t>
      </w:r>
      <w:r>
        <w:rPr>
          <w:rFonts w:ascii="宋体" w:eastAsia="宋体" w:hint="eastAsia"/>
          <w:spacing w:val="-5"/>
          <w:sz w:val="21"/>
        </w:rPr>
        <w:t>外</w:t>
      </w:r>
      <w:r>
        <w:rPr>
          <w:rFonts w:ascii="宋体" w:eastAsia="宋体" w:hint="eastAsia"/>
          <w:sz w:val="21"/>
        </w:rPr>
        <w:t>伤害。</w:t>
      </w:r>
    </w:p>
    <w:p>
      <w:pPr>
        <w:pStyle w:val="BodyText"/>
        <w:spacing w:line="273" w:lineRule="auto" w:before="28"/>
        <w:ind w:left="2164" w:right="208" w:firstLine="422"/>
        <w:jc w:val="both"/>
      </w:pPr>
      <w:r>
        <w:rPr>
          <w:spacing w:val="-6"/>
        </w:rPr>
        <w:t>猝死是指貌似健康的人因潜在疾病、机能障碍或其他原因在出现症状后 </w:t>
      </w:r>
      <w:r>
        <w:rPr/>
        <w:t>24</w:t>
      </w:r>
      <w:r>
        <w:rPr>
          <w:spacing w:val="-20"/>
        </w:rPr>
        <w:t> 小</w:t>
      </w:r>
      <w:r>
        <w:rPr/>
        <w:t>时内发生的非暴力性突然死亡，属于疾病身故。猝死的认定，如有公安机关、检察院、法院等司法机关的法律文件、医疗机构的诊断书等，则以上述法律文件、</w:t>
      </w:r>
      <w:r>
        <w:rPr>
          <w:spacing w:val="-1"/>
        </w:rPr>
        <w:t>诊断书等为准。</w:t>
      </w:r>
    </w:p>
    <w:p>
      <w:pPr>
        <w:pStyle w:val="BodyText"/>
        <w:spacing w:before="10"/>
        <w:rPr>
          <w:sz w:val="12"/>
        </w:rPr>
      </w:pPr>
    </w:p>
    <w:p>
      <w:pPr>
        <w:spacing w:after="0"/>
        <w:rPr>
          <w:sz w:val="12"/>
        </w:rPr>
        <w:sectPr>
          <w:type w:val="continuous"/>
          <w:pgSz w:w="11910" w:h="16840"/>
          <w:pgMar w:top="1040" w:bottom="1180" w:left="1100" w:right="980"/>
        </w:sectPr>
      </w:pPr>
    </w:p>
    <w:p>
      <w:pPr>
        <w:pStyle w:val="Heading2"/>
        <w:numPr>
          <w:ilvl w:val="1"/>
          <w:numId w:val="10"/>
        </w:numPr>
        <w:tabs>
          <w:tab w:pos="979" w:val="left" w:leader="none"/>
        </w:tabs>
        <w:spacing w:line="204" w:lineRule="auto" w:before="25" w:after="0"/>
        <w:ind w:left="978" w:right="0" w:hanging="878"/>
        <w:jc w:val="both"/>
      </w:pPr>
      <w:r>
        <w:rPr/>
        <w:t>5</w:t>
      </w:r>
      <w:r>
        <w:rPr>
          <w:spacing w:val="26"/>
        </w:rPr>
        <w:t> 年恶性</w:t>
      </w:r>
      <w:r>
        <w:rPr>
          <w:spacing w:val="30"/>
        </w:rPr>
        <w:t>肿瘤等待期</w:t>
      </w:r>
    </w:p>
    <w:p>
      <w:pPr>
        <w:pStyle w:val="BodyText"/>
        <w:spacing w:line="273" w:lineRule="auto" w:before="37"/>
        <w:ind w:left="100" w:right="208" w:firstLine="422"/>
        <w:jc w:val="both"/>
      </w:pPr>
      <w:r>
        <w:rPr/>
        <w:br w:type="column"/>
      </w:r>
      <w:r>
        <w:rPr/>
        <w:t>指本次确诊的恶性肿瘤距最近前一次确诊的恶性肿瘤已满 5 年，并且本次确诊的恶性肿瘤满足以下条件之一：</w:t>
      </w:r>
    </w:p>
    <w:p>
      <w:pPr>
        <w:pStyle w:val="BodyText"/>
        <w:spacing w:before="7"/>
        <w:ind w:left="522"/>
      </w:pPr>
      <w:r>
        <w:rPr/>
        <w:t>（1）与最近前一次确诊的恶性肿瘤属于不同的病理学及组织学类型；</w:t>
      </w:r>
    </w:p>
    <w:p>
      <w:pPr>
        <w:pStyle w:val="BodyText"/>
        <w:spacing w:line="273" w:lineRule="auto"/>
        <w:ind w:left="100" w:right="198" w:firstLine="422"/>
        <w:jc w:val="both"/>
      </w:pPr>
      <w:r>
        <w:rPr/>
        <w:t>（2）为最近前一次确诊的恶性肿瘤的复发或扩散，并且在复发或扩散之前， 最近前一次确诊的恶性肿瘤已达到临床完全缓解。所谓临床完全缓解是指经物理检查、实验室检查、影像学检查等证实最近前一次确诊恶性肿瘤病灶已消失。此情况下，理赔时需提供本公司认可医院的专科医生开具的医疗证明以及相应的影像检查和/或实验室检查的证据。</w:t>
      </w:r>
    </w:p>
    <w:p>
      <w:pPr>
        <w:pStyle w:val="BodyText"/>
        <w:spacing w:line="218" w:lineRule="auto" w:before="32"/>
        <w:ind w:left="100" w:right="203" w:firstLine="422"/>
        <w:jc w:val="both"/>
      </w:pPr>
      <w:r>
        <w:rPr>
          <w:spacing w:val="-7"/>
        </w:rPr>
        <w:t>上述“最近前一次确诊的恶性肿瘤”应为本合同生效 </w:t>
      </w:r>
      <w:r>
        <w:rPr/>
        <w:t>90</w:t>
      </w:r>
      <w:r>
        <w:rPr>
          <w:spacing w:val="-7"/>
        </w:rPr>
        <w:t> 天后，经本公司认可</w:t>
      </w:r>
      <w:r>
        <w:rPr>
          <w:spacing w:val="3"/>
        </w:rPr>
        <w:t>医院的专科医生确诊</w:t>
      </w:r>
      <w:r>
        <w:rPr>
          <w:rFonts w:ascii="Microsoft JhengHei" w:hAnsi="Microsoft JhengHei" w:eastAsia="Microsoft JhengHei" w:hint="eastAsia"/>
          <w:b/>
          <w:spacing w:val="7"/>
        </w:rPr>
        <w:t>初次</w:t>
      </w:r>
      <w:r>
        <w:rPr>
          <w:spacing w:val="1"/>
        </w:rPr>
        <w:t>发生或者根据本合同规定视同初次发生的符合本合同</w:t>
      </w:r>
    </w:p>
    <w:p>
      <w:pPr>
        <w:pStyle w:val="BodyText"/>
        <w:spacing w:before="13"/>
        <w:ind w:left="100"/>
      </w:pPr>
      <w:r>
        <w:rPr/>
        <w:t>6.5.1 条规定的恶性肿瘤。</w:t>
      </w:r>
    </w:p>
    <w:p>
      <w:pPr>
        <w:spacing w:after="0"/>
        <w:sectPr>
          <w:type w:val="continuous"/>
          <w:pgSz w:w="11910" w:h="16840"/>
          <w:pgMar w:top="1040" w:bottom="1180" w:left="1100" w:right="980"/>
          <w:cols w:num="2" w:equalWidth="0">
            <w:col w:w="1953" w:space="111"/>
            <w:col w:w="7766"/>
          </w:cols>
        </w:sectPr>
      </w:pPr>
    </w:p>
    <w:p>
      <w:pPr>
        <w:pStyle w:val="BodyText"/>
        <w:spacing w:before="12"/>
        <w:rPr>
          <w:sz w:val="12"/>
        </w:rPr>
      </w:pPr>
    </w:p>
    <w:p>
      <w:pPr>
        <w:spacing w:after="0"/>
        <w:rPr>
          <w:sz w:val="12"/>
        </w:rPr>
        <w:sectPr>
          <w:type w:val="continuous"/>
          <w:pgSz w:w="11910" w:h="16840"/>
          <w:pgMar w:top="1040" w:bottom="1180" w:left="1100" w:right="980"/>
        </w:sectPr>
      </w:pPr>
    </w:p>
    <w:p>
      <w:pPr>
        <w:pStyle w:val="Heading2"/>
        <w:numPr>
          <w:ilvl w:val="1"/>
          <w:numId w:val="11"/>
        </w:numPr>
        <w:tabs>
          <w:tab w:pos="979" w:val="left" w:leader="none"/>
        </w:tabs>
        <w:spacing w:line="204" w:lineRule="auto" w:before="24" w:after="0"/>
        <w:ind w:left="978" w:right="0" w:hanging="878"/>
        <w:jc w:val="both"/>
      </w:pPr>
      <w:r>
        <w:rPr>
          <w:spacing w:val="30"/>
        </w:rPr>
        <w:t>本合同所指的特定严重疾病</w:t>
      </w:r>
    </w:p>
    <w:p>
      <w:pPr>
        <w:pStyle w:val="BodyText"/>
        <w:ind w:left="100"/>
      </w:pPr>
      <w:r>
        <w:rPr/>
        <w:br w:type="column"/>
      </w:r>
      <w:r>
        <w:rPr/>
        <w:t>本合同所指的特定严重疾病，是指下列疾病、疾病状态或手术：</w:t>
      </w:r>
    </w:p>
    <w:p>
      <w:pPr>
        <w:spacing w:after="0"/>
        <w:sectPr>
          <w:type w:val="continuous"/>
          <w:pgSz w:w="11910" w:h="16840"/>
          <w:pgMar w:top="1040" w:bottom="1180" w:left="1100" w:right="980"/>
          <w:cols w:num="2" w:equalWidth="0">
            <w:col w:w="1953" w:space="533"/>
            <w:col w:w="7344"/>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2"/>
        <w:numPr>
          <w:ilvl w:val="2"/>
          <w:numId w:val="11"/>
        </w:numPr>
        <w:tabs>
          <w:tab w:pos="1737" w:val="left" w:leader="none"/>
        </w:tabs>
        <w:spacing w:line="204" w:lineRule="auto" w:before="25" w:after="0"/>
        <w:ind w:left="978" w:right="0" w:firstLine="0"/>
        <w:jc w:val="left"/>
      </w:pPr>
      <w:r>
        <w:rPr/>
        <w:t>脑癌</w:t>
      </w:r>
    </w:p>
    <w:p>
      <w:pPr>
        <w:pStyle w:val="BodyText"/>
        <w:spacing w:line="273" w:lineRule="auto" w:before="37"/>
        <w:ind w:left="176" w:right="208" w:firstLine="422"/>
      </w:pPr>
      <w:r>
        <w:rPr/>
        <w:br w:type="column"/>
      </w:r>
      <w:r>
        <w:rPr/>
        <w:t>指符合本合同第 6.5.1 条恶性肿瘤定义标准，且仅限于发生于脑、脑膜、脑神经及脊髓的恶性肿瘤，由本公司认可医院专科医生明确诊断为脑部恶性肿瘤。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3"/>
        <w:rPr>
          <w:sz w:val="13"/>
        </w:rPr>
      </w:pPr>
    </w:p>
    <w:p>
      <w:pPr>
        <w:spacing w:after="0"/>
        <w:rPr>
          <w:sz w:val="13"/>
        </w:rPr>
        <w:sectPr>
          <w:type w:val="continuous"/>
          <w:pgSz w:w="11910" w:h="16840"/>
          <w:pgMar w:top="1040" w:bottom="1180" w:left="1100" w:right="980"/>
        </w:sectPr>
      </w:pPr>
    </w:p>
    <w:p>
      <w:pPr>
        <w:pStyle w:val="Heading2"/>
        <w:numPr>
          <w:ilvl w:val="2"/>
          <w:numId w:val="11"/>
        </w:numPr>
        <w:tabs>
          <w:tab w:pos="1737" w:val="left" w:leader="none"/>
        </w:tabs>
        <w:spacing w:line="204" w:lineRule="auto" w:before="24" w:after="0"/>
        <w:ind w:left="978" w:right="0" w:firstLine="0"/>
        <w:jc w:val="left"/>
      </w:pPr>
      <w:r>
        <w:rPr/>
        <w:t>骨癌</w:t>
      </w:r>
    </w:p>
    <w:p>
      <w:pPr>
        <w:pStyle w:val="BodyText"/>
        <w:spacing w:line="273" w:lineRule="auto"/>
        <w:ind w:left="176" w:right="208" w:firstLine="422"/>
      </w:pPr>
      <w:r>
        <w:rPr/>
        <w:br w:type="column"/>
      </w:r>
      <w:r>
        <w:rPr/>
        <w:t>指符合本合同第 6.5.1 条恶性肿瘤定义标准，仅限于发生于骨及软骨的恶性肿瘤，由本公司认可医院专科医生明确诊断为骨恶性肿瘤。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7"/>
        <w:rPr>
          <w:sz w:val="17"/>
        </w:rPr>
      </w:pPr>
    </w:p>
    <w:p>
      <w:pPr>
        <w:spacing w:after="0"/>
        <w:rPr>
          <w:sz w:val="17"/>
        </w:rPr>
        <w:sectPr>
          <w:pgSz w:w="11910" w:h="16840"/>
          <w:pgMar w:header="870" w:footer="998" w:top="1120" w:bottom="1180" w:left="1100" w:right="980"/>
        </w:sectPr>
      </w:pPr>
    </w:p>
    <w:p>
      <w:pPr>
        <w:pStyle w:val="Heading2"/>
        <w:numPr>
          <w:ilvl w:val="2"/>
          <w:numId w:val="11"/>
        </w:numPr>
        <w:tabs>
          <w:tab w:pos="1737" w:val="left" w:leader="none"/>
        </w:tabs>
        <w:spacing w:line="204" w:lineRule="auto" w:before="24" w:after="0"/>
        <w:ind w:left="978" w:right="0" w:firstLine="0"/>
        <w:jc w:val="left"/>
      </w:pPr>
      <w:r>
        <w:rPr/>
        <w:t>白血病</w:t>
      </w:r>
    </w:p>
    <w:p>
      <w:pPr>
        <w:pStyle w:val="BodyText"/>
        <w:spacing w:line="273" w:lineRule="auto"/>
        <w:ind w:left="176" w:right="208" w:firstLine="422"/>
        <w:jc w:val="both"/>
      </w:pPr>
      <w:r>
        <w:rPr/>
        <w:br w:type="column"/>
      </w:r>
      <w:r>
        <w:rPr>
          <w:spacing w:val="-1"/>
        </w:rPr>
        <w:t>指符合本合同第</w:t>
      </w:r>
      <w:r>
        <w:rPr/>
        <w:t>6.5.1</w:t>
      </w:r>
      <w:r>
        <w:rPr>
          <w:spacing w:val="-5"/>
        </w:rPr>
        <w:t>条恶性肿瘤定义标准，系造血干细胞或祖细胞突变引起</w:t>
      </w:r>
      <w:r>
        <w:rPr/>
        <w:t>的造血系统恶性肿瘤。必须经专科医生诊断并且经血涂片和骨髓象检查确诊，属</w:t>
      </w:r>
      <w:r>
        <w:rPr>
          <w:spacing w:val="-5"/>
        </w:rPr>
        <w:t>于世界卫生组织《疾病和有关健康问题的国际统计分类</w:t>
      </w:r>
      <w:r>
        <w:rPr>
          <w:spacing w:val="-125"/>
        </w:rPr>
        <w:t>》</w:t>
      </w:r>
      <w:r>
        <w:rPr>
          <w:spacing w:val="-3"/>
        </w:rPr>
        <w:t>（ICD-10）C90</w:t>
      </w:r>
      <w:r>
        <w:rPr>
          <w:spacing w:val="-10"/>
        </w:rPr>
        <w:t>至 </w:t>
      </w:r>
      <w:r>
        <w:rPr/>
        <w:t>C95范畴</w:t>
      </w:r>
      <w:r>
        <w:rPr>
          <w:spacing w:val="-1"/>
        </w:rPr>
        <w:t>的恶性肿瘤。</w:t>
      </w:r>
    </w:p>
    <w:p>
      <w:pPr>
        <w:pStyle w:val="Heading2"/>
        <w:spacing w:line="306" w:lineRule="exact"/>
        <w:ind w:left="598"/>
      </w:pPr>
      <w:r>
        <w:rPr/>
        <w:t>相当于Binet 分期方案A 期程度的慢性淋巴细胞白血病不在本项保障范围内。</w:t>
      </w:r>
    </w:p>
    <w:p>
      <w:pPr>
        <w:spacing w:after="0" w:line="306" w:lineRule="exact"/>
        <w:sectPr>
          <w:type w:val="continuous"/>
          <w:pgSz w:w="11910" w:h="16840"/>
          <w:pgMar w:top="1040" w:bottom="1180" w:left="1100" w:right="980"/>
          <w:cols w:num="2" w:equalWidth="0">
            <w:col w:w="1949" w:space="40"/>
            <w:col w:w="7841"/>
          </w:cols>
        </w:sectPr>
      </w:pPr>
    </w:p>
    <w:p>
      <w:pPr>
        <w:pStyle w:val="BodyText"/>
        <w:spacing w:before="5"/>
        <w:rPr>
          <w:rFonts w:ascii="Microsoft JhengHei"/>
          <w:b/>
          <w:sz w:val="10"/>
        </w:rPr>
      </w:pPr>
    </w:p>
    <w:p>
      <w:pPr>
        <w:spacing w:after="0"/>
        <w:rPr>
          <w:rFonts w:ascii="Microsoft JhengHei"/>
          <w:sz w:val="10"/>
        </w:rPr>
        <w:sectPr>
          <w:type w:val="continuous"/>
          <w:pgSz w:w="11910" w:h="16840"/>
          <w:pgMar w:top="1040" w:bottom="1180" w:left="1100" w:right="980"/>
        </w:sectPr>
      </w:pPr>
    </w:p>
    <w:p>
      <w:pPr>
        <w:pStyle w:val="ListParagraph"/>
        <w:numPr>
          <w:ilvl w:val="2"/>
          <w:numId w:val="11"/>
        </w:numPr>
        <w:tabs>
          <w:tab w:pos="1737" w:val="left" w:leader="none"/>
        </w:tabs>
        <w:spacing w:line="204" w:lineRule="auto" w:before="24" w:after="0"/>
        <w:ind w:left="978" w:right="0" w:firstLine="0"/>
        <w:jc w:val="left"/>
        <w:rPr>
          <w:b/>
          <w:sz w:val="21"/>
        </w:rPr>
      </w:pPr>
      <w:r>
        <w:rPr>
          <w:b/>
          <w:sz w:val="21"/>
        </w:rPr>
        <w:t>胰腺癌</w:t>
      </w:r>
    </w:p>
    <w:p>
      <w:pPr>
        <w:pStyle w:val="BodyText"/>
        <w:spacing w:line="273" w:lineRule="auto"/>
        <w:ind w:left="176" w:right="208" w:firstLine="422"/>
      </w:pPr>
      <w:r>
        <w:rPr/>
        <w:br w:type="column"/>
      </w:r>
      <w:r>
        <w:rPr/>
        <w:t>指符合本合同第 6.5.1 条恶性肿瘤定义标准，仅限于发生于胰腺组织的恶性肿瘤，由本公司认可医院专科医生明确诊断为胰腺恶性肿瘤。</w:t>
      </w:r>
    </w:p>
    <w:p>
      <w:pPr>
        <w:spacing w:after="0" w:line="273" w:lineRule="auto"/>
        <w:sectPr>
          <w:type w:val="continuous"/>
          <w:pgSz w:w="11910" w:h="16840"/>
          <w:pgMar w:top="1040" w:bottom="1180" w:left="1100" w:right="980"/>
          <w:cols w:num="2" w:equalWidth="0">
            <w:col w:w="1949" w:space="40"/>
            <w:col w:w="7841"/>
          </w:cols>
        </w:sectPr>
      </w:pPr>
    </w:p>
    <w:p>
      <w:pPr>
        <w:pStyle w:val="BodyText"/>
        <w:spacing w:before="11"/>
        <w:rPr>
          <w:sz w:val="13"/>
        </w:rPr>
      </w:pPr>
    </w:p>
    <w:p>
      <w:pPr>
        <w:spacing w:after="0"/>
        <w:rPr>
          <w:sz w:val="13"/>
        </w:rPr>
        <w:sectPr>
          <w:type w:val="continuous"/>
          <w:pgSz w:w="11910" w:h="16840"/>
          <w:pgMar w:top="1040" w:bottom="1180" w:left="1100" w:right="980"/>
        </w:sectPr>
      </w:pPr>
    </w:p>
    <w:p>
      <w:pPr>
        <w:pStyle w:val="ListParagraph"/>
        <w:numPr>
          <w:ilvl w:val="2"/>
          <w:numId w:val="11"/>
        </w:numPr>
        <w:tabs>
          <w:tab w:pos="1614" w:val="left" w:leader="none"/>
        </w:tabs>
        <w:spacing w:line="309" w:lineRule="exact" w:before="0" w:after="0"/>
        <w:ind w:left="1613" w:right="0" w:hanging="635"/>
        <w:jc w:val="left"/>
        <w:rPr>
          <w:sz w:val="21"/>
        </w:rPr>
      </w:pPr>
    </w:p>
    <w:p>
      <w:pPr>
        <w:pStyle w:val="Heading2"/>
        <w:spacing w:line="204" w:lineRule="auto" w:before="28"/>
        <w:ind w:left="978"/>
        <w:jc w:val="both"/>
      </w:pPr>
      <w:r>
        <w:rPr/>
        <w:t>重大器官移植术或造血干细胞移植术</w:t>
      </w:r>
    </w:p>
    <w:p>
      <w:pPr>
        <w:pStyle w:val="BodyText"/>
        <w:spacing w:line="273" w:lineRule="auto" w:before="37"/>
        <w:ind w:left="300" w:right="208" w:firstLine="422"/>
        <w:jc w:val="both"/>
      </w:pPr>
      <w:r>
        <w:rPr/>
        <w:br w:type="column"/>
      </w:r>
      <w:r>
        <w:rPr/>
        <w:t>重大器官移植术，指因相应器官功能衰竭，已经实施了肾脏、肝脏、心脏或肺脏的异体移植手术。</w:t>
      </w:r>
    </w:p>
    <w:p>
      <w:pPr>
        <w:pStyle w:val="BodyText"/>
        <w:spacing w:line="273" w:lineRule="auto" w:before="7"/>
        <w:ind w:left="300" w:right="208"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100" w:right="980"/>
          <w:cols w:num="2" w:equalWidth="0">
            <w:col w:w="1824" w:space="40"/>
            <w:col w:w="7966"/>
          </w:cols>
        </w:sectPr>
      </w:pPr>
    </w:p>
    <w:p>
      <w:pPr>
        <w:pStyle w:val="BodyText"/>
        <w:spacing w:before="9"/>
        <w:rPr>
          <w:sz w:val="15"/>
        </w:rPr>
      </w:pPr>
    </w:p>
    <w:p>
      <w:pPr>
        <w:spacing w:after="0"/>
        <w:rPr>
          <w:sz w:val="15"/>
        </w:rPr>
        <w:sectPr>
          <w:type w:val="continuous"/>
          <w:pgSz w:w="11910" w:h="16840"/>
          <w:pgMar w:top="1040" w:bottom="1180" w:left="1100" w:right="980"/>
        </w:sectPr>
      </w:pPr>
    </w:p>
    <w:p>
      <w:pPr>
        <w:pStyle w:val="Heading2"/>
        <w:numPr>
          <w:ilvl w:val="2"/>
          <w:numId w:val="11"/>
        </w:numPr>
        <w:tabs>
          <w:tab w:pos="1665" w:val="left" w:leader="none"/>
        </w:tabs>
        <w:spacing w:line="204" w:lineRule="auto" w:before="25" w:after="0"/>
        <w:ind w:left="978" w:right="0" w:firstLine="0"/>
        <w:jc w:val="left"/>
      </w:pPr>
      <w:r>
        <w:rPr/>
        <w:t>冠状动脉搭</w:t>
      </w:r>
      <w:r>
        <w:rPr>
          <w:spacing w:val="-44"/>
        </w:rPr>
        <w:t>桥术</w:t>
      </w:r>
      <w:r>
        <w:rPr/>
        <w:t>（或称冠状动脉旁路移植术）</w:t>
      </w:r>
    </w:p>
    <w:p>
      <w:pPr>
        <w:pStyle w:val="BodyText"/>
        <w:spacing w:line="273" w:lineRule="auto" w:before="37"/>
        <w:ind w:left="176" w:right="208" w:firstLine="422"/>
      </w:pPr>
      <w:r>
        <w:rPr/>
        <w:br w:type="column"/>
      </w:r>
      <w:r>
        <w:rPr/>
        <w:t>指为治疗严重的冠心病，实际实施了开胸进行的冠状动脉血管旁路移植的手术。</w:t>
      </w:r>
    </w:p>
    <w:p>
      <w:pPr>
        <w:pStyle w:val="Heading2"/>
        <w:spacing w:line="204" w:lineRule="auto"/>
        <w:ind w:left="176" w:right="213" w:firstLine="422"/>
      </w:pPr>
      <w:r>
        <w:rPr/>
        <w:t>冠状动脉支架植入术、心导管球囊扩张术、激光射频技术及其他非开胸的介入手术、腔镜手术不在保障范围内。</w:t>
      </w:r>
    </w:p>
    <w:p>
      <w:pPr>
        <w:spacing w:after="0" w:line="204" w:lineRule="auto"/>
        <w:sectPr>
          <w:type w:val="continuous"/>
          <w:pgSz w:w="11910" w:h="16840"/>
          <w:pgMar w:top="1040" w:bottom="1180" w:left="1100" w:right="980"/>
          <w:cols w:num="2" w:equalWidth="0">
            <w:col w:w="1949" w:space="40"/>
            <w:col w:w="7841"/>
          </w:cols>
        </w:sectPr>
      </w:pPr>
    </w:p>
    <w:p>
      <w:pPr>
        <w:pStyle w:val="BodyText"/>
        <w:spacing w:before="13"/>
        <w:rPr>
          <w:rFonts w:ascii="Microsoft JhengHei"/>
          <w:b/>
          <w:sz w:val="15"/>
        </w:rPr>
      </w:pPr>
    </w:p>
    <w:p>
      <w:pPr>
        <w:pStyle w:val="ListParagraph"/>
        <w:numPr>
          <w:ilvl w:val="1"/>
          <w:numId w:val="11"/>
        </w:numPr>
        <w:tabs>
          <w:tab w:pos="979" w:val="left" w:leader="none"/>
          <w:tab w:pos="2586" w:val="left" w:leader="none"/>
        </w:tabs>
        <w:spacing w:line="312" w:lineRule="exact" w:before="32" w:after="0"/>
        <w:ind w:left="2164" w:right="208" w:hanging="2064"/>
        <w:jc w:val="both"/>
        <w:rPr>
          <w:rFonts w:ascii="宋体" w:eastAsia="宋体" w:hint="eastAsia"/>
          <w:sz w:val="21"/>
        </w:rPr>
      </w:pPr>
      <w:r>
        <w:rPr>
          <w:b/>
          <w:sz w:val="21"/>
        </w:rPr>
        <w:t>毒品</w:t>
        <w:tab/>
        <w:tab/>
      </w:r>
      <w:r>
        <w:rPr>
          <w:rFonts w:ascii="宋体" w:eastAsia="宋体" w:hint="eastAsia"/>
          <w:sz w:val="21"/>
        </w:rPr>
        <w:t>指中华人</w:t>
      </w:r>
      <w:r>
        <w:rPr>
          <w:rFonts w:ascii="宋体" w:eastAsia="宋体" w:hint="eastAsia"/>
          <w:spacing w:val="-5"/>
          <w:sz w:val="21"/>
        </w:rPr>
        <w:t>民</w:t>
      </w:r>
      <w:r>
        <w:rPr>
          <w:rFonts w:ascii="宋体" w:eastAsia="宋体" w:hint="eastAsia"/>
          <w:sz w:val="21"/>
        </w:rPr>
        <w:t>共和国</w:t>
      </w:r>
      <w:r>
        <w:rPr>
          <w:rFonts w:ascii="宋体" w:eastAsia="宋体" w:hint="eastAsia"/>
          <w:spacing w:val="-5"/>
          <w:sz w:val="21"/>
        </w:rPr>
        <w:t>刑</w:t>
      </w:r>
      <w:r>
        <w:rPr>
          <w:rFonts w:ascii="宋体" w:eastAsia="宋体" w:hint="eastAsia"/>
          <w:sz w:val="21"/>
        </w:rPr>
        <w:t>法规定</w:t>
      </w:r>
      <w:r>
        <w:rPr>
          <w:rFonts w:ascii="宋体" w:eastAsia="宋体" w:hint="eastAsia"/>
          <w:spacing w:val="-5"/>
          <w:sz w:val="21"/>
        </w:rPr>
        <w:t>的</w:t>
      </w:r>
      <w:r>
        <w:rPr>
          <w:rFonts w:ascii="宋体" w:eastAsia="宋体" w:hint="eastAsia"/>
          <w:sz w:val="21"/>
        </w:rPr>
        <w:t>鸦</w:t>
      </w:r>
      <w:r>
        <w:rPr>
          <w:rFonts w:ascii="宋体" w:eastAsia="宋体" w:hint="eastAsia"/>
          <w:spacing w:val="-5"/>
          <w:sz w:val="21"/>
        </w:rPr>
        <w:t>片</w:t>
      </w:r>
      <w:r>
        <w:rPr>
          <w:rFonts w:ascii="宋体" w:eastAsia="宋体" w:hint="eastAsia"/>
          <w:sz w:val="21"/>
        </w:rPr>
        <w:t>、海洛</w:t>
      </w:r>
      <w:r>
        <w:rPr>
          <w:rFonts w:ascii="宋体" w:eastAsia="宋体" w:hint="eastAsia"/>
          <w:spacing w:val="-5"/>
          <w:sz w:val="21"/>
        </w:rPr>
        <w:t>因</w:t>
      </w:r>
      <w:r>
        <w:rPr>
          <w:rFonts w:ascii="宋体" w:eastAsia="宋体" w:hint="eastAsia"/>
          <w:sz w:val="21"/>
        </w:rPr>
        <w:t>、甲</w:t>
      </w:r>
      <w:r>
        <w:rPr>
          <w:rFonts w:ascii="宋体" w:eastAsia="宋体" w:hint="eastAsia"/>
          <w:spacing w:val="-5"/>
          <w:sz w:val="21"/>
        </w:rPr>
        <w:t>基苯</w:t>
      </w:r>
      <w:r>
        <w:rPr>
          <w:rFonts w:ascii="宋体" w:eastAsia="宋体" w:hint="eastAsia"/>
          <w:sz w:val="21"/>
        </w:rPr>
        <w:t>丙胺（</w:t>
      </w:r>
      <w:r>
        <w:rPr>
          <w:rFonts w:ascii="宋体" w:eastAsia="宋体" w:hint="eastAsia"/>
          <w:spacing w:val="-5"/>
          <w:sz w:val="21"/>
        </w:rPr>
        <w:t>冰</w:t>
      </w:r>
      <w:r>
        <w:rPr>
          <w:rFonts w:ascii="宋体" w:eastAsia="宋体" w:hint="eastAsia"/>
          <w:sz w:val="21"/>
        </w:rPr>
        <w:t>毒</w:t>
      </w:r>
      <w:r>
        <w:rPr>
          <w:rFonts w:ascii="宋体" w:eastAsia="宋体" w:hint="eastAsia"/>
          <w:spacing w:val="-111"/>
          <w:sz w:val="21"/>
        </w:rPr>
        <w:t>）</w:t>
      </w:r>
      <w:r>
        <w:rPr>
          <w:rFonts w:ascii="宋体" w:eastAsia="宋体" w:hint="eastAsia"/>
          <w:sz w:val="21"/>
        </w:rPr>
        <w:t>、吗</w:t>
      </w:r>
      <w:r>
        <w:rPr>
          <w:rFonts w:ascii="宋体" w:eastAsia="宋体" w:hint="eastAsia"/>
          <w:spacing w:val="-5"/>
          <w:sz w:val="21"/>
        </w:rPr>
        <w:t>啡</w:t>
      </w:r>
      <w:r>
        <w:rPr>
          <w:rFonts w:ascii="宋体" w:eastAsia="宋体" w:hint="eastAsia"/>
          <w:sz w:val="21"/>
        </w:rPr>
        <w:t>、大 </w:t>
      </w:r>
      <w:r>
        <w:rPr>
          <w:rFonts w:ascii="宋体" w:eastAsia="宋体" w:hint="eastAsia"/>
          <w:spacing w:val="2"/>
          <w:sz w:val="21"/>
        </w:rPr>
        <w:t>麻</w:t>
      </w:r>
      <w:r>
        <w:rPr>
          <w:rFonts w:ascii="宋体" w:eastAsia="宋体" w:hint="eastAsia"/>
          <w:sz w:val="21"/>
        </w:rPr>
        <w:t>、可</w:t>
      </w:r>
      <w:r>
        <w:rPr>
          <w:rFonts w:ascii="宋体" w:eastAsia="宋体" w:hint="eastAsia"/>
          <w:spacing w:val="2"/>
          <w:sz w:val="21"/>
        </w:rPr>
        <w:t>卡</w:t>
      </w:r>
      <w:r>
        <w:rPr>
          <w:rFonts w:ascii="宋体" w:eastAsia="宋体" w:hint="eastAsia"/>
          <w:sz w:val="21"/>
        </w:rPr>
        <w:t>因以</w:t>
      </w:r>
      <w:r>
        <w:rPr>
          <w:rFonts w:ascii="宋体" w:eastAsia="宋体" w:hint="eastAsia"/>
          <w:spacing w:val="2"/>
          <w:sz w:val="21"/>
        </w:rPr>
        <w:t>及</w:t>
      </w:r>
      <w:r>
        <w:rPr>
          <w:rFonts w:ascii="宋体" w:eastAsia="宋体" w:hint="eastAsia"/>
          <w:sz w:val="21"/>
        </w:rPr>
        <w:t>国家</w:t>
      </w:r>
      <w:r>
        <w:rPr>
          <w:rFonts w:ascii="宋体" w:eastAsia="宋体" w:hint="eastAsia"/>
          <w:spacing w:val="2"/>
          <w:sz w:val="21"/>
        </w:rPr>
        <w:t>规</w:t>
      </w:r>
      <w:r>
        <w:rPr>
          <w:rFonts w:ascii="宋体" w:eastAsia="宋体" w:hint="eastAsia"/>
          <w:sz w:val="21"/>
        </w:rPr>
        <w:t>定管</w:t>
      </w:r>
      <w:r>
        <w:rPr>
          <w:rFonts w:ascii="宋体" w:eastAsia="宋体" w:hint="eastAsia"/>
          <w:spacing w:val="2"/>
          <w:sz w:val="21"/>
        </w:rPr>
        <w:t>制</w:t>
      </w:r>
      <w:r>
        <w:rPr>
          <w:rFonts w:ascii="宋体" w:eastAsia="宋体" w:hint="eastAsia"/>
          <w:sz w:val="21"/>
        </w:rPr>
        <w:t>的其</w:t>
      </w:r>
      <w:r>
        <w:rPr>
          <w:rFonts w:ascii="宋体" w:eastAsia="宋体" w:hint="eastAsia"/>
          <w:spacing w:val="2"/>
          <w:sz w:val="21"/>
        </w:rPr>
        <w:t>他</w:t>
      </w:r>
      <w:r>
        <w:rPr>
          <w:rFonts w:ascii="宋体" w:eastAsia="宋体" w:hint="eastAsia"/>
          <w:sz w:val="21"/>
        </w:rPr>
        <w:t>能够</w:t>
      </w:r>
      <w:r>
        <w:rPr>
          <w:rFonts w:ascii="宋体" w:eastAsia="宋体" w:hint="eastAsia"/>
          <w:spacing w:val="2"/>
          <w:sz w:val="21"/>
        </w:rPr>
        <w:t>使</w:t>
      </w:r>
      <w:r>
        <w:rPr>
          <w:rFonts w:ascii="宋体" w:eastAsia="宋体" w:hint="eastAsia"/>
          <w:sz w:val="21"/>
        </w:rPr>
        <w:t>人形成瘾</w:t>
      </w:r>
      <w:r>
        <w:rPr>
          <w:rFonts w:ascii="宋体" w:eastAsia="宋体" w:hint="eastAsia"/>
          <w:spacing w:val="2"/>
          <w:sz w:val="21"/>
        </w:rPr>
        <w:t>癖</w:t>
      </w:r>
      <w:r>
        <w:rPr>
          <w:rFonts w:ascii="宋体" w:eastAsia="宋体" w:hint="eastAsia"/>
          <w:sz w:val="21"/>
        </w:rPr>
        <w:t>的麻</w:t>
      </w:r>
      <w:r>
        <w:rPr>
          <w:rFonts w:ascii="宋体" w:eastAsia="宋体" w:hint="eastAsia"/>
          <w:spacing w:val="2"/>
          <w:sz w:val="21"/>
        </w:rPr>
        <w:t>醉</w:t>
      </w:r>
      <w:r>
        <w:rPr>
          <w:rFonts w:ascii="宋体" w:eastAsia="宋体" w:hint="eastAsia"/>
          <w:sz w:val="21"/>
        </w:rPr>
        <w:t>药品</w:t>
      </w:r>
      <w:r>
        <w:rPr>
          <w:rFonts w:ascii="宋体" w:eastAsia="宋体" w:hint="eastAsia"/>
          <w:spacing w:val="2"/>
          <w:sz w:val="21"/>
        </w:rPr>
        <w:t>和</w:t>
      </w:r>
      <w:r>
        <w:rPr>
          <w:rFonts w:ascii="宋体" w:eastAsia="宋体" w:hint="eastAsia"/>
          <w:sz w:val="21"/>
        </w:rPr>
        <w:t>精神</w:t>
      </w:r>
      <w:r>
        <w:rPr>
          <w:rFonts w:ascii="宋体" w:eastAsia="宋体" w:hint="eastAsia"/>
          <w:spacing w:val="2"/>
          <w:sz w:val="21"/>
        </w:rPr>
        <w:t>药</w:t>
      </w:r>
      <w:r>
        <w:rPr>
          <w:rFonts w:ascii="宋体" w:eastAsia="宋体" w:hint="eastAsia"/>
          <w:sz w:val="21"/>
        </w:rPr>
        <w:t>品， 但不包括</w:t>
      </w:r>
      <w:r>
        <w:rPr>
          <w:rFonts w:ascii="宋体" w:eastAsia="宋体" w:hint="eastAsia"/>
          <w:spacing w:val="-5"/>
          <w:sz w:val="21"/>
        </w:rPr>
        <w:t>由</w:t>
      </w:r>
      <w:r>
        <w:rPr>
          <w:rFonts w:ascii="宋体" w:eastAsia="宋体" w:hint="eastAsia"/>
          <w:sz w:val="21"/>
        </w:rPr>
        <w:t>医生开</w:t>
      </w:r>
      <w:r>
        <w:rPr>
          <w:rFonts w:ascii="宋体" w:eastAsia="宋体" w:hint="eastAsia"/>
          <w:spacing w:val="-5"/>
          <w:sz w:val="21"/>
        </w:rPr>
        <w:t>具</w:t>
      </w:r>
      <w:r>
        <w:rPr>
          <w:rFonts w:ascii="宋体" w:eastAsia="宋体" w:hint="eastAsia"/>
          <w:sz w:val="21"/>
        </w:rPr>
        <w:t>并遵医</w:t>
      </w:r>
      <w:r>
        <w:rPr>
          <w:rFonts w:ascii="宋体" w:eastAsia="宋体" w:hint="eastAsia"/>
          <w:spacing w:val="-5"/>
          <w:sz w:val="21"/>
        </w:rPr>
        <w:t>嘱</w:t>
      </w:r>
      <w:r>
        <w:rPr>
          <w:rFonts w:ascii="宋体" w:eastAsia="宋体" w:hint="eastAsia"/>
          <w:sz w:val="21"/>
        </w:rPr>
        <w:t>使用的</w:t>
      </w:r>
      <w:r>
        <w:rPr>
          <w:rFonts w:ascii="宋体" w:eastAsia="宋体" w:hint="eastAsia"/>
          <w:spacing w:val="-5"/>
          <w:sz w:val="21"/>
        </w:rPr>
        <w:t>用</w:t>
      </w:r>
      <w:r>
        <w:rPr>
          <w:rFonts w:ascii="宋体" w:eastAsia="宋体" w:hint="eastAsia"/>
          <w:sz w:val="21"/>
        </w:rPr>
        <w:t>于治疗</w:t>
      </w:r>
      <w:r>
        <w:rPr>
          <w:rFonts w:ascii="宋体" w:eastAsia="宋体" w:hint="eastAsia"/>
          <w:spacing w:val="-5"/>
          <w:sz w:val="21"/>
        </w:rPr>
        <w:t>疾</w:t>
      </w:r>
      <w:r>
        <w:rPr>
          <w:rFonts w:ascii="宋体" w:eastAsia="宋体" w:hint="eastAsia"/>
          <w:sz w:val="21"/>
        </w:rPr>
        <w:t>病</w:t>
      </w:r>
      <w:r>
        <w:rPr>
          <w:rFonts w:ascii="宋体" w:eastAsia="宋体" w:hint="eastAsia"/>
          <w:spacing w:val="-5"/>
          <w:sz w:val="21"/>
        </w:rPr>
        <w:t>但</w:t>
      </w:r>
      <w:r>
        <w:rPr>
          <w:rFonts w:ascii="宋体" w:eastAsia="宋体" w:hint="eastAsia"/>
          <w:sz w:val="21"/>
        </w:rPr>
        <w:t>含有毒品</w:t>
      </w:r>
      <w:r>
        <w:rPr>
          <w:rFonts w:ascii="宋体" w:eastAsia="宋体" w:hint="eastAsia"/>
          <w:spacing w:val="-5"/>
          <w:sz w:val="21"/>
        </w:rPr>
        <w:t>成</w:t>
      </w:r>
      <w:r>
        <w:rPr>
          <w:rFonts w:ascii="宋体" w:eastAsia="宋体" w:hint="eastAsia"/>
          <w:sz w:val="21"/>
        </w:rPr>
        <w:t>分的处</w:t>
      </w:r>
      <w:r>
        <w:rPr>
          <w:rFonts w:ascii="宋体" w:eastAsia="宋体" w:hint="eastAsia"/>
          <w:spacing w:val="-5"/>
          <w:sz w:val="21"/>
        </w:rPr>
        <w:t>方</w:t>
      </w:r>
      <w:r>
        <w:rPr>
          <w:rFonts w:ascii="宋体" w:eastAsia="宋体" w:hint="eastAsia"/>
          <w:sz w:val="21"/>
        </w:rPr>
        <w:t>药品。</w:t>
      </w:r>
    </w:p>
    <w:p>
      <w:pPr>
        <w:pStyle w:val="BodyText"/>
        <w:spacing w:before="12"/>
        <w:rPr>
          <w:sz w:val="12"/>
        </w:rPr>
      </w:pPr>
    </w:p>
    <w:p>
      <w:pPr>
        <w:spacing w:after="0"/>
        <w:rPr>
          <w:sz w:val="12"/>
        </w:rPr>
        <w:sectPr>
          <w:type w:val="continuous"/>
          <w:pgSz w:w="11910" w:h="16840"/>
          <w:pgMar w:top="1040" w:bottom="1180" w:left="1100" w:right="980"/>
        </w:sectPr>
      </w:pPr>
    </w:p>
    <w:p>
      <w:pPr>
        <w:pStyle w:val="Heading2"/>
        <w:numPr>
          <w:ilvl w:val="1"/>
          <w:numId w:val="11"/>
        </w:numPr>
        <w:tabs>
          <w:tab w:pos="978" w:val="left" w:leader="none"/>
          <w:tab w:pos="979" w:val="left" w:leader="none"/>
        </w:tabs>
        <w:spacing w:line="204" w:lineRule="auto" w:before="24" w:after="0"/>
        <w:ind w:left="978" w:right="0" w:hanging="878"/>
        <w:jc w:val="left"/>
      </w:pPr>
      <w:r>
        <w:rPr>
          <w:spacing w:val="30"/>
        </w:rPr>
        <w:t>遗传性疾病</w:t>
      </w:r>
    </w:p>
    <w:p>
      <w:pPr>
        <w:pStyle w:val="BodyText"/>
        <w:spacing w:line="273" w:lineRule="auto"/>
        <w:ind w:left="100" w:right="208" w:firstLine="422"/>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100" w:right="980"/>
          <w:cols w:num="2" w:equalWidth="0">
            <w:col w:w="1953" w:space="111"/>
            <w:col w:w="7766"/>
          </w:cols>
        </w:sectPr>
      </w:pPr>
    </w:p>
    <w:p>
      <w:pPr>
        <w:pStyle w:val="BodyText"/>
        <w:spacing w:before="2"/>
        <w:rPr>
          <w:sz w:val="13"/>
        </w:rPr>
      </w:pPr>
    </w:p>
    <w:p>
      <w:pPr>
        <w:spacing w:after="0"/>
        <w:rPr>
          <w:sz w:val="13"/>
        </w:rPr>
        <w:sectPr>
          <w:type w:val="continuous"/>
          <w:pgSz w:w="11910" w:h="16840"/>
          <w:pgMar w:top="1040" w:bottom="1180" w:left="1100" w:right="980"/>
        </w:sectPr>
      </w:pPr>
    </w:p>
    <w:p>
      <w:pPr>
        <w:pStyle w:val="Heading2"/>
        <w:numPr>
          <w:ilvl w:val="1"/>
          <w:numId w:val="11"/>
        </w:numPr>
        <w:tabs>
          <w:tab w:pos="979" w:val="left" w:leader="none"/>
        </w:tabs>
        <w:spacing w:line="204" w:lineRule="auto" w:before="25" w:after="0"/>
        <w:ind w:left="978" w:right="0" w:hanging="878"/>
        <w:jc w:val="both"/>
      </w:pPr>
      <w:r>
        <w:rPr>
          <w:spacing w:val="30"/>
        </w:rPr>
        <w:t>先天性畸</w:t>
      </w:r>
      <w:r>
        <w:rPr>
          <w:spacing w:val="-12"/>
        </w:rPr>
        <w:t>形、变形或</w:t>
      </w:r>
      <w:r>
        <w:rPr>
          <w:spacing w:val="30"/>
        </w:rPr>
        <w:t>染色体异常</w:t>
      </w:r>
    </w:p>
    <w:p>
      <w:pPr>
        <w:pStyle w:val="BodyText"/>
        <w:spacing w:line="273" w:lineRule="auto"/>
        <w:ind w:left="100" w:right="198" w:firstLine="422"/>
        <w:jc w:val="both"/>
      </w:pPr>
      <w:r>
        <w:rPr/>
        <w:br w:type="column"/>
      </w:r>
      <w:r>
        <w:rPr/>
        <w:t>指被保险人出生时就具有的畸形、变形或染色体异常。先天性畸形、变形和</w:t>
      </w:r>
      <w:r>
        <w:rPr>
          <w:spacing w:val="-9"/>
        </w:rPr>
        <w:t>染色体异常依照世界卫生组织《疾病和有关健康问题的国际统计分类》</w:t>
      </w:r>
      <w:r>
        <w:rPr/>
        <w:t>（ICD-10） 确定。</w:t>
      </w:r>
    </w:p>
    <w:p>
      <w:pPr>
        <w:spacing w:after="0" w:line="273" w:lineRule="auto"/>
        <w:jc w:val="both"/>
        <w:sectPr>
          <w:type w:val="continuous"/>
          <w:pgSz w:w="11910" w:h="16840"/>
          <w:pgMar w:top="1040" w:bottom="1180" w:left="1100" w:right="980"/>
          <w:cols w:num="2" w:equalWidth="0">
            <w:col w:w="1953" w:space="111"/>
            <w:col w:w="7766"/>
          </w:cols>
        </w:sectPr>
      </w:pPr>
    </w:p>
    <w:p>
      <w:pPr>
        <w:pStyle w:val="BodyText"/>
        <w:spacing w:before="3"/>
        <w:rPr>
          <w:sz w:val="13"/>
        </w:rPr>
      </w:pPr>
    </w:p>
    <w:p>
      <w:pPr>
        <w:spacing w:after="0"/>
        <w:rPr>
          <w:sz w:val="13"/>
        </w:rPr>
        <w:sectPr>
          <w:type w:val="continuous"/>
          <w:pgSz w:w="11910" w:h="16840"/>
          <w:pgMar w:top="1040" w:bottom="1180" w:left="1100" w:right="980"/>
        </w:sectPr>
      </w:pPr>
    </w:p>
    <w:p>
      <w:pPr>
        <w:pStyle w:val="Heading2"/>
        <w:numPr>
          <w:ilvl w:val="1"/>
          <w:numId w:val="11"/>
        </w:numPr>
        <w:tabs>
          <w:tab w:pos="979" w:val="left" w:leader="none"/>
        </w:tabs>
        <w:spacing w:line="204" w:lineRule="auto" w:before="25" w:after="0"/>
        <w:ind w:left="978" w:right="0" w:hanging="878"/>
        <w:jc w:val="both"/>
      </w:pPr>
      <w:r>
        <w:rPr>
          <w:spacing w:val="30"/>
        </w:rPr>
        <w:t>感染艾滋病病毒或患艾滋病</w:t>
      </w:r>
    </w:p>
    <w:p>
      <w:pPr>
        <w:pStyle w:val="BodyText"/>
        <w:spacing w:line="273" w:lineRule="auto"/>
        <w:ind w:left="100" w:right="208" w:firstLine="422"/>
        <w:jc w:val="both"/>
      </w:pPr>
      <w:r>
        <w:rPr/>
        <w:br w:type="column"/>
      </w:r>
      <w:r>
        <w:rPr>
          <w:spacing w:val="-7"/>
        </w:rPr>
        <w:t>艾滋病病毒指人类免疫缺陷病毒，英文缩写 </w:t>
      </w:r>
      <w:r>
        <w:rPr/>
        <w:t>HIV</w:t>
      </w:r>
      <w:r>
        <w:rPr>
          <w:spacing w:val="-7"/>
        </w:rPr>
        <w:t>。艾滋病指人类免疫缺陷病毒</w:t>
      </w:r>
      <w:r>
        <w:rPr>
          <w:spacing w:val="-8"/>
        </w:rPr>
        <w:t>引起的获得性免疫缺陷综合征，英文缩写 </w:t>
      </w:r>
      <w:r>
        <w:rPr/>
        <w:t>AIDS。</w:t>
      </w:r>
    </w:p>
    <w:p>
      <w:pPr>
        <w:pStyle w:val="BodyText"/>
        <w:spacing w:line="273" w:lineRule="auto" w:before="7"/>
        <w:ind w:left="100" w:right="208" w:firstLine="422"/>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1100" w:right="980"/>
          <w:cols w:num="2" w:equalWidth="0">
            <w:col w:w="1953" w:space="111"/>
            <w:col w:w="7766"/>
          </w:cols>
        </w:sectPr>
      </w:pPr>
    </w:p>
    <w:p>
      <w:pPr>
        <w:pStyle w:val="BodyText"/>
        <w:spacing w:before="3"/>
        <w:rPr>
          <w:sz w:val="13"/>
        </w:rPr>
      </w:pPr>
    </w:p>
    <w:p>
      <w:pPr>
        <w:pStyle w:val="ListParagraph"/>
        <w:numPr>
          <w:ilvl w:val="1"/>
          <w:numId w:val="11"/>
        </w:numPr>
        <w:tabs>
          <w:tab w:pos="979" w:val="left" w:leader="none"/>
          <w:tab w:pos="2586" w:val="left" w:leader="none"/>
        </w:tabs>
        <w:spacing w:line="312" w:lineRule="exact" w:before="32" w:after="0"/>
        <w:ind w:left="2164" w:right="208" w:hanging="2064"/>
        <w:jc w:val="both"/>
        <w:rPr>
          <w:rFonts w:ascii="宋体" w:eastAsia="宋体" w:hint="eastAsia"/>
          <w:sz w:val="21"/>
        </w:rPr>
      </w:pPr>
      <w:r>
        <w:rPr>
          <w:b/>
          <w:sz w:val="21"/>
        </w:rPr>
        <w:t>酒后驾驶</w:t>
        <w:tab/>
        <w:tab/>
      </w:r>
      <w:r>
        <w:rPr>
          <w:rFonts w:ascii="宋体" w:eastAsia="宋体" w:hint="eastAsia"/>
          <w:spacing w:val="2"/>
          <w:sz w:val="21"/>
        </w:rPr>
        <w:t>指</w:t>
      </w:r>
      <w:r>
        <w:rPr>
          <w:rFonts w:ascii="宋体" w:eastAsia="宋体" w:hint="eastAsia"/>
          <w:sz w:val="21"/>
        </w:rPr>
        <w:t>经检</w:t>
      </w:r>
      <w:r>
        <w:rPr>
          <w:rFonts w:ascii="宋体" w:eastAsia="宋体" w:hint="eastAsia"/>
          <w:spacing w:val="2"/>
          <w:sz w:val="21"/>
        </w:rPr>
        <w:t>测</w:t>
      </w:r>
      <w:r>
        <w:rPr>
          <w:rFonts w:ascii="宋体" w:eastAsia="宋体" w:hint="eastAsia"/>
          <w:sz w:val="21"/>
        </w:rPr>
        <w:t>或</w:t>
      </w:r>
      <w:r>
        <w:rPr>
          <w:rFonts w:ascii="宋体" w:eastAsia="宋体" w:hint="eastAsia"/>
          <w:spacing w:val="2"/>
          <w:sz w:val="21"/>
        </w:rPr>
        <w:t>鉴</w:t>
      </w:r>
      <w:r>
        <w:rPr>
          <w:rFonts w:ascii="宋体" w:eastAsia="宋体" w:hint="eastAsia"/>
          <w:sz w:val="21"/>
        </w:rPr>
        <w:t>定，</w:t>
      </w:r>
      <w:r>
        <w:rPr>
          <w:rFonts w:ascii="宋体" w:eastAsia="宋体" w:hint="eastAsia"/>
          <w:spacing w:val="2"/>
          <w:sz w:val="21"/>
        </w:rPr>
        <w:t>发</w:t>
      </w:r>
      <w:r>
        <w:rPr>
          <w:rFonts w:ascii="宋体" w:eastAsia="宋体" w:hint="eastAsia"/>
          <w:sz w:val="21"/>
        </w:rPr>
        <w:t>生事</w:t>
      </w:r>
      <w:r>
        <w:rPr>
          <w:rFonts w:ascii="宋体" w:eastAsia="宋体" w:hint="eastAsia"/>
          <w:spacing w:val="2"/>
          <w:sz w:val="21"/>
        </w:rPr>
        <w:t>故</w:t>
      </w:r>
      <w:r>
        <w:rPr>
          <w:rFonts w:ascii="宋体" w:eastAsia="宋体" w:hint="eastAsia"/>
          <w:sz w:val="21"/>
        </w:rPr>
        <w:t>时车</w:t>
      </w:r>
      <w:r>
        <w:rPr>
          <w:rFonts w:ascii="宋体" w:eastAsia="宋体" w:hint="eastAsia"/>
          <w:spacing w:val="2"/>
          <w:sz w:val="21"/>
        </w:rPr>
        <w:t>辆</w:t>
      </w:r>
      <w:r>
        <w:rPr>
          <w:rFonts w:ascii="宋体" w:eastAsia="宋体" w:hint="eastAsia"/>
          <w:sz w:val="21"/>
        </w:rPr>
        <w:t>驾</w:t>
      </w:r>
      <w:r>
        <w:rPr>
          <w:rFonts w:ascii="宋体" w:eastAsia="宋体" w:hint="eastAsia"/>
          <w:spacing w:val="2"/>
          <w:sz w:val="21"/>
        </w:rPr>
        <w:t>驶</w:t>
      </w:r>
      <w:r>
        <w:rPr>
          <w:rFonts w:ascii="宋体" w:eastAsia="宋体" w:hint="eastAsia"/>
          <w:sz w:val="21"/>
        </w:rPr>
        <w:t>人员</w:t>
      </w:r>
      <w:r>
        <w:rPr>
          <w:rFonts w:ascii="宋体" w:eastAsia="宋体" w:hint="eastAsia"/>
          <w:spacing w:val="2"/>
          <w:sz w:val="21"/>
        </w:rPr>
        <w:t>每</w:t>
      </w:r>
      <w:r>
        <w:rPr>
          <w:rFonts w:ascii="宋体" w:eastAsia="宋体" w:hint="eastAsia"/>
          <w:sz w:val="21"/>
        </w:rPr>
        <w:t>百毫升</w:t>
      </w:r>
      <w:r>
        <w:rPr>
          <w:rFonts w:ascii="宋体" w:eastAsia="宋体" w:hint="eastAsia"/>
          <w:spacing w:val="2"/>
          <w:sz w:val="21"/>
        </w:rPr>
        <w:t>血</w:t>
      </w:r>
      <w:r>
        <w:rPr>
          <w:rFonts w:ascii="宋体" w:eastAsia="宋体" w:hint="eastAsia"/>
          <w:sz w:val="21"/>
        </w:rPr>
        <w:t>液中</w:t>
      </w:r>
      <w:r>
        <w:rPr>
          <w:rFonts w:ascii="宋体" w:eastAsia="宋体" w:hint="eastAsia"/>
          <w:spacing w:val="2"/>
          <w:sz w:val="21"/>
        </w:rPr>
        <w:t>的</w:t>
      </w:r>
      <w:r>
        <w:rPr>
          <w:rFonts w:ascii="宋体" w:eastAsia="宋体" w:hint="eastAsia"/>
          <w:sz w:val="21"/>
        </w:rPr>
        <w:t>酒</w:t>
      </w:r>
      <w:r>
        <w:rPr>
          <w:rFonts w:ascii="宋体" w:eastAsia="宋体" w:hint="eastAsia"/>
          <w:spacing w:val="2"/>
          <w:sz w:val="21"/>
        </w:rPr>
        <w:t>精</w:t>
      </w:r>
      <w:r>
        <w:rPr>
          <w:rFonts w:ascii="宋体" w:eastAsia="宋体" w:hint="eastAsia"/>
          <w:sz w:val="21"/>
        </w:rPr>
        <w:t>含量</w:t>
      </w:r>
      <w:r>
        <w:rPr>
          <w:rFonts w:ascii="宋体" w:eastAsia="宋体" w:hint="eastAsia"/>
          <w:spacing w:val="2"/>
          <w:sz w:val="21"/>
        </w:rPr>
        <w:t>达</w:t>
      </w:r>
      <w:r>
        <w:rPr>
          <w:rFonts w:ascii="宋体" w:eastAsia="宋体" w:hint="eastAsia"/>
          <w:sz w:val="21"/>
        </w:rPr>
        <w:t>到 </w:t>
      </w:r>
      <w:r>
        <w:rPr>
          <w:rFonts w:ascii="宋体" w:eastAsia="宋体" w:hint="eastAsia"/>
          <w:spacing w:val="2"/>
          <w:sz w:val="21"/>
        </w:rPr>
        <w:t>或</w:t>
      </w:r>
      <w:r>
        <w:rPr>
          <w:rFonts w:ascii="宋体" w:eastAsia="宋体" w:hint="eastAsia"/>
          <w:sz w:val="21"/>
        </w:rPr>
        <w:t>超过</w:t>
      </w:r>
      <w:r>
        <w:rPr>
          <w:rFonts w:ascii="宋体" w:eastAsia="宋体" w:hint="eastAsia"/>
          <w:spacing w:val="2"/>
          <w:sz w:val="21"/>
        </w:rPr>
        <w:t>道</w:t>
      </w:r>
      <w:r>
        <w:rPr>
          <w:rFonts w:ascii="宋体" w:eastAsia="宋体" w:hint="eastAsia"/>
          <w:sz w:val="21"/>
        </w:rPr>
        <w:t>路交</w:t>
      </w:r>
      <w:r>
        <w:rPr>
          <w:rFonts w:ascii="宋体" w:eastAsia="宋体" w:hint="eastAsia"/>
          <w:spacing w:val="2"/>
          <w:sz w:val="21"/>
        </w:rPr>
        <w:t>通</w:t>
      </w:r>
      <w:r>
        <w:rPr>
          <w:rFonts w:ascii="宋体" w:eastAsia="宋体" w:hint="eastAsia"/>
          <w:sz w:val="21"/>
        </w:rPr>
        <w:t>法规</w:t>
      </w:r>
      <w:r>
        <w:rPr>
          <w:rFonts w:ascii="宋体" w:eastAsia="宋体" w:hint="eastAsia"/>
          <w:spacing w:val="2"/>
          <w:sz w:val="21"/>
        </w:rPr>
        <w:t>规</w:t>
      </w:r>
      <w:r>
        <w:rPr>
          <w:rFonts w:ascii="宋体" w:eastAsia="宋体" w:hint="eastAsia"/>
          <w:sz w:val="21"/>
        </w:rPr>
        <w:t>定的</w:t>
      </w:r>
      <w:r>
        <w:rPr>
          <w:rFonts w:ascii="宋体" w:eastAsia="宋体" w:hint="eastAsia"/>
          <w:spacing w:val="2"/>
          <w:sz w:val="21"/>
        </w:rPr>
        <w:t>标</w:t>
      </w:r>
      <w:r>
        <w:rPr>
          <w:rFonts w:ascii="宋体" w:eastAsia="宋体" w:hint="eastAsia"/>
          <w:sz w:val="21"/>
        </w:rPr>
        <w:t>准，</w:t>
      </w:r>
      <w:r>
        <w:rPr>
          <w:rFonts w:ascii="宋体" w:eastAsia="宋体" w:hint="eastAsia"/>
          <w:spacing w:val="2"/>
          <w:sz w:val="21"/>
        </w:rPr>
        <w:t>或</w:t>
      </w:r>
      <w:r>
        <w:rPr>
          <w:rFonts w:ascii="宋体" w:eastAsia="宋体" w:hint="eastAsia"/>
          <w:sz w:val="21"/>
        </w:rPr>
        <w:t>公安</w:t>
      </w:r>
      <w:r>
        <w:rPr>
          <w:rFonts w:ascii="宋体" w:eastAsia="宋体" w:hint="eastAsia"/>
          <w:spacing w:val="2"/>
          <w:sz w:val="21"/>
        </w:rPr>
        <w:t>机</w:t>
      </w:r>
      <w:r>
        <w:rPr>
          <w:rFonts w:ascii="宋体" w:eastAsia="宋体" w:hint="eastAsia"/>
          <w:sz w:val="21"/>
        </w:rPr>
        <w:t>关交通管</w:t>
      </w:r>
      <w:r>
        <w:rPr>
          <w:rFonts w:ascii="宋体" w:eastAsia="宋体" w:hint="eastAsia"/>
          <w:spacing w:val="2"/>
          <w:sz w:val="21"/>
        </w:rPr>
        <w:t>理</w:t>
      </w:r>
      <w:r>
        <w:rPr>
          <w:rFonts w:ascii="宋体" w:eastAsia="宋体" w:hint="eastAsia"/>
          <w:sz w:val="21"/>
        </w:rPr>
        <w:t>部门</w:t>
      </w:r>
      <w:r>
        <w:rPr>
          <w:rFonts w:ascii="宋体" w:eastAsia="宋体" w:hint="eastAsia"/>
          <w:spacing w:val="2"/>
          <w:sz w:val="21"/>
        </w:rPr>
        <w:t>依</w:t>
      </w:r>
      <w:r>
        <w:rPr>
          <w:rFonts w:ascii="宋体" w:eastAsia="宋体" w:hint="eastAsia"/>
          <w:sz w:val="21"/>
        </w:rPr>
        <w:t>据《</w:t>
      </w:r>
      <w:r>
        <w:rPr>
          <w:rFonts w:ascii="宋体" w:eastAsia="宋体" w:hint="eastAsia"/>
          <w:spacing w:val="2"/>
          <w:sz w:val="21"/>
        </w:rPr>
        <w:t>道</w:t>
      </w:r>
      <w:r>
        <w:rPr>
          <w:rFonts w:ascii="宋体" w:eastAsia="宋体" w:hint="eastAsia"/>
          <w:sz w:val="21"/>
        </w:rPr>
        <w:t>路交</w:t>
      </w:r>
      <w:r>
        <w:rPr>
          <w:rFonts w:ascii="宋体" w:eastAsia="宋体" w:hint="eastAsia"/>
          <w:spacing w:val="2"/>
          <w:sz w:val="21"/>
        </w:rPr>
        <w:t>通</w:t>
      </w:r>
      <w:r>
        <w:rPr>
          <w:rFonts w:ascii="宋体" w:eastAsia="宋体" w:hint="eastAsia"/>
          <w:sz w:val="21"/>
        </w:rPr>
        <w:t>安全法》的规</w:t>
      </w:r>
      <w:r>
        <w:rPr>
          <w:rFonts w:ascii="宋体" w:eastAsia="宋体" w:hint="eastAsia"/>
          <w:spacing w:val="-5"/>
          <w:sz w:val="21"/>
        </w:rPr>
        <w:t>定</w:t>
      </w:r>
      <w:r>
        <w:rPr>
          <w:rFonts w:ascii="宋体" w:eastAsia="宋体" w:hint="eastAsia"/>
          <w:sz w:val="21"/>
        </w:rPr>
        <w:t>认定为</w:t>
      </w:r>
      <w:r>
        <w:rPr>
          <w:rFonts w:ascii="宋体" w:eastAsia="宋体" w:hint="eastAsia"/>
          <w:spacing w:val="-5"/>
          <w:sz w:val="21"/>
        </w:rPr>
        <w:t>饮</w:t>
      </w:r>
      <w:r>
        <w:rPr>
          <w:rFonts w:ascii="宋体" w:eastAsia="宋体" w:hint="eastAsia"/>
          <w:sz w:val="21"/>
        </w:rPr>
        <w:t>酒后驾</w:t>
      </w:r>
      <w:r>
        <w:rPr>
          <w:rFonts w:ascii="宋体" w:eastAsia="宋体" w:hint="eastAsia"/>
          <w:spacing w:val="-5"/>
          <w:sz w:val="21"/>
        </w:rPr>
        <w:t>驶</w:t>
      </w:r>
      <w:r>
        <w:rPr>
          <w:rFonts w:ascii="宋体" w:eastAsia="宋体" w:hint="eastAsia"/>
          <w:sz w:val="21"/>
        </w:rPr>
        <w:t>或醉酒</w:t>
      </w:r>
      <w:r>
        <w:rPr>
          <w:rFonts w:ascii="宋体" w:eastAsia="宋体" w:hint="eastAsia"/>
          <w:spacing w:val="-5"/>
          <w:sz w:val="21"/>
        </w:rPr>
        <w:t>后</w:t>
      </w:r>
      <w:r>
        <w:rPr>
          <w:rFonts w:ascii="宋体" w:eastAsia="宋体" w:hint="eastAsia"/>
          <w:sz w:val="21"/>
        </w:rPr>
        <w:t>驾驶。</w:t>
      </w:r>
    </w:p>
    <w:p>
      <w:pPr>
        <w:pStyle w:val="BodyText"/>
        <w:spacing w:before="11"/>
        <w:rPr>
          <w:sz w:val="8"/>
        </w:rPr>
      </w:pPr>
    </w:p>
    <w:p>
      <w:pPr>
        <w:spacing w:after="0"/>
        <w:rPr>
          <w:sz w:val="8"/>
        </w:rPr>
        <w:sectPr>
          <w:type w:val="continuous"/>
          <w:pgSz w:w="11910" w:h="16840"/>
          <w:pgMar w:top="1040" w:bottom="1180" w:left="1100" w:right="980"/>
        </w:sectPr>
      </w:pPr>
    </w:p>
    <w:p>
      <w:pPr>
        <w:pStyle w:val="Heading2"/>
        <w:numPr>
          <w:ilvl w:val="1"/>
          <w:numId w:val="11"/>
        </w:numPr>
        <w:tabs>
          <w:tab w:pos="979" w:val="left" w:leader="none"/>
        </w:tabs>
        <w:spacing w:line="204" w:lineRule="auto" w:before="25" w:after="0"/>
        <w:ind w:left="978" w:right="0" w:hanging="878"/>
        <w:jc w:val="both"/>
      </w:pPr>
      <w:r>
        <w:rPr>
          <w:spacing w:val="30"/>
        </w:rPr>
        <w:t>无合法有效驾驶证驾驶</w:t>
      </w:r>
    </w:p>
    <w:p>
      <w:pPr>
        <w:pStyle w:val="BodyText"/>
        <w:spacing w:before="37"/>
        <w:ind w:left="100"/>
      </w:pPr>
      <w:r>
        <w:rPr/>
        <w:br w:type="column"/>
      </w:r>
      <w:r>
        <w:rPr/>
        <w:t>指下列情形之一：</w:t>
      </w:r>
    </w:p>
    <w:p>
      <w:pPr>
        <w:pStyle w:val="BodyText"/>
        <w:spacing w:before="37"/>
        <w:ind w:left="100"/>
      </w:pPr>
      <w:r>
        <w:rPr/>
        <w:t>1.没有取得驾驶资格；</w:t>
      </w:r>
    </w:p>
    <w:p>
      <w:pPr>
        <w:pStyle w:val="BodyText"/>
        <w:spacing w:before="37"/>
        <w:ind w:left="100"/>
      </w:pPr>
      <w:r>
        <w:rPr/>
        <w:t>2.驾驶与驾驶证准驾车型不相符合的车辆；</w:t>
      </w:r>
    </w:p>
    <w:p>
      <w:pPr>
        <w:spacing w:after="0"/>
        <w:sectPr>
          <w:type w:val="continuous"/>
          <w:pgSz w:w="11910" w:h="16840"/>
          <w:pgMar w:top="1040" w:bottom="1180" w:left="1100" w:right="980"/>
          <w:cols w:num="2" w:equalWidth="0">
            <w:col w:w="1953" w:space="533"/>
            <w:col w:w="7344"/>
          </w:cols>
        </w:sectPr>
      </w:pPr>
    </w:p>
    <w:p>
      <w:pPr>
        <w:pStyle w:val="BodyText"/>
        <w:spacing w:before="7"/>
        <w:rPr>
          <w:sz w:val="17"/>
        </w:rPr>
      </w:pPr>
    </w:p>
    <w:p>
      <w:pPr>
        <w:pStyle w:val="BodyText"/>
        <w:ind w:left="2646"/>
      </w:pPr>
      <w:r>
        <w:rPr/>
        <w:t>3.持审验不合格的驾驶证驾驶；</w:t>
      </w:r>
    </w:p>
    <w:p>
      <w:pPr>
        <w:pStyle w:val="BodyText"/>
        <w:spacing w:line="273" w:lineRule="auto"/>
        <w:ind w:left="2224" w:right="148" w:firstLine="422"/>
      </w:pPr>
      <w:r>
        <w:rPr/>
        <w:t>4.持学习驾驶证学习驾车时，无教练员随车指导，或不按指定时间、路线学习驾车。</w:t>
      </w:r>
    </w:p>
    <w:p>
      <w:pPr>
        <w:pStyle w:val="BodyText"/>
        <w:spacing w:before="10" w:after="1"/>
        <w:rPr>
          <w:sz w:val="2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19"/>
        <w:gridCol w:w="7394"/>
      </w:tblGrid>
      <w:tr>
        <w:trPr>
          <w:trHeight w:val="261" w:hRule="atLeast"/>
        </w:trPr>
        <w:tc>
          <w:tcPr>
            <w:tcW w:w="700" w:type="dxa"/>
          </w:tcPr>
          <w:p>
            <w:pPr>
              <w:pStyle w:val="TableParagraph"/>
              <w:spacing w:line="235" w:lineRule="exact"/>
              <w:ind w:left="50"/>
              <w:rPr>
                <w:rFonts w:ascii="Microsoft JhengHei"/>
                <w:b/>
                <w:sz w:val="21"/>
              </w:rPr>
            </w:pPr>
            <w:r>
              <w:rPr>
                <w:rFonts w:ascii="Microsoft JhengHei"/>
                <w:b/>
                <w:sz w:val="21"/>
              </w:rPr>
              <w:t>6.18</w:t>
            </w:r>
          </w:p>
        </w:tc>
        <w:tc>
          <w:tcPr>
            <w:tcW w:w="1519" w:type="dxa"/>
          </w:tcPr>
          <w:p>
            <w:pPr>
              <w:pStyle w:val="TableParagraph"/>
              <w:spacing w:line="235" w:lineRule="exact"/>
              <w:ind w:left="228"/>
              <w:rPr>
                <w:rFonts w:ascii="Microsoft JhengHei" w:eastAsia="Microsoft JhengHei" w:hint="eastAsia"/>
                <w:b/>
                <w:sz w:val="21"/>
              </w:rPr>
            </w:pPr>
            <w:r>
              <w:rPr>
                <w:rFonts w:ascii="Microsoft JhengHei" w:eastAsia="Microsoft JhengHei" w:hint="eastAsia"/>
                <w:b/>
                <w:sz w:val="21"/>
              </w:rPr>
              <w:t>无有效行</w:t>
            </w:r>
          </w:p>
        </w:tc>
        <w:tc>
          <w:tcPr>
            <w:tcW w:w="7394" w:type="dxa"/>
          </w:tcPr>
          <w:p>
            <w:pPr>
              <w:pStyle w:val="TableParagraph"/>
              <w:spacing w:line="211" w:lineRule="exact"/>
              <w:ind w:left="317"/>
              <w:rPr>
                <w:sz w:val="21"/>
              </w:rPr>
            </w:pPr>
            <w:r>
              <w:rPr>
                <w:sz w:val="21"/>
              </w:rPr>
              <w:t>指下列情形之一：</w:t>
            </w:r>
          </w:p>
        </w:tc>
      </w:tr>
      <w:tr>
        <w:trPr>
          <w:trHeight w:val="311" w:hRule="atLeast"/>
        </w:trPr>
        <w:tc>
          <w:tcPr>
            <w:tcW w:w="700" w:type="dxa"/>
          </w:tcPr>
          <w:p>
            <w:pPr>
              <w:pStyle w:val="TableParagraph"/>
              <w:spacing w:line="240" w:lineRule="auto"/>
              <w:ind w:left="0"/>
              <w:rPr>
                <w:rFonts w:ascii="Times New Roman"/>
                <w:sz w:val="20"/>
              </w:rPr>
            </w:pPr>
          </w:p>
        </w:tc>
        <w:tc>
          <w:tcPr>
            <w:tcW w:w="1519" w:type="dxa"/>
          </w:tcPr>
          <w:p>
            <w:pPr>
              <w:pStyle w:val="TableParagraph"/>
              <w:spacing w:line="285" w:lineRule="exact"/>
              <w:ind w:left="228"/>
              <w:rPr>
                <w:rFonts w:ascii="Microsoft JhengHei" w:eastAsia="Microsoft JhengHei" w:hint="eastAsia"/>
                <w:b/>
                <w:sz w:val="21"/>
              </w:rPr>
            </w:pPr>
            <w:r>
              <w:rPr>
                <w:rFonts w:ascii="Microsoft JhengHei" w:eastAsia="Microsoft JhengHei" w:hint="eastAsia"/>
                <w:b/>
                <w:sz w:val="21"/>
              </w:rPr>
              <w:t>驶证</w:t>
            </w:r>
          </w:p>
        </w:tc>
        <w:tc>
          <w:tcPr>
            <w:tcW w:w="7394" w:type="dxa"/>
          </w:tcPr>
          <w:p>
            <w:pPr>
              <w:pStyle w:val="TableParagraph"/>
              <w:spacing w:line="261" w:lineRule="exact"/>
              <w:ind w:left="317"/>
              <w:rPr>
                <w:sz w:val="21"/>
              </w:rPr>
            </w:pPr>
            <w:r>
              <w:rPr>
                <w:sz w:val="21"/>
              </w:rPr>
              <w:t>1.无机动车行驶证；</w:t>
            </w:r>
          </w:p>
        </w:tc>
      </w:tr>
      <w:tr>
        <w:trPr>
          <w:trHeight w:val="311" w:hRule="atLeast"/>
        </w:trPr>
        <w:tc>
          <w:tcPr>
            <w:tcW w:w="700" w:type="dxa"/>
          </w:tcPr>
          <w:p>
            <w:pPr>
              <w:pStyle w:val="TableParagraph"/>
              <w:spacing w:line="240" w:lineRule="auto"/>
              <w:ind w:left="0"/>
              <w:rPr>
                <w:rFonts w:ascii="Times New Roman"/>
                <w:sz w:val="20"/>
              </w:rPr>
            </w:pPr>
          </w:p>
        </w:tc>
        <w:tc>
          <w:tcPr>
            <w:tcW w:w="1519" w:type="dxa"/>
          </w:tcPr>
          <w:p>
            <w:pPr>
              <w:pStyle w:val="TableParagraph"/>
              <w:spacing w:line="240" w:lineRule="auto"/>
              <w:ind w:left="0"/>
              <w:rPr>
                <w:rFonts w:ascii="Times New Roman"/>
                <w:sz w:val="20"/>
              </w:rPr>
            </w:pPr>
          </w:p>
        </w:tc>
        <w:tc>
          <w:tcPr>
            <w:tcW w:w="7394" w:type="dxa"/>
          </w:tcPr>
          <w:p>
            <w:pPr>
              <w:pStyle w:val="TableParagraph"/>
              <w:spacing w:line="261" w:lineRule="exact"/>
              <w:ind w:left="317"/>
              <w:rPr>
                <w:sz w:val="21"/>
              </w:rPr>
            </w:pPr>
            <w:r>
              <w:rPr>
                <w:sz w:val="21"/>
              </w:rPr>
              <w:t>2.机动车被依法注销登记的；</w:t>
            </w:r>
          </w:p>
        </w:tc>
      </w:tr>
      <w:tr>
        <w:trPr>
          <w:trHeight w:val="775" w:hRule="atLeast"/>
        </w:trPr>
        <w:tc>
          <w:tcPr>
            <w:tcW w:w="700" w:type="dxa"/>
          </w:tcPr>
          <w:p>
            <w:pPr>
              <w:pStyle w:val="TableParagraph"/>
              <w:spacing w:line="240" w:lineRule="auto"/>
              <w:ind w:left="0"/>
              <w:rPr>
                <w:sz w:val="20"/>
              </w:rPr>
            </w:pPr>
          </w:p>
          <w:p>
            <w:pPr>
              <w:pStyle w:val="TableParagraph"/>
              <w:spacing w:line="322" w:lineRule="exact" w:before="172"/>
              <w:ind w:left="50"/>
              <w:rPr>
                <w:rFonts w:ascii="Microsoft JhengHei"/>
                <w:b/>
                <w:sz w:val="21"/>
              </w:rPr>
            </w:pPr>
            <w:r>
              <w:rPr>
                <w:rFonts w:ascii="Microsoft JhengHei"/>
                <w:b/>
                <w:sz w:val="21"/>
              </w:rPr>
              <w:t>6.19</w:t>
            </w:r>
          </w:p>
        </w:tc>
        <w:tc>
          <w:tcPr>
            <w:tcW w:w="1519" w:type="dxa"/>
          </w:tcPr>
          <w:p>
            <w:pPr>
              <w:pStyle w:val="TableParagraph"/>
              <w:spacing w:line="240" w:lineRule="auto"/>
              <w:ind w:left="0"/>
              <w:rPr>
                <w:sz w:val="20"/>
              </w:rPr>
            </w:pPr>
          </w:p>
          <w:p>
            <w:pPr>
              <w:pStyle w:val="TableParagraph"/>
              <w:spacing w:line="322" w:lineRule="exact" w:before="172"/>
              <w:ind w:left="228"/>
              <w:rPr>
                <w:rFonts w:ascii="Microsoft JhengHei" w:eastAsia="Microsoft JhengHei" w:hint="eastAsia"/>
                <w:b/>
                <w:sz w:val="21"/>
              </w:rPr>
            </w:pPr>
            <w:r>
              <w:rPr>
                <w:rFonts w:ascii="Microsoft JhengHei" w:eastAsia="Microsoft JhengHei" w:hint="eastAsia"/>
                <w:b/>
                <w:sz w:val="21"/>
              </w:rPr>
              <w:t>机动车</w:t>
            </w:r>
          </w:p>
        </w:tc>
        <w:tc>
          <w:tcPr>
            <w:tcW w:w="7394" w:type="dxa"/>
          </w:tcPr>
          <w:p>
            <w:pPr>
              <w:pStyle w:val="TableParagraph"/>
              <w:spacing w:line="261" w:lineRule="exact"/>
              <w:ind w:left="317"/>
              <w:rPr>
                <w:sz w:val="21"/>
              </w:rPr>
            </w:pPr>
            <w:r>
              <w:rPr>
                <w:sz w:val="21"/>
              </w:rPr>
              <w:t>3.未依法按时进行或通过机动车安全技术检验。</w:t>
            </w:r>
          </w:p>
          <w:p>
            <w:pPr>
              <w:pStyle w:val="TableParagraph"/>
              <w:spacing w:line="240" w:lineRule="auto" w:before="3"/>
              <w:ind w:left="0"/>
              <w:rPr>
                <w:sz w:val="18"/>
              </w:rPr>
            </w:pPr>
          </w:p>
          <w:p>
            <w:pPr>
              <w:pStyle w:val="TableParagraph"/>
              <w:spacing w:line="255" w:lineRule="exact"/>
              <w:ind w:left="317"/>
              <w:rPr>
                <w:sz w:val="21"/>
              </w:rPr>
            </w:pPr>
            <w:r>
              <w:rPr>
                <w:sz w:val="21"/>
              </w:rPr>
              <w:t>指以动力装置驱动或牵引，上道路行驶的供人员乘用或用于运送物品以及进</w:t>
            </w:r>
          </w:p>
        </w:tc>
      </w:tr>
    </w:tbl>
    <w:p>
      <w:pPr>
        <w:pStyle w:val="BodyText"/>
        <w:spacing w:before="37"/>
        <w:ind w:left="2224"/>
      </w:pPr>
      <w:r>
        <w:rPr/>
        <w:t>行工程专项作业的轮式车辆。</w:t>
      </w:r>
    </w:p>
    <w:p>
      <w:pPr>
        <w:spacing w:after="0"/>
        <w:sectPr>
          <w:pgSz w:w="11910" w:h="16840"/>
          <w:pgMar w:header="870" w:footer="998" w:top="1120" w:bottom="1180" w:left="1040" w:right="1040"/>
        </w:sectPr>
      </w:pPr>
    </w:p>
    <w:p>
      <w:pPr>
        <w:pStyle w:val="BodyText"/>
        <w:spacing w:before="8"/>
        <w:rPr>
          <w:sz w:val="29"/>
        </w:rPr>
      </w:pPr>
    </w:p>
    <w:p>
      <w:pPr>
        <w:pStyle w:val="Heading2"/>
        <w:spacing w:line="336" w:lineRule="exact" w:after="28"/>
        <w:ind w:left="216"/>
      </w:pPr>
      <w:r>
        <w:rPr/>
        <w:t>附录：《疾病分组与给付限额表》</w:t>
      </w:r>
    </w:p>
    <w:tbl>
      <w:tblPr>
        <w:tblW w:w="0" w:type="auto"/>
        <w:jc w:val="left"/>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7"/>
        <w:gridCol w:w="427"/>
        <w:gridCol w:w="2558"/>
        <w:gridCol w:w="427"/>
        <w:gridCol w:w="2880"/>
        <w:gridCol w:w="1673"/>
      </w:tblGrid>
      <w:tr>
        <w:trPr>
          <w:trHeight w:val="623" w:hRule="atLeast"/>
        </w:trPr>
        <w:tc>
          <w:tcPr>
            <w:tcW w:w="967" w:type="dxa"/>
            <w:tcBorders>
              <w:right w:val="single" w:sz="6" w:space="0" w:color="000000"/>
            </w:tcBorders>
          </w:tcPr>
          <w:p>
            <w:pPr>
              <w:pStyle w:val="TableParagraph"/>
              <w:spacing w:line="240" w:lineRule="auto" w:before="76"/>
              <w:ind w:left="273"/>
              <w:rPr>
                <w:rFonts w:ascii="Microsoft JhengHei" w:eastAsia="Microsoft JhengHei" w:hint="eastAsia"/>
                <w:b/>
                <w:sz w:val="21"/>
              </w:rPr>
            </w:pPr>
            <w:r>
              <w:rPr>
                <w:rFonts w:ascii="Microsoft JhengHei" w:eastAsia="Microsoft JhengHei" w:hint="eastAsia"/>
                <w:b/>
                <w:sz w:val="21"/>
              </w:rPr>
              <w:t>组别</w:t>
            </w:r>
          </w:p>
        </w:tc>
        <w:tc>
          <w:tcPr>
            <w:tcW w:w="2985" w:type="dxa"/>
            <w:gridSpan w:val="2"/>
            <w:tcBorders>
              <w:left w:val="single" w:sz="6" w:space="0" w:color="000000"/>
              <w:right w:val="single" w:sz="6" w:space="0" w:color="000000"/>
            </w:tcBorders>
          </w:tcPr>
          <w:p>
            <w:pPr>
              <w:pStyle w:val="TableParagraph"/>
              <w:spacing w:line="240" w:lineRule="auto" w:before="76"/>
              <w:ind w:left="446"/>
              <w:rPr>
                <w:rFonts w:ascii="Microsoft JhengHei" w:eastAsia="Microsoft JhengHei" w:hint="eastAsia"/>
                <w:b/>
                <w:sz w:val="21"/>
              </w:rPr>
            </w:pPr>
            <w:r>
              <w:rPr>
                <w:rFonts w:ascii="Microsoft JhengHei" w:eastAsia="Microsoft JhengHei" w:hint="eastAsia"/>
                <w:b/>
                <w:sz w:val="21"/>
              </w:rPr>
              <w:t>本合同所指的重大疾病</w:t>
            </w:r>
          </w:p>
        </w:tc>
        <w:tc>
          <w:tcPr>
            <w:tcW w:w="3307" w:type="dxa"/>
            <w:gridSpan w:val="2"/>
            <w:tcBorders>
              <w:left w:val="single" w:sz="6" w:space="0" w:color="000000"/>
              <w:right w:val="single" w:sz="6" w:space="0" w:color="000000"/>
            </w:tcBorders>
          </w:tcPr>
          <w:p>
            <w:pPr>
              <w:pStyle w:val="TableParagraph"/>
              <w:spacing w:line="240" w:lineRule="auto" w:before="76"/>
              <w:ind w:left="605"/>
              <w:rPr>
                <w:rFonts w:ascii="Microsoft JhengHei" w:eastAsia="Microsoft JhengHei" w:hint="eastAsia"/>
                <w:b/>
                <w:sz w:val="21"/>
              </w:rPr>
            </w:pPr>
            <w:r>
              <w:rPr>
                <w:rFonts w:ascii="Microsoft JhengHei" w:eastAsia="Microsoft JhengHei" w:hint="eastAsia"/>
                <w:b/>
                <w:sz w:val="21"/>
              </w:rPr>
              <w:t>本合同所指的轻症疾病</w:t>
            </w:r>
          </w:p>
        </w:tc>
        <w:tc>
          <w:tcPr>
            <w:tcW w:w="1673" w:type="dxa"/>
            <w:tcBorders>
              <w:left w:val="single" w:sz="6" w:space="0" w:color="000000"/>
            </w:tcBorders>
          </w:tcPr>
          <w:p>
            <w:pPr>
              <w:pStyle w:val="TableParagraph"/>
              <w:ind w:left="418"/>
              <w:rPr>
                <w:rFonts w:ascii="Microsoft JhengHei" w:eastAsia="Microsoft JhengHei" w:hint="eastAsia"/>
                <w:b/>
                <w:sz w:val="21"/>
              </w:rPr>
            </w:pPr>
            <w:r>
              <w:rPr>
                <w:rFonts w:ascii="Microsoft JhengHei" w:eastAsia="Microsoft JhengHei" w:hint="eastAsia"/>
                <w:b/>
                <w:sz w:val="21"/>
              </w:rPr>
              <w:t>单一组别</w:t>
            </w:r>
          </w:p>
          <w:p>
            <w:pPr>
              <w:pStyle w:val="TableParagraph"/>
              <w:spacing w:line="339" w:lineRule="exact"/>
              <w:ind w:left="418"/>
              <w:rPr>
                <w:rFonts w:ascii="Microsoft JhengHei" w:eastAsia="Microsoft JhengHei" w:hint="eastAsia"/>
                <w:b/>
                <w:sz w:val="21"/>
              </w:rPr>
            </w:pPr>
            <w:r>
              <w:rPr>
                <w:rFonts w:ascii="Microsoft JhengHei" w:eastAsia="Microsoft JhengHei" w:hint="eastAsia"/>
                <w:b/>
                <w:sz w:val="21"/>
              </w:rPr>
              <w:t>给付限额</w:t>
            </w:r>
          </w:p>
        </w:tc>
      </w:tr>
      <w:tr>
        <w:trPr>
          <w:trHeight w:val="352" w:hRule="atLeast"/>
        </w:trPr>
        <w:tc>
          <w:tcPr>
            <w:tcW w:w="967" w:type="dxa"/>
            <w:vMerge w:val="restart"/>
            <w:tcBorders>
              <w:right w:val="single" w:sz="6" w:space="0" w:color="000000"/>
            </w:tcBorders>
          </w:tcPr>
          <w:p>
            <w:pPr>
              <w:pStyle w:val="TableParagraph"/>
              <w:spacing w:line="260" w:lineRule="exact"/>
              <w:ind w:left="109"/>
              <w:rPr>
                <w:sz w:val="21"/>
              </w:rPr>
            </w:pPr>
            <w:r>
              <w:rPr>
                <w:sz w:val="21"/>
              </w:rPr>
              <w:t>第一组</w:t>
            </w:r>
          </w:p>
          <w:p>
            <w:pPr>
              <w:pStyle w:val="TableParagraph"/>
              <w:spacing w:line="240" w:lineRule="auto" w:before="37"/>
              <w:ind w:left="109"/>
              <w:rPr>
                <w:sz w:val="21"/>
              </w:rPr>
            </w:pPr>
            <w:r>
              <w:rPr>
                <w:sz w:val="21"/>
              </w:rPr>
              <w:t>癌症</w:t>
            </w:r>
          </w:p>
        </w:tc>
        <w:tc>
          <w:tcPr>
            <w:tcW w:w="427" w:type="dxa"/>
            <w:tcBorders>
              <w:left w:val="single" w:sz="6" w:space="0" w:color="000000"/>
              <w:bottom w:val="single" w:sz="6" w:space="0" w:color="000000"/>
              <w:right w:val="single" w:sz="6" w:space="0" w:color="000000"/>
            </w:tcBorders>
          </w:tcPr>
          <w:p>
            <w:pPr>
              <w:pStyle w:val="TableParagraph"/>
              <w:spacing w:line="260" w:lineRule="exact"/>
              <w:ind w:left="0" w:right="74"/>
              <w:jc w:val="center"/>
              <w:rPr>
                <w:sz w:val="21"/>
              </w:rPr>
            </w:pPr>
            <w:r>
              <w:rPr>
                <w:w w:val="100"/>
                <w:sz w:val="21"/>
              </w:rPr>
              <w:t>1</w:t>
            </w:r>
          </w:p>
        </w:tc>
        <w:tc>
          <w:tcPr>
            <w:tcW w:w="2558" w:type="dxa"/>
            <w:tcBorders>
              <w:left w:val="single" w:sz="6" w:space="0" w:color="000000"/>
              <w:bottom w:val="single" w:sz="6" w:space="0" w:color="000000"/>
              <w:right w:val="single" w:sz="6" w:space="0" w:color="000000"/>
            </w:tcBorders>
          </w:tcPr>
          <w:p>
            <w:pPr>
              <w:pStyle w:val="TableParagraph"/>
              <w:spacing w:line="260" w:lineRule="exact"/>
              <w:rPr>
                <w:sz w:val="21"/>
              </w:rPr>
            </w:pPr>
            <w:r>
              <w:rPr>
                <w:sz w:val="21"/>
              </w:rPr>
              <w:t>恶性肿瘤√</w:t>
            </w:r>
          </w:p>
        </w:tc>
        <w:tc>
          <w:tcPr>
            <w:tcW w:w="427" w:type="dxa"/>
            <w:tcBorders>
              <w:left w:val="single" w:sz="6" w:space="0" w:color="000000"/>
              <w:bottom w:val="single" w:sz="6" w:space="0" w:color="000000"/>
              <w:right w:val="single" w:sz="6" w:space="0" w:color="000000"/>
            </w:tcBorders>
          </w:tcPr>
          <w:p>
            <w:pPr>
              <w:pStyle w:val="TableParagraph"/>
              <w:spacing w:line="260" w:lineRule="exact"/>
              <w:ind w:left="0" w:right="73"/>
              <w:jc w:val="center"/>
              <w:rPr>
                <w:sz w:val="21"/>
              </w:rPr>
            </w:pPr>
            <w:r>
              <w:rPr>
                <w:w w:val="100"/>
                <w:sz w:val="21"/>
              </w:rPr>
              <w:t>1</w:t>
            </w:r>
          </w:p>
        </w:tc>
        <w:tc>
          <w:tcPr>
            <w:tcW w:w="2880" w:type="dxa"/>
            <w:tcBorders>
              <w:left w:val="single" w:sz="6" w:space="0" w:color="000000"/>
              <w:bottom w:val="single" w:sz="6" w:space="0" w:color="000000"/>
              <w:right w:val="single" w:sz="6" w:space="0" w:color="000000"/>
            </w:tcBorders>
          </w:tcPr>
          <w:p>
            <w:pPr>
              <w:pStyle w:val="TableParagraph"/>
              <w:spacing w:line="260" w:lineRule="exact"/>
              <w:rPr>
                <w:sz w:val="21"/>
              </w:rPr>
            </w:pPr>
            <w:r>
              <w:rPr>
                <w:sz w:val="21"/>
              </w:rPr>
              <w:t>极早期恶性肿瘤或恶性病变</w:t>
            </w:r>
          </w:p>
        </w:tc>
        <w:tc>
          <w:tcPr>
            <w:tcW w:w="1673" w:type="dxa"/>
            <w:vMerge w:val="restart"/>
            <w:tcBorders>
              <w:left w:val="single" w:sz="6" w:space="0" w:color="000000"/>
            </w:tcBorders>
          </w:tcPr>
          <w:p>
            <w:pPr>
              <w:pStyle w:val="TableParagraph"/>
              <w:spacing w:line="260" w:lineRule="exact"/>
              <w:rPr>
                <w:sz w:val="21"/>
              </w:rPr>
            </w:pPr>
            <w:r>
              <w:rPr>
                <w:sz w:val="21"/>
              </w:rPr>
              <w:t>300% 基本保险</w:t>
            </w:r>
          </w:p>
          <w:p>
            <w:pPr>
              <w:pStyle w:val="TableParagraph"/>
              <w:spacing w:line="240" w:lineRule="auto" w:before="37"/>
              <w:rPr>
                <w:sz w:val="21"/>
              </w:rPr>
            </w:pPr>
            <w:r>
              <w:rPr>
                <w:sz w:val="21"/>
              </w:rPr>
              <w:t>金额</w:t>
            </w:r>
          </w:p>
        </w:tc>
      </w:tr>
      <w:tr>
        <w:trPr>
          <w:trHeight w:val="308"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right w:val="single" w:sz="6" w:space="0" w:color="000000"/>
            </w:tcBorders>
          </w:tcPr>
          <w:p>
            <w:pPr>
              <w:pStyle w:val="TableParagraph"/>
              <w:spacing w:line="240" w:lineRule="auto"/>
              <w:ind w:left="0"/>
              <w:rPr>
                <w:rFonts w:ascii="Times New Roman"/>
                <w:sz w:val="20"/>
              </w:rPr>
            </w:pPr>
          </w:p>
        </w:tc>
        <w:tc>
          <w:tcPr>
            <w:tcW w:w="2558" w:type="dxa"/>
            <w:tcBorders>
              <w:top w:val="single" w:sz="6" w:space="0" w:color="000000"/>
              <w:left w:val="single" w:sz="6" w:space="0" w:color="000000"/>
              <w:right w:val="single" w:sz="6" w:space="0" w:color="000000"/>
            </w:tcBorders>
          </w:tcPr>
          <w:p>
            <w:pPr>
              <w:pStyle w:val="TableParagraph"/>
              <w:spacing w:line="240" w:lineRule="auto"/>
              <w:ind w:left="0"/>
              <w:rPr>
                <w:rFonts w:ascii="Times New Roman"/>
                <w:sz w:val="20"/>
              </w:rPr>
            </w:pPr>
          </w:p>
        </w:tc>
        <w:tc>
          <w:tcPr>
            <w:tcW w:w="427" w:type="dxa"/>
            <w:tcBorders>
              <w:top w:val="single" w:sz="6" w:space="0" w:color="000000"/>
              <w:left w:val="single" w:sz="6" w:space="0" w:color="000000"/>
              <w:right w:val="single" w:sz="6" w:space="0" w:color="000000"/>
            </w:tcBorders>
          </w:tcPr>
          <w:p>
            <w:pPr>
              <w:pStyle w:val="TableParagraph"/>
              <w:ind w:left="0" w:right="73"/>
              <w:jc w:val="center"/>
              <w:rPr>
                <w:sz w:val="21"/>
              </w:rPr>
            </w:pPr>
            <w:r>
              <w:rPr>
                <w:w w:val="100"/>
                <w:sz w:val="21"/>
              </w:rPr>
              <w:t>2</w:t>
            </w:r>
          </w:p>
        </w:tc>
        <w:tc>
          <w:tcPr>
            <w:tcW w:w="2880" w:type="dxa"/>
            <w:tcBorders>
              <w:top w:val="single" w:sz="6" w:space="0" w:color="000000"/>
              <w:left w:val="single" w:sz="6" w:space="0" w:color="000000"/>
              <w:right w:val="single" w:sz="6" w:space="0" w:color="000000"/>
            </w:tcBorders>
          </w:tcPr>
          <w:p>
            <w:pPr>
              <w:pStyle w:val="TableParagraph"/>
              <w:rPr>
                <w:sz w:val="21"/>
              </w:rPr>
            </w:pPr>
            <w:r>
              <w:rPr>
                <w:sz w:val="21"/>
              </w:rPr>
              <w:t>侵蚀性葡萄胎</w:t>
            </w:r>
          </w:p>
        </w:tc>
        <w:tc>
          <w:tcPr>
            <w:tcW w:w="1673" w:type="dxa"/>
            <w:vMerge/>
            <w:tcBorders>
              <w:top w:val="nil"/>
              <w:left w:val="single" w:sz="6" w:space="0" w:color="000000"/>
            </w:tcBorders>
          </w:tcPr>
          <w:p>
            <w:pPr>
              <w:rPr>
                <w:sz w:val="2"/>
                <w:szCs w:val="2"/>
              </w:rPr>
            </w:pPr>
          </w:p>
        </w:tc>
      </w:tr>
      <w:tr>
        <w:trPr>
          <w:trHeight w:val="308" w:hRule="atLeast"/>
        </w:trPr>
        <w:tc>
          <w:tcPr>
            <w:tcW w:w="967" w:type="dxa"/>
            <w:vMerge w:val="restart"/>
            <w:tcBorders>
              <w:right w:val="single" w:sz="6" w:space="0" w:color="000000"/>
            </w:tcBorders>
          </w:tcPr>
          <w:p>
            <w:pPr>
              <w:pStyle w:val="TableParagraph"/>
              <w:spacing w:line="260" w:lineRule="exact"/>
              <w:ind w:left="109"/>
              <w:rPr>
                <w:sz w:val="21"/>
              </w:rPr>
            </w:pPr>
            <w:r>
              <w:rPr>
                <w:sz w:val="21"/>
              </w:rPr>
              <w:t>第二组</w:t>
            </w:r>
          </w:p>
          <w:p>
            <w:pPr>
              <w:pStyle w:val="TableParagraph"/>
              <w:spacing w:line="273" w:lineRule="auto" w:before="37"/>
              <w:ind w:left="109" w:right="203"/>
              <w:jc w:val="both"/>
              <w:rPr>
                <w:sz w:val="21"/>
              </w:rPr>
            </w:pPr>
            <w:r>
              <w:rPr>
                <w:sz w:val="21"/>
              </w:rPr>
              <w:t>与心血管相关的疾病</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0" w:right="74"/>
              <w:jc w:val="center"/>
              <w:rPr>
                <w:sz w:val="21"/>
              </w:rPr>
            </w:pPr>
            <w:r>
              <w:rPr>
                <w:w w:val="100"/>
                <w:sz w:val="21"/>
              </w:rPr>
              <w:t>2</w:t>
            </w:r>
          </w:p>
        </w:tc>
        <w:tc>
          <w:tcPr>
            <w:tcW w:w="2558" w:type="dxa"/>
            <w:tcBorders>
              <w:left w:val="single" w:sz="6" w:space="0" w:color="000000"/>
              <w:bottom w:val="single" w:sz="6" w:space="0" w:color="000000"/>
              <w:right w:val="single" w:sz="6" w:space="0" w:color="000000"/>
            </w:tcBorders>
          </w:tcPr>
          <w:p>
            <w:pPr>
              <w:pStyle w:val="TableParagraph"/>
              <w:spacing w:line="259" w:lineRule="exact"/>
              <w:rPr>
                <w:sz w:val="21"/>
              </w:rPr>
            </w:pPr>
            <w:r>
              <w:rPr>
                <w:sz w:val="21"/>
              </w:rPr>
              <w:t>急性心肌梗塞√</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0" w:right="73"/>
              <w:jc w:val="center"/>
              <w:rPr>
                <w:sz w:val="21"/>
              </w:rPr>
            </w:pPr>
            <w:r>
              <w:rPr>
                <w:w w:val="100"/>
                <w:sz w:val="21"/>
              </w:rPr>
              <w:t>3</w:t>
            </w:r>
          </w:p>
        </w:tc>
        <w:tc>
          <w:tcPr>
            <w:tcW w:w="2880" w:type="dxa"/>
            <w:tcBorders>
              <w:left w:val="single" w:sz="6" w:space="0" w:color="000000"/>
              <w:bottom w:val="single" w:sz="6" w:space="0" w:color="000000"/>
              <w:right w:val="single" w:sz="6" w:space="0" w:color="000000"/>
            </w:tcBorders>
          </w:tcPr>
          <w:p>
            <w:pPr>
              <w:pStyle w:val="TableParagraph"/>
              <w:spacing w:line="259" w:lineRule="exact"/>
              <w:rPr>
                <w:sz w:val="21"/>
              </w:rPr>
            </w:pPr>
            <w:r>
              <w:rPr>
                <w:sz w:val="21"/>
              </w:rPr>
              <w:t>不典型的急性心肌梗塞</w:t>
            </w:r>
          </w:p>
        </w:tc>
        <w:tc>
          <w:tcPr>
            <w:tcW w:w="1673" w:type="dxa"/>
            <w:vMerge w:val="restart"/>
            <w:tcBorders>
              <w:left w:val="single" w:sz="6" w:space="0" w:color="000000"/>
            </w:tcBorders>
          </w:tcPr>
          <w:p>
            <w:pPr>
              <w:pStyle w:val="TableParagraph"/>
              <w:spacing w:line="259" w:lineRule="exact"/>
              <w:rPr>
                <w:sz w:val="21"/>
              </w:rPr>
            </w:pPr>
            <w:r>
              <w:rPr>
                <w:sz w:val="21"/>
              </w:rPr>
              <w:t>100% 基本保险</w:t>
            </w:r>
          </w:p>
          <w:p>
            <w:pPr>
              <w:pStyle w:val="TableParagraph"/>
              <w:spacing w:line="240" w:lineRule="auto" w:before="37"/>
              <w:rPr>
                <w:sz w:val="21"/>
              </w:rPr>
            </w:pPr>
            <w:r>
              <w:rPr>
                <w:sz w:val="21"/>
              </w:rPr>
              <w:t>金额</w:t>
            </w:r>
          </w:p>
        </w:tc>
      </w:tr>
      <w:tr>
        <w:trPr>
          <w:trHeight w:val="618"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3</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冠状动脉搭桥术（或称冠</w:t>
            </w:r>
          </w:p>
          <w:p>
            <w:pPr>
              <w:pStyle w:val="TableParagraph"/>
              <w:spacing w:line="240" w:lineRule="auto" w:before="37"/>
              <w:rPr>
                <w:sz w:val="21"/>
              </w:rPr>
            </w:pPr>
            <w:r>
              <w:rPr>
                <w:sz w:val="21"/>
              </w:rPr>
              <w:t>状动脉旁路移植术）√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2"/>
              <w:jc w:val="center"/>
              <w:rPr>
                <w:sz w:val="21"/>
              </w:rPr>
            </w:pPr>
            <w:r>
              <w:rPr>
                <w:w w:val="100"/>
                <w:sz w:val="21"/>
              </w:rPr>
              <w:t>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冠状动脉介入手术</w:t>
            </w:r>
          </w:p>
        </w:tc>
        <w:tc>
          <w:tcPr>
            <w:tcW w:w="1673" w:type="dxa"/>
            <w:vMerge/>
            <w:tcBorders>
              <w:top w:val="nil"/>
              <w:left w:val="single" w:sz="6" w:space="0" w:color="000000"/>
            </w:tcBorders>
          </w:tcPr>
          <w:p>
            <w:pPr>
              <w:rPr>
                <w:sz w:val="2"/>
                <w:szCs w:val="2"/>
              </w:rPr>
            </w:pPr>
          </w:p>
        </w:tc>
      </w:tr>
      <w:tr>
        <w:trPr>
          <w:trHeight w:val="311"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0" w:right="74"/>
              <w:jc w:val="center"/>
              <w:rPr>
                <w:sz w:val="21"/>
              </w:rPr>
            </w:pPr>
            <w:r>
              <w:rPr>
                <w:w w:val="100"/>
                <w:sz w:val="21"/>
              </w:rPr>
              <w:t>4</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心脏瓣膜手术√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0" w:right="73"/>
              <w:jc w:val="center"/>
              <w:rPr>
                <w:sz w:val="21"/>
              </w:rPr>
            </w:pPr>
            <w:r>
              <w:rPr>
                <w:w w:val="100"/>
                <w:sz w:val="21"/>
              </w:rPr>
              <w:t>5</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心脏瓣膜介入手术</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5</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严重原发性肺动脉高压√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2"/>
              <w:jc w:val="center"/>
              <w:rPr>
                <w:sz w:val="21"/>
              </w:rPr>
            </w:pPr>
            <w:r>
              <w:rPr>
                <w:w w:val="100"/>
                <w:sz w:val="21"/>
              </w:rPr>
              <w:t>6</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轻度原发性肺动脉高压</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6</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主动脉手术√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3"/>
              <w:jc w:val="center"/>
              <w:rPr>
                <w:sz w:val="21"/>
              </w:rPr>
            </w:pPr>
            <w:r>
              <w:rPr>
                <w:w w:val="100"/>
                <w:sz w:val="21"/>
              </w:rPr>
              <w:t>7</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主动脉内手术</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7</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严重冠心病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3"/>
              <w:jc w:val="center"/>
              <w:rPr>
                <w:sz w:val="21"/>
              </w:rPr>
            </w:pPr>
            <w:r>
              <w:rPr>
                <w:w w:val="100"/>
                <w:sz w:val="21"/>
              </w:rPr>
              <w:t>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微创冠状动脉搭桥术</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8</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严重原发性心肌病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3"/>
              <w:jc w:val="center"/>
              <w:rPr>
                <w:sz w:val="21"/>
              </w:rPr>
            </w:pPr>
            <w:r>
              <w:rPr>
                <w:w w:val="100"/>
                <w:sz w:val="21"/>
              </w:rPr>
              <w:t>9</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早期原发性心肌病</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0" w:right="74"/>
              <w:jc w:val="center"/>
              <w:rPr>
                <w:sz w:val="21"/>
              </w:rPr>
            </w:pPr>
            <w:r>
              <w:rPr>
                <w:w w:val="100"/>
                <w:sz w:val="21"/>
              </w:rPr>
              <w:t>9</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肺源性心脏病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5"/>
              <w:jc w:val="center"/>
              <w:rPr>
                <w:sz w:val="21"/>
              </w:rPr>
            </w:pPr>
            <w:r>
              <w:rPr>
                <w:sz w:val="21"/>
              </w:rPr>
              <w:t>10</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风湿热导致的心脏瓣膜疾病</w:t>
            </w:r>
          </w:p>
        </w:tc>
        <w:tc>
          <w:tcPr>
            <w:tcW w:w="1673" w:type="dxa"/>
            <w:vMerge/>
            <w:tcBorders>
              <w:top w:val="nil"/>
              <w:left w:val="single" w:sz="6" w:space="0" w:color="000000"/>
            </w:tcBorders>
          </w:tcPr>
          <w:p>
            <w:pPr>
              <w:rPr>
                <w:sz w:val="2"/>
                <w:szCs w:val="2"/>
              </w:rPr>
            </w:pPr>
          </w:p>
        </w:tc>
      </w:tr>
      <w:tr>
        <w:trPr>
          <w:trHeight w:val="618"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6"/>
              <w:jc w:val="center"/>
              <w:rPr>
                <w:sz w:val="21"/>
              </w:rPr>
            </w:pPr>
            <w:r>
              <w:rPr>
                <w:sz w:val="21"/>
              </w:rPr>
              <w:t>10</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主动脉夹层</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5"/>
              <w:jc w:val="center"/>
              <w:rPr>
                <w:sz w:val="21"/>
              </w:rPr>
            </w:pPr>
            <w:r>
              <w:rPr>
                <w:sz w:val="21"/>
              </w:rPr>
              <w:t>11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特定周围动脉狭窄的血管介</w:t>
            </w:r>
          </w:p>
          <w:p>
            <w:pPr>
              <w:pStyle w:val="TableParagraph"/>
              <w:spacing w:line="240" w:lineRule="auto" w:before="37"/>
              <w:rPr>
                <w:sz w:val="21"/>
              </w:rPr>
            </w:pPr>
            <w:r>
              <w:rPr>
                <w:sz w:val="21"/>
              </w:rPr>
              <w:t>入治疗</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6"/>
              <w:jc w:val="center"/>
              <w:rPr>
                <w:sz w:val="21"/>
              </w:rPr>
            </w:pPr>
            <w:r>
              <w:rPr>
                <w:sz w:val="21"/>
              </w:rPr>
              <w:t>11</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感染性心内膜炎</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5"/>
              <w:jc w:val="center"/>
              <w:rPr>
                <w:sz w:val="21"/>
              </w:rPr>
            </w:pPr>
            <w:r>
              <w:rPr>
                <w:sz w:val="21"/>
              </w:rPr>
              <w:t>12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植入心脏除纤颤器</w:t>
            </w:r>
          </w:p>
        </w:tc>
        <w:tc>
          <w:tcPr>
            <w:tcW w:w="1673" w:type="dxa"/>
            <w:vMerge/>
            <w:tcBorders>
              <w:top w:val="nil"/>
              <w:left w:val="single" w:sz="6" w:space="0" w:color="000000"/>
            </w:tcBorders>
          </w:tcPr>
          <w:p>
            <w:pPr>
              <w:rPr>
                <w:sz w:val="2"/>
                <w:szCs w:val="2"/>
              </w:rPr>
            </w:pPr>
          </w:p>
        </w:tc>
      </w:tr>
      <w:tr>
        <w:trPr>
          <w:trHeight w:val="311"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5" w:right="66"/>
              <w:jc w:val="center"/>
              <w:rPr>
                <w:sz w:val="21"/>
              </w:rPr>
            </w:pPr>
            <w:r>
              <w:rPr>
                <w:sz w:val="21"/>
              </w:rPr>
              <w:t>12</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嗜铬细胞瘤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5" w:right="65"/>
              <w:jc w:val="center"/>
              <w:rPr>
                <w:sz w:val="21"/>
              </w:rPr>
            </w:pPr>
            <w:r>
              <w:rPr>
                <w:sz w:val="21"/>
              </w:rPr>
              <w:t>13</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rPr>
                <w:sz w:val="21"/>
              </w:rPr>
            </w:pPr>
            <w:r>
              <w:rPr>
                <w:sz w:val="21"/>
              </w:rPr>
              <w:t>植入心脏起搏器</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6"/>
              <w:jc w:val="center"/>
              <w:rPr>
                <w:sz w:val="21"/>
              </w:rPr>
            </w:pPr>
            <w:r>
              <w:rPr>
                <w:sz w:val="21"/>
              </w:rPr>
              <w:t>13</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严重心肌炎</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5"/>
              <w:jc w:val="center"/>
              <w:rPr>
                <w:sz w:val="21"/>
              </w:rPr>
            </w:pPr>
            <w:r>
              <w:rPr>
                <w:sz w:val="21"/>
              </w:rPr>
              <w:t>14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激光心肌血运重建术</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6"/>
              <w:jc w:val="center"/>
              <w:rPr>
                <w:sz w:val="21"/>
              </w:rPr>
            </w:pPr>
            <w:r>
              <w:rPr>
                <w:sz w:val="21"/>
              </w:rPr>
              <w:t>14</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Ⅲ度房室传导阻滞</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5"/>
              <w:jc w:val="center"/>
              <w:rPr>
                <w:sz w:val="21"/>
              </w:rPr>
            </w:pPr>
            <w:r>
              <w:rPr>
                <w:sz w:val="21"/>
              </w:rPr>
              <w:t>15</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心包膜切除术</w:t>
            </w:r>
          </w:p>
        </w:tc>
        <w:tc>
          <w:tcPr>
            <w:tcW w:w="1673" w:type="dxa"/>
            <w:vMerge/>
            <w:tcBorders>
              <w:top w:val="nil"/>
              <w:left w:val="single" w:sz="6" w:space="0" w:color="000000"/>
            </w:tcBorders>
          </w:tcPr>
          <w:p>
            <w:pPr>
              <w:rPr>
                <w:sz w:val="2"/>
                <w:szCs w:val="2"/>
              </w:rPr>
            </w:pPr>
          </w:p>
        </w:tc>
      </w:tr>
      <w:tr>
        <w:trPr>
          <w:trHeight w:val="306"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ind w:left="95" w:right="66"/>
              <w:jc w:val="center"/>
              <w:rPr>
                <w:sz w:val="21"/>
              </w:rPr>
            </w:pPr>
            <w:r>
              <w:rPr>
                <w:sz w:val="21"/>
              </w:rPr>
              <w:t>15</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rPr>
                <w:sz w:val="21"/>
              </w:rPr>
            </w:pPr>
            <w:r>
              <w:rPr>
                <w:sz w:val="21"/>
              </w:rPr>
              <w:t>严重慢性缩窄性心包炎</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tcBorders>
          </w:tcPr>
          <w:p>
            <w:pPr>
              <w:rPr>
                <w:sz w:val="2"/>
                <w:szCs w:val="2"/>
              </w:rPr>
            </w:pPr>
          </w:p>
        </w:tc>
      </w:tr>
      <w:tr>
        <w:trPr>
          <w:trHeight w:val="308" w:hRule="atLeast"/>
        </w:trPr>
        <w:tc>
          <w:tcPr>
            <w:tcW w:w="967" w:type="dxa"/>
            <w:vMerge/>
            <w:tcBorders>
              <w:top w:val="nil"/>
              <w:right w:val="single" w:sz="6" w:space="0" w:color="000000"/>
            </w:tcBorders>
          </w:tcPr>
          <w:p>
            <w:pPr>
              <w:rPr>
                <w:sz w:val="2"/>
                <w:szCs w:val="2"/>
              </w:rPr>
            </w:pPr>
          </w:p>
        </w:tc>
        <w:tc>
          <w:tcPr>
            <w:tcW w:w="427" w:type="dxa"/>
            <w:tcBorders>
              <w:top w:val="single" w:sz="6" w:space="0" w:color="000000"/>
              <w:left w:val="single" w:sz="6" w:space="0" w:color="000000"/>
              <w:right w:val="single" w:sz="6" w:space="0" w:color="000000"/>
            </w:tcBorders>
          </w:tcPr>
          <w:p>
            <w:pPr>
              <w:pStyle w:val="TableParagraph"/>
              <w:ind w:left="95" w:right="66"/>
              <w:jc w:val="center"/>
              <w:rPr>
                <w:sz w:val="21"/>
              </w:rPr>
            </w:pPr>
            <w:r>
              <w:rPr>
                <w:sz w:val="21"/>
              </w:rPr>
              <w:t>16</w:t>
            </w:r>
          </w:p>
        </w:tc>
        <w:tc>
          <w:tcPr>
            <w:tcW w:w="2558" w:type="dxa"/>
            <w:tcBorders>
              <w:top w:val="single" w:sz="6" w:space="0" w:color="000000"/>
              <w:left w:val="single" w:sz="6" w:space="0" w:color="000000"/>
              <w:right w:val="single" w:sz="6" w:space="0" w:color="000000"/>
            </w:tcBorders>
          </w:tcPr>
          <w:p>
            <w:pPr>
              <w:pStyle w:val="TableParagraph"/>
              <w:rPr>
                <w:sz w:val="21"/>
              </w:rPr>
            </w:pPr>
            <w:r>
              <w:rPr>
                <w:sz w:val="21"/>
              </w:rPr>
              <w:t>艾森门格综合征</w:t>
            </w:r>
          </w:p>
        </w:tc>
        <w:tc>
          <w:tcPr>
            <w:tcW w:w="427" w:type="dxa"/>
            <w:tcBorders>
              <w:top w:val="single" w:sz="6" w:space="0" w:color="000000"/>
              <w:left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tcBorders>
          </w:tcPr>
          <w:p>
            <w:pPr>
              <w:rPr>
                <w:sz w:val="2"/>
                <w:szCs w:val="2"/>
              </w:rPr>
            </w:pPr>
          </w:p>
        </w:tc>
      </w:tr>
      <w:tr>
        <w:trPr>
          <w:trHeight w:val="311" w:hRule="atLeast"/>
        </w:trPr>
        <w:tc>
          <w:tcPr>
            <w:tcW w:w="967" w:type="dxa"/>
            <w:vMerge w:val="restart"/>
            <w:tcBorders>
              <w:bottom w:val="single" w:sz="6" w:space="0" w:color="000000"/>
              <w:right w:val="single" w:sz="6" w:space="0" w:color="000000"/>
            </w:tcBorders>
          </w:tcPr>
          <w:p>
            <w:pPr>
              <w:pStyle w:val="TableParagraph"/>
              <w:spacing w:line="259" w:lineRule="exact"/>
              <w:ind w:left="109"/>
              <w:rPr>
                <w:sz w:val="21"/>
              </w:rPr>
            </w:pPr>
            <w:r>
              <w:rPr>
                <w:sz w:val="21"/>
              </w:rPr>
              <w:t>第三组</w:t>
            </w:r>
          </w:p>
          <w:p>
            <w:pPr>
              <w:pStyle w:val="TableParagraph"/>
              <w:spacing w:line="273" w:lineRule="auto" w:before="37"/>
              <w:ind w:left="109" w:right="203"/>
              <w:jc w:val="both"/>
              <w:rPr>
                <w:sz w:val="21"/>
              </w:rPr>
            </w:pPr>
            <w:r>
              <w:rPr>
                <w:sz w:val="21"/>
              </w:rPr>
              <w:t>与神经系统相关的疾病</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95" w:right="66"/>
              <w:jc w:val="center"/>
              <w:rPr>
                <w:sz w:val="21"/>
              </w:rPr>
            </w:pPr>
            <w:r>
              <w:rPr>
                <w:sz w:val="21"/>
              </w:rPr>
              <w:t>17</w:t>
            </w:r>
          </w:p>
        </w:tc>
        <w:tc>
          <w:tcPr>
            <w:tcW w:w="2558" w:type="dxa"/>
            <w:tcBorders>
              <w:left w:val="single" w:sz="6" w:space="0" w:color="000000"/>
              <w:bottom w:val="single" w:sz="6" w:space="0" w:color="000000"/>
              <w:right w:val="single" w:sz="6" w:space="0" w:color="000000"/>
            </w:tcBorders>
          </w:tcPr>
          <w:p>
            <w:pPr>
              <w:pStyle w:val="TableParagraph"/>
              <w:spacing w:line="259" w:lineRule="exact"/>
              <w:rPr>
                <w:sz w:val="21"/>
              </w:rPr>
            </w:pPr>
            <w:r>
              <w:rPr>
                <w:sz w:val="21"/>
              </w:rPr>
              <w:t>脑中风后遗症√</w:t>
            </w:r>
          </w:p>
        </w:tc>
        <w:tc>
          <w:tcPr>
            <w:tcW w:w="427" w:type="dxa"/>
            <w:tcBorders>
              <w:left w:val="single" w:sz="6" w:space="0" w:color="000000"/>
              <w:bottom w:val="single" w:sz="6" w:space="0" w:color="000000"/>
              <w:right w:val="single" w:sz="6" w:space="0" w:color="000000"/>
            </w:tcBorders>
          </w:tcPr>
          <w:p>
            <w:pPr>
              <w:pStyle w:val="TableParagraph"/>
              <w:spacing w:line="259" w:lineRule="exact"/>
              <w:ind w:left="95" w:right="65"/>
              <w:jc w:val="center"/>
              <w:rPr>
                <w:sz w:val="21"/>
              </w:rPr>
            </w:pPr>
            <w:r>
              <w:rPr>
                <w:sz w:val="21"/>
              </w:rPr>
              <w:t>16</w:t>
            </w:r>
          </w:p>
        </w:tc>
        <w:tc>
          <w:tcPr>
            <w:tcW w:w="2880" w:type="dxa"/>
            <w:tcBorders>
              <w:left w:val="single" w:sz="6" w:space="0" w:color="000000"/>
              <w:bottom w:val="single" w:sz="6" w:space="0" w:color="000000"/>
              <w:right w:val="single" w:sz="6" w:space="0" w:color="000000"/>
            </w:tcBorders>
          </w:tcPr>
          <w:p>
            <w:pPr>
              <w:pStyle w:val="TableParagraph"/>
              <w:spacing w:line="259" w:lineRule="exact"/>
              <w:rPr>
                <w:sz w:val="21"/>
              </w:rPr>
            </w:pPr>
            <w:r>
              <w:rPr>
                <w:sz w:val="21"/>
              </w:rPr>
              <w:t>轻度脑中风</w:t>
            </w:r>
          </w:p>
        </w:tc>
        <w:tc>
          <w:tcPr>
            <w:tcW w:w="1673" w:type="dxa"/>
            <w:vMerge w:val="restart"/>
            <w:tcBorders>
              <w:left w:val="single" w:sz="6" w:space="0" w:color="000000"/>
              <w:bottom w:val="single" w:sz="6" w:space="0" w:color="000000"/>
            </w:tcBorders>
          </w:tcPr>
          <w:p>
            <w:pPr>
              <w:pStyle w:val="TableParagraph"/>
              <w:spacing w:line="259" w:lineRule="exact"/>
              <w:rPr>
                <w:sz w:val="21"/>
              </w:rPr>
            </w:pPr>
            <w:r>
              <w:rPr>
                <w:sz w:val="21"/>
              </w:rPr>
              <w:t>100% 基本保险</w:t>
            </w:r>
          </w:p>
          <w:p>
            <w:pPr>
              <w:pStyle w:val="TableParagraph"/>
              <w:spacing w:line="240" w:lineRule="auto" w:before="37"/>
              <w:rPr>
                <w:sz w:val="21"/>
              </w:rPr>
            </w:pPr>
            <w:r>
              <w:rPr>
                <w:sz w:val="21"/>
              </w:rPr>
              <w:t>金额</w:t>
            </w: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18</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良性脑肿瘤√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17</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脑垂体瘤、脑囊肿和脑血管瘤</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rPr>
                <w:sz w:val="21"/>
              </w:rPr>
            </w:pPr>
            <w:r>
              <w:rPr>
                <w:sz w:val="21"/>
              </w:rPr>
              <w:t>19</w:t>
            </w:r>
          </w:p>
        </w:tc>
        <w:tc>
          <w:tcPr>
            <w:tcW w:w="2558" w:type="dxa"/>
            <w:vMerge w:val="restart"/>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脑炎后遗症或脑膜炎后遗</w:t>
            </w:r>
          </w:p>
          <w:p>
            <w:pPr>
              <w:pStyle w:val="TableParagraph"/>
              <w:spacing w:line="240" w:lineRule="auto" w:before="37"/>
              <w:rPr>
                <w:sz w:val="21"/>
              </w:rPr>
            </w:pPr>
            <w:r>
              <w:rPr>
                <w:sz w:val="21"/>
              </w:rPr>
              <w:t>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18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中度细菌性脑膜炎</w:t>
            </w:r>
          </w:p>
        </w:tc>
        <w:tc>
          <w:tcPr>
            <w:tcW w:w="1673" w:type="dxa"/>
            <w:vMerge/>
            <w:tcBorders>
              <w:top w:val="nil"/>
              <w:left w:val="single" w:sz="6" w:space="0" w:color="000000"/>
              <w:bottom w:val="single" w:sz="6" w:space="0" w:color="000000"/>
            </w:tcBorders>
          </w:tcPr>
          <w:p>
            <w:pPr>
              <w:rPr>
                <w:sz w:val="2"/>
                <w:szCs w:val="2"/>
              </w:rPr>
            </w:pPr>
          </w:p>
        </w:tc>
      </w:tr>
      <w:tr>
        <w:trPr>
          <w:trHeight w:val="316" w:hRule="atLeast"/>
        </w:trPr>
        <w:tc>
          <w:tcPr>
            <w:tcW w:w="967" w:type="dxa"/>
            <w:vMerge/>
            <w:tcBorders>
              <w:top w:val="nil"/>
              <w:bottom w:val="single" w:sz="6" w:space="0" w:color="000000"/>
              <w:right w:val="single" w:sz="6" w:space="0" w:color="000000"/>
            </w:tcBorders>
          </w:tcPr>
          <w:p>
            <w:pPr>
              <w:rPr>
                <w:sz w:val="2"/>
                <w:szCs w:val="2"/>
              </w:rPr>
            </w:pPr>
          </w:p>
        </w:tc>
        <w:tc>
          <w:tcPr>
            <w:tcW w:w="427" w:type="dxa"/>
            <w:vMerge/>
            <w:tcBorders>
              <w:top w:val="nil"/>
              <w:left w:val="single" w:sz="6" w:space="0" w:color="000000"/>
              <w:bottom w:val="single" w:sz="6" w:space="0" w:color="000000"/>
              <w:right w:val="single" w:sz="6" w:space="0" w:color="000000"/>
            </w:tcBorders>
          </w:tcPr>
          <w:p>
            <w:pPr>
              <w:rPr>
                <w:sz w:val="2"/>
                <w:szCs w:val="2"/>
              </w:rPr>
            </w:pPr>
          </w:p>
        </w:tc>
        <w:tc>
          <w:tcPr>
            <w:tcW w:w="2558" w:type="dxa"/>
            <w:vMerge/>
            <w:tcBorders>
              <w:top w:val="nil"/>
              <w:left w:val="single" w:sz="6" w:space="0" w:color="000000"/>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95" w:right="65"/>
              <w:jc w:val="center"/>
              <w:rPr>
                <w:sz w:val="21"/>
              </w:rPr>
            </w:pPr>
            <w:r>
              <w:rPr>
                <w:sz w:val="21"/>
              </w:rPr>
              <w:t>19</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rPr>
                <w:sz w:val="21"/>
              </w:rPr>
            </w:pPr>
            <w:r>
              <w:rPr>
                <w:sz w:val="21"/>
              </w:rPr>
              <w:t>中度病毒性脑炎</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20</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深度昏迷√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20</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中度昏迷</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21</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重症肌无力</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中度重症肌无力</w:t>
            </w:r>
          </w:p>
        </w:tc>
        <w:tc>
          <w:tcPr>
            <w:tcW w:w="1673" w:type="dxa"/>
            <w:vMerge/>
            <w:tcBorders>
              <w:top w:val="nil"/>
              <w:left w:val="single" w:sz="6" w:space="0" w:color="000000"/>
              <w:bottom w:val="single" w:sz="6" w:space="0" w:color="000000"/>
            </w:tcBorders>
          </w:tcPr>
          <w:p>
            <w:pPr>
              <w:rPr>
                <w:sz w:val="2"/>
                <w:szCs w:val="2"/>
              </w:rPr>
            </w:pPr>
          </w:p>
        </w:tc>
      </w:tr>
      <w:tr>
        <w:trPr>
          <w:trHeight w:val="623"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22</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严重阿尔茨海默病√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早期脑退化症（包括早期阿尔</w:t>
            </w:r>
          </w:p>
          <w:p>
            <w:pPr>
              <w:pStyle w:val="TableParagraph"/>
              <w:spacing w:line="240" w:lineRule="auto" w:before="37"/>
              <w:rPr>
                <w:sz w:val="21"/>
              </w:rPr>
            </w:pPr>
            <w:r>
              <w:rPr>
                <w:sz w:val="21"/>
              </w:rPr>
              <w:t>茨海默病）</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23</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严重脑损伤√</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23</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严重头部外伤</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24</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严重帕金森病√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24</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中度帕金森病</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25</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严重运动神经元病√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25</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早期运动神经元病</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26</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破裂脑动脉瘤夹闭手术</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26</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颈动脉内膜切除手术</w:t>
            </w:r>
          </w:p>
        </w:tc>
        <w:tc>
          <w:tcPr>
            <w:tcW w:w="1673" w:type="dxa"/>
            <w:vMerge/>
            <w:tcBorders>
              <w:top w:val="nil"/>
              <w:left w:val="single" w:sz="6" w:space="0" w:color="000000"/>
              <w:bottom w:val="single" w:sz="6" w:space="0" w:color="000000"/>
            </w:tcBorders>
          </w:tcPr>
          <w:p>
            <w:pPr>
              <w:rPr>
                <w:sz w:val="2"/>
                <w:szCs w:val="2"/>
              </w:rPr>
            </w:pPr>
          </w:p>
        </w:tc>
      </w:tr>
      <w:tr>
        <w:trPr>
          <w:trHeight w:val="316"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95" w:right="66"/>
              <w:jc w:val="center"/>
              <w:rPr>
                <w:sz w:val="21"/>
              </w:rPr>
            </w:pPr>
            <w:r>
              <w:rPr>
                <w:sz w:val="21"/>
              </w:rPr>
              <w:t>27</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rPr>
                <w:sz w:val="21"/>
              </w:rPr>
            </w:pPr>
            <w:r>
              <w:rPr>
                <w:sz w:val="21"/>
              </w:rPr>
              <w:t>语言能力丧失√</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95" w:right="65"/>
              <w:jc w:val="center"/>
              <w:rPr>
                <w:sz w:val="21"/>
              </w:rPr>
            </w:pPr>
            <w:r>
              <w:rPr>
                <w:sz w:val="21"/>
              </w:rPr>
              <w:t>27</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rPr>
                <w:sz w:val="21"/>
              </w:rPr>
            </w:pPr>
            <w:r>
              <w:rPr>
                <w:sz w:val="21"/>
              </w:rPr>
              <w:t>颈动脉狭窄介入治疗</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28</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严重多发性硬化</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28</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植入大脑内分流器</w:t>
            </w: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29</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肌营养不良症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5"/>
              <w:jc w:val="center"/>
              <w:rPr>
                <w:sz w:val="21"/>
              </w:rPr>
            </w:pPr>
            <w:r>
              <w:rPr>
                <w:sz w:val="21"/>
              </w:rPr>
              <w:t>29</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结核性脊髓炎</w:t>
            </w:r>
          </w:p>
        </w:tc>
        <w:tc>
          <w:tcPr>
            <w:tcW w:w="1673" w:type="dxa"/>
            <w:vMerge/>
            <w:tcBorders>
              <w:top w:val="nil"/>
              <w:left w:val="single" w:sz="6" w:space="0" w:color="000000"/>
              <w:bottom w:val="single" w:sz="6" w:space="0" w:color="000000"/>
            </w:tcBorders>
          </w:tcPr>
          <w:p>
            <w:pPr>
              <w:rPr>
                <w:sz w:val="2"/>
                <w:szCs w:val="2"/>
              </w:rPr>
            </w:pPr>
          </w:p>
        </w:tc>
      </w:tr>
      <w:tr>
        <w:trPr>
          <w:trHeight w:val="623"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30</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非阿尔茨海默病所致严重</w:t>
            </w:r>
          </w:p>
          <w:p>
            <w:pPr>
              <w:pStyle w:val="TableParagraph"/>
              <w:spacing w:line="240" w:lineRule="auto" w:before="37"/>
              <w:rPr>
                <w:sz w:val="21"/>
              </w:rPr>
            </w:pPr>
            <w:r>
              <w:rPr>
                <w:sz w:val="21"/>
              </w:rPr>
              <w:t>痴呆</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31</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植物人状态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32</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瘫痪√</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bottom w:val="single" w:sz="6" w:space="0" w:color="000000"/>
            </w:tcBorders>
          </w:tcPr>
          <w:p>
            <w:pPr>
              <w:rPr>
                <w:sz w:val="2"/>
                <w:szCs w:val="2"/>
              </w:rPr>
            </w:pPr>
          </w:p>
        </w:tc>
      </w:tr>
      <w:tr>
        <w:trPr>
          <w:trHeight w:val="311" w:hRule="atLeast"/>
        </w:trPr>
        <w:tc>
          <w:tcPr>
            <w:tcW w:w="967" w:type="dxa"/>
            <w:vMerge/>
            <w:tcBorders>
              <w:top w:val="nil"/>
              <w:bottom w:val="single" w:sz="6" w:space="0" w:color="000000"/>
              <w:right w:val="single" w:sz="6" w:space="0" w:color="000000"/>
            </w:tcBorders>
          </w:tcPr>
          <w:p>
            <w:pPr>
              <w:rPr>
                <w:sz w:val="2"/>
                <w:szCs w:val="2"/>
              </w:rPr>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5" w:right="66"/>
              <w:jc w:val="center"/>
              <w:rPr>
                <w:sz w:val="21"/>
              </w:rPr>
            </w:pPr>
            <w:r>
              <w:rPr>
                <w:sz w:val="21"/>
              </w:rPr>
              <w:t>33</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rPr>
                <w:sz w:val="21"/>
              </w:rPr>
            </w:pPr>
            <w:r>
              <w:rPr>
                <w:sz w:val="21"/>
              </w:rPr>
              <w:t>严重克-雅二氏病</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0"/>
              <w:rPr>
                <w:rFonts w:ascii="Times New Roman"/>
                <w:sz w:val="20"/>
              </w:rPr>
            </w:pPr>
          </w:p>
        </w:tc>
        <w:tc>
          <w:tcPr>
            <w:tcW w:w="1673" w:type="dxa"/>
            <w:vMerge/>
            <w:tcBorders>
              <w:top w:val="nil"/>
              <w:left w:val="single" w:sz="6" w:space="0" w:color="000000"/>
              <w:bottom w:val="single" w:sz="6" w:space="0" w:color="000000"/>
            </w:tcBorders>
          </w:tcPr>
          <w:p>
            <w:pPr>
              <w:rPr>
                <w:sz w:val="2"/>
                <w:szCs w:val="2"/>
              </w:rPr>
            </w:pPr>
          </w:p>
        </w:tc>
      </w:tr>
    </w:tbl>
    <w:p>
      <w:pPr>
        <w:spacing w:after="0"/>
        <w:rPr>
          <w:sz w:val="2"/>
          <w:szCs w:val="2"/>
        </w:rPr>
        <w:sectPr>
          <w:pgSz w:w="11910" w:h="16840"/>
          <w:pgMar w:header="870" w:footer="998" w:top="1120" w:bottom="1180" w:left="1300" w:right="1240"/>
        </w:sectPr>
      </w:pPr>
    </w:p>
    <w:p>
      <w:pPr>
        <w:pStyle w:val="BodyText"/>
        <w:spacing w:before="4" w:after="1"/>
        <w:rPr>
          <w:rFonts w:ascii="Times New Roman"/>
          <w:sz w:val="24"/>
        </w:rPr>
      </w:pPr>
    </w:p>
    <w:tbl>
      <w:tblPr>
        <w:tblW w:w="0" w:type="auto"/>
        <w:jc w:val="left"/>
        <w:tblInd w:w="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7"/>
        <w:gridCol w:w="427"/>
        <w:gridCol w:w="2558"/>
        <w:gridCol w:w="427"/>
        <w:gridCol w:w="2880"/>
        <w:gridCol w:w="1673"/>
      </w:tblGrid>
      <w:tr>
        <w:trPr>
          <w:trHeight w:val="313" w:hRule="atLeast"/>
        </w:trPr>
        <w:tc>
          <w:tcPr>
            <w:tcW w:w="967" w:type="dxa"/>
            <w:vMerge w:val="restart"/>
            <w:tcBorders>
              <w:left w:val="single" w:sz="8" w:space="0" w:color="000000"/>
              <w:bottom w:val="single" w:sz="8" w:space="0" w:color="000000"/>
            </w:tcBorders>
          </w:tcPr>
          <w:p>
            <w:pPr>
              <w:pStyle w:val="TableParagraph"/>
              <w:spacing w:line="240" w:lineRule="auto"/>
              <w:ind w:left="0"/>
              <w:rPr>
                <w:rFonts w:ascii="Times New Roman"/>
                <w:sz w:val="20"/>
              </w:rPr>
            </w:pPr>
          </w:p>
        </w:tc>
        <w:tc>
          <w:tcPr>
            <w:tcW w:w="427" w:type="dxa"/>
          </w:tcPr>
          <w:p>
            <w:pPr>
              <w:pStyle w:val="TableParagraph"/>
              <w:spacing w:line="264" w:lineRule="exact"/>
              <w:ind w:left="95" w:right="66"/>
              <w:jc w:val="center"/>
              <w:rPr>
                <w:sz w:val="21"/>
              </w:rPr>
            </w:pPr>
            <w:r>
              <w:rPr>
                <w:sz w:val="21"/>
              </w:rPr>
              <w:t>34</w:t>
            </w:r>
          </w:p>
        </w:tc>
        <w:tc>
          <w:tcPr>
            <w:tcW w:w="2558" w:type="dxa"/>
          </w:tcPr>
          <w:p>
            <w:pPr>
              <w:pStyle w:val="TableParagraph"/>
              <w:spacing w:line="264" w:lineRule="exact"/>
              <w:rPr>
                <w:sz w:val="21"/>
              </w:rPr>
            </w:pPr>
            <w:r>
              <w:rPr>
                <w:sz w:val="21"/>
              </w:rPr>
              <w:t>脑外科手术</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val="restart"/>
            <w:tcBorders>
              <w:bottom w:val="single" w:sz="8" w:space="0" w:color="000000"/>
              <w:right w:val="single" w:sz="8" w:space="0" w:color="000000"/>
            </w:tcBorders>
          </w:tcPr>
          <w:p>
            <w:pPr>
              <w:pStyle w:val="TableParagraph"/>
              <w:spacing w:line="240" w:lineRule="auto"/>
              <w:ind w:left="0"/>
              <w:rPr>
                <w:rFonts w:ascii="Times New Roman"/>
                <w:sz w:val="20"/>
              </w:rPr>
            </w:pPr>
          </w:p>
        </w:tc>
      </w:tr>
      <w:tr>
        <w:trPr>
          <w:trHeight w:val="308" w:hRule="atLeast"/>
        </w:trPr>
        <w:tc>
          <w:tcPr>
            <w:tcW w:w="96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ind w:left="95" w:right="66"/>
              <w:jc w:val="center"/>
              <w:rPr>
                <w:sz w:val="21"/>
              </w:rPr>
            </w:pPr>
            <w:r>
              <w:rPr>
                <w:sz w:val="21"/>
              </w:rPr>
              <w:t>35</w:t>
            </w:r>
          </w:p>
        </w:tc>
        <w:tc>
          <w:tcPr>
            <w:tcW w:w="2558" w:type="dxa"/>
            <w:tcBorders>
              <w:bottom w:val="single" w:sz="8" w:space="0" w:color="000000"/>
            </w:tcBorders>
          </w:tcPr>
          <w:p>
            <w:pPr>
              <w:pStyle w:val="TableParagraph"/>
              <w:rPr>
                <w:sz w:val="21"/>
              </w:rPr>
            </w:pPr>
            <w:r>
              <w:rPr>
                <w:sz w:val="21"/>
              </w:rPr>
              <w:t>进行性核上性麻痹</w:t>
            </w:r>
          </w:p>
        </w:tc>
        <w:tc>
          <w:tcPr>
            <w:tcW w:w="427" w:type="dxa"/>
            <w:tcBorders>
              <w:bottom w:val="single" w:sz="8" w:space="0" w:color="000000"/>
            </w:tcBorders>
          </w:tcPr>
          <w:p>
            <w:pPr>
              <w:pStyle w:val="TableParagraph"/>
              <w:spacing w:line="240" w:lineRule="auto"/>
              <w:ind w:left="0"/>
              <w:rPr>
                <w:rFonts w:ascii="Times New Roman"/>
                <w:sz w:val="20"/>
              </w:rPr>
            </w:pPr>
          </w:p>
        </w:tc>
        <w:tc>
          <w:tcPr>
            <w:tcW w:w="2880" w:type="dxa"/>
            <w:tcBorders>
              <w:bottom w:val="single" w:sz="8" w:space="0" w:color="000000"/>
            </w:tcBorders>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620" w:hRule="atLeast"/>
        </w:trPr>
        <w:tc>
          <w:tcPr>
            <w:tcW w:w="967" w:type="dxa"/>
            <w:vMerge w:val="restart"/>
            <w:tcBorders>
              <w:top w:val="single" w:sz="8" w:space="0" w:color="000000"/>
              <w:left w:val="single" w:sz="8" w:space="0" w:color="000000"/>
              <w:bottom w:val="single" w:sz="8" w:space="0" w:color="000000"/>
            </w:tcBorders>
          </w:tcPr>
          <w:p>
            <w:pPr>
              <w:pStyle w:val="TableParagraph"/>
              <w:spacing w:line="259" w:lineRule="exact"/>
              <w:ind w:left="109"/>
              <w:rPr>
                <w:sz w:val="21"/>
              </w:rPr>
            </w:pPr>
            <w:r>
              <w:rPr>
                <w:sz w:val="21"/>
              </w:rPr>
              <w:t>第四组</w:t>
            </w:r>
          </w:p>
          <w:p>
            <w:pPr>
              <w:pStyle w:val="TableParagraph"/>
              <w:spacing w:line="273" w:lineRule="auto" w:before="37"/>
              <w:ind w:left="109" w:right="203"/>
              <w:jc w:val="both"/>
              <w:rPr>
                <w:sz w:val="21"/>
              </w:rPr>
            </w:pPr>
            <w:r>
              <w:rPr>
                <w:sz w:val="21"/>
              </w:rPr>
              <w:t>与主要器官及功能相关的疾病</w:t>
            </w:r>
          </w:p>
        </w:tc>
        <w:tc>
          <w:tcPr>
            <w:tcW w:w="427" w:type="dxa"/>
            <w:tcBorders>
              <w:top w:val="single" w:sz="8" w:space="0" w:color="000000"/>
            </w:tcBorders>
          </w:tcPr>
          <w:p>
            <w:pPr>
              <w:pStyle w:val="TableParagraph"/>
              <w:spacing w:line="259" w:lineRule="exact"/>
              <w:ind w:left="95" w:right="66"/>
              <w:jc w:val="center"/>
              <w:rPr>
                <w:sz w:val="21"/>
              </w:rPr>
            </w:pPr>
            <w:r>
              <w:rPr>
                <w:sz w:val="21"/>
              </w:rPr>
              <w:t>36</w:t>
            </w:r>
          </w:p>
        </w:tc>
        <w:tc>
          <w:tcPr>
            <w:tcW w:w="2558" w:type="dxa"/>
            <w:tcBorders>
              <w:top w:val="single" w:sz="8" w:space="0" w:color="000000"/>
            </w:tcBorders>
          </w:tcPr>
          <w:p>
            <w:pPr>
              <w:pStyle w:val="TableParagraph"/>
              <w:spacing w:line="259" w:lineRule="exact"/>
              <w:rPr>
                <w:sz w:val="21"/>
              </w:rPr>
            </w:pPr>
            <w:r>
              <w:rPr>
                <w:sz w:val="21"/>
              </w:rPr>
              <w:t>终末期肾病（或称慢性肾</w:t>
            </w:r>
          </w:p>
          <w:p>
            <w:pPr>
              <w:pStyle w:val="TableParagraph"/>
              <w:spacing w:line="240" w:lineRule="auto" w:before="37"/>
              <w:rPr>
                <w:sz w:val="21"/>
              </w:rPr>
            </w:pPr>
            <w:r>
              <w:rPr>
                <w:sz w:val="21"/>
              </w:rPr>
              <w:t>功能衰竭尿毒症期）√</w:t>
            </w:r>
          </w:p>
        </w:tc>
        <w:tc>
          <w:tcPr>
            <w:tcW w:w="427" w:type="dxa"/>
            <w:tcBorders>
              <w:top w:val="single" w:sz="8" w:space="0" w:color="000000"/>
            </w:tcBorders>
          </w:tcPr>
          <w:p>
            <w:pPr>
              <w:pStyle w:val="TableParagraph"/>
              <w:spacing w:line="259" w:lineRule="exact"/>
              <w:ind w:left="95" w:right="65"/>
              <w:jc w:val="center"/>
              <w:rPr>
                <w:sz w:val="21"/>
              </w:rPr>
            </w:pPr>
            <w:r>
              <w:rPr>
                <w:sz w:val="21"/>
              </w:rPr>
              <w:t>30</w:t>
            </w:r>
          </w:p>
        </w:tc>
        <w:tc>
          <w:tcPr>
            <w:tcW w:w="2880" w:type="dxa"/>
            <w:tcBorders>
              <w:top w:val="single" w:sz="8" w:space="0" w:color="000000"/>
            </w:tcBorders>
          </w:tcPr>
          <w:p>
            <w:pPr>
              <w:pStyle w:val="TableParagraph"/>
              <w:spacing w:line="259" w:lineRule="exact"/>
              <w:rPr>
                <w:sz w:val="21"/>
              </w:rPr>
            </w:pPr>
            <w:r>
              <w:rPr>
                <w:sz w:val="21"/>
              </w:rPr>
              <w:t>单肾切除手术</w:t>
            </w:r>
          </w:p>
        </w:tc>
        <w:tc>
          <w:tcPr>
            <w:tcW w:w="1673" w:type="dxa"/>
            <w:vMerge w:val="restart"/>
            <w:tcBorders>
              <w:top w:val="single" w:sz="8" w:space="0" w:color="000000"/>
              <w:bottom w:val="single" w:sz="8" w:space="0" w:color="000000"/>
              <w:right w:val="single" w:sz="8" w:space="0" w:color="000000"/>
            </w:tcBorders>
          </w:tcPr>
          <w:p>
            <w:pPr>
              <w:pStyle w:val="TableParagraph"/>
              <w:spacing w:line="259" w:lineRule="exact"/>
              <w:rPr>
                <w:sz w:val="21"/>
              </w:rPr>
            </w:pPr>
            <w:r>
              <w:rPr>
                <w:sz w:val="21"/>
              </w:rPr>
              <w:t>100% 基本保险</w:t>
            </w:r>
          </w:p>
          <w:p>
            <w:pPr>
              <w:pStyle w:val="TableParagraph"/>
              <w:spacing w:line="240" w:lineRule="auto" w:before="37"/>
              <w:rPr>
                <w:sz w:val="21"/>
              </w:rPr>
            </w:pPr>
            <w:r>
              <w:rPr>
                <w:sz w:val="21"/>
              </w:rPr>
              <w:t>金额</w:t>
            </w: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37</w:t>
            </w:r>
          </w:p>
        </w:tc>
        <w:tc>
          <w:tcPr>
            <w:tcW w:w="2558" w:type="dxa"/>
          </w:tcPr>
          <w:p>
            <w:pPr>
              <w:pStyle w:val="TableParagraph"/>
              <w:rPr>
                <w:sz w:val="21"/>
              </w:rPr>
            </w:pPr>
            <w:r>
              <w:rPr>
                <w:sz w:val="21"/>
              </w:rPr>
              <w:t>多个肢体缺失√</w:t>
            </w:r>
          </w:p>
        </w:tc>
        <w:tc>
          <w:tcPr>
            <w:tcW w:w="427" w:type="dxa"/>
            <w:vMerge w:val="restart"/>
          </w:tcPr>
          <w:p>
            <w:pPr>
              <w:pStyle w:val="TableParagraph"/>
              <w:rPr>
                <w:sz w:val="21"/>
              </w:rPr>
            </w:pPr>
            <w:r>
              <w:rPr>
                <w:sz w:val="21"/>
              </w:rPr>
              <w:t>31</w:t>
            </w:r>
          </w:p>
        </w:tc>
        <w:tc>
          <w:tcPr>
            <w:tcW w:w="2880" w:type="dxa"/>
            <w:vMerge w:val="restart"/>
          </w:tcPr>
          <w:p>
            <w:pPr>
              <w:pStyle w:val="TableParagraph"/>
              <w:ind w:left="116"/>
              <w:rPr>
                <w:sz w:val="21"/>
              </w:rPr>
            </w:pPr>
            <w:r>
              <w:rPr>
                <w:sz w:val="21"/>
              </w:rPr>
              <w:t>单个肢体缺失</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38</w:t>
            </w:r>
          </w:p>
        </w:tc>
        <w:tc>
          <w:tcPr>
            <w:tcW w:w="2558" w:type="dxa"/>
          </w:tcPr>
          <w:p>
            <w:pPr>
              <w:pStyle w:val="TableParagraph"/>
              <w:rPr>
                <w:sz w:val="21"/>
              </w:rPr>
            </w:pPr>
            <w:r>
              <w:rPr>
                <w:sz w:val="21"/>
              </w:rPr>
              <w:t>一肢及单眼缺失</w:t>
            </w:r>
          </w:p>
        </w:tc>
        <w:tc>
          <w:tcPr>
            <w:tcW w:w="427" w:type="dxa"/>
            <w:vMerge/>
            <w:tcBorders>
              <w:top w:val="nil"/>
            </w:tcBorders>
          </w:tcPr>
          <w:p>
            <w:pPr>
              <w:rPr>
                <w:sz w:val="2"/>
                <w:szCs w:val="2"/>
              </w:rPr>
            </w:pPr>
          </w:p>
        </w:tc>
        <w:tc>
          <w:tcPr>
            <w:tcW w:w="2880" w:type="dxa"/>
            <w:vMerge/>
            <w:tcBorders>
              <w:top w:val="nil"/>
            </w:tcBorders>
          </w:tcPr>
          <w:p>
            <w:pPr>
              <w:rPr>
                <w:sz w:val="2"/>
                <w:szCs w:val="2"/>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39</w:t>
            </w:r>
          </w:p>
        </w:tc>
        <w:tc>
          <w:tcPr>
            <w:tcW w:w="2558" w:type="dxa"/>
          </w:tcPr>
          <w:p>
            <w:pPr>
              <w:pStyle w:val="TableParagraph"/>
              <w:rPr>
                <w:sz w:val="21"/>
              </w:rPr>
            </w:pPr>
            <w:r>
              <w:rPr>
                <w:sz w:val="21"/>
              </w:rPr>
              <w:t>急性或亚急性重症肝炎√</w:t>
            </w:r>
          </w:p>
        </w:tc>
        <w:tc>
          <w:tcPr>
            <w:tcW w:w="427" w:type="dxa"/>
          </w:tcPr>
          <w:p>
            <w:pPr>
              <w:pStyle w:val="TableParagraph"/>
              <w:ind w:left="95" w:right="65"/>
              <w:jc w:val="center"/>
              <w:rPr>
                <w:sz w:val="21"/>
              </w:rPr>
            </w:pPr>
            <w:r>
              <w:rPr>
                <w:sz w:val="21"/>
              </w:rPr>
              <w:t>32</w:t>
            </w:r>
          </w:p>
        </w:tc>
        <w:tc>
          <w:tcPr>
            <w:tcW w:w="2880" w:type="dxa"/>
          </w:tcPr>
          <w:p>
            <w:pPr>
              <w:pStyle w:val="TableParagraph"/>
              <w:rPr>
                <w:sz w:val="21"/>
              </w:rPr>
            </w:pPr>
            <w:r>
              <w:rPr>
                <w:sz w:val="21"/>
              </w:rPr>
              <w:t>病毒性肝炎导致的肝硬化</w:t>
            </w:r>
          </w:p>
        </w:tc>
        <w:tc>
          <w:tcPr>
            <w:tcW w:w="1673" w:type="dxa"/>
            <w:vMerge/>
            <w:tcBorders>
              <w:top w:val="nil"/>
              <w:bottom w:val="single" w:sz="8" w:space="0" w:color="000000"/>
              <w:right w:val="single" w:sz="8" w:space="0" w:color="000000"/>
            </w:tcBorders>
          </w:tcPr>
          <w:p>
            <w:pPr>
              <w:rPr>
                <w:sz w:val="2"/>
                <w:szCs w:val="2"/>
              </w:rPr>
            </w:pPr>
          </w:p>
        </w:tc>
      </w:tr>
      <w:tr>
        <w:trPr>
          <w:trHeight w:val="618"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40</w:t>
            </w:r>
          </w:p>
        </w:tc>
        <w:tc>
          <w:tcPr>
            <w:tcW w:w="2558" w:type="dxa"/>
          </w:tcPr>
          <w:p>
            <w:pPr>
              <w:pStyle w:val="TableParagraph"/>
              <w:rPr>
                <w:sz w:val="21"/>
              </w:rPr>
            </w:pPr>
            <w:r>
              <w:rPr>
                <w:sz w:val="21"/>
              </w:rPr>
              <w:t>慢性肝功能衰竭失代偿期</w:t>
            </w:r>
          </w:p>
          <w:p>
            <w:pPr>
              <w:pStyle w:val="TableParagraph"/>
              <w:spacing w:line="240" w:lineRule="auto" w:before="37"/>
              <w:rPr>
                <w:sz w:val="21"/>
              </w:rPr>
            </w:pPr>
            <w:r>
              <w:rPr>
                <w:w w:val="100"/>
                <w:sz w:val="21"/>
              </w:rPr>
              <w:t>√</w:t>
            </w:r>
          </w:p>
        </w:tc>
        <w:tc>
          <w:tcPr>
            <w:tcW w:w="427" w:type="dxa"/>
          </w:tcPr>
          <w:p>
            <w:pPr>
              <w:pStyle w:val="TableParagraph"/>
              <w:ind w:left="95" w:right="65"/>
              <w:jc w:val="center"/>
              <w:rPr>
                <w:sz w:val="21"/>
              </w:rPr>
            </w:pPr>
            <w:r>
              <w:rPr>
                <w:sz w:val="21"/>
              </w:rPr>
              <w:t>33</w:t>
            </w:r>
          </w:p>
        </w:tc>
        <w:tc>
          <w:tcPr>
            <w:tcW w:w="2880" w:type="dxa"/>
          </w:tcPr>
          <w:p>
            <w:pPr>
              <w:pStyle w:val="TableParagraph"/>
              <w:rPr>
                <w:sz w:val="21"/>
              </w:rPr>
            </w:pPr>
            <w:r>
              <w:rPr>
                <w:sz w:val="21"/>
              </w:rPr>
              <w:t>左和/或右肝叶切除术</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41</w:t>
            </w:r>
          </w:p>
        </w:tc>
        <w:tc>
          <w:tcPr>
            <w:tcW w:w="2558" w:type="dxa"/>
          </w:tcPr>
          <w:p>
            <w:pPr>
              <w:pStyle w:val="TableParagraph"/>
              <w:rPr>
                <w:sz w:val="21"/>
              </w:rPr>
            </w:pPr>
            <w:r>
              <w:rPr>
                <w:sz w:val="21"/>
              </w:rPr>
              <w:t>双目失明√</w:t>
            </w:r>
          </w:p>
        </w:tc>
        <w:tc>
          <w:tcPr>
            <w:tcW w:w="427" w:type="dxa"/>
          </w:tcPr>
          <w:p>
            <w:pPr>
              <w:pStyle w:val="TableParagraph"/>
              <w:ind w:left="95" w:right="65"/>
              <w:jc w:val="center"/>
              <w:rPr>
                <w:sz w:val="21"/>
              </w:rPr>
            </w:pPr>
            <w:r>
              <w:rPr>
                <w:sz w:val="21"/>
              </w:rPr>
              <w:t>34</w:t>
            </w:r>
          </w:p>
        </w:tc>
        <w:tc>
          <w:tcPr>
            <w:tcW w:w="2880" w:type="dxa"/>
          </w:tcPr>
          <w:p>
            <w:pPr>
              <w:pStyle w:val="TableParagraph"/>
              <w:rPr>
                <w:sz w:val="21"/>
              </w:rPr>
            </w:pPr>
            <w:r>
              <w:rPr>
                <w:sz w:val="21"/>
              </w:rPr>
              <w:t>单眼视力丧失</w:t>
            </w:r>
          </w:p>
        </w:tc>
        <w:tc>
          <w:tcPr>
            <w:tcW w:w="1673" w:type="dxa"/>
            <w:vMerge/>
            <w:tcBorders>
              <w:top w:val="nil"/>
              <w:bottom w:val="single" w:sz="8" w:space="0" w:color="000000"/>
              <w:right w:val="single" w:sz="8" w:space="0" w:color="000000"/>
            </w:tcBorders>
          </w:tcPr>
          <w:p>
            <w:pPr>
              <w:rPr>
                <w:sz w:val="2"/>
                <w:szCs w:val="2"/>
              </w:rPr>
            </w:pPr>
          </w:p>
        </w:tc>
      </w:tr>
      <w:tr>
        <w:trPr>
          <w:trHeight w:val="623"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62" w:lineRule="exact"/>
              <w:ind w:left="95" w:right="66"/>
              <w:jc w:val="center"/>
              <w:rPr>
                <w:sz w:val="21"/>
              </w:rPr>
            </w:pPr>
            <w:r>
              <w:rPr>
                <w:sz w:val="21"/>
              </w:rPr>
              <w:t>42</w:t>
            </w:r>
          </w:p>
        </w:tc>
        <w:tc>
          <w:tcPr>
            <w:tcW w:w="2558" w:type="dxa"/>
          </w:tcPr>
          <w:p>
            <w:pPr>
              <w:pStyle w:val="TableParagraph"/>
              <w:spacing w:line="273" w:lineRule="auto"/>
              <w:ind w:right="78"/>
              <w:rPr>
                <w:sz w:val="21"/>
              </w:rPr>
            </w:pPr>
            <w:r>
              <w:rPr>
                <w:sz w:val="21"/>
              </w:rPr>
              <w:t>系统性红斑狼疮－Ⅲ型或以上狼疮性肾炎</w:t>
            </w:r>
          </w:p>
        </w:tc>
        <w:tc>
          <w:tcPr>
            <w:tcW w:w="427" w:type="dxa"/>
          </w:tcPr>
          <w:p>
            <w:pPr>
              <w:pStyle w:val="TableParagraph"/>
              <w:spacing w:line="262" w:lineRule="exact"/>
              <w:ind w:left="95" w:right="65"/>
              <w:jc w:val="center"/>
              <w:rPr>
                <w:sz w:val="21"/>
              </w:rPr>
            </w:pPr>
            <w:r>
              <w:rPr>
                <w:sz w:val="21"/>
              </w:rPr>
              <w:t>35</w:t>
            </w:r>
          </w:p>
        </w:tc>
        <w:tc>
          <w:tcPr>
            <w:tcW w:w="2880" w:type="dxa"/>
          </w:tcPr>
          <w:p>
            <w:pPr>
              <w:pStyle w:val="TableParagraph"/>
              <w:spacing w:line="262" w:lineRule="exact"/>
              <w:rPr>
                <w:sz w:val="21"/>
              </w:rPr>
            </w:pPr>
            <w:r>
              <w:rPr>
                <w:sz w:val="21"/>
              </w:rPr>
              <w:t>中度系统性红斑狼疮</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43</w:t>
            </w:r>
          </w:p>
        </w:tc>
        <w:tc>
          <w:tcPr>
            <w:tcW w:w="2558" w:type="dxa"/>
          </w:tcPr>
          <w:p>
            <w:pPr>
              <w:pStyle w:val="TableParagraph"/>
              <w:rPr>
                <w:sz w:val="21"/>
              </w:rPr>
            </w:pPr>
            <w:r>
              <w:rPr>
                <w:sz w:val="21"/>
              </w:rPr>
              <w:t>慢性呼吸功能衰竭</w:t>
            </w:r>
          </w:p>
        </w:tc>
        <w:tc>
          <w:tcPr>
            <w:tcW w:w="427" w:type="dxa"/>
          </w:tcPr>
          <w:p>
            <w:pPr>
              <w:pStyle w:val="TableParagraph"/>
              <w:ind w:left="95" w:right="65"/>
              <w:jc w:val="center"/>
              <w:rPr>
                <w:sz w:val="21"/>
              </w:rPr>
            </w:pPr>
            <w:r>
              <w:rPr>
                <w:sz w:val="21"/>
              </w:rPr>
              <w:t>36</w:t>
            </w:r>
          </w:p>
        </w:tc>
        <w:tc>
          <w:tcPr>
            <w:tcW w:w="2880" w:type="dxa"/>
          </w:tcPr>
          <w:p>
            <w:pPr>
              <w:pStyle w:val="TableParagraph"/>
              <w:rPr>
                <w:sz w:val="21"/>
              </w:rPr>
            </w:pPr>
            <w:r>
              <w:rPr>
                <w:sz w:val="21"/>
              </w:rPr>
              <w:t>单肺切除手术</w:t>
            </w:r>
          </w:p>
        </w:tc>
        <w:tc>
          <w:tcPr>
            <w:tcW w:w="1673" w:type="dxa"/>
            <w:vMerge/>
            <w:tcBorders>
              <w:top w:val="nil"/>
              <w:bottom w:val="single" w:sz="8" w:space="0" w:color="000000"/>
              <w:right w:val="single" w:sz="8" w:space="0" w:color="000000"/>
            </w:tcBorders>
          </w:tcPr>
          <w:p>
            <w:pPr>
              <w:rPr>
                <w:sz w:val="2"/>
                <w:szCs w:val="2"/>
              </w:rPr>
            </w:pPr>
          </w:p>
        </w:tc>
      </w:tr>
      <w:tr>
        <w:trPr>
          <w:trHeight w:val="618"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44</w:t>
            </w:r>
          </w:p>
        </w:tc>
        <w:tc>
          <w:tcPr>
            <w:tcW w:w="2558" w:type="dxa"/>
          </w:tcPr>
          <w:p>
            <w:pPr>
              <w:pStyle w:val="TableParagraph"/>
              <w:rPr>
                <w:sz w:val="21"/>
              </w:rPr>
            </w:pPr>
            <w:r>
              <w:rPr>
                <w:sz w:val="21"/>
              </w:rPr>
              <w:t>原发性硬化性胆管炎</w:t>
            </w:r>
          </w:p>
        </w:tc>
        <w:tc>
          <w:tcPr>
            <w:tcW w:w="427" w:type="dxa"/>
          </w:tcPr>
          <w:p>
            <w:pPr>
              <w:pStyle w:val="TableParagraph"/>
              <w:ind w:left="95" w:right="65"/>
              <w:jc w:val="center"/>
              <w:rPr>
                <w:sz w:val="21"/>
              </w:rPr>
            </w:pPr>
            <w:r>
              <w:rPr>
                <w:sz w:val="21"/>
              </w:rPr>
              <w:t>37</w:t>
            </w:r>
          </w:p>
        </w:tc>
        <w:tc>
          <w:tcPr>
            <w:tcW w:w="2880" w:type="dxa"/>
          </w:tcPr>
          <w:p>
            <w:pPr>
              <w:pStyle w:val="TableParagraph"/>
              <w:rPr>
                <w:sz w:val="21"/>
              </w:rPr>
            </w:pPr>
            <w:r>
              <w:rPr>
                <w:sz w:val="21"/>
              </w:rPr>
              <w:t>胆总管小肠吻合术（胆道重建</w:t>
            </w:r>
          </w:p>
          <w:p>
            <w:pPr>
              <w:pStyle w:val="TableParagraph"/>
              <w:spacing w:line="240" w:lineRule="auto" w:before="37"/>
              <w:rPr>
                <w:sz w:val="21"/>
              </w:rPr>
            </w:pPr>
            <w:r>
              <w:rPr>
                <w:sz w:val="21"/>
              </w:rPr>
              <w:t>手术）</w:t>
            </w:r>
          </w:p>
        </w:tc>
        <w:tc>
          <w:tcPr>
            <w:tcW w:w="1673" w:type="dxa"/>
            <w:vMerge/>
            <w:tcBorders>
              <w:top w:val="nil"/>
              <w:bottom w:val="single" w:sz="8" w:space="0" w:color="000000"/>
              <w:right w:val="single" w:sz="8" w:space="0" w:color="000000"/>
            </w:tcBorders>
          </w:tcPr>
          <w:p>
            <w:pPr>
              <w:rPr>
                <w:sz w:val="2"/>
                <w:szCs w:val="2"/>
              </w:rPr>
            </w:pPr>
          </w:p>
        </w:tc>
      </w:tr>
      <w:tr>
        <w:trPr>
          <w:trHeight w:val="330"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45</w:t>
            </w:r>
          </w:p>
        </w:tc>
        <w:tc>
          <w:tcPr>
            <w:tcW w:w="2558" w:type="dxa"/>
          </w:tcPr>
          <w:p>
            <w:pPr>
              <w:pStyle w:val="TableParagraph"/>
              <w:rPr>
                <w:sz w:val="21"/>
              </w:rPr>
            </w:pPr>
            <w:r>
              <w:rPr>
                <w:sz w:val="21"/>
              </w:rPr>
              <w:t>全身性硬皮病</w:t>
            </w:r>
          </w:p>
        </w:tc>
        <w:tc>
          <w:tcPr>
            <w:tcW w:w="427" w:type="dxa"/>
          </w:tcPr>
          <w:p>
            <w:pPr>
              <w:pStyle w:val="TableParagraph"/>
              <w:ind w:left="95" w:right="65"/>
              <w:jc w:val="center"/>
              <w:rPr>
                <w:sz w:val="21"/>
              </w:rPr>
            </w:pPr>
            <w:r>
              <w:rPr>
                <w:sz w:val="21"/>
              </w:rPr>
              <w:t>38</w:t>
            </w:r>
          </w:p>
        </w:tc>
        <w:tc>
          <w:tcPr>
            <w:tcW w:w="2880" w:type="dxa"/>
          </w:tcPr>
          <w:p>
            <w:pPr>
              <w:pStyle w:val="TableParagraph"/>
              <w:rPr>
                <w:sz w:val="21"/>
              </w:rPr>
            </w:pPr>
            <w:r>
              <w:rPr>
                <w:sz w:val="21"/>
              </w:rPr>
              <w:t>早期系统性硬皮病</w:t>
            </w:r>
          </w:p>
        </w:tc>
        <w:tc>
          <w:tcPr>
            <w:tcW w:w="1673" w:type="dxa"/>
            <w:vMerge/>
            <w:tcBorders>
              <w:top w:val="nil"/>
              <w:bottom w:val="single" w:sz="8" w:space="0" w:color="000000"/>
              <w:right w:val="single" w:sz="8" w:space="0" w:color="000000"/>
            </w:tcBorders>
          </w:tcPr>
          <w:p>
            <w:pPr>
              <w:rPr>
                <w:sz w:val="2"/>
                <w:szCs w:val="2"/>
              </w:rPr>
            </w:pPr>
          </w:p>
        </w:tc>
      </w:tr>
      <w:tr>
        <w:trPr>
          <w:trHeight w:val="618"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46</w:t>
            </w:r>
          </w:p>
        </w:tc>
        <w:tc>
          <w:tcPr>
            <w:tcW w:w="2558" w:type="dxa"/>
          </w:tcPr>
          <w:p>
            <w:pPr>
              <w:pStyle w:val="TableParagraph"/>
              <w:rPr>
                <w:sz w:val="21"/>
              </w:rPr>
            </w:pPr>
            <w:r>
              <w:rPr>
                <w:sz w:val="21"/>
              </w:rPr>
              <w:t>1 型糖尿病</w:t>
            </w:r>
          </w:p>
        </w:tc>
        <w:tc>
          <w:tcPr>
            <w:tcW w:w="427" w:type="dxa"/>
          </w:tcPr>
          <w:p>
            <w:pPr>
              <w:pStyle w:val="TableParagraph"/>
              <w:ind w:left="95" w:right="65"/>
              <w:jc w:val="center"/>
              <w:rPr>
                <w:sz w:val="21"/>
              </w:rPr>
            </w:pPr>
            <w:r>
              <w:rPr>
                <w:sz w:val="21"/>
              </w:rPr>
              <w:t>39</w:t>
            </w:r>
          </w:p>
        </w:tc>
        <w:tc>
          <w:tcPr>
            <w:tcW w:w="2880" w:type="dxa"/>
          </w:tcPr>
          <w:p>
            <w:pPr>
              <w:pStyle w:val="TableParagraph"/>
              <w:rPr>
                <w:sz w:val="21"/>
              </w:rPr>
            </w:pPr>
            <w:r>
              <w:rPr>
                <w:sz w:val="21"/>
              </w:rPr>
              <w:t>糖尿病视网膜晚期增生性病</w:t>
            </w:r>
          </w:p>
          <w:p>
            <w:pPr>
              <w:pStyle w:val="TableParagraph"/>
              <w:spacing w:line="240" w:lineRule="auto" w:before="37"/>
              <w:rPr>
                <w:sz w:val="21"/>
              </w:rPr>
            </w:pPr>
            <w:r>
              <w:rPr>
                <w:w w:val="100"/>
                <w:sz w:val="21"/>
              </w:rPr>
              <w:t>变</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47</w:t>
            </w:r>
          </w:p>
        </w:tc>
        <w:tc>
          <w:tcPr>
            <w:tcW w:w="2558" w:type="dxa"/>
          </w:tcPr>
          <w:p>
            <w:pPr>
              <w:pStyle w:val="TableParagraph"/>
              <w:rPr>
                <w:sz w:val="21"/>
              </w:rPr>
            </w:pPr>
            <w:r>
              <w:rPr>
                <w:sz w:val="21"/>
              </w:rPr>
              <w:t>糖尿病导致双足截除</w:t>
            </w:r>
          </w:p>
        </w:tc>
        <w:tc>
          <w:tcPr>
            <w:tcW w:w="427" w:type="dxa"/>
          </w:tcPr>
          <w:p>
            <w:pPr>
              <w:pStyle w:val="TableParagraph"/>
              <w:ind w:left="95" w:right="65"/>
              <w:jc w:val="center"/>
              <w:rPr>
                <w:sz w:val="21"/>
              </w:rPr>
            </w:pPr>
            <w:r>
              <w:rPr>
                <w:sz w:val="21"/>
              </w:rPr>
              <w:t>40</w:t>
            </w:r>
          </w:p>
        </w:tc>
        <w:tc>
          <w:tcPr>
            <w:tcW w:w="2880" w:type="dxa"/>
          </w:tcPr>
          <w:p>
            <w:pPr>
              <w:pStyle w:val="TableParagraph"/>
              <w:rPr>
                <w:sz w:val="21"/>
              </w:rPr>
            </w:pPr>
            <w:r>
              <w:rPr>
                <w:sz w:val="21"/>
              </w:rPr>
              <w:t>糖尿病导致单足截除</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48</w:t>
            </w:r>
          </w:p>
        </w:tc>
        <w:tc>
          <w:tcPr>
            <w:tcW w:w="2558" w:type="dxa"/>
          </w:tcPr>
          <w:p>
            <w:pPr>
              <w:pStyle w:val="TableParagraph"/>
              <w:rPr>
                <w:sz w:val="21"/>
              </w:rPr>
            </w:pPr>
            <w:r>
              <w:rPr>
                <w:sz w:val="21"/>
              </w:rPr>
              <w:t>溃疡性结肠炎</w:t>
            </w:r>
          </w:p>
        </w:tc>
        <w:tc>
          <w:tcPr>
            <w:tcW w:w="427" w:type="dxa"/>
          </w:tcPr>
          <w:p>
            <w:pPr>
              <w:pStyle w:val="TableParagraph"/>
              <w:ind w:left="95" w:right="65"/>
              <w:jc w:val="center"/>
              <w:rPr>
                <w:sz w:val="21"/>
              </w:rPr>
            </w:pPr>
            <w:r>
              <w:rPr>
                <w:sz w:val="21"/>
              </w:rPr>
              <w:t>41</w:t>
            </w:r>
          </w:p>
        </w:tc>
        <w:tc>
          <w:tcPr>
            <w:tcW w:w="2880" w:type="dxa"/>
          </w:tcPr>
          <w:p>
            <w:pPr>
              <w:pStyle w:val="TableParagraph"/>
              <w:rPr>
                <w:sz w:val="21"/>
              </w:rPr>
            </w:pPr>
            <w:r>
              <w:rPr>
                <w:sz w:val="21"/>
              </w:rPr>
              <w:t>中度溃疡性结肠炎</w:t>
            </w: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49</w:t>
            </w:r>
          </w:p>
        </w:tc>
        <w:tc>
          <w:tcPr>
            <w:tcW w:w="2558" w:type="dxa"/>
          </w:tcPr>
          <w:p>
            <w:pPr>
              <w:pStyle w:val="TableParagraph"/>
              <w:rPr>
                <w:sz w:val="21"/>
              </w:rPr>
            </w:pPr>
            <w:r>
              <w:rPr>
                <w:sz w:val="21"/>
              </w:rPr>
              <w:t>重型再生障碍性贫血√</w:t>
            </w:r>
          </w:p>
        </w:tc>
        <w:tc>
          <w:tcPr>
            <w:tcW w:w="427" w:type="dxa"/>
          </w:tcPr>
          <w:p>
            <w:pPr>
              <w:pStyle w:val="TableParagraph"/>
              <w:ind w:left="95" w:right="65"/>
              <w:jc w:val="center"/>
              <w:rPr>
                <w:sz w:val="21"/>
              </w:rPr>
            </w:pPr>
            <w:r>
              <w:rPr>
                <w:sz w:val="21"/>
              </w:rPr>
              <w:t>42</w:t>
            </w:r>
          </w:p>
        </w:tc>
        <w:tc>
          <w:tcPr>
            <w:tcW w:w="2880" w:type="dxa"/>
          </w:tcPr>
          <w:p>
            <w:pPr>
              <w:pStyle w:val="TableParagraph"/>
              <w:rPr>
                <w:sz w:val="21"/>
              </w:rPr>
            </w:pPr>
            <w:r>
              <w:rPr>
                <w:sz w:val="21"/>
              </w:rPr>
              <w:t>植入腔静脉过滤器</w:t>
            </w:r>
          </w:p>
        </w:tc>
        <w:tc>
          <w:tcPr>
            <w:tcW w:w="1673" w:type="dxa"/>
            <w:vMerge/>
            <w:tcBorders>
              <w:top w:val="nil"/>
              <w:bottom w:val="single" w:sz="8" w:space="0" w:color="000000"/>
              <w:right w:val="single" w:sz="8" w:space="0" w:color="000000"/>
            </w:tcBorders>
          </w:tcPr>
          <w:p>
            <w:pPr>
              <w:rPr>
                <w:sz w:val="2"/>
                <w:szCs w:val="2"/>
              </w:rPr>
            </w:pPr>
          </w:p>
        </w:tc>
      </w:tr>
      <w:tr>
        <w:trPr>
          <w:trHeight w:val="618"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50</w:t>
            </w:r>
          </w:p>
        </w:tc>
        <w:tc>
          <w:tcPr>
            <w:tcW w:w="2558" w:type="dxa"/>
          </w:tcPr>
          <w:p>
            <w:pPr>
              <w:pStyle w:val="TableParagraph"/>
              <w:rPr>
                <w:sz w:val="21"/>
              </w:rPr>
            </w:pPr>
            <w:r>
              <w:rPr>
                <w:sz w:val="21"/>
              </w:rPr>
              <w:t>重大器官移植术或造血干</w:t>
            </w:r>
          </w:p>
          <w:p>
            <w:pPr>
              <w:pStyle w:val="TableParagraph"/>
              <w:spacing w:line="240" w:lineRule="auto" w:before="37"/>
              <w:rPr>
                <w:sz w:val="21"/>
              </w:rPr>
            </w:pPr>
            <w:r>
              <w:rPr>
                <w:sz w:val="21"/>
              </w:rPr>
              <w:t>细胞移植术√</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51</w:t>
            </w:r>
          </w:p>
        </w:tc>
        <w:tc>
          <w:tcPr>
            <w:tcW w:w="2558" w:type="dxa"/>
          </w:tcPr>
          <w:p>
            <w:pPr>
              <w:pStyle w:val="TableParagraph"/>
              <w:rPr>
                <w:sz w:val="21"/>
              </w:rPr>
            </w:pPr>
            <w:r>
              <w:rPr>
                <w:sz w:val="21"/>
              </w:rPr>
              <w:t>严重克隆病</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52</w:t>
            </w:r>
          </w:p>
        </w:tc>
        <w:tc>
          <w:tcPr>
            <w:tcW w:w="2558" w:type="dxa"/>
          </w:tcPr>
          <w:p>
            <w:pPr>
              <w:pStyle w:val="TableParagraph"/>
              <w:rPr>
                <w:sz w:val="21"/>
              </w:rPr>
            </w:pPr>
            <w:r>
              <w:rPr>
                <w:sz w:val="21"/>
              </w:rPr>
              <w:t>肾髓质囊性病</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11"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62" w:lineRule="exact"/>
              <w:ind w:left="95" w:right="66"/>
              <w:jc w:val="center"/>
              <w:rPr>
                <w:sz w:val="21"/>
              </w:rPr>
            </w:pPr>
            <w:r>
              <w:rPr>
                <w:sz w:val="21"/>
              </w:rPr>
              <w:t>53</w:t>
            </w:r>
          </w:p>
        </w:tc>
        <w:tc>
          <w:tcPr>
            <w:tcW w:w="2558" w:type="dxa"/>
          </w:tcPr>
          <w:p>
            <w:pPr>
              <w:pStyle w:val="TableParagraph"/>
              <w:spacing w:line="262" w:lineRule="exact"/>
              <w:rPr>
                <w:sz w:val="21"/>
              </w:rPr>
            </w:pPr>
            <w:r>
              <w:rPr>
                <w:sz w:val="21"/>
              </w:rPr>
              <w:t>胰腺移植</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54</w:t>
            </w:r>
          </w:p>
        </w:tc>
        <w:tc>
          <w:tcPr>
            <w:tcW w:w="2558" w:type="dxa"/>
          </w:tcPr>
          <w:p>
            <w:pPr>
              <w:pStyle w:val="TableParagraph"/>
              <w:rPr>
                <w:sz w:val="21"/>
              </w:rPr>
            </w:pPr>
            <w:r>
              <w:rPr>
                <w:sz w:val="21"/>
              </w:rPr>
              <w:t>坏死性筋膜炎</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55</w:t>
            </w:r>
          </w:p>
        </w:tc>
        <w:tc>
          <w:tcPr>
            <w:tcW w:w="2558" w:type="dxa"/>
          </w:tcPr>
          <w:p>
            <w:pPr>
              <w:pStyle w:val="TableParagraph"/>
              <w:rPr>
                <w:sz w:val="21"/>
              </w:rPr>
            </w:pPr>
            <w:r>
              <w:rPr>
                <w:sz w:val="21"/>
              </w:rPr>
              <w:t>重症急性胰腺炎</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56</w:t>
            </w:r>
          </w:p>
        </w:tc>
        <w:tc>
          <w:tcPr>
            <w:tcW w:w="2558" w:type="dxa"/>
          </w:tcPr>
          <w:p>
            <w:pPr>
              <w:pStyle w:val="TableParagraph"/>
              <w:rPr>
                <w:sz w:val="21"/>
              </w:rPr>
            </w:pPr>
            <w:r>
              <w:rPr>
                <w:sz w:val="21"/>
              </w:rPr>
              <w:t>严重自身免疫性肝炎</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57</w:t>
            </w:r>
          </w:p>
        </w:tc>
        <w:tc>
          <w:tcPr>
            <w:tcW w:w="2558" w:type="dxa"/>
          </w:tcPr>
          <w:p>
            <w:pPr>
              <w:pStyle w:val="TableParagraph"/>
              <w:rPr>
                <w:sz w:val="21"/>
              </w:rPr>
            </w:pPr>
            <w:r>
              <w:rPr>
                <w:sz w:val="21"/>
              </w:rPr>
              <w:t>骨髓纤维化</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58</w:t>
            </w:r>
          </w:p>
        </w:tc>
        <w:tc>
          <w:tcPr>
            <w:tcW w:w="2558" w:type="dxa"/>
          </w:tcPr>
          <w:p>
            <w:pPr>
              <w:pStyle w:val="TableParagraph"/>
              <w:ind w:right="-29"/>
              <w:rPr>
                <w:sz w:val="21"/>
              </w:rPr>
            </w:pPr>
            <w:r>
              <w:rPr>
                <w:spacing w:val="-19"/>
                <w:sz w:val="21"/>
              </w:rPr>
              <w:t>肝豆状核变性</w:t>
            </w:r>
            <w:r>
              <w:rPr>
                <w:sz w:val="21"/>
              </w:rPr>
              <w:t>（Wilson</w:t>
            </w:r>
            <w:r>
              <w:rPr>
                <w:spacing w:val="-32"/>
                <w:sz w:val="21"/>
              </w:rPr>
              <w:t> 病</w:t>
            </w:r>
            <w:r>
              <w:rPr>
                <w:sz w:val="21"/>
              </w:rPr>
              <w:t>）</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59</w:t>
            </w:r>
          </w:p>
        </w:tc>
        <w:tc>
          <w:tcPr>
            <w:tcW w:w="2558" w:type="dxa"/>
          </w:tcPr>
          <w:p>
            <w:pPr>
              <w:pStyle w:val="TableParagraph"/>
              <w:rPr>
                <w:sz w:val="21"/>
              </w:rPr>
            </w:pPr>
            <w:r>
              <w:rPr>
                <w:sz w:val="21"/>
              </w:rPr>
              <w:t>肺泡蛋白质沉积症</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6"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60</w:t>
            </w:r>
          </w:p>
        </w:tc>
        <w:tc>
          <w:tcPr>
            <w:tcW w:w="2558" w:type="dxa"/>
          </w:tcPr>
          <w:p>
            <w:pPr>
              <w:pStyle w:val="TableParagraph"/>
              <w:rPr>
                <w:sz w:val="21"/>
              </w:rPr>
            </w:pPr>
            <w:r>
              <w:rPr>
                <w:sz w:val="21"/>
              </w:rPr>
              <w:t>肺淋巴管肌瘤病</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11"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spacing w:line="262" w:lineRule="exact"/>
              <w:ind w:left="95" w:right="66"/>
              <w:jc w:val="center"/>
              <w:rPr>
                <w:sz w:val="21"/>
              </w:rPr>
            </w:pPr>
            <w:r>
              <w:rPr>
                <w:sz w:val="21"/>
              </w:rPr>
              <w:t>61</w:t>
            </w:r>
          </w:p>
        </w:tc>
        <w:tc>
          <w:tcPr>
            <w:tcW w:w="2558" w:type="dxa"/>
          </w:tcPr>
          <w:p>
            <w:pPr>
              <w:pStyle w:val="TableParagraph"/>
              <w:spacing w:line="262" w:lineRule="exact"/>
              <w:rPr>
                <w:sz w:val="21"/>
              </w:rPr>
            </w:pPr>
            <w:r>
              <w:rPr>
                <w:sz w:val="21"/>
              </w:rPr>
              <w:t>严重骨髓异常增生综合征</w:t>
            </w:r>
          </w:p>
        </w:tc>
        <w:tc>
          <w:tcPr>
            <w:tcW w:w="427" w:type="dxa"/>
          </w:tcPr>
          <w:p>
            <w:pPr>
              <w:pStyle w:val="TableParagraph"/>
              <w:spacing w:line="240" w:lineRule="auto"/>
              <w:ind w:left="0"/>
              <w:rPr>
                <w:rFonts w:ascii="Times New Roman"/>
                <w:sz w:val="20"/>
              </w:rPr>
            </w:pPr>
          </w:p>
        </w:tc>
        <w:tc>
          <w:tcPr>
            <w:tcW w:w="2880" w:type="dxa"/>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08" w:hRule="atLeast"/>
        </w:trPr>
        <w:tc>
          <w:tcPr>
            <w:tcW w:w="96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ind w:left="95" w:right="66"/>
              <w:jc w:val="center"/>
              <w:rPr>
                <w:sz w:val="21"/>
              </w:rPr>
            </w:pPr>
            <w:r>
              <w:rPr>
                <w:sz w:val="21"/>
              </w:rPr>
              <w:t>62</w:t>
            </w:r>
          </w:p>
        </w:tc>
        <w:tc>
          <w:tcPr>
            <w:tcW w:w="2558" w:type="dxa"/>
            <w:tcBorders>
              <w:bottom w:val="single" w:sz="8" w:space="0" w:color="000000"/>
            </w:tcBorders>
          </w:tcPr>
          <w:p>
            <w:pPr>
              <w:pStyle w:val="TableParagraph"/>
              <w:rPr>
                <w:sz w:val="21"/>
              </w:rPr>
            </w:pPr>
            <w:r>
              <w:rPr>
                <w:sz w:val="21"/>
              </w:rPr>
              <w:t>自体造血干细胞移植</w:t>
            </w:r>
          </w:p>
        </w:tc>
        <w:tc>
          <w:tcPr>
            <w:tcW w:w="427" w:type="dxa"/>
            <w:tcBorders>
              <w:bottom w:val="single" w:sz="8" w:space="0" w:color="000000"/>
            </w:tcBorders>
          </w:tcPr>
          <w:p>
            <w:pPr>
              <w:pStyle w:val="TableParagraph"/>
              <w:spacing w:line="240" w:lineRule="auto"/>
              <w:ind w:left="0"/>
              <w:rPr>
                <w:rFonts w:ascii="Times New Roman"/>
                <w:sz w:val="20"/>
              </w:rPr>
            </w:pPr>
          </w:p>
        </w:tc>
        <w:tc>
          <w:tcPr>
            <w:tcW w:w="2880" w:type="dxa"/>
            <w:tcBorders>
              <w:bottom w:val="single" w:sz="8" w:space="0" w:color="000000"/>
            </w:tcBorders>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r>
        <w:trPr>
          <w:trHeight w:val="311" w:hRule="atLeast"/>
        </w:trPr>
        <w:tc>
          <w:tcPr>
            <w:tcW w:w="967" w:type="dxa"/>
            <w:vMerge w:val="restart"/>
            <w:tcBorders>
              <w:top w:val="single" w:sz="8" w:space="0" w:color="000000"/>
              <w:left w:val="single" w:sz="8" w:space="0" w:color="000000"/>
            </w:tcBorders>
          </w:tcPr>
          <w:p>
            <w:pPr>
              <w:pStyle w:val="TableParagraph"/>
              <w:spacing w:line="260" w:lineRule="exact"/>
              <w:ind w:left="109"/>
              <w:rPr>
                <w:sz w:val="21"/>
              </w:rPr>
            </w:pPr>
            <w:r>
              <w:rPr>
                <w:sz w:val="21"/>
              </w:rPr>
              <w:t>第五组</w:t>
            </w:r>
          </w:p>
          <w:p>
            <w:pPr>
              <w:pStyle w:val="TableParagraph"/>
              <w:spacing w:line="273" w:lineRule="auto" w:before="37"/>
              <w:ind w:left="109" w:right="203"/>
              <w:rPr>
                <w:sz w:val="21"/>
              </w:rPr>
            </w:pPr>
            <w:r>
              <w:rPr>
                <w:sz w:val="21"/>
              </w:rPr>
              <w:t>其他疾病</w:t>
            </w:r>
          </w:p>
        </w:tc>
        <w:tc>
          <w:tcPr>
            <w:tcW w:w="427" w:type="dxa"/>
            <w:vMerge w:val="restart"/>
            <w:tcBorders>
              <w:top w:val="single" w:sz="8" w:space="0" w:color="000000"/>
            </w:tcBorders>
          </w:tcPr>
          <w:p>
            <w:pPr>
              <w:pStyle w:val="TableParagraph"/>
              <w:spacing w:line="259" w:lineRule="exact"/>
              <w:rPr>
                <w:sz w:val="21"/>
              </w:rPr>
            </w:pPr>
            <w:r>
              <w:rPr>
                <w:sz w:val="21"/>
              </w:rPr>
              <w:t>63</w:t>
            </w:r>
          </w:p>
        </w:tc>
        <w:tc>
          <w:tcPr>
            <w:tcW w:w="2558" w:type="dxa"/>
            <w:vMerge w:val="restart"/>
            <w:tcBorders>
              <w:top w:val="single" w:sz="8" w:space="0" w:color="000000"/>
            </w:tcBorders>
          </w:tcPr>
          <w:p>
            <w:pPr>
              <w:pStyle w:val="TableParagraph"/>
              <w:spacing w:line="260" w:lineRule="exact"/>
              <w:rPr>
                <w:sz w:val="21"/>
              </w:rPr>
            </w:pPr>
            <w:r>
              <w:rPr>
                <w:sz w:val="21"/>
              </w:rPr>
              <w:t>双耳失聪√</w:t>
            </w:r>
          </w:p>
        </w:tc>
        <w:tc>
          <w:tcPr>
            <w:tcW w:w="427" w:type="dxa"/>
            <w:tcBorders>
              <w:top w:val="single" w:sz="8" w:space="0" w:color="000000"/>
            </w:tcBorders>
          </w:tcPr>
          <w:p>
            <w:pPr>
              <w:pStyle w:val="TableParagraph"/>
              <w:spacing w:line="260" w:lineRule="exact"/>
              <w:ind w:left="95" w:right="65"/>
              <w:jc w:val="center"/>
              <w:rPr>
                <w:sz w:val="21"/>
              </w:rPr>
            </w:pPr>
            <w:r>
              <w:rPr>
                <w:sz w:val="21"/>
              </w:rPr>
              <w:t>43</w:t>
            </w:r>
          </w:p>
        </w:tc>
        <w:tc>
          <w:tcPr>
            <w:tcW w:w="2880" w:type="dxa"/>
            <w:tcBorders>
              <w:top w:val="single" w:sz="8" w:space="0" w:color="000000"/>
            </w:tcBorders>
          </w:tcPr>
          <w:p>
            <w:pPr>
              <w:pStyle w:val="TableParagraph"/>
              <w:spacing w:line="260" w:lineRule="exact"/>
              <w:rPr>
                <w:sz w:val="21"/>
              </w:rPr>
            </w:pPr>
            <w:r>
              <w:rPr>
                <w:sz w:val="21"/>
              </w:rPr>
              <w:t>单耳失聪</w:t>
            </w:r>
          </w:p>
        </w:tc>
        <w:tc>
          <w:tcPr>
            <w:tcW w:w="1673" w:type="dxa"/>
            <w:vMerge w:val="restart"/>
            <w:tcBorders>
              <w:top w:val="single" w:sz="8" w:space="0" w:color="000000"/>
              <w:right w:val="single" w:sz="8" w:space="0" w:color="000000"/>
            </w:tcBorders>
          </w:tcPr>
          <w:p>
            <w:pPr>
              <w:pStyle w:val="TableParagraph"/>
              <w:spacing w:line="260" w:lineRule="exact"/>
              <w:rPr>
                <w:sz w:val="21"/>
              </w:rPr>
            </w:pPr>
            <w:r>
              <w:rPr>
                <w:sz w:val="21"/>
              </w:rPr>
              <w:t>100% 基本保险</w:t>
            </w:r>
          </w:p>
          <w:p>
            <w:pPr>
              <w:pStyle w:val="TableParagraph"/>
              <w:spacing w:line="240" w:lineRule="auto" w:before="37"/>
              <w:rPr>
                <w:sz w:val="21"/>
              </w:rPr>
            </w:pPr>
            <w:r>
              <w:rPr>
                <w:sz w:val="21"/>
              </w:rPr>
              <w:t>金额</w:t>
            </w:r>
          </w:p>
        </w:tc>
      </w:tr>
      <w:tr>
        <w:trPr>
          <w:trHeight w:val="311" w:hRule="atLeast"/>
        </w:trPr>
        <w:tc>
          <w:tcPr>
            <w:tcW w:w="967" w:type="dxa"/>
            <w:vMerge/>
            <w:tcBorders>
              <w:top w:val="nil"/>
              <w:left w:val="single" w:sz="8" w:space="0" w:color="000000"/>
            </w:tcBorders>
          </w:tcPr>
          <w:p>
            <w:pPr>
              <w:rPr>
                <w:sz w:val="2"/>
                <w:szCs w:val="2"/>
              </w:rPr>
            </w:pPr>
          </w:p>
        </w:tc>
        <w:tc>
          <w:tcPr>
            <w:tcW w:w="427" w:type="dxa"/>
            <w:vMerge/>
            <w:tcBorders>
              <w:top w:val="nil"/>
            </w:tcBorders>
          </w:tcPr>
          <w:p>
            <w:pPr>
              <w:rPr>
                <w:sz w:val="2"/>
                <w:szCs w:val="2"/>
              </w:rPr>
            </w:pPr>
          </w:p>
        </w:tc>
        <w:tc>
          <w:tcPr>
            <w:tcW w:w="2558" w:type="dxa"/>
            <w:vMerge/>
            <w:tcBorders>
              <w:top w:val="nil"/>
            </w:tcBorders>
          </w:tcPr>
          <w:p>
            <w:pPr>
              <w:rPr>
                <w:sz w:val="2"/>
                <w:szCs w:val="2"/>
              </w:rPr>
            </w:pPr>
          </w:p>
        </w:tc>
        <w:tc>
          <w:tcPr>
            <w:tcW w:w="427" w:type="dxa"/>
          </w:tcPr>
          <w:p>
            <w:pPr>
              <w:pStyle w:val="TableParagraph"/>
              <w:spacing w:line="260" w:lineRule="exact"/>
              <w:ind w:left="95" w:right="65"/>
              <w:jc w:val="center"/>
              <w:rPr>
                <w:sz w:val="21"/>
              </w:rPr>
            </w:pPr>
            <w:r>
              <w:rPr>
                <w:sz w:val="21"/>
              </w:rPr>
              <w:t>44</w:t>
            </w:r>
          </w:p>
        </w:tc>
        <w:tc>
          <w:tcPr>
            <w:tcW w:w="2880" w:type="dxa"/>
          </w:tcPr>
          <w:p>
            <w:pPr>
              <w:pStyle w:val="TableParagraph"/>
              <w:spacing w:line="260" w:lineRule="exact"/>
              <w:rPr>
                <w:sz w:val="21"/>
              </w:rPr>
            </w:pPr>
            <w:r>
              <w:rPr>
                <w:sz w:val="21"/>
              </w:rPr>
              <w:t>植入人工耳蜗手术</w:t>
            </w:r>
          </w:p>
        </w:tc>
        <w:tc>
          <w:tcPr>
            <w:tcW w:w="1673" w:type="dxa"/>
            <w:vMerge/>
            <w:tcBorders>
              <w:top w:val="nil"/>
              <w:right w:val="single" w:sz="8" w:space="0" w:color="000000"/>
            </w:tcBorders>
          </w:tcPr>
          <w:p>
            <w:pPr>
              <w:rPr>
                <w:sz w:val="2"/>
                <w:szCs w:val="2"/>
              </w:rPr>
            </w:pPr>
          </w:p>
        </w:tc>
      </w:tr>
      <w:tr>
        <w:trPr>
          <w:trHeight w:val="479" w:hRule="atLeast"/>
        </w:trPr>
        <w:tc>
          <w:tcPr>
            <w:tcW w:w="967" w:type="dxa"/>
            <w:vMerge/>
            <w:tcBorders>
              <w:top w:val="nil"/>
              <w:left w:val="single" w:sz="8" w:space="0" w:color="000000"/>
            </w:tcBorders>
          </w:tcPr>
          <w:p>
            <w:pPr>
              <w:rPr>
                <w:sz w:val="2"/>
                <w:szCs w:val="2"/>
              </w:rPr>
            </w:pPr>
          </w:p>
        </w:tc>
        <w:tc>
          <w:tcPr>
            <w:tcW w:w="427" w:type="dxa"/>
          </w:tcPr>
          <w:p>
            <w:pPr>
              <w:pStyle w:val="TableParagraph"/>
              <w:spacing w:line="260" w:lineRule="exact"/>
              <w:ind w:left="95" w:right="66"/>
              <w:jc w:val="center"/>
              <w:rPr>
                <w:sz w:val="21"/>
              </w:rPr>
            </w:pPr>
            <w:r>
              <w:rPr>
                <w:sz w:val="21"/>
              </w:rPr>
              <w:t>64</w:t>
            </w:r>
          </w:p>
        </w:tc>
        <w:tc>
          <w:tcPr>
            <w:tcW w:w="2558" w:type="dxa"/>
          </w:tcPr>
          <w:p>
            <w:pPr>
              <w:pStyle w:val="TableParagraph"/>
              <w:spacing w:line="260" w:lineRule="exact"/>
              <w:rPr>
                <w:sz w:val="21"/>
              </w:rPr>
            </w:pPr>
            <w:r>
              <w:rPr>
                <w:sz w:val="21"/>
              </w:rPr>
              <w:t>严重Ⅲ度烧伤√</w:t>
            </w:r>
          </w:p>
        </w:tc>
        <w:tc>
          <w:tcPr>
            <w:tcW w:w="427" w:type="dxa"/>
          </w:tcPr>
          <w:p>
            <w:pPr>
              <w:pStyle w:val="TableParagraph"/>
              <w:spacing w:line="260" w:lineRule="exact"/>
              <w:ind w:left="95" w:right="65"/>
              <w:jc w:val="center"/>
              <w:rPr>
                <w:sz w:val="21"/>
              </w:rPr>
            </w:pPr>
            <w:r>
              <w:rPr>
                <w:sz w:val="21"/>
              </w:rPr>
              <w:t>45</w:t>
            </w:r>
          </w:p>
        </w:tc>
        <w:tc>
          <w:tcPr>
            <w:tcW w:w="2880" w:type="dxa"/>
          </w:tcPr>
          <w:p>
            <w:pPr>
              <w:pStyle w:val="TableParagraph"/>
              <w:spacing w:line="260" w:lineRule="exact"/>
              <w:rPr>
                <w:sz w:val="21"/>
              </w:rPr>
            </w:pPr>
            <w:r>
              <w:rPr>
                <w:sz w:val="21"/>
              </w:rPr>
              <w:t>较小面积Ⅲ度烧伤</w:t>
            </w:r>
          </w:p>
        </w:tc>
        <w:tc>
          <w:tcPr>
            <w:tcW w:w="1673" w:type="dxa"/>
            <w:vMerge/>
            <w:tcBorders>
              <w:top w:val="nil"/>
              <w:right w:val="single" w:sz="8" w:space="0" w:color="000000"/>
            </w:tcBorders>
          </w:tcPr>
          <w:p>
            <w:pPr>
              <w:rPr>
                <w:sz w:val="2"/>
                <w:szCs w:val="2"/>
              </w:rPr>
            </w:pPr>
          </w:p>
        </w:tc>
      </w:tr>
      <w:tr>
        <w:trPr>
          <w:trHeight w:val="311" w:hRule="atLeast"/>
        </w:trPr>
        <w:tc>
          <w:tcPr>
            <w:tcW w:w="967" w:type="dxa"/>
            <w:vMerge/>
            <w:tcBorders>
              <w:top w:val="nil"/>
              <w:left w:val="single" w:sz="8" w:space="0" w:color="000000"/>
            </w:tcBorders>
          </w:tcPr>
          <w:p>
            <w:pPr>
              <w:rPr>
                <w:sz w:val="2"/>
                <w:szCs w:val="2"/>
              </w:rPr>
            </w:pPr>
          </w:p>
        </w:tc>
        <w:tc>
          <w:tcPr>
            <w:tcW w:w="427" w:type="dxa"/>
          </w:tcPr>
          <w:p>
            <w:pPr>
              <w:pStyle w:val="TableParagraph"/>
              <w:spacing w:line="260" w:lineRule="exact"/>
              <w:ind w:left="95" w:right="66"/>
              <w:jc w:val="center"/>
              <w:rPr>
                <w:sz w:val="21"/>
              </w:rPr>
            </w:pPr>
            <w:r>
              <w:rPr>
                <w:sz w:val="21"/>
              </w:rPr>
              <w:t>65</w:t>
            </w:r>
          </w:p>
        </w:tc>
        <w:tc>
          <w:tcPr>
            <w:tcW w:w="2558" w:type="dxa"/>
          </w:tcPr>
          <w:p>
            <w:pPr>
              <w:pStyle w:val="TableParagraph"/>
              <w:spacing w:line="260" w:lineRule="exact"/>
              <w:rPr>
                <w:sz w:val="21"/>
              </w:rPr>
            </w:pPr>
            <w:r>
              <w:rPr>
                <w:sz w:val="21"/>
              </w:rPr>
              <w:t>丝虫病所致象皮肿</w:t>
            </w:r>
          </w:p>
        </w:tc>
        <w:tc>
          <w:tcPr>
            <w:tcW w:w="427" w:type="dxa"/>
          </w:tcPr>
          <w:p>
            <w:pPr>
              <w:pStyle w:val="TableParagraph"/>
              <w:spacing w:line="260" w:lineRule="exact"/>
              <w:ind w:left="95" w:right="65"/>
              <w:jc w:val="center"/>
              <w:rPr>
                <w:sz w:val="21"/>
              </w:rPr>
            </w:pPr>
            <w:r>
              <w:rPr>
                <w:sz w:val="21"/>
              </w:rPr>
              <w:t>46</w:t>
            </w:r>
          </w:p>
        </w:tc>
        <w:tc>
          <w:tcPr>
            <w:tcW w:w="2880" w:type="dxa"/>
          </w:tcPr>
          <w:p>
            <w:pPr>
              <w:pStyle w:val="TableParagraph"/>
              <w:spacing w:line="260" w:lineRule="exact"/>
              <w:rPr>
                <w:sz w:val="21"/>
              </w:rPr>
            </w:pPr>
            <w:r>
              <w:rPr>
                <w:sz w:val="21"/>
              </w:rPr>
              <w:t>早期象皮病</w:t>
            </w:r>
          </w:p>
        </w:tc>
        <w:tc>
          <w:tcPr>
            <w:tcW w:w="1673" w:type="dxa"/>
            <w:vMerge/>
            <w:tcBorders>
              <w:top w:val="nil"/>
              <w:right w:val="single" w:sz="8" w:space="0" w:color="000000"/>
            </w:tcBorders>
          </w:tcPr>
          <w:p>
            <w:pPr>
              <w:rPr>
                <w:sz w:val="2"/>
                <w:szCs w:val="2"/>
              </w:rPr>
            </w:pPr>
          </w:p>
        </w:tc>
      </w:tr>
      <w:tr>
        <w:trPr>
          <w:trHeight w:val="311" w:hRule="atLeast"/>
        </w:trPr>
        <w:tc>
          <w:tcPr>
            <w:tcW w:w="967" w:type="dxa"/>
            <w:vMerge/>
            <w:tcBorders>
              <w:top w:val="nil"/>
              <w:left w:val="single" w:sz="8" w:space="0" w:color="000000"/>
            </w:tcBorders>
          </w:tcPr>
          <w:p>
            <w:pPr>
              <w:rPr>
                <w:sz w:val="2"/>
                <w:szCs w:val="2"/>
              </w:rPr>
            </w:pPr>
          </w:p>
        </w:tc>
        <w:tc>
          <w:tcPr>
            <w:tcW w:w="427" w:type="dxa"/>
          </w:tcPr>
          <w:p>
            <w:pPr>
              <w:pStyle w:val="TableParagraph"/>
              <w:spacing w:line="260" w:lineRule="exact"/>
              <w:ind w:left="95" w:right="66"/>
              <w:jc w:val="center"/>
              <w:rPr>
                <w:sz w:val="21"/>
              </w:rPr>
            </w:pPr>
            <w:r>
              <w:rPr>
                <w:sz w:val="21"/>
              </w:rPr>
              <w:t>66</w:t>
            </w:r>
          </w:p>
        </w:tc>
        <w:tc>
          <w:tcPr>
            <w:tcW w:w="2558" w:type="dxa"/>
          </w:tcPr>
          <w:p>
            <w:pPr>
              <w:pStyle w:val="TableParagraph"/>
              <w:spacing w:line="260" w:lineRule="exact"/>
              <w:rPr>
                <w:sz w:val="21"/>
              </w:rPr>
            </w:pPr>
            <w:r>
              <w:rPr>
                <w:sz w:val="21"/>
              </w:rPr>
              <w:t>严重类风湿性关节炎</w:t>
            </w:r>
          </w:p>
        </w:tc>
        <w:tc>
          <w:tcPr>
            <w:tcW w:w="427" w:type="dxa"/>
          </w:tcPr>
          <w:p>
            <w:pPr>
              <w:pStyle w:val="TableParagraph"/>
              <w:spacing w:line="260" w:lineRule="exact"/>
              <w:ind w:left="95" w:right="65"/>
              <w:jc w:val="center"/>
              <w:rPr>
                <w:sz w:val="21"/>
              </w:rPr>
            </w:pPr>
            <w:r>
              <w:rPr>
                <w:sz w:val="21"/>
              </w:rPr>
              <w:t>47</w:t>
            </w:r>
          </w:p>
        </w:tc>
        <w:tc>
          <w:tcPr>
            <w:tcW w:w="2880" w:type="dxa"/>
          </w:tcPr>
          <w:p>
            <w:pPr>
              <w:pStyle w:val="TableParagraph"/>
              <w:spacing w:line="260" w:lineRule="exact"/>
              <w:rPr>
                <w:sz w:val="21"/>
              </w:rPr>
            </w:pPr>
            <w:r>
              <w:rPr>
                <w:sz w:val="21"/>
              </w:rPr>
              <w:t>中度类风湿性关节炎</w:t>
            </w:r>
          </w:p>
        </w:tc>
        <w:tc>
          <w:tcPr>
            <w:tcW w:w="1673" w:type="dxa"/>
            <w:vMerge/>
            <w:tcBorders>
              <w:top w:val="nil"/>
              <w:right w:val="single" w:sz="8" w:space="0" w:color="000000"/>
            </w:tcBorders>
          </w:tcPr>
          <w:p>
            <w:pPr>
              <w:rPr>
                <w:sz w:val="2"/>
                <w:szCs w:val="2"/>
              </w:rPr>
            </w:pPr>
          </w:p>
        </w:tc>
      </w:tr>
      <w:tr>
        <w:trPr>
          <w:trHeight w:val="628" w:hRule="atLeast"/>
        </w:trPr>
        <w:tc>
          <w:tcPr>
            <w:tcW w:w="967" w:type="dxa"/>
            <w:vMerge/>
            <w:tcBorders>
              <w:top w:val="nil"/>
              <w:left w:val="single" w:sz="8" w:space="0" w:color="000000"/>
            </w:tcBorders>
          </w:tcPr>
          <w:p>
            <w:pPr>
              <w:rPr>
                <w:sz w:val="2"/>
                <w:szCs w:val="2"/>
              </w:rPr>
            </w:pPr>
          </w:p>
        </w:tc>
        <w:tc>
          <w:tcPr>
            <w:tcW w:w="427" w:type="dxa"/>
          </w:tcPr>
          <w:p>
            <w:pPr>
              <w:pStyle w:val="TableParagraph"/>
              <w:spacing w:line="260" w:lineRule="exact"/>
              <w:ind w:left="95" w:right="66"/>
              <w:jc w:val="center"/>
              <w:rPr>
                <w:sz w:val="21"/>
              </w:rPr>
            </w:pPr>
            <w:r>
              <w:rPr>
                <w:sz w:val="21"/>
              </w:rPr>
              <w:t>67</w:t>
            </w:r>
          </w:p>
        </w:tc>
        <w:tc>
          <w:tcPr>
            <w:tcW w:w="2558" w:type="dxa"/>
          </w:tcPr>
          <w:p>
            <w:pPr>
              <w:pStyle w:val="TableParagraph"/>
              <w:spacing w:line="260" w:lineRule="exact"/>
              <w:rPr>
                <w:sz w:val="21"/>
              </w:rPr>
            </w:pPr>
            <w:r>
              <w:rPr>
                <w:sz w:val="21"/>
              </w:rPr>
              <w:t>因输血导致的人类免疫缺</w:t>
            </w:r>
          </w:p>
          <w:p>
            <w:pPr>
              <w:pStyle w:val="TableParagraph"/>
              <w:spacing w:line="240" w:lineRule="auto" w:before="37"/>
              <w:rPr>
                <w:sz w:val="21"/>
              </w:rPr>
            </w:pPr>
            <w:r>
              <w:rPr>
                <w:sz w:val="21"/>
              </w:rPr>
              <w:t>陷病毒（HIV）感染</w:t>
            </w:r>
          </w:p>
        </w:tc>
        <w:tc>
          <w:tcPr>
            <w:tcW w:w="427" w:type="dxa"/>
          </w:tcPr>
          <w:p>
            <w:pPr>
              <w:pStyle w:val="TableParagraph"/>
              <w:spacing w:line="260" w:lineRule="exact"/>
              <w:ind w:left="95" w:right="65"/>
              <w:jc w:val="center"/>
              <w:rPr>
                <w:sz w:val="21"/>
              </w:rPr>
            </w:pPr>
            <w:r>
              <w:rPr>
                <w:sz w:val="21"/>
              </w:rPr>
              <w:t>48</w:t>
            </w:r>
          </w:p>
        </w:tc>
        <w:tc>
          <w:tcPr>
            <w:tcW w:w="2880" w:type="dxa"/>
          </w:tcPr>
          <w:p>
            <w:pPr>
              <w:pStyle w:val="TableParagraph"/>
              <w:spacing w:line="260" w:lineRule="exact"/>
              <w:rPr>
                <w:sz w:val="21"/>
              </w:rPr>
            </w:pPr>
            <w:r>
              <w:rPr>
                <w:sz w:val="21"/>
              </w:rPr>
              <w:t>意外受伤所需的面部重建手</w:t>
            </w:r>
          </w:p>
          <w:p>
            <w:pPr>
              <w:pStyle w:val="TableParagraph"/>
              <w:spacing w:line="240" w:lineRule="auto" w:before="37"/>
              <w:rPr>
                <w:sz w:val="21"/>
              </w:rPr>
            </w:pPr>
            <w:r>
              <w:rPr>
                <w:w w:val="100"/>
                <w:sz w:val="21"/>
              </w:rPr>
              <w:t>术</w:t>
            </w:r>
          </w:p>
        </w:tc>
        <w:tc>
          <w:tcPr>
            <w:tcW w:w="1673" w:type="dxa"/>
            <w:vMerge/>
            <w:tcBorders>
              <w:top w:val="nil"/>
              <w:right w:val="single" w:sz="8" w:space="0" w:color="000000"/>
            </w:tcBorders>
          </w:tcPr>
          <w:p>
            <w:pPr>
              <w:rPr>
                <w:sz w:val="2"/>
                <w:szCs w:val="2"/>
              </w:rPr>
            </w:pPr>
          </w:p>
        </w:tc>
      </w:tr>
    </w:tbl>
    <w:p>
      <w:pPr>
        <w:spacing w:after="0"/>
        <w:rPr>
          <w:sz w:val="2"/>
          <w:szCs w:val="2"/>
        </w:rPr>
        <w:sectPr>
          <w:pgSz w:w="11910" w:h="16840"/>
          <w:pgMar w:header="870" w:footer="998" w:top="1120" w:bottom="1180" w:left="1300" w:right="1240"/>
        </w:sectPr>
      </w:pPr>
    </w:p>
    <w:p>
      <w:pPr>
        <w:pStyle w:val="BodyText"/>
        <w:spacing w:before="4" w:after="1"/>
        <w:rPr>
          <w:rFonts w:ascii="Times New Roman"/>
          <w:sz w:val="24"/>
        </w:rPr>
      </w:pPr>
    </w:p>
    <w:tbl>
      <w:tblPr>
        <w:tblW w:w="0" w:type="auto"/>
        <w:jc w:val="left"/>
        <w:tblInd w:w="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7"/>
        <w:gridCol w:w="427"/>
        <w:gridCol w:w="2558"/>
        <w:gridCol w:w="427"/>
        <w:gridCol w:w="2880"/>
        <w:gridCol w:w="1673"/>
      </w:tblGrid>
      <w:tr>
        <w:trPr>
          <w:trHeight w:val="625" w:hRule="atLeast"/>
        </w:trPr>
        <w:tc>
          <w:tcPr>
            <w:tcW w:w="967" w:type="dxa"/>
            <w:vMerge w:val="restart"/>
            <w:tcBorders>
              <w:left w:val="single" w:sz="8" w:space="0" w:color="000000"/>
              <w:bottom w:val="single" w:sz="8" w:space="0" w:color="000000"/>
            </w:tcBorders>
          </w:tcPr>
          <w:p>
            <w:pPr>
              <w:pStyle w:val="TableParagraph"/>
              <w:spacing w:line="240" w:lineRule="auto"/>
              <w:ind w:left="0"/>
              <w:rPr>
                <w:rFonts w:ascii="Times New Roman"/>
                <w:sz w:val="20"/>
              </w:rPr>
            </w:pPr>
          </w:p>
        </w:tc>
        <w:tc>
          <w:tcPr>
            <w:tcW w:w="427" w:type="dxa"/>
          </w:tcPr>
          <w:p>
            <w:pPr>
              <w:pStyle w:val="TableParagraph"/>
              <w:spacing w:line="264" w:lineRule="exact"/>
              <w:ind w:left="95" w:right="66"/>
              <w:jc w:val="center"/>
              <w:rPr>
                <w:sz w:val="21"/>
              </w:rPr>
            </w:pPr>
            <w:r>
              <w:rPr>
                <w:sz w:val="21"/>
              </w:rPr>
              <w:t>68</w:t>
            </w:r>
          </w:p>
        </w:tc>
        <w:tc>
          <w:tcPr>
            <w:tcW w:w="2558" w:type="dxa"/>
          </w:tcPr>
          <w:p>
            <w:pPr>
              <w:pStyle w:val="TableParagraph"/>
              <w:spacing w:line="264" w:lineRule="exact"/>
              <w:rPr>
                <w:sz w:val="21"/>
              </w:rPr>
            </w:pPr>
            <w:r>
              <w:rPr>
                <w:sz w:val="21"/>
              </w:rPr>
              <w:t>慢性肾上腺功能不全</w:t>
            </w:r>
          </w:p>
        </w:tc>
        <w:tc>
          <w:tcPr>
            <w:tcW w:w="427" w:type="dxa"/>
          </w:tcPr>
          <w:p>
            <w:pPr>
              <w:pStyle w:val="TableParagraph"/>
              <w:spacing w:line="264" w:lineRule="exact"/>
              <w:ind w:left="95" w:right="65"/>
              <w:jc w:val="center"/>
              <w:rPr>
                <w:sz w:val="21"/>
              </w:rPr>
            </w:pPr>
            <w:r>
              <w:rPr>
                <w:sz w:val="21"/>
              </w:rPr>
              <w:t>49</w:t>
            </w:r>
          </w:p>
        </w:tc>
        <w:tc>
          <w:tcPr>
            <w:tcW w:w="2880" w:type="dxa"/>
          </w:tcPr>
          <w:p>
            <w:pPr>
              <w:pStyle w:val="TableParagraph"/>
              <w:spacing w:line="264" w:lineRule="exact"/>
              <w:rPr>
                <w:sz w:val="21"/>
              </w:rPr>
            </w:pPr>
            <w:r>
              <w:rPr>
                <w:sz w:val="21"/>
              </w:rPr>
              <w:t>因肾上腺皮脂腺瘤切除肾上</w:t>
            </w:r>
          </w:p>
          <w:p>
            <w:pPr>
              <w:pStyle w:val="TableParagraph"/>
              <w:spacing w:line="240" w:lineRule="auto" w:before="37"/>
              <w:rPr>
                <w:sz w:val="21"/>
              </w:rPr>
            </w:pPr>
            <w:r>
              <w:rPr>
                <w:w w:val="100"/>
                <w:sz w:val="21"/>
              </w:rPr>
              <w:t>腺</w:t>
            </w:r>
          </w:p>
        </w:tc>
        <w:tc>
          <w:tcPr>
            <w:tcW w:w="1673" w:type="dxa"/>
            <w:vMerge w:val="restart"/>
            <w:tcBorders>
              <w:bottom w:val="single" w:sz="8" w:space="0" w:color="000000"/>
              <w:right w:val="single" w:sz="8" w:space="0" w:color="000000"/>
            </w:tcBorders>
          </w:tcPr>
          <w:p>
            <w:pPr>
              <w:pStyle w:val="TableParagraph"/>
              <w:spacing w:line="240" w:lineRule="auto"/>
              <w:ind w:left="0"/>
              <w:rPr>
                <w:rFonts w:ascii="Times New Roman"/>
                <w:sz w:val="20"/>
              </w:rPr>
            </w:pPr>
          </w:p>
        </w:tc>
      </w:tr>
      <w:tr>
        <w:trPr>
          <w:trHeight w:val="618" w:hRule="atLeast"/>
        </w:trPr>
        <w:tc>
          <w:tcPr>
            <w:tcW w:w="967" w:type="dxa"/>
            <w:vMerge/>
            <w:tcBorders>
              <w:top w:val="nil"/>
              <w:left w:val="single" w:sz="8" w:space="0" w:color="000000"/>
              <w:bottom w:val="single" w:sz="8" w:space="0" w:color="000000"/>
            </w:tcBorders>
          </w:tcPr>
          <w:p>
            <w:pPr>
              <w:rPr>
                <w:sz w:val="2"/>
                <w:szCs w:val="2"/>
              </w:rPr>
            </w:pPr>
          </w:p>
        </w:tc>
        <w:tc>
          <w:tcPr>
            <w:tcW w:w="427" w:type="dxa"/>
          </w:tcPr>
          <w:p>
            <w:pPr>
              <w:pStyle w:val="TableParagraph"/>
              <w:ind w:left="95" w:right="66"/>
              <w:jc w:val="center"/>
              <w:rPr>
                <w:sz w:val="21"/>
              </w:rPr>
            </w:pPr>
            <w:r>
              <w:rPr>
                <w:sz w:val="21"/>
              </w:rPr>
              <w:t>69</w:t>
            </w:r>
          </w:p>
        </w:tc>
        <w:tc>
          <w:tcPr>
            <w:tcW w:w="2558" w:type="dxa"/>
          </w:tcPr>
          <w:p>
            <w:pPr>
              <w:pStyle w:val="TableParagraph"/>
              <w:rPr>
                <w:sz w:val="21"/>
              </w:rPr>
            </w:pPr>
            <w:r>
              <w:rPr>
                <w:sz w:val="21"/>
              </w:rPr>
              <w:t>因职业关系导致的人类免</w:t>
            </w:r>
          </w:p>
          <w:p>
            <w:pPr>
              <w:pStyle w:val="TableParagraph"/>
              <w:spacing w:line="240" w:lineRule="auto" w:before="37"/>
              <w:rPr>
                <w:sz w:val="21"/>
              </w:rPr>
            </w:pPr>
            <w:r>
              <w:rPr>
                <w:sz w:val="21"/>
              </w:rPr>
              <w:t>疫缺陷病毒（HIV）感染</w:t>
            </w:r>
          </w:p>
        </w:tc>
        <w:tc>
          <w:tcPr>
            <w:tcW w:w="427" w:type="dxa"/>
          </w:tcPr>
          <w:p>
            <w:pPr>
              <w:pStyle w:val="TableParagraph"/>
              <w:ind w:left="95" w:right="65"/>
              <w:jc w:val="center"/>
              <w:rPr>
                <w:sz w:val="21"/>
              </w:rPr>
            </w:pPr>
            <w:r>
              <w:rPr>
                <w:sz w:val="21"/>
              </w:rPr>
              <w:t>50</w:t>
            </w:r>
          </w:p>
        </w:tc>
        <w:tc>
          <w:tcPr>
            <w:tcW w:w="2880" w:type="dxa"/>
          </w:tcPr>
          <w:p>
            <w:pPr>
              <w:pStyle w:val="TableParagraph"/>
              <w:rPr>
                <w:sz w:val="21"/>
              </w:rPr>
            </w:pPr>
            <w:r>
              <w:rPr>
                <w:sz w:val="21"/>
              </w:rPr>
              <w:t>出血性登革热</w:t>
            </w:r>
          </w:p>
        </w:tc>
        <w:tc>
          <w:tcPr>
            <w:tcW w:w="1673" w:type="dxa"/>
            <w:vMerge/>
            <w:tcBorders>
              <w:top w:val="nil"/>
              <w:bottom w:val="single" w:sz="8" w:space="0" w:color="000000"/>
              <w:right w:val="single" w:sz="8" w:space="0" w:color="000000"/>
            </w:tcBorders>
          </w:tcPr>
          <w:p>
            <w:pPr>
              <w:rPr>
                <w:sz w:val="2"/>
                <w:szCs w:val="2"/>
              </w:rPr>
            </w:pPr>
          </w:p>
        </w:tc>
      </w:tr>
      <w:tr>
        <w:trPr>
          <w:trHeight w:val="308" w:hRule="atLeast"/>
        </w:trPr>
        <w:tc>
          <w:tcPr>
            <w:tcW w:w="967" w:type="dxa"/>
            <w:vMerge/>
            <w:tcBorders>
              <w:top w:val="nil"/>
              <w:left w:val="single" w:sz="8" w:space="0" w:color="000000"/>
              <w:bottom w:val="single" w:sz="8" w:space="0" w:color="000000"/>
            </w:tcBorders>
          </w:tcPr>
          <w:p>
            <w:pPr>
              <w:rPr>
                <w:sz w:val="2"/>
                <w:szCs w:val="2"/>
              </w:rPr>
            </w:pPr>
          </w:p>
        </w:tc>
        <w:tc>
          <w:tcPr>
            <w:tcW w:w="427" w:type="dxa"/>
            <w:tcBorders>
              <w:bottom w:val="single" w:sz="8" w:space="0" w:color="000000"/>
            </w:tcBorders>
          </w:tcPr>
          <w:p>
            <w:pPr>
              <w:pStyle w:val="TableParagraph"/>
              <w:ind w:left="95" w:right="66"/>
              <w:jc w:val="center"/>
              <w:rPr>
                <w:sz w:val="21"/>
              </w:rPr>
            </w:pPr>
            <w:r>
              <w:rPr>
                <w:sz w:val="21"/>
              </w:rPr>
              <w:t>70</w:t>
            </w:r>
          </w:p>
        </w:tc>
        <w:tc>
          <w:tcPr>
            <w:tcW w:w="2558" w:type="dxa"/>
            <w:tcBorders>
              <w:bottom w:val="single" w:sz="8" w:space="0" w:color="000000"/>
            </w:tcBorders>
          </w:tcPr>
          <w:p>
            <w:pPr>
              <w:pStyle w:val="TableParagraph"/>
              <w:rPr>
                <w:sz w:val="21"/>
              </w:rPr>
            </w:pPr>
            <w:r>
              <w:rPr>
                <w:sz w:val="21"/>
              </w:rPr>
              <w:t>埃博拉病毒感染</w:t>
            </w:r>
          </w:p>
        </w:tc>
        <w:tc>
          <w:tcPr>
            <w:tcW w:w="427" w:type="dxa"/>
            <w:tcBorders>
              <w:bottom w:val="single" w:sz="8" w:space="0" w:color="000000"/>
            </w:tcBorders>
          </w:tcPr>
          <w:p>
            <w:pPr>
              <w:pStyle w:val="TableParagraph"/>
              <w:spacing w:line="240" w:lineRule="auto"/>
              <w:ind w:left="0"/>
              <w:rPr>
                <w:rFonts w:ascii="Times New Roman"/>
                <w:sz w:val="20"/>
              </w:rPr>
            </w:pPr>
          </w:p>
        </w:tc>
        <w:tc>
          <w:tcPr>
            <w:tcW w:w="2880" w:type="dxa"/>
            <w:tcBorders>
              <w:bottom w:val="single" w:sz="8" w:space="0" w:color="000000"/>
            </w:tcBorders>
          </w:tcPr>
          <w:p>
            <w:pPr>
              <w:pStyle w:val="TableParagraph"/>
              <w:spacing w:line="240" w:lineRule="auto"/>
              <w:ind w:left="0"/>
              <w:rPr>
                <w:rFonts w:ascii="Times New Roman"/>
                <w:sz w:val="20"/>
              </w:rPr>
            </w:pPr>
          </w:p>
        </w:tc>
        <w:tc>
          <w:tcPr>
            <w:tcW w:w="1673" w:type="dxa"/>
            <w:vMerge/>
            <w:tcBorders>
              <w:top w:val="nil"/>
              <w:bottom w:val="single" w:sz="8" w:space="0" w:color="000000"/>
              <w:right w:val="single" w:sz="8" w:space="0" w:color="000000"/>
            </w:tcBorders>
          </w:tcPr>
          <w:p>
            <w:pPr>
              <w:rPr>
                <w:sz w:val="2"/>
                <w:szCs w:val="2"/>
              </w:rPr>
            </w:pPr>
          </w:p>
        </w:tc>
      </w:tr>
    </w:tbl>
    <w:p>
      <w:pPr>
        <w:pStyle w:val="BodyText"/>
        <w:spacing w:before="3"/>
        <w:rPr>
          <w:rFonts w:ascii="Times New Roman"/>
          <w:sz w:val="9"/>
        </w:rPr>
      </w:pPr>
    </w:p>
    <w:p>
      <w:pPr>
        <w:pStyle w:val="BodyText"/>
        <w:spacing w:line="268" w:lineRule="auto" w:before="37"/>
        <w:ind w:left="850" w:right="173" w:hanging="418"/>
      </w:pPr>
      <w:r>
        <w:rPr>
          <w:spacing w:val="-8"/>
        </w:rPr>
        <w:t>注：标志√的疾病名称和对应的释义为中国保险行业协会制定的《重大疾病保险的疾病定义使用</w:t>
      </w:r>
      <w:r>
        <w:rPr>
          <w:spacing w:val="-14"/>
        </w:rPr>
        <w:t>规范》中的 </w:t>
      </w:r>
      <w:r>
        <w:rPr>
          <w:spacing w:val="-3"/>
        </w:rPr>
        <w:t>25</w:t>
      </w:r>
      <w:r>
        <w:rPr>
          <w:spacing w:val="-8"/>
        </w:rPr>
        <w:t> 种疾病名称和释义。</w:t>
      </w:r>
    </w:p>
    <w:sectPr>
      <w:pgSz w:w="11910" w:h="16840"/>
      <w:pgMar w:header="870" w:footer="998" w:top="1120" w:bottom="11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82432" type="#_x0000_t202" filled="false" stroked="false">
          <v:textbox inset="0,0,0,0">
            <w:txbxContent>
              <w:p>
                <w:pPr>
                  <w:spacing w:line="202" w:lineRule="exact" w:before="0"/>
                  <w:ind w:left="20" w:right="0" w:firstLine="0"/>
                  <w:jc w:val="left"/>
                  <w:rPr>
                    <w:sz w:val="18"/>
                  </w:rPr>
                </w:pPr>
                <w:r>
                  <w:rPr>
                    <w:sz w:val="18"/>
                  </w:rPr>
                  <w:t>55520161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10.25pt;height:11.15pt;mso-position-horizontal-relative:page;mso-position-vertical-relative:page;z-index:-82480" type="#_x0000_t202" filled="false" stroked="false">
          <v:textbox inset="0,0,0,0">
            <w:txbxContent>
              <w:p>
                <w:pPr>
                  <w:spacing w:line="202" w:lineRule="exact" w:before="0"/>
                  <w:ind w:left="20" w:right="0" w:firstLine="0"/>
                  <w:jc w:val="left"/>
                  <w:rPr>
                    <w:sz w:val="18"/>
                  </w:rPr>
                </w:pPr>
                <w:r>
                  <w:rPr>
                    <w:sz w:val="18"/>
                  </w:rPr>
                  <w:t>多倍保障重大疾病保险条款</w:t>
                </w:r>
              </w:p>
            </w:txbxContent>
          </v:textbox>
          <w10:wrap type="none"/>
        </v:shape>
      </w:pict>
    </w:r>
    <w:r>
      <w:rPr/>
      <w:pict>
        <v:shape style="position:absolute;margin-left:411.798553pt;margin-top:42.521534pt;width:110pt;height:11.15pt;mso-position-horizontal-relative:page;mso-position-vertical-relative:page;z-index:-82456"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82408" from="70.799995pt,56.39999pt" to="527.279985pt,56.39999pt" stroked="true" strokeweight=".72pt" strokecolor="#000000">
          <v:stroke dashstyle="solid"/>
          <w10:wrap type="none"/>
        </v:line>
      </w:pict>
    </w:r>
    <w:r>
      <w:rPr/>
      <w:pict>
        <v:shape style="position:absolute;margin-left:69.798561pt;margin-top:42.521534pt;width:110.25pt;height:11.15pt;mso-position-horizontal-relative:page;mso-position-vertical-relative:page;z-index:-82384" type="#_x0000_t202" filled="false" stroked="false">
          <v:textbox inset="0,0,0,0">
            <w:txbxContent>
              <w:p>
                <w:pPr>
                  <w:spacing w:line="202" w:lineRule="exact" w:before="0"/>
                  <w:ind w:left="20" w:right="0" w:firstLine="0"/>
                  <w:jc w:val="left"/>
                  <w:rPr>
                    <w:sz w:val="18"/>
                  </w:rPr>
                </w:pPr>
                <w:r>
                  <w:rPr>
                    <w:sz w:val="18"/>
                  </w:rPr>
                  <w:t>多倍保障重大疾病保险条款</w:t>
                </w:r>
              </w:p>
            </w:txbxContent>
          </v:textbox>
          <w10:wrap type="none"/>
        </v:shape>
      </w:pict>
    </w:r>
    <w:r>
      <w:rPr/>
      <w:pict>
        <v:shape style="position:absolute;margin-left:411.798553pt;margin-top:42.521534pt;width:110pt;height:11.15pt;mso-position-horizontal-relative:page;mso-position-vertical-relative:page;z-index:-8236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978" w:hanging="879"/>
        <w:jc w:val="left"/>
      </w:pPr>
      <w:rPr>
        <w:rFonts w:hint="default"/>
      </w:rPr>
    </w:lvl>
    <w:lvl w:ilvl="1">
      <w:start w:val="11"/>
      <w:numFmt w:val="decimal"/>
      <w:lvlText w:val="%1.%2"/>
      <w:lvlJc w:val="left"/>
      <w:pPr>
        <w:ind w:left="978" w:hanging="879"/>
        <w:jc w:val="left"/>
      </w:pPr>
      <w:rPr>
        <w:rFonts w:hint="default" w:ascii="Microsoft JhengHei" w:hAnsi="Microsoft JhengHei" w:eastAsia="Microsoft JhengHei" w:cs="Microsoft JhengHei"/>
        <w:b/>
        <w:bCs/>
        <w:w w:val="98"/>
        <w:sz w:val="21"/>
        <w:szCs w:val="21"/>
      </w:rPr>
    </w:lvl>
    <w:lvl w:ilvl="2">
      <w:start w:val="1"/>
      <w:numFmt w:val="decimal"/>
      <w:lvlText w:val="%1.%2.%3"/>
      <w:lvlJc w:val="left"/>
      <w:pPr>
        <w:ind w:left="978" w:hanging="759"/>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270" w:hanging="759"/>
      </w:pPr>
      <w:rPr>
        <w:rFonts w:hint="default"/>
      </w:rPr>
    </w:lvl>
    <w:lvl w:ilvl="4">
      <w:start w:val="0"/>
      <w:numFmt w:val="bullet"/>
      <w:lvlText w:val="•"/>
      <w:lvlJc w:val="left"/>
      <w:pPr>
        <w:ind w:left="1367" w:hanging="759"/>
      </w:pPr>
      <w:rPr>
        <w:rFonts w:hint="default"/>
      </w:rPr>
    </w:lvl>
    <w:lvl w:ilvl="5">
      <w:start w:val="0"/>
      <w:numFmt w:val="bullet"/>
      <w:lvlText w:val="•"/>
      <w:lvlJc w:val="left"/>
      <w:pPr>
        <w:ind w:left="1464" w:hanging="759"/>
      </w:pPr>
      <w:rPr>
        <w:rFonts w:hint="default"/>
      </w:rPr>
    </w:lvl>
    <w:lvl w:ilvl="6">
      <w:start w:val="0"/>
      <w:numFmt w:val="bullet"/>
      <w:lvlText w:val="•"/>
      <w:lvlJc w:val="left"/>
      <w:pPr>
        <w:ind w:left="1560" w:hanging="759"/>
      </w:pPr>
      <w:rPr>
        <w:rFonts w:hint="default"/>
      </w:rPr>
    </w:lvl>
    <w:lvl w:ilvl="7">
      <w:start w:val="0"/>
      <w:numFmt w:val="bullet"/>
      <w:lvlText w:val="•"/>
      <w:lvlJc w:val="left"/>
      <w:pPr>
        <w:ind w:left="1657" w:hanging="759"/>
      </w:pPr>
      <w:rPr>
        <w:rFonts w:hint="default"/>
      </w:rPr>
    </w:lvl>
    <w:lvl w:ilvl="8">
      <w:start w:val="0"/>
      <w:numFmt w:val="bullet"/>
      <w:lvlText w:val="•"/>
      <w:lvlJc w:val="left"/>
      <w:pPr>
        <w:ind w:left="1754" w:hanging="759"/>
      </w:pPr>
      <w:rPr>
        <w:rFonts w:hint="default"/>
      </w:rPr>
    </w:lvl>
  </w:abstractNum>
  <w:abstractNum w:abstractNumId="9">
    <w:multiLevelType w:val="hybridMultilevel"/>
    <w:lvl w:ilvl="0">
      <w:start w:val="6"/>
      <w:numFmt w:val="decimal"/>
      <w:lvlText w:val="%1"/>
      <w:lvlJc w:val="left"/>
      <w:pPr>
        <w:ind w:left="778" w:hanging="759"/>
        <w:jc w:val="left"/>
      </w:pPr>
      <w:rPr>
        <w:rFonts w:hint="default"/>
      </w:rPr>
    </w:lvl>
    <w:lvl w:ilvl="1">
      <w:start w:val="5"/>
      <w:numFmt w:val="decimal"/>
      <w:lvlText w:val="%1.%2"/>
      <w:lvlJc w:val="left"/>
      <w:pPr>
        <w:ind w:left="778" w:hanging="759"/>
        <w:jc w:val="right"/>
      </w:pPr>
      <w:rPr>
        <w:rFonts w:hint="default"/>
      </w:rPr>
    </w:lvl>
    <w:lvl w:ilvl="2">
      <w:start w:val="47"/>
      <w:numFmt w:val="decimal"/>
      <w:lvlText w:val="%1.%2.%3"/>
      <w:lvlJc w:val="left"/>
      <w:pPr>
        <w:ind w:left="778" w:hanging="759"/>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8">
    <w:multiLevelType w:val="hybridMultilevel"/>
    <w:lvl w:ilvl="0">
      <w:start w:val="6"/>
      <w:numFmt w:val="decimal"/>
      <w:lvlText w:val="%1"/>
      <w:lvlJc w:val="left"/>
      <w:pPr>
        <w:ind w:left="778" w:hanging="687"/>
        <w:jc w:val="left"/>
      </w:pPr>
      <w:rPr>
        <w:rFonts w:hint="default"/>
      </w:rPr>
    </w:lvl>
    <w:lvl w:ilvl="1">
      <w:start w:val="5"/>
      <w:numFmt w:val="decimal"/>
      <w:lvlText w:val="%1.%2"/>
      <w:lvlJc w:val="left"/>
      <w:pPr>
        <w:ind w:left="778" w:hanging="687"/>
        <w:jc w:val="left"/>
      </w:pPr>
      <w:rPr>
        <w:rFonts w:hint="default"/>
      </w:rPr>
    </w:lvl>
    <w:lvl w:ilvl="2">
      <w:start w:val="15"/>
      <w:numFmt w:val="decimal"/>
      <w:lvlText w:val="%1.%2.%3"/>
      <w:lvlJc w:val="left"/>
      <w:pPr>
        <w:ind w:left="778" w:hanging="687"/>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1048" w:hanging="687"/>
      </w:pPr>
      <w:rPr>
        <w:rFonts w:hint="default"/>
      </w:rPr>
    </w:lvl>
    <w:lvl w:ilvl="4">
      <w:start w:val="0"/>
      <w:numFmt w:val="bullet"/>
      <w:lvlText w:val="•"/>
      <w:lvlJc w:val="left"/>
      <w:pPr>
        <w:ind w:left="1138" w:hanging="687"/>
      </w:pPr>
      <w:rPr>
        <w:rFonts w:hint="default"/>
      </w:rPr>
    </w:lvl>
    <w:lvl w:ilvl="5">
      <w:start w:val="0"/>
      <w:numFmt w:val="bullet"/>
      <w:lvlText w:val="•"/>
      <w:lvlJc w:val="left"/>
      <w:pPr>
        <w:ind w:left="1228" w:hanging="687"/>
      </w:pPr>
      <w:rPr>
        <w:rFonts w:hint="default"/>
      </w:rPr>
    </w:lvl>
    <w:lvl w:ilvl="6">
      <w:start w:val="0"/>
      <w:numFmt w:val="bullet"/>
      <w:lvlText w:val="•"/>
      <w:lvlJc w:val="left"/>
      <w:pPr>
        <w:ind w:left="1317" w:hanging="687"/>
      </w:pPr>
      <w:rPr>
        <w:rFonts w:hint="default"/>
      </w:rPr>
    </w:lvl>
    <w:lvl w:ilvl="7">
      <w:start w:val="0"/>
      <w:numFmt w:val="bullet"/>
      <w:lvlText w:val="•"/>
      <w:lvlJc w:val="left"/>
      <w:pPr>
        <w:ind w:left="1407" w:hanging="687"/>
      </w:pPr>
      <w:rPr>
        <w:rFonts w:hint="default"/>
      </w:rPr>
    </w:lvl>
    <w:lvl w:ilvl="8">
      <w:start w:val="0"/>
      <w:numFmt w:val="bullet"/>
      <w:lvlText w:val="•"/>
      <w:lvlJc w:val="left"/>
      <w:pPr>
        <w:ind w:left="1496" w:hanging="687"/>
      </w:pPr>
      <w:rPr>
        <w:rFonts w:hint="default"/>
      </w:rPr>
    </w:lvl>
  </w:abstractNum>
  <w:abstractNum w:abstractNumId="7">
    <w:multiLevelType w:val="hybridMultilevel"/>
    <w:lvl w:ilvl="0">
      <w:start w:val="6"/>
      <w:numFmt w:val="decimal"/>
      <w:lvlText w:val="%1"/>
      <w:lvlJc w:val="left"/>
      <w:pPr>
        <w:ind w:left="978" w:hanging="759"/>
        <w:jc w:val="left"/>
      </w:pPr>
      <w:rPr>
        <w:rFonts w:hint="default"/>
      </w:rPr>
    </w:lvl>
    <w:lvl w:ilvl="1">
      <w:start w:val="5"/>
      <w:numFmt w:val="decimal"/>
      <w:lvlText w:val="%1.%2"/>
      <w:lvlJc w:val="left"/>
      <w:pPr>
        <w:ind w:left="978" w:hanging="759"/>
        <w:jc w:val="left"/>
      </w:pPr>
      <w:rPr>
        <w:rFonts w:hint="default"/>
      </w:rPr>
    </w:lvl>
    <w:lvl w:ilvl="2">
      <w:start w:val="1"/>
      <w:numFmt w:val="decimal"/>
      <w:lvlText w:val="%1.%2.%3"/>
      <w:lvlJc w:val="left"/>
      <w:pPr>
        <w:ind w:left="978" w:hanging="759"/>
        <w:jc w:val="right"/>
      </w:pPr>
      <w:rPr>
        <w:rFonts w:hint="default" w:ascii="Microsoft JhengHei" w:hAnsi="Microsoft JhengHei" w:eastAsia="Microsoft JhengHei" w:cs="Microsoft JhengHei"/>
        <w:b/>
        <w:bCs/>
        <w:w w:val="109"/>
        <w:sz w:val="21"/>
        <w:szCs w:val="21"/>
      </w:rPr>
    </w:lvl>
    <w:lvl w:ilvl="3">
      <w:start w:val="0"/>
      <w:numFmt w:val="bullet"/>
      <w:lvlText w:val="•"/>
      <w:lvlJc w:val="left"/>
      <w:pPr>
        <w:ind w:left="1270" w:hanging="759"/>
      </w:pPr>
      <w:rPr>
        <w:rFonts w:hint="default"/>
      </w:rPr>
    </w:lvl>
    <w:lvl w:ilvl="4">
      <w:start w:val="0"/>
      <w:numFmt w:val="bullet"/>
      <w:lvlText w:val="•"/>
      <w:lvlJc w:val="left"/>
      <w:pPr>
        <w:ind w:left="1367" w:hanging="759"/>
      </w:pPr>
      <w:rPr>
        <w:rFonts w:hint="default"/>
      </w:rPr>
    </w:lvl>
    <w:lvl w:ilvl="5">
      <w:start w:val="0"/>
      <w:numFmt w:val="bullet"/>
      <w:lvlText w:val="•"/>
      <w:lvlJc w:val="left"/>
      <w:pPr>
        <w:ind w:left="1464" w:hanging="759"/>
      </w:pPr>
      <w:rPr>
        <w:rFonts w:hint="default"/>
      </w:rPr>
    </w:lvl>
    <w:lvl w:ilvl="6">
      <w:start w:val="0"/>
      <w:numFmt w:val="bullet"/>
      <w:lvlText w:val="•"/>
      <w:lvlJc w:val="left"/>
      <w:pPr>
        <w:ind w:left="1560" w:hanging="759"/>
      </w:pPr>
      <w:rPr>
        <w:rFonts w:hint="default"/>
      </w:rPr>
    </w:lvl>
    <w:lvl w:ilvl="7">
      <w:start w:val="0"/>
      <w:numFmt w:val="bullet"/>
      <w:lvlText w:val="•"/>
      <w:lvlJc w:val="left"/>
      <w:pPr>
        <w:ind w:left="1657" w:hanging="759"/>
      </w:pPr>
      <w:rPr>
        <w:rFonts w:hint="default"/>
      </w:rPr>
    </w:lvl>
    <w:lvl w:ilvl="8">
      <w:start w:val="0"/>
      <w:numFmt w:val="bullet"/>
      <w:lvlText w:val="•"/>
      <w:lvlJc w:val="left"/>
      <w:pPr>
        <w:ind w:left="1754" w:hanging="759"/>
      </w:pPr>
      <w:rPr>
        <w:rFonts w:hint="default"/>
      </w:rPr>
    </w:lvl>
  </w:abstractNum>
  <w:abstractNum w:abstractNumId="6">
    <w:multiLevelType w:val="hybridMultilevel"/>
    <w:lvl w:ilvl="0">
      <w:start w:val="6"/>
      <w:numFmt w:val="decimal"/>
      <w:lvlText w:val="%1"/>
      <w:lvlJc w:val="left"/>
      <w:pPr>
        <w:ind w:left="778" w:hanging="759"/>
        <w:jc w:val="left"/>
      </w:pPr>
      <w:rPr>
        <w:rFonts w:hint="default"/>
      </w:rPr>
    </w:lvl>
    <w:lvl w:ilvl="1">
      <w:start w:val="4"/>
      <w:numFmt w:val="decimal"/>
      <w:lvlText w:val="%1.%2"/>
      <w:lvlJc w:val="left"/>
      <w:pPr>
        <w:ind w:left="778" w:hanging="759"/>
        <w:jc w:val="right"/>
      </w:pPr>
      <w:rPr>
        <w:rFonts w:hint="default"/>
      </w:rPr>
    </w:lvl>
    <w:lvl w:ilvl="2">
      <w:start w:val="5"/>
      <w:numFmt w:val="decimal"/>
      <w:lvlText w:val="%1.%2.%3"/>
      <w:lvlJc w:val="left"/>
      <w:pPr>
        <w:ind w:left="778" w:hanging="759"/>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071" w:hanging="759"/>
      </w:pPr>
      <w:rPr>
        <w:rFonts w:hint="default"/>
      </w:rPr>
    </w:lvl>
    <w:lvl w:ilvl="4">
      <w:start w:val="0"/>
      <w:numFmt w:val="bullet"/>
      <w:lvlText w:val="•"/>
      <w:lvlJc w:val="left"/>
      <w:pPr>
        <w:ind w:left="1169" w:hanging="759"/>
      </w:pPr>
      <w:rPr>
        <w:rFonts w:hint="default"/>
      </w:rPr>
    </w:lvl>
    <w:lvl w:ilvl="5">
      <w:start w:val="0"/>
      <w:numFmt w:val="bullet"/>
      <w:lvlText w:val="•"/>
      <w:lvlJc w:val="left"/>
      <w:pPr>
        <w:ind w:left="1266" w:hanging="759"/>
      </w:pPr>
      <w:rPr>
        <w:rFonts w:hint="default"/>
      </w:rPr>
    </w:lvl>
    <w:lvl w:ilvl="6">
      <w:start w:val="0"/>
      <w:numFmt w:val="bullet"/>
      <w:lvlText w:val="•"/>
      <w:lvlJc w:val="left"/>
      <w:pPr>
        <w:ind w:left="1363" w:hanging="759"/>
      </w:pPr>
      <w:rPr>
        <w:rFonts w:hint="default"/>
      </w:rPr>
    </w:lvl>
    <w:lvl w:ilvl="7">
      <w:start w:val="0"/>
      <w:numFmt w:val="bullet"/>
      <w:lvlText w:val="•"/>
      <w:lvlJc w:val="left"/>
      <w:pPr>
        <w:ind w:left="1460" w:hanging="759"/>
      </w:pPr>
      <w:rPr>
        <w:rFonts w:hint="default"/>
      </w:rPr>
    </w:lvl>
    <w:lvl w:ilvl="8">
      <w:start w:val="0"/>
      <w:numFmt w:val="bullet"/>
      <w:lvlText w:val="•"/>
      <w:lvlJc w:val="left"/>
      <w:pPr>
        <w:ind w:left="1558" w:hanging="759"/>
      </w:pPr>
      <w:rPr>
        <w:rFonts w:hint="default"/>
      </w:rPr>
    </w:lvl>
  </w:abstractNum>
  <w:abstractNum w:abstractNumId="5">
    <w:multiLevelType w:val="hybridMultilevel"/>
    <w:lvl w:ilvl="0">
      <w:start w:val="1"/>
      <w:numFmt w:val="decimal"/>
      <w:lvlText w:val="%1."/>
      <w:lvlJc w:val="left"/>
      <w:pPr>
        <w:ind w:left="1112" w:hanging="893"/>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284" w:hanging="893"/>
        <w:jc w:val="left"/>
      </w:pPr>
      <w:rPr>
        <w:rFonts w:hint="default" w:ascii="Microsoft JhengHei" w:hAnsi="Microsoft JhengHei" w:eastAsia="Microsoft JhengHei" w:cs="Microsoft JhengHei"/>
        <w:b/>
        <w:bCs/>
        <w:w w:val="104"/>
        <w:sz w:val="21"/>
        <w:szCs w:val="21"/>
      </w:rPr>
    </w:lvl>
    <w:lvl w:ilvl="2">
      <w:start w:val="1"/>
      <w:numFmt w:val="decimal"/>
      <w:lvlText w:val="%1.%2.%3"/>
      <w:lvlJc w:val="left"/>
      <w:pPr>
        <w:ind w:left="992" w:hanging="744"/>
        <w:jc w:val="right"/>
      </w:pPr>
      <w:rPr>
        <w:rFonts w:hint="default" w:ascii="Microsoft JhengHei" w:hAnsi="Microsoft JhengHei" w:eastAsia="Microsoft JhengHei" w:cs="Microsoft JhengHei"/>
        <w:b/>
        <w:bCs/>
        <w:w w:val="109"/>
        <w:sz w:val="21"/>
        <w:szCs w:val="21"/>
      </w:rPr>
    </w:lvl>
    <w:lvl w:ilvl="3">
      <w:start w:val="0"/>
      <w:numFmt w:val="bullet"/>
      <w:lvlText w:val="•"/>
      <w:lvlJc w:val="left"/>
      <w:pPr>
        <w:ind w:left="1960" w:hanging="744"/>
      </w:pPr>
      <w:rPr>
        <w:rFonts w:hint="default"/>
      </w:rPr>
    </w:lvl>
    <w:lvl w:ilvl="4">
      <w:start w:val="0"/>
      <w:numFmt w:val="bullet"/>
      <w:lvlText w:val="•"/>
      <w:lvlJc w:val="left"/>
      <w:pPr>
        <w:ind w:left="2280" w:hanging="744"/>
      </w:pPr>
      <w:rPr>
        <w:rFonts w:hint="default"/>
      </w:rPr>
    </w:lvl>
    <w:lvl w:ilvl="5">
      <w:start w:val="0"/>
      <w:numFmt w:val="bullet"/>
      <w:lvlText w:val="•"/>
      <w:lvlJc w:val="left"/>
      <w:pPr>
        <w:ind w:left="2191" w:hanging="744"/>
      </w:pPr>
      <w:rPr>
        <w:rFonts w:hint="default"/>
      </w:rPr>
    </w:lvl>
    <w:lvl w:ilvl="6">
      <w:start w:val="0"/>
      <w:numFmt w:val="bullet"/>
      <w:lvlText w:val="•"/>
      <w:lvlJc w:val="left"/>
      <w:pPr>
        <w:ind w:left="2102" w:hanging="744"/>
      </w:pPr>
      <w:rPr>
        <w:rFonts w:hint="default"/>
      </w:rPr>
    </w:lvl>
    <w:lvl w:ilvl="7">
      <w:start w:val="0"/>
      <w:numFmt w:val="bullet"/>
      <w:lvlText w:val="•"/>
      <w:lvlJc w:val="left"/>
      <w:pPr>
        <w:ind w:left="2014" w:hanging="744"/>
      </w:pPr>
      <w:rPr>
        <w:rFonts w:hint="default"/>
      </w:rPr>
    </w:lvl>
    <w:lvl w:ilvl="8">
      <w:start w:val="0"/>
      <w:numFmt w:val="bullet"/>
      <w:lvlText w:val="•"/>
      <w:lvlJc w:val="left"/>
      <w:pPr>
        <w:ind w:left="1925" w:hanging="744"/>
      </w:pPr>
      <w:rPr>
        <w:rFonts w:hint="default"/>
      </w:rPr>
    </w:lvl>
  </w:abstractNum>
  <w:abstractNum w:abstractNumId="4">
    <w:multiLevelType w:val="hybridMultilevel"/>
    <w:lvl w:ilvl="0">
      <w:start w:val="6"/>
      <w:numFmt w:val="decimal"/>
      <w:lvlText w:val="%1"/>
      <w:lvlJc w:val="left"/>
      <w:pPr>
        <w:ind w:left="1044" w:hanging="528"/>
        <w:jc w:val="left"/>
      </w:pPr>
      <w:rPr>
        <w:rFonts w:hint="default"/>
      </w:rPr>
    </w:lvl>
    <w:lvl w:ilvl="1">
      <w:start w:val="12"/>
      <w:numFmt w:val="decimal"/>
      <w:lvlText w:val="%1.%2"/>
      <w:lvlJc w:val="left"/>
      <w:pPr>
        <w:ind w:left="1044" w:hanging="528"/>
        <w:jc w:val="left"/>
      </w:pPr>
      <w:rPr>
        <w:rFonts w:hint="default" w:ascii="宋体" w:hAnsi="宋体" w:eastAsia="宋体" w:cs="宋体"/>
        <w:w w:val="100"/>
        <w:sz w:val="21"/>
        <w:szCs w:val="21"/>
      </w:rPr>
    </w:lvl>
    <w:lvl w:ilvl="2">
      <w:start w:val="0"/>
      <w:numFmt w:val="bullet"/>
      <w:lvlText w:val="•"/>
      <w:lvlJc w:val="left"/>
      <w:pPr>
        <w:ind w:left="1718" w:hanging="528"/>
      </w:pPr>
      <w:rPr>
        <w:rFonts w:hint="default"/>
      </w:rPr>
    </w:lvl>
    <w:lvl w:ilvl="3">
      <w:start w:val="0"/>
      <w:numFmt w:val="bullet"/>
      <w:lvlText w:val="•"/>
      <w:lvlJc w:val="left"/>
      <w:pPr>
        <w:ind w:left="2058" w:hanging="528"/>
      </w:pPr>
      <w:rPr>
        <w:rFonts w:hint="default"/>
      </w:rPr>
    </w:lvl>
    <w:lvl w:ilvl="4">
      <w:start w:val="0"/>
      <w:numFmt w:val="bullet"/>
      <w:lvlText w:val="•"/>
      <w:lvlJc w:val="left"/>
      <w:pPr>
        <w:ind w:left="2397" w:hanging="528"/>
      </w:pPr>
      <w:rPr>
        <w:rFonts w:hint="default"/>
      </w:rPr>
    </w:lvl>
    <w:lvl w:ilvl="5">
      <w:start w:val="0"/>
      <w:numFmt w:val="bullet"/>
      <w:lvlText w:val="•"/>
      <w:lvlJc w:val="left"/>
      <w:pPr>
        <w:ind w:left="2736" w:hanging="528"/>
      </w:pPr>
      <w:rPr>
        <w:rFonts w:hint="default"/>
      </w:rPr>
    </w:lvl>
    <w:lvl w:ilvl="6">
      <w:start w:val="0"/>
      <w:numFmt w:val="bullet"/>
      <w:lvlText w:val="•"/>
      <w:lvlJc w:val="left"/>
      <w:pPr>
        <w:ind w:left="3076" w:hanging="528"/>
      </w:pPr>
      <w:rPr>
        <w:rFonts w:hint="default"/>
      </w:rPr>
    </w:lvl>
    <w:lvl w:ilvl="7">
      <w:start w:val="0"/>
      <w:numFmt w:val="bullet"/>
      <w:lvlText w:val="•"/>
      <w:lvlJc w:val="left"/>
      <w:pPr>
        <w:ind w:left="3415" w:hanging="528"/>
      </w:pPr>
      <w:rPr>
        <w:rFonts w:hint="default"/>
      </w:rPr>
    </w:lvl>
    <w:lvl w:ilvl="8">
      <w:start w:val="0"/>
      <w:numFmt w:val="bullet"/>
      <w:lvlText w:val="•"/>
      <w:lvlJc w:val="left"/>
      <w:pPr>
        <w:ind w:left="3754" w:hanging="528"/>
      </w:pPr>
      <w:rPr>
        <w:rFonts w:hint="default"/>
      </w:rPr>
    </w:lvl>
  </w:abstractNum>
  <w:abstractNum w:abstractNumId="3">
    <w:multiLevelType w:val="hybridMultilevel"/>
    <w:lvl w:ilvl="0">
      <w:start w:val="5"/>
      <w:numFmt w:val="decimal"/>
      <w:lvlText w:val="%1"/>
      <w:lvlJc w:val="left"/>
      <w:pPr>
        <w:ind w:left="1286" w:hanging="528"/>
        <w:jc w:val="left"/>
      </w:pPr>
      <w:rPr>
        <w:rFonts w:hint="default"/>
      </w:rPr>
    </w:lvl>
    <w:lvl w:ilvl="1">
      <w:start w:val="1"/>
      <w:numFmt w:val="decimal"/>
      <w:lvlText w:val="%1.%2"/>
      <w:lvlJc w:val="left"/>
      <w:pPr>
        <w:ind w:left="1286" w:hanging="528"/>
        <w:jc w:val="left"/>
      </w:pPr>
      <w:rPr>
        <w:rFonts w:hint="default" w:ascii="宋体" w:hAnsi="宋体" w:eastAsia="宋体" w:cs="宋体"/>
        <w:w w:val="100"/>
        <w:sz w:val="21"/>
        <w:szCs w:val="21"/>
      </w:rPr>
    </w:lvl>
    <w:lvl w:ilvl="2">
      <w:start w:val="0"/>
      <w:numFmt w:val="bullet"/>
      <w:lvlText w:val="•"/>
      <w:lvlJc w:val="left"/>
      <w:pPr>
        <w:ind w:left="1744" w:hanging="528"/>
      </w:pPr>
      <w:rPr>
        <w:rFonts w:hint="default"/>
      </w:rPr>
    </w:lvl>
    <w:lvl w:ilvl="3">
      <w:start w:val="0"/>
      <w:numFmt w:val="bullet"/>
      <w:lvlText w:val="•"/>
      <w:lvlJc w:val="left"/>
      <w:pPr>
        <w:ind w:left="1976" w:hanging="528"/>
      </w:pPr>
      <w:rPr>
        <w:rFonts w:hint="default"/>
      </w:rPr>
    </w:lvl>
    <w:lvl w:ilvl="4">
      <w:start w:val="0"/>
      <w:numFmt w:val="bullet"/>
      <w:lvlText w:val="•"/>
      <w:lvlJc w:val="left"/>
      <w:pPr>
        <w:ind w:left="2208" w:hanging="528"/>
      </w:pPr>
      <w:rPr>
        <w:rFonts w:hint="default"/>
      </w:rPr>
    </w:lvl>
    <w:lvl w:ilvl="5">
      <w:start w:val="0"/>
      <w:numFmt w:val="bullet"/>
      <w:lvlText w:val="•"/>
      <w:lvlJc w:val="left"/>
      <w:pPr>
        <w:ind w:left="2440" w:hanging="528"/>
      </w:pPr>
      <w:rPr>
        <w:rFonts w:hint="default"/>
      </w:rPr>
    </w:lvl>
    <w:lvl w:ilvl="6">
      <w:start w:val="0"/>
      <w:numFmt w:val="bullet"/>
      <w:lvlText w:val="•"/>
      <w:lvlJc w:val="left"/>
      <w:pPr>
        <w:ind w:left="2672" w:hanging="528"/>
      </w:pPr>
      <w:rPr>
        <w:rFonts w:hint="default"/>
      </w:rPr>
    </w:lvl>
    <w:lvl w:ilvl="7">
      <w:start w:val="0"/>
      <w:numFmt w:val="bullet"/>
      <w:lvlText w:val="•"/>
      <w:lvlJc w:val="left"/>
      <w:pPr>
        <w:ind w:left="2904" w:hanging="528"/>
      </w:pPr>
      <w:rPr>
        <w:rFonts w:hint="default"/>
      </w:rPr>
    </w:lvl>
    <w:lvl w:ilvl="8">
      <w:start w:val="0"/>
      <w:numFmt w:val="bullet"/>
      <w:lvlText w:val="•"/>
      <w:lvlJc w:val="left"/>
      <w:pPr>
        <w:ind w:left="3136"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386" w:hanging="528"/>
      </w:pPr>
      <w:rPr>
        <w:rFonts w:hint="default"/>
      </w:rPr>
    </w:lvl>
    <w:lvl w:ilvl="3">
      <w:start w:val="0"/>
      <w:numFmt w:val="bullet"/>
      <w:lvlText w:val="•"/>
      <w:lvlJc w:val="left"/>
      <w:pPr>
        <w:ind w:left="1492" w:hanging="528"/>
      </w:pPr>
      <w:rPr>
        <w:rFonts w:hint="default"/>
      </w:rPr>
    </w:lvl>
    <w:lvl w:ilvl="4">
      <w:start w:val="0"/>
      <w:numFmt w:val="bullet"/>
      <w:lvlText w:val="•"/>
      <w:lvlJc w:val="left"/>
      <w:pPr>
        <w:ind w:left="1598" w:hanging="528"/>
      </w:pPr>
      <w:rPr>
        <w:rFonts w:hint="default"/>
      </w:rPr>
    </w:lvl>
    <w:lvl w:ilvl="5">
      <w:start w:val="0"/>
      <w:numFmt w:val="bullet"/>
      <w:lvlText w:val="•"/>
      <w:lvlJc w:val="left"/>
      <w:pPr>
        <w:ind w:left="1705" w:hanging="528"/>
      </w:pPr>
      <w:rPr>
        <w:rFonts w:hint="default"/>
      </w:rPr>
    </w:lvl>
    <w:lvl w:ilvl="6">
      <w:start w:val="0"/>
      <w:numFmt w:val="bullet"/>
      <w:lvlText w:val="•"/>
      <w:lvlJc w:val="left"/>
      <w:pPr>
        <w:ind w:left="1811" w:hanging="528"/>
      </w:pPr>
      <w:rPr>
        <w:rFonts w:hint="default"/>
      </w:rPr>
    </w:lvl>
    <w:lvl w:ilvl="7">
      <w:start w:val="0"/>
      <w:numFmt w:val="bullet"/>
      <w:lvlText w:val="•"/>
      <w:lvlJc w:val="left"/>
      <w:pPr>
        <w:ind w:left="1917" w:hanging="528"/>
      </w:pPr>
      <w:rPr>
        <w:rFonts w:hint="default"/>
      </w:rPr>
    </w:lvl>
    <w:lvl w:ilvl="8">
      <w:start w:val="0"/>
      <w:numFmt w:val="bullet"/>
      <w:lvlText w:val="•"/>
      <w:lvlJc w:val="left"/>
      <w:pPr>
        <w:ind w:left="2024" w:hanging="528"/>
      </w:pPr>
      <w:rPr>
        <w:rFonts w:hint="default"/>
      </w:rPr>
    </w:lvl>
  </w:abstractNum>
  <w:abstractNum w:abstractNumId="1">
    <w:multiLevelType w:val="hybridMultilevel"/>
    <w:lvl w:ilvl="0">
      <w:start w:val="6"/>
      <w:numFmt w:val="decimal"/>
      <w:lvlText w:val="%1"/>
      <w:lvlJc w:val="left"/>
      <w:pPr>
        <w:ind w:left="1075" w:hanging="528"/>
        <w:jc w:val="left"/>
      </w:pPr>
      <w:rPr>
        <w:rFonts w:hint="default"/>
      </w:rPr>
    </w:lvl>
    <w:lvl w:ilvl="1">
      <w:start w:val="5"/>
      <w:numFmt w:val="decimal"/>
      <w:lvlText w:val="%1.%2"/>
      <w:lvlJc w:val="left"/>
      <w:pPr>
        <w:ind w:left="1075" w:hanging="528"/>
        <w:jc w:val="left"/>
      </w:pPr>
      <w:rPr>
        <w:rFonts w:hint="default" w:ascii="宋体" w:hAnsi="宋体" w:eastAsia="宋体" w:cs="宋体"/>
        <w:w w:val="100"/>
        <w:sz w:val="21"/>
        <w:szCs w:val="21"/>
      </w:rPr>
    </w:lvl>
    <w:lvl w:ilvl="2">
      <w:start w:val="0"/>
      <w:numFmt w:val="bullet"/>
      <w:lvlText w:val="•"/>
      <w:lvlJc w:val="left"/>
      <w:pPr>
        <w:ind w:left="1755" w:hanging="528"/>
      </w:pPr>
      <w:rPr>
        <w:rFonts w:hint="default"/>
      </w:rPr>
    </w:lvl>
    <w:lvl w:ilvl="3">
      <w:start w:val="0"/>
      <w:numFmt w:val="bullet"/>
      <w:lvlText w:val="•"/>
      <w:lvlJc w:val="left"/>
      <w:pPr>
        <w:ind w:left="2093" w:hanging="528"/>
      </w:pPr>
      <w:rPr>
        <w:rFonts w:hint="default"/>
      </w:rPr>
    </w:lvl>
    <w:lvl w:ilvl="4">
      <w:start w:val="0"/>
      <w:numFmt w:val="bullet"/>
      <w:lvlText w:val="•"/>
      <w:lvlJc w:val="left"/>
      <w:pPr>
        <w:ind w:left="2431" w:hanging="528"/>
      </w:pPr>
      <w:rPr>
        <w:rFonts w:hint="default"/>
      </w:rPr>
    </w:lvl>
    <w:lvl w:ilvl="5">
      <w:start w:val="0"/>
      <w:numFmt w:val="bullet"/>
      <w:lvlText w:val="•"/>
      <w:lvlJc w:val="left"/>
      <w:pPr>
        <w:ind w:left="2769" w:hanging="528"/>
      </w:pPr>
      <w:rPr>
        <w:rFonts w:hint="default"/>
      </w:rPr>
    </w:lvl>
    <w:lvl w:ilvl="6">
      <w:start w:val="0"/>
      <w:numFmt w:val="bullet"/>
      <w:lvlText w:val="•"/>
      <w:lvlJc w:val="left"/>
      <w:pPr>
        <w:ind w:left="3107" w:hanging="528"/>
      </w:pPr>
      <w:rPr>
        <w:rFonts w:hint="default"/>
      </w:rPr>
    </w:lvl>
    <w:lvl w:ilvl="7">
      <w:start w:val="0"/>
      <w:numFmt w:val="bullet"/>
      <w:lvlText w:val="•"/>
      <w:lvlJc w:val="left"/>
      <w:pPr>
        <w:ind w:left="3445" w:hanging="528"/>
      </w:pPr>
      <w:rPr>
        <w:rFonts w:hint="default"/>
      </w:rPr>
    </w:lvl>
    <w:lvl w:ilvl="8">
      <w:start w:val="0"/>
      <w:numFmt w:val="bullet"/>
      <w:lvlText w:val="•"/>
      <w:lvlJc w:val="left"/>
      <w:pPr>
        <w:ind w:left="3783" w:hanging="528"/>
      </w:pPr>
      <w:rPr>
        <w:rFonts w:hint="default"/>
      </w:rPr>
    </w:lvl>
  </w:abstractNum>
  <w:abstractNum w:abstractNumId="0">
    <w:multiLevelType w:val="hybridMultilevel"/>
    <w:lvl w:ilvl="0">
      <w:start w:val="0"/>
      <w:numFmt w:val="bullet"/>
      <w:lvlText w:val=""/>
      <w:lvlJc w:val="left"/>
      <w:pPr>
        <w:ind w:left="1627" w:hanging="437"/>
      </w:pPr>
      <w:rPr>
        <w:rFonts w:hint="default" w:ascii="Microsoft JhengHei Light" w:hAnsi="Microsoft JhengHei Light" w:eastAsia="Microsoft JhengHei Light" w:cs="Microsoft JhengHei Light"/>
        <w:w w:val="128"/>
        <w:sz w:val="21"/>
        <w:szCs w:val="21"/>
      </w:rPr>
    </w:lvl>
    <w:lvl w:ilvl="1">
      <w:start w:val="0"/>
      <w:numFmt w:val="bullet"/>
      <w:lvlText w:val="•"/>
      <w:lvlJc w:val="left"/>
      <w:pPr>
        <w:ind w:left="2516" w:hanging="437"/>
      </w:pPr>
      <w:rPr>
        <w:rFonts w:hint="default"/>
      </w:rPr>
    </w:lvl>
    <w:lvl w:ilvl="2">
      <w:start w:val="0"/>
      <w:numFmt w:val="bullet"/>
      <w:lvlText w:val="•"/>
      <w:lvlJc w:val="left"/>
      <w:pPr>
        <w:ind w:left="3412" w:hanging="437"/>
      </w:pPr>
      <w:rPr>
        <w:rFonts w:hint="default"/>
      </w:rPr>
    </w:lvl>
    <w:lvl w:ilvl="3">
      <w:start w:val="0"/>
      <w:numFmt w:val="bullet"/>
      <w:lvlText w:val="•"/>
      <w:lvlJc w:val="left"/>
      <w:pPr>
        <w:ind w:left="4309" w:hanging="437"/>
      </w:pPr>
      <w:rPr>
        <w:rFonts w:hint="default"/>
      </w:rPr>
    </w:lvl>
    <w:lvl w:ilvl="4">
      <w:start w:val="0"/>
      <w:numFmt w:val="bullet"/>
      <w:lvlText w:val="•"/>
      <w:lvlJc w:val="left"/>
      <w:pPr>
        <w:ind w:left="5205" w:hanging="437"/>
      </w:pPr>
      <w:rPr>
        <w:rFonts w:hint="default"/>
      </w:rPr>
    </w:lvl>
    <w:lvl w:ilvl="5">
      <w:start w:val="0"/>
      <w:numFmt w:val="bullet"/>
      <w:lvlText w:val="•"/>
      <w:lvlJc w:val="left"/>
      <w:pPr>
        <w:ind w:left="6102" w:hanging="437"/>
      </w:pPr>
      <w:rPr>
        <w:rFonts w:hint="default"/>
      </w:rPr>
    </w:lvl>
    <w:lvl w:ilvl="6">
      <w:start w:val="0"/>
      <w:numFmt w:val="bullet"/>
      <w:lvlText w:val="•"/>
      <w:lvlJc w:val="left"/>
      <w:pPr>
        <w:ind w:left="6998" w:hanging="437"/>
      </w:pPr>
      <w:rPr>
        <w:rFonts w:hint="default"/>
      </w:rPr>
    </w:lvl>
    <w:lvl w:ilvl="7">
      <w:start w:val="0"/>
      <w:numFmt w:val="bullet"/>
      <w:lvlText w:val="•"/>
      <w:lvlJc w:val="left"/>
      <w:pPr>
        <w:ind w:left="7894" w:hanging="437"/>
      </w:pPr>
      <w:rPr>
        <w:rFonts w:hint="default"/>
      </w:rPr>
    </w:lvl>
    <w:lvl w:ilvl="8">
      <w:start w:val="0"/>
      <w:numFmt w:val="bullet"/>
      <w:lvlText w:val="•"/>
      <w:lvlJc w:val="left"/>
      <w:pPr>
        <w:ind w:left="8791" w:hanging="43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1112" w:hanging="89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778"/>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5"/>
      <w:ind w:left="778"/>
      <w:jc w:val="both"/>
    </w:pPr>
    <w:rPr>
      <w:rFonts w:ascii="Microsoft JhengHei" w:hAnsi="Microsoft JhengHei" w:eastAsia="Microsoft JhengHei" w:cs="Microsoft JhengHei"/>
    </w:rPr>
  </w:style>
  <w:style w:styleId="TableParagraph" w:type="paragraph">
    <w:name w:val="Table Paragraph"/>
    <w:basedOn w:val="Normal"/>
    <w:uiPriority w:val="1"/>
    <w:qFormat/>
    <w:pPr>
      <w:spacing w:line="257" w:lineRule="exact"/>
      <w:ind w:left="1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2018-10-19T22:38:28Z</dcterms:created>
  <dcterms:modified xsi:type="dcterms:W3CDTF">2018-10-19T22:38:28Z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2016-05-23T00:00:00Z</vt:filetime>
  </property>
  <property fmtid="{D5CDD505-2E9C-101B-9397-08002B2CF9AE}" pid="3" name="LastSaved">
    <vt:filetime>2016-05-23T00:00:00Z</vt:filetime>
  </property>
</Properties>
</file>