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4" w:lineRule="exact"/>
        <w:ind w:right="1606"/>
      </w:pPr>
      <w:r>
        <w:rPr/>
        <w:drawing>
          <wp:anchor distT="0" distB="0" distL="0" distR="0" allowOverlap="1" layoutInCell="1" locked="0" behindDoc="0" simplePos="0" relativeHeight="0">
            <wp:simplePos x="0" y="0"/>
            <wp:positionH relativeFrom="page">
              <wp:posOffset>5422391</wp:posOffset>
            </wp:positionH>
            <wp:positionV relativeFrom="paragraph">
              <wp:posOffset>57403</wp:posOffset>
            </wp:positionV>
            <wp:extent cx="1568195" cy="10454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8195" cy="1045464"/>
                    </a:xfrm>
                    <a:prstGeom prst="rect">
                      <a:avLst/>
                    </a:prstGeom>
                  </pic:spPr>
                </pic:pic>
              </a:graphicData>
            </a:graphic>
          </wp:anchor>
        </w:drawing>
      </w:r>
      <w:r>
        <w:rPr>
          <w:w w:val="95"/>
        </w:rPr>
        <w:t>人保寿险附加康宁人生定期重大疾病保险</w:t>
      </w:r>
    </w:p>
    <w:p>
      <w:pPr>
        <w:spacing w:line="376" w:lineRule="exact" w:before="0"/>
        <w:ind w:left="0" w:right="1397" w:firstLine="0"/>
        <w:jc w:val="center"/>
        <w:rPr>
          <w:b/>
          <w:sz w:val="30"/>
        </w:rPr>
      </w:pPr>
      <w:r>
        <w:rPr>
          <w:b/>
          <w:w w:val="95"/>
          <w:sz w:val="30"/>
        </w:rPr>
        <w:t>条款目录</w:t>
      </w:r>
    </w:p>
    <w:p>
      <w:pPr>
        <w:pStyle w:val="BodyText"/>
        <w:spacing w:before="72"/>
        <w:ind w:right="1552"/>
        <w:jc w:val="center"/>
      </w:pPr>
      <w:r>
        <w:rPr>
          <w:u w:val="single"/>
        </w:rPr>
        <w:t>条款是保险合同的重要内容，为充分保障您的权益，</w:t>
      </w:r>
    </w:p>
    <w:p>
      <w:pPr>
        <w:pStyle w:val="BodyText"/>
        <w:spacing w:before="84"/>
        <w:ind w:right="1342"/>
        <w:jc w:val="center"/>
      </w:pPr>
      <w:r>
        <w:rPr>
          <w:u w:val="single"/>
        </w:rPr>
        <w:t>请您仔细阅读本条款。</w:t>
      </w:r>
    </w:p>
    <w:p>
      <w:pPr>
        <w:pStyle w:val="BodyText"/>
        <w:spacing w:before="3"/>
        <w:rPr>
          <w:sz w:val="27"/>
        </w:rPr>
      </w:pPr>
    </w:p>
    <w:p>
      <w:pPr>
        <w:pStyle w:val="ListParagraph"/>
        <w:numPr>
          <w:ilvl w:val="0"/>
          <w:numId w:val="1"/>
        </w:numPr>
        <w:tabs>
          <w:tab w:pos="365" w:val="left" w:leader="none"/>
          <w:tab w:pos="5641" w:val="left" w:leader="none"/>
        </w:tabs>
        <w:spacing w:line="240" w:lineRule="auto" w:before="42" w:after="0"/>
        <w:ind w:left="364" w:right="0" w:hanging="264"/>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785" w:val="left" w:leader="none"/>
        </w:tabs>
        <w:spacing w:line="240" w:lineRule="auto" w:before="48" w:after="0"/>
        <w:ind w:left="784" w:right="0" w:hanging="368"/>
        <w:jc w:val="left"/>
        <w:rPr>
          <w:sz w:val="21"/>
        </w:rPr>
      </w:pPr>
      <w:r>
        <w:rPr>
          <w:spacing w:val="-1"/>
          <w:sz w:val="21"/>
        </w:rPr>
        <w:t>附加合同订立</w:t>
      </w:r>
    </w:p>
    <w:p>
      <w:pPr>
        <w:pStyle w:val="ListParagraph"/>
        <w:numPr>
          <w:ilvl w:val="1"/>
          <w:numId w:val="1"/>
        </w:numPr>
        <w:tabs>
          <w:tab w:pos="785" w:val="left" w:leader="none"/>
          <w:tab w:pos="5325" w:val="left" w:leader="none"/>
        </w:tabs>
        <w:spacing w:line="240" w:lineRule="auto" w:before="48" w:after="0"/>
        <w:ind w:left="784" w:right="0" w:hanging="368"/>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49"/>
        <w:ind w:left="5641"/>
      </w:pPr>
      <w:r>
        <w:rPr>
          <w:rFonts w:ascii="Times New Roman" w:eastAsia="Times New Roman"/>
        </w:rPr>
        <w:t>4.1 </w:t>
      </w:r>
      <w:r>
        <w:rPr/>
        <w:t>受益人</w:t>
      </w:r>
    </w:p>
    <w:p>
      <w:pPr>
        <w:pStyle w:val="ListParagraph"/>
        <w:numPr>
          <w:ilvl w:val="0"/>
          <w:numId w:val="1"/>
        </w:numPr>
        <w:tabs>
          <w:tab w:pos="365" w:val="left" w:leader="none"/>
          <w:tab w:pos="5641" w:val="left" w:leader="none"/>
        </w:tabs>
        <w:spacing w:line="240" w:lineRule="auto" w:before="48" w:after="0"/>
        <w:ind w:left="36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785" w:val="left" w:leader="none"/>
          <w:tab w:pos="5641" w:val="left" w:leader="none"/>
        </w:tabs>
        <w:spacing w:line="240" w:lineRule="auto" w:before="48" w:after="0"/>
        <w:ind w:left="784" w:right="0" w:hanging="368"/>
        <w:jc w:val="left"/>
        <w:rPr>
          <w:sz w:val="21"/>
        </w:rPr>
      </w:pPr>
      <w:r>
        <w:rPr>
          <w:sz w:val="21"/>
        </w:rPr>
        <w:t>基本保险金额</w:t>
        <w:tab/>
      </w:r>
      <w:r>
        <w:rPr>
          <w:rFonts w:ascii="Times New Roman" w:eastAsia="Times New Roman"/>
          <w:sz w:val="21"/>
        </w:rPr>
        <w:t>4.3</w:t>
      </w:r>
      <w:r>
        <w:rPr>
          <w:rFonts w:ascii="Times New Roman" w:eastAsia="Times New Roman"/>
          <w:spacing w:val="50"/>
          <w:sz w:val="21"/>
        </w:rPr>
        <w:t> </w:t>
      </w:r>
      <w:r>
        <w:rPr>
          <w:sz w:val="21"/>
        </w:rPr>
        <w:t>保险金的给付</w:t>
      </w:r>
    </w:p>
    <w:p>
      <w:pPr>
        <w:pStyle w:val="ListParagraph"/>
        <w:numPr>
          <w:ilvl w:val="1"/>
          <w:numId w:val="1"/>
        </w:numPr>
        <w:tabs>
          <w:tab w:pos="785" w:val="left" w:leader="none"/>
          <w:tab w:pos="5641" w:val="left" w:leader="none"/>
        </w:tabs>
        <w:spacing w:line="240" w:lineRule="auto" w:before="49" w:after="0"/>
        <w:ind w:left="784" w:right="0" w:hanging="368"/>
        <w:jc w:val="left"/>
        <w:rPr>
          <w:sz w:val="21"/>
        </w:rPr>
      </w:pPr>
      <w:r>
        <w:rPr>
          <w:sz w:val="21"/>
        </w:rPr>
        <w:t>保险期间</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785" w:val="left" w:leader="none"/>
        </w:tabs>
        <w:spacing w:line="240" w:lineRule="auto" w:before="48" w:after="0"/>
        <w:ind w:left="784" w:right="0" w:hanging="368"/>
        <w:jc w:val="left"/>
        <w:rPr>
          <w:sz w:val="21"/>
        </w:rPr>
      </w:pPr>
      <w:r>
        <w:rPr>
          <w:spacing w:val="-1"/>
          <w:sz w:val="21"/>
        </w:rPr>
        <w:t>保险责任</w:t>
      </w:r>
    </w:p>
    <w:p>
      <w:pPr>
        <w:pStyle w:val="ListParagraph"/>
        <w:numPr>
          <w:ilvl w:val="1"/>
          <w:numId w:val="1"/>
        </w:numPr>
        <w:tabs>
          <w:tab w:pos="785" w:val="left" w:leader="none"/>
          <w:tab w:pos="5325" w:val="left" w:leader="none"/>
        </w:tabs>
        <w:spacing w:line="240" w:lineRule="auto" w:before="48" w:after="0"/>
        <w:ind w:left="784" w:right="0" w:hanging="368"/>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49"/>
        <w:ind w:left="5641"/>
      </w:pPr>
      <w:r>
        <w:rPr>
          <w:rFonts w:ascii="Times New Roman" w:eastAsia="Times New Roman"/>
        </w:rPr>
        <w:t>5.1 </w:t>
      </w:r>
      <w:r>
        <w:rPr/>
        <w:t>感染艾滋病病毒或患艾滋病</w:t>
      </w:r>
    </w:p>
    <w:p>
      <w:pPr>
        <w:pStyle w:val="ListParagraph"/>
        <w:numPr>
          <w:ilvl w:val="0"/>
          <w:numId w:val="1"/>
        </w:numPr>
        <w:tabs>
          <w:tab w:pos="365" w:val="left" w:leader="none"/>
          <w:tab w:pos="5641" w:val="left" w:leader="none"/>
        </w:tabs>
        <w:spacing w:line="240" w:lineRule="auto" w:before="48" w:after="0"/>
        <w:ind w:left="364" w:right="0" w:hanging="264"/>
        <w:jc w:val="left"/>
        <w:rPr>
          <w:sz w:val="21"/>
        </w:rPr>
      </w:pPr>
      <w:r>
        <w:rPr>
          <w:b/>
          <w:sz w:val="21"/>
        </w:rPr>
        <w:t>您的义务和权利</w:t>
        <w:tab/>
      </w:r>
      <w:r>
        <w:rPr>
          <w:rFonts w:ascii="Times New Roman" w:eastAsia="Times New Roman"/>
          <w:sz w:val="21"/>
        </w:rPr>
        <w:t>5.2</w:t>
      </w:r>
      <w:r>
        <w:rPr>
          <w:rFonts w:ascii="Times New Roman" w:eastAsia="Times New Roman"/>
          <w:spacing w:val="50"/>
          <w:sz w:val="21"/>
        </w:rPr>
        <w:t> </w:t>
      </w:r>
      <w:r>
        <w:rPr>
          <w:sz w:val="21"/>
        </w:rPr>
        <w:t>遗传性疾病</w:t>
      </w:r>
    </w:p>
    <w:p>
      <w:pPr>
        <w:pStyle w:val="ListParagraph"/>
        <w:numPr>
          <w:ilvl w:val="1"/>
          <w:numId w:val="1"/>
        </w:numPr>
        <w:tabs>
          <w:tab w:pos="785" w:val="left" w:leader="none"/>
          <w:tab w:pos="5641" w:val="left" w:leader="none"/>
        </w:tabs>
        <w:spacing w:line="240" w:lineRule="auto" w:before="48" w:after="0"/>
        <w:ind w:left="784" w:right="0" w:hanging="368"/>
        <w:jc w:val="left"/>
        <w:rPr>
          <w:sz w:val="21"/>
        </w:rPr>
      </w:pPr>
      <w:r>
        <w:rPr>
          <w:sz w:val="21"/>
        </w:rPr>
        <w:t>保险费的交纳</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785" w:val="left" w:leader="none"/>
          <w:tab w:pos="5641" w:val="left" w:leader="none"/>
        </w:tabs>
        <w:spacing w:line="240" w:lineRule="auto" w:before="49" w:after="0"/>
        <w:ind w:left="784" w:right="0" w:hanging="368"/>
        <w:jc w:val="left"/>
        <w:rPr>
          <w:sz w:val="21"/>
        </w:rPr>
      </w:pPr>
      <w:r>
        <w:rPr>
          <w:sz w:val="21"/>
        </w:rPr>
        <w:t>犹豫期</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785" w:val="left" w:leader="none"/>
        </w:tabs>
        <w:spacing w:line="240" w:lineRule="auto" w:before="48" w:after="0"/>
        <w:ind w:left="784" w:right="0" w:hanging="368"/>
        <w:jc w:val="left"/>
        <w:rPr>
          <w:sz w:val="21"/>
        </w:rPr>
      </w:pPr>
      <w:r>
        <w:rPr>
          <w:spacing w:val="-1"/>
          <w:sz w:val="21"/>
        </w:rPr>
        <w:t>您解除合同的手续及风险</w:t>
      </w:r>
    </w:p>
    <w:p>
      <w:pPr>
        <w:pStyle w:val="BodyText"/>
        <w:spacing w:before="10"/>
        <w:rPr>
          <w:sz w:val="26"/>
        </w:rPr>
      </w:pPr>
    </w:p>
    <w:p>
      <w:pPr>
        <w:pStyle w:val="Heading1"/>
        <w:ind w:right="597"/>
      </w:pPr>
      <w:r>
        <w:rPr>
          <w:w w:val="95"/>
        </w:rPr>
        <w:t>条款特别提示</w:t>
      </w:r>
    </w:p>
    <w:p>
      <w:pPr>
        <w:pStyle w:val="BodyText"/>
        <w:spacing w:before="72"/>
        <w:ind w:right="59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right="598"/>
        <w:jc w:val="center"/>
      </w:pPr>
      <w:r>
        <w:rPr/>
        <w:t>您拥有的重要权利</w:t>
      </w:r>
    </w:p>
    <w:p>
      <w:pPr>
        <w:pStyle w:val="ListParagraph"/>
        <w:numPr>
          <w:ilvl w:val="0"/>
          <w:numId w:val="2"/>
        </w:numPr>
        <w:tabs>
          <w:tab w:pos="543" w:val="left" w:leader="none"/>
          <w:tab w:pos="544" w:val="left" w:leader="none"/>
          <w:tab w:pos="8733" w:val="right" w:leader="dot"/>
        </w:tabs>
        <w:spacing w:line="240" w:lineRule="auto" w:before="65"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31"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33"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right="598"/>
        <w:jc w:val="center"/>
      </w:pPr>
      <w:r>
        <w:rPr/>
        <w:t>您应当特别注意的事项</w:t>
      </w:r>
    </w:p>
    <w:p>
      <w:pPr>
        <w:pStyle w:val="ListParagraph"/>
        <w:numPr>
          <w:ilvl w:val="0"/>
          <w:numId w:val="2"/>
        </w:numPr>
        <w:tabs>
          <w:tab w:pos="543" w:val="left" w:leader="none"/>
          <w:tab w:pos="544" w:val="left" w:leader="none"/>
        </w:tabs>
        <w:spacing w:line="240" w:lineRule="auto" w:before="15"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119"/>
        <w:ind w:right="41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9"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9"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780"/>
        </w:sectPr>
      </w:pPr>
    </w:p>
    <w:p>
      <w:pPr>
        <w:pStyle w:val="Heading1"/>
        <w:spacing w:line="382" w:lineRule="exact"/>
        <w:ind w:left="1781"/>
        <w:jc w:val="left"/>
      </w:pPr>
      <w:r>
        <w:rPr>
          <w:w w:val="95"/>
        </w:rPr>
        <w:t>人保寿险附加康宁人生定期重大疾病保险条款</w:t>
      </w:r>
    </w:p>
    <w:p>
      <w:pPr>
        <w:pStyle w:val="BodyText"/>
        <w:spacing w:before="459"/>
        <w:ind w:left="955"/>
      </w:pPr>
      <w:r>
        <w:rPr/>
        <w:pict>
          <v:shapetype id="_x0000_t202" o:spt="202" coordsize="21600,21600" path="m,l,21600r21600,l21600,xe">
            <v:stroke joinstyle="miter"/>
            <v:path gradientshapeok="t" o:connecttype="rect"/>
          </v:shapetype>
          <v:shape style="position:absolute;margin-left:63.779999pt;margin-top:39.294090pt;width:478.4pt;height:15pt;mso-position-horizontal-relative:page;mso-position-vertical-relative:paragraph;z-index:1072"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4"/>
        </w:rPr>
        <w:t>在本条款中，“您”指投保人，“我们”、“本公司”均指中国人民人寿保险股份有限公司。</w:t>
      </w:r>
    </w:p>
    <w:p>
      <w:pPr>
        <w:spacing w:after="0"/>
        <w:sectPr>
          <w:pgSz w:w="11910" w:h="16840"/>
          <w:pgMar w:top="1520" w:bottom="280" w:left="1160" w:right="960"/>
        </w:sectPr>
      </w:pPr>
    </w:p>
    <w:p>
      <w:pPr>
        <w:pStyle w:val="Heading2"/>
        <w:numPr>
          <w:ilvl w:val="1"/>
          <w:numId w:val="3"/>
        </w:numPr>
        <w:tabs>
          <w:tab w:pos="942" w:val="left" w:leader="none"/>
          <w:tab w:pos="943" w:val="left" w:leader="none"/>
        </w:tabs>
        <w:spacing w:line="247" w:lineRule="auto" w:before="459" w:after="0"/>
        <w:ind w:left="942"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2" w:val="left" w:leader="none"/>
          <w:tab w:pos="943" w:val="left" w:leader="none"/>
        </w:tabs>
        <w:spacing w:line="247" w:lineRule="auto" w:before="0" w:after="0"/>
        <w:ind w:left="942"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52" w:lineRule="auto"/>
        <w:ind w:left="222" w:right="241"/>
        <w:jc w:val="both"/>
      </w:pPr>
      <w:r>
        <w:rPr/>
        <w:t>人保寿险附加康宁人生定期重大疾病保险合同（以下简称</w:t>
      </w:r>
      <w:r>
        <w:rPr>
          <w:rFonts w:ascii="Times New Roman" w:hAnsi="Times New Roman" w:eastAsia="Times New Roman"/>
        </w:rPr>
        <w:t>“</w:t>
      </w:r>
      <w:r>
        <w:rPr/>
        <w:t>本附加合同</w:t>
      </w:r>
      <w:r>
        <w:rPr>
          <w:rFonts w:ascii="Times New Roman" w:hAnsi="Times New Roman" w:eastAsia="Times New Roman"/>
        </w:rPr>
        <w:t>”</w:t>
      </w:r>
      <w:r>
        <w:rPr/>
        <w:t>）由人保寿险康宁人生两全保险合同（以下简称</w:t>
      </w:r>
      <w:r>
        <w:rPr>
          <w:rFonts w:ascii="Times New Roman" w:hAnsi="Times New Roman" w:eastAsia="Times New Roman"/>
        </w:rPr>
        <w:t>“</w:t>
      </w:r>
      <w:r>
        <w:rPr/>
        <w:t>主合同</w:t>
      </w:r>
      <w:r>
        <w:rPr>
          <w:rFonts w:ascii="Times New Roman" w:hAnsi="Times New Roman" w:eastAsia="Times New Roman"/>
        </w:rPr>
        <w:t>”</w:t>
      </w:r>
      <w:r>
        <w:rPr/>
        <w:t>）投保人提出申请，经我们同意而订立。主合同条款适用于本附加合同，若主合同条款与本附加合同条款互有抵触，则以本附加合同条款为准。</w:t>
      </w:r>
    </w:p>
    <w:p>
      <w:pPr>
        <w:pStyle w:val="BodyText"/>
        <w:spacing w:line="360" w:lineRule="auto" w:before="14"/>
        <w:ind w:left="222" w:right="451"/>
      </w:pPr>
      <w:r>
        <w:rPr/>
        <w:t>若本附加合同未在主合同保险单上或批注单上载明，本附加合同不发生效力。本附加合同需与主合同同时投保，本附加合同的生效日期与主合同相同。</w:t>
      </w:r>
    </w:p>
    <w:p>
      <w:pPr>
        <w:spacing w:after="0" w:line="360" w:lineRule="auto"/>
        <w:sectPr>
          <w:type w:val="continuous"/>
          <w:pgSz w:w="11910" w:h="16840"/>
          <w:pgMar w:top="1400" w:bottom="280" w:left="1160" w:right="960"/>
          <w:cols w:num="2" w:equalWidth="0">
            <w:col w:w="1788" w:space="180"/>
            <w:col w:w="7822"/>
          </w:cols>
        </w:sectPr>
      </w:pPr>
    </w:p>
    <w:p>
      <w:pPr>
        <w:pStyle w:val="BodyText"/>
        <w:spacing w:before="5"/>
        <w:rPr>
          <w:sz w:val="10"/>
        </w:rPr>
      </w:pPr>
    </w:p>
    <w:p>
      <w:pPr>
        <w:pStyle w:val="BodyText"/>
        <w:ind w:left="115"/>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160" w:right="960"/>
        </w:sectPr>
      </w:pPr>
    </w:p>
    <w:p>
      <w:pPr>
        <w:pStyle w:val="ListParagraph"/>
        <w:numPr>
          <w:ilvl w:val="1"/>
          <w:numId w:val="4"/>
        </w:numPr>
        <w:tabs>
          <w:tab w:pos="942" w:val="left" w:leader="none"/>
          <w:tab w:pos="943" w:val="left" w:leader="none"/>
        </w:tabs>
        <w:spacing w:line="247" w:lineRule="auto" w:before="24" w:after="0"/>
        <w:ind w:left="942" w:right="0" w:hanging="720"/>
        <w:jc w:val="left"/>
        <w:rPr>
          <w:b/>
          <w:sz w:val="21"/>
        </w:rPr>
      </w:pPr>
      <w:r>
        <w:rPr>
          <w:b/>
          <w:sz w:val="21"/>
        </w:rPr>
        <w:t>基本保险金额</w:t>
      </w:r>
    </w:p>
    <w:p>
      <w:pPr>
        <w:pStyle w:val="BodyText"/>
        <w:spacing w:before="24"/>
        <w:ind w:left="222"/>
      </w:pPr>
      <w:r>
        <w:rPr/>
        <w:br w:type="column"/>
      </w:r>
      <w:r>
        <w:rPr/>
        <w:t>本附加合同的基本保险金额与主合同相同。</w:t>
      </w:r>
    </w:p>
    <w:p>
      <w:pPr>
        <w:spacing w:after="0"/>
        <w:sectPr>
          <w:type w:val="continuous"/>
          <w:pgSz w:w="11910" w:h="16840"/>
          <w:pgMar w:top="1400" w:bottom="280" w:left="1160" w:right="960"/>
          <w:cols w:num="2" w:equalWidth="0">
            <w:col w:w="1788" w:space="180"/>
            <w:col w:w="7822"/>
          </w:cols>
        </w:sectPr>
      </w:pPr>
    </w:p>
    <w:p>
      <w:pPr>
        <w:pStyle w:val="ListParagraph"/>
        <w:numPr>
          <w:ilvl w:val="1"/>
          <w:numId w:val="4"/>
        </w:numPr>
        <w:tabs>
          <w:tab w:pos="942" w:val="left" w:leader="none"/>
          <w:tab w:pos="943" w:val="left" w:leader="none"/>
          <w:tab w:pos="2190" w:val="left" w:leader="none"/>
        </w:tabs>
        <w:spacing w:line="240" w:lineRule="auto" w:before="136" w:after="0"/>
        <w:ind w:left="942"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2" w:after="0"/>
        <w:ind w:left="942"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160" w:right="960"/>
        </w:sectPr>
      </w:pPr>
    </w:p>
    <w:p>
      <w:pPr>
        <w:pStyle w:val="Heading2"/>
        <w:spacing w:line="196" w:lineRule="auto" w:before="122"/>
        <w:ind w:left="942" w:firstLine="0"/>
        <w:jc w:val="left"/>
        <w:rPr>
          <w:rFonts w:ascii="Microsoft JhengHei" w:eastAsia="Microsoft JhengHei" w:hint="eastAsia"/>
        </w:rPr>
      </w:pPr>
      <w:r>
        <w:rPr>
          <w:rFonts w:ascii="Microsoft JhengHei" w:eastAsia="Microsoft JhengHei" w:hint="eastAsia"/>
        </w:rPr>
        <w:t>重大疾病保险金</w:t>
      </w:r>
    </w:p>
    <w:p>
      <w:pPr>
        <w:pStyle w:val="BodyText"/>
        <w:spacing w:line="252" w:lineRule="auto" w:before="123"/>
        <w:ind w:left="366" w:right="207"/>
        <w:jc w:val="both"/>
      </w:pPr>
      <w:r>
        <w:rPr/>
        <w:br w:type="column"/>
      </w:r>
      <w:r>
        <w:rPr/>
        <w:t>被保险人自本附加合同生效（或最后复效）</w:t>
      </w:r>
      <w:r>
        <w:rPr>
          <w:spacing w:val="-14"/>
        </w:rPr>
        <w:t>之日起 </w:t>
      </w:r>
      <w:r>
        <w:rPr>
          <w:rFonts w:ascii="Times New Roman" w:eastAsia="Times New Roman"/>
        </w:rPr>
        <w:t>1 </w:t>
      </w:r>
      <w:r>
        <w:rPr/>
        <w:t>年内因疾病，初次被确诊患有本附加合同约定的</w:t>
      </w:r>
      <w:r>
        <w:rPr>
          <w:b/>
          <w:spacing w:val="-5"/>
          <w:w w:val="99"/>
        </w:rPr>
        <w:t>重大疾病</w:t>
      </w:r>
      <w:r>
        <w:rPr>
          <w:spacing w:val="-2"/>
        </w:rPr>
        <w:t>（</w:t>
      </w:r>
      <w:r>
        <w:rPr>
          <w:spacing w:val="-27"/>
        </w:rPr>
        <w:t>见 </w:t>
      </w:r>
      <w:r>
        <w:rPr>
          <w:rFonts w:ascii="Times New Roman" w:eastAsia="Times New Roman"/>
          <w:spacing w:val="-1"/>
        </w:rPr>
        <w:t>5.</w:t>
      </w:r>
      <w:r>
        <w:rPr>
          <w:rFonts w:ascii="Times New Roman" w:eastAsia="Times New Roman"/>
        </w:rPr>
        <w:t>4</w:t>
      </w:r>
      <w:r>
        <w:rPr>
          <w:spacing w:val="-130"/>
        </w:rPr>
        <w:t>）</w:t>
      </w:r>
      <w:r>
        <w:rPr/>
        <w:t>（</w:t>
      </w:r>
      <w:r>
        <w:rPr>
          <w:spacing w:val="-1"/>
        </w:rPr>
        <w:t>一种或多种</w:t>
      </w:r>
      <w:r>
        <w:rPr>
          <w:spacing w:val="-105"/>
        </w:rPr>
        <w:t>）</w:t>
      </w:r>
      <w:r>
        <w:rPr>
          <w:spacing w:val="-6"/>
        </w:rPr>
        <w:t>，我们按您已交的本附加合同和主合同的保险费之和（不计利息）给付重大疾病保险金，本附加合同和主合同同时终止。</w:t>
      </w:r>
    </w:p>
    <w:p>
      <w:pPr>
        <w:pStyle w:val="BodyText"/>
        <w:spacing w:line="252" w:lineRule="auto" w:before="14"/>
        <w:ind w:left="366" w:right="205"/>
        <w:jc w:val="both"/>
      </w:pPr>
      <w:r>
        <w:rPr/>
        <w:t>被保险人自本附加合同生效（或最后复效）</w:t>
      </w:r>
      <w:r>
        <w:rPr>
          <w:spacing w:val="-11"/>
        </w:rPr>
        <w:t>之日起第 </w:t>
      </w:r>
      <w:r>
        <w:rPr>
          <w:rFonts w:ascii="Times New Roman" w:eastAsia="Times New Roman"/>
        </w:rPr>
        <w:t>2 </w:t>
      </w:r>
      <w:r>
        <w:rPr/>
        <w:t>年因疾病，初次被确诊患</w:t>
      </w:r>
      <w:r>
        <w:rPr>
          <w:spacing w:val="-3"/>
        </w:rPr>
        <w:t>有本附加合同约定的重大疾病</w:t>
      </w:r>
      <w:r>
        <w:rPr/>
        <w:t>（一种或多种</w:t>
      </w:r>
      <w:r>
        <w:rPr>
          <w:spacing w:val="-70"/>
        </w:rPr>
        <w:t>）</w:t>
      </w:r>
      <w:r>
        <w:rPr>
          <w:spacing w:val="-9"/>
        </w:rPr>
        <w:t>，我们按您已交的本附加合同和主合</w:t>
      </w:r>
      <w:r>
        <w:rPr>
          <w:spacing w:val="-12"/>
        </w:rPr>
        <w:t>同的保险费之和</w:t>
      </w:r>
      <w:r>
        <w:rPr/>
        <w:t>（不计利息</w:t>
      </w:r>
      <w:r>
        <w:rPr>
          <w:spacing w:val="-27"/>
        </w:rPr>
        <w:t>）</w:t>
      </w:r>
      <w:r>
        <w:rPr>
          <w:spacing w:val="-26"/>
        </w:rPr>
        <w:t>的 </w:t>
      </w:r>
      <w:r>
        <w:rPr>
          <w:rFonts w:ascii="Times New Roman" w:eastAsia="Times New Roman"/>
          <w:spacing w:val="-3"/>
        </w:rPr>
        <w:t>110%</w:t>
      </w:r>
      <w:r>
        <w:rPr>
          <w:spacing w:val="-3"/>
        </w:rPr>
        <w:t>给付重大疾病保险金，本附加合同和主合同同时终止。</w:t>
      </w:r>
    </w:p>
    <w:p>
      <w:pPr>
        <w:pStyle w:val="BodyText"/>
        <w:spacing w:line="254" w:lineRule="auto" w:before="14"/>
        <w:ind w:left="366" w:right="205"/>
        <w:jc w:val="both"/>
      </w:pPr>
      <w:r>
        <w:rPr/>
        <w:t>被保险人因遭受意外伤害或自本附加合同生效（或最后复效）</w:t>
      </w:r>
      <w:r>
        <w:rPr>
          <w:spacing w:val="-14"/>
        </w:rPr>
        <w:t>之日起 </w:t>
      </w:r>
      <w:r>
        <w:rPr>
          <w:rFonts w:ascii="Times New Roman" w:eastAsia="Times New Roman"/>
        </w:rPr>
        <w:t>2 </w:t>
      </w:r>
      <w:r>
        <w:rPr/>
        <w:t>年后因疾</w:t>
      </w:r>
      <w:r>
        <w:rPr>
          <w:spacing w:val="-6"/>
        </w:rPr>
        <w:t>病，初次被确诊患有本附加合同约定的重大疾病</w:t>
      </w:r>
      <w:r>
        <w:rPr/>
        <w:t>（一种或多种</w:t>
      </w:r>
      <w:r>
        <w:rPr>
          <w:spacing w:val="-64"/>
        </w:rPr>
        <w:t>）</w:t>
      </w:r>
      <w:r>
        <w:rPr>
          <w:spacing w:val="-10"/>
        </w:rPr>
        <w:t>，我们按基本保险金额给付重大疾病保险金，本附加合同和主合同同时终止。</w:t>
      </w:r>
    </w:p>
    <w:p>
      <w:pPr>
        <w:pStyle w:val="BodyText"/>
        <w:spacing w:before="125"/>
        <w:ind w:left="366"/>
        <w:jc w:val="both"/>
      </w:pPr>
      <w:r>
        <w:rPr/>
        <w:t>若已给付或应给付主合同项下的保险金，我们不再承担本附加合同保险责任。</w:t>
      </w:r>
    </w:p>
    <w:p>
      <w:pPr>
        <w:spacing w:after="0"/>
        <w:jc w:val="both"/>
        <w:sectPr>
          <w:type w:val="continuous"/>
          <w:pgSz w:w="11910" w:h="16840"/>
          <w:pgMar w:top="1400" w:bottom="280" w:left="1160" w:right="960"/>
          <w:cols w:num="2" w:equalWidth="0">
            <w:col w:w="1784" w:space="40"/>
            <w:col w:w="7966"/>
          </w:cols>
        </w:sectPr>
      </w:pPr>
    </w:p>
    <w:p>
      <w:pPr>
        <w:pStyle w:val="ListParagraph"/>
        <w:numPr>
          <w:ilvl w:val="1"/>
          <w:numId w:val="4"/>
        </w:numPr>
        <w:tabs>
          <w:tab w:pos="942" w:val="left" w:leader="none"/>
          <w:tab w:pos="943" w:val="left" w:leader="none"/>
          <w:tab w:pos="2190" w:val="left" w:leader="none"/>
        </w:tabs>
        <w:spacing w:line="247" w:lineRule="auto" w:before="137" w:after="0"/>
        <w:ind w:left="2190" w:right="158" w:hanging="1968"/>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90"/>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81" w:right="286"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5.1</w:t>
      </w:r>
      <w:r>
        <w:rPr>
          <w:rFonts w:ascii="黑体" w:hAnsi="黑体" w:eastAsia="黑体" w:hint="eastAsia"/>
        </w:rPr>
        <w:t>）（被保险人感染艾滋病病毒但符合本附加合同</w:t>
      </w:r>
      <w:r>
        <w:rPr>
          <w:rFonts w:ascii="Times New Roman" w:hAnsi="Times New Roman" w:eastAsia="Times New Roman"/>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w:t>
      </w:r>
    </w:p>
    <w:p>
      <w:pPr>
        <w:pStyle w:val="BodyText"/>
        <w:spacing w:before="2"/>
        <w:ind w:left="2681"/>
        <w:rPr>
          <w:rFonts w:ascii="黑体" w:eastAsia="黑体" w:hint="eastAsia"/>
        </w:rPr>
      </w:pPr>
      <w:r>
        <w:rPr>
          <w:rFonts w:ascii="黑体" w:eastAsia="黑体" w:hint="eastAsia"/>
        </w:rPr>
        <w:t>限）；</w:t>
      </w:r>
    </w:p>
    <w:p>
      <w:pPr>
        <w:pStyle w:val="BodyText"/>
        <w:spacing w:before="25"/>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BodyText"/>
        <w:spacing w:before="9"/>
        <w:ind w:left="2191"/>
        <w:rPr>
          <w:rFonts w:ascii="黑体" w:eastAsia="黑体" w:hint="eastAsia"/>
        </w:rPr>
      </w:pPr>
      <w:r>
        <w:rPr>
          <w:rFonts w:ascii="黑体" w:eastAsia="黑体" w:hint="eastAsia"/>
        </w:rPr>
        <w:t>发Th上述第（1）项情形，本附加合同和主合同同时终止，我们向重大疾病保险金</w:t>
      </w:r>
    </w:p>
    <w:p>
      <w:pPr>
        <w:spacing w:after="0"/>
        <w:rPr>
          <w:rFonts w:ascii="黑体" w:eastAsia="黑体" w:hint="eastAsia"/>
        </w:rPr>
        <w:sectPr>
          <w:type w:val="continuous"/>
          <w:pgSz w:w="11910" w:h="16840"/>
          <w:pgMar w:top="1400" w:bottom="280" w:left="1160" w:right="960"/>
        </w:sectPr>
      </w:pPr>
    </w:p>
    <w:p>
      <w:pPr>
        <w:pStyle w:val="BodyText"/>
        <w:spacing w:before="14"/>
        <w:ind w:left="2191"/>
        <w:rPr>
          <w:rFonts w:ascii="黑体" w:eastAsia="黑体" w:hint="eastAsia"/>
        </w:rPr>
      </w:pPr>
      <w:r>
        <w:rPr>
          <w:rFonts w:ascii="黑体" w:eastAsia="黑体" w:hint="eastAsia"/>
        </w:rPr>
        <w:t>受益人退还本附加合同和主合同的现金价值。</w:t>
      </w:r>
    </w:p>
    <w:p>
      <w:pPr>
        <w:pStyle w:val="BodyText"/>
        <w:spacing w:line="261" w:lineRule="auto" w:before="24"/>
        <w:ind w:left="2190" w:right="207"/>
        <w:rPr>
          <w:rFonts w:ascii="黑体" w:eastAsia="黑体" w:hint="eastAsia"/>
        </w:rPr>
      </w:pPr>
      <w:r>
        <w:rPr/>
        <w:pict>
          <v:shape style="position:absolute;margin-left:63.779999pt;margin-top:37.103672pt;width:478.4pt;height:15pt;mso-position-horizontal-relative:page;mso-position-vertical-relative:paragraph;z-index:1096;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r>
        <w:rPr>
          <w:rFonts w:ascii="黑体" w:eastAsia="黑体" w:hint="eastAsia"/>
        </w:rPr>
        <w:t>发Th上述其他情形，本附加合同和主合同同时终止，我们向您退还本附加合同和主合同的现金价值。</w:t>
      </w:r>
    </w:p>
    <w:p>
      <w:pPr>
        <w:pStyle w:val="BodyText"/>
        <w:spacing w:before="4"/>
        <w:rPr>
          <w:rFonts w:ascii="黑体"/>
          <w:sz w:val="5"/>
        </w:rPr>
      </w:pPr>
    </w:p>
    <w:p>
      <w:pPr>
        <w:spacing w:after="0"/>
        <w:rPr>
          <w:rFonts w:ascii="黑体"/>
          <w:sz w:val="5"/>
        </w:rPr>
        <w:sectPr>
          <w:pgSz w:w="11910" w:h="16840"/>
          <w:pgMar w:top="1420" w:bottom="280" w:left="1160" w:right="960"/>
        </w:sectPr>
      </w:pPr>
    </w:p>
    <w:p>
      <w:pPr>
        <w:pStyle w:val="Heading2"/>
        <w:numPr>
          <w:ilvl w:val="1"/>
          <w:numId w:val="5"/>
        </w:numPr>
        <w:tabs>
          <w:tab w:pos="942" w:val="left" w:leader="none"/>
          <w:tab w:pos="943" w:val="left" w:leader="none"/>
        </w:tabs>
        <w:spacing w:line="247" w:lineRule="auto" w:before="23" w:after="0"/>
        <w:ind w:left="942" w:right="0" w:hanging="720"/>
        <w:jc w:val="left"/>
      </w:pPr>
      <w:r>
        <w:rPr/>
        <w:t>保险费的交纳</w:t>
      </w:r>
    </w:p>
    <w:p>
      <w:pPr>
        <w:pStyle w:val="BodyText"/>
        <w:spacing w:before="23"/>
        <w:ind w:left="222"/>
      </w:pPr>
      <w:r>
        <w:rPr/>
        <w:br w:type="column"/>
      </w:r>
      <w:r>
        <w:rPr/>
        <w:t>本附加合同保险费的交纳方式与主合同相同。</w:t>
      </w:r>
    </w:p>
    <w:p>
      <w:pPr>
        <w:spacing w:after="0"/>
        <w:sectPr>
          <w:type w:val="continuous"/>
          <w:pgSz w:w="11910" w:h="16840"/>
          <w:pgMar w:top="1400" w:bottom="280" w:left="1160" w:right="960"/>
          <w:cols w:num="2" w:equalWidth="0">
            <w:col w:w="1788" w:space="180"/>
            <w:col w:w="7822"/>
          </w:cols>
        </w:sectPr>
      </w:pPr>
    </w:p>
    <w:p>
      <w:pPr>
        <w:pStyle w:val="ListParagraph"/>
        <w:numPr>
          <w:ilvl w:val="1"/>
          <w:numId w:val="5"/>
        </w:numPr>
        <w:tabs>
          <w:tab w:pos="943" w:val="left" w:leader="none"/>
        </w:tabs>
        <w:spacing w:line="254" w:lineRule="auto" w:before="131" w:after="0"/>
        <w:ind w:left="2190" w:right="137" w:hanging="1968"/>
        <w:jc w:val="both"/>
        <w:rPr>
          <w:sz w:val="21"/>
        </w:rPr>
      </w:pPr>
      <w:r>
        <w:rPr>
          <w:b/>
          <w:spacing w:val="10"/>
          <w:sz w:val="21"/>
        </w:rPr>
        <w:t>犹豫期    </w:t>
      </w:r>
      <w:r>
        <w:rPr>
          <w:spacing w:val="-5"/>
          <w:sz w:val="21"/>
        </w:rPr>
        <w:t>您于签收本附加合同后 </w:t>
      </w:r>
      <w:r>
        <w:rPr>
          <w:rFonts w:ascii="Times New Roman" w:eastAsia="Times New Roman"/>
          <w:sz w:val="21"/>
        </w:rPr>
        <w:t>10</w:t>
      </w:r>
      <w:r>
        <w:rPr>
          <w:rFonts w:ascii="Times New Roman" w:eastAsia="Times New Roman"/>
          <w:spacing w:val="-1"/>
          <w:sz w:val="21"/>
        </w:rPr>
        <w:t> </w:t>
      </w:r>
      <w:r>
        <w:rPr>
          <w:spacing w:val="-6"/>
          <w:sz w:val="21"/>
        </w:rPr>
        <w:t>日内可要求撤销本附加合同。若您在此期间提出撤销本附加合同，需要填写书面申请书，并提供您的保险合同及有效身份证件。自您书面申请撤销本附加合同之日起，本附加合同即被撤销，我们自本附加合同生效日</w:t>
      </w:r>
      <w:r>
        <w:rPr>
          <w:spacing w:val="-9"/>
          <w:sz w:val="21"/>
        </w:rPr>
        <w:t>起即不承担保险责任。本附加合同撤销后 </w:t>
      </w:r>
      <w:r>
        <w:rPr>
          <w:rFonts w:ascii="Times New Roman" w:eastAsia="Times New Roman"/>
          <w:sz w:val="21"/>
        </w:rPr>
        <w:t>30</w:t>
      </w:r>
      <w:r>
        <w:rPr>
          <w:rFonts w:ascii="Times New Roman" w:eastAsia="Times New Roman"/>
          <w:spacing w:val="-2"/>
          <w:sz w:val="21"/>
        </w:rPr>
        <w:t> </w:t>
      </w:r>
      <w:r>
        <w:rPr>
          <w:sz w:val="21"/>
        </w:rPr>
        <w:t>日内，我们无息退还您已交保险费。您申请撤销本附加合同时须同时申请撤销主合同。</w:t>
      </w:r>
    </w:p>
    <w:p>
      <w:pPr>
        <w:spacing w:after="0" w:line="254" w:lineRule="auto"/>
        <w:jc w:val="both"/>
        <w:rPr>
          <w:sz w:val="21"/>
        </w:rPr>
        <w:sectPr>
          <w:type w:val="continuous"/>
          <w:pgSz w:w="11910" w:h="16840"/>
          <w:pgMar w:top="1400" w:bottom="280" w:left="1160" w:right="960"/>
        </w:sectPr>
      </w:pPr>
    </w:p>
    <w:p>
      <w:pPr>
        <w:pStyle w:val="Heading2"/>
        <w:numPr>
          <w:ilvl w:val="1"/>
          <w:numId w:val="5"/>
        </w:numPr>
        <w:tabs>
          <w:tab w:pos="943" w:val="left" w:leader="none"/>
        </w:tabs>
        <w:spacing w:line="254" w:lineRule="auto" w:before="126" w:after="0"/>
        <w:ind w:left="942" w:right="0" w:hanging="720"/>
        <w:jc w:val="both"/>
      </w:pPr>
      <w:r>
        <w:rPr/>
        <w:t>您解除合同的手续及风险</w:t>
      </w:r>
    </w:p>
    <w:p>
      <w:pPr>
        <w:pStyle w:val="BodyText"/>
        <w:spacing w:line="261" w:lineRule="auto" w:before="126"/>
        <w:ind w:left="222" w:right="207"/>
      </w:pPr>
      <w:r>
        <w:rPr/>
        <w:br w:type="column"/>
      </w:r>
      <w:r>
        <w:rPr/>
        <w:t>若您在犹豫期后申请解除本附加合同，请填写解除合同申请书并向我们提供下列资料：</w:t>
      </w:r>
    </w:p>
    <w:p>
      <w:pPr>
        <w:pStyle w:val="BodyText"/>
        <w:spacing w:before="6"/>
        <w:ind w:left="222"/>
      </w:pPr>
      <w:r>
        <w:rPr/>
        <w:t>（</w:t>
      </w:r>
      <w:r>
        <w:rPr>
          <w:rFonts w:ascii="Times New Roman" w:eastAsia="Times New Roman"/>
        </w:rPr>
        <w:t>1</w:t>
      </w:r>
      <w:r>
        <w:rPr/>
        <w:t>）保险合同；</w:t>
      </w:r>
    </w:p>
    <w:p>
      <w:pPr>
        <w:pStyle w:val="BodyText"/>
        <w:spacing w:before="9"/>
        <w:ind w:left="222"/>
      </w:pPr>
      <w:r>
        <w:rPr/>
        <w:t>（</w:t>
      </w:r>
      <w:r>
        <w:rPr>
          <w:rFonts w:ascii="Times New Roman" w:eastAsia="Times New Roman"/>
        </w:rPr>
        <w:t>2</w:t>
      </w:r>
      <w:r>
        <w:rPr/>
        <w:t>）您的有效身份证件。</w:t>
      </w:r>
    </w:p>
    <w:p>
      <w:pPr>
        <w:pStyle w:val="BodyText"/>
        <w:spacing w:line="261" w:lineRule="auto" w:before="9"/>
        <w:ind w:left="222" w:right="207"/>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1" w:lineRule="auto"/>
        <w:ind w:left="222" w:right="2971"/>
      </w:pPr>
      <w:r>
        <w:rPr/>
        <w:t>您申请解除本附加合同时须同时申请解除主合同。您犹豫期后解除附加合同会遭受一定损失。</w:t>
      </w:r>
    </w:p>
    <w:p>
      <w:pPr>
        <w:spacing w:after="0" w:line="261" w:lineRule="auto"/>
        <w:sectPr>
          <w:type w:val="continuous"/>
          <w:pgSz w:w="11910" w:h="16840"/>
          <w:pgMar w:top="1400" w:bottom="280" w:left="1160" w:right="960"/>
          <w:cols w:num="2" w:equalWidth="0">
            <w:col w:w="1788" w:space="180"/>
            <w:col w:w="7822"/>
          </w:cols>
        </w:sectPr>
      </w:pPr>
    </w:p>
    <w:p>
      <w:pPr>
        <w:pStyle w:val="ListParagraph"/>
        <w:numPr>
          <w:ilvl w:val="1"/>
          <w:numId w:val="5"/>
        </w:numPr>
        <w:tabs>
          <w:tab w:pos="942" w:val="left" w:leader="none"/>
          <w:tab w:pos="943" w:val="left" w:leader="none"/>
          <w:tab w:pos="2190" w:val="left" w:leader="none"/>
        </w:tabs>
        <w:spacing w:line="240" w:lineRule="auto" w:before="131" w:after="0"/>
        <w:ind w:left="942" w:right="0" w:hanging="720"/>
        <w:jc w:val="left"/>
        <w:rPr>
          <w:sz w:val="21"/>
        </w:rPr>
      </w:pPr>
      <w:r>
        <w:rPr>
          <w:b/>
          <w:sz w:val="21"/>
        </w:rPr>
        <w:t>效力终止</w:t>
        <w:tab/>
      </w:r>
      <w:r>
        <w:rPr>
          <w:sz w:val="21"/>
        </w:rPr>
        <w:t>当发生下列情形之一时，本附加合同效力自动终止：</w:t>
      </w:r>
    </w:p>
    <w:p>
      <w:pPr>
        <w:pStyle w:val="BodyText"/>
        <w:spacing w:before="9"/>
        <w:ind w:left="2190"/>
      </w:pPr>
      <w:r>
        <w:rPr/>
        <w:t>（</w:t>
      </w:r>
      <w:r>
        <w:rPr>
          <w:rFonts w:ascii="Times New Roman" w:eastAsia="Times New Roman"/>
        </w:rPr>
        <w:t>1</w:t>
      </w:r>
      <w:r>
        <w:rPr/>
        <w:t>）主合同效力终止；</w:t>
      </w:r>
    </w:p>
    <w:p>
      <w:pPr>
        <w:pStyle w:val="BodyText"/>
        <w:spacing w:before="9"/>
        <w:ind w:left="2190"/>
      </w:pPr>
      <w:r>
        <w:rPr/>
        <w:t>（</w:t>
      </w:r>
      <w:r>
        <w:rPr>
          <w:rFonts w:ascii="Times New Roman" w:eastAsia="Times New Roman"/>
        </w:rPr>
        <w:t>2</w:t>
      </w:r>
      <w:r>
        <w:rPr/>
        <w:t>）因本附加合同条款所列其他情况而终止。</w:t>
      </w:r>
    </w:p>
    <w:p>
      <w:pPr>
        <w:pStyle w:val="BodyText"/>
        <w:spacing w:before="11"/>
        <w:rPr>
          <w:sz w:val="7"/>
        </w:rPr>
      </w:pPr>
      <w:r>
        <w:rPr/>
        <w:pict>
          <v:shape style="position:absolute;margin-left:63.779999pt;margin-top:6.364017pt;width:478.4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82" w:after="0"/>
        <w:ind w:left="942" w:right="0" w:hanging="720"/>
        <w:jc w:val="left"/>
        <w:rPr>
          <w:sz w:val="21"/>
        </w:rPr>
      </w:pPr>
      <w:r>
        <w:rPr>
          <w:b/>
          <w:sz w:val="21"/>
        </w:rPr>
        <w:t>受益人</w:t>
        <w:tab/>
      </w:r>
      <w:r>
        <w:rPr>
          <w:position w:val="1"/>
          <w:sz w:val="21"/>
        </w:rPr>
        <w:t>除本附加合同另有指定外，重大疾病保险金受益人为被保险人本人。</w:t>
      </w:r>
    </w:p>
    <w:p>
      <w:pPr>
        <w:pStyle w:val="BodyText"/>
        <w:spacing w:before="11"/>
        <w:ind w:left="2190"/>
      </w:pPr>
      <w:r>
        <w:rPr/>
        <w:t>被保险人身故后，有下列情形之一的，保险金作为被保险人的遗产，由我们依照</w:t>
      </w:r>
    </w:p>
    <w:p>
      <w:pPr>
        <w:pStyle w:val="BodyText"/>
        <w:spacing w:before="37"/>
        <w:ind w:left="2190"/>
      </w:pPr>
      <w:r>
        <w:rPr/>
        <w:t>《中华人民共和国继承法》的规定履行给付保险金的义务：</w:t>
      </w:r>
    </w:p>
    <w:p>
      <w:pPr>
        <w:pStyle w:val="BodyText"/>
        <w:spacing w:before="37"/>
        <w:ind w:left="2190"/>
      </w:pPr>
      <w:r>
        <w:rPr/>
        <w:t>（</w:t>
      </w:r>
      <w:r>
        <w:rPr>
          <w:rFonts w:ascii="Times New Roman" w:eastAsia="Times New Roman"/>
        </w:rPr>
        <w:t>1</w:t>
      </w:r>
      <w:r>
        <w:rPr/>
        <w:t>）没有指定受益人，或者受益人指定不明无法确定的；</w:t>
      </w:r>
    </w:p>
    <w:p>
      <w:pPr>
        <w:pStyle w:val="BodyText"/>
        <w:spacing w:before="21"/>
        <w:ind w:left="2190"/>
      </w:pPr>
      <w:r>
        <w:rPr/>
        <w:t>（</w:t>
      </w:r>
      <w:r>
        <w:rPr>
          <w:rFonts w:ascii="Times New Roman" w:eastAsia="Times New Roman"/>
        </w:rPr>
        <w:t>2</w:t>
      </w:r>
      <w:r>
        <w:rPr/>
        <w:t>）受益人先于被保险人身故，没有其他受益人的；</w:t>
      </w:r>
    </w:p>
    <w:p>
      <w:pPr>
        <w:pStyle w:val="BodyText"/>
        <w:spacing w:before="21"/>
        <w:ind w:left="2190"/>
      </w:pPr>
      <w:r>
        <w:rPr/>
        <w:t>（</w:t>
      </w:r>
      <w:r>
        <w:rPr>
          <w:rFonts w:ascii="Times New Roman" w:eastAsia="Times New Roman"/>
        </w:rPr>
        <w:t>3</w:t>
      </w:r>
      <w:r>
        <w:rPr/>
        <w:t>）受益人依法丧失受益权或者放弃受益权，没有其他受益人的。</w:t>
      </w:r>
    </w:p>
    <w:p>
      <w:pPr>
        <w:pStyle w:val="BodyText"/>
        <w:spacing w:line="273" w:lineRule="auto" w:before="21"/>
        <w:ind w:left="2190" w:right="207"/>
      </w:pPr>
      <w:r>
        <w:rPr/>
        <w:t>受益人与被保险人在同一事件中身故，且不能确定身故顺序的，推定受益人身故在先。</w:t>
      </w:r>
    </w:p>
    <w:p>
      <w:pPr>
        <w:pStyle w:val="BodyText"/>
        <w:spacing w:line="261" w:lineRule="auto" w:before="17"/>
        <w:ind w:left="2190" w:right="241"/>
      </w:pPr>
      <w:r>
        <w:rPr/>
        <w:t>受益人故意造成被保险人身故、伤残、疾病的，或者故意杀害被保险人未遂的， 该受益人丧失受益权。</w:t>
      </w:r>
    </w:p>
    <w:p>
      <w:pPr>
        <w:spacing w:after="0" w:line="261" w:lineRule="auto"/>
        <w:sectPr>
          <w:type w:val="continuous"/>
          <w:pgSz w:w="11910" w:h="16840"/>
          <w:pgMar w:top="1400" w:bottom="280" w:left="1160" w:right="960"/>
        </w:sectPr>
      </w:pPr>
    </w:p>
    <w:p>
      <w:pPr>
        <w:pStyle w:val="Heading2"/>
        <w:numPr>
          <w:ilvl w:val="1"/>
          <w:numId w:val="6"/>
        </w:numPr>
        <w:tabs>
          <w:tab w:pos="942" w:val="left" w:leader="none"/>
          <w:tab w:pos="943" w:val="left" w:leader="none"/>
        </w:tabs>
        <w:spacing w:line="247" w:lineRule="auto" w:before="119" w:after="0"/>
        <w:ind w:left="942" w:right="0" w:hanging="720"/>
        <w:jc w:val="left"/>
      </w:pPr>
      <w:r>
        <w:rPr/>
        <w:t>保险金申请</w:t>
      </w:r>
    </w:p>
    <w:p>
      <w:pPr>
        <w:spacing w:line="196" w:lineRule="auto" w:before="131"/>
        <w:ind w:left="942"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119"/>
        <w:ind w:left="222"/>
      </w:pPr>
      <w:r>
        <w:rPr/>
        <w:br w:type="column"/>
      </w:r>
      <w:r>
        <w:rPr/>
        <w:t>在申请保险金时，请按照下列方式办理：</w:t>
      </w:r>
    </w:p>
    <w:p>
      <w:pPr>
        <w:pStyle w:val="BodyText"/>
        <w:rPr>
          <w:sz w:val="20"/>
        </w:rPr>
      </w:pPr>
    </w:p>
    <w:p>
      <w:pPr>
        <w:pStyle w:val="BodyText"/>
        <w:spacing w:line="261" w:lineRule="auto" w:before="176"/>
        <w:ind w:left="222" w:right="158"/>
      </w:pPr>
      <w:r>
        <w:rPr/>
        <w:t>在申请重大疾病保险金时，申请人须填写保险金给付申请书，并提供下列证明和资料：</w:t>
      </w:r>
    </w:p>
    <w:p>
      <w:pPr>
        <w:pStyle w:val="BodyText"/>
        <w:spacing w:before="20"/>
        <w:ind w:left="222"/>
      </w:pPr>
      <w:r>
        <w:rPr/>
        <w:t>（</w:t>
      </w:r>
      <w:r>
        <w:rPr>
          <w:rFonts w:ascii="Times New Roman" w:eastAsia="Times New Roman"/>
        </w:rPr>
        <w:t>1</w:t>
      </w:r>
      <w:r>
        <w:rPr/>
        <w:t>）保险合同；</w:t>
      </w:r>
    </w:p>
    <w:p>
      <w:pPr>
        <w:pStyle w:val="BodyText"/>
        <w:spacing w:before="23"/>
        <w:ind w:left="222"/>
      </w:pPr>
      <w:r>
        <w:rPr/>
        <w:t>（</w:t>
      </w:r>
      <w:r>
        <w:rPr>
          <w:rFonts w:ascii="Times New Roman" w:eastAsia="Times New Roman"/>
        </w:rPr>
        <w:t>2</w:t>
      </w:r>
      <w:r>
        <w:rPr/>
        <w:t>）申请人的有效身份证件；</w:t>
      </w:r>
    </w:p>
    <w:p>
      <w:pPr>
        <w:pStyle w:val="BodyText"/>
        <w:spacing w:line="254" w:lineRule="auto" w:before="25"/>
        <w:ind w:left="748" w:right="205"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spacing w:after="0" w:line="254" w:lineRule="auto"/>
        <w:jc w:val="both"/>
        <w:sectPr>
          <w:type w:val="continuous"/>
          <w:pgSz w:w="11910" w:h="16840"/>
          <w:pgMar w:top="1400" w:bottom="280" w:left="1160" w:right="960"/>
          <w:cols w:num="2" w:equalWidth="0">
            <w:col w:w="1788" w:space="180"/>
            <w:col w:w="782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6"/>
        </w:numPr>
        <w:tabs>
          <w:tab w:pos="942" w:val="left" w:leader="none"/>
          <w:tab w:pos="943" w:val="left" w:leader="none"/>
        </w:tabs>
        <w:spacing w:line="247" w:lineRule="auto" w:before="131" w:after="0"/>
        <w:ind w:left="942" w:right="0" w:hanging="720"/>
        <w:jc w:val="left"/>
      </w:pPr>
      <w:r>
        <w:rPr/>
        <w:t>保险金的给付</w:t>
      </w:r>
    </w:p>
    <w:p>
      <w:pPr>
        <w:pStyle w:val="BodyText"/>
        <w:spacing w:line="340" w:lineRule="auto" w:before="14"/>
        <w:ind w:left="222" w:right="663"/>
      </w:pPr>
      <w:r>
        <w:rPr/>
        <w:br w:type="column"/>
      </w: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22"/>
      </w:pPr>
      <w:r>
        <w:rPr/>
        <w:t>以上证明和资料不完整的，我们将及时一次性通知申请人补充提供有关证明和资</w:t>
      </w:r>
    </w:p>
    <w:p>
      <w:pPr>
        <w:pStyle w:val="BodyText"/>
        <w:spacing w:before="26"/>
        <w:ind w:left="222"/>
      </w:pPr>
      <w:r>
        <w:rPr/>
        <w:t>料。</w:t>
      </w:r>
    </w:p>
    <w:p>
      <w:pPr>
        <w:pStyle w:val="BodyText"/>
        <w:spacing w:line="273" w:lineRule="auto" w:before="128"/>
        <w:ind w:left="222" w:right="207"/>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222" w:right="207"/>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34"/>
        <w:ind w:left="222" w:right="207"/>
      </w:pPr>
      <w:r>
        <w:rPr/>
        <w:t>我们未及时履行前款规定义务的，除支付保险金外，应当赔偿受益人因此受到的损失。</w:t>
      </w:r>
    </w:p>
    <w:p>
      <w:pPr>
        <w:pStyle w:val="BodyText"/>
        <w:spacing w:line="256" w:lineRule="auto" w:before="7"/>
        <w:ind w:left="222" w:right="161"/>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1"/>
        <w:ind w:left="222" w:right="207"/>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spacing w:after="0" w:line="254" w:lineRule="auto"/>
        <w:jc w:val="both"/>
        <w:sectPr>
          <w:pgSz w:w="11910" w:h="16840"/>
          <w:pgMar w:top="1420" w:bottom="280" w:left="1160" w:right="960"/>
          <w:cols w:num="2" w:equalWidth="0">
            <w:col w:w="1788" w:space="180"/>
            <w:col w:w="7822"/>
          </w:cols>
        </w:sectPr>
      </w:pPr>
    </w:p>
    <w:p>
      <w:pPr>
        <w:pStyle w:val="ListParagraph"/>
        <w:numPr>
          <w:ilvl w:val="1"/>
          <w:numId w:val="6"/>
        </w:numPr>
        <w:tabs>
          <w:tab w:pos="942" w:val="left" w:leader="none"/>
          <w:tab w:pos="943" w:val="left" w:leader="none"/>
          <w:tab w:pos="2190" w:val="left" w:leader="none"/>
        </w:tabs>
        <w:spacing w:line="247" w:lineRule="auto" w:before="125" w:after="0"/>
        <w:ind w:left="2190" w:right="241" w:hanging="1968"/>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9"/>
        <w:rPr>
          <w:sz w:val="8"/>
        </w:rPr>
      </w:pPr>
      <w:r>
        <w:rPr/>
        <w:pict>
          <v:shape style="position:absolute;margin-left:63.779999pt;margin-top:6.915449pt;width:478.4pt;height:15pt;mso-position-horizontal-relative:page;mso-position-vertical-relative:paragraph;z-index:1144;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type w:val="continuous"/>
          <w:pgSz w:w="11910" w:h="16840"/>
          <w:pgMar w:top="1400" w:bottom="280" w:left="1160" w:right="960"/>
        </w:sectPr>
      </w:pPr>
    </w:p>
    <w:p>
      <w:pPr>
        <w:pStyle w:val="ListParagraph"/>
        <w:numPr>
          <w:ilvl w:val="1"/>
          <w:numId w:val="7"/>
        </w:numPr>
        <w:tabs>
          <w:tab w:pos="943" w:val="left" w:leader="none"/>
        </w:tabs>
        <w:spacing w:line="254" w:lineRule="auto" w:before="23" w:after="0"/>
        <w:ind w:left="942" w:right="0" w:hanging="720"/>
        <w:jc w:val="both"/>
        <w:rPr>
          <w:b/>
          <w:sz w:val="21"/>
        </w:rPr>
      </w:pPr>
      <w:r>
        <w:rPr>
          <w:b/>
          <w:spacing w:val="45"/>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43" w:val="left" w:leader="none"/>
        </w:tabs>
        <w:spacing w:line="247" w:lineRule="auto" w:before="0" w:after="0"/>
        <w:ind w:left="942" w:right="0" w:hanging="720"/>
        <w:jc w:val="both"/>
        <w:rPr>
          <w:b/>
          <w:sz w:val="21"/>
        </w:rPr>
      </w:pPr>
      <w:r>
        <w:rPr>
          <w:b/>
          <w:spacing w:val="45"/>
          <w:sz w:val="21"/>
        </w:rPr>
        <w:t>遗传性疾病</w:t>
      </w:r>
    </w:p>
    <w:p>
      <w:pPr>
        <w:pStyle w:val="ListParagraph"/>
        <w:numPr>
          <w:ilvl w:val="1"/>
          <w:numId w:val="7"/>
        </w:numPr>
        <w:tabs>
          <w:tab w:pos="943" w:val="left" w:leader="none"/>
        </w:tabs>
        <w:spacing w:line="256" w:lineRule="auto" w:before="131" w:after="0"/>
        <w:ind w:left="942" w:right="0" w:hanging="720"/>
        <w:jc w:val="both"/>
        <w:rPr>
          <w:b/>
          <w:sz w:val="21"/>
        </w:rPr>
      </w:pPr>
      <w:r>
        <w:rPr>
          <w:b/>
          <w:spacing w:val="45"/>
          <w:sz w:val="21"/>
        </w:rPr>
        <w:t>先天性畸</w:t>
      </w:r>
      <w:r>
        <w:rPr>
          <w:b/>
          <w:spacing w:val="3"/>
          <w:sz w:val="21"/>
        </w:rPr>
        <w:t>形、变形或</w:t>
      </w:r>
      <w:r>
        <w:rPr>
          <w:b/>
          <w:spacing w:val="45"/>
          <w:sz w:val="21"/>
        </w:rPr>
        <w:t>染色体异常</w:t>
      </w:r>
    </w:p>
    <w:p>
      <w:pPr>
        <w:pStyle w:val="BodyText"/>
        <w:spacing w:line="247" w:lineRule="auto" w:before="23"/>
        <w:ind w:left="113"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13" w:right="207"/>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13" w:right="30"/>
      </w:pPr>
      <w:r>
        <w:rPr/>
        <w:t>指生殖细胞或受精卵的遗传物质（染色体和基因）发生突变或畸变所引起的疾病， 通常具有由亲代传至后代的垂直传递的特征。</w:t>
      </w:r>
    </w:p>
    <w:p>
      <w:pPr>
        <w:pStyle w:val="BodyText"/>
        <w:spacing w:line="261" w:lineRule="auto" w:before="119"/>
        <w:ind w:left="113" w:right="101"/>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160" w:right="960"/>
          <w:cols w:num="2" w:equalWidth="0">
            <w:col w:w="2037" w:space="40"/>
            <w:col w:w="7713"/>
          </w:cols>
        </w:sectPr>
      </w:pPr>
    </w:p>
    <w:p>
      <w:pPr>
        <w:pStyle w:val="ListParagraph"/>
        <w:numPr>
          <w:ilvl w:val="1"/>
          <w:numId w:val="7"/>
        </w:numPr>
        <w:tabs>
          <w:tab w:pos="942" w:val="left" w:leader="none"/>
          <w:tab w:pos="943" w:val="left" w:leader="none"/>
          <w:tab w:pos="2190" w:val="left" w:leader="none"/>
        </w:tabs>
        <w:spacing w:line="247" w:lineRule="auto" w:before="123" w:after="0"/>
        <w:ind w:left="2190" w:right="204" w:hanging="1968"/>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90" w:right="207"/>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8"/>
        </w:numPr>
        <w:tabs>
          <w:tab w:pos="942" w:val="left" w:leader="none"/>
          <w:tab w:pos="943" w:val="left" w:leader="none"/>
        </w:tabs>
        <w:spacing w:line="252" w:lineRule="auto" w:before="118" w:after="0"/>
        <w:ind w:left="2190" w:right="101" w:hanging="1968"/>
        <w:jc w:val="left"/>
        <w:rPr>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190"/>
      </w:pPr>
      <w:r>
        <w:rPr/>
        <w:t>（</w:t>
      </w:r>
      <w:r>
        <w:rPr>
          <w:rFonts w:ascii="Times New Roman" w:eastAsia="Times New Roman"/>
        </w:rPr>
        <w:t>1</w:t>
      </w:r>
      <w:r>
        <w:rPr/>
        <w:t>）原位癌；</w:t>
      </w:r>
    </w:p>
    <w:p>
      <w:pPr>
        <w:pStyle w:val="BodyText"/>
        <w:spacing w:before="9"/>
        <w:ind w:left="219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190"/>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19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19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sectPr>
          <w:type w:val="continuous"/>
          <w:pgSz w:w="11910" w:h="16840"/>
          <w:pgMar w:top="1400" w:bottom="280" w:left="1160" w:right="960"/>
        </w:sectPr>
      </w:pPr>
    </w:p>
    <w:p>
      <w:pPr>
        <w:pStyle w:val="BodyText"/>
        <w:rPr>
          <w:sz w:val="20"/>
        </w:rPr>
      </w:pPr>
    </w:p>
    <w:p>
      <w:pPr>
        <w:pStyle w:val="Heading2"/>
        <w:numPr>
          <w:ilvl w:val="0"/>
          <w:numId w:val="8"/>
        </w:numPr>
        <w:tabs>
          <w:tab w:pos="822" w:val="left" w:leader="none"/>
          <w:tab w:pos="823" w:val="left" w:leader="none"/>
        </w:tabs>
        <w:spacing w:line="247" w:lineRule="auto" w:before="165" w:after="0"/>
        <w:ind w:left="822" w:right="0" w:hanging="720"/>
        <w:jc w:val="both"/>
      </w:pPr>
      <w:r>
        <w:rPr>
          <w:spacing w:val="45"/>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2" w:val="left" w:leader="none"/>
          <w:tab w:pos="823" w:val="left" w:leader="none"/>
        </w:tabs>
        <w:spacing w:line="247" w:lineRule="auto" w:before="0" w:after="0"/>
        <w:ind w:left="822" w:right="0" w:hanging="720"/>
        <w:jc w:val="both"/>
        <w:rPr>
          <w:b/>
          <w:sz w:val="21"/>
        </w:rPr>
      </w:pPr>
      <w:r>
        <w:rPr>
          <w:b/>
          <w:spacing w:val="45"/>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22" w:val="left" w:leader="none"/>
          <w:tab w:pos="823" w:val="left" w:leader="none"/>
        </w:tabs>
        <w:spacing w:line="256" w:lineRule="auto" w:before="1" w:after="0"/>
        <w:ind w:left="822" w:right="0" w:hanging="720"/>
        <w:jc w:val="both"/>
        <w:rPr>
          <w:b/>
          <w:sz w:val="21"/>
        </w:rPr>
      </w:pPr>
      <w:r>
        <w:rPr>
          <w:b/>
          <w:spacing w:val="45"/>
          <w:sz w:val="21"/>
        </w:rPr>
        <w:t>重大器官移植术或造血干细</w:t>
      </w:r>
      <w:r>
        <w:rPr>
          <w:b/>
          <w:spacing w:val="45"/>
          <w:w w:val="95"/>
          <w:sz w:val="21"/>
        </w:rPr>
        <w:t>胞移植术：</w:t>
      </w:r>
    </w:p>
    <w:p>
      <w:pPr>
        <w:pStyle w:val="BodyText"/>
        <w:rPr>
          <w:b/>
          <w:sz w:val="20"/>
        </w:rPr>
      </w:pPr>
    </w:p>
    <w:p>
      <w:pPr>
        <w:pStyle w:val="ListParagraph"/>
        <w:numPr>
          <w:ilvl w:val="0"/>
          <w:numId w:val="8"/>
        </w:numPr>
        <w:tabs>
          <w:tab w:pos="822" w:val="left" w:leader="none"/>
          <w:tab w:pos="823" w:val="left" w:leader="none"/>
        </w:tabs>
        <w:spacing w:line="259" w:lineRule="auto" w:before="163" w:after="0"/>
        <w:ind w:left="822" w:right="0" w:hanging="720"/>
        <w:jc w:val="both"/>
        <w:rPr>
          <w:b/>
          <w:sz w:val="21"/>
        </w:rPr>
      </w:pPr>
      <w:r>
        <w:rPr>
          <w:b/>
          <w:spacing w:val="45"/>
          <w:sz w:val="21"/>
        </w:rPr>
        <w:t>冠状动脉</w:t>
      </w:r>
      <w:r>
        <w:rPr>
          <w:b/>
          <w:spacing w:val="22"/>
          <w:sz w:val="21"/>
        </w:rPr>
        <w:t>搭桥术</w:t>
      </w:r>
      <w:r>
        <w:rPr>
          <w:b/>
          <w:sz w:val="21"/>
        </w:rPr>
        <w:t>（或</w:t>
      </w:r>
      <w:r>
        <w:rPr>
          <w:b/>
          <w:spacing w:val="45"/>
          <w:sz w:val="21"/>
        </w:rPr>
        <w:t>称冠状动脉旁路移植术）</w:t>
      </w:r>
    </w:p>
    <w:p>
      <w:pPr>
        <w:pStyle w:val="ListParagraph"/>
        <w:numPr>
          <w:ilvl w:val="0"/>
          <w:numId w:val="8"/>
        </w:numPr>
        <w:tabs>
          <w:tab w:pos="822" w:val="left" w:leader="none"/>
          <w:tab w:pos="823" w:val="left" w:leader="none"/>
        </w:tabs>
        <w:spacing w:line="259" w:lineRule="auto" w:before="121" w:after="0"/>
        <w:ind w:left="822" w:right="0" w:hanging="720"/>
        <w:jc w:val="both"/>
        <w:rPr>
          <w:b/>
          <w:sz w:val="21"/>
        </w:rPr>
      </w:pPr>
      <w:r>
        <w:rPr>
          <w:b/>
          <w:spacing w:val="45"/>
          <w:sz w:val="21"/>
        </w:rPr>
        <w:t>终末期肾</w:t>
      </w:r>
      <w:r>
        <w:rPr>
          <w:b/>
          <w:spacing w:val="-22"/>
          <w:sz w:val="21"/>
        </w:rPr>
        <w:t>病</w:t>
      </w:r>
      <w:r>
        <w:rPr>
          <w:b/>
          <w:sz w:val="21"/>
        </w:rPr>
        <w:t>（或称慢</w:t>
      </w:r>
      <w:r>
        <w:rPr>
          <w:b/>
          <w:spacing w:val="45"/>
          <w:sz w:val="21"/>
        </w:rPr>
        <w:t>性肾功能衰竭尿毒症期）</w:t>
      </w:r>
    </w:p>
    <w:p>
      <w:pPr>
        <w:pStyle w:val="ListParagraph"/>
        <w:numPr>
          <w:ilvl w:val="0"/>
          <w:numId w:val="8"/>
        </w:numPr>
        <w:tabs>
          <w:tab w:pos="822" w:val="left" w:leader="none"/>
          <w:tab w:pos="823" w:val="left" w:leader="none"/>
        </w:tabs>
        <w:spacing w:line="254" w:lineRule="auto" w:before="121" w:after="0"/>
        <w:ind w:left="822" w:right="0" w:hanging="720"/>
        <w:jc w:val="both"/>
        <w:rPr>
          <w:b/>
          <w:sz w:val="21"/>
        </w:rPr>
      </w:pPr>
      <w:r>
        <w:rPr>
          <w:b/>
          <w:spacing w:val="45"/>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2" w:val="left" w:leader="none"/>
          <w:tab w:pos="823" w:val="left" w:leader="none"/>
        </w:tabs>
        <w:spacing w:line="247" w:lineRule="auto" w:before="0" w:after="0"/>
        <w:ind w:left="822" w:right="0" w:hanging="720"/>
        <w:jc w:val="both"/>
        <w:rPr>
          <w:b/>
          <w:sz w:val="21"/>
        </w:rPr>
      </w:pPr>
      <w:r>
        <w:rPr>
          <w:b/>
          <w:spacing w:val="45"/>
          <w:sz w:val="21"/>
        </w:rPr>
        <w:t>良性脑肿瘤：</w:t>
      </w:r>
    </w:p>
    <w:p>
      <w:pPr>
        <w:pStyle w:val="BodyText"/>
        <w:spacing w:before="14"/>
        <w:ind w:left="102"/>
      </w:pPr>
      <w:r>
        <w:rPr/>
        <w:br w:type="column"/>
      </w:r>
      <w:r>
        <w:rPr/>
        <w:t>（</w:t>
      </w:r>
      <w:r>
        <w:rPr>
          <w:rFonts w:ascii="Times New Roman" w:eastAsia="Times New Roman"/>
        </w:rPr>
        <w:t>6</w:t>
      </w:r>
      <w:r>
        <w:rPr/>
        <w:t>）感染艾滋病病毒或患艾滋病期间所患恶性肿瘤。</w:t>
      </w:r>
    </w:p>
    <w:p>
      <w:pPr>
        <w:pStyle w:val="BodyText"/>
        <w:spacing w:line="261" w:lineRule="auto" w:before="121"/>
        <w:ind w:left="102" w:right="207"/>
      </w:pPr>
      <w:r>
        <w:rPr/>
        <w:t>指因冠状动脉阻塞导致的相应区域供血不足造成部分心肌坏死。须满足下列至少三项条件：</w:t>
      </w:r>
    </w:p>
    <w:p>
      <w:pPr>
        <w:pStyle w:val="BodyText"/>
        <w:spacing w:before="6"/>
        <w:ind w:left="102"/>
        <w:jc w:val="both"/>
      </w:pPr>
      <w:r>
        <w:rPr/>
        <w:t>（</w:t>
      </w:r>
      <w:r>
        <w:rPr>
          <w:rFonts w:ascii="Times New Roman" w:eastAsia="Times New Roman"/>
        </w:rPr>
        <w:t>1</w:t>
      </w:r>
      <w:r>
        <w:rPr/>
        <w:t>）典型临床表现，例如急性胸痛等；</w:t>
      </w:r>
    </w:p>
    <w:p>
      <w:pPr>
        <w:pStyle w:val="BodyText"/>
        <w:spacing w:before="9"/>
        <w:ind w:left="102"/>
        <w:jc w:val="both"/>
      </w:pPr>
      <w:r>
        <w:rPr/>
        <w:t>（</w:t>
      </w:r>
      <w:r>
        <w:rPr>
          <w:rFonts w:ascii="Times New Roman" w:eastAsia="Times New Roman"/>
        </w:rPr>
        <w:t>2</w:t>
      </w:r>
      <w:r>
        <w:rPr/>
        <w:t>）新近的心电图改变提示急性心肌梗塞；</w:t>
      </w:r>
    </w:p>
    <w:p>
      <w:pPr>
        <w:pStyle w:val="BodyText"/>
        <w:spacing w:before="9"/>
        <w:ind w:left="102"/>
        <w:jc w:val="both"/>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102"/>
        <w:jc w:val="both"/>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1"/>
        <w:ind w:left="102" w:right="207"/>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日后，仍遗留下列一种或一种以上障碍：</w:t>
      </w:r>
    </w:p>
    <w:p>
      <w:pPr>
        <w:pStyle w:val="BodyText"/>
        <w:spacing w:before="12"/>
        <w:ind w:left="102"/>
      </w:pPr>
      <w:r>
        <w:rPr/>
        <w:t>（</w:t>
      </w:r>
      <w:r>
        <w:rPr>
          <w:rFonts w:ascii="Times New Roman" w:eastAsia="Times New Roman"/>
        </w:rPr>
        <w:t>1</w:t>
      </w:r>
      <w:r>
        <w:rPr/>
        <w:t>）一肢或一肢以上肢体机能完全丧失；</w:t>
      </w:r>
    </w:p>
    <w:p>
      <w:pPr>
        <w:spacing w:before="9"/>
        <w:ind w:left="102"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line="247" w:lineRule="auto" w:before="9"/>
        <w:ind w:left="628" w:right="130"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p>
      <w:pPr>
        <w:pStyle w:val="BodyText"/>
        <w:spacing w:line="261" w:lineRule="auto" w:before="132"/>
        <w:ind w:left="102" w:right="207"/>
      </w:pPr>
      <w:r>
        <w:rPr/>
        <w:t>重大器官移植术，指因相应器官功能衰竭，已经实施了肾脏、肝脏、心脏或肺脏的异体移植手术。</w:t>
      </w:r>
    </w:p>
    <w:p>
      <w:pPr>
        <w:pStyle w:val="BodyText"/>
        <w:spacing w:line="261" w:lineRule="auto" w:before="6"/>
        <w:ind w:left="102" w:right="207"/>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20"/>
        <w:ind w:left="102" w:right="207"/>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02" w:right="205"/>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02" w:right="207"/>
      </w:pPr>
      <w:r>
        <w:rPr/>
        <w:t>指因肝炎病毒感染引起肝脏组织弥漫性坏死，导致急性肝功能衰竭，且经血清学或病毒学检查证实，并须满足下列全部条件：</w:t>
      </w:r>
    </w:p>
    <w:p>
      <w:pPr>
        <w:pStyle w:val="BodyText"/>
        <w:spacing w:before="6"/>
        <w:ind w:left="102"/>
        <w:jc w:val="both"/>
      </w:pPr>
      <w:r>
        <w:rPr/>
        <w:t>（</w:t>
      </w:r>
      <w:r>
        <w:rPr>
          <w:rFonts w:ascii="Times New Roman" w:eastAsia="Times New Roman"/>
        </w:rPr>
        <w:t>1</w:t>
      </w:r>
      <w:r>
        <w:rPr/>
        <w:t>）重度黄疸或黄疸迅速加重；</w:t>
      </w:r>
    </w:p>
    <w:p>
      <w:pPr>
        <w:pStyle w:val="BodyText"/>
        <w:spacing w:before="9"/>
        <w:ind w:left="102"/>
        <w:jc w:val="both"/>
      </w:pPr>
      <w:r>
        <w:rPr/>
        <w:t>（</w:t>
      </w:r>
      <w:r>
        <w:rPr>
          <w:rFonts w:ascii="Times New Roman" w:eastAsia="Times New Roman"/>
        </w:rPr>
        <w:t>2</w:t>
      </w:r>
      <w:r>
        <w:rPr/>
        <w:t>）肝性脑病；</w:t>
      </w:r>
    </w:p>
    <w:p>
      <w:pPr>
        <w:pStyle w:val="BodyText"/>
        <w:spacing w:before="9"/>
        <w:ind w:left="10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02"/>
        <w:jc w:val="both"/>
      </w:pPr>
      <w:r>
        <w:rPr/>
        <w:t>（</w:t>
      </w:r>
      <w:r>
        <w:rPr>
          <w:rFonts w:ascii="Times New Roman" w:eastAsia="Times New Roman"/>
        </w:rPr>
        <w:t>4</w:t>
      </w:r>
      <w:r>
        <w:rPr/>
        <w:t>）肝功能指标进行性恶化。</w:t>
      </w:r>
    </w:p>
    <w:p>
      <w:pPr>
        <w:pStyle w:val="BodyText"/>
        <w:spacing w:line="261" w:lineRule="auto" w:before="122"/>
        <w:ind w:left="102" w:right="100"/>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02" w:right="201"/>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0"/>
        <w:ind w:left="102"/>
        <w:jc w:val="both"/>
      </w:pPr>
      <w:r>
        <w:rPr/>
        <w:t>（</w:t>
      </w:r>
      <w:r>
        <w:rPr>
          <w:rFonts w:ascii="Times New Roman" w:eastAsia="Times New Roman"/>
        </w:rPr>
        <w:t>1</w:t>
      </w:r>
      <w:r>
        <w:rPr/>
        <w:t>）实际实施了开颅进行的脑肿瘤完全切除或部分切除的手术；</w:t>
      </w:r>
    </w:p>
    <w:p>
      <w:pPr>
        <w:pStyle w:val="BodyText"/>
        <w:spacing w:before="9"/>
        <w:ind w:left="102"/>
        <w:jc w:val="both"/>
      </w:pPr>
      <w:r>
        <w:rPr/>
        <w:t>（</w:t>
      </w:r>
      <w:r>
        <w:rPr>
          <w:rFonts w:ascii="Times New Roman" w:eastAsia="Times New Roman"/>
        </w:rPr>
        <w:t>2</w:t>
      </w:r>
      <w:r>
        <w:rPr/>
        <w:t>）实际实施了对脑肿瘤进行的放射治疗。</w:t>
      </w:r>
    </w:p>
    <w:p>
      <w:pPr>
        <w:pStyle w:val="BodyText"/>
        <w:spacing w:before="9"/>
        <w:ind w:left="102"/>
        <w:jc w:val="both"/>
      </w:pPr>
      <w:r>
        <w:rPr/>
        <w:t>脑垂体瘤、脑囊肿、脑血管性疾病不在保障范围内。</w:t>
      </w:r>
    </w:p>
    <w:p>
      <w:pPr>
        <w:spacing w:after="0"/>
        <w:jc w:val="both"/>
        <w:sectPr>
          <w:pgSz w:w="11910" w:h="16840"/>
          <w:pgMar w:top="1420" w:bottom="280" w:left="1280" w:right="960"/>
          <w:cols w:num="2" w:equalWidth="0">
            <w:col w:w="1917" w:space="51"/>
            <w:col w:w="7702"/>
          </w:cols>
        </w:sectPr>
      </w:pPr>
    </w:p>
    <w:p>
      <w:pPr>
        <w:pStyle w:val="ListParagraph"/>
        <w:numPr>
          <w:ilvl w:val="0"/>
          <w:numId w:val="8"/>
        </w:numPr>
        <w:tabs>
          <w:tab w:pos="822" w:val="left" w:leader="none"/>
          <w:tab w:pos="823" w:val="left" w:leader="none"/>
          <w:tab w:pos="2070" w:val="left" w:leader="none"/>
        </w:tabs>
        <w:spacing w:line="240" w:lineRule="auto" w:before="137" w:after="0"/>
        <w:ind w:left="822" w:right="0" w:hanging="720"/>
        <w:jc w:val="left"/>
        <w:rPr>
          <w:sz w:val="21"/>
        </w:rPr>
      </w:pPr>
      <w:r>
        <w:rPr>
          <w:b/>
          <w:spacing w:val="61"/>
          <w:sz w:val="21"/>
        </w:rPr>
        <w:t>慢性肝</w:t>
      </w:r>
      <w:r>
        <w:rPr>
          <w:b/>
          <w:sz w:val="21"/>
        </w:rPr>
        <w:t>功</w:t>
        <w:tab/>
      </w:r>
      <w:r>
        <w:rPr>
          <w:sz w:val="21"/>
        </w:rPr>
        <w:t>指因慢性肝脏疾病导致肝功能衰竭。须满足下列全部条件：</w:t>
      </w:r>
    </w:p>
    <w:p>
      <w:pPr>
        <w:spacing w:after="0" w:line="240" w:lineRule="auto"/>
        <w:jc w:val="left"/>
        <w:rPr>
          <w:sz w:val="21"/>
        </w:rPr>
        <w:sectPr>
          <w:type w:val="continuous"/>
          <w:pgSz w:w="11910" w:h="16840"/>
          <w:pgMar w:top="1400" w:bottom="280" w:left="1280" w:right="960"/>
        </w:sectPr>
      </w:pPr>
    </w:p>
    <w:p>
      <w:pPr>
        <w:pStyle w:val="Heading2"/>
        <w:spacing w:line="261" w:lineRule="auto" w:before="14"/>
        <w:ind w:firstLine="0"/>
        <w:jc w:val="left"/>
      </w:pPr>
      <w:r>
        <w:rPr/>
        <w:t>能衰竭失代偿期：</w:t>
      </w:r>
    </w:p>
    <w:p>
      <w:pPr>
        <w:pStyle w:val="BodyText"/>
        <w:rPr>
          <w:b/>
          <w:sz w:val="20"/>
        </w:rPr>
      </w:pPr>
    </w:p>
    <w:p>
      <w:pPr>
        <w:pStyle w:val="BodyText"/>
        <w:rPr>
          <w:b/>
          <w:sz w:val="20"/>
        </w:rPr>
      </w:pPr>
    </w:p>
    <w:p>
      <w:pPr>
        <w:pStyle w:val="BodyText"/>
        <w:rPr>
          <w:b/>
          <w:sz w:val="20"/>
        </w:rPr>
      </w:pPr>
    </w:p>
    <w:p>
      <w:pPr>
        <w:pStyle w:val="BodyText"/>
        <w:spacing w:before="10"/>
        <w:rPr>
          <w:b/>
          <w:sz w:val="17"/>
        </w:rPr>
      </w:pPr>
    </w:p>
    <w:p>
      <w:pPr>
        <w:pStyle w:val="ListParagraph"/>
        <w:numPr>
          <w:ilvl w:val="0"/>
          <w:numId w:val="8"/>
        </w:numPr>
        <w:tabs>
          <w:tab w:pos="823" w:val="left" w:leader="none"/>
        </w:tabs>
        <w:spacing w:line="254" w:lineRule="auto" w:before="0" w:after="0"/>
        <w:ind w:left="822" w:right="0" w:hanging="720"/>
        <w:jc w:val="both"/>
        <w:rPr>
          <w:b/>
          <w:sz w:val="21"/>
        </w:rPr>
      </w:pPr>
      <w:r>
        <w:rPr>
          <w:b/>
          <w:spacing w:val="45"/>
          <w:sz w:val="21"/>
        </w:rPr>
        <w:t>脑炎后遗症或脑膜</w:t>
      </w:r>
      <w:r>
        <w:rPr>
          <w:b/>
          <w:spacing w:val="45"/>
          <w:w w:val="95"/>
          <w:sz w:val="21"/>
        </w:rPr>
        <w:t>炎后遗症：</w:t>
      </w:r>
    </w:p>
    <w:p>
      <w:pPr>
        <w:pStyle w:val="BodyText"/>
        <w:spacing w:before="14"/>
        <w:ind w:left="102"/>
      </w:pPr>
      <w:r>
        <w:rPr/>
        <w:br w:type="column"/>
      </w:r>
      <w:r>
        <w:rPr/>
        <w:t>（</w:t>
      </w:r>
      <w:r>
        <w:rPr>
          <w:rFonts w:ascii="Times New Roman" w:eastAsia="Times New Roman"/>
        </w:rPr>
        <w:t>1</w:t>
      </w:r>
      <w:r>
        <w:rPr/>
        <w:t>）持续性黄疸；</w:t>
      </w:r>
    </w:p>
    <w:p>
      <w:pPr>
        <w:pStyle w:val="BodyText"/>
        <w:spacing w:before="8"/>
        <w:ind w:left="102"/>
      </w:pPr>
      <w:r>
        <w:rPr/>
        <w:t>（</w:t>
      </w:r>
      <w:r>
        <w:rPr>
          <w:rFonts w:ascii="Times New Roman" w:eastAsia="Times New Roman"/>
        </w:rPr>
        <w:t>2</w:t>
      </w:r>
      <w:r>
        <w:rPr/>
        <w:t>）腹水；</w:t>
      </w:r>
    </w:p>
    <w:p>
      <w:pPr>
        <w:pStyle w:val="BodyText"/>
        <w:spacing w:before="8"/>
        <w:ind w:left="102"/>
      </w:pPr>
      <w:r>
        <w:rPr/>
        <w:t>（</w:t>
      </w:r>
      <w:r>
        <w:rPr>
          <w:rFonts w:ascii="Times New Roman" w:eastAsia="Times New Roman"/>
        </w:rPr>
        <w:t>3</w:t>
      </w:r>
      <w:r>
        <w:rPr/>
        <w:t>）肝性脑病；</w:t>
      </w:r>
    </w:p>
    <w:p>
      <w:pPr>
        <w:pStyle w:val="BodyText"/>
        <w:spacing w:line="247" w:lineRule="auto" w:before="8"/>
        <w:ind w:left="102" w:right="244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02" w:right="207"/>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02"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628" w:right="136"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960"/>
          <w:cols w:num="2" w:equalWidth="0">
            <w:col w:w="1917" w:space="50"/>
            <w:col w:w="7703"/>
          </w:cols>
        </w:sectPr>
      </w:pPr>
    </w:p>
    <w:p>
      <w:pPr>
        <w:pStyle w:val="ListParagraph"/>
        <w:numPr>
          <w:ilvl w:val="0"/>
          <w:numId w:val="8"/>
        </w:numPr>
        <w:tabs>
          <w:tab w:pos="823" w:val="left" w:leader="none"/>
        </w:tabs>
        <w:spacing w:line="247" w:lineRule="auto" w:before="132" w:after="0"/>
        <w:ind w:left="2070" w:right="206" w:hanging="1968"/>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70"/>
      </w:pPr>
      <w:r>
        <w:rPr/>
        <w:t>因酗酒或药物滥用导致的深度昏迷不在保障范围内。</w:t>
      </w:r>
    </w:p>
    <w:p>
      <w:pPr>
        <w:pStyle w:val="ListParagraph"/>
        <w:numPr>
          <w:ilvl w:val="0"/>
          <w:numId w:val="8"/>
        </w:numPr>
        <w:tabs>
          <w:tab w:pos="823" w:val="left" w:leader="none"/>
        </w:tabs>
        <w:spacing w:line="247" w:lineRule="auto" w:before="137" w:after="0"/>
        <w:ind w:left="2070" w:right="205" w:hanging="1968"/>
        <w:jc w:val="both"/>
        <w:rPr>
          <w:sz w:val="21"/>
        </w:rPr>
      </w:pPr>
      <w:r>
        <w:rPr>
          <w:b/>
          <w:spacing w:val="13"/>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8"/>
        </w:numPr>
        <w:tabs>
          <w:tab w:pos="823" w:val="left" w:leader="none"/>
        </w:tabs>
        <w:spacing w:line="247" w:lineRule="auto" w:before="132" w:after="0"/>
        <w:ind w:left="2070" w:right="205" w:hanging="1968"/>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type w:val="continuous"/>
          <w:pgSz w:w="11910" w:h="16840"/>
          <w:pgMar w:top="1400" w:bottom="280" w:left="1280" w:right="960"/>
        </w:sectPr>
      </w:pPr>
    </w:p>
    <w:p>
      <w:pPr>
        <w:pStyle w:val="Heading2"/>
        <w:numPr>
          <w:ilvl w:val="0"/>
          <w:numId w:val="8"/>
        </w:numPr>
        <w:tabs>
          <w:tab w:pos="822" w:val="left" w:leader="none"/>
          <w:tab w:pos="823" w:val="left" w:leader="none"/>
        </w:tabs>
        <w:spacing w:line="247" w:lineRule="auto" w:before="131" w:after="0"/>
        <w:ind w:left="822" w:right="0" w:hanging="720"/>
        <w:jc w:val="left"/>
      </w:pPr>
      <w:r>
        <w:rPr>
          <w:spacing w:val="45"/>
        </w:rPr>
        <w:t>心脏瓣膜手术：</w:t>
      </w:r>
    </w:p>
    <w:p>
      <w:pPr>
        <w:pStyle w:val="ListParagraph"/>
        <w:numPr>
          <w:ilvl w:val="0"/>
          <w:numId w:val="8"/>
        </w:numPr>
        <w:tabs>
          <w:tab w:pos="822" w:val="left" w:leader="none"/>
          <w:tab w:pos="823" w:val="left" w:leader="none"/>
        </w:tabs>
        <w:spacing w:line="247" w:lineRule="auto" w:before="131" w:after="0"/>
        <w:ind w:left="822" w:right="0" w:hanging="720"/>
        <w:jc w:val="left"/>
        <w:rPr>
          <w:b/>
          <w:sz w:val="21"/>
        </w:rPr>
      </w:pPr>
      <w:r>
        <w:rPr>
          <w:b/>
          <w:spacing w:val="45"/>
          <w:sz w:val="21"/>
        </w:rPr>
        <w:t>严重阿尔</w:t>
      </w:r>
      <w:r>
        <w:rPr>
          <w:b/>
          <w:spacing w:val="45"/>
          <w:w w:val="95"/>
          <w:sz w:val="21"/>
        </w:rPr>
        <w:t>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2" w:val="left" w:leader="none"/>
          <w:tab w:pos="823" w:val="left" w:leader="none"/>
        </w:tabs>
        <w:spacing w:line="247" w:lineRule="auto" w:before="0" w:after="0"/>
        <w:ind w:left="822" w:right="0" w:hanging="720"/>
        <w:jc w:val="left"/>
        <w:rPr>
          <w:b/>
          <w:sz w:val="21"/>
        </w:rPr>
      </w:pPr>
      <w:r>
        <w:rPr>
          <w:b/>
          <w:spacing w:val="45"/>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22" w:val="left" w:leader="none"/>
          <w:tab w:pos="823" w:val="left" w:leader="none"/>
        </w:tabs>
        <w:spacing w:line="247" w:lineRule="auto" w:before="0" w:after="0"/>
        <w:ind w:left="822" w:right="0" w:hanging="720"/>
        <w:jc w:val="left"/>
        <w:rPr>
          <w:b/>
          <w:sz w:val="21"/>
        </w:rPr>
      </w:pPr>
      <w:r>
        <w:rPr>
          <w:b/>
          <w:spacing w:val="45"/>
          <w:sz w:val="21"/>
        </w:rPr>
        <w:t>严重帕金森病：</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02"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02"/>
      </w:pPr>
      <w:r>
        <w:rPr/>
        <w:t>神经官能症和精神疾病不在保障范围内。</w:t>
      </w:r>
    </w:p>
    <w:p>
      <w:pPr>
        <w:pStyle w:val="BodyText"/>
        <w:spacing w:line="252" w:lineRule="auto" w:before="137"/>
        <w:ind w:left="102" w:right="101"/>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4"/>
        <w:ind w:left="102"/>
      </w:pPr>
      <w:r>
        <w:rPr/>
        <w:t>（</w:t>
      </w:r>
      <w:r>
        <w:rPr>
          <w:rFonts w:ascii="Times New Roman" w:eastAsia="Times New Roman"/>
        </w:rPr>
        <w:t>1</w:t>
      </w:r>
      <w:r>
        <w:rPr/>
        <w:t>）一肢或一肢以上肢体机能完全丧失；</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628" w:right="135"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2" w:right="207"/>
      </w:pPr>
      <w:r>
        <w:rPr/>
        <w:t>是一种中枢神经系统的退行性疾病，临床表现为震颤麻痹、共济失调等。须满足下列全部条件：</w:t>
      </w:r>
    </w:p>
    <w:p>
      <w:pPr>
        <w:pStyle w:val="BodyText"/>
        <w:spacing w:before="5"/>
        <w:ind w:left="102"/>
      </w:pPr>
      <w:r>
        <w:rPr/>
        <w:t>（</w:t>
      </w:r>
      <w:r>
        <w:rPr>
          <w:rFonts w:ascii="Times New Roman" w:eastAsia="Times New Roman"/>
        </w:rPr>
        <w:t>1</w:t>
      </w:r>
      <w:r>
        <w:rPr/>
        <w:t>）药物治疗无法控制病情；</w:t>
      </w:r>
    </w:p>
    <w:p>
      <w:pPr>
        <w:pStyle w:val="BodyText"/>
        <w:spacing w:line="247" w:lineRule="auto" w:before="8"/>
        <w:ind w:left="628" w:right="135"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02"/>
      </w:pPr>
      <w:r>
        <w:rPr/>
        <w:t>继发性帕金森综合征不在保障范围内。</w:t>
      </w:r>
    </w:p>
    <w:p>
      <w:pPr>
        <w:spacing w:after="0"/>
        <w:sectPr>
          <w:type w:val="continuous"/>
          <w:pgSz w:w="11910" w:h="16840"/>
          <w:pgMar w:top="1400" w:bottom="280" w:left="1280" w:right="960"/>
          <w:cols w:num="2" w:equalWidth="0">
            <w:col w:w="1918" w:space="50"/>
            <w:col w:w="7702"/>
          </w:cols>
        </w:sectPr>
      </w:pPr>
    </w:p>
    <w:p>
      <w:pPr>
        <w:pStyle w:val="Heading2"/>
        <w:numPr>
          <w:ilvl w:val="0"/>
          <w:numId w:val="8"/>
        </w:numPr>
        <w:tabs>
          <w:tab w:pos="823" w:val="left" w:leader="none"/>
        </w:tabs>
        <w:spacing w:line="247" w:lineRule="auto" w:before="14" w:after="0"/>
        <w:ind w:left="822" w:right="0" w:hanging="720"/>
        <w:jc w:val="both"/>
      </w:pPr>
      <w:r>
        <w:rPr>
          <w:spacing w:val="45"/>
        </w:rPr>
        <w:t>严重Ⅲ度烧伤：</w:t>
      </w:r>
    </w:p>
    <w:p>
      <w:pPr>
        <w:pStyle w:val="ListParagraph"/>
        <w:numPr>
          <w:ilvl w:val="0"/>
          <w:numId w:val="8"/>
        </w:numPr>
        <w:tabs>
          <w:tab w:pos="823" w:val="left" w:leader="none"/>
        </w:tabs>
        <w:spacing w:line="254" w:lineRule="auto" w:before="131" w:after="0"/>
        <w:ind w:left="822" w:right="0" w:hanging="720"/>
        <w:jc w:val="both"/>
        <w:rPr>
          <w:b/>
          <w:sz w:val="21"/>
        </w:rPr>
      </w:pPr>
      <w:r>
        <w:rPr>
          <w:b/>
          <w:spacing w:val="45"/>
          <w:sz w:val="21"/>
        </w:rPr>
        <w:t>严重原发性肺动脉高压：</w:t>
      </w:r>
    </w:p>
    <w:p>
      <w:pPr>
        <w:pStyle w:val="ListParagraph"/>
        <w:numPr>
          <w:ilvl w:val="0"/>
          <w:numId w:val="8"/>
        </w:numPr>
        <w:tabs>
          <w:tab w:pos="823" w:val="left" w:leader="none"/>
        </w:tabs>
        <w:spacing w:line="247" w:lineRule="auto" w:before="125" w:after="0"/>
        <w:ind w:left="822" w:right="0" w:hanging="720"/>
        <w:jc w:val="both"/>
        <w:rPr>
          <w:b/>
          <w:sz w:val="21"/>
        </w:rPr>
      </w:pPr>
      <w:r>
        <w:rPr>
          <w:b/>
          <w:spacing w:val="45"/>
          <w:sz w:val="21"/>
        </w:rPr>
        <w:t>严重运动</w:t>
      </w:r>
      <w:r>
        <w:rPr>
          <w:b/>
          <w:spacing w:val="45"/>
          <w:w w:val="95"/>
          <w:sz w:val="21"/>
        </w:rPr>
        <w:t>神经元病：</w:t>
      </w:r>
    </w:p>
    <w:p>
      <w:pPr>
        <w:pStyle w:val="BodyText"/>
        <w:rPr>
          <w:b/>
          <w:sz w:val="20"/>
        </w:rPr>
      </w:pPr>
    </w:p>
    <w:p>
      <w:pPr>
        <w:pStyle w:val="ListParagraph"/>
        <w:numPr>
          <w:ilvl w:val="0"/>
          <w:numId w:val="8"/>
        </w:numPr>
        <w:tabs>
          <w:tab w:pos="823" w:val="left" w:leader="none"/>
        </w:tabs>
        <w:spacing w:line="247" w:lineRule="auto" w:before="169" w:after="0"/>
        <w:ind w:left="822" w:right="0" w:hanging="720"/>
        <w:jc w:val="both"/>
        <w:rPr>
          <w:b/>
          <w:sz w:val="21"/>
        </w:rPr>
      </w:pPr>
      <w:r>
        <w:rPr>
          <w:b/>
          <w:spacing w:val="45"/>
          <w:sz w:val="21"/>
        </w:rPr>
        <w:t>语言能力丧失：</w:t>
      </w:r>
    </w:p>
    <w:p>
      <w:pPr>
        <w:pStyle w:val="BodyText"/>
        <w:rPr>
          <w:b/>
          <w:sz w:val="20"/>
        </w:rPr>
      </w:pPr>
    </w:p>
    <w:p>
      <w:pPr>
        <w:pStyle w:val="ListParagraph"/>
        <w:numPr>
          <w:ilvl w:val="0"/>
          <w:numId w:val="8"/>
        </w:numPr>
        <w:tabs>
          <w:tab w:pos="823" w:val="left" w:leader="none"/>
        </w:tabs>
        <w:spacing w:line="254" w:lineRule="auto" w:before="170" w:after="0"/>
        <w:ind w:left="822" w:right="0" w:hanging="720"/>
        <w:jc w:val="both"/>
        <w:rPr>
          <w:b/>
          <w:sz w:val="21"/>
        </w:rPr>
      </w:pPr>
      <w:r>
        <w:rPr>
          <w:b/>
          <w:spacing w:val="45"/>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23" w:val="left" w:leader="none"/>
        </w:tabs>
        <w:spacing w:line="247" w:lineRule="auto" w:before="1" w:after="0"/>
        <w:ind w:left="822" w:right="0" w:hanging="720"/>
        <w:jc w:val="both"/>
        <w:rPr>
          <w:b/>
          <w:sz w:val="21"/>
        </w:rPr>
      </w:pPr>
      <w:r>
        <w:rPr>
          <w:b/>
          <w:spacing w:val="45"/>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3" w:val="left" w:leader="none"/>
        </w:tabs>
        <w:spacing w:line="247" w:lineRule="auto" w:before="1" w:after="0"/>
        <w:ind w:left="822" w:right="0" w:hanging="720"/>
        <w:jc w:val="both"/>
        <w:rPr>
          <w:b/>
          <w:sz w:val="21"/>
        </w:rPr>
      </w:pPr>
      <w:r>
        <w:rPr>
          <w:b/>
          <w:spacing w:val="45"/>
          <w:sz w:val="21"/>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23" w:val="left" w:leader="none"/>
        </w:tabs>
        <w:spacing w:line="256" w:lineRule="auto" w:before="1" w:after="0"/>
        <w:ind w:left="822" w:right="0" w:hanging="720"/>
        <w:jc w:val="both"/>
        <w:rPr>
          <w:b/>
          <w:sz w:val="21"/>
        </w:rPr>
      </w:pPr>
      <w:r>
        <w:rPr>
          <w:b/>
          <w:spacing w:val="45"/>
          <w:sz w:val="21"/>
        </w:rPr>
        <w:t>经输血导致的人类免疫缺陷</w:t>
      </w:r>
      <w:r>
        <w:rPr>
          <w:b/>
          <w:spacing w:val="45"/>
          <w:w w:val="95"/>
          <w:sz w:val="21"/>
        </w:rPr>
        <w:t>病毒感染：</w:t>
      </w:r>
    </w:p>
    <w:p>
      <w:pPr>
        <w:pStyle w:val="BodyText"/>
        <w:spacing w:line="247" w:lineRule="auto" w:before="14"/>
        <w:ind w:left="102" w:right="207"/>
      </w:pPr>
      <w:r>
        <w:rPr/>
        <w:br w:type="column"/>
      </w: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02" w:right="207"/>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02" w:right="2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9"/>
        <w:ind w:left="102" w:right="207"/>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9"/>
        <w:ind w:left="102"/>
      </w:pPr>
      <w:r>
        <w:rPr/>
        <w:t>精神心理因素所致的语言能力丧失不在保障范围内。</w:t>
      </w:r>
    </w:p>
    <w:p>
      <w:pPr>
        <w:pStyle w:val="BodyText"/>
        <w:spacing w:line="261" w:lineRule="auto" w:before="139"/>
        <w:ind w:left="102" w:right="207"/>
      </w:pPr>
      <w:r>
        <w:rPr/>
        <w:t>指因骨髓造血功能慢性持续性衰竭导致的贫血、中性粒细胞减少及血小板减少。须满足下列全部条件：</w:t>
      </w:r>
    </w:p>
    <w:p>
      <w:pPr>
        <w:pStyle w:val="BodyText"/>
        <w:spacing w:before="6"/>
        <w:ind w:left="102"/>
        <w:jc w:val="both"/>
      </w:pPr>
      <w:r>
        <w:rPr/>
        <w:t>（</w:t>
      </w:r>
      <w:r>
        <w:rPr>
          <w:rFonts w:ascii="Times New Roman" w:eastAsia="Times New Roman"/>
        </w:rPr>
        <w:t>1</w:t>
      </w:r>
      <w:r>
        <w:rPr/>
        <w:t>）骨髓穿刺检查或骨髓活检结果支持诊断；</w:t>
      </w:r>
    </w:p>
    <w:p>
      <w:pPr>
        <w:pStyle w:val="BodyText"/>
        <w:spacing w:before="9"/>
        <w:ind w:left="102"/>
        <w:jc w:val="both"/>
      </w:pPr>
      <w:r>
        <w:rPr/>
        <w:t>（</w:t>
      </w:r>
      <w:r>
        <w:rPr>
          <w:rFonts w:ascii="Times New Roman" w:eastAsia="Times New Roman"/>
        </w:rPr>
        <w:t>2</w:t>
      </w:r>
      <w:r>
        <w:rPr/>
        <w:t>）外周血象须具备以下三项条件：</w:t>
      </w:r>
    </w:p>
    <w:p>
      <w:pPr>
        <w:pStyle w:val="BodyText"/>
        <w:spacing w:before="9"/>
        <w:ind w:left="522"/>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9"/>
        <w:ind w:left="522"/>
      </w:pPr>
      <w:r>
        <w:rPr/>
        <w:t>② 网织红细胞＜</w:t>
      </w:r>
      <w:r>
        <w:rPr>
          <w:rFonts w:ascii="Times New Roman" w:hAnsi="Times New Roman" w:eastAsia="Times New Roman"/>
        </w:rPr>
        <w:t>1%</w:t>
      </w:r>
      <w:r>
        <w:rPr/>
        <w:t>；</w:t>
      </w:r>
    </w:p>
    <w:p>
      <w:pPr>
        <w:pStyle w:val="BodyText"/>
        <w:spacing w:before="9"/>
        <w:ind w:left="522"/>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02" w:right="207"/>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02"/>
      </w:pPr>
      <w:r>
        <w:rPr/>
        <w:t>动脉内血管成形术不在保障范围内。</w:t>
      </w:r>
    </w:p>
    <w:p>
      <w:pPr>
        <w:pStyle w:val="BodyText"/>
        <w:spacing w:line="261" w:lineRule="auto" w:before="137"/>
        <w:ind w:left="102" w:right="207"/>
      </w:pPr>
      <w:r>
        <w:rPr/>
        <w:t>是指被保险人必须由我们认可的医院的呼吸科专科医师确诊患有慢性终末期肺病而出现慢性呼吸功能衰竭，必须满足以下所有条件：</w:t>
      </w:r>
    </w:p>
    <w:p>
      <w:pPr>
        <w:spacing w:line="318" w:lineRule="exact" w:before="5"/>
        <w:ind w:left="102" w:right="0" w:firstLine="0"/>
        <w:jc w:val="both"/>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02"/>
        <w:jc w:val="both"/>
      </w:pPr>
      <w:r>
        <w:rPr/>
        <w:t>（</w:t>
      </w:r>
      <w:r>
        <w:rPr>
          <w:rFonts w:ascii="Times New Roman" w:eastAsia="Times New Roman"/>
        </w:rPr>
        <w:t>2</w:t>
      </w:r>
      <w:r>
        <w:rPr/>
        <w:t>）病人血氧不足必须持续地进行输氧治疗。</w:t>
      </w:r>
    </w:p>
    <w:p>
      <w:pPr>
        <w:pStyle w:val="BodyText"/>
        <w:spacing w:before="10"/>
        <w:ind w:left="102"/>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102"/>
        <w:jc w:val="both"/>
      </w:pPr>
      <w:r>
        <w:rPr/>
        <w:t>（</w:t>
      </w:r>
      <w:r>
        <w:rPr>
          <w:rFonts w:ascii="Times New Roman" w:eastAsia="Times New Roman"/>
        </w:rPr>
        <w:t>4</w:t>
      </w:r>
      <w:r>
        <w:rPr/>
        <w:t>）休息时出现呼吸困难。</w:t>
      </w:r>
    </w:p>
    <w:p>
      <w:pPr>
        <w:pStyle w:val="BodyText"/>
        <w:spacing w:line="261" w:lineRule="auto" w:before="121"/>
        <w:ind w:left="102" w:right="207"/>
      </w:pPr>
      <w:r>
        <w:rPr/>
        <w:t>是一组遗传性肌肉变性性病变，临床特征为与神经系统无关的骨骼肌对称地进行性无力和萎缩，其诊断需同时符合以下条件：</w:t>
      </w:r>
    </w:p>
    <w:p>
      <w:pPr>
        <w:pStyle w:val="BodyText"/>
        <w:spacing w:before="5"/>
        <w:ind w:left="102"/>
      </w:pPr>
      <w:r>
        <w:rPr/>
        <w:t>（</w:t>
      </w:r>
      <w:r>
        <w:rPr>
          <w:rFonts w:ascii="Times New Roman" w:eastAsia="Times New Roman"/>
        </w:rPr>
        <w:t>1</w:t>
      </w:r>
      <w:r>
        <w:rPr/>
        <w:t>）肌电图显示典型肌营养不良症的阳性改变；</w:t>
      </w:r>
    </w:p>
    <w:p>
      <w:pPr>
        <w:pStyle w:val="BodyText"/>
        <w:spacing w:before="8"/>
        <w:ind w:left="102"/>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8"/>
        <w:ind w:left="628" w:right="135"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02" w:right="207"/>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9"/>
        <w:ind w:left="102"/>
      </w:pPr>
      <w:r>
        <w:rPr/>
        <w:t>是指被保险人感染上人类免疫缺陷病毒并且符合下列所有条件：</w:t>
      </w:r>
    </w:p>
    <w:p>
      <w:pPr>
        <w:pStyle w:val="BodyText"/>
        <w:spacing w:line="247" w:lineRule="auto" w:before="25"/>
        <w:ind w:left="628" w:right="134"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28" w:right="137"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spacing w:after="0" w:line="247" w:lineRule="auto"/>
        <w:sectPr>
          <w:pgSz w:w="11910" w:h="16840"/>
          <w:pgMar w:top="1420" w:bottom="280" w:left="1280" w:right="960"/>
          <w:cols w:num="2" w:equalWidth="0">
            <w:col w:w="1917" w:space="51"/>
            <w:col w:w="7702"/>
          </w:cols>
        </w:sectPr>
      </w:pPr>
    </w:p>
    <w:p>
      <w:pPr>
        <w:pStyle w:val="BodyText"/>
        <w:spacing w:before="14"/>
        <w:ind w:left="2070"/>
      </w:pPr>
      <w:r>
        <w:rPr/>
        <w:t>（</w:t>
      </w:r>
      <w:r>
        <w:rPr>
          <w:rFonts w:ascii="Times New Roman" w:eastAsia="Times New Roman"/>
        </w:rPr>
        <w:t>3</w:t>
      </w:r>
      <w:r>
        <w:rPr/>
        <w:t>）提供输血治疗的输血中心或医院必须拥有合法经营执照；</w:t>
      </w:r>
    </w:p>
    <w:p>
      <w:pPr>
        <w:pStyle w:val="BodyText"/>
        <w:spacing w:before="8"/>
        <w:ind w:left="2070"/>
      </w:pPr>
      <w:r>
        <w:rPr/>
        <w:t>（</w:t>
      </w:r>
      <w:r>
        <w:rPr>
          <w:rFonts w:ascii="Times New Roman" w:eastAsia="Times New Roman"/>
        </w:rPr>
        <w:t>4</w:t>
      </w:r>
      <w:r>
        <w:rPr/>
        <w:t>）受感染的被保险人不是血友病患者；</w:t>
      </w:r>
    </w:p>
    <w:p>
      <w:pPr>
        <w:pStyle w:val="BodyText"/>
        <w:spacing w:line="261" w:lineRule="auto" w:before="8"/>
        <w:ind w:left="2070" w:right="187"/>
      </w:pPr>
      <w:r>
        <w:rPr/>
        <w:t>在任何治愈艾滋病或阻止人类免疫缺陷病毒病毒作用的疗法被发现以后，或能防止艾滋病发生的医疗方法被研究出来以后，本保障将不再予以赔付。</w:t>
      </w:r>
    </w:p>
    <w:p>
      <w:pPr>
        <w:pStyle w:val="BodyText"/>
        <w:spacing w:line="261" w:lineRule="auto" w:before="5"/>
        <w:ind w:left="2070" w:right="187"/>
      </w:pPr>
      <w:r>
        <w:rPr/>
        <w:t>任何因其他传播方式（包括：性传播或静脉注射毒品）导致的人类免疫缺陷病毒感染不在本保单保障范围内。</w:t>
      </w:r>
    </w:p>
    <w:p>
      <w:pPr>
        <w:pStyle w:val="BodyText"/>
        <w:spacing w:line="261" w:lineRule="auto" w:before="5"/>
        <w:ind w:left="2070" w:right="187"/>
      </w:pPr>
      <w:r>
        <w:rPr/>
        <w:t>保险公司必须拥有获得使用被保险人的血液样本的权利和能够对这些样本进行独立检验的权利。</w:t>
      </w:r>
    </w:p>
    <w:p>
      <w:pPr>
        <w:pStyle w:val="BodyText"/>
        <w:spacing w:line="247" w:lineRule="auto" w:before="118"/>
        <w:ind w:left="2070" w:right="187" w:hanging="1968"/>
        <w:jc w:val="both"/>
      </w:pPr>
      <w:r>
        <w:rPr>
          <w:b/>
          <w:spacing w:val="-26"/>
        </w:rPr>
        <w:t>注 </w:t>
      </w:r>
      <w:r>
        <w:rPr>
          <w:rFonts w:ascii="Times New Roman" w:eastAsia="Times New Roman"/>
          <w:b/>
        </w:rPr>
        <w:t>1.</w:t>
      </w:r>
      <w:r>
        <w:rPr>
          <w:rFonts w:ascii="Times New Roman" w:eastAsia="Times New Roman"/>
          <w:b/>
          <w:spacing w:val="15"/>
        </w:rPr>
        <w:t>  </w:t>
      </w:r>
      <w:r>
        <w:rPr>
          <w:b/>
          <w:spacing w:val="11"/>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pgSz w:w="11910" w:h="16840"/>
          <w:pgMar w:top="1420" w:bottom="280" w:left="1280" w:right="980"/>
        </w:sectPr>
      </w:pPr>
    </w:p>
    <w:p>
      <w:pPr>
        <w:pStyle w:val="Heading2"/>
        <w:tabs>
          <w:tab w:pos="822" w:val="left" w:leader="none"/>
        </w:tabs>
        <w:spacing w:before="131"/>
        <w:ind w:left="102" w:firstLine="0"/>
        <w:jc w:val="left"/>
      </w:pPr>
      <w:r>
        <w:rPr/>
        <w:t>注</w:t>
      </w:r>
      <w:r>
        <w:rPr>
          <w:spacing w:val="-53"/>
        </w:rPr>
        <w:t> </w:t>
      </w:r>
      <w:r>
        <w:rPr>
          <w:rFonts w:ascii="Times New Roman" w:eastAsia="Times New Roman"/>
        </w:rPr>
        <w:t>2.</w:t>
        <w:tab/>
      </w:r>
      <w:r>
        <w:rPr>
          <w:spacing w:val="61"/>
          <w:w w:val="95"/>
        </w:rPr>
        <w:t>语言能</w:t>
      </w:r>
      <w:r>
        <w:rPr>
          <w:w w:val="95"/>
        </w:rPr>
        <w:t>力</w:t>
      </w:r>
      <w:r>
        <w:rPr>
          <w:spacing w:val="-43"/>
        </w:rPr>
        <w:t> </w:t>
      </w:r>
    </w:p>
    <w:p>
      <w:pPr>
        <w:spacing w:line="261" w:lineRule="auto" w:before="9"/>
        <w:ind w:left="822" w:right="0" w:firstLine="0"/>
        <w:jc w:val="both"/>
        <w:rPr>
          <w:b/>
          <w:sz w:val="21"/>
        </w:rPr>
      </w:pPr>
      <w:r>
        <w:rPr>
          <w:b/>
          <w:sz w:val="21"/>
        </w:rPr>
        <w:t>或咀嚼吞咽能力完全丧失</w:t>
      </w:r>
    </w:p>
    <w:p>
      <w:pPr>
        <w:tabs>
          <w:tab w:pos="822" w:val="left" w:leader="none"/>
        </w:tabs>
        <w:spacing w:before="119"/>
        <w:ind w:left="102" w:right="0" w:firstLine="0"/>
        <w:jc w:val="left"/>
        <w:rPr>
          <w:b/>
          <w:sz w:val="21"/>
        </w:rPr>
      </w:pPr>
      <w:r>
        <w:rPr>
          <w:b/>
          <w:sz w:val="21"/>
        </w:rPr>
        <w:t>注</w:t>
      </w:r>
      <w:r>
        <w:rPr>
          <w:b/>
          <w:spacing w:val="-53"/>
          <w:sz w:val="21"/>
        </w:rPr>
        <w:t> </w:t>
      </w:r>
      <w:r>
        <w:rPr>
          <w:rFonts w:ascii="Times New Roman" w:eastAsia="Times New Roman"/>
          <w:b/>
          <w:sz w:val="21"/>
        </w:rPr>
        <w:t>3.</w:t>
        <w:tab/>
      </w:r>
      <w:r>
        <w:rPr>
          <w:b/>
          <w:spacing w:val="61"/>
          <w:w w:val="95"/>
          <w:sz w:val="21"/>
        </w:rPr>
        <w:t>六项基</w:t>
      </w:r>
      <w:r>
        <w:rPr>
          <w:b/>
          <w:w w:val="95"/>
          <w:sz w:val="21"/>
        </w:rPr>
        <w:t>本</w:t>
      </w:r>
      <w:r>
        <w:rPr>
          <w:b/>
          <w:spacing w:val="-43"/>
          <w:sz w:val="21"/>
        </w:rPr>
        <w:t> </w:t>
      </w:r>
    </w:p>
    <w:p>
      <w:pPr>
        <w:spacing w:line="261" w:lineRule="auto" w:before="9"/>
        <w:ind w:left="822" w:right="0" w:firstLine="0"/>
        <w:jc w:val="both"/>
        <w:rPr>
          <w:b/>
          <w:sz w:val="21"/>
        </w:rPr>
      </w:pPr>
      <w:r>
        <w:rPr>
          <w:b/>
          <w:sz w:val="21"/>
        </w:rPr>
        <w:t>日常生活活动：</w:t>
      </w:r>
    </w:p>
    <w:p>
      <w:pPr>
        <w:pStyle w:val="BodyText"/>
        <w:rPr>
          <w:b/>
          <w:sz w:val="20"/>
        </w:rPr>
      </w:pPr>
    </w:p>
    <w:p>
      <w:pPr>
        <w:tabs>
          <w:tab w:pos="822" w:val="left" w:leader="none"/>
        </w:tabs>
        <w:spacing w:before="158"/>
        <w:ind w:left="102" w:right="0" w:firstLine="0"/>
        <w:jc w:val="left"/>
        <w:rPr>
          <w:b/>
          <w:sz w:val="21"/>
        </w:rPr>
      </w:pPr>
      <w:r>
        <w:rPr>
          <w:b/>
          <w:sz w:val="21"/>
        </w:rPr>
        <w:t>注</w:t>
      </w:r>
      <w:r>
        <w:rPr>
          <w:b/>
          <w:spacing w:val="-53"/>
          <w:sz w:val="21"/>
        </w:rPr>
        <w:t> </w:t>
      </w:r>
      <w:r>
        <w:rPr>
          <w:rFonts w:ascii="Times New Roman" w:eastAsia="Times New Roman"/>
          <w:b/>
          <w:sz w:val="21"/>
        </w:rPr>
        <w:t>4.</w:t>
        <w:tab/>
      </w:r>
      <w:r>
        <w:rPr>
          <w:b/>
          <w:spacing w:val="61"/>
          <w:w w:val="95"/>
          <w:sz w:val="21"/>
        </w:rPr>
        <w:t>肢体机</w:t>
      </w:r>
      <w:r>
        <w:rPr>
          <w:b/>
          <w:w w:val="95"/>
          <w:sz w:val="21"/>
        </w:rPr>
        <w:t>能</w:t>
      </w:r>
      <w:r>
        <w:rPr>
          <w:b/>
          <w:spacing w:val="-43"/>
          <w:sz w:val="21"/>
        </w:rPr>
        <w:t> </w:t>
      </w:r>
    </w:p>
    <w:p>
      <w:pPr>
        <w:tabs>
          <w:tab w:pos="822" w:val="left" w:leader="none"/>
        </w:tabs>
        <w:spacing w:line="360" w:lineRule="auto" w:before="9"/>
        <w:ind w:left="102" w:right="0" w:firstLine="719"/>
        <w:jc w:val="left"/>
        <w:rPr>
          <w:b/>
          <w:sz w:val="21"/>
        </w:rPr>
      </w:pPr>
      <w:r>
        <w:rPr>
          <w:b/>
          <w:sz w:val="21"/>
        </w:rPr>
        <w:t>完全丧失： 注</w:t>
      </w:r>
      <w:r>
        <w:rPr>
          <w:b/>
          <w:spacing w:val="-53"/>
          <w:sz w:val="21"/>
        </w:rPr>
        <w:t> </w:t>
      </w:r>
      <w:r>
        <w:rPr>
          <w:rFonts w:ascii="Times New Roman" w:eastAsia="Times New Roman"/>
          <w:b/>
          <w:sz w:val="21"/>
        </w:rPr>
        <w:t>5.</w:t>
        <w:tab/>
      </w:r>
      <w:r>
        <w:rPr>
          <w:b/>
          <w:spacing w:val="61"/>
          <w:w w:val="95"/>
          <w:sz w:val="21"/>
        </w:rPr>
        <w:t>永久不</w:t>
      </w:r>
      <w:r>
        <w:rPr>
          <w:b/>
          <w:w w:val="95"/>
          <w:sz w:val="21"/>
        </w:rPr>
        <w:t>可</w:t>
      </w:r>
      <w:r>
        <w:rPr>
          <w:b/>
          <w:spacing w:val="-43"/>
          <w:sz w:val="21"/>
        </w:rPr>
        <w:t> </w:t>
      </w:r>
    </w:p>
    <w:p>
      <w:pPr>
        <w:spacing w:line="168" w:lineRule="exact" w:before="0"/>
        <w:ind w:left="802" w:right="652" w:firstLine="0"/>
        <w:jc w:val="center"/>
        <w:rPr>
          <w:b/>
          <w:sz w:val="21"/>
        </w:rPr>
      </w:pPr>
      <w:r>
        <w:rPr>
          <w:b/>
          <w:sz w:val="21"/>
        </w:rPr>
        <w:t>逆：</w:t>
      </w:r>
    </w:p>
    <w:p>
      <w:pPr>
        <w:pStyle w:val="BodyText"/>
        <w:spacing w:line="261" w:lineRule="auto" w:before="131"/>
        <w:ind w:left="102" w:right="187"/>
      </w:pPr>
      <w:r>
        <w:rPr/>
        <w:br w:type="column"/>
      </w: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18"/>
        <w:ind w:left="102" w:right="11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1"/>
        <w:ind w:left="102"/>
      </w:pPr>
      <w:r>
        <w:rPr/>
        <w:t>（</w:t>
      </w:r>
      <w:r>
        <w:rPr>
          <w:rFonts w:ascii="Times New Roman" w:eastAsia="Times New Roman"/>
        </w:rPr>
        <w:t>6</w:t>
      </w:r>
      <w:r>
        <w:rPr/>
        <w:t>）洗澡：自己进行淋浴或盆浴。</w:t>
      </w:r>
    </w:p>
    <w:p>
      <w:pPr>
        <w:pStyle w:val="BodyText"/>
        <w:spacing w:line="261" w:lineRule="auto" w:before="122"/>
        <w:ind w:left="102" w:right="187"/>
      </w:pPr>
      <w:r>
        <w:rPr/>
        <w:t>指肢体的三大关节中的两大关节僵硬，或不能随意识活动。肢体是指包括肩关节的整个上肢或包括髋关节的整个下肢。</w:t>
      </w:r>
    </w:p>
    <w:p>
      <w:pPr>
        <w:pStyle w:val="BodyText"/>
        <w:spacing w:line="247" w:lineRule="auto" w:before="118"/>
        <w:ind w:left="102" w:right="142"/>
      </w:pPr>
      <w:r>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2"/>
      </w:pPr>
    </w:p>
    <w:p>
      <w:pPr>
        <w:pStyle w:val="BodyText"/>
        <w:spacing w:before="1"/>
        <w:ind w:left="1865"/>
      </w:pPr>
      <w:r>
        <w:rPr/>
        <w:t>（条款全文结束）</w:t>
      </w:r>
    </w:p>
    <w:sectPr>
      <w:type w:val="continuous"/>
      <w:pgSz w:w="11910" w:h="16840"/>
      <w:pgMar w:top="1400" w:bottom="280" w:left="1280" w:right="980"/>
      <w:cols w:num="2" w:equalWidth="0">
        <w:col w:w="1917" w:space="51"/>
        <w:col w:w="76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90"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720" w:hanging="721"/>
      </w:pPr>
      <w:rPr>
        <w:rFonts w:hint="default"/>
      </w:rPr>
    </w:lvl>
    <w:lvl w:ilvl="2">
      <w:start w:val="0"/>
      <w:numFmt w:val="bullet"/>
      <w:lvlText w:val="•"/>
      <w:lvlJc w:val="left"/>
      <w:pPr>
        <w:ind w:left="3504" w:hanging="721"/>
      </w:pPr>
      <w:rPr>
        <w:rFonts w:hint="default"/>
      </w:rPr>
    </w:lvl>
    <w:lvl w:ilvl="3">
      <w:start w:val="0"/>
      <w:numFmt w:val="bullet"/>
      <w:lvlText w:val="•"/>
      <w:lvlJc w:val="left"/>
      <w:pPr>
        <w:ind w:left="4289" w:hanging="721"/>
      </w:pPr>
      <w:rPr>
        <w:rFonts w:hint="default"/>
      </w:rPr>
    </w:lvl>
    <w:lvl w:ilvl="4">
      <w:start w:val="0"/>
      <w:numFmt w:val="bullet"/>
      <w:lvlText w:val="•"/>
      <w:lvlJc w:val="left"/>
      <w:pPr>
        <w:ind w:left="5074" w:hanging="721"/>
      </w:pPr>
      <w:rPr>
        <w:rFonts w:hint="default"/>
      </w:rPr>
    </w:lvl>
    <w:lvl w:ilvl="5">
      <w:start w:val="0"/>
      <w:numFmt w:val="bullet"/>
      <w:lvlText w:val="•"/>
      <w:lvlJc w:val="left"/>
      <w:pPr>
        <w:ind w:left="5859" w:hanging="721"/>
      </w:pPr>
      <w:rPr>
        <w:rFonts w:hint="default"/>
      </w:rPr>
    </w:lvl>
    <w:lvl w:ilvl="6">
      <w:start w:val="0"/>
      <w:numFmt w:val="bullet"/>
      <w:lvlText w:val="•"/>
      <w:lvlJc w:val="left"/>
      <w:pPr>
        <w:ind w:left="6644" w:hanging="721"/>
      </w:pPr>
      <w:rPr>
        <w:rFonts w:hint="default"/>
      </w:rPr>
    </w:lvl>
    <w:lvl w:ilvl="7">
      <w:start w:val="0"/>
      <w:numFmt w:val="bullet"/>
      <w:lvlText w:val="•"/>
      <w:lvlJc w:val="left"/>
      <w:pPr>
        <w:ind w:left="7429" w:hanging="721"/>
      </w:pPr>
      <w:rPr>
        <w:rFonts w:hint="default"/>
      </w:rPr>
    </w:lvl>
    <w:lvl w:ilvl="8">
      <w:start w:val="0"/>
      <w:numFmt w:val="bullet"/>
      <w:lvlText w:val="•"/>
      <w:lvlJc w:val="left"/>
      <w:pPr>
        <w:ind w:left="8214" w:hanging="721"/>
      </w:pPr>
      <w:rPr>
        <w:rFonts w:hint="default"/>
      </w:rPr>
    </w:lvl>
  </w:abstractNum>
  <w:abstractNum w:abstractNumId="6">
    <w:multiLevelType w:val="hybridMultilevel"/>
    <w:lvl w:ilvl="0">
      <w:start w:val="5"/>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43"/>
        <w:w w:val="99"/>
        <w:sz w:val="21"/>
        <w:szCs w:val="21"/>
      </w:rPr>
    </w:lvl>
    <w:lvl w:ilvl="2">
      <w:start w:val="0"/>
      <w:numFmt w:val="bullet"/>
      <w:lvlText w:val="•"/>
      <w:lvlJc w:val="left"/>
      <w:pPr>
        <w:ind w:left="1159" w:hanging="721"/>
      </w:pPr>
      <w:rPr>
        <w:rFonts w:hint="default"/>
      </w:rPr>
    </w:lvl>
    <w:lvl w:ilvl="3">
      <w:start w:val="0"/>
      <w:numFmt w:val="bullet"/>
      <w:lvlText w:val="•"/>
      <w:lvlJc w:val="left"/>
      <w:pPr>
        <w:ind w:left="1269" w:hanging="721"/>
      </w:pPr>
      <w:rPr>
        <w:rFonts w:hint="default"/>
      </w:rPr>
    </w:lvl>
    <w:lvl w:ilvl="4">
      <w:start w:val="0"/>
      <w:numFmt w:val="bullet"/>
      <w:lvlText w:val="•"/>
      <w:lvlJc w:val="left"/>
      <w:pPr>
        <w:ind w:left="1378" w:hanging="721"/>
      </w:pPr>
      <w:rPr>
        <w:rFonts w:hint="default"/>
      </w:rPr>
    </w:lvl>
    <w:lvl w:ilvl="5">
      <w:start w:val="0"/>
      <w:numFmt w:val="bullet"/>
      <w:lvlText w:val="•"/>
      <w:lvlJc w:val="left"/>
      <w:pPr>
        <w:ind w:left="1488" w:hanging="721"/>
      </w:pPr>
      <w:rPr>
        <w:rFonts w:hint="default"/>
      </w:rPr>
    </w:lvl>
    <w:lvl w:ilvl="6">
      <w:start w:val="0"/>
      <w:numFmt w:val="bullet"/>
      <w:lvlText w:val="•"/>
      <w:lvlJc w:val="left"/>
      <w:pPr>
        <w:ind w:left="1598" w:hanging="721"/>
      </w:pPr>
      <w:rPr>
        <w:rFonts w:hint="default"/>
      </w:rPr>
    </w:lvl>
    <w:lvl w:ilvl="7">
      <w:start w:val="0"/>
      <w:numFmt w:val="bullet"/>
      <w:lvlText w:val="•"/>
      <w:lvlJc w:val="left"/>
      <w:pPr>
        <w:ind w:left="1707" w:hanging="721"/>
      </w:pPr>
      <w:rPr>
        <w:rFonts w:hint="default"/>
      </w:rPr>
    </w:lvl>
    <w:lvl w:ilvl="8">
      <w:start w:val="0"/>
      <w:numFmt w:val="bullet"/>
      <w:lvlText w:val="•"/>
      <w:lvlJc w:val="left"/>
      <w:pPr>
        <w:ind w:left="1817" w:hanging="721"/>
      </w:pPr>
      <w:rPr>
        <w:rFonts w:hint="default"/>
      </w:rPr>
    </w:lvl>
  </w:abstractNum>
  <w:abstractNum w:abstractNumId="5">
    <w:multiLevelType w:val="hybridMultilevel"/>
    <w:lvl w:ilvl="0">
      <w:start w:val="4"/>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3">
    <w:multiLevelType w:val="hybridMultilevel"/>
    <w:lvl w:ilvl="0">
      <w:start w:val="2"/>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2">
    <w:multiLevelType w:val="hybridMultilevel"/>
    <w:lvl w:ilvl="0">
      <w:start w:val="1"/>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60" w:hanging="420"/>
      </w:pPr>
      <w:rPr>
        <w:rFonts w:hint="default"/>
      </w:rPr>
    </w:lvl>
    <w:lvl w:ilvl="2">
      <w:start w:val="0"/>
      <w:numFmt w:val="bullet"/>
      <w:lvlText w:val="•"/>
      <w:lvlJc w:val="left"/>
      <w:pPr>
        <w:ind w:left="2380" w:hanging="420"/>
      </w:pPr>
      <w:rPr>
        <w:rFonts w:hint="default"/>
      </w:rPr>
    </w:lvl>
    <w:lvl w:ilvl="3">
      <w:start w:val="0"/>
      <w:numFmt w:val="bullet"/>
      <w:lvlText w:val="•"/>
      <w:lvlJc w:val="left"/>
      <w:pPr>
        <w:ind w:left="3301" w:hanging="420"/>
      </w:pPr>
      <w:rPr>
        <w:rFonts w:hint="default"/>
      </w:rPr>
    </w:lvl>
    <w:lvl w:ilvl="4">
      <w:start w:val="0"/>
      <w:numFmt w:val="bullet"/>
      <w:lvlText w:val="•"/>
      <w:lvlJc w:val="left"/>
      <w:pPr>
        <w:ind w:left="4221"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6062" w:hanging="420"/>
      </w:pPr>
      <w:rPr>
        <w:rFonts w:hint="default"/>
      </w:rPr>
    </w:lvl>
    <w:lvl w:ilvl="7">
      <w:start w:val="0"/>
      <w:numFmt w:val="bullet"/>
      <w:lvlText w:val="•"/>
      <w:lvlJc w:val="left"/>
      <w:pPr>
        <w:ind w:left="6983" w:hanging="420"/>
      </w:pPr>
      <w:rPr>
        <w:rFonts w:hint="default"/>
      </w:rPr>
    </w:lvl>
    <w:lvl w:ilvl="8">
      <w:start w:val="0"/>
      <w:numFmt w:val="bullet"/>
      <w:lvlText w:val="•"/>
      <w:lvlJc w:val="left"/>
      <w:pPr>
        <w:ind w:left="7903"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784"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776" w:hanging="369"/>
      </w:pPr>
      <w:rPr>
        <w:rFonts w:hint="default"/>
      </w:rPr>
    </w:lvl>
    <w:lvl w:ilvl="3">
      <w:start w:val="0"/>
      <w:numFmt w:val="bullet"/>
      <w:lvlText w:val="•"/>
      <w:lvlJc w:val="left"/>
      <w:pPr>
        <w:ind w:left="2772" w:hanging="369"/>
      </w:pPr>
      <w:rPr>
        <w:rFonts w:hint="default"/>
      </w:rPr>
    </w:lvl>
    <w:lvl w:ilvl="4">
      <w:start w:val="0"/>
      <w:numFmt w:val="bullet"/>
      <w:lvlText w:val="•"/>
      <w:lvlJc w:val="left"/>
      <w:pPr>
        <w:ind w:left="3768" w:hanging="369"/>
      </w:pPr>
      <w:rPr>
        <w:rFonts w:hint="default"/>
      </w:rPr>
    </w:lvl>
    <w:lvl w:ilvl="5">
      <w:start w:val="0"/>
      <w:numFmt w:val="bullet"/>
      <w:lvlText w:val="•"/>
      <w:lvlJc w:val="left"/>
      <w:pPr>
        <w:ind w:left="4764" w:hanging="369"/>
      </w:pPr>
      <w:rPr>
        <w:rFonts w:hint="default"/>
      </w:rPr>
    </w:lvl>
    <w:lvl w:ilvl="6">
      <w:start w:val="0"/>
      <w:numFmt w:val="bullet"/>
      <w:lvlText w:val="•"/>
      <w:lvlJc w:val="left"/>
      <w:pPr>
        <w:ind w:left="5760" w:hanging="369"/>
      </w:pPr>
      <w:rPr>
        <w:rFonts w:hint="default"/>
      </w:rPr>
    </w:lvl>
    <w:lvl w:ilvl="7">
      <w:start w:val="0"/>
      <w:numFmt w:val="bullet"/>
      <w:lvlText w:val="•"/>
      <w:lvlJc w:val="left"/>
      <w:pPr>
        <w:ind w:left="6756" w:hanging="369"/>
      </w:pPr>
      <w:rPr>
        <w:rFonts w:hint="default"/>
      </w:rPr>
    </w:lvl>
    <w:lvl w:ilvl="8">
      <w:start w:val="0"/>
      <w:numFmt w:val="bullet"/>
      <w:lvlText w:val="•"/>
      <w:lvlJc w:val="left"/>
      <w:pPr>
        <w:ind w:left="7752"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30"/>
      <w:szCs w:val="30"/>
    </w:rPr>
  </w:style>
  <w:style w:styleId="Heading2" w:type="paragraph">
    <w:name w:val="Heading 2"/>
    <w:basedOn w:val="Normal"/>
    <w:uiPriority w:val="1"/>
    <w:qFormat/>
    <w:pPr>
      <w:ind w:left="822" w:hanging="720"/>
      <w:jc w:val="both"/>
      <w:outlineLvl w:val="2"/>
    </w:pPr>
    <w:rPr>
      <w:rFonts w:ascii="宋体" w:hAnsi="宋体" w:eastAsia="宋体" w:cs="宋体"/>
      <w:b/>
      <w:bCs/>
      <w:sz w:val="21"/>
      <w:szCs w:val="21"/>
    </w:rPr>
  </w:style>
  <w:style w:styleId="ListParagraph" w:type="paragraph">
    <w:name w:val="List Paragraph"/>
    <w:basedOn w:val="Normal"/>
    <w:uiPriority w:val="1"/>
    <w:qFormat/>
    <w:pPr>
      <w:spacing w:before="48"/>
      <w:ind w:left="822"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2018-10-19T22:41:01Z</dcterms:created>
  <dcterms:modified xsi:type="dcterms:W3CDTF">2018-10-19T22:41:01Z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