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431" w:lineRule="exact"/>
      </w:pPr>
      <w:r>
        <w:rPr/>
        <w:t>珠江附加豁免保险费重大疾病保险条款</w:t>
      </w:r>
    </w:p>
    <w:p>
      <w:pPr>
        <w:spacing w:before="71"/>
        <w:ind w:left="657" w:right="777"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105"/>
        <w:ind w:left="661" w:right="777"/>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w:t>
      </w:r>
      <w:r>
        <w:rPr>
          <w:spacing w:val="-63"/>
          <w:w w:val="100"/>
          <w:position w:val="-7"/>
        </w:rPr>
        <w:t>．</w:t>
      </w:r>
      <w:r>
        <w:rPr>
          <w:spacing w:val="-152"/>
          <w:w w:val="100"/>
        </w:rPr>
        <w:t>投</w:t>
      </w:r>
      <w:r>
        <w:rPr>
          <w:spacing w:val="-63"/>
          <w:w w:val="100"/>
          <w:position w:val="-7"/>
        </w:rPr>
        <w:t>．</w:t>
      </w:r>
      <w:r>
        <w:rPr>
          <w:spacing w:val="-149"/>
          <w:w w:val="100"/>
        </w:rPr>
        <w:t>保</w:t>
      </w:r>
      <w:r>
        <w:rPr>
          <w:spacing w:val="-63"/>
          <w:w w:val="100"/>
          <w:position w:val="-7"/>
        </w:rPr>
        <w:t>．</w:t>
      </w:r>
      <w:r>
        <w:rPr>
          <w:spacing w:val="-149"/>
          <w:w w:val="100"/>
        </w:rPr>
        <w:t>人</w:t>
      </w:r>
      <w:r>
        <w:rPr>
          <w:spacing w:val="-63"/>
          <w:w w:val="100"/>
          <w:position w:val="-7"/>
        </w:rPr>
        <w:t>．</w:t>
      </w:r>
      <w:r>
        <w:rPr>
          <w:spacing w:val="-152"/>
          <w:w w:val="100"/>
        </w:rPr>
        <w:t>，</w:t>
      </w:r>
      <w:r>
        <w:rPr>
          <w:spacing w:val="-63"/>
          <w:w w:val="100"/>
          <w:position w:val="-7"/>
        </w:rPr>
        <w:t>．</w:t>
      </w:r>
      <w:r>
        <w:rPr>
          <w:spacing w:val="-149"/>
          <w:w w:val="100"/>
        </w:rPr>
        <w:t>以</w:t>
      </w:r>
      <w:r>
        <w:rPr>
          <w:spacing w:val="-63"/>
          <w:w w:val="100"/>
          <w:position w:val="-7"/>
        </w:rPr>
        <w:t>．</w:t>
      </w:r>
      <w:r>
        <w:rPr>
          <w:spacing w:val="-152"/>
          <w:w w:val="100"/>
        </w:rPr>
        <w:t>下</w:t>
      </w:r>
      <w:r>
        <w:rPr>
          <w:spacing w:val="-63"/>
          <w:w w:val="100"/>
          <w:position w:val="-7"/>
        </w:rPr>
        <w:t>．</w:t>
      </w:r>
      <w:r>
        <w:rPr>
          <w:spacing w:val="-149"/>
          <w:w w:val="100"/>
        </w:rPr>
        <w:t>含</w:t>
      </w:r>
      <w:r>
        <w:rPr>
          <w:spacing w:val="-63"/>
          <w:w w:val="100"/>
          <w:position w:val="-7"/>
        </w:rPr>
        <w:t>．</w:t>
      </w:r>
      <w:r>
        <w:rPr>
          <w:spacing w:val="-152"/>
          <w:w w:val="100"/>
        </w:rPr>
        <w:t>义</w:t>
      </w:r>
      <w:r>
        <w:rPr>
          <w:spacing w:val="-63"/>
          <w:w w:val="100"/>
          <w:position w:val="-7"/>
        </w:rPr>
        <w:t>．</w:t>
      </w:r>
      <w:r>
        <w:rPr>
          <w:spacing w:val="-149"/>
          <w:w w:val="100"/>
        </w:rPr>
        <w:t>相</w:t>
      </w:r>
      <w:r>
        <w:rPr>
          <w:spacing w:val="-63"/>
          <w:w w:val="100"/>
          <w:position w:val="-7"/>
        </w:rPr>
        <w:t>．</w:t>
      </w:r>
      <w:r>
        <w:rPr>
          <w:spacing w:val="-152"/>
          <w:w w:val="100"/>
        </w:rPr>
        <w:t>同</w:t>
      </w:r>
      <w:r>
        <w:rPr>
          <w:spacing w:val="-63"/>
          <w:w w:val="100"/>
          <w:position w:val="-7"/>
        </w:rPr>
        <w:t>．</w:t>
      </w:r>
      <w:r>
        <w:rPr>
          <w:spacing w:val="-149"/>
          <w:w w:val="100"/>
        </w:rPr>
        <w:t>）</w:t>
      </w:r>
      <w:r>
        <w:rPr>
          <w:spacing w:val="-63"/>
          <w:w w:val="100"/>
          <w:position w:val="-7"/>
        </w:rPr>
        <w:t>．</w:t>
      </w:r>
      <w:r>
        <w:rPr>
          <w:spacing w:val="-152"/>
          <w:w w:val="100"/>
        </w:rPr>
        <w:t>理</w:t>
      </w:r>
      <w:r>
        <w:rPr>
          <w:spacing w:val="-63"/>
          <w:w w:val="100"/>
          <w:position w:val="-7"/>
        </w:rPr>
        <w:t>．</w:t>
      </w:r>
      <w:r>
        <w:rPr>
          <w:spacing w:val="-149"/>
          <w:w w:val="100"/>
        </w:rPr>
        <w:t>解</w:t>
      </w:r>
      <w:r>
        <w:rPr>
          <w:spacing w:val="-63"/>
          <w:w w:val="100"/>
          <w:position w:val="-7"/>
        </w:rPr>
        <w:t>．</w:t>
      </w:r>
      <w:r>
        <w:rPr>
          <w:spacing w:val="-149"/>
          <w:w w:val="100"/>
        </w:rPr>
        <w:t>条</w:t>
      </w:r>
      <w:r>
        <w:rPr>
          <w:spacing w:val="-63"/>
          <w:w w:val="100"/>
          <w:position w:val="-7"/>
        </w:rPr>
        <w:t>．</w:t>
      </w:r>
      <w:r>
        <w:rPr>
          <w:spacing w:val="-152"/>
          <w:w w:val="100"/>
        </w:rPr>
        <w:t>款</w:t>
      </w:r>
      <w:r>
        <w:rPr>
          <w:spacing w:val="-63"/>
          <w:w w:val="100"/>
          <w:position w:val="-7"/>
        </w:rPr>
        <w:t>．</w:t>
      </w:r>
      <w:r>
        <w:rPr>
          <w:spacing w:val="-149"/>
          <w:w w:val="100"/>
        </w:rPr>
        <w:t>，</w:t>
      </w:r>
      <w:r>
        <w:rPr>
          <w:spacing w:val="-63"/>
          <w:w w:val="100"/>
          <w:position w:val="-7"/>
        </w:rPr>
        <w:t>．</w:t>
      </w:r>
      <w:r>
        <w:rPr>
          <w:spacing w:val="-152"/>
          <w:w w:val="100"/>
        </w:rPr>
        <w:t>对</w:t>
      </w:r>
      <w:r>
        <w:rPr>
          <w:spacing w:val="-63"/>
          <w:w w:val="100"/>
          <w:position w:val="-7"/>
        </w:rPr>
        <w:t>．</w:t>
      </w:r>
      <w:r>
        <w:rPr>
          <w:spacing w:val="-149"/>
          <w:w w:val="100"/>
        </w:rPr>
        <w:t>本</w:t>
      </w:r>
      <w:r>
        <w:rPr>
          <w:spacing w:val="-63"/>
          <w:w w:val="100"/>
          <w:position w:val="-7"/>
        </w:rPr>
        <w:t>．</w:t>
      </w:r>
      <w:r>
        <w:rPr>
          <w:spacing w:val="-152"/>
          <w:w w:val="100"/>
        </w:rPr>
        <w:t>附</w:t>
      </w:r>
      <w:r>
        <w:rPr>
          <w:spacing w:val="-63"/>
          <w:w w:val="100"/>
          <w:position w:val="-7"/>
        </w:rPr>
        <w:t>．</w:t>
      </w:r>
      <w:r>
        <w:rPr>
          <w:spacing w:val="-149"/>
          <w:w w:val="100"/>
        </w:rPr>
        <w:t>加</w:t>
      </w:r>
      <w:r>
        <w:rPr>
          <w:spacing w:val="-63"/>
          <w:w w:val="100"/>
          <w:position w:val="-7"/>
        </w:rPr>
        <w:t>．</w:t>
      </w:r>
      <w:r>
        <w:rPr>
          <w:spacing w:val="-152"/>
          <w:w w:val="100"/>
        </w:rPr>
        <w:t>合</w:t>
      </w:r>
      <w:r>
        <w:rPr>
          <w:spacing w:val="-63"/>
          <w:w w:val="100"/>
          <w:position w:val="-7"/>
        </w:rPr>
        <w:t>．</w:t>
      </w:r>
      <w:r>
        <w:rPr>
          <w:spacing w:val="-149"/>
          <w:w w:val="100"/>
        </w:rPr>
        <w:t>同</w:t>
      </w:r>
      <w:r>
        <w:rPr>
          <w:spacing w:val="-63"/>
          <w:w w:val="100"/>
          <w:position w:val="-7"/>
        </w:rPr>
        <w:t>．</w:t>
      </w:r>
      <w:r>
        <w:rPr>
          <w:spacing w:val="-152"/>
          <w:w w:val="100"/>
        </w:rPr>
        <w:t>内</w:t>
      </w:r>
      <w:r>
        <w:rPr>
          <w:spacing w:val="-63"/>
          <w:w w:val="100"/>
          <w:position w:val="-7"/>
        </w:rPr>
        <w:t>．</w:t>
      </w:r>
      <w:r>
        <w:rPr>
          <w:spacing w:val="-149"/>
          <w:w w:val="100"/>
        </w:rPr>
        <w:t>容</w:t>
      </w:r>
      <w:r>
        <w:rPr>
          <w:spacing w:val="-63"/>
          <w:w w:val="100"/>
          <w:position w:val="-7"/>
        </w:rPr>
        <w:t>．</w:t>
      </w:r>
      <w:r>
        <w:rPr>
          <w:spacing w:val="-149"/>
          <w:w w:val="100"/>
        </w:rPr>
        <w:t>的</w:t>
      </w:r>
      <w:r>
        <w:rPr>
          <w:spacing w:val="-63"/>
          <w:w w:val="100"/>
          <w:position w:val="-7"/>
        </w:rPr>
        <w:t>．</w:t>
      </w:r>
      <w:r>
        <w:rPr>
          <w:spacing w:val="-152"/>
          <w:w w:val="100"/>
        </w:rPr>
        <w:t>解</w:t>
      </w:r>
      <w:r>
        <w:rPr>
          <w:spacing w:val="-63"/>
          <w:w w:val="100"/>
          <w:position w:val="-7"/>
        </w:rPr>
        <w:t>．</w:t>
      </w:r>
      <w:r>
        <w:rPr>
          <w:spacing w:val="-149"/>
          <w:w w:val="100"/>
        </w:rPr>
        <w:t>释</w:t>
      </w:r>
      <w:r>
        <w:rPr>
          <w:spacing w:val="-63"/>
          <w:w w:val="100"/>
          <w:position w:val="-7"/>
        </w:rPr>
        <w:t>．</w:t>
      </w:r>
      <w:r>
        <w:rPr>
          <w:spacing w:val="-152"/>
          <w:w w:val="100"/>
        </w:rPr>
        <w:t>以</w:t>
      </w:r>
      <w:r>
        <w:rPr>
          <w:spacing w:val="-63"/>
          <w:w w:val="100"/>
          <w:position w:val="-7"/>
        </w:rPr>
        <w:t>．</w:t>
      </w:r>
      <w:r>
        <w:rPr>
          <w:spacing w:val="-149"/>
          <w:w w:val="100"/>
        </w:rPr>
        <w:t>条</w:t>
      </w:r>
      <w:r>
        <w:rPr>
          <w:spacing w:val="-63"/>
          <w:w w:val="100"/>
          <w:position w:val="-7"/>
        </w:rPr>
        <w:t>．</w:t>
      </w:r>
      <w:r>
        <w:rPr>
          <w:spacing w:val="-152"/>
          <w:w w:val="100"/>
        </w:rPr>
        <w:t>款</w:t>
      </w:r>
      <w:r>
        <w:rPr>
          <w:spacing w:val="-63"/>
          <w:w w:val="100"/>
          <w:position w:val="-7"/>
        </w:rPr>
        <w:t>．</w:t>
      </w:r>
      <w:r>
        <w:rPr>
          <w:spacing w:val="-149"/>
          <w:w w:val="100"/>
        </w:rPr>
        <w:t>为</w:t>
      </w:r>
      <w:r>
        <w:rPr>
          <w:spacing w:val="-63"/>
          <w:w w:val="100"/>
          <w:position w:val="-7"/>
        </w:rPr>
        <w:t>．</w:t>
      </w:r>
      <w:r>
        <w:rPr>
          <w:spacing w:val="-152"/>
          <w:w w:val="100"/>
        </w:rPr>
        <w:t>准</w:t>
      </w:r>
      <w:r>
        <w:rPr>
          <w:spacing w:val="-63"/>
          <w:w w:val="100"/>
          <w:position w:val="-7"/>
        </w:rPr>
        <w:t>．</w:t>
      </w:r>
      <w:r>
        <w:rPr>
          <w:w w:val="100"/>
        </w:rPr>
        <w:t>。</w:t>
      </w:r>
    </w:p>
    <w:p>
      <w:pPr>
        <w:pStyle w:val="Heading2"/>
        <w:spacing w:line="240" w:lineRule="auto" w:before="170"/>
        <w:ind w:left="240"/>
        <w:rPr>
          <w:rFonts w:ascii="宋体" w:hAnsi="宋体" w:eastAsia="宋体" w:hint="eastAsia"/>
        </w:rPr>
      </w:pPr>
      <w:r>
        <w:rPr/>
        <w:pict>
          <v:group style="position:absolute;margin-left:44.039993pt;margin-top:6.127762pt;width:512.5500pt;height:617.8pt;mso-position-horizontal-relative:page;mso-position-vertical-relative:paragraph;z-index:-32488" coordorigin="881,123" coordsize="10251,12356">
            <v:shape style="position:absolute;left:880;top:122;width:10251;height:12356" type="#_x0000_t75" stroked="false">
              <v:imagedata r:id="rId5" o:title=""/>
            </v:shape>
            <v:rect style="position:absolute;left:1513;top:4485;width:9126;height:7467" filled="false" stroked="true" strokeweight=".75pt" strokecolor="#000000">
              <v:stroke dashstyle="dot"/>
            </v:rect>
            <w10:wrap type="none"/>
          </v:group>
        </w:pict>
      </w:r>
      <w:r>
        <w:rPr>
          <w:rFonts w:ascii="Arial" w:hAnsi="Arial" w:eastAsia="Arial"/>
          <w:w w:val="105"/>
          <w:position w:val="-11"/>
          <w:sz w:val="52"/>
        </w:rPr>
        <w:t></w:t>
      </w:r>
      <w:r>
        <w:rPr>
          <w:rFonts w:ascii="宋体" w:hAnsi="宋体" w:eastAsia="宋体" w:hint="eastAsia"/>
          <w:w w:val="105"/>
        </w:rPr>
        <w:t>您拥有的重要权益</w:t>
      </w:r>
    </w:p>
    <w:p>
      <w:pPr>
        <w:pStyle w:val="ListParagraph"/>
        <w:numPr>
          <w:ilvl w:val="0"/>
          <w:numId w:val="1"/>
        </w:numPr>
        <w:tabs>
          <w:tab w:pos="1631" w:val="left" w:leader="none"/>
          <w:tab w:pos="1632" w:val="left" w:leader="none"/>
          <w:tab w:pos="10139" w:val="right" w:leader="dot"/>
        </w:tabs>
        <w:spacing w:line="240" w:lineRule="auto" w:before="25" w:after="0"/>
        <w:ind w:left="1631" w:right="0" w:hanging="419"/>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附</w:t>
      </w:r>
      <w:r>
        <w:rPr>
          <w:spacing w:val="-3"/>
          <w:sz w:val="21"/>
        </w:rPr>
        <w:t>加</w:t>
      </w:r>
      <w:r>
        <w:rPr>
          <w:sz w:val="21"/>
        </w:rPr>
        <w:t>合同</w:t>
      </w:r>
      <w:r>
        <w:rPr>
          <w:spacing w:val="-3"/>
          <w:sz w:val="21"/>
        </w:rPr>
        <w:t>提</w:t>
      </w:r>
      <w:r>
        <w:rPr>
          <w:sz w:val="21"/>
        </w:rPr>
        <w:t>供</w:t>
      </w:r>
      <w:r>
        <w:rPr>
          <w:spacing w:val="-3"/>
          <w:sz w:val="21"/>
        </w:rPr>
        <w:t>的</w:t>
      </w:r>
      <w:r>
        <w:rPr>
          <w:sz w:val="21"/>
        </w:rPr>
        <w:t>保障</w:t>
        <w:tab/>
        <w:t>2.1</w:t>
      </w:r>
    </w:p>
    <w:p>
      <w:pPr>
        <w:pStyle w:val="Heading2"/>
        <w:spacing w:line="240" w:lineRule="auto" w:before="22"/>
        <w:ind w:left="240"/>
        <w:rPr>
          <w:rFonts w:ascii="宋体" w:hAnsi="宋体" w:eastAsia="宋体" w:hint="eastAsia"/>
        </w:rPr>
      </w:pPr>
      <w:r>
        <w:rPr>
          <w:rFonts w:ascii="Arial" w:hAnsi="Arial" w:eastAsia="Arial"/>
          <w:w w:val="105"/>
          <w:position w:val="-11"/>
          <w:sz w:val="52"/>
        </w:rPr>
        <w:t></w:t>
      </w:r>
      <w:r>
        <w:rPr>
          <w:rFonts w:ascii="宋体" w:hAnsi="宋体" w:eastAsia="宋体" w:hint="eastAsia"/>
          <w:w w:val="105"/>
        </w:rPr>
        <w:t>您应当特别注意的事项</w:t>
      </w:r>
    </w:p>
    <w:p>
      <w:pPr>
        <w:pStyle w:val="ListParagraph"/>
        <w:numPr>
          <w:ilvl w:val="0"/>
          <w:numId w:val="1"/>
        </w:numPr>
        <w:tabs>
          <w:tab w:pos="1631" w:val="left" w:leader="none"/>
          <w:tab w:pos="1632" w:val="left" w:leader="none"/>
          <w:tab w:pos="10139" w:val="right" w:leader="dot"/>
        </w:tabs>
        <w:spacing w:line="240" w:lineRule="auto" w:before="26" w:after="0"/>
        <w:ind w:left="1631" w:right="0" w:hanging="419"/>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本</w:t>
      </w:r>
      <w:r>
        <w:rPr>
          <w:spacing w:val="-3"/>
          <w:sz w:val="21"/>
        </w:rPr>
        <w:t>公</w:t>
      </w:r>
      <w:r>
        <w:rPr>
          <w:sz w:val="21"/>
        </w:rPr>
        <w:t>司</w:t>
      </w:r>
      <w:r>
        <w:rPr>
          <w:spacing w:val="-3"/>
          <w:sz w:val="21"/>
        </w:rPr>
        <w:t>不</w:t>
      </w:r>
      <w:r>
        <w:rPr>
          <w:sz w:val="21"/>
        </w:rPr>
        <w:t>承担</w:t>
      </w:r>
      <w:r>
        <w:rPr>
          <w:spacing w:val="-3"/>
          <w:sz w:val="21"/>
        </w:rPr>
        <w:t>保</w:t>
      </w:r>
      <w:r>
        <w:rPr>
          <w:sz w:val="21"/>
        </w:rPr>
        <w:t>险</w:t>
      </w:r>
      <w:r>
        <w:rPr>
          <w:spacing w:val="-3"/>
          <w:sz w:val="21"/>
        </w:rPr>
        <w:t>责</w:t>
      </w:r>
      <w:r>
        <w:rPr>
          <w:sz w:val="21"/>
        </w:rPr>
        <w:t>任</w:t>
        <w:tab/>
        <w:t>2.2</w:t>
      </w:r>
    </w:p>
    <w:p>
      <w:pPr>
        <w:pStyle w:val="ListParagraph"/>
        <w:numPr>
          <w:ilvl w:val="0"/>
          <w:numId w:val="1"/>
        </w:numPr>
        <w:tabs>
          <w:tab w:pos="1631" w:val="left" w:leader="none"/>
          <w:tab w:pos="1632" w:val="left" w:leader="none"/>
          <w:tab w:pos="10137" w:val="right" w:leader="dot"/>
        </w:tabs>
        <w:spacing w:line="240" w:lineRule="auto" w:before="22" w:after="0"/>
        <w:ind w:left="1631" w:right="0" w:hanging="419"/>
        <w:jc w:val="left"/>
        <w:rPr>
          <w:sz w:val="21"/>
        </w:rPr>
      </w:pPr>
      <w:r>
        <w:rPr>
          <w:sz w:val="21"/>
        </w:rPr>
        <w:t>您如</w:t>
      </w:r>
      <w:r>
        <w:rPr>
          <w:spacing w:val="-3"/>
          <w:sz w:val="21"/>
        </w:rPr>
        <w:t>何</w:t>
      </w:r>
      <w:r>
        <w:rPr>
          <w:sz w:val="21"/>
        </w:rPr>
        <w:t>交</w:t>
      </w:r>
      <w:r>
        <w:rPr>
          <w:spacing w:val="-3"/>
          <w:sz w:val="21"/>
        </w:rPr>
        <w:t>纳</w:t>
      </w:r>
      <w:r>
        <w:rPr>
          <w:sz w:val="21"/>
        </w:rPr>
        <w:t>保</w:t>
      </w:r>
      <w:r>
        <w:rPr>
          <w:spacing w:val="-3"/>
          <w:sz w:val="21"/>
        </w:rPr>
        <w:t>险</w:t>
      </w:r>
      <w:r>
        <w:rPr>
          <w:sz w:val="21"/>
        </w:rPr>
        <w:t>费</w:t>
        <w:tab/>
        <w:t>3.1</w:t>
      </w:r>
    </w:p>
    <w:p>
      <w:pPr>
        <w:pStyle w:val="ListParagraph"/>
        <w:numPr>
          <w:ilvl w:val="0"/>
          <w:numId w:val="1"/>
        </w:numPr>
        <w:tabs>
          <w:tab w:pos="1631" w:val="left" w:leader="none"/>
          <w:tab w:pos="1632" w:val="left" w:leader="none"/>
          <w:tab w:pos="10139" w:val="right" w:leader="dot"/>
        </w:tabs>
        <w:spacing w:line="240" w:lineRule="auto" w:before="22" w:after="0"/>
        <w:ind w:left="1631" w:right="0" w:hanging="419"/>
        <w:jc w:val="left"/>
        <w:rPr>
          <w:sz w:val="21"/>
        </w:rPr>
      </w:pPr>
      <w:r>
        <w:rPr>
          <w:sz w:val="21"/>
        </w:rPr>
        <w:t>保险</w:t>
      </w:r>
      <w:r>
        <w:rPr>
          <w:spacing w:val="-3"/>
          <w:sz w:val="21"/>
        </w:rPr>
        <w:t>事</w:t>
      </w:r>
      <w:r>
        <w:rPr>
          <w:sz w:val="21"/>
        </w:rPr>
        <w:t>故</w:t>
      </w:r>
      <w:r>
        <w:rPr>
          <w:spacing w:val="-3"/>
          <w:sz w:val="21"/>
        </w:rPr>
        <w:t>发</w:t>
      </w:r>
      <w:r>
        <w:rPr>
          <w:sz w:val="21"/>
        </w:rPr>
        <w:t>生</w:t>
      </w:r>
      <w:r>
        <w:rPr>
          <w:spacing w:val="-3"/>
          <w:sz w:val="21"/>
        </w:rPr>
        <w:t>后</w:t>
      </w:r>
      <w:r>
        <w:rPr>
          <w:sz w:val="21"/>
        </w:rPr>
        <w:t>请</w:t>
      </w:r>
      <w:r>
        <w:rPr>
          <w:spacing w:val="-3"/>
          <w:sz w:val="21"/>
        </w:rPr>
        <w:t>您</w:t>
      </w:r>
      <w:r>
        <w:rPr>
          <w:sz w:val="21"/>
        </w:rPr>
        <w:t>及</w:t>
      </w:r>
      <w:r>
        <w:rPr>
          <w:spacing w:val="-3"/>
          <w:sz w:val="21"/>
        </w:rPr>
        <w:t>时</w:t>
      </w:r>
      <w:r>
        <w:rPr>
          <w:sz w:val="21"/>
        </w:rPr>
        <w:t>通知</w:t>
      </w:r>
      <w:r>
        <w:rPr>
          <w:spacing w:val="-3"/>
          <w:sz w:val="21"/>
        </w:rPr>
        <w:t>本</w:t>
      </w:r>
      <w:r>
        <w:rPr>
          <w:sz w:val="21"/>
        </w:rPr>
        <w:t>公司</w:t>
        <w:tab/>
        <w:t>4.1</w:t>
      </w:r>
    </w:p>
    <w:p>
      <w:pPr>
        <w:pStyle w:val="ListParagraph"/>
        <w:numPr>
          <w:ilvl w:val="0"/>
          <w:numId w:val="1"/>
        </w:numPr>
        <w:tabs>
          <w:tab w:pos="1631" w:val="left" w:leader="none"/>
          <w:tab w:pos="1633" w:val="left" w:leader="none"/>
          <w:tab w:pos="9932" w:val="right" w:leader="dot"/>
        </w:tabs>
        <w:spacing w:line="240" w:lineRule="auto" w:before="22" w:after="0"/>
        <w:ind w:left="1632" w:right="0" w:hanging="420"/>
        <w:jc w:val="left"/>
        <w:rPr>
          <w:sz w:val="21"/>
        </w:rPr>
      </w:pPr>
      <w:r>
        <w:rPr>
          <w:sz w:val="21"/>
        </w:rPr>
        <w:t>本公</w:t>
      </w:r>
      <w:r>
        <w:rPr>
          <w:spacing w:val="-3"/>
          <w:sz w:val="21"/>
        </w:rPr>
        <w:t>司</w:t>
      </w:r>
      <w:r>
        <w:rPr>
          <w:sz w:val="21"/>
        </w:rPr>
        <w:t>对</w:t>
      </w:r>
      <w:r>
        <w:rPr>
          <w:spacing w:val="-3"/>
          <w:sz w:val="21"/>
        </w:rPr>
        <w:t>一</w:t>
      </w:r>
      <w:r>
        <w:rPr>
          <w:sz w:val="21"/>
        </w:rPr>
        <w:t>些</w:t>
      </w:r>
      <w:r>
        <w:rPr>
          <w:spacing w:val="-3"/>
          <w:sz w:val="21"/>
        </w:rPr>
        <w:t>重</w:t>
      </w:r>
      <w:r>
        <w:rPr>
          <w:sz w:val="21"/>
        </w:rPr>
        <w:t>要</w:t>
      </w:r>
      <w:r>
        <w:rPr>
          <w:spacing w:val="-3"/>
          <w:sz w:val="21"/>
        </w:rPr>
        <w:t>术</w:t>
      </w:r>
      <w:r>
        <w:rPr>
          <w:sz w:val="21"/>
        </w:rPr>
        <w:t>语</w:t>
      </w:r>
      <w:r>
        <w:rPr>
          <w:spacing w:val="-3"/>
          <w:sz w:val="21"/>
        </w:rPr>
        <w:t>进</w:t>
      </w:r>
      <w:r>
        <w:rPr>
          <w:sz w:val="21"/>
        </w:rPr>
        <w:t>行了</w:t>
      </w:r>
      <w:r>
        <w:rPr>
          <w:spacing w:val="-3"/>
          <w:sz w:val="21"/>
        </w:rPr>
        <w:t>解</w:t>
      </w:r>
      <w:r>
        <w:rPr>
          <w:sz w:val="21"/>
        </w:rPr>
        <w:t>释</w:t>
      </w:r>
      <w:r>
        <w:rPr>
          <w:spacing w:val="-3"/>
          <w:sz w:val="21"/>
        </w:rPr>
        <w:t>，</w:t>
      </w:r>
      <w:r>
        <w:rPr>
          <w:sz w:val="21"/>
        </w:rPr>
        <w:t>并</w:t>
      </w:r>
      <w:r>
        <w:rPr>
          <w:spacing w:val="-3"/>
          <w:sz w:val="21"/>
        </w:rPr>
        <w:t>作</w:t>
      </w:r>
      <w:r>
        <w:rPr>
          <w:sz w:val="21"/>
        </w:rPr>
        <w:t>了</w:t>
      </w:r>
      <w:r>
        <w:rPr>
          <w:spacing w:val="-3"/>
          <w:sz w:val="21"/>
        </w:rPr>
        <w:t>显</w:t>
      </w:r>
      <w:r>
        <w:rPr>
          <w:sz w:val="21"/>
        </w:rPr>
        <w:t>著</w:t>
      </w:r>
      <w:r>
        <w:rPr>
          <w:spacing w:val="-3"/>
          <w:sz w:val="21"/>
        </w:rPr>
        <w:t>标</w:t>
      </w:r>
      <w:r>
        <w:rPr>
          <w:sz w:val="21"/>
        </w:rPr>
        <w:t>识，</w:t>
      </w:r>
      <w:r>
        <w:rPr>
          <w:spacing w:val="-3"/>
          <w:sz w:val="21"/>
        </w:rPr>
        <w:t>请</w:t>
      </w:r>
      <w:r>
        <w:rPr>
          <w:sz w:val="21"/>
        </w:rPr>
        <w:t>您</w:t>
      </w:r>
      <w:r>
        <w:rPr>
          <w:spacing w:val="-3"/>
          <w:sz w:val="21"/>
        </w:rPr>
        <w:t>注</w:t>
      </w:r>
      <w:r>
        <w:rPr>
          <w:sz w:val="21"/>
        </w:rPr>
        <w:t>意</w:t>
        <w:tab/>
        <w:t>9</w:t>
      </w:r>
    </w:p>
    <w:p>
      <w:pPr>
        <w:spacing w:before="22"/>
        <w:ind w:left="240" w:right="0" w:firstLine="0"/>
        <w:jc w:val="left"/>
        <w:rPr>
          <w:b/>
          <w:sz w:val="21"/>
        </w:rPr>
      </w:pPr>
      <w:r>
        <w:rPr>
          <w:rFonts w:ascii="Arial" w:hAnsi="Arial" w:eastAsia="Arial"/>
          <w:b/>
          <w:position w:val="-11"/>
          <w:sz w:val="52"/>
        </w:rPr>
        <w:t></w:t>
      </w:r>
      <w:r>
        <w:rPr>
          <w:b/>
          <w:sz w:val="21"/>
        </w:rPr>
        <w:t>条款是保险合同的重要内容，为充分保障您的权益，请您仔细阅读本条款。</w:t>
      </w:r>
    </w:p>
    <w:p>
      <w:pPr>
        <w:spacing w:before="25"/>
        <w:ind w:left="240" w:right="0" w:firstLine="0"/>
        <w:jc w:val="left"/>
        <w:rPr>
          <w:b/>
          <w:sz w:val="21"/>
        </w:rPr>
      </w:pPr>
      <w:r>
        <w:rPr>
          <w:rFonts w:ascii="Arial" w:hAnsi="Arial" w:eastAsia="Arial"/>
          <w:b/>
          <w:w w:val="105"/>
          <w:position w:val="-11"/>
          <w:sz w:val="52"/>
        </w:rPr>
        <w:t></w:t>
      </w:r>
      <w:r>
        <w:rPr>
          <w:b/>
          <w:w w:val="105"/>
          <w:sz w:val="21"/>
        </w:rPr>
        <w:t>条款目录</w:t>
      </w:r>
    </w:p>
    <w:p>
      <w:pPr>
        <w:pStyle w:val="BodyText"/>
        <w:rPr>
          <w:b/>
          <w:sz w:val="20"/>
        </w:rPr>
      </w:pPr>
    </w:p>
    <w:p>
      <w:pPr>
        <w:pStyle w:val="BodyText"/>
        <w:rPr>
          <w:b/>
          <w:sz w:val="20"/>
        </w:rPr>
      </w:pPr>
    </w:p>
    <w:p>
      <w:pPr>
        <w:pStyle w:val="BodyText"/>
        <w:spacing w:before="6"/>
        <w:rPr>
          <w:b/>
          <w:sz w:val="10"/>
        </w:rPr>
      </w:pPr>
      <w:r>
        <w:rPr/>
        <w:pict>
          <v:shapetype id="_x0000_t202" o:spt="202" coordsize="21600,21600" path="m,l,21600r21600,l21600,xe">
            <v:stroke joinstyle="miter"/>
            <v:path gradientshapeok="t" o:connecttype="rect"/>
          </v:shapetype>
          <v:shape style="position:absolute;margin-left:111.360001pt;margin-top:8.050975pt;width:122.35pt;height:332.55pt;mso-position-horizontal-relative:page;mso-position-vertical-relative:paragraph;z-index:0;mso-wrap-distance-left:0;mso-wrap-distance-right:0" type="#_x0000_t202" filled="false" stroked="false">
            <v:textbox inset="0,0,0,0">
              <w:txbxContent>
                <w:p>
                  <w:pPr>
                    <w:spacing w:line="226" w:lineRule="exact" w:before="0"/>
                    <w:ind w:left="0" w:right="0" w:firstLine="0"/>
                    <w:jc w:val="left"/>
                    <w:rPr>
                      <w:rFonts w:ascii="微软雅黑" w:eastAsia="微软雅黑" w:hint="eastAsia"/>
                      <w:b/>
                      <w:sz w:val="21"/>
                    </w:rPr>
                  </w:pPr>
                  <w:r>
                    <w:rPr>
                      <w:rFonts w:ascii="微软雅黑" w:eastAsia="微软雅黑" w:hint="eastAsia"/>
                      <w:b/>
                      <w:w w:val="95"/>
                      <w:sz w:val="21"/>
                    </w:rPr>
                    <w:t>1．投保人与本公司的合同</w:t>
                  </w:r>
                </w:p>
                <w:p>
                  <w:pPr>
                    <w:pStyle w:val="BodyText"/>
                    <w:numPr>
                      <w:ilvl w:val="1"/>
                      <w:numId w:val="2"/>
                    </w:numPr>
                    <w:tabs>
                      <w:tab w:pos="684" w:val="left" w:leader="none"/>
                    </w:tabs>
                    <w:spacing w:line="264" w:lineRule="exact" w:before="0" w:after="0"/>
                    <w:ind w:left="0" w:right="0" w:firstLine="314"/>
                    <w:jc w:val="left"/>
                  </w:pPr>
                  <w:r>
                    <w:rPr>
                      <w:spacing w:val="-3"/>
                    </w:rPr>
                    <w:t>合同构成</w:t>
                  </w:r>
                </w:p>
                <w:p>
                  <w:pPr>
                    <w:pStyle w:val="BodyText"/>
                    <w:numPr>
                      <w:ilvl w:val="1"/>
                      <w:numId w:val="2"/>
                    </w:numPr>
                    <w:tabs>
                      <w:tab w:pos="684" w:val="left" w:leader="none"/>
                    </w:tabs>
                    <w:spacing w:line="240" w:lineRule="auto" w:before="6" w:after="0"/>
                    <w:ind w:left="0" w:right="0" w:firstLine="314"/>
                    <w:jc w:val="left"/>
                  </w:pPr>
                  <w:r>
                    <w:rPr>
                      <w:spacing w:val="-3"/>
                    </w:rPr>
                    <w:t>合同成立与生效</w:t>
                  </w:r>
                </w:p>
                <w:p>
                  <w:pPr>
                    <w:pStyle w:val="BodyText"/>
                    <w:numPr>
                      <w:ilvl w:val="1"/>
                      <w:numId w:val="2"/>
                    </w:numPr>
                    <w:tabs>
                      <w:tab w:pos="684" w:val="left" w:leader="none"/>
                    </w:tabs>
                    <w:spacing w:line="240" w:lineRule="auto" w:before="6" w:after="0"/>
                    <w:ind w:left="0" w:right="0" w:firstLine="314"/>
                    <w:jc w:val="left"/>
                  </w:pPr>
                  <w:r>
                    <w:rPr>
                      <w:spacing w:val="-3"/>
                    </w:rPr>
                    <w:t>投保范围</w:t>
                  </w:r>
                </w:p>
                <w:p>
                  <w:pPr>
                    <w:numPr>
                      <w:ilvl w:val="1"/>
                      <w:numId w:val="2"/>
                    </w:numPr>
                    <w:tabs>
                      <w:tab w:pos="684" w:val="left" w:leader="none"/>
                    </w:tabs>
                    <w:spacing w:line="199" w:lineRule="auto" w:before="50"/>
                    <w:ind w:left="0" w:right="438" w:firstLine="314"/>
                    <w:jc w:val="left"/>
                    <w:rPr>
                      <w:rFonts w:ascii="微软雅黑" w:eastAsia="微软雅黑" w:hint="eastAsia"/>
                      <w:b/>
                      <w:sz w:val="21"/>
                    </w:rPr>
                  </w:pPr>
                  <w:r>
                    <w:rPr>
                      <w:spacing w:val="-2"/>
                      <w:sz w:val="21"/>
                    </w:rPr>
                    <w:t>犹 豫 期  </w:t>
                  </w:r>
                  <w:r>
                    <w:rPr>
                      <w:rFonts w:ascii="微软雅黑" w:eastAsia="微软雅黑" w:hint="eastAsia"/>
                      <w:b/>
                      <w:spacing w:val="-2"/>
                      <w:w w:val="95"/>
                      <w:sz w:val="21"/>
                    </w:rPr>
                    <w:t>2．本公司提供的保障</w:t>
                  </w:r>
                </w:p>
                <w:p>
                  <w:pPr>
                    <w:pStyle w:val="BodyText"/>
                    <w:numPr>
                      <w:ilvl w:val="1"/>
                      <w:numId w:val="3"/>
                    </w:numPr>
                    <w:tabs>
                      <w:tab w:pos="684" w:val="left" w:leader="none"/>
                    </w:tabs>
                    <w:spacing w:line="255" w:lineRule="exact" w:before="0" w:after="0"/>
                    <w:ind w:left="684" w:right="0" w:hanging="370"/>
                    <w:jc w:val="left"/>
                  </w:pPr>
                  <w:r>
                    <w:rPr>
                      <w:spacing w:val="-3"/>
                    </w:rPr>
                    <w:t>保险责任</w:t>
                  </w:r>
                </w:p>
                <w:p>
                  <w:pPr>
                    <w:pStyle w:val="BodyText"/>
                    <w:numPr>
                      <w:ilvl w:val="1"/>
                      <w:numId w:val="3"/>
                    </w:numPr>
                    <w:tabs>
                      <w:tab w:pos="684" w:val="left" w:leader="none"/>
                    </w:tabs>
                    <w:spacing w:line="240" w:lineRule="auto" w:before="4" w:after="0"/>
                    <w:ind w:left="684" w:right="0" w:hanging="370"/>
                    <w:jc w:val="left"/>
                  </w:pPr>
                  <w:r>
                    <w:rPr>
                      <w:spacing w:val="-3"/>
                    </w:rPr>
                    <w:t>责任免除</w:t>
                  </w:r>
                </w:p>
                <w:p>
                  <w:pPr>
                    <w:pStyle w:val="BodyText"/>
                    <w:numPr>
                      <w:ilvl w:val="1"/>
                      <w:numId w:val="3"/>
                    </w:numPr>
                    <w:tabs>
                      <w:tab w:pos="684" w:val="left" w:leader="none"/>
                    </w:tabs>
                    <w:spacing w:line="247" w:lineRule="exact" w:before="6" w:after="0"/>
                    <w:ind w:left="684" w:right="0" w:hanging="370"/>
                    <w:jc w:val="left"/>
                  </w:pPr>
                  <w:r>
                    <w:rPr>
                      <w:spacing w:val="-3"/>
                    </w:rPr>
                    <w:t>保险期间</w:t>
                  </w:r>
                </w:p>
                <w:p>
                  <w:pPr>
                    <w:spacing w:line="324" w:lineRule="exact" w:before="0"/>
                    <w:ind w:left="0" w:right="0" w:firstLine="0"/>
                    <w:jc w:val="left"/>
                    <w:rPr>
                      <w:rFonts w:ascii="微软雅黑" w:eastAsia="微软雅黑" w:hint="eastAsia"/>
                      <w:b/>
                      <w:sz w:val="21"/>
                    </w:rPr>
                  </w:pPr>
                  <w:r>
                    <w:rPr>
                      <w:rFonts w:ascii="微软雅黑" w:eastAsia="微软雅黑" w:hint="eastAsia"/>
                      <w:b/>
                      <w:w w:val="95"/>
                      <w:sz w:val="21"/>
                    </w:rPr>
                    <w:t>3．保险费的交纳</w:t>
                  </w:r>
                </w:p>
                <w:p>
                  <w:pPr>
                    <w:pStyle w:val="BodyText"/>
                    <w:numPr>
                      <w:ilvl w:val="1"/>
                      <w:numId w:val="4"/>
                    </w:numPr>
                    <w:tabs>
                      <w:tab w:pos="684" w:val="left" w:leader="none"/>
                    </w:tabs>
                    <w:spacing w:line="264" w:lineRule="exact" w:before="0" w:after="0"/>
                    <w:ind w:left="684" w:right="0" w:hanging="370"/>
                    <w:jc w:val="left"/>
                  </w:pPr>
                  <w:r>
                    <w:rPr>
                      <w:spacing w:val="-3"/>
                    </w:rPr>
                    <w:t>保险费的交纳</w:t>
                  </w:r>
                </w:p>
                <w:p>
                  <w:pPr>
                    <w:pStyle w:val="BodyText"/>
                    <w:numPr>
                      <w:ilvl w:val="1"/>
                      <w:numId w:val="4"/>
                    </w:numPr>
                    <w:tabs>
                      <w:tab w:pos="737" w:val="left" w:leader="none"/>
                    </w:tabs>
                    <w:spacing w:line="247" w:lineRule="exact" w:before="5" w:after="0"/>
                    <w:ind w:left="736" w:right="0" w:hanging="422"/>
                    <w:jc w:val="left"/>
                  </w:pPr>
                  <w:r>
                    <w:rPr>
                      <w:spacing w:val="-2"/>
                    </w:rPr>
                    <w:t>宽限期</w:t>
                  </w:r>
                </w:p>
                <w:p>
                  <w:pPr>
                    <w:spacing w:line="324" w:lineRule="exact" w:before="0"/>
                    <w:ind w:left="0" w:right="0" w:firstLine="0"/>
                    <w:jc w:val="left"/>
                    <w:rPr>
                      <w:rFonts w:ascii="微软雅黑" w:eastAsia="微软雅黑" w:hint="eastAsia"/>
                      <w:b/>
                      <w:sz w:val="21"/>
                    </w:rPr>
                  </w:pPr>
                  <w:r>
                    <w:rPr>
                      <w:rFonts w:ascii="微软雅黑" w:eastAsia="微软雅黑" w:hint="eastAsia"/>
                      <w:b/>
                      <w:w w:val="95"/>
                      <w:sz w:val="21"/>
                    </w:rPr>
                    <w:t>4．豁免保险费的申请</w:t>
                  </w:r>
                </w:p>
                <w:p>
                  <w:pPr>
                    <w:pStyle w:val="BodyText"/>
                    <w:numPr>
                      <w:ilvl w:val="1"/>
                      <w:numId w:val="5"/>
                    </w:numPr>
                    <w:tabs>
                      <w:tab w:pos="684" w:val="left" w:leader="none"/>
                    </w:tabs>
                    <w:spacing w:line="264" w:lineRule="exact" w:before="0" w:after="0"/>
                    <w:ind w:left="0" w:right="0" w:firstLine="314"/>
                    <w:jc w:val="left"/>
                  </w:pPr>
                  <w:r>
                    <w:rPr>
                      <w:spacing w:val="-3"/>
                    </w:rPr>
                    <w:t>保险事故通知</w:t>
                  </w:r>
                </w:p>
                <w:p>
                  <w:pPr>
                    <w:pStyle w:val="BodyText"/>
                    <w:numPr>
                      <w:ilvl w:val="1"/>
                      <w:numId w:val="5"/>
                    </w:numPr>
                    <w:tabs>
                      <w:tab w:pos="684" w:val="left" w:leader="none"/>
                    </w:tabs>
                    <w:spacing w:line="240" w:lineRule="auto" w:before="5" w:after="0"/>
                    <w:ind w:left="0" w:right="0" w:firstLine="314"/>
                    <w:jc w:val="left"/>
                  </w:pPr>
                  <w:r>
                    <w:rPr>
                      <w:spacing w:val="-3"/>
                    </w:rPr>
                    <w:t>豁免保险费申请</w:t>
                  </w:r>
                </w:p>
                <w:p>
                  <w:pPr>
                    <w:pStyle w:val="BodyText"/>
                    <w:numPr>
                      <w:ilvl w:val="1"/>
                      <w:numId w:val="5"/>
                    </w:numPr>
                    <w:tabs>
                      <w:tab w:pos="684" w:val="left" w:leader="none"/>
                    </w:tabs>
                    <w:spacing w:line="240" w:lineRule="auto" w:before="5" w:after="0"/>
                    <w:ind w:left="0" w:right="0" w:firstLine="314"/>
                    <w:jc w:val="left"/>
                  </w:pPr>
                  <w:r>
                    <w:rPr>
                      <w:spacing w:val="-3"/>
                    </w:rPr>
                    <w:t>保险费的豁免</w:t>
                  </w:r>
                </w:p>
                <w:p>
                  <w:pPr>
                    <w:numPr>
                      <w:ilvl w:val="1"/>
                      <w:numId w:val="5"/>
                    </w:numPr>
                    <w:tabs>
                      <w:tab w:pos="684" w:val="left" w:leader="none"/>
                    </w:tabs>
                    <w:spacing w:line="199" w:lineRule="auto" w:before="49"/>
                    <w:ind w:left="0" w:right="860" w:firstLine="314"/>
                    <w:jc w:val="left"/>
                    <w:rPr>
                      <w:rFonts w:ascii="微软雅黑" w:eastAsia="微软雅黑" w:hint="eastAsia"/>
                      <w:b/>
                      <w:sz w:val="21"/>
                    </w:rPr>
                  </w:pPr>
                  <w:r>
                    <w:rPr>
                      <w:spacing w:val="-3"/>
                      <w:sz w:val="21"/>
                    </w:rPr>
                    <w:t>诉讼时效</w:t>
                  </w:r>
                  <w:r>
                    <w:rPr>
                      <w:rFonts w:ascii="微软雅黑" w:eastAsia="微软雅黑" w:hint="eastAsia"/>
                      <w:b/>
                      <w:w w:val="95"/>
                      <w:sz w:val="21"/>
                    </w:rPr>
                    <w:t>5．现金价值权益</w:t>
                  </w:r>
                </w:p>
                <w:p>
                  <w:pPr>
                    <w:pStyle w:val="BodyText"/>
                    <w:spacing w:line="226" w:lineRule="exact"/>
                    <w:ind w:left="314"/>
                  </w:pPr>
                  <w:r>
                    <w:rPr/>
                    <w:t>5.1 现金价值</w:t>
                  </w:r>
                </w:p>
                <w:p>
                  <w:pPr>
                    <w:spacing w:line="324" w:lineRule="exact" w:before="0"/>
                    <w:ind w:left="0" w:right="0" w:firstLine="0"/>
                    <w:jc w:val="left"/>
                    <w:rPr>
                      <w:rFonts w:ascii="微软雅黑" w:eastAsia="微软雅黑" w:hint="eastAsia"/>
                      <w:b/>
                      <w:sz w:val="21"/>
                    </w:rPr>
                  </w:pPr>
                  <w:r>
                    <w:rPr>
                      <w:rFonts w:ascii="微软雅黑" w:eastAsia="微软雅黑" w:hint="eastAsia"/>
                      <w:b/>
                      <w:w w:val="95"/>
                      <w:sz w:val="21"/>
                    </w:rPr>
                    <w:t>6．合同效力的中止及恢复</w:t>
                  </w:r>
                </w:p>
                <w:p>
                  <w:pPr>
                    <w:pStyle w:val="BodyText"/>
                    <w:numPr>
                      <w:ilvl w:val="1"/>
                      <w:numId w:val="6"/>
                    </w:numPr>
                    <w:tabs>
                      <w:tab w:pos="684" w:val="left" w:leader="none"/>
                    </w:tabs>
                    <w:spacing w:line="265" w:lineRule="exact" w:before="0" w:after="0"/>
                    <w:ind w:left="684" w:right="0" w:hanging="370"/>
                    <w:jc w:val="left"/>
                  </w:pPr>
                  <w:r>
                    <w:rPr>
                      <w:spacing w:val="-3"/>
                    </w:rPr>
                    <w:t>效力中止</w:t>
                  </w:r>
                </w:p>
                <w:p>
                  <w:pPr>
                    <w:pStyle w:val="BodyText"/>
                    <w:numPr>
                      <w:ilvl w:val="1"/>
                      <w:numId w:val="6"/>
                    </w:numPr>
                    <w:tabs>
                      <w:tab w:pos="684" w:val="left" w:leader="none"/>
                    </w:tabs>
                    <w:spacing w:line="245" w:lineRule="exact" w:before="6" w:after="0"/>
                    <w:ind w:left="684" w:right="0" w:hanging="370"/>
                    <w:jc w:val="left"/>
                  </w:pPr>
                  <w:r>
                    <w:rPr>
                      <w:spacing w:val="-3"/>
                    </w:rPr>
                    <w:t>效力恢复</w:t>
                  </w:r>
                </w:p>
                <w:p>
                  <w:pPr>
                    <w:spacing w:line="323" w:lineRule="exact" w:before="0"/>
                    <w:ind w:left="0" w:right="0" w:firstLine="0"/>
                    <w:jc w:val="left"/>
                    <w:rPr>
                      <w:rFonts w:ascii="微软雅黑" w:eastAsia="微软雅黑" w:hint="eastAsia"/>
                      <w:b/>
                      <w:sz w:val="21"/>
                    </w:rPr>
                  </w:pPr>
                  <w:r>
                    <w:rPr>
                      <w:rFonts w:ascii="微软雅黑" w:eastAsia="微软雅黑" w:hint="eastAsia"/>
                      <w:b/>
                      <w:w w:val="95"/>
                      <w:sz w:val="21"/>
                    </w:rPr>
                    <w:t>7．保险合同解除</w:t>
                  </w:r>
                </w:p>
                <w:p>
                  <w:pPr>
                    <w:pStyle w:val="BodyText"/>
                    <w:spacing w:line="265" w:lineRule="exact"/>
                    <w:ind w:left="314"/>
                  </w:pPr>
                  <w:r>
                    <w:rPr/>
                    <w:t>7.1 合同解除</w:t>
                  </w:r>
                </w:p>
              </w:txbxContent>
            </v:textbox>
            <w10:wrap type="topAndBottom"/>
          </v:shape>
        </w:pict>
      </w:r>
      <w:r>
        <w:rPr/>
        <w:pict>
          <v:shape style="position:absolute;margin-left:329.760010pt;margin-top:8.050975pt;width:186pt;height:318.55pt;mso-position-horizontal-relative:page;mso-position-vertical-relative:paragraph;z-index:1048;mso-wrap-distance-left:0;mso-wrap-distance-right:0" type="#_x0000_t202" filled="false" stroked="false">
            <v:textbox inset="0,0,0,0">
              <w:txbxContent>
                <w:p>
                  <w:pPr>
                    <w:numPr>
                      <w:ilvl w:val="0"/>
                      <w:numId w:val="7"/>
                    </w:numPr>
                    <w:tabs>
                      <w:tab w:pos="317" w:val="left" w:leader="none"/>
                    </w:tabs>
                    <w:spacing w:line="226" w:lineRule="exact" w:before="0"/>
                    <w:ind w:left="316" w:right="0" w:hanging="316"/>
                    <w:jc w:val="left"/>
                    <w:rPr>
                      <w:rFonts w:ascii="微软雅黑" w:eastAsia="微软雅黑" w:hint="eastAsia"/>
                      <w:b/>
                      <w:sz w:val="21"/>
                    </w:rPr>
                  </w:pPr>
                  <w:r>
                    <w:rPr>
                      <w:rFonts w:ascii="微软雅黑" w:eastAsia="微软雅黑" w:hint="eastAsia"/>
                      <w:b/>
                      <w:sz w:val="21"/>
                    </w:rPr>
                    <w:t>其他需要关注的事项</w:t>
                  </w:r>
                </w:p>
                <w:p>
                  <w:pPr>
                    <w:pStyle w:val="BodyText"/>
                    <w:numPr>
                      <w:ilvl w:val="1"/>
                      <w:numId w:val="7"/>
                    </w:numPr>
                    <w:tabs>
                      <w:tab w:pos="684" w:val="left" w:leader="none"/>
                    </w:tabs>
                    <w:spacing w:line="264" w:lineRule="exact" w:before="0" w:after="0"/>
                    <w:ind w:left="684" w:right="0" w:hanging="370"/>
                    <w:jc w:val="left"/>
                  </w:pPr>
                  <w:r>
                    <w:rPr>
                      <w:spacing w:val="-3"/>
                    </w:rPr>
                    <w:t>如实告知</w:t>
                  </w:r>
                </w:p>
                <w:p>
                  <w:pPr>
                    <w:pStyle w:val="BodyText"/>
                    <w:numPr>
                      <w:ilvl w:val="1"/>
                      <w:numId w:val="7"/>
                    </w:numPr>
                    <w:tabs>
                      <w:tab w:pos="684" w:val="left" w:leader="none"/>
                    </w:tabs>
                    <w:spacing w:line="240" w:lineRule="auto" w:before="6" w:after="0"/>
                    <w:ind w:left="684" w:right="0" w:hanging="370"/>
                    <w:jc w:val="left"/>
                  </w:pPr>
                  <w:r>
                    <w:rPr>
                      <w:spacing w:val="-3"/>
                    </w:rPr>
                    <w:t>本公司合同解除权的限制</w:t>
                  </w:r>
                </w:p>
                <w:p>
                  <w:pPr>
                    <w:pStyle w:val="BodyText"/>
                    <w:numPr>
                      <w:ilvl w:val="1"/>
                      <w:numId w:val="7"/>
                    </w:numPr>
                    <w:tabs>
                      <w:tab w:pos="684" w:val="left" w:leader="none"/>
                    </w:tabs>
                    <w:spacing w:line="240" w:lineRule="auto" w:before="6" w:after="0"/>
                    <w:ind w:left="684" w:right="0" w:hanging="370"/>
                    <w:jc w:val="left"/>
                  </w:pPr>
                  <w:r>
                    <w:rPr>
                      <w:spacing w:val="-3"/>
                    </w:rPr>
                    <w:t>年龄错误处理</w:t>
                  </w:r>
                </w:p>
                <w:p>
                  <w:pPr>
                    <w:pStyle w:val="BodyText"/>
                    <w:numPr>
                      <w:ilvl w:val="1"/>
                      <w:numId w:val="7"/>
                    </w:numPr>
                    <w:tabs>
                      <w:tab w:pos="684" w:val="left" w:leader="none"/>
                    </w:tabs>
                    <w:spacing w:line="240" w:lineRule="auto" w:before="3" w:after="0"/>
                    <w:ind w:left="684" w:right="0" w:hanging="370"/>
                    <w:jc w:val="left"/>
                  </w:pPr>
                  <w:r>
                    <w:rPr>
                      <w:spacing w:val="-3"/>
                    </w:rPr>
                    <w:t>未还款项</w:t>
                  </w:r>
                </w:p>
                <w:p>
                  <w:pPr>
                    <w:pStyle w:val="BodyText"/>
                    <w:numPr>
                      <w:ilvl w:val="1"/>
                      <w:numId w:val="7"/>
                    </w:numPr>
                    <w:tabs>
                      <w:tab w:pos="684" w:val="left" w:leader="none"/>
                    </w:tabs>
                    <w:spacing w:line="240" w:lineRule="auto" w:before="5" w:after="0"/>
                    <w:ind w:left="684" w:right="0" w:hanging="370"/>
                    <w:jc w:val="left"/>
                  </w:pPr>
                  <w:r>
                    <w:rPr>
                      <w:spacing w:val="-3"/>
                    </w:rPr>
                    <w:t>合同内容变更</w:t>
                  </w:r>
                </w:p>
                <w:p>
                  <w:pPr>
                    <w:pStyle w:val="BodyText"/>
                    <w:numPr>
                      <w:ilvl w:val="1"/>
                      <w:numId w:val="7"/>
                    </w:numPr>
                    <w:tabs>
                      <w:tab w:pos="684" w:val="left" w:leader="none"/>
                    </w:tabs>
                    <w:spacing w:line="240" w:lineRule="auto" w:before="5" w:after="0"/>
                    <w:ind w:left="684" w:right="0" w:hanging="370"/>
                    <w:jc w:val="left"/>
                  </w:pPr>
                  <w:r>
                    <w:rPr>
                      <w:spacing w:val="-3"/>
                    </w:rPr>
                    <w:t>地址变更</w:t>
                  </w:r>
                </w:p>
                <w:p>
                  <w:pPr>
                    <w:pStyle w:val="BodyText"/>
                    <w:numPr>
                      <w:ilvl w:val="1"/>
                      <w:numId w:val="7"/>
                    </w:numPr>
                    <w:tabs>
                      <w:tab w:pos="684" w:val="left" w:leader="none"/>
                    </w:tabs>
                    <w:spacing w:line="240" w:lineRule="auto" w:before="3" w:after="0"/>
                    <w:ind w:left="684" w:right="0" w:hanging="370"/>
                    <w:jc w:val="left"/>
                  </w:pPr>
                  <w:r>
                    <w:rPr>
                      <w:spacing w:val="-3"/>
                    </w:rPr>
                    <w:t>本附加合同的终止</w:t>
                  </w:r>
                </w:p>
                <w:p>
                  <w:pPr>
                    <w:pStyle w:val="BodyText"/>
                    <w:numPr>
                      <w:ilvl w:val="1"/>
                      <w:numId w:val="7"/>
                    </w:numPr>
                    <w:tabs>
                      <w:tab w:pos="684" w:val="left" w:leader="none"/>
                    </w:tabs>
                    <w:spacing w:line="247" w:lineRule="exact" w:before="5" w:after="0"/>
                    <w:ind w:left="684" w:right="0" w:hanging="370"/>
                    <w:jc w:val="left"/>
                  </w:pPr>
                  <w:r>
                    <w:rPr>
                      <w:spacing w:val="-3"/>
                    </w:rPr>
                    <w:t>争议处理</w:t>
                  </w:r>
                </w:p>
                <w:p>
                  <w:pPr>
                    <w:spacing w:line="324" w:lineRule="exact" w:before="0"/>
                    <w:ind w:left="0" w:right="0" w:firstLine="0"/>
                    <w:jc w:val="left"/>
                    <w:rPr>
                      <w:rFonts w:ascii="微软雅黑" w:eastAsia="微软雅黑" w:hint="eastAsia"/>
                      <w:b/>
                      <w:sz w:val="21"/>
                    </w:rPr>
                  </w:pPr>
                  <w:r>
                    <w:rPr>
                      <w:rFonts w:ascii="微软雅黑" w:eastAsia="微软雅黑" w:hint="eastAsia"/>
                      <w:b/>
                      <w:w w:val="95"/>
                      <w:sz w:val="21"/>
                    </w:rPr>
                    <w:t>9．释义</w:t>
                  </w:r>
                </w:p>
                <w:p>
                  <w:pPr>
                    <w:pStyle w:val="BodyText"/>
                    <w:numPr>
                      <w:ilvl w:val="1"/>
                      <w:numId w:val="8"/>
                    </w:numPr>
                    <w:tabs>
                      <w:tab w:pos="684" w:val="left" w:leader="none"/>
                    </w:tabs>
                    <w:spacing w:line="264" w:lineRule="exact" w:before="0" w:after="0"/>
                    <w:ind w:left="684" w:right="0" w:hanging="370"/>
                    <w:jc w:val="left"/>
                  </w:pPr>
                  <w:r>
                    <w:rPr>
                      <w:spacing w:val="-2"/>
                    </w:rPr>
                    <w:t>本公司</w:t>
                  </w:r>
                </w:p>
                <w:p>
                  <w:pPr>
                    <w:pStyle w:val="BodyText"/>
                    <w:numPr>
                      <w:ilvl w:val="1"/>
                      <w:numId w:val="8"/>
                    </w:numPr>
                    <w:tabs>
                      <w:tab w:pos="684" w:val="left" w:leader="none"/>
                    </w:tabs>
                    <w:spacing w:line="240" w:lineRule="auto" w:before="5" w:after="0"/>
                    <w:ind w:left="684" w:right="0" w:hanging="370"/>
                    <w:jc w:val="left"/>
                  </w:pPr>
                  <w:r>
                    <w:rPr>
                      <w:spacing w:val="-3"/>
                    </w:rPr>
                    <w:t>周岁</w:t>
                  </w:r>
                </w:p>
                <w:p>
                  <w:pPr>
                    <w:pStyle w:val="BodyText"/>
                    <w:numPr>
                      <w:ilvl w:val="1"/>
                      <w:numId w:val="8"/>
                    </w:numPr>
                    <w:tabs>
                      <w:tab w:pos="684" w:val="left" w:leader="none"/>
                    </w:tabs>
                    <w:spacing w:line="240" w:lineRule="auto" w:before="5" w:after="0"/>
                    <w:ind w:left="684" w:right="0" w:hanging="370"/>
                    <w:jc w:val="left"/>
                  </w:pPr>
                  <w:r>
                    <w:rPr>
                      <w:spacing w:val="-3"/>
                    </w:rPr>
                    <w:t>本公司认可的医疗机构</w:t>
                  </w:r>
                </w:p>
                <w:p>
                  <w:pPr>
                    <w:pStyle w:val="BodyText"/>
                    <w:numPr>
                      <w:ilvl w:val="1"/>
                      <w:numId w:val="8"/>
                    </w:numPr>
                    <w:tabs>
                      <w:tab w:pos="684" w:val="left" w:leader="none"/>
                    </w:tabs>
                    <w:spacing w:line="240" w:lineRule="auto" w:before="3" w:after="0"/>
                    <w:ind w:left="684" w:right="0" w:hanging="370"/>
                    <w:jc w:val="left"/>
                  </w:pPr>
                  <w:r>
                    <w:rPr>
                      <w:spacing w:val="-3"/>
                    </w:rPr>
                    <w:t>本附加合同约定的重大疾病</w:t>
                  </w:r>
                </w:p>
                <w:p>
                  <w:pPr>
                    <w:pStyle w:val="BodyText"/>
                    <w:numPr>
                      <w:ilvl w:val="1"/>
                      <w:numId w:val="8"/>
                    </w:numPr>
                    <w:tabs>
                      <w:tab w:pos="685" w:val="left" w:leader="none"/>
                    </w:tabs>
                    <w:spacing w:line="240" w:lineRule="auto" w:before="6" w:after="0"/>
                    <w:ind w:left="684" w:right="0" w:hanging="370"/>
                    <w:jc w:val="left"/>
                  </w:pPr>
                  <w:r>
                    <w:rPr>
                      <w:spacing w:val="-3"/>
                    </w:rPr>
                    <w:t>意外伤害</w:t>
                  </w:r>
                </w:p>
                <w:p>
                  <w:pPr>
                    <w:pStyle w:val="BodyText"/>
                    <w:numPr>
                      <w:ilvl w:val="1"/>
                      <w:numId w:val="8"/>
                    </w:numPr>
                    <w:tabs>
                      <w:tab w:pos="685" w:val="left" w:leader="none"/>
                    </w:tabs>
                    <w:spacing w:line="240" w:lineRule="auto" w:before="6" w:after="0"/>
                    <w:ind w:left="684" w:right="0" w:hanging="370"/>
                    <w:jc w:val="left"/>
                  </w:pPr>
                  <w:r>
                    <w:rPr>
                      <w:spacing w:val="-3"/>
                    </w:rPr>
                    <w:t>酒后驾驶</w:t>
                  </w:r>
                </w:p>
                <w:p>
                  <w:pPr>
                    <w:pStyle w:val="BodyText"/>
                    <w:numPr>
                      <w:ilvl w:val="1"/>
                      <w:numId w:val="8"/>
                    </w:numPr>
                    <w:tabs>
                      <w:tab w:pos="685" w:val="left" w:leader="none"/>
                    </w:tabs>
                    <w:spacing w:line="240" w:lineRule="auto" w:before="3" w:after="0"/>
                    <w:ind w:left="684" w:right="0" w:hanging="370"/>
                    <w:jc w:val="left"/>
                  </w:pPr>
                  <w:r>
                    <w:rPr>
                      <w:spacing w:val="-3"/>
                    </w:rPr>
                    <w:t>无合法有效驾驶证驾驶</w:t>
                  </w:r>
                </w:p>
                <w:p>
                  <w:pPr>
                    <w:pStyle w:val="BodyText"/>
                    <w:numPr>
                      <w:ilvl w:val="1"/>
                      <w:numId w:val="8"/>
                    </w:numPr>
                    <w:tabs>
                      <w:tab w:pos="685" w:val="left" w:leader="none"/>
                    </w:tabs>
                    <w:spacing w:line="240" w:lineRule="auto" w:before="5" w:after="0"/>
                    <w:ind w:left="684" w:right="0" w:hanging="370"/>
                    <w:jc w:val="left"/>
                  </w:pPr>
                  <w:r>
                    <w:rPr>
                      <w:spacing w:val="-3"/>
                    </w:rPr>
                    <w:t>无有效行驶证</w:t>
                  </w:r>
                </w:p>
                <w:p>
                  <w:pPr>
                    <w:pStyle w:val="BodyText"/>
                    <w:numPr>
                      <w:ilvl w:val="1"/>
                      <w:numId w:val="8"/>
                    </w:numPr>
                    <w:tabs>
                      <w:tab w:pos="685" w:val="left" w:leader="none"/>
                    </w:tabs>
                    <w:spacing w:line="240" w:lineRule="auto" w:before="5" w:after="0"/>
                    <w:ind w:left="684" w:right="0" w:hanging="370"/>
                    <w:jc w:val="left"/>
                  </w:pPr>
                  <w:r>
                    <w:rPr>
                      <w:spacing w:val="-3"/>
                    </w:rPr>
                    <w:t>遗传性疾病</w:t>
                  </w:r>
                </w:p>
                <w:p>
                  <w:pPr>
                    <w:pStyle w:val="BodyText"/>
                    <w:numPr>
                      <w:ilvl w:val="1"/>
                      <w:numId w:val="8"/>
                    </w:numPr>
                    <w:tabs>
                      <w:tab w:pos="788" w:val="left" w:leader="none"/>
                    </w:tabs>
                    <w:spacing w:line="240" w:lineRule="auto" w:before="3" w:after="0"/>
                    <w:ind w:left="787" w:right="0" w:hanging="473"/>
                    <w:jc w:val="left"/>
                  </w:pPr>
                  <w:r>
                    <w:rPr>
                      <w:spacing w:val="-7"/>
                    </w:rPr>
                    <w:t>先天性畸形、变形或染色体异常</w:t>
                  </w:r>
                </w:p>
                <w:p>
                  <w:pPr>
                    <w:pStyle w:val="BodyText"/>
                    <w:numPr>
                      <w:ilvl w:val="1"/>
                      <w:numId w:val="8"/>
                    </w:numPr>
                    <w:tabs>
                      <w:tab w:pos="788" w:val="left" w:leader="none"/>
                    </w:tabs>
                    <w:spacing w:line="240" w:lineRule="auto" w:before="6" w:after="0"/>
                    <w:ind w:left="787" w:right="0" w:hanging="473"/>
                    <w:jc w:val="left"/>
                  </w:pPr>
                  <w:r>
                    <w:rPr>
                      <w:spacing w:val="-2"/>
                    </w:rPr>
                    <w:t>现金价值</w:t>
                  </w:r>
                </w:p>
                <w:p>
                  <w:pPr>
                    <w:pStyle w:val="BodyText"/>
                    <w:numPr>
                      <w:ilvl w:val="1"/>
                      <w:numId w:val="8"/>
                    </w:numPr>
                    <w:tabs>
                      <w:tab w:pos="788" w:val="left" w:leader="none"/>
                    </w:tabs>
                    <w:spacing w:line="240" w:lineRule="auto" w:before="6" w:after="0"/>
                    <w:ind w:left="787" w:right="0" w:hanging="473"/>
                    <w:jc w:val="left"/>
                  </w:pPr>
                  <w:r>
                    <w:rPr>
                      <w:spacing w:val="-3"/>
                    </w:rPr>
                    <w:t>有效身份证件</w:t>
                  </w:r>
                </w:p>
                <w:p>
                  <w:pPr>
                    <w:pStyle w:val="BodyText"/>
                    <w:numPr>
                      <w:ilvl w:val="1"/>
                      <w:numId w:val="8"/>
                    </w:numPr>
                    <w:tabs>
                      <w:tab w:pos="788" w:val="left" w:leader="none"/>
                    </w:tabs>
                    <w:spacing w:line="240" w:lineRule="auto" w:before="3" w:after="0"/>
                    <w:ind w:left="787" w:right="0" w:hanging="473"/>
                    <w:jc w:val="left"/>
                  </w:pPr>
                  <w:r>
                    <w:rPr>
                      <w:spacing w:val="-2"/>
                    </w:rPr>
                    <w:t>约定利率</w:t>
                  </w:r>
                </w:p>
              </w:txbxContent>
            </v:textbox>
            <w10:wrap type="topAndBottom"/>
          </v:shape>
        </w:pict>
      </w:r>
    </w:p>
    <w:p>
      <w:pPr>
        <w:spacing w:after="0"/>
        <w:rPr>
          <w:sz w:val="10"/>
        </w:rPr>
        <w:sectPr>
          <w:type w:val="continuous"/>
          <w:pgSz w:w="11910" w:h="16840"/>
          <w:pgMar w:top="1360" w:bottom="280" w:left="780" w:right="660"/>
        </w:sectPr>
      </w:pPr>
    </w:p>
    <w:p>
      <w:pPr>
        <w:pStyle w:val="BodyText"/>
        <w:spacing w:before="10"/>
        <w:ind w:right="157"/>
        <w:jc w:val="right"/>
      </w:pPr>
      <w:r>
        <w:rPr/>
        <w:drawing>
          <wp:anchor distT="0" distB="0" distL="0" distR="0" allowOverlap="1" layoutInCell="1" locked="0" behindDoc="0" simplePos="0" relativeHeight="1096">
            <wp:simplePos x="0" y="0"/>
            <wp:positionH relativeFrom="page">
              <wp:posOffset>5576315</wp:posOffset>
            </wp:positionH>
            <wp:positionV relativeFrom="paragraph">
              <wp:posOffset>245918</wp:posOffset>
            </wp:positionV>
            <wp:extent cx="723900" cy="723900"/>
            <wp:effectExtent l="0" t="0" r="0" b="0"/>
            <wp:wrapTopAndBottom/>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723900" cy="723900"/>
                    </a:xfrm>
                    <a:prstGeom prst="rect">
                      <a:avLst/>
                    </a:prstGeom>
                  </pic:spPr>
                </pic:pic>
              </a:graphicData>
            </a:graphic>
          </wp:anchor>
        </w:drawing>
      </w:r>
      <w:r>
        <w:rPr/>
        <w:drawing>
          <wp:anchor distT="0" distB="0" distL="0" distR="0" allowOverlap="1" layoutInCell="1" locked="0" behindDoc="0" simplePos="0" relativeHeight="1120">
            <wp:simplePos x="0" y="0"/>
            <wp:positionH relativeFrom="page">
              <wp:posOffset>647700</wp:posOffset>
            </wp:positionH>
            <wp:positionV relativeFrom="paragraph">
              <wp:posOffset>12746</wp:posOffset>
            </wp:positionV>
            <wp:extent cx="1673351" cy="545591"/>
            <wp:effectExtent l="0" t="0" r="0" b="0"/>
            <wp:wrapNone/>
            <wp:docPr id="3" name="image3.jpeg" descr="?"/>
            <wp:cNvGraphicFramePr>
              <a:graphicFrameLocks noChangeAspect="1"/>
            </wp:cNvGraphicFramePr>
            <a:graphic>
              <a:graphicData uri="http://schemas.openxmlformats.org/drawingml/2006/picture">
                <pic:pic>
                  <pic:nvPicPr>
                    <pic:cNvPr id="4" name="image3.jpeg"/>
                    <pic:cNvPicPr/>
                  </pic:nvPicPr>
                  <pic:blipFill>
                    <a:blip r:embed="rId8" cstate="print"/>
                    <a:stretch>
                      <a:fillRect/>
                    </a:stretch>
                  </pic:blipFill>
                  <pic:spPr>
                    <a:xfrm>
                      <a:off x="0" y="0"/>
                      <a:ext cx="1673351" cy="545591"/>
                    </a:xfrm>
                    <a:prstGeom prst="rect">
                      <a:avLst/>
                    </a:prstGeom>
                  </pic:spPr>
                </pic:pic>
              </a:graphicData>
            </a:graphic>
          </wp:anchor>
        </w:drawing>
      </w:r>
      <w:r>
        <w:rPr/>
        <w:t>珠江人寿[2012]疾病保险 033 号</w:t>
      </w:r>
    </w:p>
    <w:p>
      <w:pPr>
        <w:pStyle w:val="BodyText"/>
        <w:spacing w:before="13"/>
        <w:ind w:right="577"/>
        <w:jc w:val="right"/>
      </w:pPr>
      <w:r>
        <w:rPr/>
        <w:t>请扫描以查询验证条款</w:t>
      </w:r>
    </w:p>
    <w:p>
      <w:pPr>
        <w:pStyle w:val="BodyText"/>
        <w:spacing w:before="11"/>
        <w:rPr>
          <w:sz w:val="26"/>
        </w:rPr>
      </w:pPr>
    </w:p>
    <w:p>
      <w:pPr>
        <w:spacing w:line="540" w:lineRule="exact" w:before="0"/>
        <w:ind w:left="2130" w:right="2135" w:firstLine="0"/>
        <w:jc w:val="center"/>
        <w:rPr>
          <w:rFonts w:ascii="黑体" w:eastAsia="黑体" w:hint="eastAsia"/>
          <w:b/>
          <w:sz w:val="44"/>
        </w:rPr>
      </w:pPr>
      <w:r>
        <w:rPr>
          <w:rFonts w:ascii="黑体" w:eastAsia="黑体" w:hint="eastAsia"/>
          <w:b/>
          <w:w w:val="95"/>
          <w:sz w:val="44"/>
        </w:rPr>
        <w:t>珠江人寿保险股份有限公司</w:t>
      </w:r>
    </w:p>
    <w:p>
      <w:pPr>
        <w:pStyle w:val="Heading1"/>
        <w:spacing w:before="145"/>
        <w:ind w:left="2133" w:right="2135"/>
        <w:rPr>
          <w:rFonts w:ascii="黑体" w:eastAsia="黑体" w:hint="eastAsia"/>
        </w:rPr>
      </w:pPr>
      <w:r>
        <w:rPr>
          <w:rFonts w:ascii="黑体" w:eastAsia="黑体" w:hint="eastAsia"/>
          <w:w w:val="95"/>
        </w:rPr>
        <w:t>珠江附加豁免保险费重大疾病保险条款</w:t>
      </w:r>
    </w:p>
    <w:p>
      <w:pPr>
        <w:pStyle w:val="BodyText"/>
        <w:spacing w:before="141"/>
        <w:ind w:left="2134" w:right="2135"/>
        <w:jc w:val="center"/>
      </w:pPr>
      <w:r>
        <w:rPr/>
        <w:t>（珠寿发【2012】35 号，2012 年 11 月呈报中国保监会备案）</w:t>
      </w:r>
    </w:p>
    <w:p>
      <w:pPr>
        <w:pStyle w:val="BodyText"/>
        <w:rPr>
          <w:sz w:val="20"/>
        </w:rPr>
      </w:pPr>
    </w:p>
    <w:p>
      <w:pPr>
        <w:pStyle w:val="BodyText"/>
        <w:spacing w:before="4"/>
        <w:rPr>
          <w:sz w:val="15"/>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9"/>
        <w:gridCol w:w="1901"/>
        <w:gridCol w:w="7419"/>
      </w:tblGrid>
      <w:tr>
        <w:trPr>
          <w:trHeight w:val="522" w:hRule="atLeast"/>
        </w:trPr>
        <w:tc>
          <w:tcPr>
            <w:tcW w:w="659" w:type="dxa"/>
            <w:tcBorders>
              <w:bottom w:val="single" w:sz="8" w:space="0" w:color="000000"/>
            </w:tcBorders>
          </w:tcPr>
          <w:p>
            <w:pPr>
              <w:pStyle w:val="TableParagraph"/>
              <w:spacing w:line="423" w:lineRule="exact"/>
              <w:ind w:left="110"/>
              <w:rPr>
                <w:rFonts w:ascii="Arial" w:hAnsi="Arial"/>
                <w:b/>
                <w:sz w:val="40"/>
              </w:rPr>
            </w:pPr>
            <w:r>
              <w:rPr>
                <w:rFonts w:ascii="Arial" w:hAnsi="Arial"/>
                <w:b/>
                <w:color w:val="303030"/>
                <w:w w:val="119"/>
                <w:sz w:val="40"/>
              </w:rPr>
              <w:t></w:t>
            </w:r>
          </w:p>
        </w:tc>
        <w:tc>
          <w:tcPr>
            <w:tcW w:w="9320" w:type="dxa"/>
            <w:gridSpan w:val="2"/>
            <w:tcBorders>
              <w:bottom w:val="single" w:sz="8" w:space="0" w:color="000000"/>
            </w:tcBorders>
          </w:tcPr>
          <w:p>
            <w:pPr>
              <w:pStyle w:val="TableParagraph"/>
              <w:spacing w:line="358" w:lineRule="exact"/>
              <w:ind w:left="190"/>
              <w:rPr>
                <w:rFonts w:ascii="微软雅黑" w:eastAsia="微软雅黑" w:hint="eastAsia"/>
                <w:b/>
                <w:sz w:val="24"/>
              </w:rPr>
            </w:pPr>
            <w:r>
              <w:rPr>
                <w:rFonts w:ascii="微软雅黑" w:eastAsia="微软雅黑" w:hint="eastAsia"/>
                <w:b/>
                <w:sz w:val="24"/>
              </w:rPr>
              <w:t>投保人与本公司的合同</w:t>
            </w:r>
          </w:p>
        </w:tc>
      </w:tr>
      <w:tr>
        <w:trPr>
          <w:trHeight w:val="2403" w:hRule="atLeast"/>
        </w:trPr>
        <w:tc>
          <w:tcPr>
            <w:tcW w:w="659" w:type="dxa"/>
            <w:tcBorders>
              <w:top w:val="single" w:sz="8" w:space="0" w:color="000000"/>
            </w:tcBorders>
          </w:tcPr>
          <w:p>
            <w:pPr>
              <w:pStyle w:val="TableParagraph"/>
              <w:spacing w:before="64"/>
              <w:ind w:left="110"/>
              <w:rPr>
                <w:rFonts w:ascii="微软雅黑"/>
                <w:b/>
                <w:sz w:val="21"/>
              </w:rPr>
            </w:pPr>
            <w:r>
              <w:rPr>
                <w:rFonts w:ascii="微软雅黑"/>
                <w:b/>
                <w:sz w:val="21"/>
              </w:rPr>
              <w:t>1.1</w:t>
            </w:r>
          </w:p>
        </w:tc>
        <w:tc>
          <w:tcPr>
            <w:tcW w:w="1901" w:type="dxa"/>
            <w:tcBorders>
              <w:top w:val="single" w:sz="8" w:space="0" w:color="000000"/>
            </w:tcBorders>
          </w:tcPr>
          <w:p>
            <w:pPr>
              <w:pStyle w:val="TableParagraph"/>
              <w:spacing w:before="64"/>
              <w:ind w:left="190"/>
              <w:rPr>
                <w:rFonts w:ascii="微软雅黑" w:eastAsia="微软雅黑" w:hint="eastAsia"/>
                <w:b/>
                <w:sz w:val="21"/>
              </w:rPr>
            </w:pPr>
            <w:r>
              <w:rPr>
                <w:rFonts w:ascii="微软雅黑" w:eastAsia="微软雅黑" w:hint="eastAsia"/>
                <w:b/>
                <w:sz w:val="21"/>
              </w:rPr>
              <w:t>合同构成</w:t>
            </w:r>
          </w:p>
        </w:tc>
        <w:tc>
          <w:tcPr>
            <w:tcW w:w="7419" w:type="dxa"/>
            <w:tcBorders>
              <w:top w:val="single" w:sz="8" w:space="0" w:color="000000"/>
            </w:tcBorders>
          </w:tcPr>
          <w:p>
            <w:pPr>
              <w:pStyle w:val="TableParagraph"/>
              <w:spacing w:line="273" w:lineRule="auto" w:before="126"/>
              <w:ind w:left="231" w:right="104" w:hanging="1"/>
              <w:jc w:val="both"/>
              <w:rPr>
                <w:sz w:val="21"/>
              </w:rPr>
            </w:pPr>
            <w:r>
              <w:rPr>
                <w:spacing w:val="-5"/>
                <w:w w:val="100"/>
                <w:sz w:val="21"/>
              </w:rPr>
              <w:t>珠江附加豁免保险费重大疾病保险</w:t>
            </w:r>
            <w:r>
              <w:rPr>
                <w:w w:val="100"/>
                <w:sz w:val="21"/>
              </w:rPr>
              <w:t>（</w:t>
            </w:r>
            <w:r>
              <w:rPr>
                <w:spacing w:val="-16"/>
                <w:w w:val="100"/>
                <w:sz w:val="21"/>
              </w:rPr>
              <w:t>以下简称“本附加合同”</w:t>
            </w:r>
            <w:r>
              <w:rPr>
                <w:spacing w:val="-108"/>
                <w:w w:val="100"/>
                <w:sz w:val="21"/>
              </w:rPr>
              <w:t>）</w:t>
            </w:r>
            <w:r>
              <w:rPr>
                <w:spacing w:val="-7"/>
                <w:w w:val="100"/>
                <w:sz w:val="21"/>
              </w:rPr>
              <w:t>，需由被豁免合</w:t>
            </w:r>
            <w:r>
              <w:rPr>
                <w:spacing w:val="-9"/>
                <w:sz w:val="21"/>
              </w:rPr>
              <w:t>同投保人提出申请，经本公司同意而订立。被豁免合同是指本附加合同所豁免</w:t>
            </w:r>
            <w:r>
              <w:rPr>
                <w:spacing w:val="-3"/>
                <w:sz w:val="21"/>
              </w:rPr>
              <w:t>保险费的合同，包括主保险合同及保险期间超过一年的附加险合同。</w:t>
            </w:r>
          </w:p>
          <w:p>
            <w:pPr>
              <w:pStyle w:val="TableParagraph"/>
              <w:spacing w:line="273" w:lineRule="auto" w:before="7"/>
              <w:ind w:left="231" w:right="102"/>
              <w:jc w:val="both"/>
              <w:rPr>
                <w:sz w:val="21"/>
              </w:rPr>
            </w:pPr>
            <w:r>
              <w:rPr>
                <w:spacing w:val="-8"/>
                <w:sz w:val="21"/>
              </w:rPr>
              <w:t>主合同所附条款、投保书及与本附加合同有关的其他投保文件、合法有效的声</w:t>
            </w:r>
            <w:r>
              <w:rPr>
                <w:spacing w:val="-10"/>
                <w:sz w:val="21"/>
              </w:rPr>
              <w:t>明、批注、批单、其他书面协议，凡与本附加合同相关者，都是本附加合同的</w:t>
            </w:r>
            <w:r>
              <w:rPr>
                <w:spacing w:val="-8"/>
                <w:sz w:val="21"/>
              </w:rPr>
              <w:t>构成部分。凡本附加合同未做规定的内容，适用主合同条款相关规定。若主合</w:t>
            </w:r>
            <w:r>
              <w:rPr>
                <w:spacing w:val="-3"/>
                <w:sz w:val="21"/>
              </w:rPr>
              <w:t>同与本附加合同的条款互有冲突，则以本附加合同的条款为准。</w:t>
            </w:r>
          </w:p>
        </w:tc>
      </w:tr>
      <w:tr>
        <w:trPr>
          <w:trHeight w:val="1111" w:hRule="atLeast"/>
        </w:trPr>
        <w:tc>
          <w:tcPr>
            <w:tcW w:w="659" w:type="dxa"/>
          </w:tcPr>
          <w:p>
            <w:pPr>
              <w:pStyle w:val="TableParagraph"/>
              <w:spacing w:before="4"/>
              <w:ind w:left="110"/>
              <w:rPr>
                <w:rFonts w:ascii="微软雅黑"/>
                <w:b/>
                <w:sz w:val="21"/>
              </w:rPr>
            </w:pPr>
            <w:r>
              <w:rPr>
                <w:rFonts w:ascii="微软雅黑"/>
                <w:b/>
                <w:sz w:val="21"/>
              </w:rPr>
              <w:t>1.2</w:t>
            </w:r>
          </w:p>
        </w:tc>
        <w:tc>
          <w:tcPr>
            <w:tcW w:w="1901" w:type="dxa"/>
          </w:tcPr>
          <w:p>
            <w:pPr>
              <w:pStyle w:val="TableParagraph"/>
              <w:spacing w:before="4"/>
              <w:ind w:left="190"/>
              <w:rPr>
                <w:rFonts w:ascii="微软雅黑" w:eastAsia="微软雅黑" w:hint="eastAsia"/>
                <w:b/>
                <w:sz w:val="21"/>
              </w:rPr>
            </w:pPr>
            <w:r>
              <w:rPr>
                <w:rFonts w:ascii="微软雅黑" w:eastAsia="微软雅黑" w:hint="eastAsia"/>
                <w:b/>
                <w:sz w:val="21"/>
              </w:rPr>
              <w:t>合同成立与生效</w:t>
            </w:r>
          </w:p>
        </w:tc>
        <w:tc>
          <w:tcPr>
            <w:tcW w:w="7419" w:type="dxa"/>
          </w:tcPr>
          <w:p>
            <w:pPr>
              <w:pStyle w:val="TableParagraph"/>
              <w:spacing w:before="4"/>
              <w:ind w:left="231"/>
              <w:rPr>
                <w:sz w:val="21"/>
              </w:rPr>
            </w:pPr>
            <w:r>
              <w:rPr>
                <w:sz w:val="21"/>
              </w:rPr>
              <w:t>投保人提出保险申请，</w:t>
            </w:r>
            <w:r>
              <w:rPr>
                <w:rFonts w:ascii="微软雅黑" w:eastAsia="微软雅黑" w:hint="eastAsia"/>
                <w:b/>
                <w:sz w:val="21"/>
              </w:rPr>
              <w:t>本公司</w:t>
            </w:r>
            <w:r>
              <w:rPr>
                <w:sz w:val="21"/>
              </w:rPr>
              <w:t>（见 9.1）同意承保，本附加合同成立。</w:t>
            </w:r>
          </w:p>
          <w:p>
            <w:pPr>
              <w:pStyle w:val="TableParagraph"/>
              <w:spacing w:line="273" w:lineRule="auto" w:before="11"/>
              <w:ind w:left="231" w:right="-15"/>
              <w:rPr>
                <w:sz w:val="21"/>
              </w:rPr>
            </w:pPr>
            <w:r>
              <w:rPr>
                <w:spacing w:val="-8"/>
                <w:sz w:val="21"/>
              </w:rPr>
              <w:t>本附加合同自本公司同意承保、收取保险费并签发保险单的次日零时起开始生</w:t>
            </w:r>
            <w:r>
              <w:rPr>
                <w:spacing w:val="-16"/>
                <w:sz w:val="21"/>
              </w:rPr>
              <w:t>效。除另有约定外，本附加合同生效的日期为本公司开始承担保险责任的日期。</w:t>
            </w:r>
          </w:p>
        </w:tc>
      </w:tr>
      <w:tr>
        <w:trPr>
          <w:trHeight w:val="1111" w:hRule="atLeast"/>
        </w:trPr>
        <w:tc>
          <w:tcPr>
            <w:tcW w:w="659" w:type="dxa"/>
          </w:tcPr>
          <w:p>
            <w:pPr>
              <w:pStyle w:val="TableParagraph"/>
              <w:spacing w:before="19"/>
              <w:ind w:left="110"/>
              <w:rPr>
                <w:rFonts w:ascii="微软雅黑"/>
                <w:b/>
                <w:sz w:val="21"/>
              </w:rPr>
            </w:pPr>
            <w:r>
              <w:rPr>
                <w:rFonts w:ascii="微软雅黑"/>
                <w:b/>
                <w:sz w:val="21"/>
              </w:rPr>
              <w:t>1.3</w:t>
            </w:r>
          </w:p>
        </w:tc>
        <w:tc>
          <w:tcPr>
            <w:tcW w:w="1901" w:type="dxa"/>
          </w:tcPr>
          <w:p>
            <w:pPr>
              <w:pStyle w:val="TableParagraph"/>
              <w:spacing w:before="19"/>
              <w:ind w:left="190"/>
              <w:rPr>
                <w:rFonts w:ascii="微软雅黑" w:eastAsia="微软雅黑" w:hint="eastAsia"/>
                <w:b/>
                <w:sz w:val="21"/>
              </w:rPr>
            </w:pPr>
            <w:r>
              <w:rPr>
                <w:rFonts w:ascii="微软雅黑" w:eastAsia="微软雅黑" w:hint="eastAsia"/>
                <w:b/>
                <w:sz w:val="21"/>
              </w:rPr>
              <w:t>投保范围</w:t>
            </w:r>
          </w:p>
        </w:tc>
        <w:tc>
          <w:tcPr>
            <w:tcW w:w="7419" w:type="dxa"/>
          </w:tcPr>
          <w:p>
            <w:pPr>
              <w:pStyle w:val="TableParagraph"/>
              <w:spacing w:line="235" w:lineRule="auto" w:before="87"/>
              <w:ind w:left="231" w:right="103" w:hanging="1"/>
              <w:jc w:val="both"/>
              <w:rPr>
                <w:sz w:val="21"/>
              </w:rPr>
            </w:pPr>
            <w:r>
              <w:rPr>
                <w:spacing w:val="-6"/>
                <w:sz w:val="21"/>
              </w:rPr>
              <w:t>被豁免合同的投保人与被保险人不为同一人时，被豁免合同的投保人可作为本</w:t>
            </w:r>
            <w:r>
              <w:rPr>
                <w:spacing w:val="-4"/>
                <w:sz w:val="21"/>
              </w:rPr>
              <w:t>附加合同的被保险人。被保险人的投保年龄为十八</w:t>
            </w:r>
            <w:r>
              <w:rPr>
                <w:rFonts w:ascii="微软雅黑" w:eastAsia="微软雅黑" w:hint="eastAsia"/>
                <w:b/>
                <w:spacing w:val="-2"/>
                <w:sz w:val="21"/>
              </w:rPr>
              <w:t>周岁</w:t>
            </w:r>
            <w:r>
              <w:rPr>
                <w:spacing w:val="-3"/>
                <w:sz w:val="21"/>
              </w:rPr>
              <w:t>（</w:t>
            </w:r>
            <w:r>
              <w:rPr>
                <w:spacing w:val="-14"/>
                <w:sz w:val="21"/>
              </w:rPr>
              <w:t>见 </w:t>
            </w:r>
            <w:r>
              <w:rPr>
                <w:sz w:val="21"/>
              </w:rPr>
              <w:t>9.2）</w:t>
            </w:r>
            <w:r>
              <w:rPr>
                <w:spacing w:val="-3"/>
                <w:sz w:val="21"/>
              </w:rPr>
              <w:t>至五十五周岁。</w:t>
            </w:r>
          </w:p>
        </w:tc>
      </w:tr>
      <w:tr>
        <w:trPr>
          <w:trHeight w:val="2136" w:hRule="atLeast"/>
        </w:trPr>
        <w:tc>
          <w:tcPr>
            <w:tcW w:w="659" w:type="dxa"/>
          </w:tcPr>
          <w:p>
            <w:pPr>
              <w:pStyle w:val="TableParagraph"/>
              <w:spacing w:before="4"/>
              <w:ind w:left="110"/>
              <w:rPr>
                <w:rFonts w:ascii="微软雅黑"/>
                <w:b/>
                <w:sz w:val="21"/>
              </w:rPr>
            </w:pPr>
            <w:r>
              <w:rPr>
                <w:rFonts w:ascii="微软雅黑"/>
                <w:b/>
                <w:sz w:val="21"/>
              </w:rPr>
              <w:t>1.4</w:t>
            </w:r>
          </w:p>
        </w:tc>
        <w:tc>
          <w:tcPr>
            <w:tcW w:w="1901" w:type="dxa"/>
          </w:tcPr>
          <w:p>
            <w:pPr>
              <w:pStyle w:val="TableParagraph"/>
              <w:spacing w:before="4"/>
              <w:ind w:left="190"/>
              <w:rPr>
                <w:rFonts w:ascii="微软雅黑" w:eastAsia="微软雅黑" w:hint="eastAsia"/>
                <w:b/>
                <w:sz w:val="21"/>
              </w:rPr>
            </w:pPr>
            <w:r>
              <w:rPr>
                <w:rFonts w:ascii="微软雅黑" w:eastAsia="微软雅黑" w:hint="eastAsia"/>
                <w:b/>
                <w:sz w:val="21"/>
              </w:rPr>
              <w:t>犹豫期</w:t>
            </w:r>
          </w:p>
        </w:tc>
        <w:tc>
          <w:tcPr>
            <w:tcW w:w="7419" w:type="dxa"/>
          </w:tcPr>
          <w:p>
            <w:pPr>
              <w:pStyle w:val="TableParagraph"/>
              <w:spacing w:line="300" w:lineRule="auto" w:before="81"/>
              <w:ind w:left="231" w:right="105"/>
              <w:jc w:val="both"/>
              <w:rPr>
                <w:sz w:val="21"/>
              </w:rPr>
            </w:pPr>
            <w:r>
              <w:rPr>
                <w:spacing w:val="-4"/>
                <w:sz w:val="21"/>
              </w:rPr>
              <w:t>自投保人签收本附加合同的次日起，有 </w:t>
            </w:r>
            <w:r>
              <w:rPr>
                <w:sz w:val="21"/>
              </w:rPr>
              <w:t>10</w:t>
            </w:r>
            <w:r>
              <w:rPr>
                <w:spacing w:val="-5"/>
                <w:sz w:val="21"/>
              </w:rPr>
              <w:t> 日的犹豫期。在此期间，如投保人</w:t>
            </w:r>
            <w:r>
              <w:rPr>
                <w:spacing w:val="-6"/>
                <w:sz w:val="21"/>
              </w:rPr>
              <w:t>认为本附加合同与投保人的需求不相符，可以解除本附加合同，本公司将无息退还保险费并可扣除不超过 </w:t>
            </w:r>
            <w:r>
              <w:rPr>
                <w:sz w:val="21"/>
              </w:rPr>
              <w:t>10</w:t>
            </w:r>
            <w:r>
              <w:rPr>
                <w:spacing w:val="-9"/>
                <w:sz w:val="21"/>
              </w:rPr>
              <w:t> 元的工本费。</w:t>
            </w:r>
          </w:p>
          <w:p>
            <w:pPr>
              <w:pStyle w:val="TableParagraph"/>
              <w:spacing w:line="213" w:lineRule="auto" w:before="31"/>
              <w:ind w:left="231" w:right="105"/>
              <w:jc w:val="both"/>
              <w:rPr>
                <w:rFonts w:ascii="微软雅黑" w:eastAsia="微软雅黑" w:hint="eastAsia"/>
                <w:b/>
                <w:sz w:val="21"/>
              </w:rPr>
            </w:pPr>
            <w:r>
              <w:rPr>
                <w:spacing w:val="-9"/>
                <w:sz w:val="21"/>
              </w:rPr>
              <w:t>解除合同时，投保人需要填写申请书，并提供本附加合同及本公司要求的相关</w:t>
            </w:r>
            <w:r>
              <w:rPr>
                <w:spacing w:val="-16"/>
                <w:sz w:val="21"/>
              </w:rPr>
              <w:t>资料。</w:t>
            </w:r>
            <w:r>
              <w:rPr>
                <w:rFonts w:ascii="微软雅黑" w:eastAsia="微软雅黑" w:hint="eastAsia"/>
                <w:b/>
                <w:spacing w:val="-5"/>
                <w:sz w:val="21"/>
              </w:rPr>
              <w:t>自本公司收到投保人申请解除合同的书面申请之时起，本附加合同即被</w:t>
            </w:r>
            <w:r>
              <w:rPr>
                <w:rFonts w:ascii="微软雅黑" w:eastAsia="微软雅黑" w:hint="eastAsia"/>
                <w:b/>
                <w:spacing w:val="-3"/>
                <w:sz w:val="21"/>
              </w:rPr>
              <w:t>解除，本公司自本附加合同生效日起自始不承担保险责任。</w:t>
            </w:r>
          </w:p>
        </w:tc>
      </w:tr>
      <w:tr>
        <w:trPr>
          <w:trHeight w:val="663" w:hRule="atLeast"/>
        </w:trPr>
        <w:tc>
          <w:tcPr>
            <w:tcW w:w="659" w:type="dxa"/>
            <w:tcBorders>
              <w:bottom w:val="single" w:sz="8" w:space="0" w:color="000000"/>
            </w:tcBorders>
          </w:tcPr>
          <w:p>
            <w:pPr>
              <w:pStyle w:val="TableParagraph"/>
              <w:spacing w:before="104"/>
              <w:ind w:left="110"/>
              <w:rPr>
                <w:rFonts w:ascii="Arial" w:hAnsi="Arial"/>
                <w:b/>
                <w:sz w:val="40"/>
              </w:rPr>
            </w:pPr>
            <w:r>
              <w:rPr>
                <w:rFonts w:ascii="Arial" w:hAnsi="Arial"/>
                <w:b/>
                <w:color w:val="303030"/>
                <w:w w:val="119"/>
                <w:sz w:val="40"/>
              </w:rPr>
              <w:t></w:t>
            </w:r>
          </w:p>
        </w:tc>
        <w:tc>
          <w:tcPr>
            <w:tcW w:w="9320" w:type="dxa"/>
            <w:gridSpan w:val="2"/>
            <w:tcBorders>
              <w:bottom w:val="single" w:sz="8" w:space="0" w:color="000000"/>
            </w:tcBorders>
          </w:tcPr>
          <w:p>
            <w:pPr>
              <w:pStyle w:val="TableParagraph"/>
              <w:spacing w:before="84"/>
              <w:ind w:left="190"/>
              <w:rPr>
                <w:rFonts w:ascii="微软雅黑" w:eastAsia="微软雅黑" w:hint="eastAsia"/>
                <w:b/>
                <w:sz w:val="24"/>
              </w:rPr>
            </w:pPr>
            <w:r>
              <w:rPr>
                <w:rFonts w:ascii="微软雅黑" w:eastAsia="微软雅黑" w:hint="eastAsia"/>
                <w:b/>
                <w:sz w:val="24"/>
              </w:rPr>
              <w:t>本公司提供的保障</w:t>
            </w:r>
          </w:p>
        </w:tc>
      </w:tr>
      <w:tr>
        <w:trPr>
          <w:trHeight w:val="2282" w:hRule="atLeast"/>
        </w:trPr>
        <w:tc>
          <w:tcPr>
            <w:tcW w:w="659" w:type="dxa"/>
            <w:tcBorders>
              <w:top w:val="single" w:sz="8" w:space="0" w:color="000000"/>
            </w:tcBorders>
          </w:tcPr>
          <w:p>
            <w:pPr>
              <w:pStyle w:val="TableParagraph"/>
              <w:spacing w:before="64"/>
              <w:ind w:left="110"/>
              <w:rPr>
                <w:rFonts w:ascii="微软雅黑"/>
                <w:b/>
                <w:sz w:val="21"/>
              </w:rPr>
            </w:pPr>
            <w:r>
              <w:rPr>
                <w:rFonts w:ascii="微软雅黑"/>
                <w:b/>
                <w:sz w:val="21"/>
              </w:rPr>
              <w:t>2.1</w:t>
            </w:r>
          </w:p>
        </w:tc>
        <w:tc>
          <w:tcPr>
            <w:tcW w:w="1901" w:type="dxa"/>
            <w:tcBorders>
              <w:top w:val="single" w:sz="8" w:space="0" w:color="000000"/>
            </w:tcBorders>
          </w:tcPr>
          <w:p>
            <w:pPr>
              <w:pStyle w:val="TableParagraph"/>
              <w:spacing w:before="64"/>
              <w:ind w:left="190"/>
              <w:rPr>
                <w:rFonts w:ascii="微软雅黑" w:eastAsia="微软雅黑" w:hint="eastAsia"/>
                <w:b/>
                <w:sz w:val="21"/>
              </w:rPr>
            </w:pPr>
            <w:r>
              <w:rPr>
                <w:rFonts w:ascii="微软雅黑" w:eastAsia="微软雅黑" w:hint="eastAsia"/>
                <w:b/>
                <w:sz w:val="21"/>
              </w:rPr>
              <w:t>保险责任</w:t>
            </w:r>
          </w:p>
        </w:tc>
        <w:tc>
          <w:tcPr>
            <w:tcW w:w="7419" w:type="dxa"/>
            <w:tcBorders>
              <w:top w:val="single" w:sz="8" w:space="0" w:color="000000"/>
            </w:tcBorders>
          </w:tcPr>
          <w:p>
            <w:pPr>
              <w:pStyle w:val="TableParagraph"/>
              <w:spacing w:line="262" w:lineRule="exact" w:before="126"/>
              <w:ind w:left="231"/>
              <w:rPr>
                <w:sz w:val="21"/>
              </w:rPr>
            </w:pPr>
            <w:r>
              <w:rPr>
                <w:sz w:val="21"/>
              </w:rPr>
              <w:t>在本附加合同有效期内，本公司承担如下保险责任：</w:t>
            </w:r>
          </w:p>
          <w:p>
            <w:pPr>
              <w:pStyle w:val="TableParagraph"/>
              <w:spacing w:line="312" w:lineRule="exact" w:before="45"/>
              <w:ind w:left="231" w:right="102" w:firstLine="420"/>
              <w:jc w:val="both"/>
              <w:rPr>
                <w:sz w:val="21"/>
              </w:rPr>
            </w:pPr>
            <w:r>
              <w:rPr>
                <w:spacing w:val="-4"/>
                <w:sz w:val="21"/>
              </w:rPr>
              <w:t>自本附加合同生效之日或最后复效之日起 </w:t>
            </w:r>
            <w:r>
              <w:rPr>
                <w:sz w:val="21"/>
              </w:rPr>
              <w:t>90</w:t>
            </w:r>
            <w:r>
              <w:rPr>
                <w:spacing w:val="-5"/>
                <w:sz w:val="21"/>
              </w:rPr>
              <w:t> 日内，被保险人经</w:t>
            </w:r>
            <w:r>
              <w:rPr>
                <w:rFonts w:ascii="微软雅黑" w:eastAsia="微软雅黑" w:hint="eastAsia"/>
                <w:b/>
                <w:sz w:val="21"/>
              </w:rPr>
              <w:t>本公司认</w:t>
            </w:r>
            <w:r>
              <w:rPr>
                <w:rFonts w:ascii="微软雅黑" w:eastAsia="微软雅黑" w:hint="eastAsia"/>
                <w:b/>
                <w:w w:val="100"/>
                <w:sz w:val="21"/>
              </w:rPr>
              <w:t>可的医疗机构</w:t>
            </w:r>
            <w:r>
              <w:rPr>
                <w:spacing w:val="-3"/>
                <w:w w:val="100"/>
                <w:sz w:val="21"/>
              </w:rPr>
              <w:t>（</w:t>
            </w:r>
            <w:r>
              <w:rPr>
                <w:w w:val="100"/>
                <w:sz w:val="21"/>
              </w:rPr>
              <w:t>见</w:t>
            </w:r>
            <w:r>
              <w:rPr>
                <w:spacing w:val="-53"/>
                <w:sz w:val="21"/>
              </w:rPr>
              <w:t> </w:t>
            </w:r>
            <w:r>
              <w:rPr>
                <w:spacing w:val="-3"/>
                <w:w w:val="100"/>
                <w:sz w:val="21"/>
              </w:rPr>
              <w:t>9</w:t>
            </w:r>
            <w:r>
              <w:rPr>
                <w:w w:val="100"/>
                <w:sz w:val="21"/>
              </w:rPr>
              <w:t>.3</w:t>
            </w:r>
            <w:r>
              <w:rPr>
                <w:spacing w:val="-3"/>
                <w:w w:val="100"/>
                <w:sz w:val="21"/>
              </w:rPr>
              <w:t>）确诊初次患有</w:t>
            </w:r>
            <w:r>
              <w:rPr>
                <w:rFonts w:ascii="微软雅黑" w:eastAsia="微软雅黑" w:hint="eastAsia"/>
                <w:b/>
                <w:spacing w:val="-1"/>
                <w:w w:val="100"/>
                <w:sz w:val="21"/>
              </w:rPr>
              <w:t>本附加合同约定的重大疾病</w:t>
            </w:r>
            <w:r>
              <w:rPr>
                <w:spacing w:val="-3"/>
                <w:w w:val="100"/>
                <w:sz w:val="21"/>
              </w:rPr>
              <w:t>（</w:t>
            </w:r>
            <w:r>
              <w:rPr>
                <w:w w:val="100"/>
                <w:sz w:val="21"/>
              </w:rPr>
              <w:t>见</w:t>
            </w:r>
            <w:r>
              <w:rPr>
                <w:spacing w:val="-53"/>
                <w:sz w:val="21"/>
              </w:rPr>
              <w:t> </w:t>
            </w:r>
            <w:r>
              <w:rPr>
                <w:spacing w:val="-3"/>
                <w:w w:val="100"/>
                <w:sz w:val="21"/>
              </w:rPr>
              <w:t>9</w:t>
            </w:r>
            <w:r>
              <w:rPr>
                <w:w w:val="100"/>
                <w:sz w:val="21"/>
              </w:rPr>
              <w:t>.4</w:t>
            </w:r>
            <w:r>
              <w:rPr>
                <w:spacing w:val="-108"/>
                <w:w w:val="100"/>
                <w:sz w:val="21"/>
              </w:rPr>
              <w:t>），</w:t>
            </w:r>
            <w:r>
              <w:rPr>
                <w:spacing w:val="-6"/>
                <w:sz w:val="21"/>
              </w:rPr>
              <w:t>本公司将无息全额退还该被保险人的所交保险费，本附加合同对该被保险人的</w:t>
            </w:r>
            <w:r>
              <w:rPr>
                <w:spacing w:val="-9"/>
                <w:sz w:val="21"/>
              </w:rPr>
              <w:t>保险责任终止。这 </w:t>
            </w:r>
            <w:r>
              <w:rPr>
                <w:sz w:val="21"/>
              </w:rPr>
              <w:t>90</w:t>
            </w:r>
            <w:r>
              <w:rPr>
                <w:spacing w:val="-8"/>
                <w:sz w:val="21"/>
              </w:rPr>
              <w:t> 日的时间称为等待期。</w:t>
            </w:r>
          </w:p>
          <w:p>
            <w:pPr>
              <w:pStyle w:val="TableParagraph"/>
              <w:spacing w:line="329" w:lineRule="exact"/>
              <w:ind w:left="651"/>
              <w:rPr>
                <w:sz w:val="21"/>
              </w:rPr>
            </w:pPr>
            <w:r>
              <w:rPr>
                <w:sz w:val="21"/>
              </w:rPr>
              <w:t>被保险人因</w:t>
            </w:r>
            <w:r>
              <w:rPr>
                <w:rFonts w:ascii="微软雅黑" w:eastAsia="微软雅黑" w:hint="eastAsia"/>
                <w:b/>
                <w:sz w:val="21"/>
              </w:rPr>
              <w:t>意外伤害</w:t>
            </w:r>
            <w:r>
              <w:rPr>
                <w:sz w:val="21"/>
              </w:rPr>
              <w:t>（见 9.5）发生上述情形的，无等待期。</w:t>
            </w:r>
          </w:p>
          <w:p>
            <w:pPr>
              <w:pStyle w:val="TableParagraph"/>
              <w:spacing w:line="252" w:lineRule="exact"/>
              <w:ind w:left="651"/>
              <w:rPr>
                <w:sz w:val="21"/>
              </w:rPr>
            </w:pPr>
            <w:r>
              <w:rPr>
                <w:sz w:val="21"/>
              </w:rPr>
              <w:t>被保险人因意外伤害或于等待期后，经本公司认可的医疗机构确诊初次患</w:t>
            </w:r>
          </w:p>
        </w:tc>
      </w:tr>
    </w:tbl>
    <w:p>
      <w:pPr>
        <w:spacing w:after="0" w:line="252" w:lineRule="exact"/>
        <w:rPr>
          <w:sz w:val="21"/>
        </w:rPr>
        <w:sectPr>
          <w:footerReference w:type="default" r:id="rId6"/>
          <w:pgSz w:w="11910" w:h="16840"/>
          <w:pgMar w:footer="377" w:header="0" w:top="1260" w:bottom="560" w:left="860" w:right="860"/>
          <w:pgNumType w:start="1"/>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9"/>
        <w:gridCol w:w="2007"/>
        <w:gridCol w:w="7312"/>
      </w:tblGrid>
      <w:tr>
        <w:trPr>
          <w:trHeight w:val="685" w:hRule="atLeast"/>
        </w:trPr>
        <w:tc>
          <w:tcPr>
            <w:tcW w:w="659" w:type="dxa"/>
          </w:tcPr>
          <w:p>
            <w:pPr>
              <w:pStyle w:val="TableParagraph"/>
              <w:ind w:left="0"/>
              <w:rPr>
                <w:rFonts w:ascii="Times New Roman"/>
                <w:sz w:val="20"/>
              </w:rPr>
            </w:pPr>
          </w:p>
        </w:tc>
        <w:tc>
          <w:tcPr>
            <w:tcW w:w="2007" w:type="dxa"/>
          </w:tcPr>
          <w:p>
            <w:pPr>
              <w:pStyle w:val="TableParagraph"/>
              <w:ind w:left="0"/>
              <w:rPr>
                <w:rFonts w:ascii="Times New Roman"/>
                <w:sz w:val="20"/>
              </w:rPr>
            </w:pPr>
          </w:p>
        </w:tc>
        <w:tc>
          <w:tcPr>
            <w:tcW w:w="7312" w:type="dxa"/>
          </w:tcPr>
          <w:p>
            <w:pPr>
              <w:pStyle w:val="TableParagraph"/>
              <w:spacing w:line="205" w:lineRule="exact"/>
              <w:ind w:left="125"/>
              <w:rPr>
                <w:sz w:val="21"/>
              </w:rPr>
            </w:pPr>
            <w:r>
              <w:rPr>
                <w:sz w:val="21"/>
              </w:rPr>
              <w:t>有本附加合同约定的重大疾病，自被保险人确诊日后的下一个保单周年日起，</w:t>
            </w:r>
          </w:p>
          <w:p>
            <w:pPr>
              <w:pStyle w:val="TableParagraph"/>
              <w:spacing w:before="37"/>
              <w:ind w:left="125"/>
              <w:rPr>
                <w:sz w:val="21"/>
              </w:rPr>
            </w:pPr>
            <w:r>
              <w:rPr>
                <w:sz w:val="21"/>
              </w:rPr>
              <w:t>本公司豁免被豁免合同以后应交的各期保险费，本附加合同终止。</w:t>
            </w:r>
          </w:p>
        </w:tc>
      </w:tr>
      <w:tr>
        <w:trPr>
          <w:trHeight w:val="4335" w:hRule="atLeast"/>
        </w:trPr>
        <w:tc>
          <w:tcPr>
            <w:tcW w:w="659" w:type="dxa"/>
          </w:tcPr>
          <w:p>
            <w:pPr>
              <w:pStyle w:val="TableParagraph"/>
              <w:spacing w:before="51"/>
              <w:ind w:left="110"/>
              <w:rPr>
                <w:rFonts w:ascii="微软雅黑"/>
                <w:b/>
                <w:sz w:val="21"/>
              </w:rPr>
            </w:pPr>
            <w:r>
              <w:rPr>
                <w:rFonts w:ascii="微软雅黑"/>
                <w:b/>
                <w:sz w:val="21"/>
              </w:rPr>
              <w:t>2.2</w:t>
            </w:r>
          </w:p>
        </w:tc>
        <w:tc>
          <w:tcPr>
            <w:tcW w:w="2007" w:type="dxa"/>
          </w:tcPr>
          <w:p>
            <w:pPr>
              <w:pStyle w:val="TableParagraph"/>
              <w:spacing w:before="51"/>
              <w:ind w:left="190"/>
              <w:rPr>
                <w:rFonts w:ascii="微软雅黑" w:eastAsia="微软雅黑" w:hint="eastAsia"/>
                <w:b/>
                <w:sz w:val="21"/>
              </w:rPr>
            </w:pPr>
            <w:r>
              <w:rPr>
                <w:rFonts w:ascii="微软雅黑" w:eastAsia="微软雅黑" w:hint="eastAsia"/>
                <w:b/>
                <w:sz w:val="21"/>
              </w:rPr>
              <w:t>责任免除</w:t>
            </w:r>
          </w:p>
        </w:tc>
        <w:tc>
          <w:tcPr>
            <w:tcW w:w="7312" w:type="dxa"/>
          </w:tcPr>
          <w:p>
            <w:pPr>
              <w:pStyle w:val="TableParagraph"/>
              <w:spacing w:line="180" w:lineRule="auto" w:before="120"/>
              <w:ind w:left="125" w:right="102"/>
              <w:rPr>
                <w:rFonts w:ascii="微软雅黑" w:eastAsia="微软雅黑" w:hint="eastAsia"/>
                <w:b/>
                <w:sz w:val="21"/>
              </w:rPr>
            </w:pPr>
            <w:r>
              <w:rPr>
                <w:rFonts w:ascii="微软雅黑" w:eastAsia="微软雅黑" w:hint="eastAsia"/>
                <w:b/>
                <w:sz w:val="21"/>
              </w:rPr>
              <w:t>因下列情形之一导致被保险人发生重大疾病的，本公司不承担豁免保险费责任：</w:t>
            </w:r>
          </w:p>
          <w:p>
            <w:pPr>
              <w:pStyle w:val="TableParagraph"/>
              <w:spacing w:line="300" w:lineRule="exact"/>
              <w:ind w:left="125"/>
              <w:rPr>
                <w:rFonts w:ascii="微软雅黑" w:eastAsia="微软雅黑" w:hint="eastAsia"/>
                <w:b/>
                <w:sz w:val="21"/>
              </w:rPr>
            </w:pPr>
            <w:r>
              <w:rPr>
                <w:rFonts w:ascii="微软雅黑" w:eastAsia="微软雅黑" w:hint="eastAsia"/>
                <w:b/>
                <w:w w:val="95"/>
                <w:sz w:val="21"/>
              </w:rPr>
              <w:t>（1）投保人的故意行为；</w:t>
            </w:r>
          </w:p>
          <w:p>
            <w:pPr>
              <w:pStyle w:val="TableParagraph"/>
              <w:spacing w:line="343" w:lineRule="exact"/>
              <w:ind w:left="125"/>
              <w:rPr>
                <w:rFonts w:ascii="微软雅黑" w:eastAsia="微软雅黑" w:hint="eastAsia"/>
                <w:b/>
                <w:sz w:val="21"/>
              </w:rPr>
            </w:pPr>
            <w:r>
              <w:rPr>
                <w:rFonts w:ascii="微软雅黑" w:eastAsia="微软雅黑" w:hint="eastAsia"/>
                <w:b/>
                <w:sz w:val="21"/>
              </w:rPr>
              <w:t>（2）因被保险人故意犯罪或抗拒依法采取的刑事强制措施；</w:t>
            </w:r>
          </w:p>
          <w:p>
            <w:pPr>
              <w:pStyle w:val="TableParagraph"/>
              <w:spacing w:line="228" w:lineRule="auto" w:before="8"/>
              <w:ind w:left="653" w:right="60" w:hanging="528"/>
              <w:rPr>
                <w:rFonts w:ascii="微软雅黑" w:eastAsia="微软雅黑" w:hint="eastAsia"/>
                <w:b/>
                <w:sz w:val="21"/>
              </w:rPr>
            </w:pPr>
            <w:r>
              <w:rPr>
                <w:rFonts w:ascii="微软雅黑" w:eastAsia="微软雅黑" w:hint="eastAsia"/>
                <w:b/>
                <w:sz w:val="21"/>
              </w:rPr>
              <w:t>（3）被保险人在本附加合同生效或最后复效之日起 2 年内自杀，但被保险人自杀时为无民事行为能力人的除外；</w:t>
            </w:r>
          </w:p>
          <w:p>
            <w:pPr>
              <w:pStyle w:val="TableParagraph"/>
              <w:spacing w:line="228" w:lineRule="auto"/>
              <w:ind w:left="653" w:right="102" w:hanging="528"/>
              <w:rPr>
                <w:rFonts w:ascii="微软雅黑" w:eastAsia="微软雅黑" w:hint="eastAsia"/>
                <w:b/>
                <w:sz w:val="21"/>
              </w:rPr>
            </w:pPr>
            <w:r>
              <w:rPr>
                <w:rFonts w:ascii="微软雅黑" w:eastAsia="微软雅黑" w:hint="eastAsia"/>
                <w:b/>
                <w:w w:val="100"/>
                <w:sz w:val="21"/>
              </w:rPr>
              <w:t>（</w:t>
            </w:r>
            <w:r>
              <w:rPr>
                <w:rFonts w:ascii="微软雅黑" w:eastAsia="微软雅黑" w:hint="eastAsia"/>
                <w:b/>
                <w:w w:val="81"/>
                <w:sz w:val="21"/>
              </w:rPr>
              <w:t>4</w:t>
            </w:r>
            <w:r>
              <w:rPr>
                <w:rFonts w:ascii="微软雅黑" w:eastAsia="微软雅黑" w:hint="eastAsia"/>
                <w:b/>
                <w:spacing w:val="-15"/>
                <w:w w:val="100"/>
                <w:sz w:val="21"/>
              </w:rPr>
              <w:t>）</w:t>
            </w:r>
            <w:r>
              <w:rPr>
                <w:rFonts w:ascii="微软雅黑" w:eastAsia="微软雅黑" w:hint="eastAsia"/>
                <w:b/>
                <w:spacing w:val="-3"/>
                <w:w w:val="100"/>
                <w:sz w:val="21"/>
              </w:rPr>
              <w:t>被保险人酒后驾驶（</w:t>
            </w:r>
            <w:r>
              <w:rPr>
                <w:rFonts w:ascii="微软雅黑" w:eastAsia="微软雅黑" w:hint="eastAsia"/>
                <w:b/>
                <w:w w:val="100"/>
                <w:sz w:val="21"/>
              </w:rPr>
              <w:t>见</w:t>
            </w:r>
            <w:r>
              <w:rPr>
                <w:rFonts w:ascii="微软雅黑" w:eastAsia="微软雅黑" w:hint="eastAsia"/>
                <w:b/>
                <w:spacing w:val="-10"/>
                <w:sz w:val="21"/>
              </w:rPr>
              <w:t> </w:t>
            </w:r>
            <w:r>
              <w:rPr>
                <w:rFonts w:ascii="微软雅黑" w:eastAsia="微软雅黑" w:hint="eastAsia"/>
                <w:b/>
                <w:w w:val="81"/>
                <w:sz w:val="21"/>
              </w:rPr>
              <w:t>9</w:t>
            </w:r>
            <w:r>
              <w:rPr>
                <w:rFonts w:ascii="微软雅黑" w:eastAsia="微软雅黑" w:hint="eastAsia"/>
                <w:b/>
                <w:w w:val="176"/>
                <w:sz w:val="21"/>
              </w:rPr>
              <w:t>.</w:t>
            </w:r>
            <w:r>
              <w:rPr>
                <w:rFonts w:ascii="微软雅黑" w:eastAsia="微软雅黑" w:hint="eastAsia"/>
                <w:b/>
                <w:w w:val="81"/>
                <w:sz w:val="21"/>
              </w:rPr>
              <w:t>6</w:t>
            </w:r>
            <w:r>
              <w:rPr>
                <w:rFonts w:ascii="微软雅黑" w:eastAsia="微软雅黑" w:hint="eastAsia"/>
                <w:b/>
                <w:spacing w:val="-15"/>
                <w:w w:val="100"/>
                <w:sz w:val="21"/>
              </w:rPr>
              <w:t>）</w:t>
            </w:r>
            <w:r>
              <w:rPr>
                <w:rFonts w:ascii="微软雅黑" w:eastAsia="微软雅黑" w:hint="eastAsia"/>
                <w:b/>
                <w:spacing w:val="-6"/>
                <w:w w:val="100"/>
                <w:sz w:val="21"/>
              </w:rPr>
              <w:t>、无合法有效驾驶证驾驶</w:t>
            </w:r>
            <w:r>
              <w:rPr>
                <w:rFonts w:ascii="微软雅黑" w:eastAsia="微软雅黑" w:hint="eastAsia"/>
                <w:b/>
                <w:w w:val="100"/>
                <w:sz w:val="21"/>
              </w:rPr>
              <w:t>（见</w:t>
            </w:r>
            <w:r>
              <w:rPr>
                <w:rFonts w:ascii="微软雅黑" w:eastAsia="微软雅黑" w:hint="eastAsia"/>
                <w:b/>
                <w:spacing w:val="-10"/>
                <w:sz w:val="21"/>
              </w:rPr>
              <w:t> </w:t>
            </w:r>
            <w:r>
              <w:rPr>
                <w:rFonts w:ascii="微软雅黑" w:eastAsia="微软雅黑" w:hint="eastAsia"/>
                <w:b/>
                <w:w w:val="81"/>
                <w:sz w:val="21"/>
              </w:rPr>
              <w:t>9</w:t>
            </w:r>
            <w:r>
              <w:rPr>
                <w:rFonts w:ascii="微软雅黑" w:eastAsia="微软雅黑" w:hint="eastAsia"/>
                <w:b/>
                <w:w w:val="176"/>
                <w:sz w:val="21"/>
              </w:rPr>
              <w:t>.</w:t>
            </w:r>
            <w:r>
              <w:rPr>
                <w:rFonts w:ascii="微软雅黑" w:eastAsia="微软雅黑" w:hint="eastAsia"/>
                <w:b/>
                <w:w w:val="81"/>
                <w:sz w:val="21"/>
              </w:rPr>
              <w:t>7</w:t>
            </w:r>
            <w:r>
              <w:rPr>
                <w:rFonts w:ascii="微软雅黑" w:eastAsia="微软雅黑" w:hint="eastAsia"/>
                <w:b/>
                <w:spacing w:val="-17"/>
                <w:w w:val="100"/>
                <w:sz w:val="21"/>
              </w:rPr>
              <w:t>）</w:t>
            </w:r>
            <w:r>
              <w:rPr>
                <w:rFonts w:ascii="微软雅黑" w:eastAsia="微软雅黑" w:hint="eastAsia"/>
                <w:b/>
                <w:w w:val="100"/>
                <w:sz w:val="21"/>
              </w:rPr>
              <w:t>或驾驶无有效行驶证（见</w:t>
            </w:r>
            <w:r>
              <w:rPr>
                <w:rFonts w:ascii="微软雅黑" w:eastAsia="微软雅黑" w:hint="eastAsia"/>
                <w:b/>
                <w:spacing w:val="-10"/>
                <w:sz w:val="21"/>
              </w:rPr>
              <w:t> </w:t>
            </w:r>
            <w:r>
              <w:rPr>
                <w:rFonts w:ascii="微软雅黑" w:eastAsia="微软雅黑" w:hint="eastAsia"/>
                <w:b/>
                <w:w w:val="81"/>
                <w:sz w:val="21"/>
              </w:rPr>
              <w:t>9</w:t>
            </w:r>
            <w:r>
              <w:rPr>
                <w:rFonts w:ascii="微软雅黑" w:eastAsia="微软雅黑" w:hint="eastAsia"/>
                <w:b/>
                <w:w w:val="176"/>
                <w:sz w:val="21"/>
              </w:rPr>
              <w:t>.</w:t>
            </w:r>
            <w:r>
              <w:rPr>
                <w:rFonts w:ascii="微软雅黑" w:eastAsia="微软雅黑" w:hint="eastAsia"/>
                <w:b/>
                <w:w w:val="81"/>
                <w:sz w:val="21"/>
              </w:rPr>
              <w:t>8</w:t>
            </w:r>
            <w:r>
              <w:rPr>
                <w:rFonts w:ascii="微软雅黑" w:eastAsia="微软雅黑" w:hint="eastAsia"/>
                <w:b/>
                <w:spacing w:val="-3"/>
                <w:w w:val="100"/>
                <w:sz w:val="21"/>
              </w:rPr>
              <w:t>）</w:t>
            </w:r>
            <w:r>
              <w:rPr>
                <w:rFonts w:ascii="微软雅黑" w:eastAsia="微软雅黑" w:hint="eastAsia"/>
                <w:b/>
                <w:spacing w:val="-1"/>
                <w:w w:val="100"/>
                <w:sz w:val="21"/>
              </w:rPr>
              <w:t>的机动车。</w:t>
            </w:r>
          </w:p>
          <w:p>
            <w:pPr>
              <w:pStyle w:val="TableParagraph"/>
              <w:spacing w:line="272" w:lineRule="exact" w:before="1"/>
              <w:ind w:left="125"/>
              <w:rPr>
                <w:rFonts w:ascii="微软雅黑" w:eastAsia="微软雅黑" w:hint="eastAsia"/>
                <w:b/>
                <w:sz w:val="21"/>
              </w:rPr>
            </w:pPr>
            <w:r>
              <w:rPr>
                <w:rFonts w:ascii="微软雅黑" w:eastAsia="微软雅黑" w:hint="eastAsia"/>
                <w:b/>
                <w:w w:val="100"/>
                <w:sz w:val="21"/>
              </w:rPr>
              <w:t>（</w:t>
            </w:r>
            <w:r>
              <w:rPr>
                <w:rFonts w:ascii="微软雅黑" w:eastAsia="微软雅黑" w:hint="eastAsia"/>
                <w:b/>
                <w:w w:val="81"/>
                <w:sz w:val="21"/>
              </w:rPr>
              <w:t>5</w:t>
            </w:r>
            <w:r>
              <w:rPr>
                <w:rFonts w:ascii="微软雅黑" w:eastAsia="微软雅黑" w:hint="eastAsia"/>
                <w:b/>
                <w:w w:val="100"/>
                <w:sz w:val="21"/>
              </w:rPr>
              <w:t>）遗传性疾病（见</w:t>
            </w:r>
            <w:r>
              <w:rPr>
                <w:rFonts w:ascii="微软雅黑" w:eastAsia="微软雅黑" w:hint="eastAsia"/>
                <w:b/>
                <w:spacing w:val="-10"/>
                <w:sz w:val="21"/>
              </w:rPr>
              <w:t> </w:t>
            </w:r>
            <w:r>
              <w:rPr>
                <w:rFonts w:ascii="微软雅黑" w:eastAsia="微软雅黑" w:hint="eastAsia"/>
                <w:b/>
                <w:w w:val="111"/>
                <w:sz w:val="21"/>
              </w:rPr>
              <w:t>9.</w:t>
            </w:r>
            <w:r>
              <w:rPr>
                <w:rFonts w:ascii="微软雅黑" w:eastAsia="微软雅黑" w:hint="eastAsia"/>
                <w:b/>
                <w:spacing w:val="-3"/>
                <w:w w:val="81"/>
                <w:sz w:val="21"/>
              </w:rPr>
              <w:t>9</w:t>
            </w:r>
            <w:r>
              <w:rPr>
                <w:rFonts w:ascii="微软雅黑" w:eastAsia="微软雅黑" w:hint="eastAsia"/>
                <w:b/>
                <w:spacing w:val="-106"/>
                <w:w w:val="100"/>
                <w:sz w:val="21"/>
              </w:rPr>
              <w:t>）</w:t>
            </w:r>
            <w:r>
              <w:rPr>
                <w:rFonts w:ascii="微软雅黑" w:eastAsia="微软雅黑" w:hint="eastAsia"/>
                <w:b/>
                <w:spacing w:val="-2"/>
                <w:w w:val="100"/>
                <w:sz w:val="21"/>
              </w:rPr>
              <w:t>，先天性畸形、变形或染色体异常</w:t>
            </w:r>
            <w:r>
              <w:rPr>
                <w:rFonts w:ascii="微软雅黑" w:eastAsia="微软雅黑" w:hint="eastAsia"/>
                <w:b/>
                <w:w w:val="100"/>
                <w:sz w:val="21"/>
              </w:rPr>
              <w:t>（见</w:t>
            </w:r>
            <w:r>
              <w:rPr>
                <w:rFonts w:ascii="微软雅黑" w:eastAsia="微软雅黑" w:hint="eastAsia"/>
                <w:b/>
                <w:spacing w:val="-10"/>
                <w:sz w:val="21"/>
              </w:rPr>
              <w:t> </w:t>
            </w:r>
            <w:r>
              <w:rPr>
                <w:rFonts w:ascii="微软雅黑" w:eastAsia="微软雅黑" w:hint="eastAsia"/>
                <w:b/>
                <w:w w:val="111"/>
                <w:sz w:val="21"/>
              </w:rPr>
              <w:t>9.</w:t>
            </w:r>
            <w:r>
              <w:rPr>
                <w:rFonts w:ascii="微软雅黑" w:eastAsia="微软雅黑" w:hint="eastAsia"/>
                <w:b/>
                <w:w w:val="81"/>
                <w:sz w:val="21"/>
              </w:rPr>
              <w:t>10</w:t>
            </w:r>
            <w:r>
              <w:rPr>
                <w:rFonts w:ascii="微软雅黑" w:eastAsia="微软雅黑" w:hint="eastAsia"/>
                <w:b/>
                <w:spacing w:val="-106"/>
                <w:w w:val="100"/>
                <w:sz w:val="21"/>
              </w:rPr>
              <w:t>）。</w:t>
            </w:r>
          </w:p>
          <w:p>
            <w:pPr>
              <w:pStyle w:val="TableParagraph"/>
              <w:spacing w:line="206" w:lineRule="auto" w:before="15"/>
              <w:ind w:left="125" w:right="121"/>
              <w:rPr>
                <w:rFonts w:ascii="微软雅黑" w:eastAsia="微软雅黑" w:hint="eastAsia"/>
                <w:b/>
                <w:sz w:val="21"/>
              </w:rPr>
            </w:pPr>
            <w:r>
              <w:rPr>
                <w:rFonts w:ascii="微软雅黑" w:eastAsia="微软雅黑" w:hint="eastAsia"/>
                <w:b/>
                <w:sz w:val="21"/>
              </w:rPr>
              <w:t>发生上述第（1）</w:t>
            </w:r>
            <w:r>
              <w:rPr>
                <w:rFonts w:ascii="微软雅黑" w:eastAsia="微软雅黑" w:hint="eastAsia"/>
                <w:b/>
                <w:spacing w:val="-3"/>
                <w:sz w:val="21"/>
              </w:rPr>
              <w:t>项情形导致被保险人发生重大疾病的，本附加合同效力即行</w:t>
            </w:r>
            <w:r>
              <w:rPr>
                <w:rFonts w:ascii="微软雅黑" w:eastAsia="微软雅黑" w:hint="eastAsia"/>
                <w:b/>
                <w:spacing w:val="-3"/>
                <w:w w:val="100"/>
                <w:sz w:val="21"/>
              </w:rPr>
              <w:t>终止，本公司向其他权利人退还本附加合同的现金价值</w:t>
            </w:r>
            <w:r>
              <w:rPr>
                <w:rFonts w:ascii="微软雅黑" w:eastAsia="微软雅黑" w:hint="eastAsia"/>
                <w:b/>
                <w:w w:val="100"/>
                <w:sz w:val="21"/>
              </w:rPr>
              <w:t>（见</w:t>
            </w:r>
            <w:r>
              <w:rPr>
                <w:rFonts w:ascii="微软雅黑" w:eastAsia="微软雅黑" w:hint="eastAsia"/>
                <w:b/>
                <w:sz w:val="21"/>
              </w:rPr>
              <w:t> </w:t>
            </w:r>
            <w:r>
              <w:rPr>
                <w:rFonts w:ascii="微软雅黑" w:eastAsia="微软雅黑" w:hint="eastAsia"/>
                <w:b/>
                <w:w w:val="111"/>
                <w:sz w:val="21"/>
              </w:rPr>
              <w:t>9.</w:t>
            </w:r>
            <w:r>
              <w:rPr>
                <w:rFonts w:ascii="微软雅黑" w:eastAsia="微软雅黑" w:hint="eastAsia"/>
                <w:b/>
                <w:w w:val="81"/>
                <w:sz w:val="21"/>
              </w:rPr>
              <w:t>11</w:t>
            </w:r>
            <w:r>
              <w:rPr>
                <w:rFonts w:ascii="微软雅黑" w:eastAsia="微软雅黑" w:hint="eastAsia"/>
                <w:b/>
                <w:spacing w:val="-106"/>
                <w:w w:val="100"/>
                <w:sz w:val="21"/>
              </w:rPr>
              <w:t>）。</w:t>
            </w:r>
          </w:p>
          <w:p>
            <w:pPr>
              <w:pStyle w:val="TableParagraph"/>
              <w:spacing w:line="206" w:lineRule="auto"/>
              <w:ind w:left="125" w:right="15"/>
              <w:rPr>
                <w:rFonts w:ascii="微软雅黑" w:eastAsia="微软雅黑" w:hint="eastAsia"/>
                <w:b/>
                <w:sz w:val="21"/>
              </w:rPr>
            </w:pPr>
            <w:r>
              <w:rPr>
                <w:rFonts w:ascii="微软雅黑" w:eastAsia="微软雅黑" w:hint="eastAsia"/>
                <w:b/>
                <w:sz w:val="21"/>
              </w:rPr>
              <w:t>发生上述其他情形导致被保险人发生重大疾病的，本附加合同效力即行终止， 本公司向投保人退还本附加合同的现金价值。</w:t>
            </w:r>
          </w:p>
        </w:tc>
      </w:tr>
      <w:tr>
        <w:trPr>
          <w:trHeight w:val="1120" w:hRule="atLeast"/>
        </w:trPr>
        <w:tc>
          <w:tcPr>
            <w:tcW w:w="659" w:type="dxa"/>
          </w:tcPr>
          <w:p>
            <w:pPr>
              <w:pStyle w:val="TableParagraph"/>
              <w:spacing w:line="360" w:lineRule="exact"/>
              <w:ind w:left="110"/>
              <w:rPr>
                <w:rFonts w:ascii="微软雅黑"/>
                <w:b/>
                <w:sz w:val="21"/>
              </w:rPr>
            </w:pPr>
            <w:r>
              <w:rPr>
                <w:rFonts w:ascii="微软雅黑"/>
                <w:b/>
                <w:sz w:val="21"/>
              </w:rPr>
              <w:t>2.3</w:t>
            </w:r>
          </w:p>
        </w:tc>
        <w:tc>
          <w:tcPr>
            <w:tcW w:w="2007" w:type="dxa"/>
          </w:tcPr>
          <w:p>
            <w:pPr>
              <w:pStyle w:val="TableParagraph"/>
              <w:spacing w:line="360" w:lineRule="exact"/>
              <w:ind w:left="190"/>
              <w:rPr>
                <w:rFonts w:ascii="微软雅黑" w:eastAsia="微软雅黑" w:hint="eastAsia"/>
                <w:b/>
                <w:sz w:val="21"/>
              </w:rPr>
            </w:pPr>
            <w:r>
              <w:rPr>
                <w:rFonts w:ascii="微软雅黑" w:eastAsia="微软雅黑" w:hint="eastAsia"/>
                <w:b/>
                <w:sz w:val="21"/>
              </w:rPr>
              <w:t>保险期间</w:t>
            </w:r>
          </w:p>
        </w:tc>
        <w:tc>
          <w:tcPr>
            <w:tcW w:w="7312" w:type="dxa"/>
          </w:tcPr>
          <w:p>
            <w:pPr>
              <w:pStyle w:val="TableParagraph"/>
              <w:spacing w:line="273" w:lineRule="auto" w:before="59"/>
              <w:ind w:left="125" w:right="147" w:hanging="1"/>
              <w:rPr>
                <w:sz w:val="21"/>
              </w:rPr>
            </w:pPr>
            <w:r>
              <w:rPr>
                <w:spacing w:val="-4"/>
                <w:sz w:val="21"/>
              </w:rPr>
              <w:t>本附加合同的保险期间为自保险单上记载的本附加合同生效日零时起至被豁</w:t>
            </w:r>
            <w:r>
              <w:rPr>
                <w:spacing w:val="-5"/>
                <w:sz w:val="21"/>
              </w:rPr>
              <w:t>免合同交费期限届满时止。本附加合同终止日不得超过被保险人年满 </w:t>
            </w:r>
            <w:r>
              <w:rPr>
                <w:sz w:val="21"/>
              </w:rPr>
              <w:t>70</w:t>
            </w:r>
            <w:r>
              <w:rPr>
                <w:spacing w:val="-15"/>
                <w:sz w:val="21"/>
              </w:rPr>
              <w:t> 周岁</w:t>
            </w:r>
            <w:r>
              <w:rPr>
                <w:spacing w:val="-2"/>
                <w:sz w:val="21"/>
              </w:rPr>
              <w:t>的保单周年日。</w:t>
            </w:r>
          </w:p>
        </w:tc>
      </w:tr>
      <w:tr>
        <w:trPr>
          <w:trHeight w:val="582" w:hRule="atLeast"/>
        </w:trPr>
        <w:tc>
          <w:tcPr>
            <w:tcW w:w="659" w:type="dxa"/>
            <w:tcBorders>
              <w:bottom w:val="single" w:sz="8" w:space="0" w:color="000000"/>
            </w:tcBorders>
          </w:tcPr>
          <w:p>
            <w:pPr>
              <w:pStyle w:val="TableParagraph"/>
              <w:spacing w:line="450" w:lineRule="exact" w:before="112"/>
              <w:ind w:left="110"/>
              <w:rPr>
                <w:rFonts w:ascii="Arial" w:hAnsi="Arial"/>
                <w:b/>
                <w:sz w:val="40"/>
              </w:rPr>
            </w:pPr>
            <w:r>
              <w:rPr>
                <w:rFonts w:ascii="Arial" w:hAnsi="Arial"/>
                <w:b/>
                <w:color w:val="303030"/>
                <w:w w:val="119"/>
                <w:sz w:val="40"/>
              </w:rPr>
              <w:t></w:t>
            </w:r>
          </w:p>
        </w:tc>
        <w:tc>
          <w:tcPr>
            <w:tcW w:w="2007" w:type="dxa"/>
            <w:tcBorders>
              <w:bottom w:val="single" w:sz="8" w:space="0" w:color="000000"/>
            </w:tcBorders>
          </w:tcPr>
          <w:p>
            <w:pPr>
              <w:pStyle w:val="TableParagraph"/>
              <w:spacing w:before="44"/>
              <w:ind w:left="190"/>
              <w:rPr>
                <w:rFonts w:ascii="微软雅黑" w:eastAsia="微软雅黑" w:hint="eastAsia"/>
                <w:b/>
                <w:sz w:val="24"/>
              </w:rPr>
            </w:pPr>
            <w:r>
              <w:rPr>
                <w:rFonts w:ascii="微软雅黑" w:eastAsia="微软雅黑" w:hint="eastAsia"/>
                <w:b/>
                <w:sz w:val="24"/>
              </w:rPr>
              <w:t>保险费的交纳</w:t>
            </w:r>
          </w:p>
        </w:tc>
        <w:tc>
          <w:tcPr>
            <w:tcW w:w="7312" w:type="dxa"/>
            <w:tcBorders>
              <w:bottom w:val="single" w:sz="8" w:space="0" w:color="000000"/>
            </w:tcBorders>
          </w:tcPr>
          <w:p>
            <w:pPr>
              <w:pStyle w:val="TableParagraph"/>
              <w:ind w:left="0"/>
              <w:rPr>
                <w:rFonts w:ascii="Times New Roman"/>
                <w:sz w:val="20"/>
              </w:rPr>
            </w:pPr>
          </w:p>
        </w:tc>
      </w:tr>
      <w:tr>
        <w:trPr>
          <w:trHeight w:val="1483" w:hRule="atLeast"/>
        </w:trPr>
        <w:tc>
          <w:tcPr>
            <w:tcW w:w="659" w:type="dxa"/>
            <w:tcBorders>
              <w:top w:val="single" w:sz="8" w:space="0" w:color="000000"/>
            </w:tcBorders>
          </w:tcPr>
          <w:p>
            <w:pPr>
              <w:pStyle w:val="TableParagraph"/>
              <w:spacing w:before="57"/>
              <w:ind w:left="110"/>
              <w:rPr>
                <w:rFonts w:ascii="微软雅黑"/>
                <w:b/>
                <w:sz w:val="21"/>
              </w:rPr>
            </w:pPr>
            <w:r>
              <w:rPr>
                <w:rFonts w:ascii="微软雅黑"/>
                <w:b/>
                <w:sz w:val="21"/>
              </w:rPr>
              <w:t>3.1</w:t>
            </w:r>
          </w:p>
        </w:tc>
        <w:tc>
          <w:tcPr>
            <w:tcW w:w="2007" w:type="dxa"/>
            <w:tcBorders>
              <w:top w:val="single" w:sz="8" w:space="0" w:color="000000"/>
            </w:tcBorders>
          </w:tcPr>
          <w:p>
            <w:pPr>
              <w:pStyle w:val="TableParagraph"/>
              <w:spacing w:before="57"/>
              <w:ind w:left="190"/>
              <w:rPr>
                <w:rFonts w:ascii="微软雅黑" w:eastAsia="微软雅黑" w:hint="eastAsia"/>
                <w:b/>
                <w:sz w:val="21"/>
              </w:rPr>
            </w:pPr>
            <w:r>
              <w:rPr>
                <w:rFonts w:ascii="微软雅黑" w:eastAsia="微软雅黑" w:hint="eastAsia"/>
                <w:b/>
                <w:sz w:val="21"/>
              </w:rPr>
              <w:t>保险费的交纳</w:t>
            </w:r>
          </w:p>
        </w:tc>
        <w:tc>
          <w:tcPr>
            <w:tcW w:w="7312" w:type="dxa"/>
            <w:tcBorders>
              <w:top w:val="single" w:sz="8" w:space="0" w:color="000000"/>
            </w:tcBorders>
          </w:tcPr>
          <w:p>
            <w:pPr>
              <w:pStyle w:val="TableParagraph"/>
              <w:spacing w:line="273" w:lineRule="auto" w:before="132"/>
              <w:ind w:left="125" w:right="102"/>
              <w:rPr>
                <w:sz w:val="21"/>
              </w:rPr>
            </w:pPr>
            <w:r>
              <w:rPr>
                <w:sz w:val="21"/>
              </w:rPr>
              <w:t>本附加合同的交费方式和交费期间由投保人在投保时与本公司约定并在保险单上载明。</w:t>
            </w:r>
          </w:p>
          <w:p>
            <w:pPr>
              <w:pStyle w:val="TableParagraph"/>
              <w:spacing w:line="273" w:lineRule="auto" w:before="7"/>
              <w:ind w:left="125" w:right="106"/>
              <w:rPr>
                <w:sz w:val="21"/>
              </w:rPr>
            </w:pPr>
            <w:r>
              <w:rPr>
                <w:spacing w:val="-7"/>
                <w:sz w:val="21"/>
              </w:rPr>
              <w:t>分期支付保险费的，在交纳首期保险费后，投保人应当按照约定，在每个保险</w:t>
            </w:r>
            <w:r>
              <w:rPr>
                <w:spacing w:val="-3"/>
                <w:sz w:val="21"/>
              </w:rPr>
              <w:t>费约定支付日交纳其余各期的保险费。</w:t>
            </w:r>
          </w:p>
        </w:tc>
      </w:tr>
      <w:tr>
        <w:trPr>
          <w:trHeight w:val="1852" w:hRule="atLeast"/>
        </w:trPr>
        <w:tc>
          <w:tcPr>
            <w:tcW w:w="659" w:type="dxa"/>
          </w:tcPr>
          <w:p>
            <w:pPr>
              <w:pStyle w:val="TableParagraph"/>
              <w:spacing w:before="2"/>
              <w:ind w:left="110"/>
              <w:rPr>
                <w:rFonts w:ascii="微软雅黑"/>
                <w:b/>
                <w:sz w:val="21"/>
              </w:rPr>
            </w:pPr>
            <w:r>
              <w:rPr>
                <w:rFonts w:ascii="微软雅黑"/>
                <w:b/>
                <w:sz w:val="21"/>
              </w:rPr>
              <w:t>3.2</w:t>
            </w:r>
          </w:p>
        </w:tc>
        <w:tc>
          <w:tcPr>
            <w:tcW w:w="2007" w:type="dxa"/>
          </w:tcPr>
          <w:p>
            <w:pPr>
              <w:pStyle w:val="TableParagraph"/>
              <w:spacing w:before="2"/>
              <w:ind w:left="190"/>
              <w:rPr>
                <w:rFonts w:ascii="微软雅黑" w:eastAsia="微软雅黑" w:hint="eastAsia"/>
                <w:b/>
                <w:sz w:val="21"/>
              </w:rPr>
            </w:pPr>
            <w:r>
              <w:rPr>
                <w:rFonts w:ascii="微软雅黑" w:eastAsia="微软雅黑" w:hint="eastAsia"/>
                <w:b/>
                <w:sz w:val="21"/>
              </w:rPr>
              <w:t>宽限期</w:t>
            </w:r>
          </w:p>
        </w:tc>
        <w:tc>
          <w:tcPr>
            <w:tcW w:w="7312" w:type="dxa"/>
          </w:tcPr>
          <w:p>
            <w:pPr>
              <w:pStyle w:val="TableParagraph"/>
              <w:spacing w:before="79"/>
              <w:ind w:left="125"/>
              <w:rPr>
                <w:sz w:val="21"/>
              </w:rPr>
            </w:pPr>
            <w:r>
              <w:rPr>
                <w:sz w:val="21"/>
              </w:rPr>
              <w:t>如果投保人到期未交纳保险费，自保险费约定交纳日的次日零时起 60 日为宽</w:t>
            </w:r>
          </w:p>
          <w:p>
            <w:pPr>
              <w:pStyle w:val="TableParagraph"/>
              <w:spacing w:line="300" w:lineRule="auto" w:before="68"/>
              <w:ind w:left="125" w:right="104" w:hanging="1"/>
              <w:rPr>
                <w:sz w:val="21"/>
              </w:rPr>
            </w:pPr>
            <w:r>
              <w:rPr>
                <w:spacing w:val="-11"/>
                <w:sz w:val="21"/>
              </w:rPr>
              <w:t>限期。宽限期内发生的保险事故，本公司仍承担本附加合同 </w:t>
            </w:r>
            <w:r>
              <w:rPr>
                <w:sz w:val="21"/>
              </w:rPr>
              <w:t>2.1</w:t>
            </w:r>
            <w:r>
              <w:rPr>
                <w:spacing w:val="-9"/>
                <w:sz w:val="21"/>
              </w:rPr>
              <w:t> 条约定的保险</w:t>
            </w:r>
            <w:r>
              <w:rPr>
                <w:spacing w:val="-3"/>
                <w:sz w:val="21"/>
              </w:rPr>
              <w:t>责任，但在给付保险金时会扣除投保人欠交的保险费及其他未还清款项。</w:t>
            </w:r>
          </w:p>
          <w:p>
            <w:pPr>
              <w:pStyle w:val="TableParagraph"/>
              <w:spacing w:line="273" w:lineRule="auto" w:before="1"/>
              <w:ind w:left="125" w:right="103" w:hanging="1"/>
              <w:rPr>
                <w:sz w:val="21"/>
              </w:rPr>
            </w:pPr>
            <w:r>
              <w:rPr>
                <w:spacing w:val="-7"/>
                <w:sz w:val="21"/>
              </w:rPr>
              <w:t>如果投保人在宽限期内未交纳保险费，则本附加合同自宽限期满的次日零时起</w:t>
            </w:r>
            <w:r>
              <w:rPr>
                <w:spacing w:val="-3"/>
                <w:sz w:val="21"/>
              </w:rPr>
              <w:t>效力中止，但本附加合同另有约定的除外。</w:t>
            </w:r>
          </w:p>
        </w:tc>
      </w:tr>
      <w:tr>
        <w:trPr>
          <w:trHeight w:val="687" w:hRule="atLeast"/>
        </w:trPr>
        <w:tc>
          <w:tcPr>
            <w:tcW w:w="659" w:type="dxa"/>
            <w:tcBorders>
              <w:bottom w:val="single" w:sz="8" w:space="0" w:color="000000"/>
            </w:tcBorders>
          </w:tcPr>
          <w:p>
            <w:pPr>
              <w:pStyle w:val="TableParagraph"/>
              <w:spacing w:before="122"/>
              <w:ind w:left="110"/>
              <w:rPr>
                <w:rFonts w:ascii="Arial" w:hAnsi="Arial"/>
                <w:b/>
                <w:sz w:val="40"/>
              </w:rPr>
            </w:pPr>
            <w:r>
              <w:rPr>
                <w:rFonts w:ascii="Arial" w:hAnsi="Arial"/>
                <w:b/>
                <w:color w:val="303030"/>
                <w:w w:val="119"/>
                <w:sz w:val="40"/>
              </w:rPr>
              <w:t></w:t>
            </w:r>
          </w:p>
        </w:tc>
        <w:tc>
          <w:tcPr>
            <w:tcW w:w="9319" w:type="dxa"/>
            <w:gridSpan w:val="2"/>
            <w:tcBorders>
              <w:bottom w:val="single" w:sz="8" w:space="0" w:color="000000"/>
            </w:tcBorders>
          </w:tcPr>
          <w:p>
            <w:pPr>
              <w:pStyle w:val="TableParagraph"/>
              <w:spacing w:before="102"/>
              <w:ind w:left="190"/>
              <w:rPr>
                <w:rFonts w:ascii="微软雅黑" w:eastAsia="微软雅黑" w:hint="eastAsia"/>
                <w:b/>
                <w:sz w:val="24"/>
              </w:rPr>
            </w:pPr>
            <w:r>
              <w:rPr>
                <w:rFonts w:ascii="微软雅黑" w:eastAsia="微软雅黑" w:hint="eastAsia"/>
                <w:b/>
                <w:sz w:val="24"/>
              </w:rPr>
              <w:t>豁免保险费的申请</w:t>
            </w:r>
          </w:p>
        </w:tc>
      </w:tr>
      <w:tr>
        <w:trPr>
          <w:trHeight w:val="2092" w:hRule="atLeast"/>
        </w:trPr>
        <w:tc>
          <w:tcPr>
            <w:tcW w:w="659" w:type="dxa"/>
            <w:tcBorders>
              <w:top w:val="single" w:sz="8" w:space="0" w:color="000000"/>
            </w:tcBorders>
          </w:tcPr>
          <w:p>
            <w:pPr>
              <w:pStyle w:val="TableParagraph"/>
              <w:spacing w:before="57"/>
              <w:ind w:left="110"/>
              <w:rPr>
                <w:rFonts w:ascii="微软雅黑"/>
                <w:b/>
                <w:sz w:val="21"/>
              </w:rPr>
            </w:pPr>
            <w:r>
              <w:rPr>
                <w:rFonts w:ascii="微软雅黑"/>
                <w:b/>
                <w:sz w:val="21"/>
              </w:rPr>
              <w:t>4.1</w:t>
            </w:r>
          </w:p>
        </w:tc>
        <w:tc>
          <w:tcPr>
            <w:tcW w:w="2007" w:type="dxa"/>
            <w:tcBorders>
              <w:top w:val="single" w:sz="8" w:space="0" w:color="000000"/>
            </w:tcBorders>
          </w:tcPr>
          <w:p>
            <w:pPr>
              <w:pStyle w:val="TableParagraph"/>
              <w:spacing w:before="57"/>
              <w:ind w:left="190"/>
              <w:rPr>
                <w:rFonts w:ascii="微软雅黑" w:eastAsia="微软雅黑" w:hint="eastAsia"/>
                <w:b/>
                <w:sz w:val="21"/>
              </w:rPr>
            </w:pPr>
            <w:r>
              <w:rPr>
                <w:rFonts w:ascii="微软雅黑" w:eastAsia="微软雅黑" w:hint="eastAsia"/>
                <w:b/>
                <w:sz w:val="21"/>
              </w:rPr>
              <w:t>保险事故通知</w:t>
            </w:r>
          </w:p>
        </w:tc>
        <w:tc>
          <w:tcPr>
            <w:tcW w:w="7312" w:type="dxa"/>
            <w:tcBorders>
              <w:top w:val="single" w:sz="8" w:space="0" w:color="000000"/>
            </w:tcBorders>
          </w:tcPr>
          <w:p>
            <w:pPr>
              <w:pStyle w:val="TableParagraph"/>
              <w:spacing w:line="208" w:lineRule="auto" w:before="155"/>
              <w:ind w:left="125" w:right="104"/>
              <w:rPr>
                <w:rFonts w:ascii="微软雅黑" w:eastAsia="微软雅黑" w:hint="eastAsia"/>
                <w:b/>
                <w:sz w:val="21"/>
              </w:rPr>
            </w:pPr>
            <w:r>
              <w:rPr>
                <w:spacing w:val="-5"/>
                <w:sz w:val="21"/>
              </w:rPr>
              <w:t>投保人或被豁免合同的被保险人知道保险事故后应当在 </w:t>
            </w:r>
            <w:r>
              <w:rPr>
                <w:sz w:val="21"/>
              </w:rPr>
              <w:t>10</w:t>
            </w:r>
            <w:r>
              <w:rPr>
                <w:spacing w:val="-9"/>
                <w:sz w:val="21"/>
              </w:rPr>
              <w:t> 日内通知本公司。</w:t>
            </w:r>
            <w:r>
              <w:rPr>
                <w:rFonts w:ascii="微软雅黑" w:eastAsia="微软雅黑" w:hint="eastAsia"/>
                <w:b/>
                <w:spacing w:val="-6"/>
                <w:sz w:val="21"/>
              </w:rPr>
              <w:t>如果投保人或被豁免合同的被保险人故意或者因重大过失未及时通知，致使保</w:t>
            </w:r>
            <w:r>
              <w:rPr>
                <w:rFonts w:ascii="微软雅黑" w:eastAsia="微软雅黑" w:hint="eastAsia"/>
                <w:b/>
                <w:spacing w:val="-12"/>
                <w:sz w:val="21"/>
              </w:rPr>
              <w:t>险事故的性质、原因、损失程度等难以确定的，本公司对无法确定的部分，不</w:t>
            </w:r>
            <w:r>
              <w:rPr>
                <w:rFonts w:ascii="微软雅黑" w:eastAsia="微软雅黑" w:hint="eastAsia"/>
                <w:b/>
                <w:spacing w:val="-14"/>
                <w:sz w:val="21"/>
              </w:rPr>
              <w:t>承担豁免保险费的责任，但本公司通过其他途径已经及时知道或者应当及时知</w:t>
            </w:r>
            <w:r>
              <w:rPr>
                <w:rFonts w:ascii="微软雅黑" w:eastAsia="微软雅黑" w:hint="eastAsia"/>
                <w:b/>
                <w:spacing w:val="-11"/>
                <w:sz w:val="21"/>
              </w:rPr>
              <w:t>道保险事故发生或者虽未及时通知但不影响本公司确定保险事故的性质、原</w:t>
            </w:r>
            <w:r>
              <w:rPr>
                <w:rFonts w:ascii="微软雅黑" w:eastAsia="微软雅黑" w:hint="eastAsia"/>
                <w:b/>
                <w:spacing w:val="-10"/>
                <w:sz w:val="21"/>
              </w:rPr>
              <w:t>因、损失程度的除外。</w:t>
            </w:r>
          </w:p>
        </w:tc>
      </w:tr>
      <w:tr>
        <w:trPr>
          <w:trHeight w:val="472" w:hRule="atLeast"/>
        </w:trPr>
        <w:tc>
          <w:tcPr>
            <w:tcW w:w="659" w:type="dxa"/>
          </w:tcPr>
          <w:p>
            <w:pPr>
              <w:pStyle w:val="TableParagraph"/>
              <w:spacing w:line="361" w:lineRule="exact"/>
              <w:ind w:left="110"/>
              <w:rPr>
                <w:rFonts w:ascii="微软雅黑"/>
                <w:b/>
                <w:sz w:val="21"/>
              </w:rPr>
            </w:pPr>
            <w:r>
              <w:rPr>
                <w:rFonts w:ascii="微软雅黑"/>
                <w:b/>
                <w:sz w:val="21"/>
              </w:rPr>
              <w:t>4.2</w:t>
            </w:r>
          </w:p>
        </w:tc>
        <w:tc>
          <w:tcPr>
            <w:tcW w:w="2007" w:type="dxa"/>
          </w:tcPr>
          <w:p>
            <w:pPr>
              <w:pStyle w:val="TableParagraph"/>
              <w:spacing w:line="361" w:lineRule="exact"/>
              <w:ind w:left="190"/>
              <w:rPr>
                <w:rFonts w:ascii="微软雅黑" w:eastAsia="微软雅黑" w:hint="eastAsia"/>
                <w:b/>
                <w:sz w:val="21"/>
              </w:rPr>
            </w:pPr>
            <w:r>
              <w:rPr>
                <w:rFonts w:ascii="微软雅黑" w:eastAsia="微软雅黑" w:hint="eastAsia"/>
                <w:b/>
                <w:sz w:val="21"/>
              </w:rPr>
              <w:t>豁免保险费申请</w:t>
            </w:r>
          </w:p>
        </w:tc>
        <w:tc>
          <w:tcPr>
            <w:tcW w:w="7312" w:type="dxa"/>
          </w:tcPr>
          <w:p>
            <w:pPr>
              <w:pStyle w:val="TableParagraph"/>
              <w:spacing w:before="60"/>
              <w:ind w:left="125"/>
              <w:rPr>
                <w:sz w:val="21"/>
              </w:rPr>
            </w:pPr>
            <w:r>
              <w:rPr>
                <w:sz w:val="21"/>
              </w:rPr>
              <w:t>在申请保险费豁免时，请按照下列方式办理：</w:t>
            </w:r>
          </w:p>
        </w:tc>
      </w:tr>
      <w:tr>
        <w:trPr>
          <w:trHeight w:val="965" w:hRule="atLeast"/>
        </w:trPr>
        <w:tc>
          <w:tcPr>
            <w:tcW w:w="659" w:type="dxa"/>
          </w:tcPr>
          <w:p>
            <w:pPr>
              <w:pStyle w:val="TableParagraph"/>
              <w:ind w:left="0"/>
              <w:rPr>
                <w:rFonts w:ascii="Times New Roman"/>
                <w:sz w:val="20"/>
              </w:rPr>
            </w:pPr>
          </w:p>
        </w:tc>
        <w:tc>
          <w:tcPr>
            <w:tcW w:w="2007" w:type="dxa"/>
          </w:tcPr>
          <w:p>
            <w:pPr>
              <w:pStyle w:val="TableParagraph"/>
              <w:spacing w:line="206" w:lineRule="auto" w:before="49"/>
              <w:ind w:left="190" w:right="124"/>
              <w:rPr>
                <w:rFonts w:ascii="微软雅黑" w:eastAsia="微软雅黑" w:hint="eastAsia"/>
                <w:b/>
                <w:sz w:val="21"/>
              </w:rPr>
            </w:pPr>
            <w:r>
              <w:rPr>
                <w:rFonts w:ascii="微软雅黑" w:eastAsia="微软雅黑" w:hint="eastAsia"/>
                <w:b/>
                <w:sz w:val="21"/>
              </w:rPr>
              <w:t>重大疾病豁免保险费申请</w:t>
            </w:r>
          </w:p>
        </w:tc>
        <w:tc>
          <w:tcPr>
            <w:tcW w:w="7312" w:type="dxa"/>
          </w:tcPr>
          <w:p>
            <w:pPr>
              <w:pStyle w:val="TableParagraph"/>
              <w:spacing w:line="273" w:lineRule="auto" w:before="60"/>
              <w:ind w:left="125" w:right="248"/>
              <w:rPr>
                <w:sz w:val="21"/>
              </w:rPr>
            </w:pPr>
            <w:r>
              <w:rPr>
                <w:sz w:val="21"/>
              </w:rPr>
              <w:t>由重大疾病豁免保险费申请人填写豁免保险费申请书，并提供下列证明和资料：</w:t>
            </w:r>
          </w:p>
          <w:p>
            <w:pPr>
              <w:pStyle w:val="TableParagraph"/>
              <w:spacing w:line="261" w:lineRule="exact" w:before="7"/>
              <w:ind w:left="125"/>
              <w:rPr>
                <w:sz w:val="21"/>
              </w:rPr>
            </w:pPr>
            <w:r>
              <w:rPr>
                <w:sz w:val="21"/>
              </w:rPr>
              <w:t>（1）保险合同；</w:t>
            </w:r>
          </w:p>
        </w:tc>
      </w:tr>
    </w:tbl>
    <w:p>
      <w:pPr>
        <w:spacing w:after="0" w:line="261" w:lineRule="exact"/>
        <w:rPr>
          <w:sz w:val="21"/>
        </w:rPr>
        <w:sectPr>
          <w:pgSz w:w="11910" w:h="16840"/>
          <w:pgMar w:header="0" w:footer="377" w:top="1340" w:bottom="560" w:left="860" w:right="86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9"/>
        <w:gridCol w:w="1796"/>
        <w:gridCol w:w="7523"/>
      </w:tblGrid>
      <w:tr>
        <w:trPr>
          <w:trHeight w:val="1900" w:hRule="atLeast"/>
        </w:trPr>
        <w:tc>
          <w:tcPr>
            <w:tcW w:w="659" w:type="dxa"/>
          </w:tcPr>
          <w:p>
            <w:pPr>
              <w:pStyle w:val="TableParagraph"/>
              <w:ind w:left="0"/>
              <w:rPr>
                <w:rFonts w:ascii="Times New Roman"/>
                <w:sz w:val="20"/>
              </w:rPr>
            </w:pPr>
          </w:p>
        </w:tc>
        <w:tc>
          <w:tcPr>
            <w:tcW w:w="1796" w:type="dxa"/>
          </w:tcPr>
          <w:p>
            <w:pPr>
              <w:pStyle w:val="TableParagraph"/>
              <w:ind w:left="0"/>
              <w:rPr>
                <w:rFonts w:ascii="Times New Roman"/>
                <w:sz w:val="20"/>
              </w:rPr>
            </w:pPr>
          </w:p>
        </w:tc>
        <w:tc>
          <w:tcPr>
            <w:tcW w:w="7523" w:type="dxa"/>
          </w:tcPr>
          <w:p>
            <w:pPr>
              <w:pStyle w:val="TableParagraph"/>
              <w:spacing w:line="230" w:lineRule="exact"/>
              <w:ind w:left="336"/>
              <w:rPr>
                <w:sz w:val="21"/>
              </w:rPr>
            </w:pPr>
            <w:r>
              <w:rPr>
                <w:w w:val="100"/>
                <w:sz w:val="21"/>
              </w:rPr>
              <w:t>（2</w:t>
            </w:r>
            <w:r>
              <w:rPr>
                <w:spacing w:val="-3"/>
                <w:w w:val="100"/>
                <w:sz w:val="21"/>
              </w:rPr>
              <w:t>）申请人的</w:t>
            </w:r>
            <w:r>
              <w:rPr>
                <w:rFonts w:ascii="微软雅黑" w:eastAsia="微软雅黑" w:hint="eastAsia"/>
                <w:b/>
                <w:spacing w:val="-1"/>
                <w:w w:val="100"/>
                <w:sz w:val="21"/>
              </w:rPr>
              <w:t>有效身份证件</w:t>
            </w:r>
            <w:r>
              <w:rPr>
                <w:w w:val="100"/>
                <w:sz w:val="21"/>
              </w:rPr>
              <w:t>（见</w:t>
            </w:r>
            <w:r>
              <w:rPr>
                <w:spacing w:val="-55"/>
                <w:sz w:val="21"/>
              </w:rPr>
              <w:t> </w:t>
            </w:r>
            <w:r>
              <w:rPr>
                <w:w w:val="100"/>
                <w:sz w:val="21"/>
              </w:rPr>
              <w:t>9.12</w:t>
            </w:r>
            <w:r>
              <w:rPr>
                <w:spacing w:val="-108"/>
                <w:w w:val="100"/>
                <w:sz w:val="21"/>
              </w:rPr>
              <w:t>）；</w:t>
            </w:r>
          </w:p>
          <w:p>
            <w:pPr>
              <w:pStyle w:val="TableParagraph"/>
              <w:spacing w:line="273" w:lineRule="auto" w:before="11"/>
              <w:ind w:left="861" w:right="101" w:hanging="526"/>
              <w:rPr>
                <w:sz w:val="21"/>
              </w:rPr>
            </w:pPr>
            <w:r>
              <w:rPr>
                <w:spacing w:val="-6"/>
                <w:sz w:val="21"/>
              </w:rPr>
              <w:t>（3）</w:t>
            </w:r>
            <w:r>
              <w:rPr>
                <w:spacing w:val="-4"/>
                <w:sz w:val="21"/>
              </w:rPr>
              <w:t>本公司认可的医疗机构出具的诊断证明</w:t>
            </w:r>
            <w:r>
              <w:rPr>
                <w:sz w:val="21"/>
              </w:rPr>
              <w:t>（</w:t>
            </w:r>
            <w:r>
              <w:rPr>
                <w:spacing w:val="-3"/>
                <w:sz w:val="21"/>
              </w:rPr>
              <w:t>含相关的诊断依据</w:t>
            </w:r>
            <w:r>
              <w:rPr>
                <w:spacing w:val="-108"/>
                <w:sz w:val="21"/>
              </w:rPr>
              <w:t>）</w:t>
            </w:r>
            <w:r>
              <w:rPr>
                <w:spacing w:val="-8"/>
                <w:sz w:val="21"/>
              </w:rPr>
              <w:t>、病历、住</w:t>
            </w:r>
            <w:r>
              <w:rPr>
                <w:spacing w:val="-5"/>
                <w:sz w:val="21"/>
              </w:rPr>
              <w:t>院及出院证明文件；</w:t>
            </w:r>
          </w:p>
          <w:p>
            <w:pPr>
              <w:pStyle w:val="TableParagraph"/>
              <w:spacing w:line="273" w:lineRule="auto" w:before="7"/>
              <w:ind w:left="336" w:right="103"/>
              <w:rPr>
                <w:sz w:val="21"/>
              </w:rPr>
            </w:pPr>
            <w:r>
              <w:rPr>
                <w:sz w:val="21"/>
              </w:rPr>
              <w:t>（4）</w:t>
            </w:r>
            <w:r>
              <w:rPr>
                <w:spacing w:val="-3"/>
                <w:sz w:val="21"/>
              </w:rPr>
              <w:t>所能提供的与确认保险事故的性质、原因等有关的其他证明和资料。 </w:t>
            </w:r>
            <w:r>
              <w:rPr>
                <w:spacing w:val="-8"/>
                <w:sz w:val="21"/>
              </w:rPr>
              <w:t>以上证明和资料不完整的，本公司将及时一次性通知申请人补充提供有关证明</w:t>
            </w:r>
            <w:r>
              <w:rPr>
                <w:spacing w:val="-1"/>
                <w:sz w:val="21"/>
              </w:rPr>
              <w:t>和资料。</w:t>
            </w:r>
          </w:p>
        </w:tc>
      </w:tr>
      <w:tr>
        <w:trPr>
          <w:trHeight w:val="2655" w:hRule="atLeast"/>
        </w:trPr>
        <w:tc>
          <w:tcPr>
            <w:tcW w:w="659" w:type="dxa"/>
          </w:tcPr>
          <w:p>
            <w:pPr>
              <w:pStyle w:val="TableParagraph"/>
              <w:spacing w:line="360" w:lineRule="exact"/>
              <w:ind w:left="110"/>
              <w:rPr>
                <w:rFonts w:ascii="微软雅黑"/>
                <w:b/>
                <w:sz w:val="21"/>
              </w:rPr>
            </w:pPr>
            <w:r>
              <w:rPr>
                <w:rFonts w:ascii="微软雅黑"/>
                <w:b/>
                <w:sz w:val="21"/>
              </w:rPr>
              <w:t>4.3</w:t>
            </w:r>
          </w:p>
        </w:tc>
        <w:tc>
          <w:tcPr>
            <w:tcW w:w="1796" w:type="dxa"/>
          </w:tcPr>
          <w:p>
            <w:pPr>
              <w:pStyle w:val="TableParagraph"/>
              <w:spacing w:line="360" w:lineRule="exact"/>
              <w:ind w:left="190"/>
              <w:rPr>
                <w:rFonts w:ascii="微软雅黑" w:eastAsia="微软雅黑" w:hint="eastAsia"/>
                <w:b/>
                <w:sz w:val="21"/>
              </w:rPr>
            </w:pPr>
            <w:r>
              <w:rPr>
                <w:rFonts w:ascii="微软雅黑" w:eastAsia="微软雅黑" w:hint="eastAsia"/>
                <w:b/>
                <w:sz w:val="21"/>
              </w:rPr>
              <w:t>保险费的豁免</w:t>
            </w:r>
          </w:p>
        </w:tc>
        <w:tc>
          <w:tcPr>
            <w:tcW w:w="7523" w:type="dxa"/>
          </w:tcPr>
          <w:p>
            <w:pPr>
              <w:pStyle w:val="TableParagraph"/>
              <w:spacing w:before="59"/>
              <w:ind w:left="336"/>
              <w:rPr>
                <w:sz w:val="21"/>
              </w:rPr>
            </w:pPr>
            <w:r>
              <w:rPr>
                <w:spacing w:val="-7"/>
                <w:sz w:val="21"/>
              </w:rPr>
              <w:t>本公司在收到豁免保险费申请书及合同约定的证明和资料后，将在 </w:t>
            </w:r>
            <w:r>
              <w:rPr>
                <w:sz w:val="21"/>
              </w:rPr>
              <w:t>5</w:t>
            </w:r>
            <w:r>
              <w:rPr>
                <w:spacing w:val="-10"/>
                <w:sz w:val="21"/>
              </w:rPr>
              <w:t> 日内作出</w:t>
            </w:r>
          </w:p>
          <w:p>
            <w:pPr>
              <w:pStyle w:val="TableParagraph"/>
              <w:spacing w:before="36"/>
              <w:ind w:left="336"/>
              <w:rPr>
                <w:sz w:val="21"/>
              </w:rPr>
            </w:pPr>
            <w:r>
              <w:rPr>
                <w:sz w:val="21"/>
              </w:rPr>
              <w:t>核定；情形复杂的，在 30 日内作出核定。</w:t>
            </w:r>
          </w:p>
          <w:p>
            <w:pPr>
              <w:pStyle w:val="TableParagraph"/>
              <w:spacing w:line="273" w:lineRule="auto" w:before="36"/>
              <w:ind w:left="336" w:right="147" w:hanging="1"/>
              <w:rPr>
                <w:sz w:val="21"/>
              </w:rPr>
            </w:pPr>
            <w:r>
              <w:rPr>
                <w:spacing w:val="-5"/>
                <w:sz w:val="21"/>
              </w:rPr>
              <w:t>对属于保险责任的，本公司在与受益人达成给付保险金的协议后 </w:t>
            </w:r>
            <w:r>
              <w:rPr>
                <w:sz w:val="21"/>
              </w:rPr>
              <w:t>10</w:t>
            </w:r>
            <w:r>
              <w:rPr>
                <w:spacing w:val="-11"/>
                <w:sz w:val="21"/>
              </w:rPr>
              <w:t> 日内，履</w:t>
            </w:r>
            <w:r>
              <w:rPr>
                <w:spacing w:val="-3"/>
                <w:sz w:val="21"/>
              </w:rPr>
              <w:t>行豁免保险费义务。</w:t>
            </w:r>
          </w:p>
          <w:p>
            <w:pPr>
              <w:pStyle w:val="TableParagraph"/>
              <w:spacing w:line="273" w:lineRule="auto" w:before="7"/>
              <w:ind w:left="336" w:right="103"/>
              <w:rPr>
                <w:sz w:val="21"/>
              </w:rPr>
            </w:pPr>
            <w:r>
              <w:rPr>
                <w:spacing w:val="-7"/>
                <w:sz w:val="21"/>
              </w:rPr>
              <w:t>本公司未及时履行前款规定义务的，除豁免保险费外，应当赔偿受益人因此受</w:t>
            </w:r>
            <w:r>
              <w:rPr>
                <w:spacing w:val="-1"/>
                <w:sz w:val="21"/>
              </w:rPr>
              <w:t>到的损失。</w:t>
            </w:r>
          </w:p>
          <w:p>
            <w:pPr>
              <w:pStyle w:val="TableParagraph"/>
              <w:spacing w:line="273" w:lineRule="auto" w:before="7"/>
              <w:ind w:left="336" w:right="104"/>
              <w:rPr>
                <w:sz w:val="21"/>
              </w:rPr>
            </w:pPr>
            <w:r>
              <w:rPr>
                <w:spacing w:val="-11"/>
                <w:sz w:val="21"/>
              </w:rPr>
              <w:t>对不属于保险责任的，本公司自作出核定之日起 </w:t>
            </w:r>
            <w:r>
              <w:rPr>
                <w:sz w:val="21"/>
              </w:rPr>
              <w:t>3</w:t>
            </w:r>
            <w:r>
              <w:rPr>
                <w:spacing w:val="-7"/>
                <w:sz w:val="21"/>
              </w:rPr>
              <w:t> 日内向受益人发出拒绝豁免</w:t>
            </w:r>
            <w:r>
              <w:rPr>
                <w:spacing w:val="-3"/>
                <w:sz w:val="21"/>
              </w:rPr>
              <w:t>保险费通知书并说明理由。</w:t>
            </w:r>
          </w:p>
        </w:tc>
      </w:tr>
      <w:tr>
        <w:trPr>
          <w:trHeight w:val="809" w:hRule="atLeast"/>
        </w:trPr>
        <w:tc>
          <w:tcPr>
            <w:tcW w:w="659" w:type="dxa"/>
          </w:tcPr>
          <w:p>
            <w:pPr>
              <w:pStyle w:val="TableParagraph"/>
              <w:spacing w:line="361" w:lineRule="exact"/>
              <w:ind w:left="110"/>
              <w:rPr>
                <w:rFonts w:ascii="微软雅黑"/>
                <w:b/>
                <w:sz w:val="21"/>
              </w:rPr>
            </w:pPr>
            <w:r>
              <w:rPr>
                <w:rFonts w:ascii="微软雅黑"/>
                <w:b/>
                <w:sz w:val="21"/>
              </w:rPr>
              <w:t>4.4</w:t>
            </w:r>
          </w:p>
        </w:tc>
        <w:tc>
          <w:tcPr>
            <w:tcW w:w="1796" w:type="dxa"/>
          </w:tcPr>
          <w:p>
            <w:pPr>
              <w:pStyle w:val="TableParagraph"/>
              <w:spacing w:line="361" w:lineRule="exact"/>
              <w:ind w:left="190"/>
              <w:rPr>
                <w:rFonts w:ascii="微软雅黑" w:eastAsia="微软雅黑" w:hint="eastAsia"/>
                <w:b/>
                <w:sz w:val="21"/>
              </w:rPr>
            </w:pPr>
            <w:r>
              <w:rPr>
                <w:rFonts w:ascii="微软雅黑" w:eastAsia="微软雅黑" w:hint="eastAsia"/>
                <w:b/>
                <w:sz w:val="21"/>
              </w:rPr>
              <w:t>诉讼时效</w:t>
            </w:r>
          </w:p>
        </w:tc>
        <w:tc>
          <w:tcPr>
            <w:tcW w:w="7523" w:type="dxa"/>
          </w:tcPr>
          <w:p>
            <w:pPr>
              <w:pStyle w:val="TableParagraph"/>
              <w:spacing w:line="273" w:lineRule="auto" w:before="61"/>
              <w:ind w:left="336" w:right="248"/>
              <w:rPr>
                <w:sz w:val="21"/>
              </w:rPr>
            </w:pPr>
            <w:r>
              <w:rPr>
                <w:sz w:val="21"/>
              </w:rPr>
              <w:t>投保人或被豁免合同的被保险人向本公司请求豁免保险费的诉讼时效期间为二年，自其知道或者应当知道保险事故发生之日起计算。</w:t>
            </w:r>
          </w:p>
        </w:tc>
      </w:tr>
      <w:tr>
        <w:trPr>
          <w:trHeight w:val="671" w:hRule="atLeast"/>
        </w:trPr>
        <w:tc>
          <w:tcPr>
            <w:tcW w:w="659" w:type="dxa"/>
            <w:tcBorders>
              <w:bottom w:val="single" w:sz="4" w:space="0" w:color="000000"/>
            </w:tcBorders>
          </w:tcPr>
          <w:p>
            <w:pPr>
              <w:pStyle w:val="TableParagraph"/>
              <w:spacing w:before="112"/>
              <w:ind w:left="110"/>
              <w:rPr>
                <w:rFonts w:ascii="Arial" w:hAnsi="Arial"/>
                <w:b/>
                <w:sz w:val="40"/>
              </w:rPr>
            </w:pPr>
            <w:r>
              <w:rPr>
                <w:rFonts w:ascii="Arial" w:hAnsi="Arial"/>
                <w:b/>
                <w:color w:val="303030"/>
                <w:w w:val="119"/>
                <w:sz w:val="40"/>
              </w:rPr>
              <w:t></w:t>
            </w:r>
          </w:p>
        </w:tc>
        <w:tc>
          <w:tcPr>
            <w:tcW w:w="1796" w:type="dxa"/>
            <w:tcBorders>
              <w:bottom w:val="single" w:sz="4" w:space="0" w:color="000000"/>
            </w:tcBorders>
          </w:tcPr>
          <w:p>
            <w:pPr>
              <w:pStyle w:val="TableParagraph"/>
              <w:spacing w:before="87"/>
              <w:ind w:left="190"/>
              <w:rPr>
                <w:rFonts w:ascii="微软雅黑" w:eastAsia="微软雅黑" w:hint="eastAsia"/>
                <w:b/>
                <w:sz w:val="24"/>
              </w:rPr>
            </w:pPr>
            <w:r>
              <w:rPr>
                <w:rFonts w:ascii="微软雅黑" w:eastAsia="微软雅黑" w:hint="eastAsia"/>
                <w:b/>
                <w:sz w:val="24"/>
              </w:rPr>
              <w:t>现金价值权益</w:t>
            </w:r>
          </w:p>
        </w:tc>
        <w:tc>
          <w:tcPr>
            <w:tcW w:w="7523" w:type="dxa"/>
            <w:tcBorders>
              <w:bottom w:val="single" w:sz="4" w:space="0" w:color="000000"/>
            </w:tcBorders>
          </w:tcPr>
          <w:p>
            <w:pPr>
              <w:pStyle w:val="TableParagraph"/>
              <w:ind w:left="0"/>
              <w:rPr>
                <w:rFonts w:ascii="Times New Roman"/>
                <w:sz w:val="20"/>
              </w:rPr>
            </w:pPr>
          </w:p>
        </w:tc>
      </w:tr>
      <w:tr>
        <w:trPr>
          <w:trHeight w:val="876" w:hRule="atLeast"/>
        </w:trPr>
        <w:tc>
          <w:tcPr>
            <w:tcW w:w="659" w:type="dxa"/>
            <w:tcBorders>
              <w:top w:val="single" w:sz="4" w:space="0" w:color="000000"/>
            </w:tcBorders>
          </w:tcPr>
          <w:p>
            <w:pPr>
              <w:pStyle w:val="TableParagraph"/>
              <w:spacing w:before="69"/>
              <w:ind w:left="110"/>
              <w:rPr>
                <w:rFonts w:ascii="微软雅黑"/>
                <w:b/>
                <w:sz w:val="21"/>
              </w:rPr>
            </w:pPr>
            <w:r>
              <w:rPr>
                <w:rFonts w:ascii="微软雅黑"/>
                <w:b/>
                <w:sz w:val="21"/>
              </w:rPr>
              <w:t>5.1</w:t>
            </w:r>
          </w:p>
        </w:tc>
        <w:tc>
          <w:tcPr>
            <w:tcW w:w="1796" w:type="dxa"/>
            <w:tcBorders>
              <w:top w:val="single" w:sz="4" w:space="0" w:color="000000"/>
            </w:tcBorders>
          </w:tcPr>
          <w:p>
            <w:pPr>
              <w:pStyle w:val="TableParagraph"/>
              <w:spacing w:before="69"/>
              <w:ind w:left="190"/>
              <w:rPr>
                <w:rFonts w:ascii="微软雅黑" w:eastAsia="微软雅黑" w:hint="eastAsia"/>
                <w:b/>
                <w:sz w:val="21"/>
              </w:rPr>
            </w:pPr>
            <w:r>
              <w:rPr>
                <w:rFonts w:ascii="微软雅黑" w:eastAsia="微软雅黑" w:hint="eastAsia"/>
                <w:b/>
                <w:sz w:val="21"/>
              </w:rPr>
              <w:t>现金价值</w:t>
            </w:r>
          </w:p>
        </w:tc>
        <w:tc>
          <w:tcPr>
            <w:tcW w:w="7523" w:type="dxa"/>
            <w:tcBorders>
              <w:top w:val="single" w:sz="4" w:space="0" w:color="000000"/>
            </w:tcBorders>
          </w:tcPr>
          <w:p>
            <w:pPr>
              <w:pStyle w:val="TableParagraph"/>
              <w:spacing w:line="273" w:lineRule="auto" w:before="132"/>
              <w:ind w:left="336" w:right="247"/>
              <w:rPr>
                <w:sz w:val="21"/>
              </w:rPr>
            </w:pPr>
            <w:r>
              <w:rPr>
                <w:sz w:val="21"/>
              </w:rPr>
              <w:t>本附加合同保单年度末的现金价值会在保险单上载明。保单年度内的现金价值，投保人可以向本公司咨询。</w:t>
            </w:r>
          </w:p>
        </w:tc>
      </w:tr>
      <w:tr>
        <w:trPr>
          <w:trHeight w:val="666" w:hRule="atLeast"/>
        </w:trPr>
        <w:tc>
          <w:tcPr>
            <w:tcW w:w="659" w:type="dxa"/>
            <w:tcBorders>
              <w:bottom w:val="single" w:sz="4" w:space="0" w:color="000000"/>
            </w:tcBorders>
          </w:tcPr>
          <w:p>
            <w:pPr>
              <w:pStyle w:val="TableParagraph"/>
              <w:spacing w:before="107"/>
              <w:ind w:left="110"/>
              <w:rPr>
                <w:rFonts w:ascii="Arial" w:hAnsi="Arial"/>
                <w:b/>
                <w:sz w:val="40"/>
              </w:rPr>
            </w:pPr>
            <w:r>
              <w:rPr>
                <w:rFonts w:ascii="Arial" w:hAnsi="Arial"/>
                <w:b/>
                <w:color w:val="303030"/>
                <w:w w:val="119"/>
                <w:sz w:val="40"/>
              </w:rPr>
              <w:t></w:t>
            </w:r>
          </w:p>
        </w:tc>
        <w:tc>
          <w:tcPr>
            <w:tcW w:w="9319" w:type="dxa"/>
            <w:gridSpan w:val="2"/>
            <w:tcBorders>
              <w:bottom w:val="single" w:sz="4" w:space="0" w:color="000000"/>
            </w:tcBorders>
          </w:tcPr>
          <w:p>
            <w:pPr>
              <w:pStyle w:val="TableParagraph"/>
              <w:spacing w:before="83"/>
              <w:ind w:left="190"/>
              <w:rPr>
                <w:rFonts w:ascii="微软雅黑" w:eastAsia="微软雅黑" w:hint="eastAsia"/>
                <w:b/>
                <w:sz w:val="24"/>
              </w:rPr>
            </w:pPr>
            <w:r>
              <w:rPr>
                <w:rFonts w:ascii="微软雅黑" w:eastAsia="微软雅黑" w:hint="eastAsia"/>
                <w:b/>
                <w:sz w:val="24"/>
              </w:rPr>
              <w:t>合同效力的中止及恢复</w:t>
            </w:r>
          </w:p>
        </w:tc>
      </w:tr>
      <w:tr>
        <w:trPr>
          <w:trHeight w:val="543" w:hRule="atLeast"/>
        </w:trPr>
        <w:tc>
          <w:tcPr>
            <w:tcW w:w="659" w:type="dxa"/>
            <w:tcBorders>
              <w:top w:val="single" w:sz="4" w:space="0" w:color="000000"/>
            </w:tcBorders>
          </w:tcPr>
          <w:p>
            <w:pPr>
              <w:pStyle w:val="TableParagraph"/>
              <w:spacing w:before="69"/>
              <w:ind w:left="110"/>
              <w:rPr>
                <w:rFonts w:ascii="微软雅黑"/>
                <w:b/>
                <w:sz w:val="21"/>
              </w:rPr>
            </w:pPr>
            <w:r>
              <w:rPr>
                <w:rFonts w:ascii="微软雅黑"/>
                <w:b/>
                <w:sz w:val="21"/>
              </w:rPr>
              <w:t>6.1</w:t>
            </w:r>
          </w:p>
        </w:tc>
        <w:tc>
          <w:tcPr>
            <w:tcW w:w="1796" w:type="dxa"/>
            <w:tcBorders>
              <w:top w:val="single" w:sz="4" w:space="0" w:color="000000"/>
            </w:tcBorders>
          </w:tcPr>
          <w:p>
            <w:pPr>
              <w:pStyle w:val="TableParagraph"/>
              <w:spacing w:before="69"/>
              <w:ind w:left="190"/>
              <w:rPr>
                <w:rFonts w:ascii="微软雅黑" w:eastAsia="微软雅黑" w:hint="eastAsia"/>
                <w:b/>
                <w:sz w:val="21"/>
              </w:rPr>
            </w:pPr>
            <w:r>
              <w:rPr>
                <w:rFonts w:ascii="微软雅黑" w:eastAsia="微软雅黑" w:hint="eastAsia"/>
                <w:b/>
                <w:sz w:val="21"/>
              </w:rPr>
              <w:t>效力中止</w:t>
            </w:r>
          </w:p>
        </w:tc>
        <w:tc>
          <w:tcPr>
            <w:tcW w:w="7523" w:type="dxa"/>
            <w:tcBorders>
              <w:top w:val="single" w:sz="4" w:space="0" w:color="000000"/>
            </w:tcBorders>
          </w:tcPr>
          <w:p>
            <w:pPr>
              <w:pStyle w:val="TableParagraph"/>
              <w:spacing w:before="69"/>
              <w:ind w:left="336"/>
              <w:rPr>
                <w:rFonts w:ascii="微软雅黑" w:eastAsia="微软雅黑" w:hint="eastAsia"/>
                <w:b/>
                <w:sz w:val="21"/>
              </w:rPr>
            </w:pPr>
            <w:r>
              <w:rPr>
                <w:rFonts w:ascii="微软雅黑" w:eastAsia="微软雅黑" w:hint="eastAsia"/>
                <w:b/>
                <w:sz w:val="21"/>
              </w:rPr>
              <w:t>在本附加合同效力中止期间，本公司不负保险责任。</w:t>
            </w:r>
          </w:p>
        </w:tc>
      </w:tr>
      <w:tr>
        <w:trPr>
          <w:trHeight w:val="2147" w:hRule="atLeast"/>
        </w:trPr>
        <w:tc>
          <w:tcPr>
            <w:tcW w:w="659" w:type="dxa"/>
          </w:tcPr>
          <w:p>
            <w:pPr>
              <w:pStyle w:val="TableParagraph"/>
              <w:spacing w:line="360" w:lineRule="exact"/>
              <w:ind w:left="110"/>
              <w:rPr>
                <w:rFonts w:ascii="微软雅黑"/>
                <w:b/>
                <w:sz w:val="21"/>
              </w:rPr>
            </w:pPr>
            <w:r>
              <w:rPr>
                <w:rFonts w:ascii="微软雅黑"/>
                <w:b/>
                <w:sz w:val="21"/>
              </w:rPr>
              <w:t>6.2</w:t>
            </w:r>
          </w:p>
        </w:tc>
        <w:tc>
          <w:tcPr>
            <w:tcW w:w="1796" w:type="dxa"/>
          </w:tcPr>
          <w:p>
            <w:pPr>
              <w:pStyle w:val="TableParagraph"/>
              <w:spacing w:line="360" w:lineRule="exact"/>
              <w:ind w:left="190"/>
              <w:rPr>
                <w:rFonts w:ascii="微软雅黑" w:eastAsia="微软雅黑" w:hint="eastAsia"/>
                <w:b/>
                <w:sz w:val="21"/>
              </w:rPr>
            </w:pPr>
            <w:r>
              <w:rPr>
                <w:rFonts w:ascii="微软雅黑" w:eastAsia="微软雅黑" w:hint="eastAsia"/>
                <w:b/>
                <w:sz w:val="21"/>
              </w:rPr>
              <w:t>效力恢复</w:t>
            </w:r>
          </w:p>
        </w:tc>
        <w:tc>
          <w:tcPr>
            <w:tcW w:w="7523" w:type="dxa"/>
          </w:tcPr>
          <w:p>
            <w:pPr>
              <w:pStyle w:val="TableParagraph"/>
              <w:spacing w:line="344" w:lineRule="exact" w:before="44"/>
              <w:ind w:left="336" w:right="42" w:hanging="1"/>
              <w:jc w:val="both"/>
              <w:rPr>
                <w:sz w:val="21"/>
              </w:rPr>
            </w:pPr>
            <w:r>
              <w:rPr>
                <w:spacing w:val="-7"/>
                <w:sz w:val="21"/>
              </w:rPr>
              <w:t>本附加合同效力中止后 </w:t>
            </w:r>
            <w:r>
              <w:rPr>
                <w:sz w:val="21"/>
              </w:rPr>
              <w:t>2</w:t>
            </w:r>
            <w:r>
              <w:rPr>
                <w:spacing w:val="-12"/>
                <w:sz w:val="21"/>
              </w:rPr>
              <w:t> 年内，投保人可以申请恢复合同效力。经本公司与投</w:t>
            </w:r>
            <w:r>
              <w:rPr>
                <w:spacing w:val="-6"/>
                <w:sz w:val="21"/>
              </w:rPr>
              <w:t>保人协商并达成协议，在投保人偿还贷款及其利息、其他未还清款项之日起， </w:t>
            </w:r>
            <w:r>
              <w:rPr>
                <w:spacing w:val="-3"/>
                <w:sz w:val="21"/>
              </w:rPr>
              <w:t>合同效力恢复。利息按本附加合同</w:t>
            </w:r>
            <w:r>
              <w:rPr>
                <w:rFonts w:ascii="微软雅黑" w:eastAsia="微软雅黑" w:hint="eastAsia"/>
                <w:b/>
                <w:sz w:val="21"/>
              </w:rPr>
              <w:t>约定利率</w:t>
            </w:r>
            <w:r>
              <w:rPr>
                <w:spacing w:val="-3"/>
                <w:sz w:val="21"/>
              </w:rPr>
              <w:t>（</w:t>
            </w:r>
            <w:r>
              <w:rPr>
                <w:spacing w:val="-10"/>
                <w:sz w:val="21"/>
              </w:rPr>
              <w:t>见 </w:t>
            </w:r>
            <w:r>
              <w:rPr>
                <w:sz w:val="21"/>
              </w:rPr>
              <w:t>9.13）</w:t>
            </w:r>
            <w:r>
              <w:rPr>
                <w:spacing w:val="-3"/>
                <w:sz w:val="21"/>
              </w:rPr>
              <w:t>按日复利计算。</w:t>
            </w:r>
          </w:p>
          <w:p>
            <w:pPr>
              <w:pStyle w:val="TableParagraph"/>
              <w:spacing w:line="206" w:lineRule="auto" w:before="3"/>
              <w:ind w:left="336" w:right="102"/>
              <w:jc w:val="both"/>
              <w:rPr>
                <w:rFonts w:ascii="微软雅黑" w:eastAsia="微软雅黑" w:hint="eastAsia"/>
                <w:b/>
                <w:sz w:val="21"/>
              </w:rPr>
            </w:pPr>
            <w:r>
              <w:rPr>
                <w:rFonts w:ascii="微软雅黑" w:eastAsia="微软雅黑" w:hint="eastAsia"/>
                <w:b/>
                <w:spacing w:val="-3"/>
                <w:sz w:val="21"/>
              </w:rPr>
              <w:t>自本附加合同效力中止之日起满 </w:t>
            </w:r>
            <w:r>
              <w:rPr>
                <w:rFonts w:ascii="微软雅黑" w:eastAsia="微软雅黑" w:hint="eastAsia"/>
                <w:b/>
                <w:sz w:val="21"/>
              </w:rPr>
              <w:t>2</w:t>
            </w:r>
            <w:r>
              <w:rPr>
                <w:rFonts w:ascii="微软雅黑" w:eastAsia="微软雅黑" w:hint="eastAsia"/>
                <w:b/>
                <w:spacing w:val="-9"/>
                <w:sz w:val="21"/>
              </w:rPr>
              <w:t> 年投保人和本公司未达成协议的，本公司有</w:t>
            </w:r>
            <w:r>
              <w:rPr>
                <w:rFonts w:ascii="微软雅黑" w:eastAsia="微软雅黑" w:hint="eastAsia"/>
                <w:b/>
                <w:spacing w:val="-14"/>
                <w:sz w:val="21"/>
              </w:rPr>
              <w:t>权解除合同。本公司解除合同的，向投保人退还合同效力中止时保险单的现金价值。</w:t>
            </w:r>
          </w:p>
        </w:tc>
      </w:tr>
      <w:tr>
        <w:trPr>
          <w:trHeight w:val="673" w:hRule="atLeast"/>
        </w:trPr>
        <w:tc>
          <w:tcPr>
            <w:tcW w:w="659" w:type="dxa"/>
            <w:tcBorders>
              <w:bottom w:val="single" w:sz="8" w:space="0" w:color="000000"/>
            </w:tcBorders>
          </w:tcPr>
          <w:p>
            <w:pPr>
              <w:pStyle w:val="TableParagraph"/>
              <w:spacing w:before="110"/>
              <w:ind w:left="110"/>
              <w:rPr>
                <w:rFonts w:ascii="Arial" w:hAnsi="Arial"/>
                <w:b/>
                <w:sz w:val="40"/>
              </w:rPr>
            </w:pPr>
            <w:r>
              <w:rPr>
                <w:rFonts w:ascii="Arial" w:hAnsi="Arial"/>
                <w:b/>
                <w:color w:val="303030"/>
                <w:w w:val="119"/>
                <w:sz w:val="40"/>
              </w:rPr>
              <w:t></w:t>
            </w:r>
          </w:p>
        </w:tc>
        <w:tc>
          <w:tcPr>
            <w:tcW w:w="1796" w:type="dxa"/>
            <w:tcBorders>
              <w:bottom w:val="single" w:sz="8" w:space="0" w:color="000000"/>
            </w:tcBorders>
          </w:tcPr>
          <w:p>
            <w:pPr>
              <w:pStyle w:val="TableParagraph"/>
              <w:spacing w:before="87"/>
              <w:ind w:left="190"/>
              <w:rPr>
                <w:rFonts w:ascii="微软雅黑" w:eastAsia="微软雅黑" w:hint="eastAsia"/>
                <w:b/>
                <w:sz w:val="24"/>
              </w:rPr>
            </w:pPr>
            <w:r>
              <w:rPr>
                <w:rFonts w:ascii="微软雅黑" w:eastAsia="微软雅黑" w:hint="eastAsia"/>
                <w:b/>
                <w:sz w:val="24"/>
              </w:rPr>
              <w:t>保险合同解除</w:t>
            </w:r>
          </w:p>
        </w:tc>
        <w:tc>
          <w:tcPr>
            <w:tcW w:w="7523" w:type="dxa"/>
            <w:tcBorders>
              <w:bottom w:val="single" w:sz="8" w:space="0" w:color="000000"/>
            </w:tcBorders>
          </w:tcPr>
          <w:p>
            <w:pPr>
              <w:pStyle w:val="TableParagraph"/>
              <w:ind w:left="0"/>
              <w:rPr>
                <w:rFonts w:ascii="Times New Roman"/>
                <w:sz w:val="20"/>
              </w:rPr>
            </w:pPr>
          </w:p>
        </w:tc>
      </w:tr>
      <w:tr>
        <w:trPr>
          <w:trHeight w:val="2459" w:hRule="atLeast"/>
        </w:trPr>
        <w:tc>
          <w:tcPr>
            <w:tcW w:w="659" w:type="dxa"/>
            <w:tcBorders>
              <w:top w:val="single" w:sz="8" w:space="0" w:color="000000"/>
            </w:tcBorders>
          </w:tcPr>
          <w:p>
            <w:pPr>
              <w:pStyle w:val="TableParagraph"/>
              <w:spacing w:before="57"/>
              <w:ind w:left="110"/>
              <w:rPr>
                <w:rFonts w:ascii="微软雅黑"/>
                <w:b/>
                <w:sz w:val="21"/>
              </w:rPr>
            </w:pPr>
            <w:r>
              <w:rPr>
                <w:rFonts w:ascii="微软雅黑"/>
                <w:b/>
                <w:sz w:val="21"/>
              </w:rPr>
              <w:t>7.1</w:t>
            </w:r>
          </w:p>
        </w:tc>
        <w:tc>
          <w:tcPr>
            <w:tcW w:w="1796" w:type="dxa"/>
            <w:tcBorders>
              <w:top w:val="single" w:sz="8" w:space="0" w:color="000000"/>
            </w:tcBorders>
          </w:tcPr>
          <w:p>
            <w:pPr>
              <w:pStyle w:val="TableParagraph"/>
              <w:spacing w:before="57"/>
              <w:ind w:left="190"/>
              <w:rPr>
                <w:rFonts w:ascii="微软雅黑" w:eastAsia="微软雅黑" w:hint="eastAsia"/>
                <w:b/>
                <w:sz w:val="21"/>
              </w:rPr>
            </w:pPr>
            <w:r>
              <w:rPr>
                <w:rFonts w:ascii="微软雅黑" w:eastAsia="微软雅黑" w:hint="eastAsia"/>
                <w:b/>
                <w:sz w:val="21"/>
              </w:rPr>
              <w:t>合同解除</w:t>
            </w:r>
          </w:p>
        </w:tc>
        <w:tc>
          <w:tcPr>
            <w:tcW w:w="7523" w:type="dxa"/>
            <w:tcBorders>
              <w:top w:val="single" w:sz="8" w:space="0" w:color="000000"/>
            </w:tcBorders>
          </w:tcPr>
          <w:p>
            <w:pPr>
              <w:pStyle w:val="TableParagraph"/>
              <w:spacing w:line="273" w:lineRule="auto" w:before="120"/>
              <w:ind w:left="336" w:right="103" w:hanging="1"/>
              <w:rPr>
                <w:sz w:val="21"/>
              </w:rPr>
            </w:pPr>
            <w:r>
              <w:rPr>
                <w:spacing w:val="-8"/>
                <w:sz w:val="21"/>
              </w:rPr>
              <w:t>如投保人申请解除本附加合同，请填写解除合同申请书并向本公司提供下列资</w:t>
            </w:r>
            <w:r>
              <w:rPr>
                <w:sz w:val="21"/>
              </w:rPr>
              <w:t>料：</w:t>
            </w:r>
          </w:p>
          <w:p>
            <w:pPr>
              <w:pStyle w:val="TableParagraph"/>
              <w:spacing w:before="7"/>
              <w:ind w:left="336"/>
              <w:rPr>
                <w:sz w:val="21"/>
              </w:rPr>
            </w:pPr>
            <w:r>
              <w:rPr>
                <w:sz w:val="21"/>
              </w:rPr>
              <w:t>（1）保险合同或其他保险凭证；</w:t>
            </w:r>
          </w:p>
          <w:p>
            <w:pPr>
              <w:pStyle w:val="TableParagraph"/>
              <w:spacing w:before="36"/>
              <w:ind w:left="336"/>
              <w:rPr>
                <w:sz w:val="21"/>
              </w:rPr>
            </w:pPr>
            <w:r>
              <w:rPr>
                <w:sz w:val="21"/>
              </w:rPr>
              <w:t>（2）申请人的有效身份证件。</w:t>
            </w:r>
          </w:p>
          <w:p>
            <w:pPr>
              <w:pStyle w:val="TableParagraph"/>
              <w:spacing w:line="273" w:lineRule="auto" w:before="36"/>
              <w:ind w:left="336" w:right="103"/>
              <w:rPr>
                <w:sz w:val="21"/>
              </w:rPr>
            </w:pPr>
            <w:r>
              <w:rPr>
                <w:spacing w:val="-7"/>
                <w:sz w:val="21"/>
              </w:rPr>
              <w:t>自本公司收到解除合同申请书时起，本附加合同终止。本公司自收到解除合同</w:t>
            </w:r>
            <w:r>
              <w:rPr>
                <w:spacing w:val="-8"/>
                <w:sz w:val="21"/>
              </w:rPr>
              <w:t>申请书之日起 </w:t>
            </w:r>
            <w:r>
              <w:rPr>
                <w:sz w:val="21"/>
              </w:rPr>
              <w:t>30</w:t>
            </w:r>
            <w:r>
              <w:rPr>
                <w:spacing w:val="-8"/>
                <w:sz w:val="21"/>
              </w:rPr>
              <w:t> 日内向投保人退还保险单的现金价值。</w:t>
            </w:r>
          </w:p>
          <w:p>
            <w:pPr>
              <w:pStyle w:val="TableParagraph"/>
              <w:spacing w:line="308" w:lineRule="exact"/>
              <w:ind w:left="336"/>
              <w:rPr>
                <w:rFonts w:ascii="微软雅黑" w:eastAsia="微软雅黑" w:hint="eastAsia"/>
                <w:b/>
                <w:sz w:val="21"/>
              </w:rPr>
            </w:pPr>
            <w:r>
              <w:rPr>
                <w:rFonts w:ascii="微软雅黑" w:eastAsia="微软雅黑" w:hint="eastAsia"/>
                <w:b/>
                <w:sz w:val="21"/>
              </w:rPr>
              <w:t>投保人犹豫期后解除合同会遭受一定损失。</w:t>
            </w:r>
          </w:p>
        </w:tc>
      </w:tr>
      <w:tr>
        <w:trPr>
          <w:trHeight w:val="705" w:hRule="atLeast"/>
        </w:trPr>
        <w:tc>
          <w:tcPr>
            <w:tcW w:w="659" w:type="dxa"/>
            <w:tcBorders>
              <w:bottom w:val="single" w:sz="8" w:space="0" w:color="000000"/>
            </w:tcBorders>
          </w:tcPr>
          <w:p>
            <w:pPr>
              <w:pStyle w:val="TableParagraph"/>
              <w:spacing w:before="142"/>
              <w:ind w:left="110"/>
              <w:rPr>
                <w:rFonts w:ascii="Arial" w:hAnsi="Arial"/>
                <w:b/>
                <w:sz w:val="40"/>
              </w:rPr>
            </w:pPr>
            <w:r>
              <w:rPr>
                <w:rFonts w:ascii="Arial" w:hAnsi="Arial"/>
                <w:b/>
                <w:w w:val="119"/>
                <w:sz w:val="40"/>
              </w:rPr>
              <w:t></w:t>
            </w:r>
          </w:p>
        </w:tc>
        <w:tc>
          <w:tcPr>
            <w:tcW w:w="9319" w:type="dxa"/>
            <w:gridSpan w:val="2"/>
            <w:tcBorders>
              <w:bottom w:val="single" w:sz="8" w:space="0" w:color="000000"/>
            </w:tcBorders>
          </w:tcPr>
          <w:p>
            <w:pPr>
              <w:pStyle w:val="TableParagraph"/>
              <w:spacing w:before="122"/>
              <w:ind w:left="190"/>
              <w:rPr>
                <w:rFonts w:ascii="微软雅黑" w:eastAsia="微软雅黑" w:hint="eastAsia"/>
                <w:b/>
                <w:sz w:val="24"/>
              </w:rPr>
            </w:pPr>
            <w:r>
              <w:rPr>
                <w:rFonts w:ascii="微软雅黑" w:eastAsia="微软雅黑" w:hint="eastAsia"/>
                <w:b/>
                <w:sz w:val="24"/>
              </w:rPr>
              <w:t>其他需要关注的事项</w:t>
            </w:r>
          </w:p>
        </w:tc>
      </w:tr>
    </w:tbl>
    <w:p>
      <w:pPr>
        <w:spacing w:after="0"/>
        <w:rPr>
          <w:rFonts w:ascii="微软雅黑" w:eastAsia="微软雅黑" w:hint="eastAsia"/>
          <w:sz w:val="24"/>
        </w:rPr>
        <w:sectPr>
          <w:pgSz w:w="11910" w:h="16840"/>
          <w:pgMar w:header="0" w:footer="377" w:top="1340" w:bottom="560" w:left="860" w:right="8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8"/>
        <w:gridCol w:w="2027"/>
        <w:gridCol w:w="7514"/>
      </w:tblGrid>
      <w:tr>
        <w:trPr>
          <w:trHeight w:val="1543" w:hRule="atLeast"/>
        </w:trPr>
        <w:tc>
          <w:tcPr>
            <w:tcW w:w="728" w:type="dxa"/>
          </w:tcPr>
          <w:p>
            <w:pPr>
              <w:pStyle w:val="TableParagraph"/>
              <w:spacing w:line="230" w:lineRule="exact"/>
              <w:ind w:left="200"/>
              <w:rPr>
                <w:rFonts w:ascii="微软雅黑"/>
                <w:b/>
                <w:sz w:val="21"/>
              </w:rPr>
            </w:pPr>
            <w:r>
              <w:rPr>
                <w:rFonts w:ascii="微软雅黑"/>
                <w:b/>
                <w:sz w:val="21"/>
              </w:rPr>
              <w:t>8.1</w:t>
            </w:r>
          </w:p>
        </w:tc>
        <w:tc>
          <w:tcPr>
            <w:tcW w:w="2027" w:type="dxa"/>
          </w:tcPr>
          <w:p>
            <w:pPr>
              <w:pStyle w:val="TableParagraph"/>
              <w:spacing w:line="230" w:lineRule="exact"/>
              <w:ind w:left="211"/>
              <w:rPr>
                <w:rFonts w:ascii="微软雅黑" w:eastAsia="微软雅黑" w:hint="eastAsia"/>
                <w:b/>
                <w:sz w:val="21"/>
              </w:rPr>
            </w:pPr>
            <w:r>
              <w:rPr>
                <w:rFonts w:ascii="微软雅黑" w:eastAsia="微软雅黑" w:hint="eastAsia"/>
                <w:b/>
                <w:sz w:val="21"/>
              </w:rPr>
              <w:t>如实告知</w:t>
            </w:r>
          </w:p>
        </w:tc>
        <w:tc>
          <w:tcPr>
            <w:tcW w:w="7514" w:type="dxa"/>
          </w:tcPr>
          <w:p>
            <w:pPr>
              <w:pStyle w:val="TableParagraph"/>
              <w:spacing w:line="205" w:lineRule="exact"/>
              <w:ind w:left="125"/>
              <w:rPr>
                <w:sz w:val="21"/>
              </w:rPr>
            </w:pPr>
            <w:r>
              <w:rPr>
                <w:sz w:val="21"/>
              </w:rPr>
              <w:t>订立本附加合同时，本公司应向投保人说明本附加合同的内容。</w:t>
            </w:r>
          </w:p>
          <w:p>
            <w:pPr>
              <w:pStyle w:val="TableParagraph"/>
              <w:spacing w:line="273" w:lineRule="auto" w:before="37"/>
              <w:ind w:left="125" w:right="302"/>
              <w:jc w:val="both"/>
              <w:rPr>
                <w:sz w:val="21"/>
              </w:rPr>
            </w:pPr>
            <w:r>
              <w:rPr>
                <w:spacing w:val="-6"/>
                <w:sz w:val="21"/>
              </w:rPr>
              <w:t>对保险条款中免除本公司责任的条款，本公司在订立合同时应当在投保单、保</w:t>
            </w:r>
            <w:r>
              <w:rPr>
                <w:spacing w:val="-7"/>
                <w:sz w:val="21"/>
              </w:rPr>
              <w:t>险单或者其他保险凭证上作出足以引起投保人注意的提示，并对该条款的内容</w:t>
            </w:r>
            <w:r>
              <w:rPr>
                <w:spacing w:val="-8"/>
                <w:sz w:val="21"/>
              </w:rPr>
              <w:t>以书面或者口头形式向投保人作出明确说明，未作提示或者明确说明的，该条</w:t>
            </w:r>
            <w:r>
              <w:rPr>
                <w:spacing w:val="-5"/>
                <w:sz w:val="21"/>
              </w:rPr>
              <w:t>款不产生效力。</w:t>
            </w:r>
          </w:p>
        </w:tc>
      </w:tr>
      <w:tr>
        <w:trPr>
          <w:trHeight w:val="3266" w:hRule="atLeast"/>
        </w:trPr>
        <w:tc>
          <w:tcPr>
            <w:tcW w:w="728" w:type="dxa"/>
          </w:tcPr>
          <w:p>
            <w:pPr>
              <w:pStyle w:val="TableParagraph"/>
              <w:ind w:left="0"/>
              <w:rPr>
                <w:rFonts w:ascii="Times New Roman"/>
                <w:sz w:val="20"/>
              </w:rPr>
            </w:pPr>
          </w:p>
        </w:tc>
        <w:tc>
          <w:tcPr>
            <w:tcW w:w="2027" w:type="dxa"/>
          </w:tcPr>
          <w:p>
            <w:pPr>
              <w:pStyle w:val="TableParagraph"/>
              <w:ind w:left="0"/>
              <w:rPr>
                <w:rFonts w:ascii="Times New Roman"/>
                <w:sz w:val="20"/>
              </w:rPr>
            </w:pPr>
          </w:p>
        </w:tc>
        <w:tc>
          <w:tcPr>
            <w:tcW w:w="7514" w:type="dxa"/>
          </w:tcPr>
          <w:p>
            <w:pPr>
              <w:pStyle w:val="TableParagraph"/>
              <w:spacing w:line="289" w:lineRule="exact"/>
              <w:ind w:left="125"/>
              <w:rPr>
                <w:rFonts w:ascii="微软雅黑" w:eastAsia="微软雅黑" w:hint="eastAsia"/>
                <w:b/>
                <w:sz w:val="21"/>
              </w:rPr>
            </w:pPr>
            <w:r>
              <w:rPr>
                <w:rFonts w:ascii="微软雅黑" w:eastAsia="微软雅黑" w:hint="eastAsia"/>
                <w:b/>
                <w:sz w:val="21"/>
              </w:rPr>
              <w:t>本公司就投保人和被保险人的有关情况提出询问，投保人应当如实告知。</w:t>
            </w:r>
          </w:p>
          <w:p>
            <w:pPr>
              <w:pStyle w:val="TableParagraph"/>
              <w:spacing w:line="206" w:lineRule="auto" w:before="25"/>
              <w:ind w:left="125" w:right="305"/>
              <w:rPr>
                <w:rFonts w:ascii="微软雅黑" w:eastAsia="微软雅黑" w:hint="eastAsia"/>
                <w:b/>
                <w:sz w:val="21"/>
              </w:rPr>
            </w:pPr>
            <w:r>
              <w:rPr>
                <w:rFonts w:ascii="微软雅黑" w:eastAsia="微软雅黑" w:hint="eastAsia"/>
                <w:b/>
                <w:spacing w:val="-6"/>
                <w:sz w:val="21"/>
              </w:rPr>
              <w:t>如果投保人故意或者因重大过失未履行前款规定的如实告知义务，足以影响本公司决定是否同意承保或者提高保险费率的，本公司有权解除本附加合同。如果投保人故意不履行如实告知义务，对于本附加合同解除前发生的保险事</w:t>
            </w:r>
            <w:r>
              <w:rPr>
                <w:rFonts w:ascii="微软雅黑" w:eastAsia="微软雅黑" w:hint="eastAsia"/>
                <w:b/>
                <w:spacing w:val="-3"/>
                <w:sz w:val="21"/>
              </w:rPr>
              <w:t>故，本公司不承担豁免保险费的责任，并不退还保险费。</w:t>
            </w:r>
          </w:p>
          <w:p>
            <w:pPr>
              <w:pStyle w:val="TableParagraph"/>
              <w:spacing w:line="206" w:lineRule="auto"/>
              <w:ind w:left="125" w:right="198"/>
              <w:rPr>
                <w:rFonts w:ascii="微软雅黑" w:eastAsia="微软雅黑" w:hint="eastAsia"/>
                <w:b/>
                <w:sz w:val="21"/>
              </w:rPr>
            </w:pPr>
            <w:r>
              <w:rPr>
                <w:rFonts w:ascii="微软雅黑" w:eastAsia="微软雅黑" w:hint="eastAsia"/>
                <w:b/>
                <w:spacing w:val="-3"/>
                <w:sz w:val="21"/>
              </w:rPr>
              <w:t>如果投保人因重大过失未履行如实告知义务，对保险事故的发生有严重影响  </w:t>
            </w:r>
            <w:r>
              <w:rPr>
                <w:rFonts w:ascii="微软雅黑" w:eastAsia="微软雅黑" w:hint="eastAsia"/>
                <w:b/>
                <w:spacing w:val="-16"/>
                <w:sz w:val="21"/>
              </w:rPr>
              <w:t>的，对于本附加合同解除前发生的保险事故，本公司不承担豁免保险费的责任， 但应当退还保险费。</w:t>
            </w:r>
          </w:p>
          <w:p>
            <w:pPr>
              <w:pStyle w:val="TableParagraph"/>
              <w:spacing w:line="273" w:lineRule="auto" w:before="12"/>
              <w:ind w:left="125" w:right="247"/>
              <w:rPr>
                <w:sz w:val="21"/>
              </w:rPr>
            </w:pPr>
            <w:r>
              <w:rPr>
                <w:sz w:val="21"/>
              </w:rPr>
              <w:t>本公司在合同订立时已经知道投保人未如实告知的情况的，本公司不得解除合同；发生保险事故的，本公司承担豁免保险费的责任。</w:t>
            </w:r>
          </w:p>
        </w:tc>
      </w:tr>
      <w:tr>
        <w:trPr>
          <w:trHeight w:val="1144" w:hRule="atLeast"/>
        </w:trPr>
        <w:tc>
          <w:tcPr>
            <w:tcW w:w="728" w:type="dxa"/>
          </w:tcPr>
          <w:p>
            <w:pPr>
              <w:pStyle w:val="TableParagraph"/>
              <w:spacing w:before="30"/>
              <w:ind w:left="200"/>
              <w:rPr>
                <w:rFonts w:ascii="微软雅黑"/>
                <w:b/>
                <w:sz w:val="21"/>
              </w:rPr>
            </w:pPr>
            <w:r>
              <w:rPr>
                <w:rFonts w:ascii="微软雅黑"/>
                <w:b/>
                <w:sz w:val="21"/>
              </w:rPr>
              <w:t>8.2</w:t>
            </w:r>
          </w:p>
        </w:tc>
        <w:tc>
          <w:tcPr>
            <w:tcW w:w="2027" w:type="dxa"/>
          </w:tcPr>
          <w:p>
            <w:pPr>
              <w:pStyle w:val="TableParagraph"/>
              <w:spacing w:line="206" w:lineRule="auto" w:before="81"/>
              <w:ind w:left="211" w:right="124"/>
              <w:rPr>
                <w:rFonts w:ascii="微软雅黑" w:eastAsia="微软雅黑" w:hint="eastAsia"/>
                <w:b/>
                <w:sz w:val="21"/>
              </w:rPr>
            </w:pPr>
            <w:r>
              <w:rPr>
                <w:rFonts w:ascii="微软雅黑" w:eastAsia="微软雅黑" w:hint="eastAsia"/>
                <w:b/>
                <w:sz w:val="21"/>
              </w:rPr>
              <w:t>本公司合同解除权的限制</w:t>
            </w:r>
          </w:p>
        </w:tc>
        <w:tc>
          <w:tcPr>
            <w:tcW w:w="7514" w:type="dxa"/>
          </w:tcPr>
          <w:p>
            <w:pPr>
              <w:pStyle w:val="TableParagraph"/>
              <w:spacing w:before="93"/>
              <w:ind w:left="125"/>
              <w:rPr>
                <w:sz w:val="21"/>
              </w:rPr>
            </w:pPr>
            <w:r>
              <w:rPr>
                <w:sz w:val="21"/>
              </w:rPr>
              <w:t>前款规定的合同解除权，自本公司知道有解除事由之日起，超过 30 日不行使</w:t>
            </w:r>
          </w:p>
          <w:p>
            <w:pPr>
              <w:pStyle w:val="TableParagraph"/>
              <w:spacing w:line="273" w:lineRule="auto" w:before="37"/>
              <w:ind w:right="307" w:hanging="1"/>
              <w:rPr>
                <w:sz w:val="21"/>
              </w:rPr>
            </w:pPr>
            <w:r>
              <w:rPr>
                <w:spacing w:val="-8"/>
                <w:sz w:val="21"/>
              </w:rPr>
              <w:t>而消灭。自本附加合同成立之日起超过 </w:t>
            </w:r>
            <w:r>
              <w:rPr>
                <w:sz w:val="21"/>
              </w:rPr>
              <w:t>2</w:t>
            </w:r>
            <w:r>
              <w:rPr>
                <w:spacing w:val="-10"/>
                <w:sz w:val="21"/>
              </w:rPr>
              <w:t> 年的，本公司不得解除合同；发生保</w:t>
            </w:r>
            <w:r>
              <w:rPr>
                <w:spacing w:val="-3"/>
                <w:sz w:val="21"/>
              </w:rPr>
              <w:t>险事故的，本公司承担给付保险金的责任。</w:t>
            </w:r>
          </w:p>
        </w:tc>
      </w:tr>
      <w:tr>
        <w:trPr>
          <w:trHeight w:val="3966" w:hRule="atLeast"/>
        </w:trPr>
        <w:tc>
          <w:tcPr>
            <w:tcW w:w="728" w:type="dxa"/>
          </w:tcPr>
          <w:p>
            <w:pPr>
              <w:pStyle w:val="TableParagraph"/>
              <w:spacing w:before="14"/>
              <w:ind w:left="200"/>
              <w:rPr>
                <w:rFonts w:ascii="微软雅黑"/>
                <w:b/>
                <w:sz w:val="21"/>
              </w:rPr>
            </w:pPr>
            <w:r>
              <w:rPr>
                <w:rFonts w:ascii="微软雅黑"/>
                <w:b/>
                <w:w w:val="81"/>
                <w:sz w:val="21"/>
              </w:rPr>
              <w:t>8</w:t>
            </w:r>
            <w:r>
              <w:rPr>
                <w:rFonts w:ascii="微软雅黑"/>
                <w:b/>
                <w:w w:val="176"/>
                <w:sz w:val="21"/>
              </w:rPr>
              <w:t>.</w:t>
            </w:r>
            <w:r>
              <w:rPr>
                <w:rFonts w:ascii="微软雅黑"/>
                <w:b/>
                <w:w w:val="81"/>
                <w:sz w:val="21"/>
              </w:rPr>
              <w:t>3</w:t>
            </w:r>
          </w:p>
        </w:tc>
        <w:tc>
          <w:tcPr>
            <w:tcW w:w="2027" w:type="dxa"/>
          </w:tcPr>
          <w:p>
            <w:pPr>
              <w:pStyle w:val="TableParagraph"/>
              <w:spacing w:before="14"/>
              <w:ind w:left="211"/>
              <w:rPr>
                <w:rFonts w:ascii="微软雅黑" w:eastAsia="微软雅黑" w:hint="eastAsia"/>
                <w:b/>
                <w:sz w:val="21"/>
              </w:rPr>
            </w:pPr>
            <w:r>
              <w:rPr>
                <w:rFonts w:ascii="微软雅黑" w:eastAsia="微软雅黑" w:hint="eastAsia"/>
                <w:b/>
                <w:sz w:val="21"/>
              </w:rPr>
              <w:t>年龄错误处理</w:t>
            </w:r>
          </w:p>
        </w:tc>
        <w:tc>
          <w:tcPr>
            <w:tcW w:w="7514" w:type="dxa"/>
          </w:tcPr>
          <w:p>
            <w:pPr>
              <w:pStyle w:val="TableParagraph"/>
              <w:spacing w:line="300" w:lineRule="auto" w:before="90"/>
              <w:ind w:left="125" w:right="302"/>
              <w:rPr>
                <w:sz w:val="21"/>
              </w:rPr>
            </w:pPr>
            <w:r>
              <w:rPr>
                <w:spacing w:val="-7"/>
                <w:sz w:val="21"/>
              </w:rPr>
              <w:t>被保险人的投保年龄按周岁计算。投保人应在投保时将被保险人的真实年龄在</w:t>
            </w:r>
            <w:r>
              <w:rPr>
                <w:spacing w:val="-5"/>
                <w:sz w:val="21"/>
              </w:rPr>
              <w:t>投保单上填明，如果发生错误，本公司按照下列规定办理：</w:t>
            </w:r>
          </w:p>
          <w:p>
            <w:pPr>
              <w:pStyle w:val="TableParagraph"/>
              <w:numPr>
                <w:ilvl w:val="0"/>
                <w:numId w:val="9"/>
              </w:numPr>
              <w:tabs>
                <w:tab w:pos="693" w:val="left" w:leader="none"/>
              </w:tabs>
              <w:spacing w:line="300" w:lineRule="auto" w:before="15" w:after="0"/>
              <w:ind w:left="692" w:right="302" w:hanging="567"/>
              <w:jc w:val="both"/>
              <w:rPr>
                <w:sz w:val="21"/>
              </w:rPr>
            </w:pPr>
            <w:r>
              <w:rPr>
                <w:spacing w:val="-4"/>
                <w:sz w:val="21"/>
              </w:rPr>
              <w:t>投保人申报的被保险人年龄不真实，并且其真实年龄不符合本附加合同</w:t>
            </w:r>
            <w:r>
              <w:rPr>
                <w:spacing w:val="-3"/>
                <w:sz w:val="21"/>
              </w:rPr>
              <w:t>约定的年龄限制的，本公司有权在知道有解除事由之日起三十日内解除合同，并向投保人退还本附加合同的现金价值，但自合同成立之日起超过二年的除外。</w:t>
            </w:r>
          </w:p>
          <w:p>
            <w:pPr>
              <w:pStyle w:val="TableParagraph"/>
              <w:numPr>
                <w:ilvl w:val="0"/>
                <w:numId w:val="9"/>
              </w:numPr>
              <w:tabs>
                <w:tab w:pos="693" w:val="left" w:leader="none"/>
              </w:tabs>
              <w:spacing w:line="300" w:lineRule="auto" w:before="15" w:after="0"/>
              <w:ind w:left="692" w:right="302" w:hanging="566"/>
              <w:jc w:val="both"/>
              <w:rPr>
                <w:sz w:val="21"/>
              </w:rPr>
            </w:pPr>
            <w:r>
              <w:rPr>
                <w:spacing w:val="-3"/>
                <w:sz w:val="21"/>
              </w:rPr>
              <w:t>投保人申报的被保险人年龄不真实，致使投保人支付的保险费少于应付</w:t>
            </w:r>
            <w:r>
              <w:rPr>
                <w:spacing w:val="-4"/>
                <w:sz w:val="21"/>
              </w:rPr>
              <w:t>保险费的，本公司有权更正并要求投保人补交保险费及利息，或在豁免</w:t>
            </w:r>
            <w:r>
              <w:rPr>
                <w:spacing w:val="-3"/>
                <w:sz w:val="21"/>
              </w:rPr>
              <w:t>保险费时按照实付保险费与应付保险费的比例豁免。</w:t>
            </w:r>
          </w:p>
          <w:p>
            <w:pPr>
              <w:pStyle w:val="TableParagraph"/>
              <w:numPr>
                <w:ilvl w:val="0"/>
                <w:numId w:val="9"/>
              </w:numPr>
              <w:tabs>
                <w:tab w:pos="693" w:val="left" w:leader="none"/>
              </w:tabs>
              <w:spacing w:line="300" w:lineRule="auto" w:before="15" w:after="0"/>
              <w:ind w:left="692" w:right="302" w:hanging="566"/>
              <w:jc w:val="both"/>
              <w:rPr>
                <w:sz w:val="21"/>
              </w:rPr>
            </w:pPr>
            <w:r>
              <w:rPr>
                <w:spacing w:val="-3"/>
                <w:sz w:val="21"/>
              </w:rPr>
              <w:t>投保人申报的被保险人年龄不真实，致使投保人支付的保险费多于应付保险费的，本公司应将多收的保险费无息退还投保人。</w:t>
            </w:r>
          </w:p>
        </w:tc>
      </w:tr>
      <w:tr>
        <w:trPr>
          <w:trHeight w:val="1127" w:hRule="atLeast"/>
        </w:trPr>
        <w:tc>
          <w:tcPr>
            <w:tcW w:w="728" w:type="dxa"/>
          </w:tcPr>
          <w:p>
            <w:pPr>
              <w:pStyle w:val="TableParagraph"/>
              <w:spacing w:before="29"/>
              <w:ind w:left="200"/>
              <w:rPr>
                <w:rFonts w:ascii="微软雅黑"/>
                <w:b/>
                <w:sz w:val="21"/>
              </w:rPr>
            </w:pPr>
            <w:r>
              <w:rPr>
                <w:rFonts w:ascii="微软雅黑"/>
                <w:b/>
                <w:w w:val="81"/>
                <w:sz w:val="21"/>
              </w:rPr>
              <w:t>8</w:t>
            </w:r>
            <w:r>
              <w:rPr>
                <w:rFonts w:ascii="微软雅黑"/>
                <w:b/>
                <w:w w:val="176"/>
                <w:sz w:val="21"/>
              </w:rPr>
              <w:t>.</w:t>
            </w:r>
            <w:r>
              <w:rPr>
                <w:rFonts w:ascii="微软雅黑"/>
                <w:b/>
                <w:w w:val="81"/>
                <w:sz w:val="21"/>
              </w:rPr>
              <w:t>4</w:t>
            </w:r>
          </w:p>
        </w:tc>
        <w:tc>
          <w:tcPr>
            <w:tcW w:w="2027" w:type="dxa"/>
          </w:tcPr>
          <w:p>
            <w:pPr>
              <w:pStyle w:val="TableParagraph"/>
              <w:spacing w:before="29"/>
              <w:ind w:left="211"/>
              <w:rPr>
                <w:rFonts w:ascii="微软雅黑" w:eastAsia="微软雅黑" w:hint="eastAsia"/>
                <w:b/>
                <w:sz w:val="21"/>
              </w:rPr>
            </w:pPr>
            <w:r>
              <w:rPr>
                <w:rFonts w:ascii="微软雅黑" w:eastAsia="微软雅黑" w:hint="eastAsia"/>
                <w:b/>
                <w:sz w:val="21"/>
              </w:rPr>
              <w:t>未还款项</w:t>
            </w:r>
          </w:p>
        </w:tc>
        <w:tc>
          <w:tcPr>
            <w:tcW w:w="7514" w:type="dxa"/>
          </w:tcPr>
          <w:p>
            <w:pPr>
              <w:pStyle w:val="TableParagraph"/>
              <w:spacing w:line="273" w:lineRule="auto" w:before="92"/>
              <w:ind w:left="125" w:right="305"/>
              <w:jc w:val="both"/>
              <w:rPr>
                <w:sz w:val="21"/>
              </w:rPr>
            </w:pPr>
            <w:r>
              <w:rPr>
                <w:spacing w:val="-8"/>
                <w:sz w:val="21"/>
              </w:rPr>
              <w:t>本公司在豁免保险费、退还现金价值或返还保险费时，如果投保人有欠交的保</w:t>
            </w:r>
            <w:r>
              <w:rPr>
                <w:spacing w:val="-9"/>
                <w:sz w:val="21"/>
              </w:rPr>
              <w:t>险费或其他未还清款项，本公司会要求投保人补交或扣除上述欠款及应付利息</w:t>
            </w:r>
            <w:r>
              <w:rPr>
                <w:spacing w:val="-3"/>
                <w:sz w:val="21"/>
              </w:rPr>
              <w:t>后给付。应付利息按本条款约定利率计算，但本附加合同另有约定的除外。</w:t>
            </w:r>
          </w:p>
        </w:tc>
      </w:tr>
      <w:tr>
        <w:trPr>
          <w:trHeight w:val="2031" w:hRule="atLeast"/>
        </w:trPr>
        <w:tc>
          <w:tcPr>
            <w:tcW w:w="728" w:type="dxa"/>
          </w:tcPr>
          <w:p>
            <w:pPr>
              <w:pStyle w:val="TableParagraph"/>
              <w:spacing w:line="361" w:lineRule="exact"/>
              <w:ind w:left="200"/>
              <w:rPr>
                <w:rFonts w:ascii="微软雅黑"/>
                <w:b/>
                <w:sz w:val="21"/>
              </w:rPr>
            </w:pPr>
            <w:r>
              <w:rPr>
                <w:rFonts w:ascii="微软雅黑"/>
                <w:b/>
                <w:w w:val="81"/>
                <w:sz w:val="21"/>
              </w:rPr>
              <w:t>8</w:t>
            </w:r>
            <w:r>
              <w:rPr>
                <w:rFonts w:ascii="微软雅黑"/>
                <w:b/>
                <w:w w:val="176"/>
                <w:sz w:val="21"/>
              </w:rPr>
              <w:t>.</w:t>
            </w:r>
            <w:r>
              <w:rPr>
                <w:rFonts w:ascii="微软雅黑"/>
                <w:b/>
                <w:w w:val="81"/>
                <w:sz w:val="21"/>
              </w:rPr>
              <w:t>5</w:t>
            </w:r>
          </w:p>
        </w:tc>
        <w:tc>
          <w:tcPr>
            <w:tcW w:w="2027" w:type="dxa"/>
          </w:tcPr>
          <w:p>
            <w:pPr>
              <w:pStyle w:val="TableParagraph"/>
              <w:spacing w:line="361" w:lineRule="exact"/>
              <w:ind w:left="211"/>
              <w:rPr>
                <w:rFonts w:ascii="微软雅黑" w:eastAsia="微软雅黑" w:hint="eastAsia"/>
                <w:b/>
                <w:sz w:val="21"/>
              </w:rPr>
            </w:pPr>
            <w:r>
              <w:rPr>
                <w:rFonts w:ascii="微软雅黑" w:eastAsia="微软雅黑" w:hint="eastAsia"/>
                <w:b/>
                <w:sz w:val="21"/>
              </w:rPr>
              <w:t>合同内容变更</w:t>
            </w:r>
          </w:p>
        </w:tc>
        <w:tc>
          <w:tcPr>
            <w:tcW w:w="7514" w:type="dxa"/>
          </w:tcPr>
          <w:p>
            <w:pPr>
              <w:pStyle w:val="TableParagraph"/>
              <w:spacing w:line="273" w:lineRule="auto" w:before="60"/>
              <w:ind w:left="125" w:right="302"/>
              <w:jc w:val="both"/>
              <w:rPr>
                <w:sz w:val="21"/>
              </w:rPr>
            </w:pPr>
            <w:r>
              <w:rPr>
                <w:spacing w:val="-6"/>
                <w:sz w:val="21"/>
              </w:rPr>
              <w:t>投保人和本公司可以协商变更本附加合同的内容。变更本附加合同的，应当由</w:t>
            </w:r>
            <w:r>
              <w:rPr>
                <w:spacing w:val="-7"/>
                <w:sz w:val="21"/>
              </w:rPr>
              <w:t>本公司在保险单或者其他保险凭证上批注或者附贴批单，或者由投保人与本公</w:t>
            </w:r>
            <w:r>
              <w:rPr>
                <w:spacing w:val="-3"/>
                <w:sz w:val="21"/>
              </w:rPr>
              <w:t>司订立书面的变更协议。</w:t>
            </w:r>
          </w:p>
          <w:p>
            <w:pPr>
              <w:pStyle w:val="TableParagraph"/>
              <w:spacing w:line="273" w:lineRule="auto" w:before="7"/>
              <w:ind w:left="125" w:right="305"/>
              <w:jc w:val="both"/>
              <w:rPr>
                <w:sz w:val="21"/>
              </w:rPr>
            </w:pPr>
            <w:r>
              <w:rPr>
                <w:spacing w:val="-9"/>
                <w:sz w:val="21"/>
              </w:rPr>
              <w:t>保险费已被豁免的，不得增加被豁免合同的保险金额，不得变更被豁免合同的保险期间、交费方式、交费期限等。同时本公司不再接受被豁免合同保单贷款</w:t>
            </w:r>
            <w:r>
              <w:rPr>
                <w:spacing w:val="-1"/>
                <w:sz w:val="21"/>
              </w:rPr>
              <w:t>的申请。</w:t>
            </w:r>
          </w:p>
        </w:tc>
      </w:tr>
      <w:tr>
        <w:trPr>
          <w:trHeight w:val="964" w:hRule="atLeast"/>
        </w:trPr>
        <w:tc>
          <w:tcPr>
            <w:tcW w:w="728" w:type="dxa"/>
          </w:tcPr>
          <w:p>
            <w:pPr>
              <w:pStyle w:val="TableParagraph"/>
              <w:spacing w:line="360" w:lineRule="exact"/>
              <w:ind w:left="200"/>
              <w:rPr>
                <w:rFonts w:ascii="微软雅黑"/>
                <w:b/>
                <w:sz w:val="21"/>
              </w:rPr>
            </w:pPr>
            <w:r>
              <w:rPr>
                <w:rFonts w:ascii="微软雅黑"/>
                <w:b/>
                <w:w w:val="81"/>
                <w:sz w:val="21"/>
              </w:rPr>
              <w:t>8</w:t>
            </w:r>
            <w:r>
              <w:rPr>
                <w:rFonts w:ascii="微软雅黑"/>
                <w:b/>
                <w:w w:val="176"/>
                <w:sz w:val="21"/>
              </w:rPr>
              <w:t>.</w:t>
            </w:r>
            <w:r>
              <w:rPr>
                <w:rFonts w:ascii="微软雅黑"/>
                <w:b/>
                <w:w w:val="81"/>
                <w:sz w:val="21"/>
              </w:rPr>
              <w:t>6</w:t>
            </w:r>
          </w:p>
        </w:tc>
        <w:tc>
          <w:tcPr>
            <w:tcW w:w="2027" w:type="dxa"/>
          </w:tcPr>
          <w:p>
            <w:pPr>
              <w:pStyle w:val="TableParagraph"/>
              <w:spacing w:line="360" w:lineRule="exact"/>
              <w:ind w:left="211"/>
              <w:rPr>
                <w:rFonts w:ascii="微软雅黑" w:eastAsia="微软雅黑" w:hint="eastAsia"/>
                <w:b/>
                <w:sz w:val="21"/>
              </w:rPr>
            </w:pPr>
            <w:r>
              <w:rPr>
                <w:rFonts w:ascii="微软雅黑" w:eastAsia="微软雅黑" w:hint="eastAsia"/>
                <w:b/>
                <w:sz w:val="21"/>
              </w:rPr>
              <w:t>地址变更</w:t>
            </w:r>
          </w:p>
        </w:tc>
        <w:tc>
          <w:tcPr>
            <w:tcW w:w="7514" w:type="dxa"/>
          </w:tcPr>
          <w:p>
            <w:pPr>
              <w:pStyle w:val="TableParagraph"/>
              <w:spacing w:line="310" w:lineRule="atLeast" w:before="24"/>
              <w:ind w:left="125" w:right="302"/>
              <w:jc w:val="both"/>
              <w:rPr>
                <w:sz w:val="21"/>
              </w:rPr>
            </w:pPr>
            <w:r>
              <w:rPr>
                <w:spacing w:val="-7"/>
                <w:sz w:val="21"/>
              </w:rPr>
              <w:t>投保人住所或通讯地址变更时，应及时以书面形式通知本公司。投保人未以书</w:t>
            </w:r>
            <w:r>
              <w:rPr>
                <w:spacing w:val="-11"/>
                <w:sz w:val="21"/>
              </w:rPr>
              <w:t>面形式通知的，本公司将按本附加合同载明的最后住所或通讯地址发送有关通</w:t>
            </w:r>
            <w:r>
              <w:rPr>
                <w:spacing w:val="-3"/>
                <w:sz w:val="21"/>
              </w:rPr>
              <w:t>知，并视为已送达给投保人。</w:t>
            </w:r>
          </w:p>
        </w:tc>
      </w:tr>
    </w:tbl>
    <w:p>
      <w:pPr>
        <w:spacing w:after="0" w:line="310" w:lineRule="atLeast"/>
        <w:jc w:val="both"/>
        <w:rPr>
          <w:sz w:val="21"/>
        </w:rPr>
        <w:sectPr>
          <w:pgSz w:w="11910" w:h="16840"/>
          <w:pgMar w:header="0" w:footer="377" w:top="1340" w:bottom="560" w:left="760" w:right="660"/>
        </w:sectPr>
      </w:pPr>
    </w:p>
    <w:p>
      <w:pPr>
        <w:pStyle w:val="ListParagraph"/>
        <w:numPr>
          <w:ilvl w:val="1"/>
          <w:numId w:val="10"/>
        </w:numPr>
        <w:tabs>
          <w:tab w:pos="951" w:val="left" w:leader="none"/>
          <w:tab w:pos="952" w:val="left" w:leader="none"/>
          <w:tab w:pos="2893" w:val="left" w:leader="none"/>
        </w:tabs>
        <w:spacing w:line="310" w:lineRule="exact" w:before="0" w:after="0"/>
        <w:ind w:left="2893" w:right="0" w:hanging="2681"/>
        <w:jc w:val="left"/>
        <w:rPr>
          <w:sz w:val="21"/>
        </w:rPr>
      </w:pPr>
      <w:r>
        <w:rPr>
          <w:rFonts w:ascii="微软雅黑" w:eastAsia="微软雅黑" w:hint="eastAsia"/>
          <w:b/>
          <w:sz w:val="21"/>
        </w:rPr>
        <w:t>本附加合同的终止</w:t>
        <w:tab/>
      </w:r>
      <w:r>
        <w:rPr>
          <w:sz w:val="21"/>
        </w:rPr>
        <w:t>以下</w:t>
      </w:r>
      <w:r>
        <w:rPr>
          <w:spacing w:val="-3"/>
          <w:sz w:val="21"/>
        </w:rPr>
        <w:t>任</w:t>
      </w:r>
      <w:r>
        <w:rPr>
          <w:sz w:val="21"/>
        </w:rPr>
        <w:t>何</w:t>
      </w:r>
      <w:r>
        <w:rPr>
          <w:spacing w:val="-3"/>
          <w:sz w:val="21"/>
        </w:rPr>
        <w:t>一</w:t>
      </w:r>
      <w:r>
        <w:rPr>
          <w:sz w:val="21"/>
        </w:rPr>
        <w:t>种</w:t>
      </w:r>
      <w:r>
        <w:rPr>
          <w:spacing w:val="-3"/>
          <w:sz w:val="21"/>
        </w:rPr>
        <w:t>情</w:t>
      </w:r>
      <w:r>
        <w:rPr>
          <w:sz w:val="21"/>
        </w:rPr>
        <w:t>况</w:t>
      </w:r>
      <w:r>
        <w:rPr>
          <w:spacing w:val="-3"/>
          <w:sz w:val="21"/>
        </w:rPr>
        <w:t>发</w:t>
      </w:r>
      <w:r>
        <w:rPr>
          <w:sz w:val="21"/>
        </w:rPr>
        <w:t>生</w:t>
      </w:r>
      <w:r>
        <w:rPr>
          <w:spacing w:val="-3"/>
          <w:sz w:val="21"/>
        </w:rPr>
        <w:t>时</w:t>
      </w:r>
      <w:r>
        <w:rPr>
          <w:sz w:val="21"/>
        </w:rPr>
        <w:t>，本</w:t>
      </w:r>
      <w:r>
        <w:rPr>
          <w:spacing w:val="-3"/>
          <w:sz w:val="21"/>
        </w:rPr>
        <w:t>附</w:t>
      </w:r>
      <w:r>
        <w:rPr>
          <w:sz w:val="21"/>
        </w:rPr>
        <w:t>加</w:t>
      </w:r>
      <w:r>
        <w:rPr>
          <w:spacing w:val="-3"/>
          <w:sz w:val="21"/>
        </w:rPr>
        <w:t>合</w:t>
      </w:r>
      <w:r>
        <w:rPr>
          <w:sz w:val="21"/>
        </w:rPr>
        <w:t>同</w:t>
      </w:r>
      <w:r>
        <w:rPr>
          <w:spacing w:val="-3"/>
          <w:sz w:val="21"/>
        </w:rPr>
        <w:t>效</w:t>
      </w:r>
      <w:r>
        <w:rPr>
          <w:sz w:val="21"/>
        </w:rPr>
        <w:t>力</w:t>
      </w:r>
      <w:r>
        <w:rPr>
          <w:spacing w:val="-3"/>
          <w:sz w:val="21"/>
        </w:rPr>
        <w:t>终</w:t>
      </w:r>
      <w:r>
        <w:rPr>
          <w:sz w:val="21"/>
        </w:rPr>
        <w:t>止：</w:t>
      </w:r>
    </w:p>
    <w:p>
      <w:pPr>
        <w:pStyle w:val="BodyText"/>
        <w:spacing w:before="11"/>
        <w:ind w:left="2893"/>
      </w:pPr>
      <w:r>
        <w:rPr/>
        <w:t>（1）被豁免合同办理减额交清；</w:t>
      </w:r>
    </w:p>
    <w:p>
      <w:pPr>
        <w:pStyle w:val="BodyText"/>
        <w:spacing w:before="36"/>
        <w:ind w:left="2893"/>
      </w:pPr>
      <w:r>
        <w:rPr/>
        <w:t>（2）被豁免合同效力终止；</w:t>
      </w:r>
    </w:p>
    <w:p>
      <w:pPr>
        <w:pStyle w:val="BodyText"/>
        <w:spacing w:before="36"/>
        <w:ind w:left="2893"/>
      </w:pPr>
      <w:r>
        <w:rPr/>
        <w:t>（3）被豁免合同因其他原因保费被豁免；</w:t>
      </w:r>
    </w:p>
    <w:p>
      <w:pPr>
        <w:pStyle w:val="BodyText"/>
        <w:spacing w:before="36"/>
        <w:ind w:left="2893"/>
      </w:pPr>
      <w:r>
        <w:rPr/>
        <w:t>（4）在本附加合同有效期内投保人向本公司申请解除合同；</w:t>
      </w:r>
    </w:p>
    <w:p>
      <w:pPr>
        <w:pStyle w:val="BodyText"/>
        <w:spacing w:line="273" w:lineRule="auto" w:before="36"/>
        <w:ind w:left="3419" w:right="250" w:hanging="526"/>
      </w:pPr>
      <w:r>
        <w:rPr/>
        <w:t>（5）本附加合同因其他条款所列情况而中止效力，且自本附加合同效力中止之日起2年内投保人与本公司未达成复效协议的；</w:t>
      </w:r>
    </w:p>
    <w:p>
      <w:pPr>
        <w:pStyle w:val="BodyText"/>
        <w:spacing w:before="7"/>
        <w:ind w:left="2894"/>
      </w:pPr>
      <w:r>
        <w:rPr/>
        <w:t>（6）本附加合同其他条款所列保险责任终止或本附加合同终止的情形。</w:t>
      </w:r>
    </w:p>
    <w:p>
      <w:pPr>
        <w:pStyle w:val="ListParagraph"/>
        <w:numPr>
          <w:ilvl w:val="1"/>
          <w:numId w:val="10"/>
        </w:numPr>
        <w:tabs>
          <w:tab w:pos="951" w:val="left" w:leader="none"/>
          <w:tab w:pos="952" w:val="left" w:leader="none"/>
          <w:tab w:pos="2893" w:val="left" w:leader="none"/>
        </w:tabs>
        <w:spacing w:line="247" w:lineRule="auto" w:before="133" w:after="0"/>
        <w:ind w:left="2893" w:right="207" w:hanging="2681"/>
        <w:jc w:val="left"/>
        <w:rPr>
          <w:sz w:val="21"/>
        </w:rPr>
      </w:pPr>
      <w:r>
        <w:rPr>
          <w:rFonts w:ascii="微软雅黑" w:eastAsia="微软雅黑" w:hint="eastAsia"/>
          <w:b/>
          <w:sz w:val="21"/>
        </w:rPr>
        <w:t>争议处理</w:t>
        <w:tab/>
      </w:r>
      <w:r>
        <w:rPr>
          <w:sz w:val="21"/>
        </w:rPr>
        <w:t>本附</w:t>
      </w:r>
      <w:r>
        <w:rPr>
          <w:spacing w:val="-3"/>
          <w:sz w:val="21"/>
        </w:rPr>
        <w:t>加</w:t>
      </w:r>
      <w:r>
        <w:rPr>
          <w:sz w:val="21"/>
        </w:rPr>
        <w:t>合</w:t>
      </w:r>
      <w:r>
        <w:rPr>
          <w:spacing w:val="-3"/>
          <w:sz w:val="21"/>
        </w:rPr>
        <w:t>同</w:t>
      </w:r>
      <w:r>
        <w:rPr>
          <w:sz w:val="21"/>
        </w:rPr>
        <w:t>争</w:t>
      </w:r>
      <w:r>
        <w:rPr>
          <w:spacing w:val="-3"/>
          <w:sz w:val="21"/>
        </w:rPr>
        <w:t>议</w:t>
      </w:r>
      <w:r>
        <w:rPr>
          <w:sz w:val="21"/>
        </w:rPr>
        <w:t>的</w:t>
      </w:r>
      <w:r>
        <w:rPr>
          <w:spacing w:val="-3"/>
          <w:sz w:val="21"/>
        </w:rPr>
        <w:t>解</w:t>
      </w:r>
      <w:r>
        <w:rPr>
          <w:sz w:val="21"/>
        </w:rPr>
        <w:t>决</w:t>
      </w:r>
      <w:r>
        <w:rPr>
          <w:spacing w:val="-3"/>
          <w:sz w:val="21"/>
        </w:rPr>
        <w:t>方</w:t>
      </w:r>
      <w:r>
        <w:rPr>
          <w:sz w:val="21"/>
        </w:rPr>
        <w:t>式</w:t>
      </w:r>
      <w:r>
        <w:rPr>
          <w:spacing w:val="-63"/>
          <w:sz w:val="21"/>
        </w:rPr>
        <w:t>，</w:t>
      </w:r>
      <w:r>
        <w:rPr>
          <w:sz w:val="21"/>
        </w:rPr>
        <w:t>由</w:t>
      </w:r>
      <w:r>
        <w:rPr>
          <w:spacing w:val="-3"/>
          <w:sz w:val="21"/>
        </w:rPr>
        <w:t>当</w:t>
      </w:r>
      <w:r>
        <w:rPr>
          <w:sz w:val="21"/>
        </w:rPr>
        <w:t>事</w:t>
      </w:r>
      <w:r>
        <w:rPr>
          <w:spacing w:val="-3"/>
          <w:sz w:val="21"/>
        </w:rPr>
        <w:t>人</w:t>
      </w:r>
      <w:r>
        <w:rPr>
          <w:sz w:val="21"/>
        </w:rPr>
        <w:t>在</w:t>
      </w:r>
      <w:r>
        <w:rPr>
          <w:spacing w:val="-3"/>
          <w:sz w:val="21"/>
        </w:rPr>
        <w:t>合</w:t>
      </w:r>
      <w:r>
        <w:rPr>
          <w:sz w:val="21"/>
        </w:rPr>
        <w:t>同</w:t>
      </w:r>
      <w:r>
        <w:rPr>
          <w:spacing w:val="-3"/>
          <w:sz w:val="21"/>
        </w:rPr>
        <w:t>中约</w:t>
      </w:r>
      <w:r>
        <w:rPr>
          <w:sz w:val="21"/>
        </w:rPr>
        <w:t>定从</w:t>
      </w:r>
      <w:r>
        <w:rPr>
          <w:spacing w:val="-3"/>
          <w:sz w:val="21"/>
        </w:rPr>
        <w:t>下</w:t>
      </w:r>
      <w:r>
        <w:rPr>
          <w:sz w:val="21"/>
        </w:rPr>
        <w:t>列</w:t>
      </w:r>
      <w:r>
        <w:rPr>
          <w:spacing w:val="-3"/>
          <w:sz w:val="21"/>
        </w:rPr>
        <w:t>两</w:t>
      </w:r>
      <w:r>
        <w:rPr>
          <w:sz w:val="21"/>
        </w:rPr>
        <w:t>种</w:t>
      </w:r>
      <w:r>
        <w:rPr>
          <w:spacing w:val="-3"/>
          <w:sz w:val="21"/>
        </w:rPr>
        <w:t>方</w:t>
      </w:r>
      <w:r>
        <w:rPr>
          <w:sz w:val="21"/>
        </w:rPr>
        <w:t>式</w:t>
      </w:r>
      <w:r>
        <w:rPr>
          <w:spacing w:val="-3"/>
          <w:sz w:val="21"/>
        </w:rPr>
        <w:t>中</w:t>
      </w:r>
      <w:r>
        <w:rPr>
          <w:sz w:val="21"/>
        </w:rPr>
        <w:t>选</w:t>
      </w:r>
      <w:r>
        <w:rPr>
          <w:spacing w:val="-3"/>
          <w:sz w:val="21"/>
        </w:rPr>
        <w:t>择</w:t>
      </w:r>
      <w:r>
        <w:rPr>
          <w:sz w:val="21"/>
        </w:rPr>
        <w:t>一 种：</w:t>
      </w:r>
    </w:p>
    <w:p>
      <w:pPr>
        <w:pStyle w:val="ListParagraph"/>
        <w:numPr>
          <w:ilvl w:val="2"/>
          <w:numId w:val="10"/>
        </w:numPr>
        <w:tabs>
          <w:tab w:pos="3470" w:val="left" w:leader="none"/>
        </w:tabs>
        <w:spacing w:line="240" w:lineRule="auto" w:before="30" w:after="0"/>
        <w:ind w:left="3470" w:right="0" w:hanging="577"/>
        <w:jc w:val="left"/>
        <w:rPr>
          <w:sz w:val="21"/>
        </w:rPr>
      </w:pPr>
      <w:r>
        <w:rPr>
          <w:spacing w:val="-5"/>
          <w:sz w:val="21"/>
        </w:rPr>
        <w:t>因履行本附加合同发生的争议，由当事人协商解决，协商不成的，提交</w:t>
      </w:r>
    </w:p>
    <w:p>
      <w:pPr>
        <w:pStyle w:val="BodyText"/>
        <w:tabs>
          <w:tab w:pos="4100" w:val="left" w:leader="none"/>
        </w:tabs>
        <w:spacing w:before="37"/>
        <w:ind w:left="3469"/>
      </w:pPr>
      <w:r>
        <w:rPr>
          <w:rFonts w:ascii="Times New Roman" w:eastAsia="Times New Roman"/>
          <w:w w:val="100"/>
          <w:u w:val="single"/>
        </w:rPr>
        <w:t> </w:t>
      </w:r>
      <w:r>
        <w:rPr>
          <w:rFonts w:ascii="Times New Roman" w:eastAsia="Times New Roman"/>
          <w:u w:val="single"/>
        </w:rPr>
        <w:tab/>
      </w:r>
      <w:r>
        <w:rPr>
          <w:spacing w:val="-3"/>
        </w:rPr>
        <w:t>仲裁委员会仲裁；</w:t>
      </w:r>
    </w:p>
    <w:p>
      <w:pPr>
        <w:pStyle w:val="ListParagraph"/>
        <w:numPr>
          <w:ilvl w:val="2"/>
          <w:numId w:val="10"/>
        </w:numPr>
        <w:tabs>
          <w:tab w:pos="3471" w:val="left" w:leader="none"/>
        </w:tabs>
        <w:spacing w:line="273" w:lineRule="auto" w:before="37" w:after="0"/>
        <w:ind w:left="3470" w:right="204" w:hanging="576"/>
        <w:jc w:val="left"/>
        <w:rPr>
          <w:sz w:val="21"/>
        </w:rPr>
      </w:pPr>
      <w:r>
        <w:rPr>
          <w:spacing w:val="-5"/>
          <w:sz w:val="21"/>
        </w:rPr>
        <w:t>因履行本附加合同发生的争议，由当事人协商解决，协商不成的，依法</w:t>
      </w:r>
      <w:r>
        <w:rPr>
          <w:spacing w:val="-4"/>
          <w:sz w:val="21"/>
        </w:rPr>
        <w:t>向人民法院提起诉讼。</w:t>
      </w:r>
    </w:p>
    <w:p>
      <w:pPr>
        <w:pStyle w:val="BodyText"/>
        <w:spacing w:before="12"/>
        <w:rPr>
          <w:sz w:val="13"/>
        </w:rPr>
      </w:pPr>
    </w:p>
    <w:p>
      <w:pPr>
        <w:tabs>
          <w:tab w:pos="951" w:val="left" w:leader="none"/>
        </w:tabs>
        <w:spacing w:before="29"/>
        <w:ind w:left="212" w:right="0" w:firstLine="0"/>
        <w:jc w:val="left"/>
        <w:rPr>
          <w:rFonts w:ascii="微软雅黑" w:hAnsi="微软雅黑" w:eastAsia="微软雅黑" w:hint="eastAsia"/>
          <w:b/>
          <w:sz w:val="24"/>
        </w:rPr>
      </w:pPr>
      <w:r>
        <w:rPr/>
        <w:pict>
          <v:group style="position:absolute;margin-left:48.119999pt;margin-top:29.594742pt;width:498.85pt;height:1pt;mso-position-horizontal-relative:page;mso-position-vertical-relative:paragraph;z-index:1144;mso-wrap-distance-left:0;mso-wrap-distance-right:0" coordorigin="962,592" coordsize="9977,20">
            <v:line style="position:absolute" from="962,601" to="1702,601" stroked="true" strokeweight=".96pt" strokecolor="#000000">
              <v:stroke dashstyle="solid"/>
            </v:line>
            <v:rect style="position:absolute;left:1701;top:591;width:20;height:20" filled="true" fillcolor="#000000" stroked="false">
              <v:fill type="solid"/>
            </v:rect>
            <v:line style="position:absolute" from="1721,601" to="3646,601" stroked="true" strokeweight=".96pt" strokecolor="#000000">
              <v:stroke dashstyle="solid"/>
            </v:line>
            <v:rect style="position:absolute;left:3645;top:591;width:20;height:20" filled="true" fillcolor="#000000" stroked="false">
              <v:fill type="solid"/>
            </v:rect>
            <v:line style="position:absolute" from="3665,601" to="10939,601" stroked="true" strokeweight=".96pt" strokecolor="#000000">
              <v:stroke dashstyle="solid"/>
            </v:line>
            <w10:wrap type="topAndBottom"/>
          </v:group>
        </w:pict>
      </w:r>
      <w:r>
        <w:rPr>
          <w:rFonts w:ascii="Arial" w:hAnsi="Arial" w:eastAsia="Arial"/>
          <w:b/>
          <w:w w:val="110"/>
          <w:position w:val="-5"/>
          <w:sz w:val="40"/>
        </w:rPr>
        <w:t></w:t>
        <w:tab/>
      </w:r>
      <w:r>
        <w:rPr>
          <w:rFonts w:ascii="微软雅黑" w:hAnsi="微软雅黑" w:eastAsia="微软雅黑" w:hint="eastAsia"/>
          <w:b/>
          <w:sz w:val="24"/>
        </w:rPr>
        <w:t>释义</w:t>
      </w:r>
    </w:p>
    <w:p>
      <w:pPr>
        <w:pStyle w:val="ListParagraph"/>
        <w:numPr>
          <w:ilvl w:val="1"/>
          <w:numId w:val="11"/>
        </w:numPr>
        <w:tabs>
          <w:tab w:pos="951" w:val="left" w:leader="none"/>
          <w:tab w:pos="952" w:val="left" w:leader="none"/>
          <w:tab w:pos="2893" w:val="left" w:leader="none"/>
        </w:tabs>
        <w:spacing w:line="240" w:lineRule="auto" w:before="37" w:after="0"/>
        <w:ind w:left="2893" w:right="0" w:hanging="2681"/>
        <w:jc w:val="left"/>
        <w:rPr>
          <w:sz w:val="21"/>
        </w:rPr>
      </w:pPr>
      <w:r>
        <w:rPr>
          <w:rFonts w:ascii="微软雅黑" w:eastAsia="微软雅黑" w:hint="eastAsia"/>
          <w:b/>
          <w:sz w:val="21"/>
        </w:rPr>
        <w:t>本公司</w:t>
        <w:tab/>
      </w:r>
      <w:r>
        <w:rPr>
          <w:sz w:val="21"/>
        </w:rPr>
        <w:t>指珠</w:t>
      </w:r>
      <w:r>
        <w:rPr>
          <w:spacing w:val="-3"/>
          <w:sz w:val="21"/>
        </w:rPr>
        <w:t>江</w:t>
      </w:r>
      <w:r>
        <w:rPr>
          <w:sz w:val="21"/>
        </w:rPr>
        <w:t>人</w:t>
      </w:r>
      <w:r>
        <w:rPr>
          <w:spacing w:val="-3"/>
          <w:sz w:val="21"/>
        </w:rPr>
        <w:t>寿</w:t>
      </w:r>
      <w:r>
        <w:rPr>
          <w:sz w:val="21"/>
        </w:rPr>
        <w:t>保</w:t>
      </w:r>
      <w:r>
        <w:rPr>
          <w:spacing w:val="-3"/>
          <w:sz w:val="21"/>
        </w:rPr>
        <w:t>险</w:t>
      </w:r>
      <w:r>
        <w:rPr>
          <w:sz w:val="21"/>
        </w:rPr>
        <w:t>股</w:t>
      </w:r>
      <w:r>
        <w:rPr>
          <w:spacing w:val="-3"/>
          <w:sz w:val="21"/>
        </w:rPr>
        <w:t>份</w:t>
      </w:r>
      <w:r>
        <w:rPr>
          <w:sz w:val="21"/>
        </w:rPr>
        <w:t>有</w:t>
      </w:r>
      <w:r>
        <w:rPr>
          <w:spacing w:val="-3"/>
          <w:sz w:val="21"/>
        </w:rPr>
        <w:t>限</w:t>
      </w:r>
      <w:r>
        <w:rPr>
          <w:sz w:val="21"/>
        </w:rPr>
        <w:t>公司。</w:t>
      </w:r>
    </w:p>
    <w:p>
      <w:pPr>
        <w:pStyle w:val="ListParagraph"/>
        <w:numPr>
          <w:ilvl w:val="1"/>
          <w:numId w:val="11"/>
        </w:numPr>
        <w:tabs>
          <w:tab w:pos="951" w:val="left" w:leader="none"/>
          <w:tab w:pos="952" w:val="left" w:leader="none"/>
          <w:tab w:pos="2893" w:val="left" w:leader="none"/>
        </w:tabs>
        <w:spacing w:line="247" w:lineRule="auto" w:before="107" w:after="0"/>
        <w:ind w:left="2893" w:right="207" w:hanging="2681"/>
        <w:jc w:val="left"/>
        <w:rPr>
          <w:sz w:val="21"/>
        </w:rPr>
      </w:pPr>
      <w:r>
        <w:rPr>
          <w:rFonts w:ascii="微软雅黑" w:eastAsia="微软雅黑" w:hint="eastAsia"/>
          <w:b/>
          <w:sz w:val="21"/>
        </w:rPr>
        <w:t>周岁</w:t>
        <w:tab/>
      </w:r>
      <w:r>
        <w:rPr>
          <w:spacing w:val="-1"/>
          <w:sz w:val="21"/>
        </w:rPr>
        <w:t>指</w:t>
      </w:r>
      <w:r>
        <w:rPr>
          <w:sz w:val="21"/>
        </w:rPr>
        <w:t>按</w:t>
      </w:r>
      <w:r>
        <w:rPr>
          <w:spacing w:val="-3"/>
          <w:sz w:val="21"/>
        </w:rPr>
        <w:t>有</w:t>
      </w:r>
      <w:r>
        <w:rPr>
          <w:sz w:val="21"/>
        </w:rPr>
        <w:t>效</w:t>
      </w:r>
      <w:r>
        <w:rPr>
          <w:spacing w:val="-3"/>
          <w:sz w:val="21"/>
        </w:rPr>
        <w:t>身</w:t>
      </w:r>
      <w:r>
        <w:rPr>
          <w:sz w:val="21"/>
        </w:rPr>
        <w:t>份</w:t>
      </w:r>
      <w:r>
        <w:rPr>
          <w:spacing w:val="-3"/>
          <w:sz w:val="21"/>
        </w:rPr>
        <w:t>证</w:t>
      </w:r>
      <w:r>
        <w:rPr>
          <w:sz w:val="21"/>
        </w:rPr>
        <w:t>件</w:t>
      </w:r>
      <w:r>
        <w:rPr>
          <w:spacing w:val="-3"/>
          <w:sz w:val="21"/>
        </w:rPr>
        <w:t>中</w:t>
      </w:r>
      <w:r>
        <w:rPr>
          <w:sz w:val="21"/>
        </w:rPr>
        <w:t>记</w:t>
      </w:r>
      <w:r>
        <w:rPr>
          <w:spacing w:val="-3"/>
          <w:sz w:val="21"/>
        </w:rPr>
        <w:t>载</w:t>
      </w:r>
      <w:r>
        <w:rPr>
          <w:sz w:val="21"/>
        </w:rPr>
        <w:t>的出</w:t>
      </w:r>
      <w:r>
        <w:rPr>
          <w:spacing w:val="-3"/>
          <w:sz w:val="21"/>
        </w:rPr>
        <w:t>生</w:t>
      </w:r>
      <w:r>
        <w:rPr>
          <w:sz w:val="21"/>
        </w:rPr>
        <w:t>日</w:t>
      </w:r>
      <w:r>
        <w:rPr>
          <w:spacing w:val="-3"/>
          <w:sz w:val="21"/>
        </w:rPr>
        <w:t>期</w:t>
      </w:r>
      <w:r>
        <w:rPr>
          <w:sz w:val="21"/>
        </w:rPr>
        <w:t>计</w:t>
      </w:r>
      <w:r>
        <w:rPr>
          <w:spacing w:val="-3"/>
          <w:sz w:val="21"/>
        </w:rPr>
        <w:t>算</w:t>
      </w:r>
      <w:r>
        <w:rPr>
          <w:sz w:val="21"/>
        </w:rPr>
        <w:t>的</w:t>
      </w:r>
      <w:r>
        <w:rPr>
          <w:spacing w:val="-3"/>
          <w:sz w:val="21"/>
        </w:rPr>
        <w:t>年</w:t>
      </w:r>
      <w:r>
        <w:rPr>
          <w:sz w:val="21"/>
        </w:rPr>
        <w:t>龄</w:t>
      </w:r>
      <w:r>
        <w:rPr>
          <w:spacing w:val="-34"/>
          <w:sz w:val="21"/>
        </w:rPr>
        <w:t>，</w:t>
      </w:r>
      <w:r>
        <w:rPr>
          <w:sz w:val="21"/>
        </w:rPr>
        <w:t>自出</w:t>
      </w:r>
      <w:r>
        <w:rPr>
          <w:spacing w:val="-3"/>
          <w:sz w:val="21"/>
        </w:rPr>
        <w:t>生</w:t>
      </w:r>
      <w:r>
        <w:rPr>
          <w:sz w:val="21"/>
        </w:rPr>
        <w:t>之</w:t>
      </w:r>
      <w:r>
        <w:rPr>
          <w:spacing w:val="-3"/>
          <w:sz w:val="21"/>
        </w:rPr>
        <w:t>日</w:t>
      </w:r>
      <w:r>
        <w:rPr>
          <w:sz w:val="21"/>
        </w:rPr>
        <w:t>起</w:t>
      </w:r>
      <w:r>
        <w:rPr>
          <w:spacing w:val="-3"/>
          <w:sz w:val="21"/>
        </w:rPr>
        <w:t>为</w:t>
      </w:r>
      <w:r>
        <w:rPr>
          <w:sz w:val="21"/>
        </w:rPr>
        <w:t>零</w:t>
      </w:r>
      <w:r>
        <w:rPr>
          <w:spacing w:val="-3"/>
          <w:sz w:val="21"/>
        </w:rPr>
        <w:t>周</w:t>
      </w:r>
      <w:r>
        <w:rPr>
          <w:sz w:val="21"/>
        </w:rPr>
        <w:t>岁</w:t>
      </w:r>
      <w:r>
        <w:rPr>
          <w:spacing w:val="-34"/>
          <w:sz w:val="21"/>
        </w:rPr>
        <w:t>，</w:t>
      </w:r>
      <w:r>
        <w:rPr>
          <w:sz w:val="21"/>
        </w:rPr>
        <w:t>每 经过</w:t>
      </w:r>
      <w:r>
        <w:rPr>
          <w:spacing w:val="-50"/>
          <w:sz w:val="21"/>
        </w:rPr>
        <w:t> </w:t>
      </w:r>
      <w:r>
        <w:rPr>
          <w:sz w:val="21"/>
        </w:rPr>
        <w:t>1</w:t>
      </w:r>
      <w:r>
        <w:rPr>
          <w:spacing w:val="-52"/>
          <w:sz w:val="21"/>
        </w:rPr>
        <w:t> </w:t>
      </w:r>
      <w:r>
        <w:rPr>
          <w:sz w:val="21"/>
        </w:rPr>
        <w:t>年</w:t>
      </w:r>
      <w:r>
        <w:rPr>
          <w:spacing w:val="-3"/>
          <w:sz w:val="21"/>
        </w:rPr>
        <w:t>增</w:t>
      </w:r>
      <w:r>
        <w:rPr>
          <w:sz w:val="21"/>
        </w:rPr>
        <w:t>加</w:t>
      </w:r>
      <w:r>
        <w:rPr>
          <w:spacing w:val="-50"/>
          <w:sz w:val="21"/>
        </w:rPr>
        <w:t> </w:t>
      </w:r>
      <w:r>
        <w:rPr>
          <w:sz w:val="21"/>
        </w:rPr>
        <w:t>1</w:t>
      </w:r>
      <w:r>
        <w:rPr>
          <w:spacing w:val="-52"/>
          <w:sz w:val="21"/>
        </w:rPr>
        <w:t> </w:t>
      </w:r>
      <w:r>
        <w:rPr>
          <w:sz w:val="21"/>
        </w:rPr>
        <w:t>周</w:t>
      </w:r>
      <w:r>
        <w:rPr>
          <w:spacing w:val="-3"/>
          <w:sz w:val="21"/>
        </w:rPr>
        <w:t>岁</w:t>
      </w:r>
      <w:r>
        <w:rPr>
          <w:sz w:val="21"/>
        </w:rPr>
        <w:t>，</w:t>
      </w:r>
      <w:r>
        <w:rPr>
          <w:spacing w:val="-3"/>
          <w:sz w:val="21"/>
        </w:rPr>
        <w:t>不</w:t>
      </w:r>
      <w:r>
        <w:rPr>
          <w:sz w:val="21"/>
        </w:rPr>
        <w:t>足</w:t>
      </w:r>
      <w:r>
        <w:rPr>
          <w:spacing w:val="-50"/>
          <w:sz w:val="21"/>
        </w:rPr>
        <w:t> </w:t>
      </w:r>
      <w:r>
        <w:rPr>
          <w:sz w:val="21"/>
        </w:rPr>
        <w:t>1</w:t>
      </w:r>
      <w:r>
        <w:rPr>
          <w:spacing w:val="-50"/>
          <w:sz w:val="21"/>
        </w:rPr>
        <w:t> </w:t>
      </w:r>
      <w:r>
        <w:rPr>
          <w:spacing w:val="-3"/>
          <w:sz w:val="21"/>
        </w:rPr>
        <w:t>年</w:t>
      </w:r>
      <w:r>
        <w:rPr>
          <w:sz w:val="21"/>
        </w:rPr>
        <w:t>的</w:t>
      </w:r>
      <w:r>
        <w:rPr>
          <w:spacing w:val="-3"/>
          <w:sz w:val="21"/>
        </w:rPr>
        <w:t>不</w:t>
      </w:r>
      <w:r>
        <w:rPr>
          <w:sz w:val="21"/>
        </w:rPr>
        <w:t>计。</w:t>
      </w:r>
    </w:p>
    <w:p>
      <w:pPr>
        <w:pStyle w:val="BodyText"/>
        <w:spacing w:before="11"/>
        <w:rPr>
          <w:sz w:val="11"/>
        </w:rPr>
      </w:pPr>
    </w:p>
    <w:p>
      <w:pPr>
        <w:spacing w:after="0"/>
        <w:rPr>
          <w:sz w:val="11"/>
        </w:rPr>
        <w:sectPr>
          <w:pgSz w:w="11910" w:h="16840"/>
          <w:pgMar w:header="0" w:footer="377" w:top="1260" w:bottom="560" w:left="860" w:right="860"/>
        </w:sectPr>
      </w:pPr>
    </w:p>
    <w:p>
      <w:pPr>
        <w:pStyle w:val="Heading2"/>
        <w:numPr>
          <w:ilvl w:val="1"/>
          <w:numId w:val="11"/>
        </w:numPr>
        <w:tabs>
          <w:tab w:pos="951" w:val="left" w:leader="none"/>
          <w:tab w:pos="952" w:val="left" w:leader="none"/>
        </w:tabs>
        <w:spacing w:line="311" w:lineRule="exact" w:before="0" w:after="0"/>
        <w:ind w:left="2893" w:right="0" w:hanging="2681"/>
        <w:jc w:val="left"/>
      </w:pPr>
      <w:r>
        <w:rPr/>
        <w:t>本公司认可的医疗</w:t>
      </w:r>
    </w:p>
    <w:p>
      <w:pPr>
        <w:spacing w:line="337" w:lineRule="exact" w:before="0"/>
        <w:ind w:left="934" w:right="1247" w:firstLine="0"/>
        <w:jc w:val="center"/>
        <w:rPr>
          <w:rFonts w:ascii="微软雅黑" w:eastAsia="微软雅黑" w:hint="eastAsia"/>
          <w:b/>
          <w:sz w:val="21"/>
        </w:rPr>
      </w:pPr>
      <w:r>
        <w:rPr>
          <w:rFonts w:ascii="微软雅黑" w:eastAsia="微软雅黑" w:hint="eastAsia"/>
          <w:b/>
          <w:sz w:val="21"/>
        </w:rPr>
        <w:t>机构</w:t>
      </w:r>
    </w:p>
    <w:p>
      <w:pPr>
        <w:pStyle w:val="BodyText"/>
        <w:spacing w:line="273" w:lineRule="auto" w:before="36"/>
        <w:ind w:left="211" w:right="251"/>
      </w:pPr>
      <w:r>
        <w:rPr/>
        <w:br w:type="column"/>
      </w:r>
      <w:r>
        <w:rPr/>
        <w:t>指本公司指定医院或未在指定范围内的2级以上公立医院。如因病情紧急，未能在以上医院就医，务必在3日内转入。</w:t>
      </w:r>
    </w:p>
    <w:p>
      <w:pPr>
        <w:spacing w:after="0" w:line="273" w:lineRule="auto"/>
        <w:sectPr>
          <w:type w:val="continuous"/>
          <w:pgSz w:w="11910" w:h="16840"/>
          <w:pgMar w:top="1360" w:bottom="280" w:left="860" w:right="860"/>
          <w:cols w:num="2" w:equalWidth="0">
            <w:col w:w="2642" w:space="40"/>
            <w:col w:w="7508"/>
          </w:cols>
        </w:sectPr>
      </w:pPr>
    </w:p>
    <w:p>
      <w:pPr>
        <w:pStyle w:val="BodyText"/>
        <w:spacing w:before="11"/>
        <w:rPr>
          <w:sz w:val="9"/>
        </w:rPr>
      </w:pPr>
    </w:p>
    <w:p>
      <w:pPr>
        <w:spacing w:after="0"/>
        <w:rPr>
          <w:sz w:val="9"/>
        </w:rPr>
        <w:sectPr>
          <w:type w:val="continuous"/>
          <w:pgSz w:w="11910" w:h="16840"/>
          <w:pgMar w:top="1360" w:bottom="280" w:left="860" w:right="860"/>
        </w:sectPr>
      </w:pPr>
    </w:p>
    <w:p>
      <w:pPr>
        <w:pStyle w:val="Heading2"/>
        <w:numPr>
          <w:ilvl w:val="1"/>
          <w:numId w:val="11"/>
        </w:numPr>
        <w:tabs>
          <w:tab w:pos="951" w:val="left" w:leader="none"/>
          <w:tab w:pos="952" w:val="left" w:leader="none"/>
        </w:tabs>
        <w:spacing w:line="206" w:lineRule="auto" w:before="25" w:after="0"/>
        <w:ind w:left="952" w:right="0" w:hanging="740"/>
        <w:jc w:val="left"/>
      </w:pPr>
      <w:r>
        <w:rPr/>
        <w:t>本附加合同约定的重大疾病</w:t>
      </w:r>
    </w:p>
    <w:p>
      <w:pPr>
        <w:pStyle w:val="BodyText"/>
        <w:spacing w:line="280" w:lineRule="auto" w:before="61"/>
        <w:ind w:left="212" w:right="207" w:hanging="1"/>
        <w:jc w:val="both"/>
      </w:pPr>
      <w:r>
        <w:rPr/>
        <w:br w:type="column"/>
      </w:r>
      <w:r>
        <w:rPr>
          <w:spacing w:val="-6"/>
        </w:rPr>
        <w:t>本附加合同约定的重大疾病在本附加合同中有确定的含义，不仅包括部分一般</w:t>
      </w:r>
      <w:r>
        <w:rPr>
          <w:spacing w:val="-9"/>
        </w:rPr>
        <w:t>意义上的重大疾病，还包括某些重大手术，本附加合同所指的重大疾病可能与</w:t>
      </w:r>
      <w:r>
        <w:rPr>
          <w:spacing w:val="-8"/>
        </w:rPr>
        <w:t>临床医学所指的重大疾病在概念和范围上有所不同，本公司将在本附加合同重</w:t>
      </w:r>
      <w:r>
        <w:rPr>
          <w:spacing w:val="-9"/>
        </w:rPr>
        <w:t>大疾病定义中详细列明，投保人投保本附加合同即表明认可并遵从本附加合同</w:t>
      </w:r>
      <w:r>
        <w:rPr>
          <w:spacing w:val="-3"/>
        </w:rPr>
        <w:t>中对重大疾病的定义。</w:t>
      </w:r>
    </w:p>
    <w:p>
      <w:pPr>
        <w:spacing w:after="0" w:line="280" w:lineRule="auto"/>
        <w:jc w:val="both"/>
        <w:sectPr>
          <w:type w:val="continuous"/>
          <w:pgSz w:w="11910" w:h="16840"/>
          <w:pgMar w:top="1360" w:bottom="280" w:left="860" w:right="860"/>
          <w:cols w:num="2" w:equalWidth="0">
            <w:col w:w="2642" w:space="40"/>
            <w:col w:w="7508"/>
          </w:cols>
        </w:sectPr>
      </w:pPr>
    </w:p>
    <w:p>
      <w:pPr>
        <w:pStyle w:val="BodyText"/>
        <w:spacing w:before="9"/>
        <w:rPr>
          <w:sz w:val="5"/>
        </w:rPr>
      </w:pPr>
    </w:p>
    <w:tbl>
      <w:tblPr>
        <w:tblW w:w="0" w:type="auto"/>
        <w:jc w:val="left"/>
        <w:tblInd w:w="27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
        <w:gridCol w:w="2985"/>
        <w:gridCol w:w="290"/>
        <w:gridCol w:w="3140"/>
      </w:tblGrid>
      <w:tr>
        <w:trPr>
          <w:trHeight w:val="253" w:hRule="atLeast"/>
        </w:trPr>
        <w:tc>
          <w:tcPr>
            <w:tcW w:w="441" w:type="dxa"/>
          </w:tcPr>
          <w:p>
            <w:pPr>
              <w:pStyle w:val="TableParagraph"/>
              <w:spacing w:line="180" w:lineRule="exact"/>
              <w:ind w:left="0" w:right="61"/>
              <w:jc w:val="right"/>
              <w:rPr>
                <w:sz w:val="18"/>
              </w:rPr>
            </w:pPr>
            <w:r>
              <w:rPr>
                <w:sz w:val="18"/>
              </w:rPr>
              <w:t>1</w:t>
            </w:r>
          </w:p>
        </w:tc>
        <w:tc>
          <w:tcPr>
            <w:tcW w:w="2985" w:type="dxa"/>
          </w:tcPr>
          <w:p>
            <w:pPr>
              <w:pStyle w:val="TableParagraph"/>
              <w:spacing w:line="180" w:lineRule="exact"/>
              <w:ind w:left="58"/>
              <w:rPr>
                <w:sz w:val="18"/>
              </w:rPr>
            </w:pPr>
            <w:r>
              <w:rPr>
                <w:sz w:val="18"/>
              </w:rPr>
              <w:t>恶性肿瘤</w:t>
            </w:r>
          </w:p>
        </w:tc>
        <w:tc>
          <w:tcPr>
            <w:tcW w:w="290" w:type="dxa"/>
          </w:tcPr>
          <w:p>
            <w:pPr>
              <w:pStyle w:val="TableParagraph"/>
              <w:spacing w:line="180" w:lineRule="exact"/>
              <w:ind w:left="46"/>
              <w:rPr>
                <w:sz w:val="18"/>
              </w:rPr>
            </w:pPr>
            <w:r>
              <w:rPr>
                <w:sz w:val="18"/>
              </w:rPr>
              <w:t>20</w:t>
            </w:r>
          </w:p>
        </w:tc>
        <w:tc>
          <w:tcPr>
            <w:tcW w:w="3140" w:type="dxa"/>
          </w:tcPr>
          <w:p>
            <w:pPr>
              <w:pStyle w:val="TableParagraph"/>
              <w:spacing w:line="180" w:lineRule="exact"/>
              <w:ind w:left="59"/>
              <w:rPr>
                <w:sz w:val="18"/>
              </w:rPr>
            </w:pPr>
            <w:r>
              <w:rPr>
                <w:sz w:val="18"/>
              </w:rPr>
              <w:t>严重Ⅲ度烧伤</w:t>
            </w:r>
          </w:p>
        </w:tc>
      </w:tr>
      <w:tr>
        <w:trPr>
          <w:trHeight w:val="327" w:hRule="atLeast"/>
        </w:trPr>
        <w:tc>
          <w:tcPr>
            <w:tcW w:w="441" w:type="dxa"/>
          </w:tcPr>
          <w:p>
            <w:pPr>
              <w:pStyle w:val="TableParagraph"/>
              <w:spacing w:before="17"/>
              <w:ind w:left="0" w:right="60"/>
              <w:jc w:val="right"/>
              <w:rPr>
                <w:sz w:val="18"/>
              </w:rPr>
            </w:pPr>
            <w:r>
              <w:rPr>
                <w:sz w:val="18"/>
              </w:rPr>
              <w:t>2</w:t>
            </w:r>
          </w:p>
        </w:tc>
        <w:tc>
          <w:tcPr>
            <w:tcW w:w="2985" w:type="dxa"/>
          </w:tcPr>
          <w:p>
            <w:pPr>
              <w:pStyle w:val="TableParagraph"/>
              <w:spacing w:before="17"/>
              <w:ind w:left="58"/>
              <w:rPr>
                <w:sz w:val="18"/>
              </w:rPr>
            </w:pPr>
            <w:r>
              <w:rPr>
                <w:sz w:val="18"/>
              </w:rPr>
              <w:t>急性心肌梗塞</w:t>
            </w:r>
          </w:p>
        </w:tc>
        <w:tc>
          <w:tcPr>
            <w:tcW w:w="290" w:type="dxa"/>
          </w:tcPr>
          <w:p>
            <w:pPr>
              <w:pStyle w:val="TableParagraph"/>
              <w:spacing w:before="17"/>
              <w:ind w:left="47"/>
              <w:rPr>
                <w:sz w:val="18"/>
              </w:rPr>
            </w:pPr>
            <w:r>
              <w:rPr>
                <w:sz w:val="18"/>
              </w:rPr>
              <w:t>21</w:t>
            </w:r>
          </w:p>
        </w:tc>
        <w:tc>
          <w:tcPr>
            <w:tcW w:w="3140" w:type="dxa"/>
          </w:tcPr>
          <w:p>
            <w:pPr>
              <w:pStyle w:val="TableParagraph"/>
              <w:spacing w:before="17"/>
              <w:ind w:left="59"/>
              <w:rPr>
                <w:sz w:val="18"/>
              </w:rPr>
            </w:pPr>
            <w:r>
              <w:rPr>
                <w:sz w:val="18"/>
              </w:rPr>
              <w:t>严重原发性肺动脉高压</w:t>
            </w:r>
          </w:p>
        </w:tc>
      </w:tr>
      <w:tr>
        <w:trPr>
          <w:trHeight w:val="327" w:hRule="atLeast"/>
        </w:trPr>
        <w:tc>
          <w:tcPr>
            <w:tcW w:w="441" w:type="dxa"/>
          </w:tcPr>
          <w:p>
            <w:pPr>
              <w:pStyle w:val="TableParagraph"/>
              <w:spacing w:before="19"/>
              <w:ind w:left="0" w:right="60"/>
              <w:jc w:val="right"/>
              <w:rPr>
                <w:sz w:val="18"/>
              </w:rPr>
            </w:pPr>
            <w:r>
              <w:rPr>
                <w:sz w:val="18"/>
              </w:rPr>
              <w:t>3</w:t>
            </w:r>
          </w:p>
        </w:tc>
        <w:tc>
          <w:tcPr>
            <w:tcW w:w="2985" w:type="dxa"/>
          </w:tcPr>
          <w:p>
            <w:pPr>
              <w:pStyle w:val="TableParagraph"/>
              <w:spacing w:before="19"/>
              <w:ind w:left="58"/>
              <w:rPr>
                <w:sz w:val="18"/>
              </w:rPr>
            </w:pPr>
            <w:r>
              <w:rPr>
                <w:sz w:val="18"/>
              </w:rPr>
              <w:t>脑中风后遗症</w:t>
            </w:r>
          </w:p>
        </w:tc>
        <w:tc>
          <w:tcPr>
            <w:tcW w:w="290" w:type="dxa"/>
          </w:tcPr>
          <w:p>
            <w:pPr>
              <w:pStyle w:val="TableParagraph"/>
              <w:spacing w:before="19"/>
              <w:ind w:left="47"/>
              <w:rPr>
                <w:sz w:val="18"/>
              </w:rPr>
            </w:pPr>
            <w:r>
              <w:rPr>
                <w:sz w:val="18"/>
              </w:rPr>
              <w:t>22</w:t>
            </w:r>
          </w:p>
        </w:tc>
        <w:tc>
          <w:tcPr>
            <w:tcW w:w="3140" w:type="dxa"/>
          </w:tcPr>
          <w:p>
            <w:pPr>
              <w:pStyle w:val="TableParagraph"/>
              <w:spacing w:before="19"/>
              <w:ind w:left="59"/>
              <w:rPr>
                <w:sz w:val="18"/>
              </w:rPr>
            </w:pPr>
            <w:r>
              <w:rPr>
                <w:sz w:val="18"/>
              </w:rPr>
              <w:t>严重运动神经元病</w:t>
            </w:r>
          </w:p>
        </w:tc>
      </w:tr>
      <w:tr>
        <w:trPr>
          <w:trHeight w:val="326" w:hRule="atLeast"/>
        </w:trPr>
        <w:tc>
          <w:tcPr>
            <w:tcW w:w="441" w:type="dxa"/>
          </w:tcPr>
          <w:p>
            <w:pPr>
              <w:pStyle w:val="TableParagraph"/>
              <w:spacing w:before="17"/>
              <w:ind w:left="0" w:right="60"/>
              <w:jc w:val="right"/>
              <w:rPr>
                <w:sz w:val="18"/>
              </w:rPr>
            </w:pPr>
            <w:r>
              <w:rPr>
                <w:sz w:val="18"/>
              </w:rPr>
              <w:t>4</w:t>
            </w:r>
          </w:p>
        </w:tc>
        <w:tc>
          <w:tcPr>
            <w:tcW w:w="2985" w:type="dxa"/>
          </w:tcPr>
          <w:p>
            <w:pPr>
              <w:pStyle w:val="TableParagraph"/>
              <w:spacing w:before="17"/>
              <w:ind w:left="58"/>
              <w:rPr>
                <w:sz w:val="18"/>
              </w:rPr>
            </w:pPr>
            <w:r>
              <w:rPr>
                <w:sz w:val="18"/>
              </w:rPr>
              <w:t>重大器官移植术或造血干细胞移植术</w:t>
            </w:r>
          </w:p>
        </w:tc>
        <w:tc>
          <w:tcPr>
            <w:tcW w:w="290" w:type="dxa"/>
          </w:tcPr>
          <w:p>
            <w:pPr>
              <w:pStyle w:val="TableParagraph"/>
              <w:spacing w:before="17"/>
              <w:ind w:left="46"/>
              <w:rPr>
                <w:sz w:val="18"/>
              </w:rPr>
            </w:pPr>
            <w:r>
              <w:rPr>
                <w:sz w:val="18"/>
              </w:rPr>
              <w:t>23</w:t>
            </w:r>
          </w:p>
        </w:tc>
        <w:tc>
          <w:tcPr>
            <w:tcW w:w="3140" w:type="dxa"/>
          </w:tcPr>
          <w:p>
            <w:pPr>
              <w:pStyle w:val="TableParagraph"/>
              <w:spacing w:before="17"/>
              <w:ind w:left="59"/>
              <w:rPr>
                <w:sz w:val="18"/>
              </w:rPr>
            </w:pPr>
            <w:r>
              <w:rPr>
                <w:sz w:val="18"/>
              </w:rPr>
              <w:t>语言能力丧失</w:t>
            </w:r>
          </w:p>
        </w:tc>
      </w:tr>
      <w:tr>
        <w:trPr>
          <w:trHeight w:val="326" w:hRule="atLeast"/>
        </w:trPr>
        <w:tc>
          <w:tcPr>
            <w:tcW w:w="441" w:type="dxa"/>
          </w:tcPr>
          <w:p>
            <w:pPr>
              <w:pStyle w:val="TableParagraph"/>
              <w:spacing w:before="17"/>
              <w:ind w:left="0" w:right="60"/>
              <w:jc w:val="right"/>
              <w:rPr>
                <w:sz w:val="18"/>
              </w:rPr>
            </w:pPr>
            <w:r>
              <w:rPr>
                <w:sz w:val="18"/>
              </w:rPr>
              <w:t>5</w:t>
            </w:r>
          </w:p>
        </w:tc>
        <w:tc>
          <w:tcPr>
            <w:tcW w:w="2985" w:type="dxa"/>
          </w:tcPr>
          <w:p>
            <w:pPr>
              <w:pStyle w:val="TableParagraph"/>
              <w:spacing w:before="17"/>
              <w:ind w:left="58"/>
              <w:rPr>
                <w:sz w:val="18"/>
              </w:rPr>
            </w:pPr>
            <w:r>
              <w:rPr>
                <w:sz w:val="18"/>
              </w:rPr>
              <w:t>冠状动脉搭桥术</w:t>
            </w:r>
          </w:p>
        </w:tc>
        <w:tc>
          <w:tcPr>
            <w:tcW w:w="290" w:type="dxa"/>
          </w:tcPr>
          <w:p>
            <w:pPr>
              <w:pStyle w:val="TableParagraph"/>
              <w:spacing w:before="17"/>
              <w:ind w:left="46"/>
              <w:rPr>
                <w:sz w:val="18"/>
              </w:rPr>
            </w:pPr>
            <w:r>
              <w:rPr>
                <w:sz w:val="18"/>
              </w:rPr>
              <w:t>24</w:t>
            </w:r>
          </w:p>
        </w:tc>
        <w:tc>
          <w:tcPr>
            <w:tcW w:w="3140" w:type="dxa"/>
          </w:tcPr>
          <w:p>
            <w:pPr>
              <w:pStyle w:val="TableParagraph"/>
              <w:spacing w:before="17"/>
              <w:ind w:left="59"/>
              <w:rPr>
                <w:sz w:val="18"/>
              </w:rPr>
            </w:pPr>
            <w:r>
              <w:rPr>
                <w:sz w:val="18"/>
              </w:rPr>
              <w:t>重型再生障碍性贫血</w:t>
            </w:r>
          </w:p>
        </w:tc>
      </w:tr>
      <w:tr>
        <w:trPr>
          <w:trHeight w:val="327" w:hRule="atLeast"/>
        </w:trPr>
        <w:tc>
          <w:tcPr>
            <w:tcW w:w="441" w:type="dxa"/>
          </w:tcPr>
          <w:p>
            <w:pPr>
              <w:pStyle w:val="TableParagraph"/>
              <w:ind w:left="0"/>
              <w:rPr>
                <w:rFonts w:ascii="Times New Roman"/>
                <w:sz w:val="20"/>
              </w:rPr>
            </w:pPr>
          </w:p>
        </w:tc>
        <w:tc>
          <w:tcPr>
            <w:tcW w:w="2985" w:type="dxa"/>
          </w:tcPr>
          <w:p>
            <w:pPr>
              <w:pStyle w:val="TableParagraph"/>
              <w:spacing w:before="17"/>
              <w:ind w:left="58"/>
              <w:rPr>
                <w:sz w:val="18"/>
              </w:rPr>
            </w:pPr>
            <w:r>
              <w:rPr>
                <w:sz w:val="18"/>
              </w:rPr>
              <w:t>（或称冠状动脉旁路移植术）</w:t>
            </w:r>
          </w:p>
        </w:tc>
        <w:tc>
          <w:tcPr>
            <w:tcW w:w="290" w:type="dxa"/>
          </w:tcPr>
          <w:p>
            <w:pPr>
              <w:pStyle w:val="TableParagraph"/>
              <w:spacing w:before="17"/>
              <w:ind w:left="46"/>
              <w:rPr>
                <w:sz w:val="18"/>
              </w:rPr>
            </w:pPr>
            <w:r>
              <w:rPr>
                <w:sz w:val="18"/>
              </w:rPr>
              <w:t>25</w:t>
            </w:r>
          </w:p>
        </w:tc>
        <w:tc>
          <w:tcPr>
            <w:tcW w:w="3140" w:type="dxa"/>
          </w:tcPr>
          <w:p>
            <w:pPr>
              <w:pStyle w:val="TableParagraph"/>
              <w:spacing w:before="17"/>
              <w:ind w:left="59"/>
              <w:rPr>
                <w:sz w:val="18"/>
              </w:rPr>
            </w:pPr>
            <w:r>
              <w:rPr>
                <w:sz w:val="18"/>
              </w:rPr>
              <w:t>主动脉手术</w:t>
            </w:r>
          </w:p>
        </w:tc>
      </w:tr>
      <w:tr>
        <w:trPr>
          <w:trHeight w:val="327" w:hRule="atLeast"/>
        </w:trPr>
        <w:tc>
          <w:tcPr>
            <w:tcW w:w="441" w:type="dxa"/>
          </w:tcPr>
          <w:p>
            <w:pPr>
              <w:pStyle w:val="TableParagraph"/>
              <w:spacing w:before="19"/>
              <w:ind w:left="0" w:right="60"/>
              <w:jc w:val="right"/>
              <w:rPr>
                <w:sz w:val="18"/>
              </w:rPr>
            </w:pPr>
            <w:r>
              <w:rPr>
                <w:sz w:val="18"/>
              </w:rPr>
              <w:t>6</w:t>
            </w:r>
          </w:p>
        </w:tc>
        <w:tc>
          <w:tcPr>
            <w:tcW w:w="2985" w:type="dxa"/>
          </w:tcPr>
          <w:p>
            <w:pPr>
              <w:pStyle w:val="TableParagraph"/>
              <w:spacing w:before="19"/>
              <w:ind w:left="58"/>
              <w:rPr>
                <w:sz w:val="18"/>
              </w:rPr>
            </w:pPr>
            <w:r>
              <w:rPr>
                <w:sz w:val="18"/>
              </w:rPr>
              <w:t>终末期肾病</w:t>
            </w:r>
          </w:p>
        </w:tc>
        <w:tc>
          <w:tcPr>
            <w:tcW w:w="290" w:type="dxa"/>
          </w:tcPr>
          <w:p>
            <w:pPr>
              <w:pStyle w:val="TableParagraph"/>
              <w:spacing w:before="19"/>
              <w:ind w:left="47"/>
              <w:rPr>
                <w:sz w:val="18"/>
              </w:rPr>
            </w:pPr>
            <w:r>
              <w:rPr>
                <w:sz w:val="18"/>
              </w:rPr>
              <w:t>26</w:t>
            </w:r>
          </w:p>
        </w:tc>
        <w:tc>
          <w:tcPr>
            <w:tcW w:w="3140" w:type="dxa"/>
          </w:tcPr>
          <w:p>
            <w:pPr>
              <w:pStyle w:val="TableParagraph"/>
              <w:spacing w:before="19"/>
              <w:ind w:left="59"/>
              <w:rPr>
                <w:sz w:val="18"/>
              </w:rPr>
            </w:pPr>
            <w:r>
              <w:rPr>
                <w:sz w:val="18"/>
              </w:rPr>
              <w:t>多发性硬化</w:t>
            </w:r>
          </w:p>
        </w:tc>
      </w:tr>
      <w:tr>
        <w:trPr>
          <w:trHeight w:val="326" w:hRule="atLeast"/>
        </w:trPr>
        <w:tc>
          <w:tcPr>
            <w:tcW w:w="441" w:type="dxa"/>
          </w:tcPr>
          <w:p>
            <w:pPr>
              <w:pStyle w:val="TableParagraph"/>
              <w:ind w:left="0"/>
              <w:rPr>
                <w:rFonts w:ascii="Times New Roman"/>
                <w:sz w:val="20"/>
              </w:rPr>
            </w:pPr>
          </w:p>
        </w:tc>
        <w:tc>
          <w:tcPr>
            <w:tcW w:w="2985" w:type="dxa"/>
          </w:tcPr>
          <w:p>
            <w:pPr>
              <w:pStyle w:val="TableParagraph"/>
              <w:spacing w:before="17"/>
              <w:ind w:left="58"/>
              <w:rPr>
                <w:sz w:val="18"/>
              </w:rPr>
            </w:pPr>
            <w:r>
              <w:rPr>
                <w:sz w:val="18"/>
              </w:rPr>
              <w:t>（或称慢性肾功能衰竭尿毒症期）</w:t>
            </w:r>
          </w:p>
        </w:tc>
        <w:tc>
          <w:tcPr>
            <w:tcW w:w="290" w:type="dxa"/>
          </w:tcPr>
          <w:p>
            <w:pPr>
              <w:pStyle w:val="TableParagraph"/>
              <w:spacing w:before="17"/>
              <w:ind w:left="47"/>
              <w:rPr>
                <w:sz w:val="18"/>
              </w:rPr>
            </w:pPr>
            <w:r>
              <w:rPr>
                <w:sz w:val="18"/>
              </w:rPr>
              <w:t>27</w:t>
            </w:r>
          </w:p>
        </w:tc>
        <w:tc>
          <w:tcPr>
            <w:tcW w:w="3140" w:type="dxa"/>
          </w:tcPr>
          <w:p>
            <w:pPr>
              <w:pStyle w:val="TableParagraph"/>
              <w:spacing w:before="17"/>
              <w:ind w:left="59"/>
              <w:rPr>
                <w:sz w:val="18"/>
              </w:rPr>
            </w:pPr>
            <w:r>
              <w:rPr>
                <w:sz w:val="18"/>
              </w:rPr>
              <w:t>经输血导致的人类免疫缺陷病毒感染</w:t>
            </w:r>
          </w:p>
        </w:tc>
      </w:tr>
      <w:tr>
        <w:trPr>
          <w:trHeight w:val="326" w:hRule="atLeast"/>
        </w:trPr>
        <w:tc>
          <w:tcPr>
            <w:tcW w:w="441" w:type="dxa"/>
          </w:tcPr>
          <w:p>
            <w:pPr>
              <w:pStyle w:val="TableParagraph"/>
              <w:spacing w:before="17"/>
              <w:ind w:left="0" w:right="60"/>
              <w:jc w:val="right"/>
              <w:rPr>
                <w:sz w:val="18"/>
              </w:rPr>
            </w:pPr>
            <w:r>
              <w:rPr>
                <w:sz w:val="18"/>
              </w:rPr>
              <w:t>7</w:t>
            </w:r>
          </w:p>
        </w:tc>
        <w:tc>
          <w:tcPr>
            <w:tcW w:w="2985" w:type="dxa"/>
          </w:tcPr>
          <w:p>
            <w:pPr>
              <w:pStyle w:val="TableParagraph"/>
              <w:spacing w:before="17"/>
              <w:ind w:left="58"/>
              <w:rPr>
                <w:sz w:val="18"/>
              </w:rPr>
            </w:pPr>
            <w:r>
              <w:rPr>
                <w:sz w:val="18"/>
              </w:rPr>
              <w:t>多个肢体缺失</w:t>
            </w:r>
          </w:p>
        </w:tc>
        <w:tc>
          <w:tcPr>
            <w:tcW w:w="290" w:type="dxa"/>
          </w:tcPr>
          <w:p>
            <w:pPr>
              <w:pStyle w:val="TableParagraph"/>
              <w:spacing w:before="17"/>
              <w:ind w:left="47"/>
              <w:rPr>
                <w:sz w:val="18"/>
              </w:rPr>
            </w:pPr>
            <w:r>
              <w:rPr>
                <w:sz w:val="18"/>
              </w:rPr>
              <w:t>28</w:t>
            </w:r>
          </w:p>
        </w:tc>
        <w:tc>
          <w:tcPr>
            <w:tcW w:w="3140" w:type="dxa"/>
          </w:tcPr>
          <w:p>
            <w:pPr>
              <w:pStyle w:val="TableParagraph"/>
              <w:spacing w:before="17"/>
              <w:ind w:left="59"/>
              <w:rPr>
                <w:sz w:val="18"/>
              </w:rPr>
            </w:pPr>
            <w:r>
              <w:rPr>
                <w:sz w:val="18"/>
              </w:rPr>
              <w:t>终末期肺病</w:t>
            </w:r>
          </w:p>
        </w:tc>
      </w:tr>
      <w:tr>
        <w:trPr>
          <w:trHeight w:val="327" w:hRule="atLeast"/>
        </w:trPr>
        <w:tc>
          <w:tcPr>
            <w:tcW w:w="441" w:type="dxa"/>
          </w:tcPr>
          <w:p>
            <w:pPr>
              <w:pStyle w:val="TableParagraph"/>
              <w:spacing w:before="17"/>
              <w:ind w:left="0" w:right="60"/>
              <w:jc w:val="right"/>
              <w:rPr>
                <w:sz w:val="18"/>
              </w:rPr>
            </w:pPr>
            <w:r>
              <w:rPr>
                <w:sz w:val="18"/>
              </w:rPr>
              <w:t>8</w:t>
            </w:r>
          </w:p>
        </w:tc>
        <w:tc>
          <w:tcPr>
            <w:tcW w:w="2985" w:type="dxa"/>
          </w:tcPr>
          <w:p>
            <w:pPr>
              <w:pStyle w:val="TableParagraph"/>
              <w:spacing w:before="17"/>
              <w:ind w:left="58"/>
              <w:rPr>
                <w:sz w:val="18"/>
              </w:rPr>
            </w:pPr>
            <w:r>
              <w:rPr>
                <w:sz w:val="18"/>
              </w:rPr>
              <w:t>急性或亚急性重症肝炎</w:t>
            </w:r>
          </w:p>
        </w:tc>
        <w:tc>
          <w:tcPr>
            <w:tcW w:w="290" w:type="dxa"/>
          </w:tcPr>
          <w:p>
            <w:pPr>
              <w:pStyle w:val="TableParagraph"/>
              <w:spacing w:before="17"/>
              <w:ind w:left="47"/>
              <w:rPr>
                <w:sz w:val="18"/>
              </w:rPr>
            </w:pPr>
            <w:r>
              <w:rPr>
                <w:sz w:val="18"/>
              </w:rPr>
              <w:t>29</w:t>
            </w:r>
          </w:p>
        </w:tc>
        <w:tc>
          <w:tcPr>
            <w:tcW w:w="3140" w:type="dxa"/>
          </w:tcPr>
          <w:p>
            <w:pPr>
              <w:pStyle w:val="TableParagraph"/>
              <w:spacing w:before="17"/>
              <w:ind w:left="59"/>
              <w:rPr>
                <w:sz w:val="18"/>
              </w:rPr>
            </w:pPr>
            <w:r>
              <w:rPr>
                <w:sz w:val="18"/>
              </w:rPr>
              <w:t>严重类风湿性关节炎</w:t>
            </w:r>
          </w:p>
        </w:tc>
      </w:tr>
      <w:tr>
        <w:trPr>
          <w:trHeight w:val="327" w:hRule="atLeast"/>
        </w:trPr>
        <w:tc>
          <w:tcPr>
            <w:tcW w:w="441" w:type="dxa"/>
          </w:tcPr>
          <w:p>
            <w:pPr>
              <w:pStyle w:val="TableParagraph"/>
              <w:spacing w:before="19"/>
              <w:ind w:left="0" w:right="60"/>
              <w:jc w:val="right"/>
              <w:rPr>
                <w:sz w:val="18"/>
              </w:rPr>
            </w:pPr>
            <w:r>
              <w:rPr>
                <w:sz w:val="18"/>
              </w:rPr>
              <w:t>9</w:t>
            </w:r>
          </w:p>
        </w:tc>
        <w:tc>
          <w:tcPr>
            <w:tcW w:w="2985" w:type="dxa"/>
          </w:tcPr>
          <w:p>
            <w:pPr>
              <w:pStyle w:val="TableParagraph"/>
              <w:spacing w:before="19"/>
              <w:ind w:left="59"/>
              <w:rPr>
                <w:sz w:val="18"/>
              </w:rPr>
            </w:pPr>
            <w:r>
              <w:rPr>
                <w:sz w:val="18"/>
              </w:rPr>
              <w:t>良性脑肿瘤</w:t>
            </w:r>
          </w:p>
        </w:tc>
        <w:tc>
          <w:tcPr>
            <w:tcW w:w="290" w:type="dxa"/>
          </w:tcPr>
          <w:p>
            <w:pPr>
              <w:pStyle w:val="TableParagraph"/>
              <w:spacing w:before="19"/>
              <w:ind w:left="47"/>
              <w:rPr>
                <w:sz w:val="18"/>
              </w:rPr>
            </w:pPr>
            <w:r>
              <w:rPr>
                <w:sz w:val="18"/>
              </w:rPr>
              <w:t>30</w:t>
            </w:r>
          </w:p>
        </w:tc>
        <w:tc>
          <w:tcPr>
            <w:tcW w:w="3140" w:type="dxa"/>
          </w:tcPr>
          <w:p>
            <w:pPr>
              <w:pStyle w:val="TableParagraph"/>
              <w:spacing w:before="19"/>
              <w:ind w:left="60"/>
              <w:rPr>
                <w:sz w:val="18"/>
              </w:rPr>
            </w:pPr>
            <w:r>
              <w:rPr>
                <w:sz w:val="18"/>
              </w:rPr>
              <w:t>系统性红斑狼疮</w:t>
            </w:r>
          </w:p>
        </w:tc>
      </w:tr>
      <w:tr>
        <w:trPr>
          <w:trHeight w:val="326" w:hRule="atLeast"/>
        </w:trPr>
        <w:tc>
          <w:tcPr>
            <w:tcW w:w="441" w:type="dxa"/>
          </w:tcPr>
          <w:p>
            <w:pPr>
              <w:pStyle w:val="TableParagraph"/>
              <w:spacing w:before="17"/>
              <w:ind w:left="0" w:right="56"/>
              <w:jc w:val="right"/>
              <w:rPr>
                <w:sz w:val="18"/>
              </w:rPr>
            </w:pPr>
            <w:r>
              <w:rPr>
                <w:sz w:val="18"/>
              </w:rPr>
              <w:t>10</w:t>
            </w:r>
          </w:p>
        </w:tc>
        <w:tc>
          <w:tcPr>
            <w:tcW w:w="2985" w:type="dxa"/>
          </w:tcPr>
          <w:p>
            <w:pPr>
              <w:pStyle w:val="TableParagraph"/>
              <w:spacing w:before="17"/>
              <w:ind w:left="59"/>
              <w:rPr>
                <w:sz w:val="18"/>
              </w:rPr>
            </w:pPr>
            <w:r>
              <w:rPr>
                <w:sz w:val="18"/>
              </w:rPr>
              <w:t>慢性肝功能衰竭失代偿期</w:t>
            </w:r>
          </w:p>
        </w:tc>
        <w:tc>
          <w:tcPr>
            <w:tcW w:w="290" w:type="dxa"/>
          </w:tcPr>
          <w:p>
            <w:pPr>
              <w:pStyle w:val="TableParagraph"/>
              <w:spacing w:before="17"/>
              <w:ind w:left="47"/>
              <w:rPr>
                <w:sz w:val="18"/>
              </w:rPr>
            </w:pPr>
            <w:r>
              <w:rPr>
                <w:sz w:val="18"/>
              </w:rPr>
              <w:t>31</w:t>
            </w:r>
          </w:p>
        </w:tc>
        <w:tc>
          <w:tcPr>
            <w:tcW w:w="3140" w:type="dxa"/>
          </w:tcPr>
          <w:p>
            <w:pPr>
              <w:pStyle w:val="TableParagraph"/>
              <w:spacing w:before="17"/>
              <w:ind w:left="60"/>
              <w:rPr>
                <w:sz w:val="18"/>
              </w:rPr>
            </w:pPr>
            <w:r>
              <w:rPr>
                <w:sz w:val="18"/>
              </w:rPr>
              <w:t>植物人</w:t>
            </w:r>
          </w:p>
        </w:tc>
      </w:tr>
      <w:tr>
        <w:trPr>
          <w:trHeight w:val="326" w:hRule="atLeast"/>
        </w:trPr>
        <w:tc>
          <w:tcPr>
            <w:tcW w:w="441" w:type="dxa"/>
          </w:tcPr>
          <w:p>
            <w:pPr>
              <w:pStyle w:val="TableParagraph"/>
              <w:spacing w:before="17"/>
              <w:ind w:left="0" w:right="56"/>
              <w:jc w:val="right"/>
              <w:rPr>
                <w:sz w:val="18"/>
              </w:rPr>
            </w:pPr>
            <w:r>
              <w:rPr>
                <w:sz w:val="18"/>
              </w:rPr>
              <w:t>11</w:t>
            </w:r>
          </w:p>
        </w:tc>
        <w:tc>
          <w:tcPr>
            <w:tcW w:w="2985" w:type="dxa"/>
          </w:tcPr>
          <w:p>
            <w:pPr>
              <w:pStyle w:val="TableParagraph"/>
              <w:spacing w:before="17"/>
              <w:ind w:left="59"/>
              <w:rPr>
                <w:sz w:val="18"/>
              </w:rPr>
            </w:pPr>
            <w:r>
              <w:rPr>
                <w:sz w:val="18"/>
              </w:rPr>
              <w:t>脑炎后遗症或脑膜炎后遗症</w:t>
            </w:r>
          </w:p>
        </w:tc>
        <w:tc>
          <w:tcPr>
            <w:tcW w:w="290" w:type="dxa"/>
          </w:tcPr>
          <w:p>
            <w:pPr>
              <w:pStyle w:val="TableParagraph"/>
              <w:spacing w:before="17"/>
              <w:ind w:left="47"/>
              <w:rPr>
                <w:sz w:val="18"/>
              </w:rPr>
            </w:pPr>
            <w:r>
              <w:rPr>
                <w:sz w:val="18"/>
              </w:rPr>
              <w:t>32</w:t>
            </w:r>
          </w:p>
        </w:tc>
        <w:tc>
          <w:tcPr>
            <w:tcW w:w="3140" w:type="dxa"/>
          </w:tcPr>
          <w:p>
            <w:pPr>
              <w:pStyle w:val="TableParagraph"/>
              <w:spacing w:before="17"/>
              <w:ind w:left="60"/>
              <w:rPr>
                <w:sz w:val="18"/>
              </w:rPr>
            </w:pPr>
            <w:r>
              <w:rPr>
                <w:sz w:val="18"/>
              </w:rPr>
              <w:t>肌营养不良症</w:t>
            </w:r>
          </w:p>
        </w:tc>
      </w:tr>
      <w:tr>
        <w:trPr>
          <w:trHeight w:val="327" w:hRule="atLeast"/>
        </w:trPr>
        <w:tc>
          <w:tcPr>
            <w:tcW w:w="441" w:type="dxa"/>
          </w:tcPr>
          <w:p>
            <w:pPr>
              <w:pStyle w:val="TableParagraph"/>
              <w:spacing w:before="17"/>
              <w:ind w:left="0" w:right="56"/>
              <w:jc w:val="right"/>
              <w:rPr>
                <w:sz w:val="18"/>
              </w:rPr>
            </w:pPr>
            <w:r>
              <w:rPr>
                <w:sz w:val="18"/>
              </w:rPr>
              <w:t>12</w:t>
            </w:r>
          </w:p>
        </w:tc>
        <w:tc>
          <w:tcPr>
            <w:tcW w:w="2985" w:type="dxa"/>
          </w:tcPr>
          <w:p>
            <w:pPr>
              <w:pStyle w:val="TableParagraph"/>
              <w:spacing w:before="17"/>
              <w:ind w:left="59"/>
              <w:rPr>
                <w:sz w:val="18"/>
              </w:rPr>
            </w:pPr>
            <w:r>
              <w:rPr>
                <w:sz w:val="18"/>
              </w:rPr>
              <w:t>深度昏迷</w:t>
            </w:r>
          </w:p>
        </w:tc>
        <w:tc>
          <w:tcPr>
            <w:tcW w:w="290" w:type="dxa"/>
          </w:tcPr>
          <w:p>
            <w:pPr>
              <w:pStyle w:val="TableParagraph"/>
              <w:spacing w:before="17"/>
              <w:ind w:left="47"/>
              <w:rPr>
                <w:sz w:val="18"/>
              </w:rPr>
            </w:pPr>
            <w:r>
              <w:rPr>
                <w:sz w:val="18"/>
              </w:rPr>
              <w:t>33</w:t>
            </w:r>
          </w:p>
        </w:tc>
        <w:tc>
          <w:tcPr>
            <w:tcW w:w="3140" w:type="dxa"/>
          </w:tcPr>
          <w:p>
            <w:pPr>
              <w:pStyle w:val="TableParagraph"/>
              <w:spacing w:before="17"/>
              <w:ind w:left="60"/>
              <w:rPr>
                <w:sz w:val="18"/>
              </w:rPr>
            </w:pPr>
            <w:r>
              <w:rPr>
                <w:sz w:val="18"/>
              </w:rPr>
              <w:t>原发性心肌病</w:t>
            </w:r>
          </w:p>
        </w:tc>
      </w:tr>
      <w:tr>
        <w:trPr>
          <w:trHeight w:val="327" w:hRule="atLeast"/>
        </w:trPr>
        <w:tc>
          <w:tcPr>
            <w:tcW w:w="441" w:type="dxa"/>
          </w:tcPr>
          <w:p>
            <w:pPr>
              <w:pStyle w:val="TableParagraph"/>
              <w:spacing w:before="19"/>
              <w:ind w:left="0" w:right="56"/>
              <w:jc w:val="right"/>
              <w:rPr>
                <w:sz w:val="18"/>
              </w:rPr>
            </w:pPr>
            <w:r>
              <w:rPr>
                <w:sz w:val="18"/>
              </w:rPr>
              <w:t>13</w:t>
            </w:r>
          </w:p>
        </w:tc>
        <w:tc>
          <w:tcPr>
            <w:tcW w:w="2985" w:type="dxa"/>
          </w:tcPr>
          <w:p>
            <w:pPr>
              <w:pStyle w:val="TableParagraph"/>
              <w:spacing w:before="19"/>
              <w:ind w:left="59"/>
              <w:rPr>
                <w:sz w:val="18"/>
              </w:rPr>
            </w:pPr>
            <w:r>
              <w:rPr>
                <w:sz w:val="18"/>
              </w:rPr>
              <w:t>双耳失聪</w:t>
            </w:r>
          </w:p>
        </w:tc>
        <w:tc>
          <w:tcPr>
            <w:tcW w:w="290" w:type="dxa"/>
          </w:tcPr>
          <w:p>
            <w:pPr>
              <w:pStyle w:val="TableParagraph"/>
              <w:spacing w:before="19"/>
              <w:ind w:left="47"/>
              <w:rPr>
                <w:sz w:val="18"/>
              </w:rPr>
            </w:pPr>
            <w:r>
              <w:rPr>
                <w:sz w:val="18"/>
              </w:rPr>
              <w:t>34</w:t>
            </w:r>
          </w:p>
        </w:tc>
        <w:tc>
          <w:tcPr>
            <w:tcW w:w="3140" w:type="dxa"/>
          </w:tcPr>
          <w:p>
            <w:pPr>
              <w:pStyle w:val="TableParagraph"/>
              <w:spacing w:before="19"/>
              <w:ind w:left="60"/>
              <w:rPr>
                <w:sz w:val="18"/>
              </w:rPr>
            </w:pPr>
            <w:r>
              <w:rPr>
                <w:sz w:val="18"/>
              </w:rPr>
              <w:t>肾髓质囊性病</w:t>
            </w:r>
          </w:p>
        </w:tc>
      </w:tr>
      <w:tr>
        <w:trPr>
          <w:trHeight w:val="253" w:hRule="atLeast"/>
        </w:trPr>
        <w:tc>
          <w:tcPr>
            <w:tcW w:w="441" w:type="dxa"/>
          </w:tcPr>
          <w:p>
            <w:pPr>
              <w:pStyle w:val="TableParagraph"/>
              <w:spacing w:line="216" w:lineRule="exact" w:before="17"/>
              <w:ind w:left="0" w:right="56"/>
              <w:jc w:val="right"/>
              <w:rPr>
                <w:sz w:val="18"/>
              </w:rPr>
            </w:pPr>
            <w:r>
              <w:rPr>
                <w:sz w:val="18"/>
              </w:rPr>
              <w:t>14</w:t>
            </w:r>
          </w:p>
        </w:tc>
        <w:tc>
          <w:tcPr>
            <w:tcW w:w="2985" w:type="dxa"/>
          </w:tcPr>
          <w:p>
            <w:pPr>
              <w:pStyle w:val="TableParagraph"/>
              <w:spacing w:line="216" w:lineRule="exact" w:before="17"/>
              <w:ind w:left="59"/>
              <w:rPr>
                <w:sz w:val="18"/>
              </w:rPr>
            </w:pPr>
            <w:r>
              <w:rPr>
                <w:sz w:val="18"/>
              </w:rPr>
              <w:t>双目失明</w:t>
            </w:r>
          </w:p>
        </w:tc>
        <w:tc>
          <w:tcPr>
            <w:tcW w:w="290" w:type="dxa"/>
          </w:tcPr>
          <w:p>
            <w:pPr>
              <w:pStyle w:val="TableParagraph"/>
              <w:spacing w:line="216" w:lineRule="exact" w:before="17"/>
              <w:ind w:left="47"/>
              <w:rPr>
                <w:sz w:val="18"/>
              </w:rPr>
            </w:pPr>
            <w:r>
              <w:rPr>
                <w:sz w:val="18"/>
              </w:rPr>
              <w:t>35</w:t>
            </w:r>
          </w:p>
        </w:tc>
        <w:tc>
          <w:tcPr>
            <w:tcW w:w="3140" w:type="dxa"/>
          </w:tcPr>
          <w:p>
            <w:pPr>
              <w:pStyle w:val="TableParagraph"/>
              <w:spacing w:line="216" w:lineRule="exact" w:before="17"/>
              <w:ind w:left="60"/>
              <w:rPr>
                <w:sz w:val="18"/>
              </w:rPr>
            </w:pPr>
            <w:r>
              <w:rPr>
                <w:sz w:val="18"/>
              </w:rPr>
              <w:t>严重克隆氏病</w:t>
            </w:r>
          </w:p>
        </w:tc>
      </w:tr>
    </w:tbl>
    <w:p>
      <w:pPr>
        <w:spacing w:after="0" w:line="216" w:lineRule="exact"/>
        <w:rPr>
          <w:sz w:val="18"/>
        </w:rPr>
        <w:sectPr>
          <w:type w:val="continuous"/>
          <w:pgSz w:w="11910" w:h="16840"/>
          <w:pgMar w:top="1360" w:bottom="280" w:left="860" w:right="860"/>
        </w:sectPr>
      </w:pPr>
    </w:p>
    <w:tbl>
      <w:tblPr>
        <w:tblW w:w="0" w:type="auto"/>
        <w:jc w:val="left"/>
        <w:tblInd w:w="19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
        <w:gridCol w:w="2265"/>
        <w:gridCol w:w="1009"/>
        <w:gridCol w:w="1700"/>
      </w:tblGrid>
      <w:tr>
        <w:trPr>
          <w:trHeight w:val="253" w:hRule="atLeast"/>
        </w:trPr>
        <w:tc>
          <w:tcPr>
            <w:tcW w:w="441" w:type="dxa"/>
          </w:tcPr>
          <w:p>
            <w:pPr>
              <w:pStyle w:val="TableParagraph"/>
              <w:spacing w:line="180" w:lineRule="exact"/>
              <w:ind w:left="0" w:right="56"/>
              <w:jc w:val="right"/>
              <w:rPr>
                <w:sz w:val="18"/>
              </w:rPr>
            </w:pPr>
            <w:r>
              <w:rPr>
                <w:sz w:val="18"/>
              </w:rPr>
              <w:t>15</w:t>
            </w:r>
          </w:p>
        </w:tc>
        <w:tc>
          <w:tcPr>
            <w:tcW w:w="2265" w:type="dxa"/>
          </w:tcPr>
          <w:p>
            <w:pPr>
              <w:pStyle w:val="TableParagraph"/>
              <w:spacing w:line="180" w:lineRule="exact"/>
              <w:ind w:left="59"/>
              <w:rPr>
                <w:sz w:val="18"/>
              </w:rPr>
            </w:pPr>
            <w:r>
              <w:rPr>
                <w:sz w:val="18"/>
              </w:rPr>
              <w:t>瘫痪</w:t>
            </w:r>
          </w:p>
        </w:tc>
        <w:tc>
          <w:tcPr>
            <w:tcW w:w="1009" w:type="dxa"/>
          </w:tcPr>
          <w:p>
            <w:pPr>
              <w:pStyle w:val="TableParagraph"/>
              <w:spacing w:line="180" w:lineRule="exact"/>
              <w:ind w:left="0" w:right="56"/>
              <w:jc w:val="right"/>
              <w:rPr>
                <w:sz w:val="18"/>
              </w:rPr>
            </w:pPr>
            <w:r>
              <w:rPr>
                <w:sz w:val="18"/>
              </w:rPr>
              <w:t>36</w:t>
            </w:r>
          </w:p>
        </w:tc>
        <w:tc>
          <w:tcPr>
            <w:tcW w:w="1700" w:type="dxa"/>
          </w:tcPr>
          <w:p>
            <w:pPr>
              <w:pStyle w:val="TableParagraph"/>
              <w:spacing w:line="180" w:lineRule="exact"/>
              <w:ind w:left="61"/>
              <w:rPr>
                <w:sz w:val="18"/>
              </w:rPr>
            </w:pPr>
            <w:r>
              <w:rPr>
                <w:sz w:val="18"/>
              </w:rPr>
              <w:t>重症肌无力</w:t>
            </w:r>
          </w:p>
        </w:tc>
      </w:tr>
      <w:tr>
        <w:trPr>
          <w:trHeight w:val="326" w:hRule="atLeast"/>
        </w:trPr>
        <w:tc>
          <w:tcPr>
            <w:tcW w:w="441" w:type="dxa"/>
          </w:tcPr>
          <w:p>
            <w:pPr>
              <w:pStyle w:val="TableParagraph"/>
              <w:spacing w:before="17"/>
              <w:ind w:left="0" w:right="56"/>
              <w:jc w:val="right"/>
              <w:rPr>
                <w:sz w:val="18"/>
              </w:rPr>
            </w:pPr>
            <w:r>
              <w:rPr>
                <w:sz w:val="18"/>
              </w:rPr>
              <w:t>16</w:t>
            </w:r>
          </w:p>
        </w:tc>
        <w:tc>
          <w:tcPr>
            <w:tcW w:w="2265" w:type="dxa"/>
          </w:tcPr>
          <w:p>
            <w:pPr>
              <w:pStyle w:val="TableParagraph"/>
              <w:spacing w:before="17"/>
              <w:ind w:left="59"/>
              <w:rPr>
                <w:sz w:val="18"/>
              </w:rPr>
            </w:pPr>
            <w:r>
              <w:rPr>
                <w:sz w:val="18"/>
              </w:rPr>
              <w:t>心脏瓣膜手术</w:t>
            </w:r>
          </w:p>
        </w:tc>
        <w:tc>
          <w:tcPr>
            <w:tcW w:w="1009" w:type="dxa"/>
          </w:tcPr>
          <w:p>
            <w:pPr>
              <w:pStyle w:val="TableParagraph"/>
              <w:spacing w:before="17"/>
              <w:ind w:left="0" w:right="56"/>
              <w:jc w:val="right"/>
              <w:rPr>
                <w:sz w:val="18"/>
              </w:rPr>
            </w:pPr>
            <w:r>
              <w:rPr>
                <w:sz w:val="18"/>
              </w:rPr>
              <w:t>37</w:t>
            </w:r>
          </w:p>
        </w:tc>
        <w:tc>
          <w:tcPr>
            <w:tcW w:w="1700" w:type="dxa"/>
          </w:tcPr>
          <w:p>
            <w:pPr>
              <w:pStyle w:val="TableParagraph"/>
              <w:spacing w:before="17"/>
              <w:ind w:left="61"/>
              <w:rPr>
                <w:sz w:val="18"/>
              </w:rPr>
            </w:pPr>
            <w:r>
              <w:rPr>
                <w:sz w:val="18"/>
              </w:rPr>
              <w:t>严重溃疡性结肠炎</w:t>
            </w:r>
          </w:p>
        </w:tc>
      </w:tr>
      <w:tr>
        <w:trPr>
          <w:trHeight w:val="327" w:hRule="atLeast"/>
        </w:trPr>
        <w:tc>
          <w:tcPr>
            <w:tcW w:w="441" w:type="dxa"/>
          </w:tcPr>
          <w:p>
            <w:pPr>
              <w:pStyle w:val="TableParagraph"/>
              <w:spacing w:before="17"/>
              <w:ind w:left="0" w:right="56"/>
              <w:jc w:val="right"/>
              <w:rPr>
                <w:sz w:val="18"/>
              </w:rPr>
            </w:pPr>
            <w:r>
              <w:rPr>
                <w:sz w:val="18"/>
              </w:rPr>
              <w:t>17</w:t>
            </w:r>
          </w:p>
        </w:tc>
        <w:tc>
          <w:tcPr>
            <w:tcW w:w="2265" w:type="dxa"/>
          </w:tcPr>
          <w:p>
            <w:pPr>
              <w:pStyle w:val="TableParagraph"/>
              <w:spacing w:before="17"/>
              <w:ind w:left="59"/>
              <w:rPr>
                <w:sz w:val="18"/>
              </w:rPr>
            </w:pPr>
            <w:r>
              <w:rPr>
                <w:sz w:val="18"/>
              </w:rPr>
              <w:t>严重阿尔茨海默病</w:t>
            </w:r>
          </w:p>
        </w:tc>
        <w:tc>
          <w:tcPr>
            <w:tcW w:w="1009" w:type="dxa"/>
          </w:tcPr>
          <w:p>
            <w:pPr>
              <w:pStyle w:val="TableParagraph"/>
              <w:spacing w:before="17"/>
              <w:ind w:left="0" w:right="56"/>
              <w:jc w:val="right"/>
              <w:rPr>
                <w:sz w:val="18"/>
              </w:rPr>
            </w:pPr>
            <w:r>
              <w:rPr>
                <w:sz w:val="18"/>
              </w:rPr>
              <w:t>38</w:t>
            </w:r>
          </w:p>
        </w:tc>
        <w:tc>
          <w:tcPr>
            <w:tcW w:w="1700" w:type="dxa"/>
          </w:tcPr>
          <w:p>
            <w:pPr>
              <w:pStyle w:val="TableParagraph"/>
              <w:spacing w:before="17"/>
              <w:ind w:left="61"/>
              <w:rPr>
                <w:sz w:val="18"/>
              </w:rPr>
            </w:pPr>
            <w:r>
              <w:rPr>
                <w:sz w:val="18"/>
              </w:rPr>
              <w:t>慢性复发性胰腺炎</w:t>
            </w:r>
          </w:p>
        </w:tc>
      </w:tr>
      <w:tr>
        <w:trPr>
          <w:trHeight w:val="327" w:hRule="atLeast"/>
        </w:trPr>
        <w:tc>
          <w:tcPr>
            <w:tcW w:w="441" w:type="dxa"/>
          </w:tcPr>
          <w:p>
            <w:pPr>
              <w:pStyle w:val="TableParagraph"/>
              <w:spacing w:before="19"/>
              <w:ind w:left="0" w:right="56"/>
              <w:jc w:val="right"/>
              <w:rPr>
                <w:sz w:val="18"/>
              </w:rPr>
            </w:pPr>
            <w:r>
              <w:rPr>
                <w:sz w:val="18"/>
              </w:rPr>
              <w:t>18</w:t>
            </w:r>
          </w:p>
        </w:tc>
        <w:tc>
          <w:tcPr>
            <w:tcW w:w="2265" w:type="dxa"/>
          </w:tcPr>
          <w:p>
            <w:pPr>
              <w:pStyle w:val="TableParagraph"/>
              <w:spacing w:before="19"/>
              <w:ind w:left="59"/>
              <w:rPr>
                <w:sz w:val="18"/>
              </w:rPr>
            </w:pPr>
            <w:r>
              <w:rPr>
                <w:sz w:val="18"/>
              </w:rPr>
              <w:t>严重脑损伤</w:t>
            </w:r>
          </w:p>
        </w:tc>
        <w:tc>
          <w:tcPr>
            <w:tcW w:w="1009" w:type="dxa"/>
          </w:tcPr>
          <w:p>
            <w:pPr>
              <w:pStyle w:val="TableParagraph"/>
              <w:spacing w:before="19"/>
              <w:ind w:left="0" w:right="56"/>
              <w:jc w:val="right"/>
              <w:rPr>
                <w:sz w:val="18"/>
              </w:rPr>
            </w:pPr>
            <w:r>
              <w:rPr>
                <w:sz w:val="18"/>
              </w:rPr>
              <w:t>39</w:t>
            </w:r>
          </w:p>
        </w:tc>
        <w:tc>
          <w:tcPr>
            <w:tcW w:w="1700" w:type="dxa"/>
          </w:tcPr>
          <w:p>
            <w:pPr>
              <w:pStyle w:val="TableParagraph"/>
              <w:spacing w:before="19"/>
              <w:ind w:left="61"/>
              <w:rPr>
                <w:sz w:val="18"/>
              </w:rPr>
            </w:pPr>
            <w:r>
              <w:rPr>
                <w:sz w:val="18"/>
              </w:rPr>
              <w:t>坏死性筋膜炎</w:t>
            </w:r>
          </w:p>
        </w:tc>
      </w:tr>
      <w:tr>
        <w:trPr>
          <w:trHeight w:val="253" w:hRule="atLeast"/>
        </w:trPr>
        <w:tc>
          <w:tcPr>
            <w:tcW w:w="441" w:type="dxa"/>
          </w:tcPr>
          <w:p>
            <w:pPr>
              <w:pStyle w:val="TableParagraph"/>
              <w:spacing w:line="216" w:lineRule="exact" w:before="17"/>
              <w:ind w:left="0" w:right="56"/>
              <w:jc w:val="right"/>
              <w:rPr>
                <w:sz w:val="18"/>
              </w:rPr>
            </w:pPr>
            <w:r>
              <w:rPr>
                <w:sz w:val="18"/>
              </w:rPr>
              <w:t>19</w:t>
            </w:r>
          </w:p>
        </w:tc>
        <w:tc>
          <w:tcPr>
            <w:tcW w:w="2265" w:type="dxa"/>
          </w:tcPr>
          <w:p>
            <w:pPr>
              <w:pStyle w:val="TableParagraph"/>
              <w:spacing w:line="216" w:lineRule="exact" w:before="17"/>
              <w:ind w:left="59"/>
              <w:rPr>
                <w:sz w:val="18"/>
              </w:rPr>
            </w:pPr>
            <w:r>
              <w:rPr>
                <w:sz w:val="18"/>
              </w:rPr>
              <w:t>严重帕金森病</w:t>
            </w:r>
          </w:p>
        </w:tc>
        <w:tc>
          <w:tcPr>
            <w:tcW w:w="1009" w:type="dxa"/>
          </w:tcPr>
          <w:p>
            <w:pPr>
              <w:pStyle w:val="TableParagraph"/>
              <w:spacing w:line="216" w:lineRule="exact" w:before="17"/>
              <w:ind w:left="0" w:right="56"/>
              <w:jc w:val="right"/>
              <w:rPr>
                <w:sz w:val="18"/>
              </w:rPr>
            </w:pPr>
            <w:r>
              <w:rPr>
                <w:sz w:val="18"/>
              </w:rPr>
              <w:t>40</w:t>
            </w:r>
          </w:p>
        </w:tc>
        <w:tc>
          <w:tcPr>
            <w:tcW w:w="1700" w:type="dxa"/>
          </w:tcPr>
          <w:p>
            <w:pPr>
              <w:pStyle w:val="TableParagraph"/>
              <w:spacing w:line="216" w:lineRule="exact" w:before="17"/>
              <w:ind w:left="61"/>
              <w:rPr>
                <w:sz w:val="18"/>
              </w:rPr>
            </w:pPr>
            <w:r>
              <w:rPr>
                <w:sz w:val="18"/>
              </w:rPr>
              <w:t>终末期疾病</w:t>
            </w:r>
          </w:p>
        </w:tc>
      </w:tr>
    </w:tbl>
    <w:p>
      <w:pPr>
        <w:pStyle w:val="BodyText"/>
        <w:spacing w:line="259" w:lineRule="auto"/>
        <w:ind w:left="2073" w:right="145" w:hanging="1"/>
      </w:pPr>
      <w:r>
        <w:rPr>
          <w:spacing w:val="-3"/>
        </w:rPr>
        <w:t>以上各种重大疾病须本公司认可的</w:t>
      </w:r>
      <w:r>
        <w:rPr>
          <w:rFonts w:ascii="微软雅黑" w:eastAsia="微软雅黑" w:hint="eastAsia"/>
          <w:b/>
        </w:rPr>
        <w:t>专科医生</w:t>
      </w:r>
      <w:r>
        <w:rPr>
          <w:spacing w:val="-3"/>
        </w:rPr>
        <w:t>明确诊断，符合以下定义（其中， </w:t>
      </w:r>
      <w:r>
        <w:rPr>
          <w:spacing w:val="-22"/>
        </w:rPr>
        <w:t>前 </w:t>
      </w:r>
      <w:r>
        <w:rPr/>
        <w:t>25</w:t>
      </w:r>
      <w:r>
        <w:rPr>
          <w:spacing w:val="-8"/>
        </w:rPr>
        <w:t> 种重大疾病定义完全采用了中国保险行业协会发布的《重大疾病保险的</w:t>
      </w:r>
      <w:r>
        <w:rPr>
          <w:spacing w:val="-5"/>
          <w:w w:val="100"/>
        </w:rPr>
        <w:t>疾病定义使用规范》中的疾病定义</w:t>
      </w:r>
      <w:r>
        <w:rPr>
          <w:spacing w:val="-108"/>
          <w:w w:val="100"/>
        </w:rPr>
        <w:t>）</w:t>
      </w:r>
      <w:r>
        <w:rPr>
          <w:w w:val="100"/>
        </w:rPr>
        <w:t>：</w:t>
      </w:r>
    </w:p>
    <w:p>
      <w:pPr>
        <w:pStyle w:val="BodyText"/>
        <w:tabs>
          <w:tab w:pos="2073" w:val="left" w:leader="none"/>
        </w:tabs>
        <w:spacing w:line="259" w:lineRule="auto" w:before="106"/>
        <w:ind w:left="2073" w:right="207" w:hanging="1942"/>
        <w:jc w:val="both"/>
      </w:pPr>
      <w:r>
        <w:rPr>
          <w:rFonts w:ascii="微软雅黑" w:eastAsia="微软雅黑" w:hint="eastAsia"/>
          <w:b/>
        </w:rPr>
        <w:t>1.恶性肿瘤</w:t>
        <w:tab/>
      </w:r>
      <w:r>
        <w:rPr/>
        <w:t>指恶</w:t>
      </w:r>
      <w:r>
        <w:rPr>
          <w:spacing w:val="-3"/>
        </w:rPr>
        <w:t>性</w:t>
      </w:r>
      <w:r>
        <w:rPr/>
        <w:t>细</w:t>
      </w:r>
      <w:r>
        <w:rPr>
          <w:spacing w:val="-3"/>
        </w:rPr>
        <w:t>胞</w:t>
      </w:r>
      <w:r>
        <w:rPr/>
        <w:t>不</w:t>
      </w:r>
      <w:r>
        <w:rPr>
          <w:spacing w:val="-3"/>
        </w:rPr>
        <w:t>受</w:t>
      </w:r>
      <w:r>
        <w:rPr/>
        <w:t>控</w:t>
      </w:r>
      <w:r>
        <w:rPr>
          <w:spacing w:val="-3"/>
        </w:rPr>
        <w:t>制</w:t>
      </w:r>
      <w:r>
        <w:rPr/>
        <w:t>的</w:t>
      </w:r>
      <w:r>
        <w:rPr>
          <w:spacing w:val="-3"/>
        </w:rPr>
        <w:t>进</w:t>
      </w:r>
      <w:r>
        <w:rPr/>
        <w:t>行性</w:t>
      </w:r>
      <w:r>
        <w:rPr>
          <w:spacing w:val="-3"/>
        </w:rPr>
        <w:t>增</w:t>
      </w:r>
      <w:r>
        <w:rPr/>
        <w:t>长</w:t>
      </w:r>
      <w:r>
        <w:rPr>
          <w:spacing w:val="-3"/>
        </w:rPr>
        <w:t>和</w:t>
      </w:r>
      <w:r>
        <w:rPr/>
        <w:t>扩</w:t>
      </w:r>
      <w:r>
        <w:rPr>
          <w:spacing w:val="-3"/>
        </w:rPr>
        <w:t>散</w:t>
      </w:r>
      <w:r>
        <w:rPr>
          <w:spacing w:val="-32"/>
        </w:rPr>
        <w:t>，</w:t>
      </w:r>
      <w:r>
        <w:rPr>
          <w:spacing w:val="-3"/>
        </w:rPr>
        <w:t>浸</w:t>
      </w:r>
      <w:r>
        <w:rPr/>
        <w:t>润</w:t>
      </w:r>
      <w:r>
        <w:rPr>
          <w:spacing w:val="-3"/>
        </w:rPr>
        <w:t>和</w:t>
      </w:r>
      <w:r>
        <w:rPr/>
        <w:t>破坏</w:t>
      </w:r>
      <w:r>
        <w:rPr>
          <w:spacing w:val="-3"/>
        </w:rPr>
        <w:t>周</w:t>
      </w:r>
      <w:r>
        <w:rPr/>
        <w:t>围</w:t>
      </w:r>
      <w:r>
        <w:rPr>
          <w:spacing w:val="-3"/>
        </w:rPr>
        <w:t>正</w:t>
      </w:r>
      <w:r>
        <w:rPr/>
        <w:t>常</w:t>
      </w:r>
      <w:r>
        <w:rPr>
          <w:spacing w:val="-3"/>
        </w:rPr>
        <w:t>组</w:t>
      </w:r>
      <w:r>
        <w:rPr/>
        <w:t>织</w:t>
      </w:r>
      <w:r>
        <w:rPr>
          <w:spacing w:val="-34"/>
        </w:rPr>
        <w:t>，</w:t>
      </w:r>
      <w:r>
        <w:rPr/>
        <w:t>可</w:t>
      </w:r>
      <w:r>
        <w:rPr>
          <w:spacing w:val="-3"/>
        </w:rPr>
        <w:t>以</w:t>
      </w:r>
      <w:r>
        <w:rPr/>
        <w:t>经 血管</w:t>
      </w:r>
      <w:r>
        <w:rPr>
          <w:spacing w:val="-34"/>
        </w:rPr>
        <w:t>、</w:t>
      </w:r>
      <w:r>
        <w:rPr/>
        <w:t>淋</w:t>
      </w:r>
      <w:r>
        <w:rPr>
          <w:spacing w:val="-3"/>
        </w:rPr>
        <w:t>巴</w:t>
      </w:r>
      <w:r>
        <w:rPr/>
        <w:t>管</w:t>
      </w:r>
      <w:r>
        <w:rPr>
          <w:spacing w:val="-3"/>
        </w:rPr>
        <w:t>和</w:t>
      </w:r>
      <w:r>
        <w:rPr/>
        <w:t>体</w:t>
      </w:r>
      <w:r>
        <w:rPr>
          <w:spacing w:val="-3"/>
        </w:rPr>
        <w:t>腔</w:t>
      </w:r>
      <w:r>
        <w:rPr/>
        <w:t>扩</w:t>
      </w:r>
      <w:r>
        <w:rPr>
          <w:spacing w:val="-3"/>
        </w:rPr>
        <w:t>散</w:t>
      </w:r>
      <w:r>
        <w:rPr/>
        <w:t>转移</w:t>
      </w:r>
      <w:r>
        <w:rPr>
          <w:spacing w:val="-3"/>
        </w:rPr>
        <w:t>到</w:t>
      </w:r>
      <w:r>
        <w:rPr/>
        <w:t>身</w:t>
      </w:r>
      <w:r>
        <w:rPr>
          <w:spacing w:val="-3"/>
        </w:rPr>
        <w:t>体</w:t>
      </w:r>
      <w:r>
        <w:rPr/>
        <w:t>其</w:t>
      </w:r>
      <w:r>
        <w:rPr>
          <w:spacing w:val="-3"/>
        </w:rPr>
        <w:t>它</w:t>
      </w:r>
      <w:r>
        <w:rPr/>
        <w:t>部</w:t>
      </w:r>
      <w:r>
        <w:rPr>
          <w:spacing w:val="-3"/>
        </w:rPr>
        <w:t>位</w:t>
      </w:r>
      <w:r>
        <w:rPr/>
        <w:t>的</w:t>
      </w:r>
      <w:r>
        <w:rPr>
          <w:spacing w:val="-3"/>
        </w:rPr>
        <w:t>疾</w:t>
      </w:r>
      <w:r>
        <w:rPr/>
        <w:t>病</w:t>
      </w:r>
      <w:r>
        <w:rPr>
          <w:spacing w:val="-32"/>
        </w:rPr>
        <w:t>。</w:t>
      </w:r>
      <w:r>
        <w:rPr>
          <w:spacing w:val="-3"/>
        </w:rPr>
        <w:t>经</w:t>
      </w:r>
      <w:r>
        <w:rPr/>
        <w:t>病</w:t>
      </w:r>
      <w:r>
        <w:rPr>
          <w:spacing w:val="-3"/>
        </w:rPr>
        <w:t>理</w:t>
      </w:r>
      <w:r>
        <w:rPr/>
        <w:t>学</w:t>
      </w:r>
      <w:r>
        <w:rPr>
          <w:spacing w:val="-3"/>
        </w:rPr>
        <w:t>检</w:t>
      </w:r>
      <w:r>
        <w:rPr/>
        <w:t>查</w:t>
      </w:r>
      <w:r>
        <w:rPr>
          <w:spacing w:val="-3"/>
        </w:rPr>
        <w:t>结</w:t>
      </w:r>
      <w:r>
        <w:rPr/>
        <w:t>果</w:t>
      </w:r>
      <w:r>
        <w:rPr>
          <w:spacing w:val="-3"/>
        </w:rPr>
        <w:t>明</w:t>
      </w:r>
      <w:r>
        <w:rPr/>
        <w:t>确诊断</w:t>
      </w:r>
      <w:r>
        <w:rPr>
          <w:spacing w:val="-3"/>
        </w:rPr>
        <w:t>，</w:t>
      </w:r>
      <w:r>
        <w:rPr/>
        <w:t>临</w:t>
      </w:r>
      <w:r>
        <w:rPr>
          <w:spacing w:val="-3"/>
        </w:rPr>
        <w:t>床</w:t>
      </w:r>
      <w:r>
        <w:rPr/>
        <w:t>诊</w:t>
      </w:r>
      <w:r>
        <w:rPr>
          <w:spacing w:val="-3"/>
        </w:rPr>
        <w:t>断</w:t>
      </w:r>
      <w:r>
        <w:rPr/>
        <w:t>属</w:t>
      </w:r>
      <w:r>
        <w:rPr>
          <w:spacing w:val="-3"/>
        </w:rPr>
        <w:t>于</w:t>
      </w:r>
      <w:r>
        <w:rPr/>
        <w:t>世</w:t>
      </w:r>
      <w:r>
        <w:rPr>
          <w:spacing w:val="-3"/>
        </w:rPr>
        <w:t>界</w:t>
      </w:r>
      <w:r>
        <w:rPr/>
        <w:t>卫生</w:t>
      </w:r>
      <w:r>
        <w:rPr>
          <w:spacing w:val="-3"/>
        </w:rPr>
        <w:t>组</w:t>
      </w:r>
      <w:r>
        <w:rPr/>
        <w:t>织《</w:t>
      </w:r>
      <w:r>
        <w:rPr>
          <w:spacing w:val="35"/>
        </w:rPr>
        <w:t> </w:t>
      </w:r>
      <w:r>
        <w:rPr>
          <w:spacing w:val="-3"/>
        </w:rPr>
        <w:t>疾</w:t>
      </w:r>
      <w:r>
        <w:rPr/>
        <w:t>病</w:t>
      </w:r>
      <w:r>
        <w:rPr>
          <w:spacing w:val="-3"/>
        </w:rPr>
        <w:t>和</w:t>
      </w:r>
      <w:r>
        <w:rPr/>
        <w:t>有</w:t>
      </w:r>
      <w:r>
        <w:rPr>
          <w:spacing w:val="-3"/>
        </w:rPr>
        <w:t>关健</w:t>
      </w:r>
      <w:r>
        <w:rPr/>
        <w:t>康问</w:t>
      </w:r>
      <w:r>
        <w:rPr>
          <w:spacing w:val="-3"/>
        </w:rPr>
        <w:t>题</w:t>
      </w:r>
      <w:r>
        <w:rPr/>
        <w:t>的</w:t>
      </w:r>
      <w:r>
        <w:rPr>
          <w:spacing w:val="-3"/>
        </w:rPr>
        <w:t>国</w:t>
      </w:r>
      <w:r>
        <w:rPr/>
        <w:t>际</w:t>
      </w:r>
      <w:r>
        <w:rPr>
          <w:spacing w:val="-3"/>
        </w:rPr>
        <w:t>统</w:t>
      </w:r>
      <w:r>
        <w:rPr/>
        <w:t>计</w:t>
      </w:r>
      <w:r>
        <w:rPr>
          <w:spacing w:val="-3"/>
        </w:rPr>
        <w:t>分</w:t>
      </w:r>
      <w:r>
        <w:rPr/>
        <w:t>类》</w:t>
      </w:r>
    </w:p>
    <w:p>
      <w:pPr>
        <w:pStyle w:val="BodyText"/>
        <w:spacing w:line="273" w:lineRule="auto" w:before="20"/>
        <w:ind w:left="2073" w:right="4556"/>
      </w:pPr>
      <w:r>
        <w:rPr/>
        <w:t>（ICD-10）的恶性肿瘤范畴。下列疾病不在保障范围内：</w:t>
      </w:r>
    </w:p>
    <w:p>
      <w:pPr>
        <w:pStyle w:val="BodyText"/>
        <w:spacing w:before="7"/>
        <w:ind w:left="2073"/>
      </w:pPr>
      <w:r>
        <w:rPr/>
        <w:t>（1）原位癌；</w:t>
      </w:r>
    </w:p>
    <w:p>
      <w:pPr>
        <w:pStyle w:val="BodyText"/>
        <w:spacing w:before="36"/>
        <w:ind w:left="2073"/>
      </w:pPr>
      <w:r>
        <w:rPr/>
        <w:t>（2）相当于 Binet 分期方案 A 期程度的慢性淋巴细胞白血病；</w:t>
      </w:r>
    </w:p>
    <w:p>
      <w:pPr>
        <w:pStyle w:val="BodyText"/>
        <w:spacing w:before="36"/>
        <w:ind w:left="2073"/>
      </w:pPr>
      <w:r>
        <w:rPr/>
        <w:t>（3）相当于 Ann Arbor 分期方案 I 期程度的何杰金氏病；</w:t>
      </w:r>
    </w:p>
    <w:p>
      <w:pPr>
        <w:pStyle w:val="BodyText"/>
        <w:spacing w:before="36"/>
        <w:ind w:left="2073"/>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spacing w:before="36"/>
        <w:ind w:left="2073"/>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before="37"/>
        <w:ind w:left="2073"/>
      </w:pPr>
      <w:r>
        <w:rPr/>
        <w:t>（6）感染艾滋病病毒或患艾滋病期间所患恶性肿瘤。</w:t>
      </w:r>
    </w:p>
    <w:p>
      <w:pPr>
        <w:pStyle w:val="BodyText"/>
        <w:spacing w:before="7"/>
        <w:rPr>
          <w:sz w:val="16"/>
        </w:rPr>
      </w:pPr>
    </w:p>
    <w:p>
      <w:pPr>
        <w:spacing w:line="247" w:lineRule="auto" w:before="1"/>
        <w:ind w:left="2073" w:right="207" w:hanging="1942"/>
        <w:jc w:val="both"/>
        <w:rPr>
          <w:sz w:val="21"/>
        </w:rPr>
      </w:pPr>
      <w:r>
        <w:rPr>
          <w:rFonts w:ascii="微软雅黑" w:eastAsia="微软雅黑" w:hint="eastAsia"/>
          <w:b/>
          <w:sz w:val="21"/>
        </w:rPr>
        <w:t>2.</w:t>
      </w:r>
      <w:r>
        <w:rPr>
          <w:rFonts w:ascii="微软雅黑" w:eastAsia="微软雅黑" w:hint="eastAsia"/>
          <w:b/>
          <w:spacing w:val="1"/>
          <w:sz w:val="21"/>
        </w:rPr>
        <w:t>急性心肌梗塞     </w:t>
      </w:r>
      <w:r>
        <w:rPr>
          <w:spacing w:val="-6"/>
          <w:sz w:val="21"/>
        </w:rPr>
        <w:t>指因冠状动脉阻塞导致的相应区域供血不足造成部分心肌坏死。须满足下列至</w:t>
      </w:r>
      <w:r>
        <w:rPr>
          <w:spacing w:val="-4"/>
          <w:sz w:val="21"/>
        </w:rPr>
        <w:t>少三项条件：</w:t>
      </w:r>
    </w:p>
    <w:p>
      <w:pPr>
        <w:pStyle w:val="BodyText"/>
        <w:spacing w:before="31"/>
        <w:ind w:left="2073"/>
      </w:pPr>
      <w:r>
        <w:rPr/>
        <w:t>（1）典型临床表现，例如急性胸痛等；</w:t>
      </w:r>
    </w:p>
    <w:p>
      <w:pPr>
        <w:pStyle w:val="BodyText"/>
        <w:spacing w:before="37"/>
        <w:ind w:left="2073"/>
      </w:pPr>
      <w:r>
        <w:rPr/>
        <w:t>（2）新近的心电图改变提示急性心肌梗塞；</w:t>
      </w:r>
    </w:p>
    <w:p>
      <w:pPr>
        <w:pStyle w:val="BodyText"/>
        <w:spacing w:line="273" w:lineRule="auto" w:before="37"/>
        <w:ind w:left="2599" w:right="250" w:hanging="526"/>
      </w:pPr>
      <w:r>
        <w:rPr/>
        <w:t>（3）心肌酶或肌钙蛋白有诊断意义的升高，或呈符合急性心肌梗塞的动态性变化；</w:t>
      </w:r>
    </w:p>
    <w:p>
      <w:pPr>
        <w:pStyle w:val="BodyText"/>
        <w:spacing w:before="8"/>
        <w:ind w:left="2073"/>
      </w:pPr>
      <w:r>
        <w:rPr/>
        <w:drawing>
          <wp:anchor distT="0" distB="0" distL="0" distR="0" allowOverlap="1" layoutInCell="1" locked="0" behindDoc="1" simplePos="0" relativeHeight="268403063">
            <wp:simplePos x="0" y="0"/>
            <wp:positionH relativeFrom="page">
              <wp:posOffset>6751654</wp:posOffset>
            </wp:positionH>
            <wp:positionV relativeFrom="paragraph">
              <wp:posOffset>59228</wp:posOffset>
            </wp:positionV>
            <wp:extent cx="60324" cy="104774"/>
            <wp:effectExtent l="0" t="0" r="0" b="0"/>
            <wp:wrapNone/>
            <wp:docPr id="5" name="image4.png" descr=""/>
            <wp:cNvGraphicFramePr>
              <a:graphicFrameLocks noChangeAspect="1"/>
            </wp:cNvGraphicFramePr>
            <a:graphic>
              <a:graphicData uri="http://schemas.openxmlformats.org/drawingml/2006/picture">
                <pic:pic>
                  <pic:nvPicPr>
                    <pic:cNvPr id="6" name="image4.png"/>
                    <pic:cNvPicPr/>
                  </pic:nvPicPr>
                  <pic:blipFill>
                    <a:blip r:embed="rId9" cstate="print"/>
                    <a:stretch>
                      <a:fillRect/>
                    </a:stretch>
                  </pic:blipFill>
                  <pic:spPr>
                    <a:xfrm>
                      <a:off x="0" y="0"/>
                      <a:ext cx="60324" cy="104774"/>
                    </a:xfrm>
                    <a:prstGeom prst="rect">
                      <a:avLst/>
                    </a:prstGeom>
                  </pic:spPr>
                </pic:pic>
              </a:graphicData>
            </a:graphic>
          </wp:anchor>
        </w:drawing>
      </w:r>
      <w:r>
        <w:rPr>
          <w:spacing w:val="-13"/>
        </w:rPr>
        <w:t>（4）</w:t>
      </w:r>
      <w:r>
        <w:rPr>
          <w:spacing w:val="-16"/>
        </w:rPr>
        <w:t>发病 </w:t>
      </w:r>
      <w:r>
        <w:rPr/>
        <w:t>90</w:t>
      </w:r>
      <w:r>
        <w:rPr>
          <w:spacing w:val="-15"/>
        </w:rPr>
        <w:t> 天后，经检查证实左心室功能降低，如左心室射血分数低于 </w:t>
      </w:r>
      <w:r>
        <w:rPr/>
        <w:t>50。</w:t>
      </w:r>
    </w:p>
    <w:p>
      <w:pPr>
        <w:pStyle w:val="BodyText"/>
        <w:spacing w:before="10"/>
        <w:rPr>
          <w:sz w:val="14"/>
        </w:rPr>
      </w:pPr>
    </w:p>
    <w:p>
      <w:pPr>
        <w:pStyle w:val="BodyText"/>
        <w:spacing w:line="256" w:lineRule="auto"/>
        <w:ind w:left="2073" w:right="207" w:hanging="1942"/>
        <w:jc w:val="both"/>
      </w:pPr>
      <w:r>
        <w:rPr>
          <w:rFonts w:ascii="微软雅黑" w:eastAsia="微软雅黑" w:hint="eastAsia"/>
          <w:b/>
        </w:rPr>
        <w:t>3.</w:t>
      </w:r>
      <w:r>
        <w:rPr>
          <w:rFonts w:ascii="微软雅黑" w:eastAsia="微软雅黑" w:hint="eastAsia"/>
          <w:b/>
          <w:spacing w:val="1"/>
        </w:rPr>
        <w:t>脑中风后遗症     </w:t>
      </w:r>
      <w:r>
        <w:rPr>
          <w:spacing w:val="-7"/>
        </w:rPr>
        <w:t>指因脑血管的突发病变引起脑血管出血、栓塞或梗塞，并导致神经系统永久性</w:t>
      </w:r>
      <w:r>
        <w:rPr>
          <w:spacing w:val="-10"/>
        </w:rPr>
        <w:t>的功能障碍。神经系统永久性的功能障碍，指疾病确诊 </w:t>
      </w:r>
      <w:r>
        <w:rPr/>
        <w:t>180</w:t>
      </w:r>
      <w:r>
        <w:rPr>
          <w:spacing w:val="-11"/>
        </w:rPr>
        <w:t> 天后，仍遗留下列</w:t>
      </w:r>
      <w:r>
        <w:rPr>
          <w:spacing w:val="-3"/>
        </w:rPr>
        <w:t>一种或一种以上障碍：</w:t>
      </w:r>
    </w:p>
    <w:p>
      <w:pPr>
        <w:pStyle w:val="BodyText"/>
        <w:spacing w:before="22"/>
        <w:ind w:left="2073"/>
      </w:pPr>
      <w:r>
        <w:rPr/>
        <w:t>（1）一肢或一肢以上肢体机能完全丧失；</w:t>
      </w:r>
    </w:p>
    <w:p>
      <w:pPr>
        <w:pStyle w:val="BodyText"/>
        <w:spacing w:line="262" w:lineRule="exact" w:before="37"/>
        <w:ind w:left="2073"/>
      </w:pPr>
      <w:r>
        <w:rPr/>
        <w:t>（2）语言能力或咀嚼吞咽能力完全丧失；</w:t>
      </w:r>
    </w:p>
    <w:p>
      <w:pPr>
        <w:spacing w:line="247" w:lineRule="auto" w:before="0"/>
        <w:ind w:left="2073" w:right="244" w:hanging="1"/>
        <w:jc w:val="left"/>
        <w:rPr>
          <w:sz w:val="21"/>
        </w:rPr>
      </w:pPr>
      <w:r>
        <w:rPr>
          <w:sz w:val="21"/>
        </w:rPr>
        <w:t>（3）自主生活能力完全丧失，无法独立完成</w:t>
      </w:r>
      <w:r>
        <w:rPr>
          <w:rFonts w:ascii="微软雅黑" w:eastAsia="微软雅黑" w:hint="eastAsia"/>
          <w:b/>
          <w:sz w:val="21"/>
        </w:rPr>
        <w:t>六项基本日常生活活动</w:t>
      </w:r>
      <w:r>
        <w:rPr>
          <w:sz w:val="21"/>
        </w:rPr>
        <w:t>中的三项或三项以上。</w:t>
      </w:r>
    </w:p>
    <w:p>
      <w:pPr>
        <w:pStyle w:val="BodyText"/>
        <w:spacing w:before="6"/>
        <w:rPr>
          <w:sz w:val="16"/>
        </w:rPr>
      </w:pPr>
    </w:p>
    <w:p>
      <w:pPr>
        <w:spacing w:after="0"/>
        <w:rPr>
          <w:sz w:val="16"/>
        </w:rPr>
        <w:sectPr>
          <w:pgSz w:w="11910" w:h="16840"/>
          <w:pgMar w:header="0" w:footer="377" w:top="1360" w:bottom="640" w:left="1680" w:right="860"/>
        </w:sectPr>
      </w:pPr>
    </w:p>
    <w:p>
      <w:pPr>
        <w:pStyle w:val="Heading2"/>
        <w:spacing w:line="206" w:lineRule="auto" w:before="25"/>
        <w:ind w:left="131"/>
        <w:jc w:val="both"/>
      </w:pPr>
      <w:r>
        <w:rPr/>
        <w:t>4.重大器官移植术或造血干细胞移植术</w:t>
      </w:r>
    </w:p>
    <w:p>
      <w:pPr>
        <w:pStyle w:val="BodyText"/>
        <w:spacing w:line="273" w:lineRule="auto" w:before="37"/>
        <w:ind w:left="131" w:right="212"/>
        <w:jc w:val="both"/>
      </w:pPr>
      <w:r>
        <w:rPr/>
        <w:br w:type="column"/>
      </w:r>
      <w:r>
        <w:rPr>
          <w:spacing w:val="-8"/>
        </w:rPr>
        <w:t>重大器官移植术，指因相应器官功能衰竭，已经实施了肾脏、肝脏、心脏或肺</w:t>
      </w:r>
      <w:r>
        <w:rPr>
          <w:spacing w:val="-3"/>
        </w:rPr>
        <w:t>脏的异体移植手术。</w:t>
      </w:r>
    </w:p>
    <w:p>
      <w:pPr>
        <w:pStyle w:val="BodyText"/>
        <w:spacing w:line="273" w:lineRule="auto" w:before="7"/>
        <w:ind w:left="131" w:right="207"/>
        <w:jc w:val="both"/>
      </w:pPr>
      <w:r>
        <w:rPr>
          <w:spacing w:val="-8"/>
        </w:rPr>
        <w:t>造血干细胞移植术，指因造血功能损害或造血系统恶性肿瘤，已经实施了造血</w:t>
      </w:r>
      <w:r>
        <w:rPr>
          <w:spacing w:val="-13"/>
        </w:rPr>
        <w:t>干细胞</w:t>
      </w:r>
      <w:r>
        <w:rPr>
          <w:spacing w:val="-3"/>
        </w:rPr>
        <w:t>（</w:t>
      </w:r>
      <w:r>
        <w:rPr>
          <w:spacing w:val="-5"/>
        </w:rPr>
        <w:t>包括骨髓造血干细胞、外周血造血干细胞和脐血造血干细胞</w:t>
      </w:r>
      <w:r>
        <w:rPr>
          <w:spacing w:val="-20"/>
        </w:rPr>
        <w:t>）</w:t>
      </w:r>
      <w:r>
        <w:rPr>
          <w:spacing w:val="-3"/>
        </w:rPr>
        <w:t>的异体</w:t>
      </w:r>
      <w:r>
        <w:rPr>
          <w:spacing w:val="-1"/>
        </w:rPr>
        <w:t>移植手术。</w:t>
      </w:r>
    </w:p>
    <w:p>
      <w:pPr>
        <w:spacing w:after="0" w:line="273" w:lineRule="auto"/>
        <w:jc w:val="both"/>
        <w:sectPr>
          <w:type w:val="continuous"/>
          <w:pgSz w:w="11910" w:h="16840"/>
          <w:pgMar w:top="1360" w:bottom="280" w:left="1680" w:right="860"/>
          <w:cols w:num="2" w:equalWidth="0">
            <w:col w:w="1822" w:space="119"/>
            <w:col w:w="7429"/>
          </w:cols>
        </w:sectPr>
      </w:pPr>
    </w:p>
    <w:p>
      <w:pPr>
        <w:pStyle w:val="BodyText"/>
        <w:spacing w:before="9"/>
        <w:rPr>
          <w:sz w:val="7"/>
        </w:rPr>
      </w:pPr>
    </w:p>
    <w:p>
      <w:pPr>
        <w:spacing w:after="0"/>
        <w:rPr>
          <w:sz w:val="7"/>
        </w:rPr>
        <w:sectPr>
          <w:type w:val="continuous"/>
          <w:pgSz w:w="11910" w:h="16840"/>
          <w:pgMar w:top="1360" w:bottom="280" w:left="1680" w:right="860"/>
        </w:sectPr>
      </w:pPr>
    </w:p>
    <w:p>
      <w:pPr>
        <w:pStyle w:val="Heading2"/>
        <w:spacing w:line="311" w:lineRule="exact"/>
        <w:ind w:left="131"/>
      </w:pPr>
      <w:r>
        <w:rPr/>
        <w:t>5.冠状动脉搭桥术</w:t>
      </w:r>
    </w:p>
    <w:p>
      <w:pPr>
        <w:spacing w:line="206" w:lineRule="auto" w:before="25"/>
        <w:ind w:left="131" w:right="0" w:firstLine="0"/>
        <w:jc w:val="left"/>
        <w:rPr>
          <w:rFonts w:ascii="微软雅黑" w:eastAsia="微软雅黑" w:hint="eastAsia"/>
          <w:b/>
          <w:sz w:val="21"/>
        </w:rPr>
      </w:pPr>
      <w:r>
        <w:rPr>
          <w:rFonts w:ascii="微软雅黑" w:eastAsia="微软雅黑" w:hint="eastAsia"/>
          <w:b/>
          <w:sz w:val="21"/>
        </w:rPr>
        <w:t>（或称冠状动脉旁路移植术）</w:t>
      </w:r>
    </w:p>
    <w:p>
      <w:pPr>
        <w:pStyle w:val="BodyText"/>
        <w:spacing w:line="273" w:lineRule="auto" w:before="36"/>
        <w:ind w:left="131" w:right="353"/>
      </w:pPr>
      <w:r>
        <w:rPr/>
        <w:br w:type="column"/>
      </w:r>
      <w:r>
        <w:rPr/>
        <w:t>指为治疗严重的冠心病，实际实施了开胸进行的冠状动脉血管旁路移植的手术。</w:t>
      </w:r>
    </w:p>
    <w:p>
      <w:pPr>
        <w:pStyle w:val="BodyText"/>
        <w:spacing w:line="273" w:lineRule="auto" w:before="7"/>
        <w:ind w:left="131" w:right="207"/>
      </w:pPr>
      <w:r>
        <w:rPr>
          <w:spacing w:val="-8"/>
        </w:rPr>
        <w:t>冠状动脉支架植入术、心导管球囊扩张术、激光射频技术及其它非开胸的介入</w:t>
      </w:r>
      <w:r>
        <w:rPr>
          <w:spacing w:val="-5"/>
        </w:rPr>
        <w:t>手术、腔镜手术不在保障范围内。</w:t>
      </w:r>
    </w:p>
    <w:p>
      <w:pPr>
        <w:spacing w:after="0" w:line="273" w:lineRule="auto"/>
        <w:sectPr>
          <w:type w:val="continuous"/>
          <w:pgSz w:w="11910" w:h="16840"/>
          <w:pgMar w:top="1360" w:bottom="280" w:left="1680" w:right="860"/>
          <w:cols w:num="2" w:equalWidth="0">
            <w:col w:w="1822" w:space="119"/>
            <w:col w:w="7429"/>
          </w:cols>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5"/>
        <w:gridCol w:w="7409"/>
      </w:tblGrid>
      <w:tr>
        <w:trPr>
          <w:trHeight w:val="979" w:hRule="atLeast"/>
        </w:trPr>
        <w:tc>
          <w:tcPr>
            <w:tcW w:w="2015" w:type="dxa"/>
          </w:tcPr>
          <w:p>
            <w:pPr>
              <w:pStyle w:val="TableParagraph"/>
              <w:spacing w:line="205" w:lineRule="exact"/>
              <w:ind w:left="200"/>
              <w:rPr>
                <w:rFonts w:ascii="微软雅黑" w:eastAsia="微软雅黑" w:hint="eastAsia"/>
                <w:b/>
                <w:sz w:val="21"/>
              </w:rPr>
            </w:pPr>
            <w:r>
              <w:rPr>
                <w:rFonts w:ascii="微软雅黑" w:eastAsia="微软雅黑" w:hint="eastAsia"/>
                <w:b/>
                <w:sz w:val="21"/>
              </w:rPr>
              <w:t>6.终末期肾病（或</w:t>
            </w:r>
          </w:p>
          <w:p>
            <w:pPr>
              <w:pStyle w:val="TableParagraph"/>
              <w:spacing w:line="206" w:lineRule="auto" w:before="25"/>
              <w:ind w:left="200" w:right="123"/>
              <w:rPr>
                <w:rFonts w:ascii="微软雅黑" w:eastAsia="微软雅黑" w:hint="eastAsia"/>
                <w:b/>
                <w:sz w:val="21"/>
              </w:rPr>
            </w:pPr>
            <w:r>
              <w:rPr>
                <w:rFonts w:ascii="微软雅黑" w:eastAsia="微软雅黑" w:hint="eastAsia"/>
                <w:b/>
                <w:sz w:val="21"/>
              </w:rPr>
              <w:t>称慢性肾功能衰竭尿毒症期）</w:t>
            </w:r>
          </w:p>
        </w:tc>
        <w:tc>
          <w:tcPr>
            <w:tcW w:w="7409" w:type="dxa"/>
          </w:tcPr>
          <w:p>
            <w:pPr>
              <w:pStyle w:val="TableParagraph"/>
              <w:spacing w:line="205" w:lineRule="exact"/>
              <w:rPr>
                <w:sz w:val="21"/>
              </w:rPr>
            </w:pPr>
            <w:r>
              <w:rPr>
                <w:sz w:val="21"/>
              </w:rPr>
              <w:t>指双肾功能慢性不可逆性衰竭，达到尿毒症期，经诊断后已经进行了至少 90</w:t>
            </w:r>
          </w:p>
          <w:p>
            <w:pPr>
              <w:pStyle w:val="TableParagraph"/>
              <w:spacing w:before="37"/>
              <w:rPr>
                <w:sz w:val="21"/>
              </w:rPr>
            </w:pPr>
            <w:r>
              <w:rPr>
                <w:sz w:val="21"/>
              </w:rPr>
              <w:t>天的规律性透析治疗或实施了肾脏移植手术。</w:t>
            </w:r>
          </w:p>
        </w:tc>
      </w:tr>
      <w:tr>
        <w:trPr>
          <w:trHeight w:val="763" w:hRule="atLeast"/>
        </w:trPr>
        <w:tc>
          <w:tcPr>
            <w:tcW w:w="2015" w:type="dxa"/>
          </w:tcPr>
          <w:p>
            <w:pPr>
              <w:pStyle w:val="TableParagraph"/>
              <w:spacing w:before="11"/>
              <w:ind w:left="200"/>
              <w:rPr>
                <w:rFonts w:ascii="微软雅黑" w:eastAsia="微软雅黑" w:hint="eastAsia"/>
                <w:b/>
                <w:sz w:val="21"/>
              </w:rPr>
            </w:pPr>
            <w:r>
              <w:rPr>
                <w:rFonts w:ascii="微软雅黑" w:eastAsia="微软雅黑" w:hint="eastAsia"/>
                <w:b/>
                <w:sz w:val="21"/>
              </w:rPr>
              <w:t>7.  多个肢体缺失</w:t>
            </w:r>
          </w:p>
        </w:tc>
        <w:tc>
          <w:tcPr>
            <w:tcW w:w="7409" w:type="dxa"/>
          </w:tcPr>
          <w:p>
            <w:pPr>
              <w:pStyle w:val="TableParagraph"/>
              <w:spacing w:line="273" w:lineRule="auto" w:before="74"/>
              <w:ind w:right="129"/>
              <w:rPr>
                <w:sz w:val="21"/>
              </w:rPr>
            </w:pPr>
            <w:r>
              <w:rPr>
                <w:sz w:val="21"/>
              </w:rPr>
              <w:t>指因疾病或意外伤害导致两个或两个以上肢体自腕关节或踝关节近端（靠近躯干端）以上完全性断离。</w:t>
            </w:r>
          </w:p>
        </w:tc>
      </w:tr>
      <w:tr>
        <w:trPr>
          <w:trHeight w:val="2038" w:hRule="atLeast"/>
        </w:trPr>
        <w:tc>
          <w:tcPr>
            <w:tcW w:w="2015" w:type="dxa"/>
          </w:tcPr>
          <w:p>
            <w:pPr>
              <w:pStyle w:val="TableParagraph"/>
              <w:spacing w:line="206" w:lineRule="auto" w:before="14"/>
              <w:ind w:left="200" w:right="230"/>
              <w:rPr>
                <w:rFonts w:ascii="微软雅黑" w:eastAsia="微软雅黑" w:hint="eastAsia"/>
                <w:b/>
                <w:sz w:val="21"/>
              </w:rPr>
            </w:pPr>
            <w:r>
              <w:rPr>
                <w:rFonts w:ascii="微软雅黑" w:eastAsia="微软雅黑" w:hint="eastAsia"/>
                <w:b/>
                <w:sz w:val="21"/>
              </w:rPr>
              <w:t>8. 急性或亚急性重症肝炎</w:t>
            </w:r>
          </w:p>
        </w:tc>
        <w:tc>
          <w:tcPr>
            <w:tcW w:w="7409" w:type="dxa"/>
          </w:tcPr>
          <w:p>
            <w:pPr>
              <w:pStyle w:val="TableParagraph"/>
              <w:spacing w:line="273" w:lineRule="auto" w:before="26"/>
              <w:ind w:right="141"/>
              <w:rPr>
                <w:sz w:val="21"/>
              </w:rPr>
            </w:pPr>
            <w:r>
              <w:rPr>
                <w:sz w:val="21"/>
              </w:rPr>
              <w:t>指因肝炎病毒感染引起肝脏组织弥漫性坏死，导致急性肝功能衰竭，且经血清学或病毒学检查证实，并须满足下列全部条件：</w:t>
            </w:r>
          </w:p>
          <w:p>
            <w:pPr>
              <w:pStyle w:val="TableParagraph"/>
              <w:spacing w:before="8"/>
              <w:rPr>
                <w:sz w:val="21"/>
              </w:rPr>
            </w:pPr>
            <w:r>
              <w:rPr>
                <w:sz w:val="21"/>
              </w:rPr>
              <w:t>（1）重度黄疸或黄疸迅速加重；</w:t>
            </w:r>
          </w:p>
          <w:p>
            <w:pPr>
              <w:pStyle w:val="TableParagraph"/>
              <w:spacing w:before="37"/>
              <w:rPr>
                <w:sz w:val="21"/>
              </w:rPr>
            </w:pPr>
            <w:r>
              <w:rPr>
                <w:sz w:val="21"/>
              </w:rPr>
              <w:t>（2）肝性脑病；</w:t>
            </w:r>
          </w:p>
          <w:p>
            <w:pPr>
              <w:pStyle w:val="TableParagraph"/>
              <w:spacing w:before="37"/>
              <w:rPr>
                <w:sz w:val="21"/>
              </w:rPr>
            </w:pPr>
            <w:r>
              <w:rPr>
                <w:sz w:val="21"/>
              </w:rPr>
              <w:t>（3）B 超或其它影像学检查显示肝脏体积急速萎缩；</w:t>
            </w:r>
          </w:p>
          <w:p>
            <w:pPr>
              <w:pStyle w:val="TableParagraph"/>
              <w:spacing w:before="37"/>
              <w:rPr>
                <w:sz w:val="21"/>
              </w:rPr>
            </w:pPr>
            <w:r>
              <w:rPr>
                <w:sz w:val="21"/>
              </w:rPr>
              <w:t>（4）肝功能指标进行性恶化。</w:t>
            </w:r>
          </w:p>
        </w:tc>
      </w:tr>
      <w:tr>
        <w:trPr>
          <w:trHeight w:val="2356" w:hRule="atLeast"/>
        </w:trPr>
        <w:tc>
          <w:tcPr>
            <w:tcW w:w="2015" w:type="dxa"/>
          </w:tcPr>
          <w:p>
            <w:pPr>
              <w:pStyle w:val="TableParagraph"/>
              <w:spacing w:before="39"/>
              <w:ind w:left="200"/>
              <w:rPr>
                <w:rFonts w:ascii="微软雅黑" w:eastAsia="微软雅黑" w:hint="eastAsia"/>
                <w:b/>
                <w:sz w:val="21"/>
              </w:rPr>
            </w:pPr>
            <w:r>
              <w:rPr>
                <w:rFonts w:ascii="微软雅黑" w:eastAsia="微软雅黑" w:hint="eastAsia"/>
                <w:b/>
                <w:sz w:val="21"/>
              </w:rPr>
              <w:t>9.  良性脑肿瘤</w:t>
            </w:r>
          </w:p>
        </w:tc>
        <w:tc>
          <w:tcPr>
            <w:tcW w:w="7409" w:type="dxa"/>
          </w:tcPr>
          <w:p>
            <w:pPr>
              <w:pStyle w:val="TableParagraph"/>
              <w:spacing w:line="273" w:lineRule="auto" w:before="101"/>
              <w:ind w:right="201"/>
              <w:jc w:val="both"/>
              <w:rPr>
                <w:sz w:val="21"/>
              </w:rPr>
            </w:pPr>
            <w:r>
              <w:rPr>
                <w:spacing w:val="-8"/>
                <w:sz w:val="21"/>
              </w:rPr>
              <w:t>指脑的良性肿瘤，已经引起颅内压增高，临床表现为视神经乳头水肿、精神症</w:t>
            </w:r>
            <w:r>
              <w:rPr>
                <w:spacing w:val="-3"/>
                <w:w w:val="100"/>
                <w:sz w:val="21"/>
              </w:rPr>
              <w:t>状、癫痫及运动感觉障碍等，并危及生命。须由头颅断层扫描</w:t>
            </w:r>
            <w:r>
              <w:rPr>
                <w:w w:val="100"/>
                <w:sz w:val="21"/>
              </w:rPr>
              <w:t>（C</w:t>
            </w:r>
            <w:r>
              <w:rPr>
                <w:spacing w:val="-4"/>
                <w:w w:val="100"/>
                <w:sz w:val="21"/>
              </w:rPr>
              <w:t>T</w:t>
            </w:r>
            <w:r>
              <w:rPr>
                <w:spacing w:val="-106"/>
                <w:w w:val="100"/>
                <w:sz w:val="21"/>
              </w:rPr>
              <w:t>）</w:t>
            </w:r>
            <w:r>
              <w:rPr>
                <w:spacing w:val="-3"/>
                <w:w w:val="100"/>
                <w:sz w:val="21"/>
              </w:rPr>
              <w:t>、核磁共</w:t>
            </w:r>
            <w:r>
              <w:rPr>
                <w:spacing w:val="-5"/>
                <w:sz w:val="21"/>
              </w:rPr>
              <w:t>振检查</w:t>
            </w:r>
            <w:r>
              <w:rPr>
                <w:spacing w:val="-4"/>
                <w:sz w:val="21"/>
              </w:rPr>
              <w:t>（MRI）</w:t>
            </w:r>
            <w:r>
              <w:rPr>
                <w:spacing w:val="-5"/>
                <w:sz w:val="21"/>
              </w:rPr>
              <w:t>或正电子发射断层扫描</w:t>
            </w:r>
            <w:r>
              <w:rPr>
                <w:spacing w:val="-4"/>
                <w:sz w:val="21"/>
              </w:rPr>
              <w:t>（PET）</w:t>
            </w:r>
            <w:r>
              <w:rPr>
                <w:spacing w:val="-5"/>
                <w:sz w:val="21"/>
              </w:rPr>
              <w:t>等影像学检查证实，并须满足下</w:t>
            </w:r>
            <w:r>
              <w:rPr>
                <w:spacing w:val="-3"/>
                <w:sz w:val="21"/>
              </w:rPr>
              <w:t>列至少一项条件：</w:t>
            </w:r>
          </w:p>
          <w:p>
            <w:pPr>
              <w:pStyle w:val="TableParagraph"/>
              <w:spacing w:before="7"/>
              <w:jc w:val="both"/>
              <w:rPr>
                <w:sz w:val="21"/>
              </w:rPr>
            </w:pPr>
            <w:r>
              <w:rPr>
                <w:sz w:val="21"/>
              </w:rPr>
              <w:t>（1）实际实施了开颅进行的脑肿瘤完全切除或部分切除的手术；</w:t>
            </w:r>
          </w:p>
          <w:p>
            <w:pPr>
              <w:pStyle w:val="TableParagraph"/>
              <w:spacing w:before="37"/>
              <w:jc w:val="both"/>
              <w:rPr>
                <w:sz w:val="21"/>
              </w:rPr>
            </w:pPr>
            <w:r>
              <w:rPr>
                <w:sz w:val="21"/>
              </w:rPr>
              <w:t>（2）实际实施了对脑肿瘤进行的放射治疗。</w:t>
            </w:r>
          </w:p>
          <w:p>
            <w:pPr>
              <w:pStyle w:val="TableParagraph"/>
              <w:spacing w:before="37"/>
              <w:jc w:val="both"/>
              <w:rPr>
                <w:sz w:val="21"/>
              </w:rPr>
            </w:pPr>
            <w:r>
              <w:rPr>
                <w:sz w:val="21"/>
              </w:rPr>
              <w:t>脑垂体瘤、脑囊肿、脑血管性疾病不在保障范围内。</w:t>
            </w:r>
          </w:p>
        </w:tc>
      </w:tr>
      <w:tr>
        <w:trPr>
          <w:trHeight w:val="1969" w:hRule="atLeast"/>
        </w:trPr>
        <w:tc>
          <w:tcPr>
            <w:tcW w:w="2015" w:type="dxa"/>
          </w:tcPr>
          <w:p>
            <w:pPr>
              <w:pStyle w:val="TableParagraph"/>
              <w:spacing w:line="206" w:lineRule="auto" w:before="20"/>
              <w:ind w:left="200" w:right="123"/>
              <w:rPr>
                <w:rFonts w:ascii="微软雅黑" w:eastAsia="微软雅黑" w:hint="eastAsia"/>
                <w:b/>
                <w:sz w:val="21"/>
              </w:rPr>
            </w:pPr>
            <w:r>
              <w:rPr>
                <w:rFonts w:ascii="微软雅黑" w:eastAsia="微软雅黑" w:hint="eastAsia"/>
                <w:b/>
                <w:sz w:val="21"/>
              </w:rPr>
              <w:t>10. 慢性肝功能衰竭失代偿期</w:t>
            </w:r>
          </w:p>
        </w:tc>
        <w:tc>
          <w:tcPr>
            <w:tcW w:w="7409" w:type="dxa"/>
          </w:tcPr>
          <w:p>
            <w:pPr>
              <w:pStyle w:val="TableParagraph"/>
              <w:spacing w:before="32"/>
              <w:rPr>
                <w:sz w:val="21"/>
              </w:rPr>
            </w:pPr>
            <w:r>
              <w:rPr>
                <w:sz w:val="21"/>
              </w:rPr>
              <w:t>指因慢性肝脏疾病导致肝功能衰竭,须满足下列全部条件：</w:t>
            </w:r>
          </w:p>
          <w:p>
            <w:pPr>
              <w:pStyle w:val="TableParagraph"/>
              <w:spacing w:before="37"/>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line="273" w:lineRule="auto" w:before="37"/>
              <w:ind w:right="2131"/>
              <w:rPr>
                <w:sz w:val="21"/>
              </w:rPr>
            </w:pPr>
            <w:r>
              <w:rPr>
                <w:sz w:val="21"/>
              </w:rPr>
              <w:t>（4）充血性脾肿大伴脾功能亢进或食管胃底静脉曲张。因酗酒或药物滥用导致的肝功能衰竭不在保障范围内。</w:t>
            </w:r>
          </w:p>
        </w:tc>
      </w:tr>
      <w:tr>
        <w:trPr>
          <w:trHeight w:val="1977" w:hRule="atLeast"/>
        </w:trPr>
        <w:tc>
          <w:tcPr>
            <w:tcW w:w="2015" w:type="dxa"/>
          </w:tcPr>
          <w:p>
            <w:pPr>
              <w:pStyle w:val="TableParagraph"/>
              <w:spacing w:line="206" w:lineRule="auto" w:before="14"/>
              <w:ind w:left="200" w:right="123"/>
              <w:rPr>
                <w:rFonts w:ascii="微软雅黑" w:eastAsia="微软雅黑" w:hint="eastAsia"/>
                <w:b/>
                <w:sz w:val="21"/>
              </w:rPr>
            </w:pPr>
            <w:r>
              <w:rPr>
                <w:rFonts w:ascii="微软雅黑" w:eastAsia="微软雅黑" w:hint="eastAsia"/>
                <w:b/>
                <w:sz w:val="21"/>
              </w:rPr>
              <w:t>11. 脑炎后遗症或脑膜炎后遗症</w:t>
            </w:r>
          </w:p>
        </w:tc>
        <w:tc>
          <w:tcPr>
            <w:tcW w:w="7409" w:type="dxa"/>
          </w:tcPr>
          <w:p>
            <w:pPr>
              <w:pStyle w:val="TableParagraph"/>
              <w:spacing w:line="273" w:lineRule="auto" w:before="26"/>
              <w:ind w:right="199"/>
              <w:rPr>
                <w:sz w:val="21"/>
              </w:rPr>
            </w:pPr>
            <w:r>
              <w:rPr>
                <w:spacing w:val="-6"/>
                <w:sz w:val="21"/>
              </w:rPr>
              <w:t>指因患脑炎或脑膜炎导致的神经系统永久性的功能障碍。神经系统永久性的功</w:t>
            </w:r>
            <w:r>
              <w:rPr>
                <w:spacing w:val="-7"/>
                <w:sz w:val="21"/>
              </w:rPr>
              <w:t>能障碍，指疾病确诊 </w:t>
            </w:r>
            <w:r>
              <w:rPr>
                <w:sz w:val="21"/>
              </w:rPr>
              <w:t>180</w:t>
            </w:r>
            <w:r>
              <w:rPr>
                <w:spacing w:val="-3"/>
                <w:sz w:val="21"/>
              </w:rPr>
              <w:t> 天后，仍遗留下列一种或一种以上障碍：</w:t>
            </w:r>
          </w:p>
          <w:p>
            <w:pPr>
              <w:pStyle w:val="TableParagraph"/>
              <w:spacing w:line="283" w:lineRule="exact"/>
              <w:rPr>
                <w:sz w:val="21"/>
              </w:rPr>
            </w:pPr>
            <w:r>
              <w:rPr>
                <w:sz w:val="21"/>
              </w:rPr>
              <w:t>（1）一肢或一肢以上</w:t>
            </w:r>
            <w:r>
              <w:rPr>
                <w:rFonts w:ascii="微软雅黑" w:eastAsia="微软雅黑" w:hint="eastAsia"/>
                <w:b/>
                <w:sz w:val="21"/>
              </w:rPr>
              <w:t>肢体机能完全丧失</w:t>
            </w:r>
            <w:r>
              <w:rPr>
                <w:sz w:val="21"/>
              </w:rPr>
              <w:t>；</w:t>
            </w:r>
          </w:p>
          <w:p>
            <w:pPr>
              <w:pStyle w:val="TableParagraph"/>
              <w:spacing w:line="337" w:lineRule="exact"/>
              <w:rPr>
                <w:sz w:val="21"/>
              </w:rPr>
            </w:pPr>
            <w:r>
              <w:rPr>
                <w:sz w:val="21"/>
              </w:rPr>
              <w:t>（2）</w:t>
            </w:r>
            <w:r>
              <w:rPr>
                <w:rFonts w:ascii="微软雅黑" w:eastAsia="微软雅黑" w:hint="eastAsia"/>
                <w:b/>
                <w:sz w:val="21"/>
              </w:rPr>
              <w:t>语言能力或咀嚼吞咽能力完全丧失</w:t>
            </w:r>
            <w:r>
              <w:rPr>
                <w:sz w:val="21"/>
              </w:rPr>
              <w:t>；</w:t>
            </w:r>
          </w:p>
          <w:p>
            <w:pPr>
              <w:pStyle w:val="TableParagraph"/>
              <w:spacing w:line="273" w:lineRule="auto" w:before="12"/>
              <w:ind w:right="240"/>
              <w:rPr>
                <w:sz w:val="21"/>
              </w:rPr>
            </w:pPr>
            <w:r>
              <w:rPr>
                <w:sz w:val="21"/>
              </w:rPr>
              <w:t>（3）自主生活能力完全丧失，无法独立完成六项基本日常生活活动中的三项或三项以上。</w:t>
            </w:r>
          </w:p>
        </w:tc>
      </w:tr>
      <w:tr>
        <w:trPr>
          <w:trHeight w:val="1389" w:hRule="atLeast"/>
        </w:trPr>
        <w:tc>
          <w:tcPr>
            <w:tcW w:w="2015" w:type="dxa"/>
          </w:tcPr>
          <w:p>
            <w:pPr>
              <w:pStyle w:val="TableParagraph"/>
              <w:spacing w:line="341" w:lineRule="exact"/>
              <w:ind w:left="200"/>
              <w:rPr>
                <w:rFonts w:ascii="微软雅黑" w:eastAsia="微软雅黑" w:hint="eastAsia"/>
                <w:b/>
                <w:sz w:val="21"/>
              </w:rPr>
            </w:pPr>
            <w:r>
              <w:rPr>
                <w:rFonts w:ascii="微软雅黑" w:eastAsia="微软雅黑" w:hint="eastAsia"/>
                <w:b/>
                <w:sz w:val="21"/>
              </w:rPr>
              <w:t>12. 深度昏迷</w:t>
            </w:r>
          </w:p>
        </w:tc>
        <w:tc>
          <w:tcPr>
            <w:tcW w:w="7409" w:type="dxa"/>
          </w:tcPr>
          <w:p>
            <w:pPr>
              <w:pStyle w:val="TableParagraph"/>
              <w:spacing w:line="273" w:lineRule="auto" w:before="40"/>
              <w:ind w:right="200"/>
              <w:rPr>
                <w:sz w:val="21"/>
              </w:rPr>
            </w:pPr>
            <w:r>
              <w:rPr>
                <w:spacing w:val="-3"/>
                <w:sz w:val="21"/>
              </w:rPr>
              <w:t>指因疾病或意外伤害导致意识丧失,对外界刺激和体内需求均无反应,昏迷程度按照格拉斯哥昏迷分级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12"/>
                <w:sz w:val="21"/>
              </w:rPr>
              <w:t> 分以下，且</w:t>
            </w:r>
            <w:r>
              <w:rPr>
                <w:spacing w:val="-6"/>
                <w:sz w:val="21"/>
              </w:rPr>
              <w:t>已经持续使用呼吸机及其它生命维持系统 </w:t>
            </w:r>
            <w:r>
              <w:rPr>
                <w:sz w:val="21"/>
              </w:rPr>
              <w:t>96 小时以上。</w:t>
            </w:r>
          </w:p>
          <w:p>
            <w:pPr>
              <w:pStyle w:val="TableParagraph"/>
              <w:spacing w:before="7"/>
              <w:rPr>
                <w:sz w:val="21"/>
              </w:rPr>
            </w:pPr>
            <w:r>
              <w:rPr>
                <w:sz w:val="21"/>
              </w:rPr>
              <w:t>因酗酒或药物滥用导致的深度昏迷不在保障范围内。</w:t>
            </w:r>
          </w:p>
        </w:tc>
      </w:tr>
      <w:tr>
        <w:trPr>
          <w:trHeight w:val="1712" w:hRule="atLeast"/>
        </w:trPr>
        <w:tc>
          <w:tcPr>
            <w:tcW w:w="2015" w:type="dxa"/>
          </w:tcPr>
          <w:p>
            <w:pPr>
              <w:pStyle w:val="TableParagraph"/>
              <w:spacing w:line="362" w:lineRule="exact"/>
              <w:ind w:left="200"/>
              <w:rPr>
                <w:rFonts w:ascii="微软雅黑" w:eastAsia="微软雅黑" w:hint="eastAsia"/>
                <w:b/>
                <w:sz w:val="21"/>
              </w:rPr>
            </w:pPr>
            <w:r>
              <w:rPr>
                <w:rFonts w:ascii="微软雅黑" w:eastAsia="微软雅黑" w:hint="eastAsia"/>
                <w:b/>
                <w:sz w:val="21"/>
              </w:rPr>
              <w:t>13. 双耳失聪</w:t>
            </w:r>
          </w:p>
        </w:tc>
        <w:tc>
          <w:tcPr>
            <w:tcW w:w="7409" w:type="dxa"/>
          </w:tcPr>
          <w:p>
            <w:pPr>
              <w:pStyle w:val="TableParagraph"/>
              <w:spacing w:line="259" w:lineRule="auto"/>
              <w:ind w:right="201" w:hanging="1"/>
              <w:rPr>
                <w:sz w:val="21"/>
              </w:rPr>
            </w:pPr>
            <w:r>
              <w:rPr>
                <w:spacing w:val="-3"/>
                <w:sz w:val="21"/>
              </w:rPr>
              <w:t>指因疾病或意外伤害导致双耳听力</w:t>
            </w:r>
            <w:r>
              <w:rPr>
                <w:rFonts w:ascii="微软雅黑" w:eastAsia="微软雅黑" w:hint="eastAsia"/>
                <w:b/>
                <w:sz w:val="21"/>
              </w:rPr>
              <w:t>永久不可逆</w:t>
            </w:r>
            <w:r>
              <w:rPr>
                <w:spacing w:val="-11"/>
                <w:sz w:val="21"/>
              </w:rPr>
              <w:t>性丧失，在 </w:t>
            </w:r>
            <w:r>
              <w:rPr>
                <w:sz w:val="21"/>
              </w:rPr>
              <w:t>500</w:t>
            </w:r>
            <w:r>
              <w:rPr>
                <w:spacing w:val="-13"/>
                <w:sz w:val="21"/>
              </w:rPr>
              <w:t> 赫兹、</w:t>
            </w:r>
            <w:r>
              <w:rPr>
                <w:sz w:val="21"/>
              </w:rPr>
              <w:t>1000</w:t>
            </w:r>
            <w:r>
              <w:rPr>
                <w:spacing w:val="-24"/>
                <w:sz w:val="21"/>
              </w:rPr>
              <w:t> 赫</w:t>
            </w:r>
            <w:r>
              <w:rPr>
                <w:spacing w:val="-32"/>
                <w:sz w:val="21"/>
              </w:rPr>
              <w:t>兹和 </w:t>
            </w:r>
            <w:r>
              <w:rPr>
                <w:sz w:val="21"/>
              </w:rPr>
              <w:t>2000</w:t>
            </w:r>
            <w:r>
              <w:rPr>
                <w:spacing w:val="-13"/>
                <w:sz w:val="21"/>
              </w:rPr>
              <w:t> 赫兹语音频率下，平均听阈大于 </w:t>
            </w:r>
            <w:r>
              <w:rPr>
                <w:sz w:val="21"/>
              </w:rPr>
              <w:t>90</w:t>
            </w:r>
            <w:r>
              <w:rPr>
                <w:spacing w:val="-11"/>
                <w:sz w:val="21"/>
              </w:rPr>
              <w:t> 分贝，且经纯音听力测试、声导</w:t>
            </w:r>
            <w:r>
              <w:rPr>
                <w:spacing w:val="-3"/>
                <w:sz w:val="21"/>
              </w:rPr>
              <w:t>抗检测或听觉诱发电位检测等证实。</w:t>
            </w:r>
          </w:p>
          <w:p>
            <w:pPr>
              <w:pStyle w:val="TableParagraph"/>
              <w:spacing w:line="273" w:lineRule="auto" w:before="21"/>
              <w:ind w:right="140"/>
              <w:rPr>
                <w:sz w:val="21"/>
              </w:rPr>
            </w:pPr>
            <w:r>
              <w:rPr>
                <w:sz w:val="21"/>
              </w:rPr>
              <w:t>被保险人申请理赔时年龄必须在三周岁以上，并且提供理赔当时的听力丧失诊断及检查证据。</w:t>
            </w:r>
          </w:p>
        </w:tc>
      </w:tr>
      <w:tr>
        <w:trPr>
          <w:trHeight w:val="956" w:hRule="atLeast"/>
        </w:trPr>
        <w:tc>
          <w:tcPr>
            <w:tcW w:w="2015" w:type="dxa"/>
          </w:tcPr>
          <w:p>
            <w:pPr>
              <w:pStyle w:val="TableParagraph"/>
              <w:spacing w:line="351" w:lineRule="exact"/>
              <w:ind w:left="200"/>
              <w:rPr>
                <w:rFonts w:ascii="微软雅黑" w:eastAsia="微软雅黑" w:hint="eastAsia"/>
                <w:b/>
                <w:sz w:val="21"/>
              </w:rPr>
            </w:pPr>
            <w:r>
              <w:rPr>
                <w:rFonts w:ascii="微软雅黑" w:eastAsia="微软雅黑" w:hint="eastAsia"/>
                <w:b/>
                <w:sz w:val="21"/>
              </w:rPr>
              <w:t>14. 双目失明</w:t>
            </w:r>
          </w:p>
        </w:tc>
        <w:tc>
          <w:tcPr>
            <w:tcW w:w="7409" w:type="dxa"/>
          </w:tcPr>
          <w:p>
            <w:pPr>
              <w:pStyle w:val="TableParagraph"/>
              <w:spacing w:line="273" w:lineRule="auto" w:before="51"/>
              <w:ind w:right="141"/>
              <w:rPr>
                <w:sz w:val="21"/>
              </w:rPr>
            </w:pPr>
            <w:r>
              <w:rPr>
                <w:sz w:val="21"/>
              </w:rPr>
              <w:t>指因疾病或意外伤害导致双眼视力永久不可逆性丧失，双眼中较好眼须满足下列至少一项条件：</w:t>
            </w:r>
          </w:p>
          <w:p>
            <w:pPr>
              <w:pStyle w:val="TableParagraph"/>
              <w:spacing w:line="261" w:lineRule="exact" w:before="7"/>
              <w:rPr>
                <w:sz w:val="21"/>
              </w:rPr>
            </w:pPr>
            <w:r>
              <w:rPr>
                <w:sz w:val="21"/>
              </w:rPr>
              <w:t>（1）眼球缺失或摘除；</w:t>
            </w:r>
          </w:p>
        </w:tc>
      </w:tr>
    </w:tbl>
    <w:p>
      <w:pPr>
        <w:spacing w:after="0" w:line="261" w:lineRule="exact"/>
        <w:rPr>
          <w:sz w:val="21"/>
        </w:rPr>
        <w:sectPr>
          <w:pgSz w:w="11910" w:h="16840"/>
          <w:pgMar w:header="0" w:footer="377" w:top="1340" w:bottom="560" w:left="1500" w:right="7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5"/>
        <w:gridCol w:w="7514"/>
      </w:tblGrid>
      <w:tr>
        <w:trPr>
          <w:trHeight w:val="1588" w:hRule="atLeast"/>
        </w:trPr>
        <w:tc>
          <w:tcPr>
            <w:tcW w:w="2015" w:type="dxa"/>
          </w:tcPr>
          <w:p>
            <w:pPr>
              <w:pStyle w:val="TableParagraph"/>
              <w:ind w:left="0"/>
              <w:rPr>
                <w:rFonts w:ascii="Times New Roman"/>
                <w:sz w:val="20"/>
              </w:rPr>
            </w:pPr>
          </w:p>
        </w:tc>
        <w:tc>
          <w:tcPr>
            <w:tcW w:w="7514" w:type="dxa"/>
          </w:tcPr>
          <w:p>
            <w:pPr>
              <w:pStyle w:val="TableParagraph"/>
              <w:spacing w:line="205" w:lineRule="exact"/>
              <w:rPr>
                <w:sz w:val="21"/>
              </w:rPr>
            </w:pPr>
            <w:r>
              <w:rPr>
                <w:sz w:val="21"/>
              </w:rPr>
              <w:t>（2）矫正视力低于 0.02（采用国际标准视力表，如果使用其它视力表应进行</w:t>
            </w:r>
          </w:p>
          <w:p>
            <w:pPr>
              <w:pStyle w:val="TableParagraph"/>
              <w:spacing w:before="37"/>
              <w:rPr>
                <w:sz w:val="21"/>
              </w:rPr>
            </w:pPr>
            <w:r>
              <w:rPr>
                <w:w w:val="100"/>
                <w:sz w:val="21"/>
              </w:rPr>
              <w:t>换算</w:t>
            </w:r>
            <w:r>
              <w:rPr>
                <w:spacing w:val="-108"/>
                <w:w w:val="100"/>
                <w:sz w:val="21"/>
              </w:rPr>
              <w:t>）</w:t>
            </w:r>
            <w:r>
              <w:rPr>
                <w:w w:val="100"/>
                <w:sz w:val="21"/>
              </w:rPr>
              <w:t>；</w:t>
            </w:r>
          </w:p>
          <w:p>
            <w:pPr>
              <w:pStyle w:val="TableParagraph"/>
              <w:spacing w:before="37"/>
              <w:rPr>
                <w:sz w:val="21"/>
              </w:rPr>
            </w:pPr>
            <w:r>
              <w:rPr>
                <w:sz w:val="21"/>
              </w:rPr>
              <w:t>（3）视野半径小于 5 度。</w:t>
            </w:r>
          </w:p>
          <w:p>
            <w:pPr>
              <w:pStyle w:val="TableParagraph"/>
              <w:spacing w:line="273" w:lineRule="auto" w:before="37"/>
              <w:ind w:right="245"/>
              <w:rPr>
                <w:sz w:val="21"/>
              </w:rPr>
            </w:pPr>
            <w:r>
              <w:rPr>
                <w:sz w:val="21"/>
              </w:rPr>
              <w:t>被保险人申请理赔时年龄必须在三周岁以上，并且提供理赔当时的视力丧失诊断及检查证据。</w:t>
            </w:r>
          </w:p>
        </w:tc>
      </w:tr>
      <w:tr>
        <w:trPr>
          <w:trHeight w:val="1111" w:hRule="atLeast"/>
        </w:trPr>
        <w:tc>
          <w:tcPr>
            <w:tcW w:w="2015" w:type="dxa"/>
          </w:tcPr>
          <w:p>
            <w:pPr>
              <w:pStyle w:val="TableParagraph"/>
              <w:spacing w:line="360" w:lineRule="exact"/>
              <w:ind w:left="200"/>
              <w:rPr>
                <w:rFonts w:ascii="微软雅黑" w:eastAsia="微软雅黑" w:hint="eastAsia"/>
                <w:b/>
                <w:sz w:val="21"/>
              </w:rPr>
            </w:pPr>
            <w:r>
              <w:rPr>
                <w:rFonts w:ascii="微软雅黑" w:eastAsia="微软雅黑" w:hint="eastAsia"/>
                <w:b/>
                <w:sz w:val="21"/>
              </w:rPr>
              <w:t>15. 瘫 痪</w:t>
            </w:r>
          </w:p>
        </w:tc>
        <w:tc>
          <w:tcPr>
            <w:tcW w:w="7514" w:type="dxa"/>
          </w:tcPr>
          <w:p>
            <w:pPr>
              <w:pStyle w:val="TableParagraph"/>
              <w:spacing w:line="273" w:lineRule="auto" w:before="59"/>
              <w:ind w:right="305"/>
              <w:jc w:val="both"/>
              <w:rPr>
                <w:sz w:val="21"/>
              </w:rPr>
            </w:pPr>
            <w:r>
              <w:rPr>
                <w:spacing w:val="-5"/>
                <w:sz w:val="21"/>
              </w:rPr>
              <w:t>指因疾病或意外伤害导致两肢或两肢以上肢体机能永久完全丧失。肢体机能永</w:t>
            </w:r>
            <w:r>
              <w:rPr>
                <w:spacing w:val="-11"/>
                <w:sz w:val="21"/>
              </w:rPr>
              <w:t>久完全丧失，指疾病确诊 </w:t>
            </w:r>
            <w:r>
              <w:rPr>
                <w:sz w:val="21"/>
              </w:rPr>
              <w:t>180</w:t>
            </w:r>
            <w:r>
              <w:rPr>
                <w:spacing w:val="-13"/>
                <w:sz w:val="21"/>
              </w:rPr>
              <w:t> 天后或意外伤害发生 </w:t>
            </w:r>
            <w:r>
              <w:rPr>
                <w:sz w:val="21"/>
              </w:rPr>
              <w:t>180</w:t>
            </w:r>
            <w:r>
              <w:rPr>
                <w:spacing w:val="-10"/>
                <w:sz w:val="21"/>
              </w:rPr>
              <w:t> 天后，每肢三大关节中</w:t>
            </w:r>
            <w:r>
              <w:rPr>
                <w:spacing w:val="-5"/>
                <w:sz w:val="21"/>
              </w:rPr>
              <w:t>的两大关节仍然完全僵硬，或不能随意识活动。</w:t>
            </w:r>
          </w:p>
        </w:tc>
      </w:tr>
      <w:tr>
        <w:trPr>
          <w:trHeight w:val="462" w:hRule="atLeast"/>
        </w:trPr>
        <w:tc>
          <w:tcPr>
            <w:tcW w:w="2015" w:type="dxa"/>
          </w:tcPr>
          <w:p>
            <w:pPr>
              <w:pStyle w:val="TableParagraph"/>
              <w:spacing w:before="14"/>
              <w:ind w:left="200"/>
              <w:rPr>
                <w:rFonts w:ascii="微软雅黑" w:eastAsia="微软雅黑" w:hint="eastAsia"/>
                <w:b/>
                <w:sz w:val="21"/>
              </w:rPr>
            </w:pPr>
            <w:r>
              <w:rPr>
                <w:rFonts w:ascii="微软雅黑" w:eastAsia="微软雅黑" w:hint="eastAsia"/>
                <w:b/>
                <w:sz w:val="21"/>
              </w:rPr>
              <w:t>16. 心脏瓣膜手术</w:t>
            </w:r>
          </w:p>
        </w:tc>
        <w:tc>
          <w:tcPr>
            <w:tcW w:w="7514" w:type="dxa"/>
          </w:tcPr>
          <w:p>
            <w:pPr>
              <w:pStyle w:val="TableParagraph"/>
              <w:spacing w:before="76"/>
              <w:rPr>
                <w:sz w:val="21"/>
              </w:rPr>
            </w:pPr>
            <w:r>
              <w:rPr>
                <w:sz w:val="21"/>
              </w:rPr>
              <w:t>指为治疗心脏瓣膜疾病，实际实施了开胸进行的心脏瓣膜置换或修复的手术。</w:t>
            </w:r>
          </w:p>
        </w:tc>
      </w:tr>
      <w:tr>
        <w:trPr>
          <w:trHeight w:val="2053" w:hRule="atLeast"/>
        </w:trPr>
        <w:tc>
          <w:tcPr>
            <w:tcW w:w="2015" w:type="dxa"/>
          </w:tcPr>
          <w:p>
            <w:pPr>
              <w:pStyle w:val="TableParagraph"/>
              <w:spacing w:line="204" w:lineRule="auto" w:before="26"/>
              <w:ind w:left="200" w:right="123"/>
              <w:rPr>
                <w:rFonts w:ascii="微软雅黑" w:eastAsia="微软雅黑" w:hint="eastAsia"/>
                <w:b/>
                <w:sz w:val="21"/>
              </w:rPr>
            </w:pPr>
            <w:r>
              <w:rPr>
                <w:rFonts w:ascii="微软雅黑" w:eastAsia="微软雅黑" w:hint="eastAsia"/>
                <w:b/>
                <w:sz w:val="21"/>
              </w:rPr>
              <w:t>17. 严重阿尔茨海默病</w:t>
            </w:r>
          </w:p>
        </w:tc>
        <w:tc>
          <w:tcPr>
            <w:tcW w:w="7514" w:type="dxa"/>
          </w:tcPr>
          <w:p>
            <w:pPr>
              <w:pStyle w:val="TableParagraph"/>
              <w:spacing w:line="271" w:lineRule="auto" w:before="34"/>
              <w:ind w:right="197"/>
              <w:rPr>
                <w:sz w:val="21"/>
              </w:rPr>
            </w:pPr>
            <w:r>
              <w:rPr>
                <w:spacing w:val="-8"/>
                <w:sz w:val="21"/>
              </w:rPr>
              <w:t>指因大脑进行性、不可逆性改变导致智能严重衰退或丧失，临床表现为明显的</w:t>
            </w:r>
            <w:r>
              <w:rPr>
                <w:spacing w:val="-16"/>
                <w:sz w:val="21"/>
              </w:rPr>
              <w:t>认知能力障碍、行为异常和社交能力减退，其日常生活必须持续受到他人监护。</w:t>
            </w:r>
            <w:r>
              <w:rPr>
                <w:spacing w:val="-9"/>
                <w:w w:val="100"/>
                <w:sz w:val="21"/>
              </w:rPr>
              <w:t>须由头颅断层扫描</w:t>
            </w:r>
            <w:r>
              <w:rPr>
                <w:w w:val="100"/>
                <w:sz w:val="21"/>
              </w:rPr>
              <w:t>（C</w:t>
            </w:r>
            <w:r>
              <w:rPr>
                <w:spacing w:val="-3"/>
                <w:w w:val="100"/>
                <w:sz w:val="21"/>
              </w:rPr>
              <w:t>T</w:t>
            </w:r>
            <w:r>
              <w:rPr>
                <w:spacing w:val="-106"/>
                <w:w w:val="100"/>
                <w:sz w:val="21"/>
              </w:rPr>
              <w:t>）</w:t>
            </w:r>
            <w:r>
              <w:rPr>
                <w:spacing w:val="-7"/>
                <w:w w:val="100"/>
                <w:sz w:val="21"/>
              </w:rPr>
              <w:t>、核磁共振检查</w:t>
            </w:r>
            <w:r>
              <w:rPr>
                <w:w w:val="100"/>
                <w:sz w:val="21"/>
              </w:rPr>
              <w:t>（M</w:t>
            </w:r>
            <w:r>
              <w:rPr>
                <w:spacing w:val="-3"/>
                <w:w w:val="100"/>
                <w:sz w:val="21"/>
              </w:rPr>
              <w:t>R</w:t>
            </w:r>
            <w:r>
              <w:rPr>
                <w:w w:val="100"/>
                <w:sz w:val="21"/>
              </w:rPr>
              <w:t>I)</w:t>
            </w:r>
            <w:r>
              <w:rPr>
                <w:sz w:val="21"/>
              </w:rPr>
              <w:t> </w:t>
            </w:r>
            <w:r>
              <w:rPr>
                <w:spacing w:val="-5"/>
                <w:w w:val="100"/>
                <w:sz w:val="21"/>
              </w:rPr>
              <w:t>或正电子发射断层扫描</w:t>
            </w:r>
            <w:r>
              <w:rPr>
                <w:w w:val="100"/>
                <w:sz w:val="21"/>
              </w:rPr>
              <w:t>（P</w:t>
            </w:r>
            <w:r>
              <w:rPr>
                <w:spacing w:val="-3"/>
                <w:w w:val="100"/>
                <w:sz w:val="21"/>
              </w:rPr>
              <w:t>E</w:t>
            </w:r>
            <w:r>
              <w:rPr>
                <w:spacing w:val="-1"/>
                <w:w w:val="100"/>
                <w:sz w:val="21"/>
              </w:rPr>
              <w:t>T</w:t>
            </w:r>
            <w:r>
              <w:rPr>
                <w:w w:val="100"/>
                <w:sz w:val="21"/>
              </w:rPr>
              <w:t>）</w:t>
            </w:r>
            <w:r>
              <w:rPr>
                <w:spacing w:val="-9"/>
                <w:sz w:val="21"/>
              </w:rPr>
              <w:t>等影像学检查证实，且自主生活能力完全丧失，无法独立完成六项基本日常生</w:t>
            </w:r>
            <w:r>
              <w:rPr>
                <w:spacing w:val="-3"/>
                <w:sz w:val="21"/>
              </w:rPr>
              <w:t>活活动中的三项或三项以上。</w:t>
            </w:r>
          </w:p>
          <w:p>
            <w:pPr>
              <w:pStyle w:val="TableParagraph"/>
              <w:spacing w:before="9"/>
              <w:rPr>
                <w:sz w:val="21"/>
              </w:rPr>
            </w:pPr>
            <w:r>
              <w:rPr>
                <w:sz w:val="21"/>
              </w:rPr>
              <w:t>神经官能症和精神疾病不在保障范围内。</w:t>
            </w:r>
          </w:p>
        </w:tc>
      </w:tr>
      <w:tr>
        <w:trPr>
          <w:trHeight w:val="2725" w:hRule="atLeast"/>
        </w:trPr>
        <w:tc>
          <w:tcPr>
            <w:tcW w:w="2015" w:type="dxa"/>
          </w:tcPr>
          <w:p>
            <w:pPr>
              <w:pStyle w:val="TableParagraph"/>
              <w:spacing w:before="47"/>
              <w:ind w:left="200"/>
              <w:rPr>
                <w:rFonts w:ascii="微软雅黑" w:eastAsia="微软雅黑" w:hint="eastAsia"/>
                <w:b/>
                <w:sz w:val="21"/>
              </w:rPr>
            </w:pPr>
            <w:r>
              <w:rPr>
                <w:rFonts w:ascii="微软雅黑" w:eastAsia="微软雅黑" w:hint="eastAsia"/>
                <w:b/>
                <w:sz w:val="21"/>
              </w:rPr>
              <w:t>18. 严重脑损伤</w:t>
            </w:r>
          </w:p>
        </w:tc>
        <w:tc>
          <w:tcPr>
            <w:tcW w:w="7514" w:type="dxa"/>
          </w:tcPr>
          <w:p>
            <w:pPr>
              <w:pStyle w:val="TableParagraph"/>
              <w:spacing w:line="273" w:lineRule="auto" w:before="110"/>
              <w:ind w:right="301"/>
              <w:rPr>
                <w:sz w:val="21"/>
              </w:rPr>
            </w:pPr>
            <w:r>
              <w:rPr>
                <w:spacing w:val="-8"/>
                <w:sz w:val="21"/>
              </w:rPr>
              <w:t>指因头部遭受机械性外力，引起脑重要部位损伤，导致神经系统永久性的功能</w:t>
            </w:r>
            <w:r>
              <w:rPr>
                <w:spacing w:val="-7"/>
                <w:w w:val="100"/>
                <w:sz w:val="21"/>
              </w:rPr>
              <w:t>障碍。须由头颅断层扫描</w:t>
            </w:r>
            <w:r>
              <w:rPr>
                <w:spacing w:val="-1"/>
                <w:w w:val="100"/>
                <w:sz w:val="21"/>
              </w:rPr>
              <w:t>（</w:t>
            </w:r>
            <w:r>
              <w:rPr>
                <w:w w:val="100"/>
                <w:sz w:val="21"/>
              </w:rPr>
              <w:t>C</w:t>
            </w:r>
            <w:r>
              <w:rPr>
                <w:spacing w:val="-3"/>
                <w:w w:val="100"/>
                <w:sz w:val="21"/>
              </w:rPr>
              <w:t>T</w:t>
            </w:r>
            <w:r>
              <w:rPr>
                <w:spacing w:val="-106"/>
                <w:w w:val="100"/>
                <w:sz w:val="21"/>
              </w:rPr>
              <w:t>）</w:t>
            </w:r>
            <w:r>
              <w:rPr>
                <w:spacing w:val="-7"/>
                <w:w w:val="100"/>
                <w:sz w:val="21"/>
              </w:rPr>
              <w:t>、核磁共振检查</w:t>
            </w:r>
            <w:r>
              <w:rPr>
                <w:w w:val="100"/>
                <w:sz w:val="21"/>
              </w:rPr>
              <w:t>（</w:t>
            </w:r>
            <w:r>
              <w:rPr>
                <w:spacing w:val="-3"/>
                <w:w w:val="100"/>
                <w:sz w:val="21"/>
              </w:rPr>
              <w:t>MR</w:t>
            </w:r>
            <w:r>
              <w:rPr>
                <w:w w:val="100"/>
                <w:sz w:val="21"/>
              </w:rPr>
              <w:t>I)</w:t>
            </w:r>
            <w:r>
              <w:rPr>
                <w:sz w:val="21"/>
              </w:rPr>
              <w:t> </w:t>
            </w:r>
            <w:r>
              <w:rPr>
                <w:spacing w:val="-3"/>
                <w:w w:val="100"/>
                <w:sz w:val="21"/>
              </w:rPr>
              <w:t>或正电子发射断层扫描</w:t>
            </w:r>
          </w:p>
          <w:p>
            <w:pPr>
              <w:pStyle w:val="TableParagraph"/>
              <w:spacing w:line="273" w:lineRule="auto" w:before="7"/>
              <w:ind w:right="199" w:hanging="1"/>
              <w:rPr>
                <w:sz w:val="21"/>
              </w:rPr>
            </w:pPr>
            <w:r>
              <w:rPr>
                <w:spacing w:val="-9"/>
                <w:sz w:val="21"/>
              </w:rPr>
              <w:t>（PET）</w:t>
            </w:r>
            <w:r>
              <w:rPr>
                <w:spacing w:val="-11"/>
                <w:sz w:val="21"/>
              </w:rPr>
              <w:t>等影像学检查证实。神经系统永久性的功能障碍，指脑损伤 </w:t>
            </w:r>
            <w:r>
              <w:rPr>
                <w:sz w:val="21"/>
              </w:rPr>
              <w:t>180</w:t>
            </w:r>
            <w:r>
              <w:rPr>
                <w:spacing w:val="3"/>
                <w:sz w:val="21"/>
              </w:rPr>
              <w:t> 天后， </w:t>
            </w:r>
            <w:r>
              <w:rPr>
                <w:spacing w:val="-3"/>
                <w:sz w:val="21"/>
              </w:rPr>
              <w:t>仍遗留下列一种或一种以上障碍：</w:t>
            </w:r>
          </w:p>
          <w:p>
            <w:pPr>
              <w:pStyle w:val="TableParagraph"/>
              <w:spacing w:before="7"/>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right="345"/>
              <w:rPr>
                <w:sz w:val="21"/>
              </w:rPr>
            </w:pPr>
            <w:r>
              <w:rPr>
                <w:sz w:val="21"/>
              </w:rPr>
              <w:t>（3）自主生活能力完全丧失，无法独立完成六项基本日常生活活动中的三项或三项以上。</w:t>
            </w:r>
          </w:p>
        </w:tc>
      </w:tr>
      <w:tr>
        <w:trPr>
          <w:trHeight w:val="2087" w:hRule="atLeast"/>
        </w:trPr>
        <w:tc>
          <w:tcPr>
            <w:tcW w:w="2015" w:type="dxa"/>
          </w:tcPr>
          <w:p>
            <w:pPr>
              <w:pStyle w:val="TableParagraph"/>
              <w:spacing w:before="17"/>
              <w:ind w:left="200"/>
              <w:rPr>
                <w:rFonts w:ascii="微软雅黑" w:eastAsia="微软雅黑" w:hint="eastAsia"/>
                <w:b/>
                <w:sz w:val="21"/>
              </w:rPr>
            </w:pPr>
            <w:r>
              <w:rPr>
                <w:rFonts w:ascii="微软雅黑" w:eastAsia="微软雅黑" w:hint="eastAsia"/>
                <w:b/>
                <w:sz w:val="21"/>
              </w:rPr>
              <w:t>19. 严重帕金森病</w:t>
            </w:r>
          </w:p>
        </w:tc>
        <w:tc>
          <w:tcPr>
            <w:tcW w:w="7514" w:type="dxa"/>
          </w:tcPr>
          <w:p>
            <w:pPr>
              <w:pStyle w:val="TableParagraph"/>
              <w:spacing w:line="271" w:lineRule="auto" w:before="80"/>
              <w:ind w:right="304"/>
              <w:rPr>
                <w:sz w:val="21"/>
              </w:rPr>
            </w:pPr>
            <w:r>
              <w:rPr>
                <w:spacing w:val="-7"/>
                <w:sz w:val="21"/>
              </w:rPr>
              <w:t>是一种中枢神经系统的退行性疾病，临床表现为震颤麻痹、共济失调等。须满</w:t>
            </w:r>
            <w:r>
              <w:rPr>
                <w:spacing w:val="-3"/>
                <w:sz w:val="21"/>
              </w:rPr>
              <w:t>足下列全部条件：</w:t>
            </w:r>
          </w:p>
          <w:p>
            <w:pPr>
              <w:pStyle w:val="TableParagraph"/>
              <w:spacing w:before="10"/>
              <w:rPr>
                <w:sz w:val="21"/>
              </w:rPr>
            </w:pPr>
            <w:r>
              <w:rPr>
                <w:sz w:val="21"/>
              </w:rPr>
              <w:t>（1）药物治疗无法控制病情；</w:t>
            </w:r>
          </w:p>
          <w:p>
            <w:pPr>
              <w:pStyle w:val="TableParagraph"/>
              <w:spacing w:line="273" w:lineRule="auto" w:before="37"/>
              <w:ind w:right="345"/>
              <w:rPr>
                <w:sz w:val="21"/>
              </w:rPr>
            </w:pPr>
            <w:r>
              <w:rPr>
                <w:sz w:val="21"/>
              </w:rPr>
              <w:t>（2）自主生活能力完全丧失，无法独立完成六项基本日常生活活动中的三项或三项以上。</w:t>
            </w:r>
          </w:p>
          <w:p>
            <w:pPr>
              <w:pStyle w:val="TableParagraph"/>
              <w:spacing w:before="7"/>
              <w:rPr>
                <w:sz w:val="21"/>
              </w:rPr>
            </w:pPr>
            <w:r>
              <w:rPr>
                <w:sz w:val="21"/>
              </w:rPr>
              <w:t>继发性帕金森综合征不在保障范围内。</w:t>
            </w:r>
          </w:p>
        </w:tc>
      </w:tr>
      <w:tr>
        <w:trPr>
          <w:trHeight w:val="855" w:hRule="atLeast"/>
        </w:trPr>
        <w:tc>
          <w:tcPr>
            <w:tcW w:w="2015" w:type="dxa"/>
          </w:tcPr>
          <w:p>
            <w:pPr>
              <w:pStyle w:val="TableParagraph"/>
              <w:spacing w:before="36"/>
              <w:ind w:left="200"/>
              <w:rPr>
                <w:rFonts w:ascii="微软雅黑" w:hAnsi="微软雅黑" w:eastAsia="微软雅黑" w:hint="eastAsia"/>
                <w:b/>
                <w:sz w:val="21"/>
              </w:rPr>
            </w:pPr>
            <w:r>
              <w:rPr>
                <w:rFonts w:ascii="微软雅黑" w:hAnsi="微软雅黑" w:eastAsia="微软雅黑" w:hint="eastAsia"/>
                <w:b/>
                <w:sz w:val="21"/>
              </w:rPr>
              <w:t>20. 严重Ⅲ度烧伤</w:t>
            </w:r>
          </w:p>
        </w:tc>
        <w:tc>
          <w:tcPr>
            <w:tcW w:w="7514" w:type="dxa"/>
          </w:tcPr>
          <w:p>
            <w:pPr>
              <w:pStyle w:val="TableParagraph"/>
              <w:spacing w:line="273" w:lineRule="auto" w:before="99"/>
              <w:ind w:right="348" w:hanging="1"/>
              <w:rPr>
                <w:sz w:val="21"/>
              </w:rPr>
            </w:pPr>
            <w:r>
              <w:rPr>
                <w:spacing w:val="-5"/>
                <w:sz w:val="21"/>
              </w:rPr>
              <w:t>指烧伤程度为Ⅲ度，且Ⅲ度烧伤面积达到全身体表面积的 </w:t>
            </w:r>
            <w:r>
              <w:rPr>
                <w:sz w:val="21"/>
              </w:rPr>
              <w:t>20</w:t>
            </w:r>
            <w:r>
              <w:rPr>
                <w:spacing w:val="-14"/>
                <w:sz w:val="21"/>
              </w:rPr>
              <w:t>％或 </w:t>
            </w:r>
            <w:r>
              <w:rPr>
                <w:sz w:val="21"/>
              </w:rPr>
              <w:t>20</w:t>
            </w:r>
            <w:r>
              <w:rPr>
                <w:spacing w:val="-2"/>
                <w:sz w:val="21"/>
              </w:rPr>
              <w:t>％以上。</w:t>
            </w:r>
            <w:r>
              <w:rPr>
                <w:spacing w:val="-3"/>
                <w:sz w:val="21"/>
              </w:rPr>
              <w:t>体表面积根据《中国新九分法》计算。</w:t>
            </w:r>
          </w:p>
        </w:tc>
      </w:tr>
      <w:tr>
        <w:trPr>
          <w:trHeight w:val="1144" w:hRule="atLeast"/>
        </w:trPr>
        <w:tc>
          <w:tcPr>
            <w:tcW w:w="2015" w:type="dxa"/>
          </w:tcPr>
          <w:p>
            <w:pPr>
              <w:pStyle w:val="TableParagraph"/>
              <w:spacing w:line="206" w:lineRule="auto" w:before="81"/>
              <w:ind w:left="200" w:right="123"/>
              <w:rPr>
                <w:rFonts w:ascii="微软雅黑" w:eastAsia="微软雅黑" w:hint="eastAsia"/>
                <w:b/>
                <w:sz w:val="21"/>
              </w:rPr>
            </w:pPr>
            <w:r>
              <w:rPr>
                <w:rFonts w:ascii="微软雅黑" w:eastAsia="微软雅黑" w:hint="eastAsia"/>
                <w:b/>
                <w:sz w:val="21"/>
              </w:rPr>
              <w:t>21. 严重原发性肺动脉高压</w:t>
            </w:r>
          </w:p>
        </w:tc>
        <w:tc>
          <w:tcPr>
            <w:tcW w:w="7514" w:type="dxa"/>
          </w:tcPr>
          <w:p>
            <w:pPr>
              <w:pStyle w:val="TableParagraph"/>
              <w:spacing w:line="273" w:lineRule="auto" w:before="93"/>
              <w:ind w:right="301"/>
              <w:jc w:val="both"/>
              <w:rPr>
                <w:sz w:val="21"/>
              </w:rPr>
            </w:pPr>
            <w:r>
              <w:rPr>
                <w:spacing w:val="-6"/>
                <w:sz w:val="21"/>
              </w:rPr>
              <w:t>指不明原因的肺动脉压力持续性增高，进行性发展而导致的慢性疾病，已经造</w:t>
            </w:r>
            <w:r>
              <w:rPr>
                <w:spacing w:val="-8"/>
                <w:sz w:val="21"/>
              </w:rPr>
              <w:t>成永久不可逆性的体力活动能力受限，达到美国纽约心脏病学会心功能状态分</w:t>
            </w:r>
            <w:r>
              <w:rPr>
                <w:spacing w:val="-29"/>
                <w:sz w:val="21"/>
              </w:rPr>
              <w:t>级 </w:t>
            </w:r>
            <w:r>
              <w:rPr>
                <w:sz w:val="21"/>
              </w:rPr>
              <w:t>IV</w:t>
            </w:r>
            <w:r>
              <w:rPr>
                <w:spacing w:val="-6"/>
                <w:sz w:val="21"/>
              </w:rPr>
              <w:t> 级，且静息状态下肺动脉平均压超过 </w:t>
            </w:r>
            <w:r>
              <w:rPr>
                <w:sz w:val="21"/>
              </w:rPr>
              <w:t>3OmmHg。</w:t>
            </w:r>
          </w:p>
        </w:tc>
      </w:tr>
      <w:tr>
        <w:trPr>
          <w:trHeight w:val="1421" w:hRule="atLeast"/>
        </w:trPr>
        <w:tc>
          <w:tcPr>
            <w:tcW w:w="2015" w:type="dxa"/>
          </w:tcPr>
          <w:p>
            <w:pPr>
              <w:pStyle w:val="TableParagraph"/>
              <w:spacing w:line="206" w:lineRule="auto" w:before="64"/>
              <w:ind w:left="200" w:right="123"/>
              <w:rPr>
                <w:rFonts w:ascii="微软雅黑" w:eastAsia="微软雅黑" w:hint="eastAsia"/>
                <w:b/>
                <w:sz w:val="21"/>
              </w:rPr>
            </w:pPr>
            <w:r>
              <w:rPr>
                <w:rFonts w:ascii="微软雅黑" w:eastAsia="微软雅黑" w:hint="eastAsia"/>
                <w:b/>
                <w:sz w:val="21"/>
              </w:rPr>
              <w:t>22. 严重运动神经元病</w:t>
            </w:r>
          </w:p>
        </w:tc>
        <w:tc>
          <w:tcPr>
            <w:tcW w:w="7514" w:type="dxa"/>
          </w:tcPr>
          <w:p>
            <w:pPr>
              <w:pStyle w:val="TableParagraph"/>
              <w:spacing w:line="273" w:lineRule="auto" w:before="76"/>
              <w:ind w:right="239"/>
              <w:jc w:val="both"/>
              <w:rPr>
                <w:sz w:val="21"/>
              </w:rPr>
            </w:pPr>
            <w:r>
              <w:rPr>
                <w:spacing w:val="-3"/>
                <w:sz w:val="21"/>
              </w:rPr>
              <w:t>是一组中枢神经系统运动神经元的进行性变性疾病，包括进行性脊肌萎缩症、</w:t>
            </w:r>
            <w:r>
              <w:rPr>
                <w:spacing w:val="-7"/>
                <w:sz w:val="21"/>
              </w:rPr>
              <w:t>进行性延髓麻痹症、原发性侧索硬化症、肌萎缩性侧索硬化症。须满足自主生</w:t>
            </w:r>
            <w:r>
              <w:rPr>
                <w:spacing w:val="-10"/>
                <w:sz w:val="21"/>
              </w:rPr>
              <w:t>活能力完全丧失，无法独立完成六项基本日常生活活动中的三项或三项以上的条件。</w:t>
            </w:r>
          </w:p>
        </w:tc>
      </w:tr>
      <w:tr>
        <w:trPr>
          <w:trHeight w:val="963" w:hRule="atLeast"/>
        </w:trPr>
        <w:tc>
          <w:tcPr>
            <w:tcW w:w="2015" w:type="dxa"/>
          </w:tcPr>
          <w:p>
            <w:pPr>
              <w:pStyle w:val="TableParagraph"/>
              <w:spacing w:line="359" w:lineRule="exact"/>
              <w:ind w:left="200"/>
              <w:rPr>
                <w:rFonts w:ascii="微软雅黑" w:eastAsia="微软雅黑" w:hint="eastAsia"/>
                <w:b/>
                <w:sz w:val="21"/>
              </w:rPr>
            </w:pPr>
            <w:r>
              <w:rPr>
                <w:rFonts w:ascii="微软雅黑" w:eastAsia="微软雅黑" w:hint="eastAsia"/>
                <w:b/>
                <w:sz w:val="21"/>
              </w:rPr>
              <w:t>23. 语言能力丧失</w:t>
            </w:r>
          </w:p>
        </w:tc>
        <w:tc>
          <w:tcPr>
            <w:tcW w:w="7514" w:type="dxa"/>
          </w:tcPr>
          <w:p>
            <w:pPr>
              <w:pStyle w:val="TableParagraph"/>
              <w:spacing w:line="273" w:lineRule="auto" w:before="58"/>
              <w:ind w:right="348" w:hanging="1"/>
              <w:rPr>
                <w:sz w:val="21"/>
              </w:rPr>
            </w:pPr>
            <w:r>
              <w:rPr>
                <w:spacing w:val="-6"/>
                <w:sz w:val="21"/>
              </w:rPr>
              <w:t>指因疾病或意外伤害导致完全丧失语言能力，经过积极治疗至少 </w:t>
            </w:r>
            <w:r>
              <w:rPr>
                <w:sz w:val="21"/>
              </w:rPr>
              <w:t>12</w:t>
            </w:r>
            <w:r>
              <w:rPr>
                <w:spacing w:val="-14"/>
                <w:sz w:val="21"/>
              </w:rPr>
              <w:t> 个月</w:t>
            </w:r>
            <w:r>
              <w:rPr>
                <w:spacing w:val="-3"/>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line="261" w:lineRule="exact" w:before="7"/>
              <w:rPr>
                <w:sz w:val="21"/>
              </w:rPr>
            </w:pPr>
            <w:r>
              <w:rPr>
                <w:sz w:val="21"/>
              </w:rPr>
              <w:t>精神心理因素所致的语言能力丧失不在保障范围内。</w:t>
            </w:r>
          </w:p>
        </w:tc>
      </w:tr>
    </w:tbl>
    <w:p>
      <w:pPr>
        <w:spacing w:after="0" w:line="261" w:lineRule="exact"/>
        <w:rPr>
          <w:sz w:val="21"/>
        </w:rPr>
        <w:sectPr>
          <w:pgSz w:w="11910" w:h="16840"/>
          <w:pgMar w:header="0" w:footer="377" w:top="1340" w:bottom="560" w:left="1500" w:right="6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0"/>
        <w:gridCol w:w="7448"/>
      </w:tblGrid>
      <w:tr>
        <w:trPr>
          <w:trHeight w:val="697" w:hRule="atLeast"/>
        </w:trPr>
        <w:tc>
          <w:tcPr>
            <w:tcW w:w="2040" w:type="dxa"/>
          </w:tcPr>
          <w:p>
            <w:pPr>
              <w:pStyle w:val="TableParagraph"/>
              <w:ind w:left="0"/>
              <w:rPr>
                <w:rFonts w:ascii="Times New Roman"/>
                <w:sz w:val="20"/>
              </w:rPr>
            </w:pPr>
          </w:p>
        </w:tc>
        <w:tc>
          <w:tcPr>
            <w:tcW w:w="7448" w:type="dxa"/>
          </w:tcPr>
          <w:p>
            <w:pPr>
              <w:pStyle w:val="TableParagraph"/>
              <w:spacing w:line="205" w:lineRule="exact"/>
              <w:ind w:left="101"/>
              <w:rPr>
                <w:sz w:val="21"/>
              </w:rPr>
            </w:pPr>
            <w:r>
              <w:rPr>
                <w:sz w:val="21"/>
              </w:rPr>
              <w:t>被保险人申请理赔时年龄必须在三周岁以上，并且提供理赔当时的语言能力丧</w:t>
            </w:r>
          </w:p>
          <w:p>
            <w:pPr>
              <w:pStyle w:val="TableParagraph"/>
              <w:spacing w:before="37"/>
              <w:ind w:left="101"/>
              <w:rPr>
                <w:sz w:val="21"/>
              </w:rPr>
            </w:pPr>
            <w:r>
              <w:rPr>
                <w:sz w:val="21"/>
              </w:rPr>
              <w:t>失诊断及检查证据。</w:t>
            </w:r>
          </w:p>
        </w:tc>
      </w:tr>
      <w:tr>
        <w:trPr>
          <w:trHeight w:val="2890" w:hRule="atLeast"/>
        </w:trPr>
        <w:tc>
          <w:tcPr>
            <w:tcW w:w="2040" w:type="dxa"/>
          </w:tcPr>
          <w:p>
            <w:pPr>
              <w:pStyle w:val="TableParagraph"/>
              <w:spacing w:line="206" w:lineRule="auto" w:before="92"/>
              <w:ind w:left="200" w:right="100"/>
              <w:rPr>
                <w:rFonts w:ascii="微软雅黑" w:eastAsia="微软雅黑" w:hint="eastAsia"/>
                <w:b/>
                <w:sz w:val="21"/>
              </w:rPr>
            </w:pPr>
            <w:r>
              <w:rPr>
                <w:rFonts w:ascii="微软雅黑" w:eastAsia="微软雅黑" w:hint="eastAsia"/>
                <w:b/>
                <w:sz w:val="21"/>
              </w:rPr>
              <w:t>24. 重型再生障碍性贫血</w:t>
            </w:r>
          </w:p>
        </w:tc>
        <w:tc>
          <w:tcPr>
            <w:tcW w:w="7448" w:type="dxa"/>
          </w:tcPr>
          <w:p>
            <w:pPr>
              <w:pStyle w:val="TableParagraph"/>
              <w:spacing w:line="273" w:lineRule="auto" w:before="104"/>
              <w:ind w:left="101" w:right="407"/>
              <w:rPr>
                <w:sz w:val="21"/>
              </w:rPr>
            </w:pPr>
            <w:r>
              <w:rPr>
                <w:sz w:val="21"/>
              </w:rPr>
              <w:t>指因骨髓造血功能慢性持续性衰竭导致的贫血、中性粒细胞减少及血小板减少。须满足下列全部条件：</w:t>
            </w:r>
          </w:p>
          <w:p>
            <w:pPr>
              <w:pStyle w:val="TableParagraph"/>
              <w:spacing w:before="8"/>
              <w:ind w:left="101"/>
              <w:rPr>
                <w:sz w:val="21"/>
              </w:rPr>
            </w:pPr>
            <w:r>
              <w:rPr>
                <w:sz w:val="21"/>
              </w:rPr>
              <w:t>（1）骨髓穿刺检查或骨髓活检结果支持诊断；</w:t>
            </w:r>
          </w:p>
          <w:p>
            <w:pPr>
              <w:pStyle w:val="TableParagraph"/>
              <w:spacing w:before="37"/>
              <w:ind w:left="101"/>
              <w:rPr>
                <w:sz w:val="21"/>
              </w:rPr>
            </w:pPr>
            <w:r>
              <w:rPr>
                <w:sz w:val="21"/>
              </w:rPr>
              <w:t>（2）外周血象须具备所有三项条件：</w:t>
            </w:r>
          </w:p>
          <w:p>
            <w:pPr>
              <w:pStyle w:val="TableParagraph"/>
              <w:spacing w:before="6"/>
              <w:ind w:left="0"/>
              <w:rPr>
                <w:sz w:val="16"/>
              </w:rPr>
            </w:pPr>
          </w:p>
          <w:p>
            <w:pPr>
              <w:pStyle w:val="TableParagraph"/>
              <w:ind w:left="627"/>
              <w:rPr>
                <w:sz w:val="21"/>
              </w:rPr>
            </w:pPr>
            <w:r>
              <w:rPr>
                <w:sz w:val="21"/>
              </w:rPr>
              <w:t>① 中性粒细胞绝对值≤0.5×</w:t>
            </w:r>
            <w:r>
              <w:rPr>
                <w:rFonts w:ascii="Times New Roman" w:hAnsi="Times New Roman" w:eastAsia="Times New Roman"/>
                <w:sz w:val="24"/>
              </w:rPr>
              <w:t>10</w:t>
            </w:r>
            <w:r>
              <w:rPr>
                <w:rFonts w:ascii="Times New Roman" w:hAnsi="Times New Roman" w:eastAsia="Times New Roman"/>
                <w:position w:val="11"/>
                <w:sz w:val="14"/>
              </w:rPr>
              <w:t>9 </w:t>
            </w:r>
            <w:r>
              <w:rPr>
                <w:sz w:val="21"/>
              </w:rPr>
              <w:t>/L；</w:t>
            </w:r>
          </w:p>
          <w:p>
            <w:pPr>
              <w:pStyle w:val="TableParagraph"/>
              <w:spacing w:before="148"/>
              <w:ind w:left="627"/>
              <w:rPr>
                <w:sz w:val="21"/>
              </w:rPr>
            </w:pPr>
            <w:r>
              <w:rPr>
                <w:sz w:val="21"/>
              </w:rPr>
              <w:t>② 网织红细胞＜1；</w:t>
            </w:r>
          </w:p>
          <w:p>
            <w:pPr>
              <w:pStyle w:val="TableParagraph"/>
              <w:spacing w:before="6"/>
              <w:ind w:left="0"/>
              <w:rPr>
                <w:sz w:val="16"/>
              </w:rPr>
            </w:pPr>
          </w:p>
          <w:p>
            <w:pPr>
              <w:pStyle w:val="TableParagraph"/>
              <w:ind w:left="627"/>
              <w:rPr>
                <w:sz w:val="21"/>
              </w:rPr>
            </w:pPr>
            <w:r>
              <w:rPr>
                <w:sz w:val="21"/>
              </w:rPr>
              <w:t>③ 血小板绝对值≤20×</w:t>
            </w:r>
            <w:r>
              <w:rPr>
                <w:rFonts w:ascii="Times New Roman" w:hAnsi="Times New Roman" w:eastAsia="Times New Roman"/>
                <w:sz w:val="24"/>
              </w:rPr>
              <w:t>10</w:t>
            </w:r>
            <w:r>
              <w:rPr>
                <w:rFonts w:ascii="Times New Roman" w:hAnsi="Times New Roman" w:eastAsia="Times New Roman"/>
                <w:position w:val="11"/>
                <w:sz w:val="14"/>
              </w:rPr>
              <w:t>9 </w:t>
            </w:r>
            <w:r>
              <w:rPr>
                <w:sz w:val="21"/>
              </w:rPr>
              <w:t>/L。</w:t>
            </w:r>
          </w:p>
        </w:tc>
      </w:tr>
      <w:tr>
        <w:trPr>
          <w:trHeight w:val="1414" w:hRule="atLeast"/>
        </w:trPr>
        <w:tc>
          <w:tcPr>
            <w:tcW w:w="2040" w:type="dxa"/>
          </w:tcPr>
          <w:p>
            <w:pPr>
              <w:pStyle w:val="TableParagraph"/>
              <w:spacing w:line="351" w:lineRule="exact"/>
              <w:ind w:left="200"/>
              <w:rPr>
                <w:rFonts w:ascii="微软雅黑" w:eastAsia="微软雅黑" w:hint="eastAsia"/>
                <w:b/>
                <w:sz w:val="21"/>
              </w:rPr>
            </w:pPr>
            <w:r>
              <w:rPr>
                <w:rFonts w:ascii="微软雅黑" w:eastAsia="微软雅黑" w:hint="eastAsia"/>
                <w:b/>
                <w:sz w:val="21"/>
              </w:rPr>
              <w:t>25. 主动脉手术</w:t>
            </w:r>
          </w:p>
        </w:tc>
        <w:tc>
          <w:tcPr>
            <w:tcW w:w="7448" w:type="dxa"/>
          </w:tcPr>
          <w:p>
            <w:pPr>
              <w:pStyle w:val="TableParagraph"/>
              <w:spacing w:line="273" w:lineRule="auto" w:before="50"/>
              <w:ind w:left="101" w:right="260"/>
              <w:jc w:val="both"/>
              <w:rPr>
                <w:sz w:val="21"/>
              </w:rPr>
            </w:pPr>
            <w:r>
              <w:rPr>
                <w:spacing w:val="-7"/>
                <w:sz w:val="21"/>
              </w:rPr>
              <w:t>指为治疗主动脉疾病，实际实施了开胸或开腹进行的切除、置换、修补病损主</w:t>
            </w:r>
            <w:r>
              <w:rPr>
                <w:spacing w:val="-11"/>
                <w:sz w:val="21"/>
              </w:rPr>
              <w:t>动脉血管的手术。主动脉指胸主动脉和腹主动脉，不包括胸主动脉和腹主动脉</w:t>
            </w:r>
            <w:r>
              <w:rPr>
                <w:spacing w:val="-6"/>
                <w:sz w:val="21"/>
              </w:rPr>
              <w:t>的分支血管。</w:t>
            </w:r>
          </w:p>
          <w:p>
            <w:pPr>
              <w:pStyle w:val="TableParagraph"/>
              <w:spacing w:before="7"/>
              <w:ind w:left="101"/>
              <w:jc w:val="both"/>
              <w:rPr>
                <w:sz w:val="21"/>
              </w:rPr>
            </w:pPr>
            <w:r>
              <w:rPr>
                <w:sz w:val="21"/>
              </w:rPr>
              <w:t>动脉内血管成形术不在保障范围内。</w:t>
            </w:r>
          </w:p>
        </w:tc>
      </w:tr>
      <w:tr>
        <w:trPr>
          <w:trHeight w:val="2024" w:hRule="atLeast"/>
        </w:trPr>
        <w:tc>
          <w:tcPr>
            <w:tcW w:w="2040" w:type="dxa"/>
          </w:tcPr>
          <w:p>
            <w:pPr>
              <w:pStyle w:val="TableParagraph"/>
              <w:spacing w:before="14"/>
              <w:ind w:left="200"/>
              <w:rPr>
                <w:rFonts w:ascii="微软雅黑" w:eastAsia="微软雅黑" w:hint="eastAsia"/>
                <w:b/>
                <w:sz w:val="21"/>
              </w:rPr>
            </w:pPr>
            <w:r>
              <w:rPr>
                <w:rFonts w:ascii="微软雅黑" w:eastAsia="微软雅黑" w:hint="eastAsia"/>
                <w:b/>
                <w:sz w:val="21"/>
              </w:rPr>
              <w:t>26. 多发性硬化</w:t>
            </w:r>
          </w:p>
        </w:tc>
        <w:tc>
          <w:tcPr>
            <w:tcW w:w="7448" w:type="dxa"/>
          </w:tcPr>
          <w:p>
            <w:pPr>
              <w:pStyle w:val="TableParagraph"/>
              <w:spacing w:line="273" w:lineRule="auto" w:before="76"/>
              <w:ind w:left="101" w:right="198"/>
              <w:rPr>
                <w:sz w:val="21"/>
              </w:rPr>
            </w:pPr>
            <w:r>
              <w:rPr>
                <w:spacing w:val="-3"/>
                <w:sz w:val="21"/>
              </w:rPr>
              <w:t>多发性硬化是一种中枢神经系统脱髓鞘性疾病，表现为反复缓解、复发的脑、</w:t>
            </w:r>
            <w:r>
              <w:rPr>
                <w:spacing w:val="-5"/>
                <w:sz w:val="21"/>
              </w:rPr>
              <w:t>脊髓和视神经损害。该病必须经医院的神经科专科医生确诊，并有 </w:t>
            </w:r>
            <w:r>
              <w:rPr>
                <w:sz w:val="21"/>
              </w:rPr>
              <w:t>CT</w:t>
            </w:r>
            <w:r>
              <w:rPr>
                <w:spacing w:val="-14"/>
                <w:sz w:val="21"/>
              </w:rPr>
              <w:t> 或磁共</w:t>
            </w:r>
            <w:r>
              <w:rPr>
                <w:spacing w:val="-9"/>
                <w:sz w:val="21"/>
              </w:rPr>
              <w:t>振检查结果诊断报告。本附加合同仅对多发性硬化造成神经系统功能的永久性</w:t>
            </w:r>
            <w:r>
              <w:rPr>
                <w:spacing w:val="-10"/>
                <w:sz w:val="21"/>
              </w:rPr>
              <w:t>损害予以理赔。所谓神经系统功能的永久性损害是指诊断为多发性硬化后有神</w:t>
            </w:r>
            <w:r>
              <w:rPr>
                <w:spacing w:val="-8"/>
                <w:sz w:val="21"/>
              </w:rPr>
              <w:t>经系统一次以上的发作，而出现累及视神经、脑干、脊髓永久性损害，出现有</w:t>
            </w:r>
            <w:r>
              <w:rPr>
                <w:spacing w:val="-7"/>
                <w:sz w:val="21"/>
              </w:rPr>
              <w:t>共济失调或感觉障碍并持续 </w:t>
            </w:r>
            <w:r>
              <w:rPr>
                <w:sz w:val="21"/>
              </w:rPr>
              <w:t>180</w:t>
            </w:r>
            <w:r>
              <w:rPr>
                <w:spacing w:val="-11"/>
                <w:sz w:val="21"/>
              </w:rPr>
              <w:t> 天以上。</w:t>
            </w:r>
          </w:p>
        </w:tc>
      </w:tr>
      <w:tr>
        <w:trPr>
          <w:trHeight w:val="3543" w:hRule="atLeast"/>
        </w:trPr>
        <w:tc>
          <w:tcPr>
            <w:tcW w:w="2040" w:type="dxa"/>
          </w:tcPr>
          <w:p>
            <w:pPr>
              <w:pStyle w:val="TableParagraph"/>
              <w:spacing w:line="206" w:lineRule="auto" w:before="25"/>
              <w:ind w:left="200" w:right="148"/>
              <w:jc w:val="both"/>
              <w:rPr>
                <w:rFonts w:ascii="微软雅黑" w:eastAsia="微软雅黑" w:hint="eastAsia"/>
                <w:b/>
                <w:sz w:val="21"/>
              </w:rPr>
            </w:pPr>
            <w:r>
              <w:rPr>
                <w:rFonts w:ascii="微软雅黑" w:eastAsia="微软雅黑" w:hint="eastAsia"/>
                <w:b/>
                <w:sz w:val="21"/>
              </w:rPr>
              <w:t>27. 经输血导致的人类免疫缺陷病毒感染</w:t>
            </w:r>
          </w:p>
        </w:tc>
        <w:tc>
          <w:tcPr>
            <w:tcW w:w="7448" w:type="dxa"/>
          </w:tcPr>
          <w:p>
            <w:pPr>
              <w:pStyle w:val="TableParagraph"/>
              <w:spacing w:line="273" w:lineRule="auto" w:before="37"/>
              <w:ind w:left="101" w:right="304"/>
              <w:rPr>
                <w:sz w:val="21"/>
              </w:rPr>
            </w:pPr>
            <w:r>
              <w:rPr>
                <w:sz w:val="21"/>
              </w:rPr>
              <w:t>被保险人因输血而感染上人类免疫缺陷病毒( HIV )或罹患获得性免疫缺陷综合征(AIDS ),并且符合下列所有条件：</w:t>
            </w:r>
          </w:p>
          <w:p>
            <w:pPr>
              <w:pStyle w:val="TableParagraph"/>
              <w:spacing w:line="273" w:lineRule="auto" w:before="8"/>
              <w:ind w:left="101" w:right="305"/>
              <w:rPr>
                <w:sz w:val="21"/>
              </w:rPr>
            </w:pPr>
            <w:r>
              <w:rPr>
                <w:sz w:val="21"/>
              </w:rPr>
              <w:t>（1）</w:t>
            </w:r>
            <w:r>
              <w:rPr>
                <w:spacing w:val="-5"/>
                <w:sz w:val="21"/>
              </w:rPr>
              <w:t>造成感染的输血事件发生在本附加合同生效日之后，血清出现 </w:t>
            </w:r>
            <w:r>
              <w:rPr>
                <w:sz w:val="21"/>
              </w:rPr>
              <w:t>HIV</w:t>
            </w:r>
            <w:r>
              <w:rPr>
                <w:spacing w:val="-14"/>
                <w:sz w:val="21"/>
              </w:rPr>
              <w:t> 感染</w:t>
            </w:r>
            <w:r>
              <w:rPr>
                <w:spacing w:val="-11"/>
                <w:sz w:val="21"/>
              </w:rPr>
              <w:t>必须发生在接受输血后 </w:t>
            </w:r>
            <w:r>
              <w:rPr>
                <w:sz w:val="21"/>
              </w:rPr>
              <w:t>180</w:t>
            </w:r>
            <w:r>
              <w:rPr>
                <w:spacing w:val="-14"/>
                <w:sz w:val="21"/>
              </w:rPr>
              <w:t> 天内；</w:t>
            </w:r>
          </w:p>
          <w:p>
            <w:pPr>
              <w:pStyle w:val="TableParagraph"/>
              <w:spacing w:line="273" w:lineRule="auto" w:before="8"/>
              <w:ind w:left="101" w:right="304"/>
              <w:rPr>
                <w:sz w:val="21"/>
              </w:rPr>
            </w:pPr>
            <w:r>
              <w:rPr>
                <w:sz w:val="21"/>
              </w:rPr>
              <w:t>（2）本公司认可的提供输血治疗的正规输血中心或医院出具该项输血感染属医疗责任事故的报告，或者法院终审裁定为医疗责任；</w:t>
            </w:r>
          </w:p>
          <w:p>
            <w:pPr>
              <w:pStyle w:val="TableParagraph"/>
              <w:spacing w:before="8"/>
              <w:ind w:left="101"/>
              <w:rPr>
                <w:sz w:val="21"/>
              </w:rPr>
            </w:pPr>
            <w:r>
              <w:rPr>
                <w:sz w:val="21"/>
              </w:rPr>
              <w:t>（3）受感染的被保险人不是血友病患者；</w:t>
            </w:r>
          </w:p>
          <w:p>
            <w:pPr>
              <w:pStyle w:val="TableParagraph"/>
              <w:spacing w:line="273" w:lineRule="auto" w:before="37"/>
              <w:ind w:left="101" w:right="304"/>
              <w:rPr>
                <w:sz w:val="21"/>
              </w:rPr>
            </w:pPr>
            <w:r>
              <w:rPr>
                <w:sz w:val="21"/>
              </w:rPr>
              <w:t>（4）病情须对生命造成威胁并且在索赔当时的医疗技术条件下尚无已知的治愈方法。</w:t>
            </w:r>
          </w:p>
          <w:p>
            <w:pPr>
              <w:pStyle w:val="TableParagraph"/>
              <w:spacing w:line="273" w:lineRule="auto" w:before="7"/>
              <w:ind w:left="101" w:right="266"/>
              <w:rPr>
                <w:sz w:val="21"/>
              </w:rPr>
            </w:pPr>
            <w:r>
              <w:rPr>
                <w:spacing w:val="-6"/>
                <w:sz w:val="21"/>
              </w:rPr>
              <w:t>任何因其他传播方式</w:t>
            </w:r>
            <w:r>
              <w:rPr>
                <w:spacing w:val="-3"/>
                <w:sz w:val="21"/>
              </w:rPr>
              <w:t>（</w:t>
            </w:r>
            <w:r>
              <w:rPr>
                <w:spacing w:val="-6"/>
                <w:sz w:val="21"/>
              </w:rPr>
              <w:t>包括：性传播或静脉注射毒品</w:t>
            </w:r>
            <w:r>
              <w:rPr>
                <w:spacing w:val="-22"/>
                <w:sz w:val="21"/>
              </w:rPr>
              <w:t>）</w:t>
            </w:r>
            <w:r>
              <w:rPr>
                <w:spacing w:val="-12"/>
                <w:sz w:val="21"/>
              </w:rPr>
              <w:t>导致的 </w:t>
            </w:r>
            <w:r>
              <w:rPr>
                <w:sz w:val="21"/>
              </w:rPr>
              <w:t>HIV</w:t>
            </w:r>
            <w:r>
              <w:rPr>
                <w:spacing w:val="-10"/>
                <w:sz w:val="21"/>
              </w:rPr>
              <w:t> 感染不在保</w:t>
            </w:r>
            <w:r>
              <w:rPr>
                <w:spacing w:val="-1"/>
                <w:sz w:val="21"/>
              </w:rPr>
              <w:t>障范围内。</w:t>
            </w:r>
          </w:p>
        </w:tc>
      </w:tr>
      <w:tr>
        <w:trPr>
          <w:trHeight w:val="1987" w:hRule="atLeast"/>
        </w:trPr>
        <w:tc>
          <w:tcPr>
            <w:tcW w:w="2040" w:type="dxa"/>
          </w:tcPr>
          <w:p>
            <w:pPr>
              <w:pStyle w:val="TableParagraph"/>
              <w:spacing w:line="336" w:lineRule="exact"/>
              <w:ind w:left="200"/>
              <w:rPr>
                <w:rFonts w:ascii="微软雅黑" w:eastAsia="微软雅黑" w:hint="eastAsia"/>
                <w:b/>
                <w:sz w:val="21"/>
              </w:rPr>
            </w:pPr>
            <w:r>
              <w:rPr>
                <w:rFonts w:ascii="微软雅黑" w:eastAsia="微软雅黑" w:hint="eastAsia"/>
                <w:b/>
                <w:sz w:val="21"/>
              </w:rPr>
              <w:t>28. 终末期肺病</w:t>
            </w:r>
          </w:p>
        </w:tc>
        <w:tc>
          <w:tcPr>
            <w:tcW w:w="7448" w:type="dxa"/>
          </w:tcPr>
          <w:p>
            <w:pPr>
              <w:pStyle w:val="TableParagraph"/>
              <w:spacing w:line="273" w:lineRule="auto" w:before="36"/>
              <w:ind w:left="101" w:right="205"/>
              <w:rPr>
                <w:sz w:val="21"/>
              </w:rPr>
            </w:pPr>
            <w:r>
              <w:rPr>
                <w:sz w:val="21"/>
              </w:rPr>
              <w:t>被保险人患有终末期肺病而出现的慢性呼吸衰竭。该病必须由医院的呼吸科专科医生确诊并符合以下各项：</w:t>
            </w:r>
          </w:p>
          <w:p>
            <w:pPr>
              <w:pStyle w:val="TableParagraph"/>
              <w:spacing w:before="8"/>
              <w:ind w:left="101"/>
              <w:rPr>
                <w:sz w:val="21"/>
              </w:rPr>
            </w:pPr>
            <w:r>
              <w:rPr>
                <w:sz w:val="21"/>
              </w:rPr>
              <w:t>（1）肺功能测试其FEV1 持续低于 0.75 升；</w:t>
            </w:r>
          </w:p>
          <w:p>
            <w:pPr>
              <w:pStyle w:val="TableParagraph"/>
              <w:spacing w:before="37"/>
              <w:ind w:left="101"/>
              <w:rPr>
                <w:sz w:val="21"/>
              </w:rPr>
            </w:pPr>
            <w:r>
              <w:rPr>
                <w:sz w:val="21"/>
              </w:rPr>
              <w:t>（2）动脉血气分析氧分压（PaO2）&lt; 55mmHg；</w:t>
            </w:r>
          </w:p>
          <w:p>
            <w:pPr>
              <w:pStyle w:val="TableParagraph"/>
              <w:spacing w:before="37"/>
              <w:ind w:left="102"/>
              <w:rPr>
                <w:sz w:val="21"/>
              </w:rPr>
            </w:pPr>
            <w:r>
              <w:rPr>
                <w:sz w:val="21"/>
              </w:rPr>
              <w:t>（3）休息时出现呼吸困难；</w:t>
            </w:r>
          </w:p>
          <w:p>
            <w:pPr>
              <w:pStyle w:val="TableParagraph"/>
              <w:spacing w:before="37"/>
              <w:ind w:left="102"/>
              <w:rPr>
                <w:sz w:val="21"/>
              </w:rPr>
            </w:pPr>
            <w:r>
              <w:rPr>
                <w:sz w:val="21"/>
              </w:rPr>
              <w:t>（4）必须接受持续的输氧治疗。</w:t>
            </w:r>
          </w:p>
        </w:tc>
      </w:tr>
      <w:tr>
        <w:trPr>
          <w:trHeight w:val="1257" w:hRule="atLeast"/>
        </w:trPr>
        <w:tc>
          <w:tcPr>
            <w:tcW w:w="2040" w:type="dxa"/>
          </w:tcPr>
          <w:p>
            <w:pPr>
              <w:pStyle w:val="TableParagraph"/>
              <w:spacing w:line="206" w:lineRule="auto" w:before="28"/>
              <w:ind w:left="200" w:right="148"/>
              <w:rPr>
                <w:rFonts w:ascii="微软雅黑" w:eastAsia="微软雅黑" w:hint="eastAsia"/>
                <w:b/>
                <w:sz w:val="21"/>
              </w:rPr>
            </w:pPr>
            <w:r>
              <w:rPr>
                <w:rFonts w:ascii="微软雅黑" w:eastAsia="微软雅黑" w:hint="eastAsia"/>
                <w:b/>
                <w:sz w:val="21"/>
              </w:rPr>
              <w:t>29. 严重类风湿性关节炎</w:t>
            </w:r>
          </w:p>
        </w:tc>
        <w:tc>
          <w:tcPr>
            <w:tcW w:w="7448" w:type="dxa"/>
          </w:tcPr>
          <w:p>
            <w:pPr>
              <w:pStyle w:val="TableParagraph"/>
              <w:spacing w:line="310" w:lineRule="atLeast" w:before="5"/>
              <w:ind w:left="101" w:right="263"/>
              <w:rPr>
                <w:sz w:val="21"/>
              </w:rPr>
            </w:pPr>
            <w:r>
              <w:rPr>
                <w:spacing w:val="-4"/>
                <w:sz w:val="21"/>
              </w:rPr>
              <w:t>广泛的关节损坏，临床上存在三个或三个以上下列关节的畸形:手、腕、肘、</w:t>
            </w:r>
            <w:r>
              <w:rPr>
                <w:spacing w:val="-9"/>
                <w:sz w:val="21"/>
              </w:rPr>
              <w:t>颈椎、膝、踝、或足部跖趾关节。并且由本公司认可医院的专科医生确认被保</w:t>
            </w:r>
            <w:r>
              <w:rPr>
                <w:spacing w:val="-3"/>
                <w:sz w:val="21"/>
              </w:rPr>
              <w:t>险人在无他人协助下无法独立完成六项基本日常生活活动中的三项或三项以</w:t>
            </w:r>
            <w:r>
              <w:rPr>
                <w:spacing w:val="-6"/>
                <w:sz w:val="21"/>
              </w:rPr>
              <w:t>上。上述畸形及功能异常须持续至少达 </w:t>
            </w:r>
            <w:r>
              <w:rPr>
                <w:sz w:val="21"/>
              </w:rPr>
              <w:t>180</w:t>
            </w:r>
            <w:r>
              <w:rPr>
                <w:spacing w:val="-17"/>
                <w:sz w:val="21"/>
              </w:rPr>
              <w:t> 天。</w:t>
            </w:r>
          </w:p>
        </w:tc>
      </w:tr>
    </w:tbl>
    <w:p>
      <w:pPr>
        <w:rPr>
          <w:sz w:val="2"/>
          <w:szCs w:val="2"/>
        </w:rPr>
      </w:pPr>
      <w:r>
        <w:rPr/>
        <w:drawing>
          <wp:anchor distT="0" distB="0" distL="0" distR="0" allowOverlap="1" layoutInCell="1" locked="0" behindDoc="1" simplePos="0" relativeHeight="268403087">
            <wp:simplePos x="0" y="0"/>
            <wp:positionH relativeFrom="page">
              <wp:posOffset>3788803</wp:posOffset>
            </wp:positionH>
            <wp:positionV relativeFrom="page">
              <wp:posOffset>2614216</wp:posOffset>
            </wp:positionV>
            <wp:extent cx="59721" cy="103727"/>
            <wp:effectExtent l="0" t="0" r="0" b="0"/>
            <wp:wrapNone/>
            <wp:docPr id="7" name="image4.png" descr=""/>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59721" cy="103727"/>
                    </a:xfrm>
                    <a:prstGeom prst="rect">
                      <a:avLst/>
                    </a:prstGeom>
                  </pic:spPr>
                </pic:pic>
              </a:graphicData>
            </a:graphic>
          </wp:anchor>
        </w:drawing>
      </w:r>
    </w:p>
    <w:p>
      <w:pPr>
        <w:spacing w:after="0"/>
        <w:rPr>
          <w:sz w:val="2"/>
          <w:szCs w:val="2"/>
        </w:rPr>
        <w:sectPr>
          <w:pgSz w:w="11910" w:h="16840"/>
          <w:pgMar w:header="0" w:footer="377" w:top="1340" w:bottom="560" w:left="1500" w:right="7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0"/>
        <w:gridCol w:w="7510"/>
      </w:tblGrid>
      <w:tr>
        <w:trPr>
          <w:trHeight w:val="1198" w:hRule="atLeast"/>
        </w:trPr>
        <w:tc>
          <w:tcPr>
            <w:tcW w:w="2020" w:type="dxa"/>
          </w:tcPr>
          <w:p>
            <w:pPr>
              <w:pStyle w:val="TableParagraph"/>
              <w:spacing w:line="205" w:lineRule="exact"/>
              <w:ind w:left="200"/>
              <w:rPr>
                <w:rFonts w:ascii="微软雅黑" w:eastAsia="微软雅黑" w:hint="eastAsia"/>
                <w:b/>
                <w:sz w:val="21"/>
              </w:rPr>
            </w:pPr>
            <w:r>
              <w:rPr>
                <w:rFonts w:ascii="微软雅黑" w:eastAsia="微软雅黑" w:hint="eastAsia"/>
                <w:b/>
                <w:sz w:val="21"/>
              </w:rPr>
              <w:t>30. 系统性红斑狼</w:t>
            </w:r>
          </w:p>
          <w:p>
            <w:pPr>
              <w:pStyle w:val="TableParagraph"/>
              <w:spacing w:line="337" w:lineRule="exact"/>
              <w:ind w:left="200"/>
              <w:rPr>
                <w:rFonts w:ascii="微软雅黑" w:eastAsia="微软雅黑" w:hint="eastAsia"/>
                <w:b/>
                <w:sz w:val="21"/>
              </w:rPr>
            </w:pPr>
            <w:r>
              <w:rPr>
                <w:rFonts w:ascii="微软雅黑" w:eastAsia="微软雅黑" w:hint="eastAsia"/>
                <w:b/>
                <w:w w:val="100"/>
                <w:sz w:val="21"/>
              </w:rPr>
              <w:t>疮</w:t>
            </w:r>
          </w:p>
        </w:tc>
        <w:tc>
          <w:tcPr>
            <w:tcW w:w="7510" w:type="dxa"/>
          </w:tcPr>
          <w:p>
            <w:pPr>
              <w:pStyle w:val="TableParagraph"/>
              <w:spacing w:line="205" w:lineRule="exact"/>
              <w:ind w:left="121"/>
              <w:rPr>
                <w:sz w:val="21"/>
              </w:rPr>
            </w:pPr>
            <w:r>
              <w:rPr>
                <w:sz w:val="21"/>
              </w:rPr>
              <w:t>系统性红斑狼疮是一种累及多脏器的自身免疫性的炎症性结缔组织病，多发于</w:t>
            </w:r>
          </w:p>
          <w:p>
            <w:pPr>
              <w:pStyle w:val="TableParagraph"/>
              <w:spacing w:line="273" w:lineRule="auto" w:before="37"/>
              <w:ind w:left="121" w:right="198"/>
              <w:jc w:val="both"/>
              <w:rPr>
                <w:sz w:val="21"/>
              </w:rPr>
            </w:pPr>
            <w:r>
              <w:rPr>
                <w:spacing w:val="-9"/>
                <w:sz w:val="21"/>
              </w:rPr>
              <w:t>青年女性。该病必须由医院的风湿科专科医生确诊。本附加合同所指的系统性红斑狼疮仅限于累及肾脏的情况，即经肾脏活检确认的，符合 </w:t>
            </w:r>
            <w:r>
              <w:rPr>
                <w:sz w:val="21"/>
              </w:rPr>
              <w:t>WHO</w:t>
            </w:r>
            <w:r>
              <w:rPr>
                <w:spacing w:val="-10"/>
                <w:sz w:val="21"/>
              </w:rPr>
              <w:t> 诊断标准定</w:t>
            </w:r>
            <w:r>
              <w:rPr>
                <w:spacing w:val="-22"/>
                <w:sz w:val="21"/>
              </w:rPr>
              <w:t>义 </w:t>
            </w:r>
            <w:r>
              <w:rPr>
                <w:sz w:val="21"/>
              </w:rPr>
              <w:t>III</w:t>
            </w:r>
            <w:r>
              <w:rPr>
                <w:spacing w:val="-24"/>
                <w:sz w:val="21"/>
              </w:rPr>
              <w:t> 型至 </w:t>
            </w:r>
            <w:r>
              <w:rPr>
                <w:sz w:val="21"/>
              </w:rPr>
              <w:t>V</w:t>
            </w:r>
            <w:r>
              <w:rPr>
                <w:spacing w:val="-18"/>
                <w:sz w:val="21"/>
              </w:rPr>
              <w:t> 型狼疮性肾炎的诊断标准，并伴有持续性蛋白尿</w:t>
            </w:r>
            <w:r>
              <w:rPr>
                <w:spacing w:val="-3"/>
                <w:sz w:val="21"/>
              </w:rPr>
              <w:t>（</w:t>
            </w:r>
            <w:r>
              <w:rPr>
                <w:spacing w:val="-2"/>
                <w:sz w:val="21"/>
              </w:rPr>
              <w:t>尿蛋白++以上</w:t>
            </w:r>
            <w:r>
              <w:rPr>
                <w:sz w:val="21"/>
              </w:rPr>
              <w:t>）</w:t>
            </w:r>
          </w:p>
        </w:tc>
      </w:tr>
      <w:tr>
        <w:trPr>
          <w:trHeight w:val="2607" w:hRule="atLeast"/>
        </w:trPr>
        <w:tc>
          <w:tcPr>
            <w:tcW w:w="2020" w:type="dxa"/>
          </w:tcPr>
          <w:p>
            <w:pPr>
              <w:pStyle w:val="TableParagraph"/>
              <w:ind w:left="0"/>
              <w:rPr>
                <w:rFonts w:ascii="Times New Roman"/>
                <w:sz w:val="20"/>
              </w:rPr>
            </w:pPr>
          </w:p>
        </w:tc>
        <w:tc>
          <w:tcPr>
            <w:tcW w:w="7510" w:type="dxa"/>
          </w:tcPr>
          <w:p>
            <w:pPr>
              <w:pStyle w:val="TableParagraph"/>
              <w:spacing w:line="256" w:lineRule="exact"/>
              <w:ind w:left="121"/>
              <w:rPr>
                <w:sz w:val="21"/>
              </w:rPr>
            </w:pPr>
            <w:r>
              <w:rPr>
                <w:sz w:val="21"/>
              </w:rPr>
              <w:t>的系统性红斑狼疮。其他类型的红斑性狼疮，如盘状狼疮、仅累及血液及关节</w:t>
            </w:r>
          </w:p>
          <w:p>
            <w:pPr>
              <w:pStyle w:val="TableParagraph"/>
              <w:spacing w:before="37"/>
              <w:ind w:left="121"/>
              <w:rPr>
                <w:sz w:val="21"/>
              </w:rPr>
            </w:pPr>
            <w:r>
              <w:rPr>
                <w:sz w:val="21"/>
              </w:rPr>
              <w:t>的狼疮不在保障范围内。</w:t>
            </w:r>
          </w:p>
          <w:p>
            <w:pPr>
              <w:pStyle w:val="TableParagraph"/>
              <w:spacing w:before="37"/>
              <w:ind w:left="121"/>
              <w:rPr>
                <w:sz w:val="21"/>
              </w:rPr>
            </w:pPr>
            <w:r>
              <w:rPr>
                <w:sz w:val="21"/>
              </w:rPr>
              <w:t>世界卫生组织（WHO）狼疮性肾炎分型：</w:t>
            </w:r>
          </w:p>
          <w:p>
            <w:pPr>
              <w:pStyle w:val="TableParagraph"/>
              <w:numPr>
                <w:ilvl w:val="0"/>
                <w:numId w:val="12"/>
              </w:numPr>
              <w:tabs>
                <w:tab w:pos="281" w:val="left" w:leader="none"/>
              </w:tabs>
              <w:spacing w:line="240" w:lineRule="auto" w:before="37" w:after="0"/>
              <w:ind w:left="280" w:right="0" w:hanging="159"/>
              <w:jc w:val="left"/>
              <w:rPr>
                <w:sz w:val="21"/>
              </w:rPr>
            </w:pPr>
            <w:r>
              <w:rPr>
                <w:sz w:val="21"/>
              </w:rPr>
              <w:t>型</w:t>
            </w:r>
            <w:r>
              <w:rPr>
                <w:spacing w:val="-3"/>
                <w:sz w:val="21"/>
              </w:rPr>
              <w:t>（微小病变型</w:t>
            </w:r>
            <w:r>
              <w:rPr>
                <w:sz w:val="21"/>
              </w:rPr>
              <w:t>）</w:t>
            </w:r>
          </w:p>
          <w:p>
            <w:pPr>
              <w:pStyle w:val="TableParagraph"/>
              <w:numPr>
                <w:ilvl w:val="0"/>
                <w:numId w:val="12"/>
              </w:numPr>
              <w:tabs>
                <w:tab w:pos="386" w:val="left" w:leader="none"/>
              </w:tabs>
              <w:spacing w:line="240" w:lineRule="auto" w:before="37" w:after="0"/>
              <w:ind w:left="385" w:right="0" w:hanging="264"/>
              <w:jc w:val="left"/>
              <w:rPr>
                <w:sz w:val="21"/>
              </w:rPr>
            </w:pPr>
            <w:r>
              <w:rPr>
                <w:spacing w:val="-3"/>
                <w:sz w:val="21"/>
              </w:rPr>
              <w:t>型</w:t>
            </w:r>
            <w:r>
              <w:rPr>
                <w:sz w:val="21"/>
              </w:rPr>
              <w:t>（</w:t>
            </w:r>
            <w:r>
              <w:rPr>
                <w:spacing w:val="-3"/>
                <w:sz w:val="21"/>
              </w:rPr>
              <w:t>系膜病变型）</w:t>
            </w:r>
          </w:p>
          <w:p>
            <w:pPr>
              <w:pStyle w:val="TableParagraph"/>
              <w:numPr>
                <w:ilvl w:val="0"/>
                <w:numId w:val="12"/>
              </w:numPr>
              <w:tabs>
                <w:tab w:pos="492" w:val="left" w:leader="none"/>
              </w:tabs>
              <w:spacing w:line="240" w:lineRule="auto" w:before="37" w:after="0"/>
              <w:ind w:left="491" w:right="0" w:hanging="370"/>
              <w:jc w:val="left"/>
              <w:rPr>
                <w:sz w:val="21"/>
              </w:rPr>
            </w:pPr>
            <w:r>
              <w:rPr>
                <w:spacing w:val="-3"/>
                <w:sz w:val="21"/>
              </w:rPr>
              <w:t>型</w:t>
            </w:r>
            <w:r>
              <w:rPr>
                <w:sz w:val="21"/>
              </w:rPr>
              <w:t>（</w:t>
            </w:r>
            <w:r>
              <w:rPr>
                <w:spacing w:val="-3"/>
                <w:sz w:val="21"/>
              </w:rPr>
              <w:t>局灶及节段增生型</w:t>
            </w:r>
            <w:r>
              <w:rPr>
                <w:sz w:val="21"/>
              </w:rPr>
              <w:t>）</w:t>
            </w:r>
          </w:p>
          <w:p>
            <w:pPr>
              <w:pStyle w:val="TableParagraph"/>
              <w:numPr>
                <w:ilvl w:val="0"/>
                <w:numId w:val="12"/>
              </w:numPr>
              <w:tabs>
                <w:tab w:pos="386" w:val="left" w:leader="none"/>
              </w:tabs>
              <w:spacing w:line="240" w:lineRule="auto" w:before="37" w:after="0"/>
              <w:ind w:left="385" w:right="0" w:hanging="264"/>
              <w:jc w:val="left"/>
              <w:rPr>
                <w:sz w:val="21"/>
              </w:rPr>
            </w:pPr>
            <w:r>
              <w:rPr>
                <w:spacing w:val="-3"/>
                <w:sz w:val="21"/>
              </w:rPr>
              <w:t>型</w:t>
            </w:r>
            <w:r>
              <w:rPr>
                <w:sz w:val="21"/>
              </w:rPr>
              <w:t>（</w:t>
            </w:r>
            <w:r>
              <w:rPr>
                <w:spacing w:val="-3"/>
                <w:sz w:val="21"/>
              </w:rPr>
              <w:t>弥漫增生型）</w:t>
            </w:r>
          </w:p>
          <w:p>
            <w:pPr>
              <w:pStyle w:val="TableParagraph"/>
              <w:numPr>
                <w:ilvl w:val="0"/>
                <w:numId w:val="12"/>
              </w:numPr>
              <w:tabs>
                <w:tab w:pos="281" w:val="left" w:leader="none"/>
              </w:tabs>
              <w:spacing w:line="240" w:lineRule="auto" w:before="37" w:after="0"/>
              <w:ind w:left="280" w:right="0" w:hanging="159"/>
              <w:jc w:val="left"/>
              <w:rPr>
                <w:sz w:val="21"/>
              </w:rPr>
            </w:pPr>
            <w:r>
              <w:rPr>
                <w:sz w:val="21"/>
              </w:rPr>
              <w:t>型</w:t>
            </w:r>
            <w:r>
              <w:rPr>
                <w:spacing w:val="-3"/>
                <w:sz w:val="21"/>
              </w:rPr>
              <w:t>（</w:t>
            </w:r>
            <w:r>
              <w:rPr>
                <w:spacing w:val="-2"/>
                <w:sz w:val="21"/>
              </w:rPr>
              <w:t>膜型</w:t>
            </w:r>
            <w:r>
              <w:rPr>
                <w:spacing w:val="-3"/>
                <w:sz w:val="21"/>
              </w:rPr>
              <w:t>）</w:t>
            </w:r>
          </w:p>
        </w:tc>
      </w:tr>
      <w:tr>
        <w:trPr>
          <w:trHeight w:val="885" w:hRule="atLeast"/>
        </w:trPr>
        <w:tc>
          <w:tcPr>
            <w:tcW w:w="2020" w:type="dxa"/>
          </w:tcPr>
          <w:p>
            <w:pPr>
              <w:pStyle w:val="TableParagraph"/>
              <w:spacing w:before="28"/>
              <w:ind w:left="200"/>
              <w:rPr>
                <w:rFonts w:ascii="微软雅黑" w:eastAsia="微软雅黑" w:hint="eastAsia"/>
                <w:b/>
                <w:sz w:val="21"/>
              </w:rPr>
            </w:pPr>
            <w:r>
              <w:rPr>
                <w:rFonts w:ascii="微软雅黑" w:eastAsia="微软雅黑" w:hint="eastAsia"/>
                <w:b/>
                <w:sz w:val="21"/>
              </w:rPr>
              <w:t>31. 植物人</w:t>
            </w:r>
          </w:p>
        </w:tc>
        <w:tc>
          <w:tcPr>
            <w:tcW w:w="7510" w:type="dxa"/>
          </w:tcPr>
          <w:p>
            <w:pPr>
              <w:pStyle w:val="TableParagraph"/>
              <w:spacing w:line="304" w:lineRule="auto" w:before="110"/>
              <w:ind w:left="123" w:right="236"/>
              <w:rPr>
                <w:sz w:val="21"/>
              </w:rPr>
            </w:pPr>
            <w:r>
              <w:rPr>
                <w:sz w:val="21"/>
              </w:rPr>
              <w:t>指经专科医生确诊，CT、MRI 等证实大脑皮质全面坏死。患者临床表现意识完全丧失，但脑干功能仍保持完好，且此情况持续一个月或一个月以上。</w:t>
            </w:r>
          </w:p>
        </w:tc>
      </w:tr>
      <w:tr>
        <w:trPr>
          <w:trHeight w:val="2390" w:hRule="atLeast"/>
        </w:trPr>
        <w:tc>
          <w:tcPr>
            <w:tcW w:w="2020" w:type="dxa"/>
          </w:tcPr>
          <w:p>
            <w:pPr>
              <w:pStyle w:val="TableParagraph"/>
              <w:spacing w:before="13"/>
              <w:ind w:left="200"/>
              <w:rPr>
                <w:rFonts w:ascii="微软雅黑" w:eastAsia="微软雅黑" w:hint="eastAsia"/>
                <w:b/>
                <w:sz w:val="21"/>
              </w:rPr>
            </w:pPr>
            <w:r>
              <w:rPr>
                <w:rFonts w:ascii="微软雅黑" w:eastAsia="微软雅黑" w:hint="eastAsia"/>
                <w:b/>
                <w:w w:val="81"/>
                <w:sz w:val="21"/>
              </w:rPr>
              <w:t>32</w:t>
            </w:r>
            <w:r>
              <w:rPr>
                <w:rFonts w:ascii="微软雅黑" w:eastAsia="微软雅黑" w:hint="eastAsia"/>
                <w:b/>
                <w:w w:val="176"/>
                <w:sz w:val="21"/>
              </w:rPr>
              <w:t>.</w:t>
            </w:r>
            <w:r>
              <w:rPr>
                <w:rFonts w:ascii="微软雅黑" w:eastAsia="微软雅黑" w:hint="eastAsia"/>
                <w:b/>
                <w:spacing w:val="-10"/>
                <w:sz w:val="21"/>
              </w:rPr>
              <w:t>  </w:t>
            </w:r>
            <w:r>
              <w:rPr>
                <w:rFonts w:ascii="微软雅黑" w:eastAsia="微软雅黑" w:hint="eastAsia"/>
                <w:b/>
                <w:w w:val="100"/>
                <w:sz w:val="21"/>
              </w:rPr>
              <w:t>肌营养不良症</w:t>
            </w:r>
          </w:p>
        </w:tc>
        <w:tc>
          <w:tcPr>
            <w:tcW w:w="7510" w:type="dxa"/>
          </w:tcPr>
          <w:p>
            <w:pPr>
              <w:pStyle w:val="TableParagraph"/>
              <w:spacing w:line="273" w:lineRule="auto" w:before="76"/>
              <w:ind w:left="121" w:right="303"/>
              <w:jc w:val="both"/>
              <w:rPr>
                <w:sz w:val="21"/>
              </w:rPr>
            </w:pPr>
            <w:r>
              <w:rPr>
                <w:w w:val="100"/>
                <w:sz w:val="21"/>
              </w:rPr>
              <w:t>指由本公司认可的专科医师明确诊断的</w:t>
            </w:r>
            <w:r>
              <w:rPr>
                <w:spacing w:val="-3"/>
                <w:w w:val="100"/>
                <w:sz w:val="21"/>
              </w:rPr>
              <w:t>D</w:t>
            </w:r>
            <w:r>
              <w:rPr>
                <w:w w:val="100"/>
                <w:sz w:val="21"/>
              </w:rPr>
              <w:t>uch</w:t>
            </w:r>
            <w:r>
              <w:rPr>
                <w:spacing w:val="-3"/>
                <w:w w:val="100"/>
                <w:sz w:val="21"/>
              </w:rPr>
              <w:t>e</w:t>
            </w:r>
            <w:r>
              <w:rPr>
                <w:w w:val="100"/>
                <w:sz w:val="21"/>
              </w:rPr>
              <w:t>nne</w:t>
            </w:r>
            <w:r>
              <w:rPr>
                <w:spacing w:val="-55"/>
                <w:sz w:val="21"/>
              </w:rPr>
              <w:t> </w:t>
            </w:r>
            <w:r>
              <w:rPr>
                <w:spacing w:val="-3"/>
                <w:w w:val="100"/>
                <w:sz w:val="21"/>
              </w:rPr>
              <w:t>型营养不良症</w:t>
            </w:r>
            <w:r>
              <w:rPr>
                <w:spacing w:val="-1"/>
                <w:w w:val="100"/>
                <w:sz w:val="21"/>
              </w:rPr>
              <w:t>（</w:t>
            </w:r>
            <w:r>
              <w:rPr>
                <w:w w:val="100"/>
                <w:sz w:val="21"/>
              </w:rPr>
              <w:t>D</w:t>
            </w:r>
            <w:r>
              <w:rPr>
                <w:spacing w:val="-3"/>
                <w:w w:val="100"/>
                <w:sz w:val="21"/>
              </w:rPr>
              <w:t>M</w:t>
            </w:r>
            <w:r>
              <w:rPr>
                <w:w w:val="100"/>
                <w:sz w:val="21"/>
              </w:rPr>
              <w:t>D</w:t>
            </w:r>
            <w:r>
              <w:rPr>
                <w:spacing w:val="-106"/>
                <w:w w:val="100"/>
                <w:sz w:val="21"/>
              </w:rPr>
              <w:t>）</w:t>
            </w:r>
            <w:r>
              <w:rPr>
                <w:spacing w:val="-3"/>
                <w:w w:val="100"/>
                <w:sz w:val="21"/>
              </w:rPr>
              <w:t>（</w:t>
            </w:r>
            <w:r>
              <w:rPr>
                <w:w w:val="100"/>
                <w:sz w:val="21"/>
              </w:rPr>
              <w:t>严重</w:t>
            </w:r>
            <w:r>
              <w:rPr>
                <w:spacing w:val="-3"/>
                <w:w w:val="100"/>
                <w:sz w:val="21"/>
              </w:rPr>
              <w:t>性假肥大型营养不良症</w:t>
            </w:r>
            <w:r>
              <w:rPr>
                <w:spacing w:val="-108"/>
                <w:w w:val="100"/>
                <w:sz w:val="21"/>
              </w:rPr>
              <w:t>）</w:t>
            </w:r>
            <w:r>
              <w:rPr>
                <w:spacing w:val="-3"/>
                <w:w w:val="100"/>
                <w:sz w:val="21"/>
              </w:rPr>
              <w:t>，</w:t>
            </w:r>
            <w:r>
              <w:rPr>
                <w:w w:val="100"/>
                <w:sz w:val="21"/>
              </w:rPr>
              <w:t>Beck</w:t>
            </w:r>
            <w:r>
              <w:rPr>
                <w:spacing w:val="-3"/>
                <w:w w:val="100"/>
                <w:sz w:val="21"/>
              </w:rPr>
              <w:t>e</w:t>
            </w:r>
            <w:r>
              <w:rPr>
                <w:w w:val="100"/>
                <w:sz w:val="21"/>
              </w:rPr>
              <w:t>r</w:t>
            </w:r>
            <w:r>
              <w:rPr>
                <w:spacing w:val="-53"/>
                <w:sz w:val="21"/>
              </w:rPr>
              <w:t> </w:t>
            </w:r>
            <w:r>
              <w:rPr>
                <w:spacing w:val="-3"/>
                <w:w w:val="100"/>
                <w:sz w:val="21"/>
              </w:rPr>
              <w:t>型</w:t>
            </w:r>
            <w:r>
              <w:rPr>
                <w:w w:val="100"/>
                <w:sz w:val="21"/>
              </w:rPr>
              <w:t>（BM</w:t>
            </w:r>
            <w:r>
              <w:rPr>
                <w:spacing w:val="-3"/>
                <w:w w:val="100"/>
                <w:sz w:val="21"/>
              </w:rPr>
              <w:t>D</w:t>
            </w:r>
            <w:r>
              <w:rPr>
                <w:spacing w:val="-106"/>
                <w:w w:val="100"/>
                <w:sz w:val="21"/>
              </w:rPr>
              <w:t>）</w:t>
            </w:r>
            <w:r>
              <w:rPr>
                <w:spacing w:val="-3"/>
                <w:w w:val="100"/>
                <w:sz w:val="21"/>
              </w:rPr>
              <w:t>（良性假肥大型肌营养不良症</w:t>
            </w:r>
            <w:r>
              <w:rPr>
                <w:spacing w:val="-106"/>
                <w:w w:val="100"/>
                <w:sz w:val="21"/>
              </w:rPr>
              <w:t>）</w:t>
            </w:r>
            <w:r>
              <w:rPr>
                <w:w w:val="100"/>
                <w:sz w:val="21"/>
              </w:rPr>
              <w:t>，</w:t>
            </w:r>
            <w:r>
              <w:rPr>
                <w:spacing w:val="-7"/>
                <w:sz w:val="21"/>
              </w:rPr>
              <w:t>或者肢带型肌营养不良症(不包含其他类型的肌营养不良)，并提供肌肉活检和</w:t>
            </w:r>
            <w:r>
              <w:rPr>
                <w:spacing w:val="-5"/>
                <w:sz w:val="21"/>
              </w:rPr>
              <w:t>血清肌酸磷酸激酶</w:t>
            </w:r>
            <w:r>
              <w:rPr>
                <w:sz w:val="21"/>
              </w:rPr>
              <w:t>（CPK）</w:t>
            </w:r>
            <w:r>
              <w:rPr>
                <w:spacing w:val="-3"/>
                <w:sz w:val="21"/>
              </w:rPr>
              <w:t>报告。该疾病导致被保险人永久完全地丧失了独立</w:t>
            </w:r>
            <w:r>
              <w:rPr>
                <w:spacing w:val="-10"/>
                <w:sz w:val="21"/>
              </w:rPr>
              <w:t>生活能力，在无他人协助下无法独立进行以下六项基本日常生活活动中的其中</w:t>
            </w:r>
            <w:r>
              <w:rPr>
                <w:spacing w:val="-8"/>
                <w:sz w:val="21"/>
              </w:rPr>
              <w:t>三项或三项以上，或者必须永久卧床，没有他人帮助不能自己起床。且有相关</w:t>
            </w:r>
            <w:r>
              <w:rPr>
                <w:spacing w:val="-6"/>
                <w:sz w:val="21"/>
              </w:rPr>
              <w:t>医疗记录显示这种情况持续至少 </w:t>
            </w:r>
            <w:r>
              <w:rPr>
                <w:sz w:val="21"/>
              </w:rPr>
              <w:t>3</w:t>
            </w:r>
            <w:r>
              <w:rPr>
                <w:spacing w:val="-12"/>
                <w:sz w:val="21"/>
              </w:rPr>
              <w:t> 个月。</w:t>
            </w:r>
          </w:p>
        </w:tc>
      </w:tr>
      <w:tr>
        <w:trPr>
          <w:trHeight w:val="1585" w:hRule="atLeast"/>
        </w:trPr>
        <w:tc>
          <w:tcPr>
            <w:tcW w:w="2020" w:type="dxa"/>
          </w:tcPr>
          <w:p>
            <w:pPr>
              <w:pStyle w:val="TableParagraph"/>
              <w:spacing w:before="28"/>
              <w:ind w:left="200"/>
              <w:rPr>
                <w:rFonts w:ascii="微软雅黑" w:eastAsia="微软雅黑" w:hint="eastAsia"/>
                <w:b/>
                <w:sz w:val="21"/>
              </w:rPr>
            </w:pPr>
            <w:r>
              <w:rPr>
                <w:rFonts w:ascii="微软雅黑" w:eastAsia="微软雅黑" w:hint="eastAsia"/>
                <w:b/>
                <w:sz w:val="21"/>
              </w:rPr>
              <w:t>33. 原发性心肌病</w:t>
            </w:r>
          </w:p>
        </w:tc>
        <w:tc>
          <w:tcPr>
            <w:tcW w:w="7510" w:type="dxa"/>
          </w:tcPr>
          <w:p>
            <w:pPr>
              <w:pStyle w:val="TableParagraph"/>
              <w:spacing w:line="304" w:lineRule="auto" w:before="110"/>
              <w:ind w:left="124" w:right="306"/>
              <w:jc w:val="both"/>
              <w:rPr>
                <w:sz w:val="21"/>
              </w:rPr>
            </w:pPr>
            <w:r>
              <w:rPr>
                <w:spacing w:val="-5"/>
                <w:sz w:val="21"/>
              </w:rPr>
              <w:t>原发性心肌病必须由专科医生确诊并须提供心脏超声等专科检查报告。病变必</w:t>
            </w:r>
            <w:r>
              <w:rPr>
                <w:spacing w:val="-6"/>
                <w:sz w:val="21"/>
              </w:rPr>
              <w:t>须已造成事实上心室功能障碍而出现明显的心功能衰竭，达到美国纽约心脏病</w:t>
            </w:r>
            <w:r>
              <w:rPr>
                <w:spacing w:val="-8"/>
                <w:sz w:val="21"/>
              </w:rPr>
              <w:t>协会心功能状态分级 </w:t>
            </w:r>
            <w:r>
              <w:rPr>
                <w:sz w:val="21"/>
              </w:rPr>
              <w:t>III</w:t>
            </w:r>
            <w:r>
              <w:rPr>
                <w:spacing w:val="-40"/>
                <w:sz w:val="21"/>
              </w:rPr>
              <w:t> 级</w:t>
            </w:r>
            <w:r>
              <w:rPr>
                <w:spacing w:val="-3"/>
                <w:sz w:val="21"/>
              </w:rPr>
              <w:t>（</w:t>
            </w:r>
            <w:r>
              <w:rPr>
                <w:spacing w:val="-15"/>
                <w:sz w:val="21"/>
              </w:rPr>
              <w:t>甚至 </w:t>
            </w:r>
            <w:r>
              <w:rPr>
                <w:sz w:val="21"/>
              </w:rPr>
              <w:t>IV</w:t>
            </w:r>
            <w:r>
              <w:rPr>
                <w:spacing w:val="-24"/>
                <w:sz w:val="21"/>
              </w:rPr>
              <w:t> 级</w:t>
            </w:r>
            <w:r>
              <w:rPr>
                <w:spacing w:val="-70"/>
                <w:sz w:val="21"/>
              </w:rPr>
              <w:t>）</w:t>
            </w:r>
            <w:r>
              <w:rPr>
                <w:spacing w:val="-10"/>
                <w:sz w:val="21"/>
              </w:rPr>
              <w:t>，且有相关医疗记录显示这种情况持</w:t>
            </w:r>
            <w:r>
              <w:rPr>
                <w:spacing w:val="-14"/>
                <w:sz w:val="21"/>
              </w:rPr>
              <w:t>续至少 </w:t>
            </w:r>
            <w:r>
              <w:rPr>
                <w:sz w:val="21"/>
              </w:rPr>
              <w:t>3</w:t>
            </w:r>
            <w:r>
              <w:rPr>
                <w:spacing w:val="-14"/>
                <w:sz w:val="21"/>
              </w:rPr>
              <w:t> 个月。</w:t>
            </w:r>
          </w:p>
        </w:tc>
      </w:tr>
      <w:tr>
        <w:trPr>
          <w:trHeight w:val="1173" w:hRule="atLeast"/>
        </w:trPr>
        <w:tc>
          <w:tcPr>
            <w:tcW w:w="2020" w:type="dxa"/>
          </w:tcPr>
          <w:p>
            <w:pPr>
              <w:pStyle w:val="TableParagraph"/>
              <w:spacing w:before="12"/>
              <w:ind w:left="200"/>
              <w:rPr>
                <w:rFonts w:ascii="微软雅黑" w:eastAsia="微软雅黑" w:hint="eastAsia"/>
                <w:b/>
                <w:sz w:val="21"/>
              </w:rPr>
            </w:pPr>
            <w:r>
              <w:rPr>
                <w:rFonts w:ascii="微软雅黑" w:eastAsia="微软雅黑" w:hint="eastAsia"/>
                <w:b/>
                <w:sz w:val="21"/>
              </w:rPr>
              <w:t>34. 肾髓质囊性病</w:t>
            </w:r>
          </w:p>
        </w:tc>
        <w:tc>
          <w:tcPr>
            <w:tcW w:w="7510" w:type="dxa"/>
          </w:tcPr>
          <w:p>
            <w:pPr>
              <w:pStyle w:val="TableParagraph"/>
              <w:spacing w:line="307" w:lineRule="auto" w:before="94"/>
              <w:ind w:left="121" w:right="308" w:hanging="3"/>
              <w:jc w:val="both"/>
              <w:rPr>
                <w:sz w:val="21"/>
              </w:rPr>
            </w:pPr>
            <w:r>
              <w:rPr>
                <w:spacing w:val="-3"/>
                <w:w w:val="100"/>
                <w:sz w:val="21"/>
              </w:rPr>
              <w:t>肾髓质囊性病的诊断必须同时符合下列要求</w:t>
            </w:r>
            <w:r>
              <w:rPr>
                <w:spacing w:val="-128"/>
                <w:w w:val="100"/>
                <w:sz w:val="21"/>
              </w:rPr>
              <w:t>：</w:t>
            </w:r>
            <w:r>
              <w:rPr>
                <w:w w:val="100"/>
                <w:sz w:val="21"/>
              </w:rPr>
              <w:t>（</w:t>
            </w:r>
            <w:r>
              <w:rPr>
                <w:spacing w:val="-4"/>
                <w:w w:val="100"/>
                <w:sz w:val="21"/>
              </w:rPr>
              <w:t>1</w:t>
            </w:r>
            <w:r>
              <w:rPr>
                <w:spacing w:val="-22"/>
                <w:w w:val="100"/>
                <w:sz w:val="21"/>
              </w:rPr>
              <w:t>）</w:t>
            </w:r>
            <w:r>
              <w:rPr>
                <w:spacing w:val="-6"/>
                <w:w w:val="100"/>
                <w:sz w:val="21"/>
              </w:rPr>
              <w:t>肾髓质有囊肿、肾小管萎缩</w:t>
            </w:r>
            <w:r>
              <w:rPr>
                <w:spacing w:val="-3"/>
                <w:w w:val="100"/>
                <w:sz w:val="21"/>
              </w:rPr>
              <w:t>及间质纤维化等病理改变</w:t>
            </w:r>
            <w:r>
              <w:rPr>
                <w:spacing w:val="-120"/>
                <w:w w:val="100"/>
                <w:sz w:val="21"/>
              </w:rPr>
              <w:t>；</w:t>
            </w:r>
            <w:r>
              <w:rPr>
                <w:w w:val="100"/>
                <w:sz w:val="21"/>
              </w:rPr>
              <w:t>（2</w:t>
            </w:r>
            <w:r>
              <w:rPr>
                <w:spacing w:val="-15"/>
                <w:w w:val="100"/>
                <w:sz w:val="21"/>
              </w:rPr>
              <w:t>）</w:t>
            </w:r>
            <w:r>
              <w:rPr>
                <w:spacing w:val="-5"/>
                <w:w w:val="100"/>
                <w:sz w:val="21"/>
              </w:rPr>
              <w:t>贫血、多尿及肾功能衰竭等临床表现</w:t>
            </w:r>
            <w:r>
              <w:rPr>
                <w:spacing w:val="-118"/>
                <w:w w:val="100"/>
                <w:sz w:val="21"/>
              </w:rPr>
              <w:t>；</w:t>
            </w:r>
            <w:r>
              <w:rPr>
                <w:spacing w:val="-4"/>
                <w:w w:val="100"/>
                <w:sz w:val="21"/>
              </w:rPr>
              <w:t>（</w:t>
            </w:r>
            <w:r>
              <w:rPr>
                <w:w w:val="100"/>
                <w:sz w:val="21"/>
              </w:rPr>
              <w:t>3</w:t>
            </w:r>
            <w:r>
              <w:rPr>
                <w:spacing w:val="-15"/>
                <w:w w:val="100"/>
                <w:sz w:val="21"/>
              </w:rPr>
              <w:t>）诊</w:t>
            </w:r>
            <w:r>
              <w:rPr>
                <w:spacing w:val="-3"/>
                <w:sz w:val="21"/>
              </w:rPr>
              <w:t>断须由肾组织活检确定。</w:t>
            </w:r>
          </w:p>
        </w:tc>
      </w:tr>
      <w:tr>
        <w:trPr>
          <w:trHeight w:val="1126" w:hRule="atLeast"/>
        </w:trPr>
        <w:tc>
          <w:tcPr>
            <w:tcW w:w="2020" w:type="dxa"/>
          </w:tcPr>
          <w:p>
            <w:pPr>
              <w:pStyle w:val="TableParagraph"/>
              <w:spacing w:line="327" w:lineRule="exact"/>
              <w:ind w:left="200"/>
              <w:rPr>
                <w:rFonts w:ascii="微软雅黑" w:eastAsia="微软雅黑" w:hint="eastAsia"/>
                <w:b/>
                <w:sz w:val="21"/>
              </w:rPr>
            </w:pPr>
            <w:r>
              <w:rPr>
                <w:rFonts w:ascii="微软雅黑" w:eastAsia="微软雅黑" w:hint="eastAsia"/>
                <w:b/>
                <w:sz w:val="21"/>
              </w:rPr>
              <w:t>35. 严重克隆氏病</w:t>
            </w:r>
          </w:p>
        </w:tc>
        <w:tc>
          <w:tcPr>
            <w:tcW w:w="7510" w:type="dxa"/>
          </w:tcPr>
          <w:p>
            <w:pPr>
              <w:pStyle w:val="TableParagraph"/>
              <w:spacing w:line="307" w:lineRule="auto" w:before="46"/>
              <w:ind w:left="124" w:right="305"/>
              <w:jc w:val="both"/>
              <w:rPr>
                <w:sz w:val="21"/>
              </w:rPr>
            </w:pPr>
            <w:r>
              <w:rPr>
                <w:spacing w:val="-7"/>
                <w:sz w:val="21"/>
              </w:rPr>
              <w:t>是一种慢性肉芽肿性肠炎，具有特征性的克隆病病理组织学变化。诊断必须由</w:t>
            </w:r>
            <w:r>
              <w:rPr>
                <w:spacing w:val="-10"/>
                <w:sz w:val="21"/>
              </w:rPr>
              <w:t>病理检查结果证实。被保险人所患的克隆病必须已经造成瘘管形成并伴有肠梗</w:t>
            </w:r>
            <w:r>
              <w:rPr>
                <w:spacing w:val="-2"/>
                <w:sz w:val="21"/>
              </w:rPr>
              <w:t>阻或肠穿孔。</w:t>
            </w:r>
          </w:p>
        </w:tc>
      </w:tr>
      <w:tr>
        <w:trPr>
          <w:trHeight w:val="3069" w:hRule="atLeast"/>
        </w:trPr>
        <w:tc>
          <w:tcPr>
            <w:tcW w:w="2020" w:type="dxa"/>
          </w:tcPr>
          <w:p>
            <w:pPr>
              <w:pStyle w:val="TableParagraph"/>
              <w:spacing w:line="328" w:lineRule="exact"/>
              <w:ind w:left="200"/>
              <w:rPr>
                <w:rFonts w:ascii="微软雅黑" w:eastAsia="微软雅黑" w:hint="eastAsia"/>
                <w:b/>
                <w:sz w:val="21"/>
              </w:rPr>
            </w:pPr>
            <w:r>
              <w:rPr>
                <w:rFonts w:ascii="微软雅黑" w:eastAsia="微软雅黑" w:hint="eastAsia"/>
                <w:b/>
                <w:sz w:val="21"/>
              </w:rPr>
              <w:t>36. 重症肌无力</w:t>
            </w:r>
          </w:p>
        </w:tc>
        <w:tc>
          <w:tcPr>
            <w:tcW w:w="7510" w:type="dxa"/>
          </w:tcPr>
          <w:p>
            <w:pPr>
              <w:pStyle w:val="TableParagraph"/>
              <w:spacing w:line="304" w:lineRule="auto" w:before="47"/>
              <w:ind w:left="85" w:right="197" w:hanging="3"/>
              <w:rPr>
                <w:sz w:val="21"/>
              </w:rPr>
            </w:pPr>
            <w:r>
              <w:rPr>
                <w:spacing w:val="-4"/>
                <w:sz w:val="21"/>
              </w:rPr>
              <w:t>是指一种神经与肌肉接头部位传递障碍的自身免疫性疾病，临床特征是局部或</w:t>
            </w:r>
            <w:r>
              <w:rPr>
                <w:spacing w:val="-11"/>
                <w:sz w:val="21"/>
              </w:rPr>
              <w:t>全身横纹肌于活动时易于疲劳无力，颅神经眼外肌最易累及，也可涉及呼吸肌、</w:t>
            </w:r>
            <w:r>
              <w:rPr>
                <w:spacing w:val="-8"/>
                <w:sz w:val="21"/>
              </w:rPr>
              <w:t>下肢近端肌群乃至全身肌肉，须经本公司认可的神经科医师确诊。其诊断必须</w:t>
            </w:r>
            <w:r>
              <w:rPr>
                <w:spacing w:val="-5"/>
                <w:sz w:val="21"/>
              </w:rPr>
              <w:t>同时具有下列情况：</w:t>
            </w:r>
          </w:p>
          <w:p>
            <w:pPr>
              <w:pStyle w:val="TableParagraph"/>
              <w:spacing w:before="18"/>
              <w:ind w:left="83"/>
              <w:rPr>
                <w:sz w:val="21"/>
              </w:rPr>
            </w:pPr>
            <w:r>
              <w:rPr>
                <w:sz w:val="21"/>
              </w:rPr>
              <w:t>（1）经药物、胸腺手术治疗一年以上无法控制病情，丧失正常工作能力；</w:t>
            </w:r>
          </w:p>
          <w:p>
            <w:pPr>
              <w:pStyle w:val="TableParagraph"/>
              <w:spacing w:line="307" w:lineRule="auto" w:before="75"/>
              <w:ind w:left="85" w:right="384" w:hanging="3"/>
              <w:rPr>
                <w:sz w:val="21"/>
              </w:rPr>
            </w:pPr>
            <w:r>
              <w:rPr>
                <w:sz w:val="21"/>
              </w:rPr>
              <w:t>（2）出现眼睑下垂，或构音困难、进食呛咳，或由于肌无力累及呼吸肌而致机体呼吸功能不正常的危急状态即肌无力危象；</w:t>
            </w:r>
          </w:p>
          <w:p>
            <w:pPr>
              <w:pStyle w:val="TableParagraph"/>
              <w:spacing w:line="270" w:lineRule="exact"/>
              <w:ind w:left="121"/>
              <w:rPr>
                <w:sz w:val="21"/>
              </w:rPr>
            </w:pPr>
            <w:r>
              <w:rPr>
                <w:sz w:val="21"/>
              </w:rPr>
              <w:t>（3）症状缓解、复发及恶化交替出现，临床接受新斯的明等抗胆碱酯酶药物</w:t>
            </w:r>
          </w:p>
          <w:p>
            <w:pPr>
              <w:pStyle w:val="TableParagraph"/>
              <w:spacing w:line="261" w:lineRule="exact" w:before="37"/>
              <w:ind w:left="121"/>
              <w:rPr>
                <w:sz w:val="21"/>
              </w:rPr>
            </w:pPr>
            <w:r>
              <w:rPr>
                <w:sz w:val="21"/>
              </w:rPr>
              <w:t>治疗的病史。</w:t>
            </w:r>
          </w:p>
        </w:tc>
      </w:tr>
    </w:tbl>
    <w:p>
      <w:pPr>
        <w:spacing w:after="0" w:line="261" w:lineRule="exact"/>
        <w:rPr>
          <w:sz w:val="21"/>
        </w:rPr>
        <w:sectPr>
          <w:pgSz w:w="11910" w:h="16840"/>
          <w:pgMar w:header="0" w:footer="377" w:top="1340" w:bottom="560" w:left="1500" w:right="6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8"/>
        <w:gridCol w:w="2026"/>
        <w:gridCol w:w="7517"/>
      </w:tblGrid>
      <w:tr>
        <w:trPr>
          <w:trHeight w:val="1418" w:hRule="atLeast"/>
        </w:trPr>
        <w:tc>
          <w:tcPr>
            <w:tcW w:w="728" w:type="dxa"/>
          </w:tcPr>
          <w:p>
            <w:pPr>
              <w:pStyle w:val="TableParagraph"/>
              <w:ind w:left="0"/>
              <w:rPr>
                <w:rFonts w:ascii="Times New Roman"/>
                <w:sz w:val="20"/>
              </w:rPr>
            </w:pPr>
          </w:p>
        </w:tc>
        <w:tc>
          <w:tcPr>
            <w:tcW w:w="2026" w:type="dxa"/>
          </w:tcPr>
          <w:p>
            <w:pPr>
              <w:pStyle w:val="TableParagraph"/>
              <w:spacing w:line="205" w:lineRule="exact"/>
              <w:ind w:left="211"/>
              <w:rPr>
                <w:rFonts w:ascii="微软雅黑" w:eastAsia="微软雅黑" w:hint="eastAsia"/>
                <w:b/>
                <w:sz w:val="21"/>
              </w:rPr>
            </w:pPr>
            <w:r>
              <w:rPr>
                <w:rFonts w:ascii="微软雅黑" w:eastAsia="微软雅黑" w:hint="eastAsia"/>
                <w:b/>
                <w:sz w:val="21"/>
              </w:rPr>
              <w:t>37. 严重溃疡性结</w:t>
            </w:r>
          </w:p>
          <w:p>
            <w:pPr>
              <w:pStyle w:val="TableParagraph"/>
              <w:spacing w:line="337" w:lineRule="exact"/>
              <w:ind w:left="211"/>
              <w:rPr>
                <w:rFonts w:ascii="微软雅黑" w:eastAsia="微软雅黑" w:hint="eastAsia"/>
                <w:b/>
                <w:sz w:val="21"/>
              </w:rPr>
            </w:pPr>
            <w:r>
              <w:rPr>
                <w:rFonts w:ascii="微软雅黑" w:eastAsia="微软雅黑" w:hint="eastAsia"/>
                <w:b/>
                <w:sz w:val="21"/>
              </w:rPr>
              <w:t>肠炎</w:t>
            </w:r>
          </w:p>
        </w:tc>
        <w:tc>
          <w:tcPr>
            <w:tcW w:w="7517" w:type="dxa"/>
          </w:tcPr>
          <w:p>
            <w:pPr>
              <w:pStyle w:val="TableParagraph"/>
              <w:spacing w:line="224" w:lineRule="exact"/>
              <w:ind w:left="124"/>
              <w:rPr>
                <w:sz w:val="21"/>
              </w:rPr>
            </w:pPr>
            <w:r>
              <w:rPr>
                <w:sz w:val="21"/>
              </w:rPr>
              <w:t>指伴有致命性电解质紊乱的急性暴发性溃疡性结肠炎，病变累及全结肠，表现</w:t>
            </w:r>
          </w:p>
          <w:p>
            <w:pPr>
              <w:pStyle w:val="TableParagraph"/>
              <w:spacing w:line="307" w:lineRule="auto" w:before="73"/>
              <w:ind w:left="124" w:right="304"/>
              <w:jc w:val="both"/>
              <w:rPr>
                <w:sz w:val="21"/>
              </w:rPr>
            </w:pPr>
            <w:r>
              <w:rPr>
                <w:spacing w:val="-6"/>
                <w:sz w:val="21"/>
              </w:rPr>
              <w:t>为严重的血便和系统性症状体征，治疗通常采取全结肠切除和回肠造瘘术。溃</w:t>
            </w:r>
            <w:r>
              <w:rPr>
                <w:spacing w:val="-7"/>
                <w:sz w:val="21"/>
              </w:rPr>
              <w:t>疡性结肠炎必须根据组织病理学特点诊断，并且被保险人已经接受了结肠切除</w:t>
            </w:r>
            <w:r>
              <w:rPr>
                <w:spacing w:val="-5"/>
                <w:sz w:val="21"/>
              </w:rPr>
              <w:t>和回肠造瘘术。</w:t>
            </w:r>
          </w:p>
        </w:tc>
      </w:tr>
      <w:tr>
        <w:trPr>
          <w:trHeight w:val="1555" w:hRule="atLeast"/>
        </w:trPr>
        <w:tc>
          <w:tcPr>
            <w:tcW w:w="728" w:type="dxa"/>
          </w:tcPr>
          <w:p>
            <w:pPr>
              <w:pStyle w:val="TableParagraph"/>
              <w:ind w:left="0"/>
              <w:rPr>
                <w:rFonts w:ascii="Times New Roman"/>
                <w:sz w:val="20"/>
              </w:rPr>
            </w:pPr>
          </w:p>
        </w:tc>
        <w:tc>
          <w:tcPr>
            <w:tcW w:w="2026" w:type="dxa"/>
          </w:tcPr>
          <w:p>
            <w:pPr>
              <w:pStyle w:val="TableParagraph"/>
              <w:spacing w:line="206" w:lineRule="auto" w:before="57"/>
              <w:ind w:left="211" w:right="123"/>
              <w:rPr>
                <w:rFonts w:ascii="微软雅黑" w:eastAsia="微软雅黑" w:hint="eastAsia"/>
                <w:b/>
                <w:sz w:val="21"/>
              </w:rPr>
            </w:pPr>
            <w:r>
              <w:rPr>
                <w:rFonts w:ascii="微软雅黑" w:eastAsia="微软雅黑" w:hint="eastAsia"/>
                <w:b/>
                <w:sz w:val="21"/>
              </w:rPr>
              <w:t>38. 慢性复发性胰腺炎</w:t>
            </w:r>
          </w:p>
        </w:tc>
        <w:tc>
          <w:tcPr>
            <w:tcW w:w="7517" w:type="dxa"/>
          </w:tcPr>
          <w:p>
            <w:pPr>
              <w:pStyle w:val="TableParagraph"/>
              <w:spacing w:line="304" w:lineRule="auto" w:before="88"/>
              <w:ind w:left="129" w:right="309"/>
              <w:rPr>
                <w:sz w:val="21"/>
              </w:rPr>
            </w:pPr>
            <w:r>
              <w:rPr>
                <w:spacing w:val="-6"/>
                <w:sz w:val="21"/>
              </w:rPr>
              <w:t>有腹痛等典型症状的胰腺炎反复发作，导致胰腺进行性破坏，并导致胰腺功能</w:t>
            </w:r>
            <w:r>
              <w:rPr>
                <w:spacing w:val="-3"/>
                <w:sz w:val="21"/>
              </w:rPr>
              <w:t>紊乱而导致严重糖尿病以及营养不良、恶液质。</w:t>
            </w:r>
            <w:r>
              <w:rPr>
                <w:sz w:val="21"/>
              </w:rPr>
              <w:t>CT</w:t>
            </w:r>
            <w:r>
              <w:rPr>
                <w:spacing w:val="-8"/>
                <w:sz w:val="21"/>
              </w:rPr>
              <w:t> 检查证实胰腺存在广泛钙</w:t>
            </w:r>
            <w:r>
              <w:rPr>
                <w:spacing w:val="-10"/>
                <w:sz w:val="21"/>
              </w:rPr>
              <w:t>化，且必须接受酶替代以及胰岛素替代治疗 </w:t>
            </w:r>
            <w:r>
              <w:rPr>
                <w:sz w:val="21"/>
              </w:rPr>
              <w:t>6</w:t>
            </w:r>
            <w:r>
              <w:rPr>
                <w:spacing w:val="-10"/>
                <w:sz w:val="21"/>
              </w:rPr>
              <w:t> 个月以上。诊断必须由专科医生</w:t>
            </w:r>
            <w:r>
              <w:rPr>
                <w:spacing w:val="-3"/>
                <w:sz w:val="21"/>
              </w:rPr>
              <w:t>确诊。酒精导致的慢性复发性胰腺炎除外。</w:t>
            </w:r>
          </w:p>
        </w:tc>
      </w:tr>
      <w:tr>
        <w:trPr>
          <w:trHeight w:val="2291" w:hRule="atLeast"/>
        </w:trPr>
        <w:tc>
          <w:tcPr>
            <w:tcW w:w="728" w:type="dxa"/>
          </w:tcPr>
          <w:p>
            <w:pPr>
              <w:pStyle w:val="TableParagraph"/>
              <w:ind w:left="0"/>
              <w:rPr>
                <w:rFonts w:ascii="Times New Roman"/>
                <w:sz w:val="20"/>
              </w:rPr>
            </w:pPr>
          </w:p>
        </w:tc>
        <w:tc>
          <w:tcPr>
            <w:tcW w:w="2026" w:type="dxa"/>
          </w:tcPr>
          <w:p>
            <w:pPr>
              <w:pStyle w:val="TableParagraph"/>
              <w:spacing w:before="4"/>
              <w:ind w:left="211"/>
              <w:rPr>
                <w:rFonts w:ascii="微软雅黑" w:eastAsia="微软雅黑" w:hint="eastAsia"/>
                <w:b/>
                <w:sz w:val="21"/>
              </w:rPr>
            </w:pPr>
            <w:r>
              <w:rPr>
                <w:rFonts w:ascii="微软雅黑" w:eastAsia="微软雅黑" w:hint="eastAsia"/>
                <w:b/>
                <w:sz w:val="21"/>
              </w:rPr>
              <w:t>39. 坏死性筋膜炎</w:t>
            </w:r>
          </w:p>
        </w:tc>
        <w:tc>
          <w:tcPr>
            <w:tcW w:w="7517" w:type="dxa"/>
          </w:tcPr>
          <w:p>
            <w:pPr>
              <w:pStyle w:val="TableParagraph"/>
              <w:spacing w:line="307" w:lineRule="auto" w:before="86"/>
              <w:ind w:left="129" w:right="345"/>
              <w:rPr>
                <w:sz w:val="21"/>
              </w:rPr>
            </w:pPr>
            <w:r>
              <w:rPr>
                <w:sz w:val="21"/>
              </w:rPr>
              <w:t>指肢体或躯干肌肉之浅及/或深筋膜受到感染，病情往往属暴发性并需要实时进行手术及清创术阻止病情恶化。诊断必须符合下列要求：</w:t>
            </w:r>
          </w:p>
          <w:p>
            <w:pPr>
              <w:pStyle w:val="TableParagraph"/>
              <w:spacing w:before="115"/>
              <w:ind w:left="129"/>
              <w:rPr>
                <w:sz w:val="21"/>
              </w:rPr>
            </w:pPr>
            <w:r>
              <w:rPr>
                <w:sz w:val="21"/>
              </w:rPr>
              <w:t>（1）符合坏死性筋膜炎的典型临床表现；</w:t>
            </w:r>
          </w:p>
          <w:p>
            <w:pPr>
              <w:pStyle w:val="TableParagraph"/>
              <w:spacing w:before="75"/>
              <w:ind w:left="129"/>
              <w:rPr>
                <w:sz w:val="21"/>
              </w:rPr>
            </w:pPr>
            <w:r>
              <w:rPr>
                <w:sz w:val="21"/>
              </w:rPr>
              <w:t>（2）细菌学检查检出致病菌；</w:t>
            </w:r>
          </w:p>
          <w:p>
            <w:pPr>
              <w:pStyle w:val="TableParagraph"/>
              <w:spacing w:line="273" w:lineRule="auto" w:before="56"/>
              <w:ind w:left="652" w:right="347" w:hanging="526"/>
              <w:rPr>
                <w:sz w:val="21"/>
              </w:rPr>
            </w:pPr>
            <w:r>
              <w:rPr>
                <w:sz w:val="21"/>
              </w:rPr>
              <w:t>（3）出现广泛性肌肉及软组织坏死，并导致身体受影响部位完全失去功能超过 180 天。</w:t>
            </w:r>
          </w:p>
        </w:tc>
      </w:tr>
      <w:tr>
        <w:trPr>
          <w:trHeight w:val="848" w:hRule="atLeast"/>
        </w:trPr>
        <w:tc>
          <w:tcPr>
            <w:tcW w:w="728" w:type="dxa"/>
          </w:tcPr>
          <w:p>
            <w:pPr>
              <w:pStyle w:val="TableParagraph"/>
              <w:ind w:left="0"/>
              <w:rPr>
                <w:rFonts w:ascii="Times New Roman"/>
                <w:sz w:val="20"/>
              </w:rPr>
            </w:pPr>
          </w:p>
        </w:tc>
        <w:tc>
          <w:tcPr>
            <w:tcW w:w="2026" w:type="dxa"/>
          </w:tcPr>
          <w:p>
            <w:pPr>
              <w:pStyle w:val="TableParagraph"/>
              <w:spacing w:line="362" w:lineRule="exact"/>
              <w:ind w:left="211"/>
              <w:rPr>
                <w:rFonts w:ascii="微软雅黑" w:eastAsia="微软雅黑" w:hint="eastAsia"/>
                <w:b/>
                <w:sz w:val="21"/>
              </w:rPr>
            </w:pPr>
            <w:r>
              <w:rPr>
                <w:rFonts w:ascii="微软雅黑" w:eastAsia="微软雅黑" w:hint="eastAsia"/>
                <w:b/>
                <w:w w:val="81"/>
                <w:sz w:val="21"/>
              </w:rPr>
              <w:t>40</w:t>
            </w:r>
            <w:r>
              <w:rPr>
                <w:rFonts w:ascii="微软雅黑" w:eastAsia="微软雅黑" w:hint="eastAsia"/>
                <w:b/>
                <w:w w:val="176"/>
                <w:sz w:val="21"/>
              </w:rPr>
              <w:t>.</w:t>
            </w:r>
            <w:r>
              <w:rPr>
                <w:rFonts w:ascii="微软雅黑" w:eastAsia="微软雅黑" w:hint="eastAsia"/>
                <w:b/>
                <w:w w:val="100"/>
                <w:sz w:val="21"/>
              </w:rPr>
              <w:t>终末期疾病</w:t>
            </w:r>
          </w:p>
        </w:tc>
        <w:tc>
          <w:tcPr>
            <w:tcW w:w="7517" w:type="dxa"/>
          </w:tcPr>
          <w:p>
            <w:pPr>
              <w:pStyle w:val="TableParagraph"/>
              <w:spacing w:line="307" w:lineRule="auto" w:before="81"/>
              <w:ind w:left="129" w:right="448"/>
              <w:rPr>
                <w:sz w:val="21"/>
              </w:rPr>
            </w:pPr>
            <w:r>
              <w:rPr>
                <w:sz w:val="21"/>
              </w:rPr>
              <w:t>经本公司认可的专科医生确诊疾病已经发展到无法治疗的阶段并导致被保险人的生存期自确诊之日起不超过 6 个月。</w:t>
            </w:r>
          </w:p>
        </w:tc>
      </w:tr>
      <w:tr>
        <w:trPr>
          <w:trHeight w:val="476" w:hRule="atLeast"/>
        </w:trPr>
        <w:tc>
          <w:tcPr>
            <w:tcW w:w="10271" w:type="dxa"/>
            <w:gridSpan w:val="3"/>
          </w:tcPr>
          <w:p>
            <w:pPr>
              <w:pStyle w:val="TableParagraph"/>
              <w:spacing w:before="65"/>
              <w:ind w:left="939"/>
              <w:rPr>
                <w:sz w:val="21"/>
              </w:rPr>
            </w:pPr>
            <w:r>
              <w:rPr>
                <w:sz w:val="21"/>
              </w:rPr>
              <w:t>以下为对上述重大疾病中部分专有名词的解释：</w:t>
            </w:r>
          </w:p>
        </w:tc>
      </w:tr>
      <w:tr>
        <w:trPr>
          <w:trHeight w:val="1699" w:hRule="atLeast"/>
        </w:trPr>
        <w:tc>
          <w:tcPr>
            <w:tcW w:w="728" w:type="dxa"/>
          </w:tcPr>
          <w:p>
            <w:pPr>
              <w:pStyle w:val="TableParagraph"/>
              <w:ind w:left="0"/>
              <w:rPr>
                <w:rFonts w:ascii="Times New Roman"/>
                <w:sz w:val="20"/>
              </w:rPr>
            </w:pPr>
          </w:p>
        </w:tc>
        <w:tc>
          <w:tcPr>
            <w:tcW w:w="2026" w:type="dxa"/>
          </w:tcPr>
          <w:p>
            <w:pPr>
              <w:pStyle w:val="TableParagraph"/>
              <w:spacing w:line="360" w:lineRule="exact"/>
              <w:ind w:left="211"/>
              <w:rPr>
                <w:rFonts w:ascii="微软雅黑" w:eastAsia="微软雅黑" w:hint="eastAsia"/>
                <w:b/>
                <w:sz w:val="21"/>
              </w:rPr>
            </w:pPr>
            <w:r>
              <w:rPr>
                <w:rFonts w:ascii="微软雅黑" w:eastAsia="微软雅黑" w:hint="eastAsia"/>
                <w:b/>
                <w:sz w:val="21"/>
              </w:rPr>
              <w:t>专科医生</w:t>
            </w:r>
          </w:p>
        </w:tc>
        <w:tc>
          <w:tcPr>
            <w:tcW w:w="7517" w:type="dxa"/>
          </w:tcPr>
          <w:p>
            <w:pPr>
              <w:pStyle w:val="TableParagraph"/>
              <w:spacing w:line="273" w:lineRule="auto" w:before="59"/>
              <w:ind w:right="304"/>
              <w:jc w:val="both"/>
              <w:rPr>
                <w:sz w:val="21"/>
              </w:rPr>
            </w:pPr>
            <w:r>
              <w:rPr>
                <w:spacing w:val="-3"/>
                <w:w w:val="100"/>
                <w:sz w:val="21"/>
              </w:rPr>
              <w:t>专科医生应当同时满足以下四项资格条件</w:t>
            </w:r>
            <w:r>
              <w:rPr>
                <w:spacing w:val="-197"/>
                <w:w w:val="100"/>
                <w:sz w:val="21"/>
              </w:rPr>
              <w:t>：</w:t>
            </w:r>
            <w:r>
              <w:rPr>
                <w:w w:val="100"/>
                <w:sz w:val="21"/>
              </w:rPr>
              <w:t>（</w:t>
            </w:r>
            <w:r>
              <w:rPr>
                <w:spacing w:val="-1"/>
                <w:w w:val="100"/>
                <w:sz w:val="21"/>
              </w:rPr>
              <w:t>1</w:t>
            </w:r>
            <w:r>
              <w:rPr>
                <w:spacing w:val="-94"/>
                <w:w w:val="100"/>
                <w:sz w:val="21"/>
              </w:rPr>
              <w:t>）</w:t>
            </w:r>
            <w:r>
              <w:rPr>
                <w:spacing w:val="-11"/>
                <w:w w:val="100"/>
                <w:sz w:val="21"/>
              </w:rPr>
              <w:t>具有有效的中华人民共和国《医</w:t>
            </w:r>
            <w:r>
              <w:rPr>
                <w:spacing w:val="-35"/>
                <w:w w:val="100"/>
                <w:sz w:val="21"/>
              </w:rPr>
              <w:t>师资格证书》；</w:t>
            </w:r>
            <w:r>
              <w:rPr>
                <w:w w:val="100"/>
                <w:sz w:val="21"/>
              </w:rPr>
              <w:t>（</w:t>
            </w:r>
            <w:r>
              <w:rPr>
                <w:spacing w:val="-3"/>
                <w:w w:val="100"/>
                <w:sz w:val="21"/>
              </w:rPr>
              <w:t>2</w:t>
            </w:r>
            <w:r>
              <w:rPr>
                <w:spacing w:val="-15"/>
                <w:w w:val="100"/>
                <w:sz w:val="21"/>
              </w:rPr>
              <w:t>）</w:t>
            </w:r>
            <w:r>
              <w:rPr>
                <w:spacing w:val="-12"/>
                <w:w w:val="100"/>
                <w:sz w:val="21"/>
              </w:rPr>
              <w:t>具有有效的中华人民共和国《医师执业证书》，并按期到相</w:t>
            </w:r>
            <w:r>
              <w:rPr>
                <w:spacing w:val="-6"/>
                <w:w w:val="100"/>
                <w:sz w:val="21"/>
              </w:rPr>
              <w:t>关部门登记注册</w:t>
            </w:r>
            <w:r>
              <w:rPr>
                <w:spacing w:val="-137"/>
                <w:w w:val="100"/>
                <w:sz w:val="21"/>
              </w:rPr>
              <w:t>；</w:t>
            </w:r>
            <w:r>
              <w:rPr>
                <w:w w:val="100"/>
                <w:sz w:val="21"/>
              </w:rPr>
              <w:t>（3</w:t>
            </w:r>
            <w:r>
              <w:rPr>
                <w:spacing w:val="-34"/>
                <w:w w:val="100"/>
                <w:sz w:val="21"/>
              </w:rPr>
              <w:t>）</w:t>
            </w:r>
            <w:r>
              <w:rPr>
                <w:spacing w:val="-3"/>
                <w:w w:val="100"/>
                <w:sz w:val="21"/>
              </w:rPr>
              <w:t>具有有效的中华人民共和国主治医师或主治医师以上职</w:t>
            </w:r>
            <w:r>
              <w:rPr>
                <w:spacing w:val="-23"/>
                <w:w w:val="100"/>
                <w:sz w:val="21"/>
              </w:rPr>
              <w:t>称的《医师职称证书》；</w:t>
            </w:r>
            <w:r>
              <w:rPr>
                <w:spacing w:val="-3"/>
                <w:w w:val="100"/>
                <w:sz w:val="21"/>
              </w:rPr>
              <w:t>（4</w:t>
            </w:r>
            <w:r>
              <w:rPr>
                <w:w w:val="100"/>
                <w:sz w:val="21"/>
              </w:rPr>
              <w:t>）</w:t>
            </w:r>
            <w:r>
              <w:rPr>
                <w:spacing w:val="-3"/>
                <w:w w:val="100"/>
                <w:sz w:val="21"/>
              </w:rPr>
              <w:t>在二级或二级以上医院的相应科室从事临床工作</w:t>
            </w:r>
            <w:r>
              <w:rPr>
                <w:spacing w:val="-3"/>
                <w:sz w:val="21"/>
              </w:rPr>
              <w:t>三年以上。</w:t>
            </w:r>
          </w:p>
        </w:tc>
      </w:tr>
      <w:tr>
        <w:trPr>
          <w:trHeight w:val="1388" w:hRule="atLeast"/>
        </w:trPr>
        <w:tc>
          <w:tcPr>
            <w:tcW w:w="728" w:type="dxa"/>
          </w:tcPr>
          <w:p>
            <w:pPr>
              <w:pStyle w:val="TableParagraph"/>
              <w:ind w:left="0"/>
              <w:rPr>
                <w:rFonts w:ascii="Times New Roman"/>
                <w:sz w:val="20"/>
              </w:rPr>
            </w:pPr>
          </w:p>
        </w:tc>
        <w:tc>
          <w:tcPr>
            <w:tcW w:w="2026" w:type="dxa"/>
          </w:tcPr>
          <w:p>
            <w:pPr>
              <w:pStyle w:val="TableParagraph"/>
              <w:spacing w:line="206" w:lineRule="auto" w:before="28"/>
              <w:ind w:left="211" w:right="123"/>
              <w:rPr>
                <w:rFonts w:ascii="微软雅黑" w:eastAsia="微软雅黑" w:hint="eastAsia"/>
                <w:b/>
                <w:sz w:val="21"/>
              </w:rPr>
            </w:pPr>
            <w:r>
              <w:rPr>
                <w:rFonts w:ascii="微软雅黑" w:eastAsia="微软雅黑" w:hint="eastAsia"/>
                <w:b/>
                <w:sz w:val="21"/>
              </w:rPr>
              <w:t>六项基本日常生活活动</w:t>
            </w:r>
          </w:p>
        </w:tc>
        <w:tc>
          <w:tcPr>
            <w:tcW w:w="7517" w:type="dxa"/>
          </w:tcPr>
          <w:p>
            <w:pPr>
              <w:pStyle w:val="TableParagraph"/>
              <w:spacing w:line="273" w:lineRule="auto" w:before="40"/>
              <w:ind w:right="242"/>
              <w:jc w:val="both"/>
              <w:rPr>
                <w:sz w:val="21"/>
              </w:rPr>
            </w:pPr>
            <w:r>
              <w:rPr>
                <w:spacing w:val="-9"/>
                <w:sz w:val="21"/>
              </w:rPr>
              <w:t>六项基本日常生活活动是指：①穿衣：自己能够穿衣及脱衣；②移动：自己从一个房间到另一个房间；③行动：自己上下床或上下轮椅；④如厕：自己控制</w:t>
            </w:r>
            <w:r>
              <w:rPr>
                <w:spacing w:val="-3"/>
                <w:sz w:val="21"/>
              </w:rPr>
              <w:t>进行大小便；⑤进食：自己从已准备好的碗或碟中取食物放入口中；⑥洗澡： 自己进行淋浴或盆浴。</w:t>
            </w:r>
          </w:p>
        </w:tc>
      </w:tr>
      <w:tr>
        <w:trPr>
          <w:trHeight w:val="808" w:hRule="atLeast"/>
        </w:trPr>
        <w:tc>
          <w:tcPr>
            <w:tcW w:w="728" w:type="dxa"/>
          </w:tcPr>
          <w:p>
            <w:pPr>
              <w:pStyle w:val="TableParagraph"/>
              <w:ind w:left="0"/>
              <w:rPr>
                <w:rFonts w:ascii="Times New Roman"/>
                <w:sz w:val="20"/>
              </w:rPr>
            </w:pPr>
          </w:p>
        </w:tc>
        <w:tc>
          <w:tcPr>
            <w:tcW w:w="2026" w:type="dxa"/>
          </w:tcPr>
          <w:p>
            <w:pPr>
              <w:pStyle w:val="TableParagraph"/>
              <w:spacing w:line="361" w:lineRule="exact"/>
              <w:ind w:left="211"/>
              <w:rPr>
                <w:rFonts w:ascii="微软雅黑" w:eastAsia="微软雅黑" w:hint="eastAsia"/>
                <w:b/>
                <w:sz w:val="21"/>
              </w:rPr>
            </w:pPr>
            <w:r>
              <w:rPr>
                <w:rFonts w:ascii="微软雅黑" w:eastAsia="微软雅黑" w:hint="eastAsia"/>
                <w:b/>
                <w:sz w:val="21"/>
              </w:rPr>
              <w:t>肢体机能完全丧失</w:t>
            </w:r>
          </w:p>
        </w:tc>
        <w:tc>
          <w:tcPr>
            <w:tcW w:w="7517" w:type="dxa"/>
          </w:tcPr>
          <w:p>
            <w:pPr>
              <w:pStyle w:val="TableParagraph"/>
              <w:spacing w:line="273" w:lineRule="auto" w:before="61"/>
              <w:ind w:right="304"/>
              <w:rPr>
                <w:sz w:val="21"/>
              </w:rPr>
            </w:pPr>
            <w:r>
              <w:rPr>
                <w:spacing w:val="-7"/>
                <w:sz w:val="21"/>
              </w:rPr>
              <w:t>指肢体的三大关节中的两大关节僵硬，或不能随意识活动。肢体是指包括肩关</w:t>
            </w:r>
            <w:r>
              <w:rPr>
                <w:spacing w:val="-5"/>
                <w:sz w:val="21"/>
              </w:rPr>
              <w:t>节的整个上肢或包括髋关节的整个下肢。</w:t>
            </w:r>
          </w:p>
        </w:tc>
      </w:tr>
      <w:tr>
        <w:trPr>
          <w:trHeight w:val="1433" w:hRule="atLeast"/>
        </w:trPr>
        <w:tc>
          <w:tcPr>
            <w:tcW w:w="728" w:type="dxa"/>
          </w:tcPr>
          <w:p>
            <w:pPr>
              <w:pStyle w:val="TableParagraph"/>
              <w:ind w:left="0"/>
              <w:rPr>
                <w:rFonts w:ascii="Times New Roman"/>
                <w:sz w:val="20"/>
              </w:rPr>
            </w:pPr>
          </w:p>
        </w:tc>
        <w:tc>
          <w:tcPr>
            <w:tcW w:w="2026" w:type="dxa"/>
          </w:tcPr>
          <w:p>
            <w:pPr>
              <w:pStyle w:val="TableParagraph"/>
              <w:spacing w:line="206" w:lineRule="auto" w:before="73"/>
              <w:ind w:left="211" w:right="123"/>
              <w:rPr>
                <w:rFonts w:ascii="微软雅黑" w:eastAsia="微软雅黑" w:hint="eastAsia"/>
                <w:b/>
                <w:sz w:val="21"/>
              </w:rPr>
            </w:pPr>
            <w:r>
              <w:rPr>
                <w:rFonts w:ascii="微软雅黑" w:eastAsia="微软雅黑" w:hint="eastAsia"/>
                <w:b/>
                <w:sz w:val="21"/>
              </w:rPr>
              <w:t>语言能力或咀嚼吞咽能力完全丧失</w:t>
            </w:r>
          </w:p>
        </w:tc>
        <w:tc>
          <w:tcPr>
            <w:tcW w:w="7517" w:type="dxa"/>
          </w:tcPr>
          <w:p>
            <w:pPr>
              <w:pStyle w:val="TableParagraph"/>
              <w:spacing w:line="273" w:lineRule="auto" w:before="84"/>
              <w:ind w:right="199"/>
              <w:rPr>
                <w:sz w:val="21"/>
              </w:rPr>
            </w:pPr>
            <w:r>
              <w:rPr>
                <w:spacing w:val="-6"/>
                <w:sz w:val="21"/>
              </w:rPr>
              <w:t>语言能力完全丧失，指无法发出四种语音</w:t>
            </w:r>
            <w:r>
              <w:rPr>
                <w:spacing w:val="-3"/>
                <w:sz w:val="21"/>
              </w:rPr>
              <w:t>（</w:t>
            </w:r>
            <w:r>
              <w:rPr>
                <w:spacing w:val="-7"/>
                <w:sz w:val="21"/>
              </w:rPr>
              <w:t>包括口唇音、齿舌音、口盖音和喉</w:t>
            </w:r>
            <w:r>
              <w:rPr>
                <w:spacing w:val="-2"/>
                <w:sz w:val="21"/>
              </w:rPr>
              <w:t>头音</w:t>
            </w:r>
            <w:r>
              <w:rPr>
                <w:spacing w:val="-56"/>
                <w:sz w:val="21"/>
              </w:rPr>
              <w:t>）</w:t>
            </w:r>
            <w:r>
              <w:rPr>
                <w:spacing w:val="-13"/>
                <w:sz w:val="21"/>
              </w:rPr>
              <w:t>中的任何三种、或声带全部切除，或因大脑语言中枢受伤害而患失语症。</w:t>
            </w:r>
            <w:r>
              <w:rPr>
                <w:spacing w:val="-10"/>
                <w:sz w:val="21"/>
              </w:rPr>
              <w:t>咀嚼吞咽能力完全丧失，指因牙齿以外的原因导致器质障碍或机能障碍，以致</w:t>
            </w:r>
            <w:r>
              <w:rPr>
                <w:spacing w:val="-5"/>
                <w:sz w:val="21"/>
              </w:rPr>
              <w:t>不能作咀嚼吞咽运动，除流质食物外不能摄取或吞咽的状态。</w:t>
            </w:r>
          </w:p>
        </w:tc>
      </w:tr>
      <w:tr>
        <w:trPr>
          <w:trHeight w:val="764" w:hRule="atLeast"/>
        </w:trPr>
        <w:tc>
          <w:tcPr>
            <w:tcW w:w="728" w:type="dxa"/>
          </w:tcPr>
          <w:p>
            <w:pPr>
              <w:pStyle w:val="TableParagraph"/>
              <w:ind w:left="0"/>
              <w:rPr>
                <w:rFonts w:ascii="Times New Roman"/>
                <w:sz w:val="20"/>
              </w:rPr>
            </w:pPr>
          </w:p>
        </w:tc>
        <w:tc>
          <w:tcPr>
            <w:tcW w:w="2026" w:type="dxa"/>
          </w:tcPr>
          <w:p>
            <w:pPr>
              <w:pStyle w:val="TableParagraph"/>
              <w:spacing w:line="362" w:lineRule="exact"/>
              <w:ind w:left="211"/>
              <w:rPr>
                <w:rFonts w:ascii="微软雅黑" w:eastAsia="微软雅黑" w:hint="eastAsia"/>
                <w:b/>
                <w:sz w:val="21"/>
              </w:rPr>
            </w:pPr>
            <w:r>
              <w:rPr>
                <w:rFonts w:ascii="微软雅黑" w:eastAsia="微软雅黑" w:hint="eastAsia"/>
                <w:b/>
                <w:sz w:val="21"/>
              </w:rPr>
              <w:t>永久不可逆</w:t>
            </w:r>
          </w:p>
        </w:tc>
        <w:tc>
          <w:tcPr>
            <w:tcW w:w="7517" w:type="dxa"/>
          </w:tcPr>
          <w:p>
            <w:pPr>
              <w:pStyle w:val="TableParagraph"/>
              <w:spacing w:line="273" w:lineRule="auto" w:before="62"/>
              <w:ind w:left="127" w:right="307" w:hanging="1"/>
              <w:rPr>
                <w:sz w:val="21"/>
              </w:rPr>
            </w:pPr>
            <w:r>
              <w:rPr>
                <w:spacing w:val="-7"/>
                <w:sz w:val="21"/>
              </w:rPr>
              <w:t>指自疾病确诊或意外伤害发生之日起，经过积极治疗 </w:t>
            </w:r>
            <w:r>
              <w:rPr>
                <w:sz w:val="21"/>
              </w:rPr>
              <w:t>180</w:t>
            </w:r>
            <w:r>
              <w:rPr>
                <w:spacing w:val="-11"/>
                <w:sz w:val="21"/>
              </w:rPr>
              <w:t> 天后，仍无法通过现</w:t>
            </w:r>
            <w:r>
              <w:rPr>
                <w:spacing w:val="-3"/>
                <w:sz w:val="21"/>
              </w:rPr>
              <w:t>有医疗手段恢复。</w:t>
            </w:r>
          </w:p>
        </w:tc>
      </w:tr>
      <w:tr>
        <w:trPr>
          <w:trHeight w:val="457" w:hRule="atLeast"/>
        </w:trPr>
        <w:tc>
          <w:tcPr>
            <w:tcW w:w="728" w:type="dxa"/>
          </w:tcPr>
          <w:p>
            <w:pPr>
              <w:pStyle w:val="TableParagraph"/>
              <w:spacing w:line="339" w:lineRule="exact"/>
              <w:ind w:left="200"/>
              <w:rPr>
                <w:rFonts w:ascii="微软雅黑"/>
                <w:b/>
                <w:sz w:val="21"/>
              </w:rPr>
            </w:pPr>
            <w:r>
              <w:rPr>
                <w:rFonts w:ascii="微软雅黑"/>
                <w:b/>
                <w:sz w:val="21"/>
              </w:rPr>
              <w:t>9.5</w:t>
            </w:r>
          </w:p>
        </w:tc>
        <w:tc>
          <w:tcPr>
            <w:tcW w:w="2026" w:type="dxa"/>
          </w:tcPr>
          <w:p>
            <w:pPr>
              <w:pStyle w:val="TableParagraph"/>
              <w:spacing w:line="339" w:lineRule="exact"/>
              <w:ind w:left="211"/>
              <w:rPr>
                <w:rFonts w:ascii="微软雅黑" w:eastAsia="微软雅黑" w:hint="eastAsia"/>
                <w:b/>
                <w:sz w:val="21"/>
              </w:rPr>
            </w:pPr>
            <w:r>
              <w:rPr>
                <w:rFonts w:ascii="微软雅黑" w:eastAsia="微软雅黑" w:hint="eastAsia"/>
                <w:b/>
                <w:sz w:val="21"/>
              </w:rPr>
              <w:t>意外伤害</w:t>
            </w:r>
          </w:p>
        </w:tc>
        <w:tc>
          <w:tcPr>
            <w:tcW w:w="7517" w:type="dxa"/>
          </w:tcPr>
          <w:p>
            <w:pPr>
              <w:pStyle w:val="TableParagraph"/>
              <w:spacing w:before="39"/>
              <w:rPr>
                <w:sz w:val="21"/>
              </w:rPr>
            </w:pPr>
            <w:r>
              <w:rPr>
                <w:sz w:val="21"/>
              </w:rPr>
              <w:t>指遭受外来的、突发的、非本意的、非疾病的使身体受到伤害的客观事件。</w:t>
            </w:r>
          </w:p>
        </w:tc>
      </w:tr>
      <w:tr>
        <w:trPr>
          <w:trHeight w:val="972" w:hRule="atLeast"/>
        </w:trPr>
        <w:tc>
          <w:tcPr>
            <w:tcW w:w="728" w:type="dxa"/>
          </w:tcPr>
          <w:p>
            <w:pPr>
              <w:pStyle w:val="TableParagraph"/>
              <w:spacing w:before="4"/>
              <w:ind w:left="200"/>
              <w:rPr>
                <w:rFonts w:ascii="微软雅黑"/>
                <w:b/>
                <w:sz w:val="21"/>
              </w:rPr>
            </w:pPr>
            <w:r>
              <w:rPr>
                <w:rFonts w:ascii="微软雅黑"/>
                <w:b/>
                <w:sz w:val="21"/>
              </w:rPr>
              <w:t>9.6</w:t>
            </w:r>
          </w:p>
        </w:tc>
        <w:tc>
          <w:tcPr>
            <w:tcW w:w="2026" w:type="dxa"/>
          </w:tcPr>
          <w:p>
            <w:pPr>
              <w:pStyle w:val="TableParagraph"/>
              <w:spacing w:before="4"/>
              <w:ind w:left="211"/>
              <w:rPr>
                <w:rFonts w:ascii="微软雅黑" w:eastAsia="微软雅黑" w:hint="eastAsia"/>
                <w:b/>
                <w:sz w:val="21"/>
              </w:rPr>
            </w:pPr>
            <w:r>
              <w:rPr>
                <w:rFonts w:ascii="微软雅黑" w:eastAsia="微软雅黑" w:hint="eastAsia"/>
                <w:b/>
                <w:sz w:val="21"/>
              </w:rPr>
              <w:t>酒后驾驶</w:t>
            </w:r>
          </w:p>
        </w:tc>
        <w:tc>
          <w:tcPr>
            <w:tcW w:w="7517" w:type="dxa"/>
          </w:tcPr>
          <w:p>
            <w:pPr>
              <w:pStyle w:val="TableParagraph"/>
              <w:spacing w:line="310" w:lineRule="atLeast" w:before="31"/>
              <w:ind w:right="306"/>
              <w:jc w:val="both"/>
              <w:rPr>
                <w:sz w:val="21"/>
              </w:rPr>
            </w:pPr>
            <w:r>
              <w:rPr>
                <w:spacing w:val="-10"/>
                <w:sz w:val="21"/>
              </w:rPr>
              <w:t>指经检测或鉴定，发生事故时车辆驾驶人员每百毫升血液中的酒精含量达到或</w:t>
            </w:r>
            <w:r>
              <w:rPr>
                <w:spacing w:val="-8"/>
                <w:sz w:val="21"/>
              </w:rPr>
              <w:t>超过一定的标准，公安机关交通管理部门依据《道路交通安全法》的规定认定</w:t>
            </w:r>
            <w:r>
              <w:rPr>
                <w:spacing w:val="-3"/>
                <w:sz w:val="21"/>
              </w:rPr>
              <w:t>为饮酒后驾驶或醉酒后驾驶。</w:t>
            </w:r>
          </w:p>
        </w:tc>
      </w:tr>
    </w:tbl>
    <w:p>
      <w:pPr>
        <w:spacing w:after="0" w:line="310" w:lineRule="atLeast"/>
        <w:jc w:val="both"/>
        <w:rPr>
          <w:sz w:val="21"/>
        </w:rPr>
        <w:sectPr>
          <w:pgSz w:w="11910" w:h="16840"/>
          <w:pgMar w:header="0" w:footer="377" w:top="1340" w:bottom="560" w:left="760" w:right="6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1"/>
        <w:gridCol w:w="1974"/>
        <w:gridCol w:w="7514"/>
      </w:tblGrid>
      <w:tr>
        <w:trPr>
          <w:trHeight w:val="1232" w:hRule="atLeast"/>
        </w:trPr>
        <w:tc>
          <w:tcPr>
            <w:tcW w:w="781" w:type="dxa"/>
          </w:tcPr>
          <w:p>
            <w:pPr>
              <w:pStyle w:val="TableParagraph"/>
              <w:spacing w:line="230" w:lineRule="exact"/>
              <w:ind w:left="200"/>
              <w:rPr>
                <w:rFonts w:ascii="微软雅黑"/>
                <w:b/>
                <w:sz w:val="21"/>
              </w:rPr>
            </w:pPr>
            <w:r>
              <w:rPr>
                <w:rFonts w:ascii="微软雅黑"/>
                <w:b/>
                <w:sz w:val="21"/>
              </w:rPr>
              <w:t>9.7</w:t>
            </w:r>
          </w:p>
        </w:tc>
        <w:tc>
          <w:tcPr>
            <w:tcW w:w="1974" w:type="dxa"/>
          </w:tcPr>
          <w:p>
            <w:pPr>
              <w:pStyle w:val="TableParagraph"/>
              <w:spacing w:line="205" w:lineRule="exact"/>
              <w:ind w:left="158"/>
              <w:rPr>
                <w:rFonts w:ascii="微软雅黑" w:eastAsia="微软雅黑" w:hint="eastAsia"/>
                <w:b/>
                <w:sz w:val="21"/>
              </w:rPr>
            </w:pPr>
            <w:r>
              <w:rPr>
                <w:rFonts w:ascii="微软雅黑" w:eastAsia="微软雅黑" w:hint="eastAsia"/>
                <w:b/>
                <w:sz w:val="21"/>
              </w:rPr>
              <w:t>无合法有效驾驶证</w:t>
            </w:r>
          </w:p>
          <w:p>
            <w:pPr>
              <w:pStyle w:val="TableParagraph"/>
              <w:spacing w:line="337" w:lineRule="exact"/>
              <w:ind w:left="158"/>
              <w:rPr>
                <w:rFonts w:ascii="微软雅黑" w:eastAsia="微软雅黑" w:hint="eastAsia"/>
                <w:b/>
                <w:sz w:val="21"/>
              </w:rPr>
            </w:pPr>
            <w:r>
              <w:rPr>
                <w:rFonts w:ascii="微软雅黑" w:eastAsia="微软雅黑" w:hint="eastAsia"/>
                <w:b/>
                <w:sz w:val="21"/>
              </w:rPr>
              <w:t>驾驶</w:t>
            </w:r>
          </w:p>
        </w:tc>
        <w:tc>
          <w:tcPr>
            <w:tcW w:w="7514" w:type="dxa"/>
          </w:tcPr>
          <w:p>
            <w:pPr>
              <w:pStyle w:val="TableParagraph"/>
              <w:spacing w:line="205" w:lineRule="exact"/>
              <w:ind w:left="125"/>
              <w:rPr>
                <w:sz w:val="21"/>
              </w:rPr>
            </w:pPr>
            <w:r>
              <w:rPr>
                <w:sz w:val="21"/>
              </w:rPr>
              <w:t>指下列情形之一：</w:t>
            </w:r>
          </w:p>
          <w:p>
            <w:pPr>
              <w:pStyle w:val="TableParagraph"/>
              <w:spacing w:before="37"/>
              <w:ind w:left="125"/>
              <w:rPr>
                <w:sz w:val="21"/>
              </w:rPr>
            </w:pPr>
            <w:r>
              <w:rPr>
                <w:sz w:val="21"/>
              </w:rPr>
              <w:t>（1）没有取得驾驶资格；</w:t>
            </w:r>
          </w:p>
          <w:p>
            <w:pPr>
              <w:pStyle w:val="TableParagraph"/>
              <w:spacing w:before="37"/>
              <w:ind w:left="125"/>
              <w:rPr>
                <w:sz w:val="21"/>
              </w:rPr>
            </w:pPr>
            <w:r>
              <w:rPr>
                <w:sz w:val="21"/>
              </w:rPr>
              <w:t>（2）驾驶与驾驶证准驾车型不相符合的车辆；</w:t>
            </w:r>
          </w:p>
          <w:p>
            <w:pPr>
              <w:pStyle w:val="TableParagraph"/>
              <w:spacing w:before="37"/>
              <w:ind w:left="125"/>
              <w:rPr>
                <w:sz w:val="21"/>
              </w:rPr>
            </w:pPr>
            <w:r>
              <w:rPr>
                <w:sz w:val="21"/>
              </w:rPr>
              <w:t>（3）持审验不合格的驾驶证驾驶、未经公安交通管理部门同意，持未审验的</w:t>
            </w:r>
          </w:p>
        </w:tc>
      </w:tr>
      <w:tr>
        <w:trPr>
          <w:trHeight w:val="1080" w:hRule="atLeast"/>
        </w:trPr>
        <w:tc>
          <w:tcPr>
            <w:tcW w:w="781" w:type="dxa"/>
          </w:tcPr>
          <w:p>
            <w:pPr>
              <w:pStyle w:val="TableParagraph"/>
              <w:ind w:left="0"/>
              <w:rPr>
                <w:rFonts w:ascii="Times New Roman"/>
                <w:sz w:val="20"/>
              </w:rPr>
            </w:pPr>
          </w:p>
        </w:tc>
        <w:tc>
          <w:tcPr>
            <w:tcW w:w="1974" w:type="dxa"/>
          </w:tcPr>
          <w:p>
            <w:pPr>
              <w:pStyle w:val="TableParagraph"/>
              <w:ind w:left="0"/>
              <w:rPr>
                <w:rFonts w:ascii="Times New Roman"/>
                <w:sz w:val="20"/>
              </w:rPr>
            </w:pPr>
          </w:p>
        </w:tc>
        <w:tc>
          <w:tcPr>
            <w:tcW w:w="7514" w:type="dxa"/>
          </w:tcPr>
          <w:p>
            <w:pPr>
              <w:pStyle w:val="TableParagraph"/>
              <w:spacing w:before="15"/>
              <w:ind w:left="651"/>
              <w:rPr>
                <w:sz w:val="21"/>
              </w:rPr>
            </w:pPr>
            <w:r>
              <w:rPr>
                <w:sz w:val="21"/>
              </w:rPr>
              <w:t>驾驶证驾驶；</w:t>
            </w:r>
          </w:p>
          <w:p>
            <w:pPr>
              <w:pStyle w:val="TableParagraph"/>
              <w:spacing w:line="273" w:lineRule="auto" w:before="37"/>
              <w:ind w:left="651" w:right="345" w:hanging="526"/>
              <w:rPr>
                <w:sz w:val="21"/>
              </w:rPr>
            </w:pPr>
            <w:r>
              <w:rPr>
                <w:sz w:val="21"/>
              </w:rPr>
              <w:t>（4）持学习驾驶证学习驾车时，无教练员随车指导，或不按指定时间、路线学习驾车。</w:t>
            </w:r>
          </w:p>
        </w:tc>
      </w:tr>
      <w:tr>
        <w:trPr>
          <w:trHeight w:val="1447" w:hRule="atLeast"/>
        </w:trPr>
        <w:tc>
          <w:tcPr>
            <w:tcW w:w="781" w:type="dxa"/>
          </w:tcPr>
          <w:p>
            <w:pPr>
              <w:pStyle w:val="TableParagraph"/>
              <w:spacing w:before="27"/>
              <w:ind w:left="200"/>
              <w:rPr>
                <w:rFonts w:ascii="微软雅黑"/>
                <w:b/>
                <w:sz w:val="21"/>
              </w:rPr>
            </w:pPr>
            <w:r>
              <w:rPr>
                <w:rFonts w:ascii="微软雅黑"/>
                <w:b/>
                <w:sz w:val="21"/>
              </w:rPr>
              <w:t>9.8</w:t>
            </w:r>
          </w:p>
        </w:tc>
        <w:tc>
          <w:tcPr>
            <w:tcW w:w="1974" w:type="dxa"/>
          </w:tcPr>
          <w:p>
            <w:pPr>
              <w:pStyle w:val="TableParagraph"/>
              <w:spacing w:before="27"/>
              <w:ind w:left="158"/>
              <w:rPr>
                <w:rFonts w:ascii="微软雅黑" w:eastAsia="微软雅黑" w:hint="eastAsia"/>
                <w:b/>
                <w:sz w:val="21"/>
              </w:rPr>
            </w:pPr>
            <w:r>
              <w:rPr>
                <w:rFonts w:ascii="微软雅黑" w:eastAsia="微软雅黑" w:hint="eastAsia"/>
                <w:b/>
                <w:sz w:val="21"/>
              </w:rPr>
              <w:t>无有效行驶证</w:t>
            </w:r>
          </w:p>
        </w:tc>
        <w:tc>
          <w:tcPr>
            <w:tcW w:w="7514" w:type="dxa"/>
          </w:tcPr>
          <w:p>
            <w:pPr>
              <w:pStyle w:val="TableParagraph"/>
              <w:spacing w:before="89"/>
              <w:ind w:left="125"/>
              <w:rPr>
                <w:sz w:val="21"/>
              </w:rPr>
            </w:pPr>
            <w:r>
              <w:rPr>
                <w:sz w:val="21"/>
              </w:rPr>
              <w:t>指下列情形之一：</w:t>
            </w:r>
          </w:p>
          <w:p>
            <w:pPr>
              <w:pStyle w:val="TableParagraph"/>
              <w:spacing w:before="36"/>
              <w:ind w:left="125"/>
              <w:rPr>
                <w:sz w:val="21"/>
              </w:rPr>
            </w:pPr>
            <w:r>
              <w:rPr>
                <w:sz w:val="21"/>
              </w:rPr>
              <w:t>（1）没有机动车行驶证；</w:t>
            </w:r>
          </w:p>
          <w:p>
            <w:pPr>
              <w:pStyle w:val="TableParagraph"/>
              <w:spacing w:before="36"/>
              <w:ind w:left="125"/>
              <w:rPr>
                <w:sz w:val="21"/>
              </w:rPr>
            </w:pPr>
            <w:r>
              <w:rPr>
                <w:sz w:val="21"/>
              </w:rPr>
              <w:t>（2）机动车被依法注销登记的；</w:t>
            </w:r>
          </w:p>
          <w:p>
            <w:pPr>
              <w:pStyle w:val="TableParagraph"/>
              <w:spacing w:before="36"/>
              <w:ind w:left="125"/>
              <w:rPr>
                <w:sz w:val="21"/>
              </w:rPr>
            </w:pPr>
            <w:r>
              <w:rPr>
                <w:sz w:val="21"/>
              </w:rPr>
              <w:t>（3）未依法按时进行或通过机动车安全技术检验。</w:t>
            </w:r>
          </w:p>
        </w:tc>
      </w:tr>
      <w:tr>
        <w:trPr>
          <w:trHeight w:val="759" w:hRule="atLeast"/>
        </w:trPr>
        <w:tc>
          <w:tcPr>
            <w:tcW w:w="781" w:type="dxa"/>
          </w:tcPr>
          <w:p>
            <w:pPr>
              <w:pStyle w:val="TableParagraph"/>
              <w:spacing w:before="8"/>
              <w:ind w:left="200"/>
              <w:rPr>
                <w:rFonts w:ascii="微软雅黑"/>
                <w:b/>
                <w:sz w:val="21"/>
              </w:rPr>
            </w:pPr>
            <w:r>
              <w:rPr>
                <w:rFonts w:ascii="微软雅黑"/>
                <w:b/>
                <w:sz w:val="21"/>
              </w:rPr>
              <w:t>9.9</w:t>
            </w:r>
          </w:p>
        </w:tc>
        <w:tc>
          <w:tcPr>
            <w:tcW w:w="1974" w:type="dxa"/>
          </w:tcPr>
          <w:p>
            <w:pPr>
              <w:pStyle w:val="TableParagraph"/>
              <w:spacing w:before="8"/>
              <w:ind w:left="158"/>
              <w:rPr>
                <w:rFonts w:ascii="微软雅黑" w:eastAsia="微软雅黑" w:hint="eastAsia"/>
                <w:b/>
                <w:sz w:val="21"/>
              </w:rPr>
            </w:pPr>
            <w:r>
              <w:rPr>
                <w:rFonts w:ascii="微软雅黑" w:eastAsia="微软雅黑" w:hint="eastAsia"/>
                <w:b/>
                <w:sz w:val="21"/>
              </w:rPr>
              <w:t>遗传性疾病</w:t>
            </w:r>
          </w:p>
        </w:tc>
        <w:tc>
          <w:tcPr>
            <w:tcW w:w="7514" w:type="dxa"/>
          </w:tcPr>
          <w:p>
            <w:pPr>
              <w:pStyle w:val="TableParagraph"/>
              <w:spacing w:line="273" w:lineRule="auto" w:before="70"/>
              <w:ind w:left="125" w:right="235"/>
              <w:rPr>
                <w:sz w:val="21"/>
              </w:rPr>
            </w:pPr>
            <w:r>
              <w:rPr>
                <w:sz w:val="21"/>
              </w:rPr>
              <w:t>指生殖细胞或受精卵的遗传物质（染色体和基因）发生突变或畸变所引起的疾病，通常具有由亲代传至后代的垂直传递的特征。</w:t>
            </w:r>
          </w:p>
        </w:tc>
      </w:tr>
      <w:tr>
        <w:trPr>
          <w:trHeight w:val="1072" w:hRule="atLeast"/>
        </w:trPr>
        <w:tc>
          <w:tcPr>
            <w:tcW w:w="781" w:type="dxa"/>
          </w:tcPr>
          <w:p>
            <w:pPr>
              <w:pStyle w:val="TableParagraph"/>
              <w:spacing w:line="326" w:lineRule="exact"/>
              <w:ind w:left="200"/>
              <w:rPr>
                <w:rFonts w:ascii="微软雅黑"/>
                <w:b/>
                <w:sz w:val="21"/>
              </w:rPr>
            </w:pPr>
            <w:r>
              <w:rPr>
                <w:rFonts w:ascii="微软雅黑"/>
                <w:b/>
                <w:sz w:val="21"/>
              </w:rPr>
              <w:t>9.10</w:t>
            </w:r>
          </w:p>
        </w:tc>
        <w:tc>
          <w:tcPr>
            <w:tcW w:w="1974" w:type="dxa"/>
          </w:tcPr>
          <w:p>
            <w:pPr>
              <w:pStyle w:val="TableParagraph"/>
              <w:spacing w:line="206" w:lineRule="auto" w:before="14"/>
              <w:ind w:left="158" w:right="124"/>
              <w:rPr>
                <w:rFonts w:ascii="微软雅黑" w:eastAsia="微软雅黑" w:hint="eastAsia"/>
                <w:b/>
                <w:sz w:val="21"/>
              </w:rPr>
            </w:pPr>
            <w:r>
              <w:rPr>
                <w:rFonts w:ascii="微软雅黑" w:eastAsia="微软雅黑" w:hint="eastAsia"/>
                <w:b/>
                <w:sz w:val="21"/>
              </w:rPr>
              <w:t>先天性畸形、变形或染色体异常</w:t>
            </w:r>
          </w:p>
        </w:tc>
        <w:tc>
          <w:tcPr>
            <w:tcW w:w="7514" w:type="dxa"/>
          </w:tcPr>
          <w:p>
            <w:pPr>
              <w:pStyle w:val="TableParagraph"/>
              <w:spacing w:line="273" w:lineRule="auto" w:before="26"/>
              <w:ind w:left="125" w:right="198"/>
              <w:rPr>
                <w:sz w:val="21"/>
              </w:rPr>
            </w:pPr>
            <w:r>
              <w:rPr>
                <w:spacing w:val="-7"/>
                <w:sz w:val="21"/>
              </w:rPr>
              <w:t>指被保险人出生时就具有的畸形、变形或染色体异常。先天性畸形、变形和染</w:t>
            </w:r>
            <w:r>
              <w:rPr>
                <w:spacing w:val="-6"/>
                <w:sz w:val="21"/>
              </w:rPr>
              <w:t>色体异常依照世界卫生组织《疾病和有关健康问题的国际统计分类</w:t>
            </w:r>
            <w:r>
              <w:rPr>
                <w:spacing w:val="-137"/>
                <w:sz w:val="21"/>
              </w:rPr>
              <w:t>》</w:t>
            </w:r>
            <w:r>
              <w:rPr>
                <w:sz w:val="21"/>
              </w:rPr>
              <w:t>（ICD-10） 确定。</w:t>
            </w:r>
          </w:p>
        </w:tc>
      </w:tr>
      <w:tr>
        <w:trPr>
          <w:trHeight w:val="775" w:hRule="atLeast"/>
        </w:trPr>
        <w:tc>
          <w:tcPr>
            <w:tcW w:w="781" w:type="dxa"/>
          </w:tcPr>
          <w:p>
            <w:pPr>
              <w:pStyle w:val="TableParagraph"/>
              <w:spacing w:before="9"/>
              <w:ind w:left="200"/>
              <w:rPr>
                <w:rFonts w:ascii="微软雅黑"/>
                <w:b/>
                <w:sz w:val="21"/>
              </w:rPr>
            </w:pPr>
            <w:r>
              <w:rPr>
                <w:rFonts w:ascii="微软雅黑"/>
                <w:b/>
                <w:sz w:val="21"/>
              </w:rPr>
              <w:t>9.11</w:t>
            </w:r>
          </w:p>
        </w:tc>
        <w:tc>
          <w:tcPr>
            <w:tcW w:w="1974" w:type="dxa"/>
          </w:tcPr>
          <w:p>
            <w:pPr>
              <w:pStyle w:val="TableParagraph"/>
              <w:spacing w:before="9"/>
              <w:ind w:left="158"/>
              <w:rPr>
                <w:rFonts w:ascii="微软雅黑" w:eastAsia="微软雅黑" w:hint="eastAsia"/>
                <w:b/>
                <w:sz w:val="21"/>
              </w:rPr>
            </w:pPr>
            <w:r>
              <w:rPr>
                <w:rFonts w:ascii="微软雅黑" w:eastAsia="微软雅黑" w:hint="eastAsia"/>
                <w:b/>
                <w:sz w:val="21"/>
              </w:rPr>
              <w:t>现金价值</w:t>
            </w:r>
          </w:p>
        </w:tc>
        <w:tc>
          <w:tcPr>
            <w:tcW w:w="7514" w:type="dxa"/>
          </w:tcPr>
          <w:p>
            <w:pPr>
              <w:pStyle w:val="TableParagraph"/>
              <w:spacing w:line="273" w:lineRule="auto" w:before="71"/>
              <w:ind w:left="125" w:right="305"/>
              <w:rPr>
                <w:sz w:val="21"/>
              </w:rPr>
            </w:pPr>
            <w:r>
              <w:rPr>
                <w:spacing w:val="-8"/>
                <w:sz w:val="21"/>
              </w:rPr>
              <w:t>一般指保单所具有的价值，通常体现为解除保险合同时，由本公司向投保人退</w:t>
            </w:r>
            <w:r>
              <w:rPr>
                <w:spacing w:val="-3"/>
                <w:sz w:val="21"/>
              </w:rPr>
              <w:t>还的那部分金额。</w:t>
            </w:r>
          </w:p>
        </w:tc>
      </w:tr>
      <w:tr>
        <w:trPr>
          <w:trHeight w:val="757" w:hRule="atLeast"/>
        </w:trPr>
        <w:tc>
          <w:tcPr>
            <w:tcW w:w="781" w:type="dxa"/>
          </w:tcPr>
          <w:p>
            <w:pPr>
              <w:pStyle w:val="TableParagraph"/>
              <w:spacing w:line="341" w:lineRule="exact"/>
              <w:ind w:left="200"/>
              <w:rPr>
                <w:rFonts w:ascii="微软雅黑"/>
                <w:b/>
                <w:sz w:val="21"/>
              </w:rPr>
            </w:pPr>
            <w:r>
              <w:rPr>
                <w:rFonts w:ascii="微软雅黑"/>
                <w:b/>
                <w:sz w:val="21"/>
              </w:rPr>
              <w:t>9.12</w:t>
            </w:r>
          </w:p>
        </w:tc>
        <w:tc>
          <w:tcPr>
            <w:tcW w:w="1974" w:type="dxa"/>
          </w:tcPr>
          <w:p>
            <w:pPr>
              <w:pStyle w:val="TableParagraph"/>
              <w:spacing w:line="341" w:lineRule="exact"/>
              <w:ind w:left="158"/>
              <w:rPr>
                <w:rFonts w:ascii="微软雅黑" w:eastAsia="微软雅黑" w:hint="eastAsia"/>
                <w:b/>
                <w:sz w:val="21"/>
              </w:rPr>
            </w:pPr>
            <w:r>
              <w:rPr>
                <w:rFonts w:ascii="微软雅黑" w:eastAsia="微软雅黑" w:hint="eastAsia"/>
                <w:b/>
                <w:sz w:val="21"/>
              </w:rPr>
              <w:t>有效身份证件</w:t>
            </w:r>
          </w:p>
        </w:tc>
        <w:tc>
          <w:tcPr>
            <w:tcW w:w="7514" w:type="dxa"/>
          </w:tcPr>
          <w:p>
            <w:pPr>
              <w:pStyle w:val="TableParagraph"/>
              <w:spacing w:line="273" w:lineRule="auto" w:before="40"/>
              <w:ind w:left="125" w:right="303"/>
              <w:rPr>
                <w:sz w:val="21"/>
              </w:rPr>
            </w:pPr>
            <w:r>
              <w:rPr>
                <w:spacing w:val="-7"/>
                <w:sz w:val="21"/>
              </w:rPr>
              <w:t>指由政府主管部门规定的证明其身份的证件，如：居民身份证、户籍证明、按</w:t>
            </w:r>
            <w:r>
              <w:rPr>
                <w:spacing w:val="-5"/>
                <w:sz w:val="21"/>
              </w:rPr>
              <w:t>规定可使用的有效护照、军官证、武警警官证、士兵证等证件。</w:t>
            </w:r>
          </w:p>
        </w:tc>
      </w:tr>
      <w:tr>
        <w:trPr>
          <w:trHeight w:val="646" w:hRule="atLeast"/>
        </w:trPr>
        <w:tc>
          <w:tcPr>
            <w:tcW w:w="781" w:type="dxa"/>
          </w:tcPr>
          <w:p>
            <w:pPr>
              <w:pStyle w:val="TableParagraph"/>
              <w:spacing w:line="354" w:lineRule="exact"/>
              <w:ind w:left="200"/>
              <w:rPr>
                <w:rFonts w:ascii="微软雅黑"/>
                <w:b/>
                <w:sz w:val="21"/>
              </w:rPr>
            </w:pPr>
            <w:r>
              <w:rPr>
                <w:rFonts w:ascii="微软雅黑"/>
                <w:b/>
                <w:sz w:val="21"/>
              </w:rPr>
              <w:t>9.13</w:t>
            </w:r>
          </w:p>
        </w:tc>
        <w:tc>
          <w:tcPr>
            <w:tcW w:w="1974" w:type="dxa"/>
          </w:tcPr>
          <w:p>
            <w:pPr>
              <w:pStyle w:val="TableParagraph"/>
              <w:spacing w:line="354" w:lineRule="exact"/>
              <w:ind w:left="158"/>
              <w:rPr>
                <w:rFonts w:ascii="微软雅黑" w:eastAsia="微软雅黑" w:hint="eastAsia"/>
                <w:b/>
                <w:sz w:val="21"/>
              </w:rPr>
            </w:pPr>
            <w:r>
              <w:rPr>
                <w:rFonts w:ascii="微软雅黑" w:eastAsia="微软雅黑" w:hint="eastAsia"/>
                <w:b/>
                <w:sz w:val="21"/>
              </w:rPr>
              <w:t>约定利率</w:t>
            </w:r>
          </w:p>
        </w:tc>
        <w:tc>
          <w:tcPr>
            <w:tcW w:w="7514" w:type="dxa"/>
          </w:tcPr>
          <w:p>
            <w:pPr>
              <w:pStyle w:val="TableParagraph"/>
              <w:spacing w:line="310" w:lineRule="atLeast" w:before="18"/>
              <w:ind w:left="125" w:right="449"/>
              <w:rPr>
                <w:sz w:val="21"/>
              </w:rPr>
            </w:pPr>
            <w:r>
              <w:rPr>
                <w:spacing w:val="-5"/>
                <w:sz w:val="21"/>
              </w:rPr>
              <w:t>本附加合同所列明的利息按本公司每年参照 </w:t>
            </w:r>
            <w:r>
              <w:rPr>
                <w:sz w:val="21"/>
              </w:rPr>
              <w:t>1</w:t>
            </w:r>
            <w:r>
              <w:rPr>
                <w:spacing w:val="-7"/>
                <w:sz w:val="21"/>
              </w:rPr>
              <w:t> 年期流动资金贷款法定利率作</w:t>
            </w:r>
            <w:r>
              <w:rPr>
                <w:spacing w:val="-5"/>
                <w:sz w:val="21"/>
              </w:rPr>
              <w:t>相应浮动后宣布的利率计算。</w:t>
            </w:r>
          </w:p>
        </w:tc>
      </w:tr>
    </w:tbl>
    <w:sectPr>
      <w:pgSz w:w="11910" w:h="16840"/>
      <w:pgMar w:header="0" w:footer="377" w:top="1340" w:bottom="560" w:left="76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Wingdings">
    <w:altName w:val="Wingdings"/>
    <w:charset w:val="2"/>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36987pt;margin-top:808.056946pt;width:13.15pt;height:12pt;mso-position-horizontal-relative:page;mso-position-vertical-relative:page;z-index:-325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upperRoman"/>
      <w:lvlText w:val="%1"/>
      <w:lvlJc w:val="left"/>
      <w:pPr>
        <w:ind w:left="280" w:hanging="159"/>
        <w:jc w:val="left"/>
      </w:pPr>
      <w:rPr>
        <w:rFonts w:hint="default" w:ascii="宋体" w:hAnsi="宋体" w:eastAsia="宋体" w:cs="宋体"/>
        <w:w w:val="100"/>
        <w:sz w:val="21"/>
        <w:szCs w:val="21"/>
      </w:rPr>
    </w:lvl>
    <w:lvl w:ilvl="1">
      <w:start w:val="0"/>
      <w:numFmt w:val="bullet"/>
      <w:lvlText w:val="•"/>
      <w:lvlJc w:val="left"/>
      <w:pPr>
        <w:ind w:left="1003" w:hanging="159"/>
      </w:pPr>
      <w:rPr>
        <w:rFonts w:hint="default"/>
      </w:rPr>
    </w:lvl>
    <w:lvl w:ilvl="2">
      <w:start w:val="0"/>
      <w:numFmt w:val="bullet"/>
      <w:lvlText w:val="•"/>
      <w:lvlJc w:val="left"/>
      <w:pPr>
        <w:ind w:left="1726" w:hanging="159"/>
      </w:pPr>
      <w:rPr>
        <w:rFonts w:hint="default"/>
      </w:rPr>
    </w:lvl>
    <w:lvl w:ilvl="3">
      <w:start w:val="0"/>
      <w:numFmt w:val="bullet"/>
      <w:lvlText w:val="•"/>
      <w:lvlJc w:val="left"/>
      <w:pPr>
        <w:ind w:left="2449" w:hanging="159"/>
      </w:pPr>
      <w:rPr>
        <w:rFonts w:hint="default"/>
      </w:rPr>
    </w:lvl>
    <w:lvl w:ilvl="4">
      <w:start w:val="0"/>
      <w:numFmt w:val="bullet"/>
      <w:lvlText w:val="•"/>
      <w:lvlJc w:val="left"/>
      <w:pPr>
        <w:ind w:left="3172" w:hanging="159"/>
      </w:pPr>
      <w:rPr>
        <w:rFonts w:hint="default"/>
      </w:rPr>
    </w:lvl>
    <w:lvl w:ilvl="5">
      <w:start w:val="0"/>
      <w:numFmt w:val="bullet"/>
      <w:lvlText w:val="•"/>
      <w:lvlJc w:val="left"/>
      <w:pPr>
        <w:ind w:left="3895" w:hanging="159"/>
      </w:pPr>
      <w:rPr>
        <w:rFonts w:hint="default"/>
      </w:rPr>
    </w:lvl>
    <w:lvl w:ilvl="6">
      <w:start w:val="0"/>
      <w:numFmt w:val="bullet"/>
      <w:lvlText w:val="•"/>
      <w:lvlJc w:val="left"/>
      <w:pPr>
        <w:ind w:left="4618" w:hanging="159"/>
      </w:pPr>
      <w:rPr>
        <w:rFonts w:hint="default"/>
      </w:rPr>
    </w:lvl>
    <w:lvl w:ilvl="7">
      <w:start w:val="0"/>
      <w:numFmt w:val="bullet"/>
      <w:lvlText w:val="•"/>
      <w:lvlJc w:val="left"/>
      <w:pPr>
        <w:ind w:left="5341" w:hanging="159"/>
      </w:pPr>
      <w:rPr>
        <w:rFonts w:hint="default"/>
      </w:rPr>
    </w:lvl>
    <w:lvl w:ilvl="8">
      <w:start w:val="0"/>
      <w:numFmt w:val="bullet"/>
      <w:lvlText w:val="•"/>
      <w:lvlJc w:val="left"/>
      <w:pPr>
        <w:ind w:left="6064" w:hanging="159"/>
      </w:pPr>
      <w:rPr>
        <w:rFonts w:hint="default"/>
      </w:rPr>
    </w:lvl>
  </w:abstractNum>
  <w:abstractNum w:abstractNumId="10">
    <w:multiLevelType w:val="hybridMultilevel"/>
    <w:lvl w:ilvl="0">
      <w:start w:val="9"/>
      <w:numFmt w:val="decimal"/>
      <w:lvlText w:val="%1"/>
      <w:lvlJc w:val="left"/>
      <w:pPr>
        <w:ind w:left="2893" w:hanging="740"/>
        <w:jc w:val="left"/>
      </w:pPr>
      <w:rPr>
        <w:rFonts w:hint="default"/>
      </w:rPr>
    </w:lvl>
    <w:lvl w:ilvl="1">
      <w:start w:val="1"/>
      <w:numFmt w:val="decimal"/>
      <w:lvlText w:val="%1.%2"/>
      <w:lvlJc w:val="left"/>
      <w:pPr>
        <w:ind w:left="2893" w:hanging="740"/>
        <w:jc w:val="left"/>
      </w:pPr>
      <w:rPr>
        <w:rFonts w:hint="default" w:ascii="微软雅黑" w:hAnsi="微软雅黑" w:eastAsia="微软雅黑" w:cs="微软雅黑"/>
        <w:b/>
        <w:bCs/>
        <w:w w:val="81"/>
        <w:sz w:val="21"/>
        <w:szCs w:val="21"/>
      </w:rPr>
    </w:lvl>
    <w:lvl w:ilvl="2">
      <w:start w:val="0"/>
      <w:numFmt w:val="bullet"/>
      <w:lvlText w:val="•"/>
      <w:lvlJc w:val="left"/>
      <w:pPr>
        <w:ind w:left="4357" w:hanging="740"/>
      </w:pPr>
      <w:rPr>
        <w:rFonts w:hint="default"/>
      </w:rPr>
    </w:lvl>
    <w:lvl w:ilvl="3">
      <w:start w:val="0"/>
      <w:numFmt w:val="bullet"/>
      <w:lvlText w:val="•"/>
      <w:lvlJc w:val="left"/>
      <w:pPr>
        <w:ind w:left="5085" w:hanging="740"/>
      </w:pPr>
      <w:rPr>
        <w:rFonts w:hint="default"/>
      </w:rPr>
    </w:lvl>
    <w:lvl w:ilvl="4">
      <w:start w:val="0"/>
      <w:numFmt w:val="bullet"/>
      <w:lvlText w:val="•"/>
      <w:lvlJc w:val="left"/>
      <w:pPr>
        <w:ind w:left="5814" w:hanging="740"/>
      </w:pPr>
      <w:rPr>
        <w:rFonts w:hint="default"/>
      </w:rPr>
    </w:lvl>
    <w:lvl w:ilvl="5">
      <w:start w:val="0"/>
      <w:numFmt w:val="bullet"/>
      <w:lvlText w:val="•"/>
      <w:lvlJc w:val="left"/>
      <w:pPr>
        <w:ind w:left="6543" w:hanging="740"/>
      </w:pPr>
      <w:rPr>
        <w:rFonts w:hint="default"/>
      </w:rPr>
    </w:lvl>
    <w:lvl w:ilvl="6">
      <w:start w:val="0"/>
      <w:numFmt w:val="bullet"/>
      <w:lvlText w:val="•"/>
      <w:lvlJc w:val="left"/>
      <w:pPr>
        <w:ind w:left="7271" w:hanging="740"/>
      </w:pPr>
      <w:rPr>
        <w:rFonts w:hint="default"/>
      </w:rPr>
    </w:lvl>
    <w:lvl w:ilvl="7">
      <w:start w:val="0"/>
      <w:numFmt w:val="bullet"/>
      <w:lvlText w:val="•"/>
      <w:lvlJc w:val="left"/>
      <w:pPr>
        <w:ind w:left="8000" w:hanging="740"/>
      </w:pPr>
      <w:rPr>
        <w:rFonts w:hint="default"/>
      </w:rPr>
    </w:lvl>
    <w:lvl w:ilvl="8">
      <w:start w:val="0"/>
      <w:numFmt w:val="bullet"/>
      <w:lvlText w:val="•"/>
      <w:lvlJc w:val="left"/>
      <w:pPr>
        <w:ind w:left="8729" w:hanging="740"/>
      </w:pPr>
      <w:rPr>
        <w:rFonts w:hint="default"/>
      </w:rPr>
    </w:lvl>
  </w:abstractNum>
  <w:abstractNum w:abstractNumId="9">
    <w:multiLevelType w:val="hybridMultilevel"/>
    <w:lvl w:ilvl="0">
      <w:start w:val="8"/>
      <w:numFmt w:val="decimal"/>
      <w:lvlText w:val="%1"/>
      <w:lvlJc w:val="left"/>
      <w:pPr>
        <w:ind w:left="2893" w:hanging="740"/>
        <w:jc w:val="left"/>
      </w:pPr>
      <w:rPr>
        <w:rFonts w:hint="default"/>
      </w:rPr>
    </w:lvl>
    <w:lvl w:ilvl="1">
      <w:start w:val="7"/>
      <w:numFmt w:val="decimal"/>
      <w:lvlText w:val="%1.%2"/>
      <w:lvlJc w:val="left"/>
      <w:pPr>
        <w:ind w:left="2893" w:hanging="740"/>
        <w:jc w:val="left"/>
      </w:pPr>
      <w:rPr>
        <w:rFonts w:hint="default" w:ascii="微软雅黑" w:hAnsi="微软雅黑" w:eastAsia="微软雅黑" w:cs="微软雅黑"/>
        <w:b/>
        <w:bCs/>
        <w:w w:val="81"/>
        <w:sz w:val="21"/>
        <w:szCs w:val="21"/>
      </w:rPr>
    </w:lvl>
    <w:lvl w:ilvl="2">
      <w:start w:val="1"/>
      <w:numFmt w:val="decimal"/>
      <w:lvlText w:val="（%3）"/>
      <w:lvlJc w:val="left"/>
      <w:pPr>
        <w:ind w:left="3470" w:hanging="577"/>
        <w:jc w:val="left"/>
      </w:pPr>
      <w:rPr>
        <w:rFonts w:hint="default" w:ascii="宋体" w:hAnsi="宋体" w:eastAsia="宋体" w:cs="宋体"/>
        <w:w w:val="100"/>
        <w:sz w:val="21"/>
        <w:szCs w:val="21"/>
      </w:rPr>
    </w:lvl>
    <w:lvl w:ilvl="3">
      <w:start w:val="0"/>
      <w:numFmt w:val="bullet"/>
      <w:lvlText w:val="•"/>
      <w:lvlJc w:val="left"/>
      <w:pPr>
        <w:ind w:left="4970" w:hanging="577"/>
      </w:pPr>
      <w:rPr>
        <w:rFonts w:hint="default"/>
      </w:rPr>
    </w:lvl>
    <w:lvl w:ilvl="4">
      <w:start w:val="0"/>
      <w:numFmt w:val="bullet"/>
      <w:lvlText w:val="•"/>
      <w:lvlJc w:val="left"/>
      <w:pPr>
        <w:ind w:left="5715" w:hanging="577"/>
      </w:pPr>
      <w:rPr>
        <w:rFonts w:hint="default"/>
      </w:rPr>
    </w:lvl>
    <w:lvl w:ilvl="5">
      <w:start w:val="0"/>
      <w:numFmt w:val="bullet"/>
      <w:lvlText w:val="•"/>
      <w:lvlJc w:val="left"/>
      <w:pPr>
        <w:ind w:left="6460" w:hanging="577"/>
      </w:pPr>
      <w:rPr>
        <w:rFonts w:hint="default"/>
      </w:rPr>
    </w:lvl>
    <w:lvl w:ilvl="6">
      <w:start w:val="0"/>
      <w:numFmt w:val="bullet"/>
      <w:lvlText w:val="•"/>
      <w:lvlJc w:val="left"/>
      <w:pPr>
        <w:ind w:left="7205" w:hanging="577"/>
      </w:pPr>
      <w:rPr>
        <w:rFonts w:hint="default"/>
      </w:rPr>
    </w:lvl>
    <w:lvl w:ilvl="7">
      <w:start w:val="0"/>
      <w:numFmt w:val="bullet"/>
      <w:lvlText w:val="•"/>
      <w:lvlJc w:val="left"/>
      <w:pPr>
        <w:ind w:left="7950" w:hanging="577"/>
      </w:pPr>
      <w:rPr>
        <w:rFonts w:hint="default"/>
      </w:rPr>
    </w:lvl>
    <w:lvl w:ilvl="8">
      <w:start w:val="0"/>
      <w:numFmt w:val="bullet"/>
      <w:lvlText w:val="•"/>
      <w:lvlJc w:val="left"/>
      <w:pPr>
        <w:ind w:left="8696" w:hanging="577"/>
      </w:pPr>
      <w:rPr>
        <w:rFonts w:hint="default"/>
      </w:rPr>
    </w:lvl>
  </w:abstractNum>
  <w:abstractNum w:abstractNumId="8">
    <w:multiLevelType w:val="hybridMultilevel"/>
    <w:lvl w:ilvl="0">
      <w:start w:val="1"/>
      <w:numFmt w:val="decimal"/>
      <w:lvlText w:val="（%1）"/>
      <w:lvlJc w:val="left"/>
      <w:pPr>
        <w:ind w:left="692" w:hanging="567"/>
        <w:jc w:val="left"/>
      </w:pPr>
      <w:rPr>
        <w:rFonts w:hint="default" w:ascii="宋体" w:hAnsi="宋体" w:eastAsia="宋体" w:cs="宋体"/>
        <w:w w:val="100"/>
        <w:sz w:val="21"/>
        <w:szCs w:val="21"/>
      </w:rPr>
    </w:lvl>
    <w:lvl w:ilvl="1">
      <w:start w:val="0"/>
      <w:numFmt w:val="bullet"/>
      <w:lvlText w:val="•"/>
      <w:lvlJc w:val="left"/>
      <w:pPr>
        <w:ind w:left="1381" w:hanging="567"/>
      </w:pPr>
      <w:rPr>
        <w:rFonts w:hint="default"/>
      </w:rPr>
    </w:lvl>
    <w:lvl w:ilvl="2">
      <w:start w:val="0"/>
      <w:numFmt w:val="bullet"/>
      <w:lvlText w:val="•"/>
      <w:lvlJc w:val="left"/>
      <w:pPr>
        <w:ind w:left="2062" w:hanging="567"/>
      </w:pPr>
      <w:rPr>
        <w:rFonts w:hint="default"/>
      </w:rPr>
    </w:lvl>
    <w:lvl w:ilvl="3">
      <w:start w:val="0"/>
      <w:numFmt w:val="bullet"/>
      <w:lvlText w:val="•"/>
      <w:lvlJc w:val="left"/>
      <w:pPr>
        <w:ind w:left="2744" w:hanging="567"/>
      </w:pPr>
      <w:rPr>
        <w:rFonts w:hint="default"/>
      </w:rPr>
    </w:lvl>
    <w:lvl w:ilvl="4">
      <w:start w:val="0"/>
      <w:numFmt w:val="bullet"/>
      <w:lvlText w:val="•"/>
      <w:lvlJc w:val="left"/>
      <w:pPr>
        <w:ind w:left="3425" w:hanging="567"/>
      </w:pPr>
      <w:rPr>
        <w:rFonts w:hint="default"/>
      </w:rPr>
    </w:lvl>
    <w:lvl w:ilvl="5">
      <w:start w:val="0"/>
      <w:numFmt w:val="bullet"/>
      <w:lvlText w:val="•"/>
      <w:lvlJc w:val="left"/>
      <w:pPr>
        <w:ind w:left="4107" w:hanging="567"/>
      </w:pPr>
      <w:rPr>
        <w:rFonts w:hint="default"/>
      </w:rPr>
    </w:lvl>
    <w:lvl w:ilvl="6">
      <w:start w:val="0"/>
      <w:numFmt w:val="bullet"/>
      <w:lvlText w:val="•"/>
      <w:lvlJc w:val="left"/>
      <w:pPr>
        <w:ind w:left="4788" w:hanging="567"/>
      </w:pPr>
      <w:rPr>
        <w:rFonts w:hint="default"/>
      </w:rPr>
    </w:lvl>
    <w:lvl w:ilvl="7">
      <w:start w:val="0"/>
      <w:numFmt w:val="bullet"/>
      <w:lvlText w:val="•"/>
      <w:lvlJc w:val="left"/>
      <w:pPr>
        <w:ind w:left="5469" w:hanging="567"/>
      </w:pPr>
      <w:rPr>
        <w:rFonts w:hint="default"/>
      </w:rPr>
    </w:lvl>
    <w:lvl w:ilvl="8">
      <w:start w:val="0"/>
      <w:numFmt w:val="bullet"/>
      <w:lvlText w:val="•"/>
      <w:lvlJc w:val="left"/>
      <w:pPr>
        <w:ind w:left="6151" w:hanging="567"/>
      </w:pPr>
      <w:rPr>
        <w:rFonts w:hint="default"/>
      </w:rPr>
    </w:lvl>
  </w:abstractNum>
  <w:abstractNum w:abstractNumId="7">
    <w:multiLevelType w:val="hybridMultilevel"/>
    <w:lvl w:ilvl="0">
      <w:start w:val="9"/>
      <w:numFmt w:val="decimal"/>
      <w:lvlText w:val="%1"/>
      <w:lvlJc w:val="left"/>
      <w:pPr>
        <w:ind w:left="684" w:hanging="370"/>
        <w:jc w:val="left"/>
      </w:pPr>
      <w:rPr>
        <w:rFonts w:hint="default"/>
      </w:rPr>
    </w:lvl>
    <w:lvl w:ilvl="1">
      <w:start w:val="1"/>
      <w:numFmt w:val="decimal"/>
      <w:lvlText w:val="%1.%2"/>
      <w:lvlJc w:val="left"/>
      <w:pPr>
        <w:ind w:left="684" w:hanging="370"/>
        <w:jc w:val="left"/>
      </w:pPr>
      <w:rPr>
        <w:rFonts w:hint="default" w:ascii="宋体" w:hAnsi="宋体" w:eastAsia="宋体" w:cs="宋体"/>
        <w:w w:val="100"/>
        <w:sz w:val="21"/>
        <w:szCs w:val="21"/>
      </w:rPr>
    </w:lvl>
    <w:lvl w:ilvl="2">
      <w:start w:val="0"/>
      <w:numFmt w:val="bullet"/>
      <w:lvlText w:val="•"/>
      <w:lvlJc w:val="left"/>
      <w:pPr>
        <w:ind w:left="1287" w:hanging="370"/>
      </w:pPr>
      <w:rPr>
        <w:rFonts w:hint="default"/>
      </w:rPr>
    </w:lvl>
    <w:lvl w:ilvl="3">
      <w:start w:val="0"/>
      <w:numFmt w:val="bullet"/>
      <w:lvlText w:val="•"/>
      <w:lvlJc w:val="left"/>
      <w:pPr>
        <w:ind w:left="1591" w:hanging="370"/>
      </w:pPr>
      <w:rPr>
        <w:rFonts w:hint="default"/>
      </w:rPr>
    </w:lvl>
    <w:lvl w:ilvl="4">
      <w:start w:val="0"/>
      <w:numFmt w:val="bullet"/>
      <w:lvlText w:val="•"/>
      <w:lvlJc w:val="left"/>
      <w:pPr>
        <w:ind w:left="1895" w:hanging="370"/>
      </w:pPr>
      <w:rPr>
        <w:rFonts w:hint="default"/>
      </w:rPr>
    </w:lvl>
    <w:lvl w:ilvl="5">
      <w:start w:val="0"/>
      <w:numFmt w:val="bullet"/>
      <w:lvlText w:val="•"/>
      <w:lvlJc w:val="left"/>
      <w:pPr>
        <w:ind w:left="2199" w:hanging="370"/>
      </w:pPr>
      <w:rPr>
        <w:rFonts w:hint="default"/>
      </w:rPr>
    </w:lvl>
    <w:lvl w:ilvl="6">
      <w:start w:val="0"/>
      <w:numFmt w:val="bullet"/>
      <w:lvlText w:val="•"/>
      <w:lvlJc w:val="left"/>
      <w:pPr>
        <w:ind w:left="2503" w:hanging="370"/>
      </w:pPr>
      <w:rPr>
        <w:rFonts w:hint="default"/>
      </w:rPr>
    </w:lvl>
    <w:lvl w:ilvl="7">
      <w:start w:val="0"/>
      <w:numFmt w:val="bullet"/>
      <w:lvlText w:val="•"/>
      <w:lvlJc w:val="left"/>
      <w:pPr>
        <w:ind w:left="2807" w:hanging="370"/>
      </w:pPr>
      <w:rPr>
        <w:rFonts w:hint="default"/>
      </w:rPr>
    </w:lvl>
    <w:lvl w:ilvl="8">
      <w:start w:val="0"/>
      <w:numFmt w:val="bullet"/>
      <w:lvlText w:val="•"/>
      <w:lvlJc w:val="left"/>
      <w:pPr>
        <w:ind w:left="3111" w:hanging="370"/>
      </w:pPr>
      <w:rPr>
        <w:rFonts w:hint="default"/>
      </w:rPr>
    </w:lvl>
  </w:abstractNum>
  <w:abstractNum w:abstractNumId="6">
    <w:multiLevelType w:val="hybridMultilevel"/>
    <w:lvl w:ilvl="0">
      <w:start w:val="8"/>
      <w:numFmt w:val="decimal"/>
      <w:lvlText w:val="%1."/>
      <w:lvlJc w:val="left"/>
      <w:pPr>
        <w:ind w:left="316" w:hanging="317"/>
        <w:jc w:val="left"/>
      </w:pPr>
      <w:rPr>
        <w:rFonts w:hint="default" w:ascii="微软雅黑" w:hAnsi="微软雅黑" w:eastAsia="微软雅黑" w:cs="微软雅黑"/>
        <w:b/>
        <w:bCs/>
        <w:w w:val="81"/>
        <w:sz w:val="21"/>
        <w:szCs w:val="21"/>
      </w:rPr>
    </w:lvl>
    <w:lvl w:ilvl="1">
      <w:start w:val="1"/>
      <w:numFmt w:val="decimal"/>
      <w:lvlText w:val="%1.%2"/>
      <w:lvlJc w:val="left"/>
      <w:pPr>
        <w:ind w:left="684" w:hanging="370"/>
        <w:jc w:val="left"/>
      </w:pPr>
      <w:rPr>
        <w:rFonts w:hint="default" w:ascii="宋体" w:hAnsi="宋体" w:eastAsia="宋体" w:cs="宋体"/>
        <w:w w:val="100"/>
        <w:sz w:val="21"/>
        <w:szCs w:val="21"/>
      </w:rPr>
    </w:lvl>
    <w:lvl w:ilvl="2">
      <w:start w:val="0"/>
      <w:numFmt w:val="bullet"/>
      <w:lvlText w:val="•"/>
      <w:lvlJc w:val="left"/>
      <w:pPr>
        <w:ind w:left="1017" w:hanging="370"/>
      </w:pPr>
      <w:rPr>
        <w:rFonts w:hint="default"/>
      </w:rPr>
    </w:lvl>
    <w:lvl w:ilvl="3">
      <w:start w:val="0"/>
      <w:numFmt w:val="bullet"/>
      <w:lvlText w:val="•"/>
      <w:lvlJc w:val="left"/>
      <w:pPr>
        <w:ind w:left="1355" w:hanging="370"/>
      </w:pPr>
      <w:rPr>
        <w:rFonts w:hint="default"/>
      </w:rPr>
    </w:lvl>
    <w:lvl w:ilvl="4">
      <w:start w:val="0"/>
      <w:numFmt w:val="bullet"/>
      <w:lvlText w:val="•"/>
      <w:lvlJc w:val="left"/>
      <w:pPr>
        <w:ind w:left="1693" w:hanging="370"/>
      </w:pPr>
      <w:rPr>
        <w:rFonts w:hint="default"/>
      </w:rPr>
    </w:lvl>
    <w:lvl w:ilvl="5">
      <w:start w:val="0"/>
      <w:numFmt w:val="bullet"/>
      <w:lvlText w:val="•"/>
      <w:lvlJc w:val="left"/>
      <w:pPr>
        <w:ind w:left="2030" w:hanging="370"/>
      </w:pPr>
      <w:rPr>
        <w:rFonts w:hint="default"/>
      </w:rPr>
    </w:lvl>
    <w:lvl w:ilvl="6">
      <w:start w:val="0"/>
      <w:numFmt w:val="bullet"/>
      <w:lvlText w:val="•"/>
      <w:lvlJc w:val="left"/>
      <w:pPr>
        <w:ind w:left="2368" w:hanging="370"/>
      </w:pPr>
      <w:rPr>
        <w:rFonts w:hint="default"/>
      </w:rPr>
    </w:lvl>
    <w:lvl w:ilvl="7">
      <w:start w:val="0"/>
      <w:numFmt w:val="bullet"/>
      <w:lvlText w:val="•"/>
      <w:lvlJc w:val="left"/>
      <w:pPr>
        <w:ind w:left="2706" w:hanging="370"/>
      </w:pPr>
      <w:rPr>
        <w:rFonts w:hint="default"/>
      </w:rPr>
    </w:lvl>
    <w:lvl w:ilvl="8">
      <w:start w:val="0"/>
      <w:numFmt w:val="bullet"/>
      <w:lvlText w:val="•"/>
      <w:lvlJc w:val="left"/>
      <w:pPr>
        <w:ind w:left="3043" w:hanging="370"/>
      </w:pPr>
      <w:rPr>
        <w:rFonts w:hint="default"/>
      </w:rPr>
    </w:lvl>
  </w:abstractNum>
  <w:abstractNum w:abstractNumId="5">
    <w:multiLevelType w:val="hybridMultilevel"/>
    <w:lvl w:ilvl="0">
      <w:start w:val="6"/>
      <w:numFmt w:val="decimal"/>
      <w:lvlText w:val="%1"/>
      <w:lvlJc w:val="left"/>
      <w:pPr>
        <w:ind w:left="684" w:hanging="370"/>
        <w:jc w:val="left"/>
      </w:pPr>
      <w:rPr>
        <w:rFonts w:hint="default"/>
      </w:rPr>
    </w:lvl>
    <w:lvl w:ilvl="1">
      <w:start w:val="1"/>
      <w:numFmt w:val="decimal"/>
      <w:lvlText w:val="%1.%2"/>
      <w:lvlJc w:val="left"/>
      <w:pPr>
        <w:ind w:left="684" w:hanging="370"/>
        <w:jc w:val="left"/>
      </w:pPr>
      <w:rPr>
        <w:rFonts w:hint="default" w:ascii="宋体" w:hAnsi="宋体" w:eastAsia="宋体" w:cs="宋体"/>
        <w:w w:val="100"/>
        <w:sz w:val="21"/>
        <w:szCs w:val="21"/>
      </w:rPr>
    </w:lvl>
    <w:lvl w:ilvl="2">
      <w:start w:val="0"/>
      <w:numFmt w:val="bullet"/>
      <w:lvlText w:val="•"/>
      <w:lvlJc w:val="left"/>
      <w:pPr>
        <w:ind w:left="1033" w:hanging="370"/>
      </w:pPr>
      <w:rPr>
        <w:rFonts w:hint="default"/>
      </w:rPr>
    </w:lvl>
    <w:lvl w:ilvl="3">
      <w:start w:val="0"/>
      <w:numFmt w:val="bullet"/>
      <w:lvlText w:val="•"/>
      <w:lvlJc w:val="left"/>
      <w:pPr>
        <w:ind w:left="1209" w:hanging="370"/>
      </w:pPr>
      <w:rPr>
        <w:rFonts w:hint="default"/>
      </w:rPr>
    </w:lvl>
    <w:lvl w:ilvl="4">
      <w:start w:val="0"/>
      <w:numFmt w:val="bullet"/>
      <w:lvlText w:val="•"/>
      <w:lvlJc w:val="left"/>
      <w:pPr>
        <w:ind w:left="1386" w:hanging="370"/>
      </w:pPr>
      <w:rPr>
        <w:rFonts w:hint="default"/>
      </w:rPr>
    </w:lvl>
    <w:lvl w:ilvl="5">
      <w:start w:val="0"/>
      <w:numFmt w:val="bullet"/>
      <w:lvlText w:val="•"/>
      <w:lvlJc w:val="left"/>
      <w:pPr>
        <w:ind w:left="1563" w:hanging="370"/>
      </w:pPr>
      <w:rPr>
        <w:rFonts w:hint="default"/>
      </w:rPr>
    </w:lvl>
    <w:lvl w:ilvl="6">
      <w:start w:val="0"/>
      <w:numFmt w:val="bullet"/>
      <w:lvlText w:val="•"/>
      <w:lvlJc w:val="left"/>
      <w:pPr>
        <w:ind w:left="1739" w:hanging="370"/>
      </w:pPr>
      <w:rPr>
        <w:rFonts w:hint="default"/>
      </w:rPr>
    </w:lvl>
    <w:lvl w:ilvl="7">
      <w:start w:val="0"/>
      <w:numFmt w:val="bullet"/>
      <w:lvlText w:val="•"/>
      <w:lvlJc w:val="left"/>
      <w:pPr>
        <w:ind w:left="1916" w:hanging="370"/>
      </w:pPr>
      <w:rPr>
        <w:rFonts w:hint="default"/>
      </w:rPr>
    </w:lvl>
    <w:lvl w:ilvl="8">
      <w:start w:val="0"/>
      <w:numFmt w:val="bullet"/>
      <w:lvlText w:val="•"/>
      <w:lvlJc w:val="left"/>
      <w:pPr>
        <w:ind w:left="2093" w:hanging="370"/>
      </w:pPr>
      <w:rPr>
        <w:rFonts w:hint="default"/>
      </w:rPr>
    </w:lvl>
  </w:abstractNum>
  <w:abstractNum w:abstractNumId="4">
    <w:multiLevelType w:val="hybridMultilevel"/>
    <w:lvl w:ilvl="0">
      <w:start w:val="4"/>
      <w:numFmt w:val="decimal"/>
      <w:lvlText w:val="%1"/>
      <w:lvlJc w:val="left"/>
      <w:pPr>
        <w:ind w:left="684" w:hanging="370"/>
        <w:jc w:val="left"/>
      </w:pPr>
      <w:rPr>
        <w:rFonts w:hint="default"/>
      </w:rPr>
    </w:lvl>
    <w:lvl w:ilvl="1">
      <w:start w:val="1"/>
      <w:numFmt w:val="decimal"/>
      <w:lvlText w:val="%1.%2"/>
      <w:lvlJc w:val="left"/>
      <w:pPr>
        <w:ind w:left="0" w:hanging="370"/>
        <w:jc w:val="left"/>
      </w:pPr>
      <w:rPr>
        <w:rFonts w:hint="default" w:ascii="宋体" w:hAnsi="宋体" w:eastAsia="宋体" w:cs="宋体"/>
        <w:w w:val="100"/>
        <w:sz w:val="21"/>
        <w:szCs w:val="21"/>
      </w:rPr>
    </w:lvl>
    <w:lvl w:ilvl="2">
      <w:start w:val="0"/>
      <w:numFmt w:val="bullet"/>
      <w:lvlText w:val="•"/>
      <w:lvlJc w:val="left"/>
      <w:pPr>
        <w:ind w:left="876" w:hanging="370"/>
      </w:pPr>
      <w:rPr>
        <w:rFonts w:hint="default"/>
      </w:rPr>
    </w:lvl>
    <w:lvl w:ilvl="3">
      <w:start w:val="0"/>
      <w:numFmt w:val="bullet"/>
      <w:lvlText w:val="•"/>
      <w:lvlJc w:val="left"/>
      <w:pPr>
        <w:ind w:left="1072" w:hanging="370"/>
      </w:pPr>
      <w:rPr>
        <w:rFonts w:hint="default"/>
      </w:rPr>
    </w:lvl>
    <w:lvl w:ilvl="4">
      <w:start w:val="0"/>
      <w:numFmt w:val="bullet"/>
      <w:lvlText w:val="•"/>
      <w:lvlJc w:val="left"/>
      <w:pPr>
        <w:ind w:left="1268" w:hanging="370"/>
      </w:pPr>
      <w:rPr>
        <w:rFonts w:hint="default"/>
      </w:rPr>
    </w:lvl>
    <w:lvl w:ilvl="5">
      <w:start w:val="0"/>
      <w:numFmt w:val="bullet"/>
      <w:lvlText w:val="•"/>
      <w:lvlJc w:val="left"/>
      <w:pPr>
        <w:ind w:left="1465" w:hanging="370"/>
      </w:pPr>
      <w:rPr>
        <w:rFonts w:hint="default"/>
      </w:rPr>
    </w:lvl>
    <w:lvl w:ilvl="6">
      <w:start w:val="0"/>
      <w:numFmt w:val="bullet"/>
      <w:lvlText w:val="•"/>
      <w:lvlJc w:val="left"/>
      <w:pPr>
        <w:ind w:left="1661" w:hanging="370"/>
      </w:pPr>
      <w:rPr>
        <w:rFonts w:hint="default"/>
      </w:rPr>
    </w:lvl>
    <w:lvl w:ilvl="7">
      <w:start w:val="0"/>
      <w:numFmt w:val="bullet"/>
      <w:lvlText w:val="•"/>
      <w:lvlJc w:val="left"/>
      <w:pPr>
        <w:ind w:left="1857" w:hanging="370"/>
      </w:pPr>
      <w:rPr>
        <w:rFonts w:hint="default"/>
      </w:rPr>
    </w:lvl>
    <w:lvl w:ilvl="8">
      <w:start w:val="0"/>
      <w:numFmt w:val="bullet"/>
      <w:lvlText w:val="•"/>
      <w:lvlJc w:val="left"/>
      <w:pPr>
        <w:ind w:left="2053" w:hanging="370"/>
      </w:pPr>
      <w:rPr>
        <w:rFonts w:hint="default"/>
      </w:rPr>
    </w:lvl>
  </w:abstractNum>
  <w:abstractNum w:abstractNumId="3">
    <w:multiLevelType w:val="hybridMultilevel"/>
    <w:lvl w:ilvl="0">
      <w:start w:val="3"/>
      <w:numFmt w:val="decimal"/>
      <w:lvlText w:val="%1"/>
      <w:lvlJc w:val="left"/>
      <w:pPr>
        <w:ind w:left="684" w:hanging="370"/>
        <w:jc w:val="left"/>
      </w:pPr>
      <w:rPr>
        <w:rFonts w:hint="default"/>
      </w:rPr>
    </w:lvl>
    <w:lvl w:ilvl="1">
      <w:start w:val="1"/>
      <w:numFmt w:val="decimal"/>
      <w:lvlText w:val="%1.%2"/>
      <w:lvlJc w:val="left"/>
      <w:pPr>
        <w:ind w:left="684" w:hanging="370"/>
        <w:jc w:val="left"/>
      </w:pPr>
      <w:rPr>
        <w:rFonts w:hint="default" w:ascii="宋体" w:hAnsi="宋体" w:eastAsia="宋体" w:cs="宋体"/>
        <w:w w:val="100"/>
        <w:sz w:val="21"/>
        <w:szCs w:val="21"/>
      </w:rPr>
    </w:lvl>
    <w:lvl w:ilvl="2">
      <w:start w:val="0"/>
      <w:numFmt w:val="bullet"/>
      <w:lvlText w:val="•"/>
      <w:lvlJc w:val="left"/>
      <w:pPr>
        <w:ind w:left="1033" w:hanging="370"/>
      </w:pPr>
      <w:rPr>
        <w:rFonts w:hint="default"/>
      </w:rPr>
    </w:lvl>
    <w:lvl w:ilvl="3">
      <w:start w:val="0"/>
      <w:numFmt w:val="bullet"/>
      <w:lvlText w:val="•"/>
      <w:lvlJc w:val="left"/>
      <w:pPr>
        <w:ind w:left="1209" w:hanging="370"/>
      </w:pPr>
      <w:rPr>
        <w:rFonts w:hint="default"/>
      </w:rPr>
    </w:lvl>
    <w:lvl w:ilvl="4">
      <w:start w:val="0"/>
      <w:numFmt w:val="bullet"/>
      <w:lvlText w:val="•"/>
      <w:lvlJc w:val="left"/>
      <w:pPr>
        <w:ind w:left="1386" w:hanging="370"/>
      </w:pPr>
      <w:rPr>
        <w:rFonts w:hint="default"/>
      </w:rPr>
    </w:lvl>
    <w:lvl w:ilvl="5">
      <w:start w:val="0"/>
      <w:numFmt w:val="bullet"/>
      <w:lvlText w:val="•"/>
      <w:lvlJc w:val="left"/>
      <w:pPr>
        <w:ind w:left="1563" w:hanging="370"/>
      </w:pPr>
      <w:rPr>
        <w:rFonts w:hint="default"/>
      </w:rPr>
    </w:lvl>
    <w:lvl w:ilvl="6">
      <w:start w:val="0"/>
      <w:numFmt w:val="bullet"/>
      <w:lvlText w:val="•"/>
      <w:lvlJc w:val="left"/>
      <w:pPr>
        <w:ind w:left="1739" w:hanging="370"/>
      </w:pPr>
      <w:rPr>
        <w:rFonts w:hint="default"/>
      </w:rPr>
    </w:lvl>
    <w:lvl w:ilvl="7">
      <w:start w:val="0"/>
      <w:numFmt w:val="bullet"/>
      <w:lvlText w:val="•"/>
      <w:lvlJc w:val="left"/>
      <w:pPr>
        <w:ind w:left="1916" w:hanging="370"/>
      </w:pPr>
      <w:rPr>
        <w:rFonts w:hint="default"/>
      </w:rPr>
    </w:lvl>
    <w:lvl w:ilvl="8">
      <w:start w:val="0"/>
      <w:numFmt w:val="bullet"/>
      <w:lvlText w:val="•"/>
      <w:lvlJc w:val="left"/>
      <w:pPr>
        <w:ind w:left="2093" w:hanging="370"/>
      </w:pPr>
      <w:rPr>
        <w:rFonts w:hint="default"/>
      </w:rPr>
    </w:lvl>
  </w:abstractNum>
  <w:abstractNum w:abstractNumId="2">
    <w:multiLevelType w:val="hybridMultilevel"/>
    <w:lvl w:ilvl="0">
      <w:start w:val="2"/>
      <w:numFmt w:val="decimal"/>
      <w:lvlText w:val="%1"/>
      <w:lvlJc w:val="left"/>
      <w:pPr>
        <w:ind w:left="684" w:hanging="370"/>
        <w:jc w:val="left"/>
      </w:pPr>
      <w:rPr>
        <w:rFonts w:hint="default"/>
      </w:rPr>
    </w:lvl>
    <w:lvl w:ilvl="1">
      <w:start w:val="1"/>
      <w:numFmt w:val="decimal"/>
      <w:lvlText w:val="%1.%2"/>
      <w:lvlJc w:val="left"/>
      <w:pPr>
        <w:ind w:left="684" w:hanging="370"/>
        <w:jc w:val="left"/>
      </w:pPr>
      <w:rPr>
        <w:rFonts w:hint="default" w:ascii="宋体" w:hAnsi="宋体" w:eastAsia="宋体" w:cs="宋体"/>
        <w:w w:val="100"/>
        <w:sz w:val="21"/>
        <w:szCs w:val="21"/>
      </w:rPr>
    </w:lvl>
    <w:lvl w:ilvl="2">
      <w:start w:val="0"/>
      <w:numFmt w:val="bullet"/>
      <w:lvlText w:val="•"/>
      <w:lvlJc w:val="left"/>
      <w:pPr>
        <w:ind w:left="1033" w:hanging="370"/>
      </w:pPr>
      <w:rPr>
        <w:rFonts w:hint="default"/>
      </w:rPr>
    </w:lvl>
    <w:lvl w:ilvl="3">
      <w:start w:val="0"/>
      <w:numFmt w:val="bullet"/>
      <w:lvlText w:val="•"/>
      <w:lvlJc w:val="left"/>
      <w:pPr>
        <w:ind w:left="1209" w:hanging="370"/>
      </w:pPr>
      <w:rPr>
        <w:rFonts w:hint="default"/>
      </w:rPr>
    </w:lvl>
    <w:lvl w:ilvl="4">
      <w:start w:val="0"/>
      <w:numFmt w:val="bullet"/>
      <w:lvlText w:val="•"/>
      <w:lvlJc w:val="left"/>
      <w:pPr>
        <w:ind w:left="1386" w:hanging="370"/>
      </w:pPr>
      <w:rPr>
        <w:rFonts w:hint="default"/>
      </w:rPr>
    </w:lvl>
    <w:lvl w:ilvl="5">
      <w:start w:val="0"/>
      <w:numFmt w:val="bullet"/>
      <w:lvlText w:val="•"/>
      <w:lvlJc w:val="left"/>
      <w:pPr>
        <w:ind w:left="1563" w:hanging="370"/>
      </w:pPr>
      <w:rPr>
        <w:rFonts w:hint="default"/>
      </w:rPr>
    </w:lvl>
    <w:lvl w:ilvl="6">
      <w:start w:val="0"/>
      <w:numFmt w:val="bullet"/>
      <w:lvlText w:val="•"/>
      <w:lvlJc w:val="left"/>
      <w:pPr>
        <w:ind w:left="1739" w:hanging="370"/>
      </w:pPr>
      <w:rPr>
        <w:rFonts w:hint="default"/>
      </w:rPr>
    </w:lvl>
    <w:lvl w:ilvl="7">
      <w:start w:val="0"/>
      <w:numFmt w:val="bullet"/>
      <w:lvlText w:val="•"/>
      <w:lvlJc w:val="left"/>
      <w:pPr>
        <w:ind w:left="1916" w:hanging="370"/>
      </w:pPr>
      <w:rPr>
        <w:rFonts w:hint="default"/>
      </w:rPr>
    </w:lvl>
    <w:lvl w:ilvl="8">
      <w:start w:val="0"/>
      <w:numFmt w:val="bullet"/>
      <w:lvlText w:val="•"/>
      <w:lvlJc w:val="left"/>
      <w:pPr>
        <w:ind w:left="2093" w:hanging="370"/>
      </w:pPr>
      <w:rPr>
        <w:rFonts w:hint="default"/>
      </w:rPr>
    </w:lvl>
  </w:abstractNum>
  <w:abstractNum w:abstractNumId="1">
    <w:multiLevelType w:val="hybridMultilevel"/>
    <w:lvl w:ilvl="0">
      <w:start w:val="1"/>
      <w:numFmt w:val="decimal"/>
      <w:lvlText w:val="%1"/>
      <w:lvlJc w:val="left"/>
      <w:pPr>
        <w:ind w:left="684" w:hanging="370"/>
        <w:jc w:val="left"/>
      </w:pPr>
      <w:rPr>
        <w:rFonts w:hint="default"/>
      </w:rPr>
    </w:lvl>
    <w:lvl w:ilvl="1">
      <w:start w:val="1"/>
      <w:numFmt w:val="decimal"/>
      <w:lvlText w:val="%1.%2"/>
      <w:lvlJc w:val="left"/>
      <w:pPr>
        <w:ind w:left="0" w:hanging="370"/>
        <w:jc w:val="left"/>
      </w:pPr>
      <w:rPr>
        <w:rFonts w:hint="default" w:ascii="宋体" w:hAnsi="宋体" w:eastAsia="宋体" w:cs="宋体"/>
        <w:w w:val="100"/>
        <w:sz w:val="21"/>
        <w:szCs w:val="21"/>
      </w:rPr>
    </w:lvl>
    <w:lvl w:ilvl="2">
      <w:start w:val="0"/>
      <w:numFmt w:val="bullet"/>
      <w:lvlText w:val="•"/>
      <w:lvlJc w:val="left"/>
      <w:pPr>
        <w:ind w:left="876" w:hanging="370"/>
      </w:pPr>
      <w:rPr>
        <w:rFonts w:hint="default"/>
      </w:rPr>
    </w:lvl>
    <w:lvl w:ilvl="3">
      <w:start w:val="0"/>
      <w:numFmt w:val="bullet"/>
      <w:lvlText w:val="•"/>
      <w:lvlJc w:val="left"/>
      <w:pPr>
        <w:ind w:left="1072" w:hanging="370"/>
      </w:pPr>
      <w:rPr>
        <w:rFonts w:hint="default"/>
      </w:rPr>
    </w:lvl>
    <w:lvl w:ilvl="4">
      <w:start w:val="0"/>
      <w:numFmt w:val="bullet"/>
      <w:lvlText w:val="•"/>
      <w:lvlJc w:val="left"/>
      <w:pPr>
        <w:ind w:left="1268" w:hanging="370"/>
      </w:pPr>
      <w:rPr>
        <w:rFonts w:hint="default"/>
      </w:rPr>
    </w:lvl>
    <w:lvl w:ilvl="5">
      <w:start w:val="0"/>
      <w:numFmt w:val="bullet"/>
      <w:lvlText w:val="•"/>
      <w:lvlJc w:val="left"/>
      <w:pPr>
        <w:ind w:left="1465" w:hanging="370"/>
      </w:pPr>
      <w:rPr>
        <w:rFonts w:hint="default"/>
      </w:rPr>
    </w:lvl>
    <w:lvl w:ilvl="6">
      <w:start w:val="0"/>
      <w:numFmt w:val="bullet"/>
      <w:lvlText w:val="•"/>
      <w:lvlJc w:val="left"/>
      <w:pPr>
        <w:ind w:left="1661" w:hanging="370"/>
      </w:pPr>
      <w:rPr>
        <w:rFonts w:hint="default"/>
      </w:rPr>
    </w:lvl>
    <w:lvl w:ilvl="7">
      <w:start w:val="0"/>
      <w:numFmt w:val="bullet"/>
      <w:lvlText w:val="•"/>
      <w:lvlJc w:val="left"/>
      <w:pPr>
        <w:ind w:left="1857" w:hanging="370"/>
      </w:pPr>
      <w:rPr>
        <w:rFonts w:hint="default"/>
      </w:rPr>
    </w:lvl>
    <w:lvl w:ilvl="8">
      <w:start w:val="0"/>
      <w:numFmt w:val="bullet"/>
      <w:lvlText w:val="•"/>
      <w:lvlJc w:val="left"/>
      <w:pPr>
        <w:ind w:left="2053" w:hanging="370"/>
      </w:pPr>
      <w:rPr>
        <w:rFonts w:hint="default"/>
      </w:rPr>
    </w:lvl>
  </w:abstractNum>
  <w:abstractNum w:abstractNumId="0">
    <w:multiLevelType w:val="hybridMultilevel"/>
    <w:lvl w:ilvl="0">
      <w:start w:val="0"/>
      <w:numFmt w:val="bullet"/>
      <w:lvlText w:val=""/>
      <w:lvlJc w:val="left"/>
      <w:pPr>
        <w:ind w:left="1631" w:hanging="420"/>
      </w:pPr>
      <w:rPr>
        <w:rFonts w:hint="default" w:ascii="Wingdings" w:hAnsi="Wingdings" w:eastAsia="Wingdings" w:cs="Wingdings"/>
        <w:w w:val="100"/>
        <w:sz w:val="21"/>
        <w:szCs w:val="21"/>
      </w:rPr>
    </w:lvl>
    <w:lvl w:ilvl="1">
      <w:start w:val="0"/>
      <w:numFmt w:val="bullet"/>
      <w:lvlText w:val="•"/>
      <w:lvlJc w:val="left"/>
      <w:pPr>
        <w:ind w:left="2522" w:hanging="420"/>
      </w:pPr>
      <w:rPr>
        <w:rFonts w:hint="default"/>
      </w:rPr>
    </w:lvl>
    <w:lvl w:ilvl="2">
      <w:start w:val="0"/>
      <w:numFmt w:val="bullet"/>
      <w:lvlText w:val="•"/>
      <w:lvlJc w:val="left"/>
      <w:pPr>
        <w:ind w:left="3405" w:hanging="420"/>
      </w:pPr>
      <w:rPr>
        <w:rFonts w:hint="default"/>
      </w:rPr>
    </w:lvl>
    <w:lvl w:ilvl="3">
      <w:start w:val="0"/>
      <w:numFmt w:val="bullet"/>
      <w:lvlText w:val="•"/>
      <w:lvlJc w:val="left"/>
      <w:pPr>
        <w:ind w:left="4287" w:hanging="420"/>
      </w:pPr>
      <w:rPr>
        <w:rFonts w:hint="default"/>
      </w:rPr>
    </w:lvl>
    <w:lvl w:ilvl="4">
      <w:start w:val="0"/>
      <w:numFmt w:val="bullet"/>
      <w:lvlText w:val="•"/>
      <w:lvlJc w:val="left"/>
      <w:pPr>
        <w:ind w:left="5170" w:hanging="420"/>
      </w:pPr>
      <w:rPr>
        <w:rFonts w:hint="default"/>
      </w:rPr>
    </w:lvl>
    <w:lvl w:ilvl="5">
      <w:start w:val="0"/>
      <w:numFmt w:val="bullet"/>
      <w:lvlText w:val="•"/>
      <w:lvlJc w:val="left"/>
      <w:pPr>
        <w:ind w:left="6053" w:hanging="420"/>
      </w:pPr>
      <w:rPr>
        <w:rFonts w:hint="default"/>
      </w:rPr>
    </w:lvl>
    <w:lvl w:ilvl="6">
      <w:start w:val="0"/>
      <w:numFmt w:val="bullet"/>
      <w:lvlText w:val="•"/>
      <w:lvlJc w:val="left"/>
      <w:pPr>
        <w:ind w:left="6935" w:hanging="420"/>
      </w:pPr>
      <w:rPr>
        <w:rFonts w:hint="default"/>
      </w:rPr>
    </w:lvl>
    <w:lvl w:ilvl="7">
      <w:start w:val="0"/>
      <w:numFmt w:val="bullet"/>
      <w:lvlText w:val="•"/>
      <w:lvlJc w:val="left"/>
      <w:pPr>
        <w:ind w:left="7818" w:hanging="420"/>
      </w:pPr>
      <w:rPr>
        <w:rFonts w:hint="default"/>
      </w:rPr>
    </w:lvl>
    <w:lvl w:ilvl="8">
      <w:start w:val="0"/>
      <w:numFmt w:val="bullet"/>
      <w:lvlText w:val="•"/>
      <w:lvlJc w:val="left"/>
      <w:pPr>
        <w:ind w:left="8701" w:hanging="420"/>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655" w:right="777"/>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spacing w:line="324" w:lineRule="exact"/>
      <w:outlineLvl w:val="2"/>
    </w:pPr>
    <w:rPr>
      <w:rFonts w:ascii="微软雅黑" w:hAnsi="微软雅黑" w:eastAsia="微软雅黑" w:cs="微软雅黑"/>
      <w:b/>
      <w:bCs/>
      <w:sz w:val="21"/>
      <w:szCs w:val="21"/>
    </w:rPr>
  </w:style>
  <w:style w:styleId="ListParagraph" w:type="paragraph">
    <w:name w:val="List Paragraph"/>
    <w:basedOn w:val="Normal"/>
    <w:uiPriority w:val="1"/>
    <w:qFormat/>
    <w:pPr>
      <w:spacing w:before="22"/>
      <w:ind w:left="2893" w:hanging="2681"/>
    </w:pPr>
    <w:rPr>
      <w:rFonts w:ascii="宋体" w:hAnsi="宋体" w:eastAsia="宋体" w:cs="宋体"/>
    </w:rPr>
  </w:style>
  <w:style w:styleId="TableParagraph" w:type="paragraph">
    <w:name w:val="Table Paragraph"/>
    <w:basedOn w:val="Normal"/>
    <w:uiPriority w:val="1"/>
    <w:qFormat/>
    <w:pPr>
      <w:ind w:left="12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xuqing</dc:creator>
  <dc:title>珠江人寿保险股份有限公司条款</dc:title>
  <dcterms:created xsi:type="dcterms:W3CDTF">2018-10-20T02:12:24Z</dcterms:created>
  <dcterms:modified xsi:type="dcterms:W3CDTF">2018-10-20T02:12:24Z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2014-05-04T00:00:00Z</vt:filetime>
  </property>
  <property fmtid="{D5CDD505-2E9C-101B-9397-08002B2CF9AE}" pid="3" name="Creator">
    <vt:lpwstr>Acrobat PDFMaker 9.1 Word 版</vt:lpwstr>
  </property>
  <property fmtid="{D5CDD505-2E9C-101B-9397-08002B2CF9AE}" pid="4" name="LastSaved">
    <vt:filetime>2018-10-19T00:00:00Z</vt:filetime>
  </property>
</Properties>
</file>