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[2012]</w:t>
      </w:r>
      <w:r>
        <w:rPr/>
        <w:t>疾病保险 </w:t>
      </w:r>
      <w:r>
        <w:rPr>
          <w:rFonts w:ascii="Times New Roman" w:eastAsia="Times New Roman"/>
        </w:rPr>
        <w:t>005 </w:t>
      </w:r>
      <w:r>
        <w:rPr/>
        <w:t>号</w:t>
      </w:r>
    </w:p>
    <w:p>
      <w:pPr>
        <w:pStyle w:val="BodyText"/>
        <w:ind w:left="5846"/>
      </w:pPr>
      <w:r>
        <w:rPr/>
        <w:t>请扫描以查询验证条款</w:t>
      </w:r>
    </w:p>
    <w:p>
      <w:pPr>
        <w:pStyle w:val="BodyText"/>
        <w:rPr>
          <w:sz w:val="20"/>
        </w:rPr>
      </w:pPr>
    </w:p>
    <w:p>
      <w:pPr>
        <w:pStyle w:val="Heading1"/>
        <w:spacing w:before="1"/>
      </w:pPr>
      <w:r>
        <w:rPr/>
        <w:t>中英人寿附加乐意人Th提前给付重大疾病保险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420" w:right="3347"/>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81"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r>
      <w:r>
        <w:rPr>
          <w:w w:val="95"/>
        </w:rPr>
        <w:t>附表一</w:t>
      </w:r>
    </w:p>
    <w:p>
      <w:pPr>
        <w:spacing w:before="63"/>
        <w:ind w:left="3756" w:right="2574" w:firstLine="0"/>
        <w:jc w:val="center"/>
        <w:rPr>
          <w:sz w:val="24"/>
        </w:rPr>
      </w:pPr>
      <w:r>
        <w:rPr>
          <w:w w:val="95"/>
          <w:sz w:val="24"/>
        </w:rPr>
        <w:t>附表二</w:t>
      </w:r>
    </w:p>
    <w:p>
      <w:pPr>
        <w:spacing w:after="0"/>
        <w:jc w:val="center"/>
        <w:rPr>
          <w:sz w:val="24"/>
        </w:rPr>
        <w:sectPr>
          <w:pgSz w:w="11900" w:h="16840"/>
          <w:pgMar w:top="1600" w:bottom="280" w:left="1620" w:right="1680"/>
        </w:sectPr>
      </w:pPr>
    </w:p>
    <w:p>
      <w:pPr>
        <w:spacing w:line="355" w:lineRule="exact" w:before="0"/>
        <w:ind w:left="2030" w:right="0" w:firstLine="0"/>
        <w:jc w:val="left"/>
        <w:rPr>
          <w:sz w:val="28"/>
        </w:rPr>
      </w:pPr>
      <w:r>
        <w:rPr>
          <w:sz w:val="28"/>
        </w:rPr>
        <w:t>中英人寿附加乐意人Th提前给付重大疾病保险</w:t>
      </w:r>
    </w:p>
    <w:p>
      <w:pPr>
        <w:pStyle w:val="BodyText"/>
        <w:tabs>
          <w:tab w:pos="950" w:val="left" w:leader="none"/>
        </w:tabs>
        <w:spacing w:line="758" w:lineRule="exact" w:before="69"/>
        <w:ind w:left="100" w:right="1546" w:firstLine="1087"/>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spacing w:after="0" w:line="758" w:lineRule="exact"/>
        <w:sectPr>
          <w:pgSz w:w="11900" w:h="16840"/>
          <w:pgMar w:top="1580" w:bottom="280" w:left="1320" w:right="980"/>
        </w:sectPr>
      </w:pPr>
    </w:p>
    <w:p>
      <w:pPr>
        <w:pStyle w:val="ListParagraph"/>
        <w:numPr>
          <w:ilvl w:val="1"/>
          <w:numId w:val="2"/>
        </w:numPr>
        <w:tabs>
          <w:tab w:pos="950" w:val="left" w:leader="none"/>
          <w:tab w:pos="951" w:val="left" w:leader="none"/>
        </w:tabs>
        <w:spacing w:line="240" w:lineRule="auto" w:before="116" w:after="0"/>
        <w:ind w:left="950" w:right="0" w:hanging="480"/>
        <w:jc w:val="left"/>
        <w:rPr>
          <w:sz w:val="21"/>
        </w:rPr>
      </w:pPr>
      <w:r>
        <w:rPr>
          <w:spacing w:val="-1"/>
          <w:sz w:val="21"/>
        </w:rPr>
        <w:t>保险合同的构成</w:t>
      </w:r>
    </w:p>
    <w:p>
      <w:pPr>
        <w:pStyle w:val="BodyText"/>
        <w:spacing w:line="237" w:lineRule="auto" w:before="116"/>
        <w:ind w:left="372" w:right="223"/>
        <w:jc w:val="both"/>
      </w:pPr>
      <w:r>
        <w:rPr/>
        <w:br w:type="column"/>
      </w:r>
      <w:r>
        <w:rPr/>
        <w:t>《中英人寿附加乐意人生提前给付重大疾病保险》合同（以下简称本附加合同）由《中英人寿乐意人生两全保险》合同（以下简称主合同）的投保人向我们提出申请，经我们审核同意后订立。</w:t>
      </w:r>
    </w:p>
    <w:p>
      <w:pPr>
        <w:pStyle w:val="BodyText"/>
        <w:spacing w:before="7"/>
        <w:rPr>
          <w:sz w:val="18"/>
        </w:rPr>
      </w:pPr>
    </w:p>
    <w:p>
      <w:pPr>
        <w:pStyle w:val="BodyText"/>
        <w:spacing w:line="237" w:lineRule="auto"/>
        <w:ind w:left="372" w:right="223"/>
        <w:jc w:val="both"/>
      </w:pPr>
      <w:r>
        <w:rPr/>
        <w:t>本附加合同由保险单、保险条款、投保书及与本附加合同有关的其它投保文件、合法有效的声明、批注、批单及其它书面协议构成。</w:t>
      </w:r>
    </w:p>
    <w:p>
      <w:pPr>
        <w:pStyle w:val="BodyText"/>
        <w:spacing w:before="7"/>
        <w:rPr>
          <w:sz w:val="18"/>
        </w:rPr>
      </w:pPr>
    </w:p>
    <w:p>
      <w:pPr>
        <w:pStyle w:val="BodyText"/>
        <w:spacing w:line="237" w:lineRule="auto"/>
        <w:ind w:left="372" w:right="223"/>
        <w:jc w:val="both"/>
      </w:pPr>
      <w:r>
        <w:rPr/>
        <w:t>主合同的条款适用于本附加合同。如果主合同的条款与本附加合同冲突， 则以本附加合同为准。</w:t>
      </w:r>
    </w:p>
    <w:p>
      <w:pPr>
        <w:spacing w:after="0" w:line="237" w:lineRule="auto"/>
        <w:jc w:val="both"/>
        <w:sectPr>
          <w:type w:val="continuous"/>
          <w:pgSz w:w="11900" w:h="16840"/>
          <w:pgMar w:top="1220" w:bottom="280" w:left="1320" w:right="980"/>
          <w:cols w:num="2" w:equalWidth="0">
            <w:col w:w="2216" w:space="40"/>
            <w:col w:w="7344"/>
          </w:cols>
        </w:sectPr>
      </w:pPr>
    </w:p>
    <w:p>
      <w:pPr>
        <w:pStyle w:val="BodyText"/>
        <w:spacing w:before="10"/>
        <w:rPr>
          <w:sz w:val="13"/>
        </w:rPr>
      </w:pPr>
    </w:p>
    <w:p>
      <w:pPr>
        <w:pStyle w:val="ListParagraph"/>
        <w:numPr>
          <w:ilvl w:val="1"/>
          <w:numId w:val="2"/>
        </w:numPr>
        <w:tabs>
          <w:tab w:pos="950" w:val="left" w:leader="none"/>
          <w:tab w:pos="951" w:val="left" w:leader="none"/>
          <w:tab w:pos="2627" w:val="left" w:leader="none"/>
        </w:tabs>
        <w:spacing w:line="280" w:lineRule="exact" w:before="63" w:after="0"/>
        <w:ind w:left="950"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50</w:t>
      </w:r>
      <w:r>
        <w:rPr>
          <w:rFonts w:ascii="Times New Roman" w:eastAsia="Times New Roman"/>
          <w:spacing w:val="1"/>
          <w:sz w:val="21"/>
        </w:rPr>
        <w:t> </w:t>
      </w:r>
      <w:r>
        <w:rPr>
          <w:sz w:val="21"/>
        </w:rPr>
        <w:t>周</w:t>
      </w:r>
      <w:r>
        <w:rPr>
          <w:spacing w:val="-63"/>
          <w:sz w:val="21"/>
        </w:rPr>
        <w:t>岁</w:t>
      </w:r>
      <w:r>
        <w:rPr>
          <w:spacing w:val="-3"/>
          <w:sz w:val="21"/>
        </w:rPr>
        <w:t>（</w:t>
      </w:r>
      <w:r>
        <w:rPr>
          <w:sz w:val="21"/>
        </w:rPr>
        <w:t>见</w:t>
      </w:r>
    </w:p>
    <w:p>
      <w:pPr>
        <w:pStyle w:val="BodyText"/>
        <w:spacing w:line="280" w:lineRule="exact"/>
        <w:ind w:left="2627"/>
      </w:pPr>
      <w:r>
        <w:rPr>
          <w:rFonts w:ascii="Times New Roman" w:eastAsia="Times New Roman"/>
          <w:w w:val="100"/>
        </w:rPr>
        <w:t>7.1</w:t>
      </w:r>
      <w:r>
        <w:rPr>
          <w:spacing w:val="-106"/>
          <w:w w:val="100"/>
        </w:rPr>
        <w:t>）</w:t>
      </w:r>
      <w:r>
        <w:rPr>
          <w:w w:val="100"/>
        </w:rPr>
        <w:t>。</w:t>
      </w:r>
    </w:p>
    <w:p>
      <w:pPr>
        <w:pStyle w:val="BodyText"/>
        <w:spacing w:before="10"/>
        <w:rPr>
          <w:sz w:val="26"/>
        </w:rPr>
      </w:pPr>
    </w:p>
    <w:p>
      <w:pPr>
        <w:pStyle w:val="ListParagraph"/>
        <w:numPr>
          <w:ilvl w:val="1"/>
          <w:numId w:val="2"/>
        </w:numPr>
        <w:tabs>
          <w:tab w:pos="951" w:val="left" w:leader="none"/>
        </w:tabs>
        <w:spacing w:line="237" w:lineRule="auto" w:before="0" w:after="0"/>
        <w:ind w:left="2628" w:right="223" w:hanging="2158"/>
        <w:jc w:val="both"/>
        <w:rPr>
          <w:sz w:val="21"/>
        </w:rPr>
      </w:pPr>
      <w:r>
        <w:rPr>
          <w:spacing w:val="-3"/>
          <w:sz w:val="21"/>
        </w:rPr>
        <w:t>合同的生效日   本附加合同的生效日经我们同意承保，自您缴纳首期保险费当日的二十四时开始。本附加合同必须与主合同同时投保，主合同的生效日为本附加合同的生效日。</w:t>
      </w:r>
    </w:p>
    <w:p>
      <w:pPr>
        <w:pStyle w:val="BodyText"/>
        <w:spacing w:before="5"/>
        <w:rPr>
          <w:sz w:val="18"/>
        </w:rPr>
      </w:pPr>
    </w:p>
    <w:p>
      <w:pPr>
        <w:pStyle w:val="ListParagraph"/>
        <w:numPr>
          <w:ilvl w:val="1"/>
          <w:numId w:val="2"/>
        </w:numPr>
        <w:tabs>
          <w:tab w:pos="950" w:val="left" w:leader="none"/>
          <w:tab w:pos="951" w:val="left" w:leader="none"/>
          <w:tab w:pos="2627" w:val="left" w:leader="none"/>
        </w:tabs>
        <w:spacing w:line="240" w:lineRule="auto" w:before="0" w:after="0"/>
        <w:ind w:left="950"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8"/>
        <w:rPr>
          <w:sz w:val="13"/>
        </w:rPr>
      </w:pPr>
    </w:p>
    <w:p>
      <w:pPr>
        <w:spacing w:after="0"/>
        <w:rPr>
          <w:sz w:val="13"/>
        </w:rPr>
        <w:sectPr>
          <w:type w:val="continuous"/>
          <w:pgSz w:w="11900" w:h="16840"/>
          <w:pgMar w:top="1220" w:bottom="280" w:left="1320" w:right="980"/>
        </w:sectPr>
      </w:pPr>
    </w:p>
    <w:p>
      <w:pPr>
        <w:pStyle w:val="ListParagraph"/>
        <w:numPr>
          <w:ilvl w:val="1"/>
          <w:numId w:val="2"/>
        </w:numPr>
        <w:tabs>
          <w:tab w:pos="951" w:val="left" w:leader="none"/>
        </w:tabs>
        <w:spacing w:line="237" w:lineRule="auto" w:before="66" w:after="0"/>
        <w:ind w:left="950" w:right="0" w:hanging="480"/>
        <w:jc w:val="both"/>
        <w:rPr>
          <w:sz w:val="21"/>
        </w:rPr>
      </w:pPr>
      <w:r>
        <w:rPr>
          <w:spacing w:val="-1"/>
          <w:sz w:val="21"/>
        </w:rPr>
        <w:t>保险金额与申</w:t>
      </w:r>
      <w:r>
        <w:rPr>
          <w:spacing w:val="-2"/>
          <w:sz w:val="21"/>
        </w:rPr>
        <w:t>请减少保险金额</w:t>
      </w:r>
    </w:p>
    <w:p>
      <w:pPr>
        <w:pStyle w:val="BodyText"/>
        <w:spacing w:before="60"/>
        <w:ind w:left="372" w:right="223"/>
      </w:pPr>
      <w:r>
        <w:rPr/>
        <w:br w:type="column"/>
      </w:r>
      <w:r>
        <w:rPr/>
        <w:t>本附加合同的保险金额为主合同的保险金额，由您和我们约定并在保险单上载明。</w:t>
      </w:r>
    </w:p>
    <w:p>
      <w:pPr>
        <w:pStyle w:val="BodyText"/>
        <w:spacing w:before="2"/>
        <w:rPr>
          <w:sz w:val="18"/>
        </w:rPr>
      </w:pPr>
    </w:p>
    <w:p>
      <w:pPr>
        <w:pStyle w:val="BodyText"/>
        <w:spacing w:before="1"/>
        <w:ind w:left="372" w:right="115"/>
      </w:pPr>
      <w:r>
        <w:rPr>
          <w:spacing w:val="-7"/>
        </w:rPr>
        <w:t>主合同减少保险金额条款同样适用于本附加合同。主合同减少保险金额时， </w:t>
      </w:r>
      <w:r>
        <w:rPr>
          <w:spacing w:val="-5"/>
        </w:rPr>
        <w:t>本附加合同必须同时申请减少保险金额。</w:t>
      </w:r>
    </w:p>
    <w:p>
      <w:pPr>
        <w:pStyle w:val="BodyText"/>
        <w:spacing w:before="3"/>
        <w:rPr>
          <w:sz w:val="18"/>
        </w:rPr>
      </w:pPr>
    </w:p>
    <w:p>
      <w:pPr>
        <w:pStyle w:val="BodyText"/>
        <w:ind w:left="372"/>
      </w:pPr>
      <w:r>
        <w:rPr/>
        <w:t>本附加合同不能单独申请减少保险金额。</w:t>
      </w:r>
    </w:p>
    <w:p>
      <w:pPr>
        <w:spacing w:after="0"/>
        <w:sectPr>
          <w:type w:val="continuous"/>
          <w:pgSz w:w="11900" w:h="16840"/>
          <w:pgMar w:top="1220" w:bottom="280" w:left="1320" w:right="980"/>
          <w:cols w:num="2" w:equalWidth="0">
            <w:col w:w="2216" w:space="40"/>
            <w:col w:w="7344"/>
          </w:cols>
        </w:sectPr>
      </w:pPr>
    </w:p>
    <w:p>
      <w:pPr>
        <w:pStyle w:val="BodyText"/>
        <w:rPr>
          <w:sz w:val="20"/>
        </w:rPr>
      </w:pPr>
    </w:p>
    <w:p>
      <w:pPr>
        <w:pStyle w:val="BodyText"/>
        <w:spacing w:before="12"/>
        <w:rPr>
          <w:sz w:val="16"/>
        </w:rPr>
      </w:pPr>
    </w:p>
    <w:p>
      <w:pPr>
        <w:pStyle w:val="BodyText"/>
        <w:tabs>
          <w:tab w:pos="950" w:val="left" w:leader="none"/>
        </w:tabs>
        <w:ind w:left="103"/>
      </w:pPr>
      <w:r>
        <w:rPr/>
        <w:t>第</w:t>
      </w:r>
      <w:r>
        <w:rPr>
          <w:spacing w:val="-55"/>
        </w:rPr>
        <w:t> </w:t>
      </w:r>
      <w:r>
        <w:rPr>
          <w:rFonts w:ascii="Times New Roman" w:eastAsia="Times New Roman"/>
          <w:b/>
        </w:rPr>
        <w:t>2 </w:t>
      </w:r>
      <w:r>
        <w:rPr/>
        <w:t>章</w:t>
        <w:tab/>
        <w:t>保障</w:t>
      </w:r>
      <w:r>
        <w:rPr>
          <w:spacing w:val="-3"/>
        </w:rPr>
        <w:t>范</w:t>
      </w:r>
      <w:r>
        <w:rPr/>
        <w:t>围</w:t>
      </w:r>
    </w:p>
    <w:p>
      <w:pPr>
        <w:pStyle w:val="BodyText"/>
        <w:rPr>
          <w:sz w:val="17"/>
        </w:rPr>
      </w:pPr>
    </w:p>
    <w:p>
      <w:pPr>
        <w:pStyle w:val="ListParagraph"/>
        <w:numPr>
          <w:ilvl w:val="1"/>
          <w:numId w:val="3"/>
        </w:numPr>
        <w:tabs>
          <w:tab w:pos="950" w:val="left" w:leader="none"/>
          <w:tab w:pos="951" w:val="left" w:leader="none"/>
          <w:tab w:pos="2627" w:val="left" w:leader="none"/>
        </w:tabs>
        <w:spacing w:line="240" w:lineRule="auto" w:before="0" w:after="0"/>
        <w:ind w:left="2267" w:right="0" w:hanging="1797"/>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6"/>
        <w:rPr>
          <w:sz w:val="18"/>
        </w:rPr>
      </w:pPr>
    </w:p>
    <w:p>
      <w:pPr>
        <w:pStyle w:val="BodyText"/>
        <w:spacing w:line="235" w:lineRule="auto"/>
        <w:ind w:left="2627" w:right="221"/>
        <w:jc w:val="both"/>
      </w:pPr>
      <w:r>
        <w:rPr>
          <w:spacing w:val="-2"/>
        </w:rPr>
        <w:t>自本附加合同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4"/>
        </w:rPr>
        <w:t>含第 </w:t>
      </w:r>
      <w:r>
        <w:rPr/>
        <w:t>90</w:t>
      </w:r>
      <w:r>
        <w:rPr>
          <w:spacing w:val="-22"/>
        </w:rPr>
        <w:t> 天</w:t>
      </w:r>
      <w:r>
        <w:rPr/>
        <w:t>）</w:t>
      </w:r>
      <w:r>
        <w:rPr>
          <w:spacing w:val="-3"/>
        </w:rPr>
        <w:t>的期间为等待期。如果被保险人在等待期内发</w:t>
      </w:r>
      <w:r>
        <w:rPr/>
        <w:t>Th</w:t>
      </w:r>
      <w:r>
        <w:rPr>
          <w:spacing w:val="-3"/>
        </w:rPr>
        <w:t>或确诊患本附加合同附表一所列任</w:t>
      </w:r>
      <w:r>
        <w:rPr>
          <w:spacing w:val="-3"/>
          <w:w w:val="100"/>
        </w:rPr>
        <w:t>何一种重大疾病</w:t>
      </w:r>
      <w:r>
        <w:rPr>
          <w:w w:val="100"/>
        </w:rPr>
        <w:t>（见</w:t>
      </w:r>
      <w:r>
        <w:rPr>
          <w:spacing w:val="-43"/>
        </w:rPr>
        <w:t> </w:t>
      </w:r>
      <w:r>
        <w:rPr>
          <w:w w:val="100"/>
        </w:rPr>
        <w:t>7.</w:t>
      </w:r>
      <w:r>
        <w:rPr>
          <w:spacing w:val="-3"/>
          <w:w w:val="100"/>
        </w:rPr>
        <w:t>2</w:t>
      </w:r>
      <w:r>
        <w:rPr>
          <w:w w:val="100"/>
        </w:rPr>
        <w:t>）</w:t>
      </w:r>
      <w:r>
        <w:rPr>
          <w:spacing w:val="-3"/>
          <w:w w:val="100"/>
        </w:rPr>
        <w:t>或附表二所列任何一种轻症疾病（</w:t>
      </w:r>
      <w:r>
        <w:rPr>
          <w:w w:val="100"/>
        </w:rPr>
        <w:t>见</w:t>
      </w:r>
      <w:r>
        <w:rPr>
          <w:spacing w:val="-41"/>
        </w:rPr>
        <w:t> </w:t>
      </w:r>
      <w:r>
        <w:rPr>
          <w:w w:val="100"/>
        </w:rPr>
        <w:t>7</w:t>
      </w:r>
      <w:r>
        <w:rPr>
          <w:spacing w:val="-3"/>
          <w:w w:val="100"/>
        </w:rPr>
        <w:t>.</w:t>
      </w:r>
      <w:r>
        <w:rPr>
          <w:w w:val="100"/>
        </w:rPr>
        <w:t>3</w:t>
      </w:r>
      <w:r>
        <w:rPr>
          <w:spacing w:val="-106"/>
          <w:w w:val="100"/>
        </w:rPr>
        <w:t>）</w:t>
      </w:r>
      <w:r>
        <w:rPr>
          <w:spacing w:val="-2"/>
          <w:w w:val="100"/>
        </w:rPr>
        <w:t>，我</w:t>
      </w:r>
      <w:r>
        <w:rPr>
          <w:spacing w:val="-3"/>
        </w:rPr>
        <w:t>们不承担保险责任，我们将无息退回您已缴纳的本附加合同及其所依附的主合同的保险费，同时本附加合同及其所依附的主合同终止。但如果被保</w:t>
      </w:r>
      <w:r>
        <w:rPr>
          <w:spacing w:val="-8"/>
        </w:rPr>
        <w:t>险人因意外伤害事故</w:t>
      </w:r>
      <w:r>
        <w:rPr/>
        <w:t>（</w:t>
      </w:r>
      <w:r>
        <w:rPr>
          <w:spacing w:val="-14"/>
        </w:rPr>
        <w:t>见 </w:t>
      </w:r>
      <w:r>
        <w:rPr>
          <w:rFonts w:ascii="Times New Roman" w:eastAsia="Times New Roman"/>
          <w:spacing w:val="-11"/>
        </w:rPr>
        <w:t>7.4</w:t>
      </w:r>
      <w:r>
        <w:rPr>
          <w:spacing w:val="-11"/>
        </w:rPr>
        <w:t>）</w:t>
      </w:r>
      <w:r>
        <w:rPr>
          <w:spacing w:val="-3"/>
        </w:rPr>
        <w:t>导致患本附加合同附表一所列任何一种重大疾病或附表二所列任何一种轻症疾病，则无等待期。</w:t>
      </w:r>
    </w:p>
    <w:p>
      <w:pPr>
        <w:pStyle w:val="BodyText"/>
        <w:spacing w:before="3"/>
        <w:rPr>
          <w:sz w:val="18"/>
        </w:rPr>
      </w:pPr>
    </w:p>
    <w:p>
      <w:pPr>
        <w:pStyle w:val="BodyText"/>
        <w:ind w:left="2627"/>
      </w:pPr>
      <w:r>
        <w:rPr>
          <w:rFonts w:ascii="Times New Roman" w:eastAsia="Times New Roman"/>
        </w:rPr>
        <w:t>1</w:t>
      </w:r>
      <w:r>
        <w:rPr/>
        <w:t>、 重大疾病保险金</w:t>
      </w:r>
    </w:p>
    <w:p>
      <w:pPr>
        <w:pStyle w:val="BodyText"/>
        <w:spacing w:before="4"/>
        <w:rPr>
          <w:sz w:val="18"/>
        </w:rPr>
      </w:pPr>
    </w:p>
    <w:p>
      <w:pPr>
        <w:pStyle w:val="BodyText"/>
        <w:spacing w:line="225" w:lineRule="auto"/>
        <w:ind w:left="2627" w:right="221"/>
        <w:jc w:val="both"/>
      </w:pPr>
      <w:r>
        <w:rPr>
          <w:spacing w:val="-5"/>
        </w:rPr>
        <w:t>如果被保险人在等待期后初次发生并被专科医生</w:t>
      </w:r>
      <w:r>
        <w:rPr>
          <w:spacing w:val="-3"/>
        </w:rPr>
        <w:t>（</w:t>
      </w:r>
      <w:r>
        <w:rPr>
          <w:spacing w:val="-14"/>
        </w:rPr>
        <w:t>见 </w:t>
      </w:r>
      <w:r>
        <w:rPr>
          <w:rFonts w:ascii="Times New Roman" w:eastAsia="Times New Roman"/>
          <w:spacing w:val="-11"/>
        </w:rPr>
        <w:t>7.5</w:t>
      </w:r>
      <w:r>
        <w:rPr>
          <w:spacing w:val="-11"/>
        </w:rPr>
        <w:t>）</w:t>
      </w:r>
      <w:r>
        <w:rPr>
          <w:spacing w:val="-3"/>
        </w:rPr>
        <w:t>确诊患本附加合同附表一所列任何一种重大疾病，我们将按以下二项中金额较高的一项给</w:t>
      </w:r>
    </w:p>
    <w:p>
      <w:pPr>
        <w:spacing w:after="0" w:line="225" w:lineRule="auto"/>
        <w:jc w:val="both"/>
        <w:sectPr>
          <w:type w:val="continuous"/>
          <w:pgSz w:w="11900" w:h="16840"/>
          <w:pgMar w:top="1220" w:bottom="280" w:left="1320" w:right="980"/>
        </w:sectPr>
      </w:pPr>
    </w:p>
    <w:p>
      <w:pPr>
        <w:pStyle w:val="BodyText"/>
        <w:spacing w:line="237" w:lineRule="auto" w:before="9"/>
        <w:ind w:left="2267" w:right="103"/>
        <w:jc w:val="both"/>
      </w:pPr>
      <w:r>
        <w:rPr/>
        <w:t>付重大疾病保险金，同时主合同各项保险金均减少为零，本附加合同及其所依附的主合同终止。但如果被保险人所患的重大疾病为本附加合同附表一所列的恶性肿瘤，则本附加合同及其所依附的主合同将在被保险人身故或确诊患恶性肿瘤后第 </w:t>
      </w:r>
      <w:r>
        <w:rPr>
          <w:rFonts w:ascii="Times New Roman" w:eastAsia="Times New Roman"/>
        </w:rPr>
        <w:t>30 </w:t>
      </w:r>
      <w:r>
        <w:rPr/>
        <w:t>天时（以较早发生者为准）终止。</w:t>
      </w:r>
    </w:p>
    <w:p>
      <w:pPr>
        <w:pStyle w:val="ListParagraph"/>
        <w:numPr>
          <w:ilvl w:val="2"/>
          <w:numId w:val="3"/>
        </w:numPr>
        <w:tabs>
          <w:tab w:pos="2991" w:val="left" w:leader="none"/>
        </w:tabs>
        <w:spacing w:line="264" w:lineRule="exact" w:before="0" w:after="0"/>
        <w:ind w:left="2990" w:right="0" w:hanging="720"/>
        <w:jc w:val="left"/>
        <w:rPr>
          <w:sz w:val="21"/>
        </w:rPr>
      </w:pPr>
      <w:r>
        <w:rPr>
          <w:spacing w:val="-1"/>
          <w:sz w:val="21"/>
        </w:rPr>
        <w:t>保险金额；</w:t>
      </w:r>
    </w:p>
    <w:p>
      <w:pPr>
        <w:pStyle w:val="ListParagraph"/>
        <w:numPr>
          <w:ilvl w:val="2"/>
          <w:numId w:val="3"/>
        </w:numPr>
        <w:tabs>
          <w:tab w:pos="2991" w:val="left" w:leader="none"/>
        </w:tabs>
        <w:spacing w:line="281" w:lineRule="exact" w:before="0" w:after="0"/>
        <w:ind w:left="2990" w:right="0" w:hanging="720"/>
        <w:jc w:val="left"/>
        <w:rPr>
          <w:sz w:val="21"/>
        </w:rPr>
      </w:pPr>
      <w:r>
        <w:rPr>
          <w:spacing w:val="-4"/>
          <w:sz w:val="21"/>
        </w:rPr>
        <w:t>您累计为本附加合同及其所依附主合同所缴纳保险费的 </w:t>
      </w:r>
      <w:r>
        <w:rPr>
          <w:rFonts w:ascii="Times New Roman" w:eastAsia="Times New Roman"/>
          <w:spacing w:val="-3"/>
          <w:sz w:val="21"/>
        </w:rPr>
        <w:t>110%</w:t>
      </w:r>
      <w:r>
        <w:rPr>
          <w:sz w:val="21"/>
        </w:rPr>
        <w:t>。</w:t>
      </w:r>
    </w:p>
    <w:p>
      <w:pPr>
        <w:pStyle w:val="BodyText"/>
        <w:spacing w:before="5"/>
        <w:rPr>
          <w:sz w:val="17"/>
        </w:rPr>
      </w:pPr>
    </w:p>
    <w:p>
      <w:pPr>
        <w:pStyle w:val="BodyText"/>
        <w:spacing w:line="237" w:lineRule="auto"/>
        <w:ind w:left="2267" w:right="103"/>
        <w:jc w:val="both"/>
      </w:pPr>
      <w:r>
        <w:rPr/>
        <w:t>如果您曾办理减少保险金额，则本附加合同所称累计所缴纳保险费，为保险事故发生时本附加合同保险金额所对应的您累计为本附加合同及其所依附主合同所缴保的保险费。</w:t>
      </w:r>
    </w:p>
    <w:p>
      <w:pPr>
        <w:pStyle w:val="BodyText"/>
        <w:spacing w:before="3"/>
        <w:rPr>
          <w:sz w:val="18"/>
        </w:rPr>
      </w:pPr>
    </w:p>
    <w:p>
      <w:pPr>
        <w:pStyle w:val="BodyText"/>
        <w:ind w:left="2267"/>
      </w:pPr>
      <w:r>
        <w:rPr/>
        <w:t>本附加合同重大疾病保险金的给付以一次为限。</w:t>
      </w:r>
    </w:p>
    <w:p>
      <w:pPr>
        <w:pStyle w:val="BodyText"/>
        <w:spacing w:before="5"/>
        <w:rPr>
          <w:sz w:val="18"/>
        </w:rPr>
      </w:pPr>
    </w:p>
    <w:p>
      <w:pPr>
        <w:pStyle w:val="BodyText"/>
        <w:ind w:left="2267"/>
      </w:pPr>
      <w:r>
        <w:rPr>
          <w:rFonts w:ascii="Times New Roman" w:eastAsia="Times New Roman"/>
        </w:rPr>
        <w:t>2</w:t>
      </w:r>
      <w:r>
        <w:rPr/>
        <w:t>、 恶性肿瘤特别保险金</w:t>
      </w:r>
    </w:p>
    <w:p>
      <w:pPr>
        <w:pStyle w:val="BodyText"/>
        <w:spacing w:before="8"/>
        <w:rPr>
          <w:sz w:val="17"/>
        </w:rPr>
      </w:pPr>
    </w:p>
    <w:p>
      <w:pPr>
        <w:pStyle w:val="BodyText"/>
        <w:spacing w:line="232" w:lineRule="auto"/>
        <w:ind w:left="2267" w:right="103" w:hanging="1"/>
        <w:jc w:val="both"/>
      </w:pPr>
      <w:r>
        <w:rPr>
          <w:spacing w:val="-3"/>
        </w:rPr>
        <w:t>如果被保险人在等待期后初次发生并被专科医生确诊患恶性肿瘤，且在确</w:t>
      </w:r>
      <w:r>
        <w:rPr>
          <w:spacing w:val="-12"/>
        </w:rPr>
        <w:t>诊日后第 </w:t>
      </w:r>
      <w:r>
        <w:rPr>
          <w:rFonts w:ascii="Times New Roman" w:eastAsia="Times New Roman"/>
        </w:rPr>
        <w:t>30 </w:t>
      </w:r>
      <w:r>
        <w:rPr>
          <w:spacing w:val="-14"/>
        </w:rPr>
        <w:t>天仍生存，我们将按重大疾病保险金的 </w:t>
      </w:r>
      <w:r>
        <w:rPr>
          <w:rFonts w:ascii="Times New Roman" w:eastAsia="Times New Roman"/>
        </w:rPr>
        <w:t>50%</w:t>
      </w:r>
      <w:r>
        <w:rPr>
          <w:spacing w:val="-3"/>
        </w:rPr>
        <w:t>给付恶性肿瘤特别保险金，同时本附加合同及其所依附的主合同终止。</w:t>
      </w:r>
    </w:p>
    <w:p>
      <w:pPr>
        <w:pStyle w:val="BodyText"/>
        <w:spacing w:before="3"/>
        <w:rPr>
          <w:sz w:val="18"/>
        </w:rPr>
      </w:pPr>
    </w:p>
    <w:p>
      <w:pPr>
        <w:pStyle w:val="BodyText"/>
        <w:ind w:left="2267"/>
      </w:pPr>
      <w:r>
        <w:rPr>
          <w:rFonts w:ascii="Times New Roman" w:eastAsia="Times New Roman"/>
        </w:rPr>
        <w:t>3</w:t>
      </w:r>
      <w:r>
        <w:rPr/>
        <w:t>、 轻症疾病保险金</w:t>
      </w:r>
    </w:p>
    <w:p>
      <w:pPr>
        <w:pStyle w:val="BodyText"/>
        <w:spacing w:before="8"/>
        <w:rPr>
          <w:sz w:val="17"/>
        </w:rPr>
      </w:pPr>
    </w:p>
    <w:p>
      <w:pPr>
        <w:pStyle w:val="BodyText"/>
        <w:spacing w:line="232" w:lineRule="auto"/>
        <w:ind w:left="2268" w:right="101" w:hanging="1"/>
        <w:jc w:val="both"/>
      </w:pPr>
      <w:r>
        <w:rPr>
          <w:spacing w:val="-3"/>
        </w:rPr>
        <w:t>如果被保险人在等待期后初次发生并被专科医生确诊患本附加合同附表二所列任何一种轻症疾病，并且在轻症疾病确诊前未确诊患本附加合同附表</w:t>
      </w:r>
      <w:r>
        <w:rPr>
          <w:spacing w:val="-4"/>
        </w:rPr>
        <w:t>一所列任何一种重大疾病，我们将按本附加合同保险金额的 </w:t>
      </w:r>
      <w:r>
        <w:rPr>
          <w:rFonts w:ascii="Times New Roman" w:eastAsia="Times New Roman"/>
        </w:rPr>
        <w:t>20%</w:t>
      </w:r>
      <w:r>
        <w:rPr>
          <w:spacing w:val="-3"/>
        </w:rPr>
        <w:t>给付轻症疾病保险金，本项保险责任终止。</w:t>
      </w:r>
    </w:p>
    <w:p>
      <w:pPr>
        <w:pStyle w:val="BodyText"/>
        <w:spacing w:before="2"/>
        <w:rPr>
          <w:sz w:val="19"/>
        </w:rPr>
      </w:pPr>
    </w:p>
    <w:p>
      <w:pPr>
        <w:pStyle w:val="BodyText"/>
        <w:spacing w:line="230" w:lineRule="auto" w:before="1"/>
        <w:ind w:left="2268" w:right="101"/>
        <w:jc w:val="both"/>
      </w:pPr>
      <w:r>
        <w:rPr>
          <w:spacing w:val="-3"/>
        </w:rPr>
        <w:t>如果被保险人在轻症疾病确诊前，已经确诊患本附加合同附表一所列任何</w:t>
      </w:r>
      <w:r>
        <w:rPr>
          <w:spacing w:val="-5"/>
        </w:rPr>
        <w:t>一种重大疾病，我们在依照本条第 </w:t>
      </w:r>
      <w:r>
        <w:rPr>
          <w:rFonts w:ascii="Times New Roman" w:eastAsia="Times New Roman"/>
        </w:rPr>
        <w:t>1 </w:t>
      </w:r>
      <w:r>
        <w:rPr>
          <w:spacing w:val="-3"/>
        </w:rPr>
        <w:t>项的约定给付重大疾病保险金时，将把已经给付的轻症疾病保险金扣除。</w:t>
      </w:r>
    </w:p>
    <w:p>
      <w:pPr>
        <w:pStyle w:val="BodyText"/>
        <w:spacing w:before="3"/>
        <w:rPr>
          <w:sz w:val="18"/>
        </w:rPr>
      </w:pPr>
    </w:p>
    <w:p>
      <w:pPr>
        <w:pStyle w:val="BodyText"/>
        <w:ind w:left="2268"/>
      </w:pPr>
      <w:r>
        <w:rPr>
          <w:rFonts w:ascii="Times New Roman" w:eastAsia="Times New Roman"/>
        </w:rPr>
        <w:t>4</w:t>
      </w:r>
      <w:r>
        <w:rPr/>
        <w:t>、 轻症疾病豁免保费</w:t>
      </w:r>
    </w:p>
    <w:p>
      <w:pPr>
        <w:pStyle w:val="BodyText"/>
        <w:spacing w:before="5"/>
        <w:rPr>
          <w:sz w:val="17"/>
        </w:rPr>
      </w:pPr>
    </w:p>
    <w:p>
      <w:pPr>
        <w:pStyle w:val="BodyText"/>
        <w:spacing w:line="237" w:lineRule="auto"/>
        <w:ind w:left="2268" w:right="103" w:hanging="1"/>
        <w:jc w:val="both"/>
      </w:pPr>
      <w:r>
        <w:rPr/>
        <w:t>如果被保险人在等待期后初次发生并被专科医生确诊患本附加合同附表二所列任何一种轻症疾病，并且在轻症疾病确诊前未确诊患本附加合同附表一所列任何一种重大疾病，我们将豁免轻症疾病确诊日后本附加合同及其所依附的主合同的各期保险费。</w:t>
      </w:r>
    </w:p>
    <w:p>
      <w:pPr>
        <w:pStyle w:val="BodyText"/>
        <w:spacing w:before="8"/>
        <w:rPr>
          <w:sz w:val="18"/>
        </w:rPr>
      </w:pPr>
    </w:p>
    <w:p>
      <w:pPr>
        <w:pStyle w:val="ListParagraph"/>
        <w:numPr>
          <w:ilvl w:val="1"/>
          <w:numId w:val="3"/>
        </w:numPr>
        <w:tabs>
          <w:tab w:pos="591" w:val="left" w:leader="none"/>
        </w:tabs>
        <w:spacing w:line="237" w:lineRule="auto" w:before="0" w:after="0"/>
        <w:ind w:left="2267" w:right="103" w:hanging="2157"/>
        <w:jc w:val="both"/>
        <w:rPr>
          <w:sz w:val="21"/>
        </w:rPr>
      </w:pPr>
      <w:r>
        <w:rPr>
          <w:spacing w:val="-3"/>
          <w:sz w:val="21"/>
        </w:rPr>
        <w:t>责任免除       如果由于以下任何一种情形，导致被保险人患本附加合同附表一所列任何一种重大疾病或附表二所列任何一种轻症疾病，我们不承担保险责任，本附加合同及其所依附的主合同同时终止：</w:t>
      </w:r>
    </w:p>
    <w:p>
      <w:pPr>
        <w:pStyle w:val="BodyText"/>
        <w:spacing w:before="2"/>
        <w:rPr>
          <w:sz w:val="18"/>
        </w:rPr>
      </w:pPr>
    </w:p>
    <w:p>
      <w:pPr>
        <w:pStyle w:val="ListParagraph"/>
        <w:numPr>
          <w:ilvl w:val="0"/>
          <w:numId w:val="4"/>
        </w:numPr>
        <w:tabs>
          <w:tab w:pos="2688" w:val="left" w:leader="none"/>
        </w:tabs>
        <w:spacing w:line="274" w:lineRule="exact" w:before="1" w:after="0"/>
        <w:ind w:left="2688" w:right="0" w:hanging="421"/>
        <w:jc w:val="both"/>
        <w:rPr>
          <w:sz w:val="21"/>
        </w:rPr>
      </w:pPr>
      <w:r>
        <w:rPr>
          <w:spacing w:val="-3"/>
          <w:sz w:val="21"/>
        </w:rPr>
        <w:t>投保人对被保险人的故意杀害、故意伤害；</w:t>
      </w:r>
    </w:p>
    <w:p>
      <w:pPr>
        <w:pStyle w:val="ListParagraph"/>
        <w:numPr>
          <w:ilvl w:val="0"/>
          <w:numId w:val="4"/>
        </w:numPr>
        <w:tabs>
          <w:tab w:pos="2688" w:val="left" w:leader="none"/>
        </w:tabs>
        <w:spacing w:line="274" w:lineRule="exact" w:before="0" w:after="0"/>
        <w:ind w:left="2688" w:right="0" w:hanging="421"/>
        <w:jc w:val="both"/>
        <w:rPr>
          <w:sz w:val="21"/>
        </w:rPr>
      </w:pPr>
      <w:r>
        <w:rPr>
          <w:spacing w:val="-3"/>
          <w:sz w:val="21"/>
        </w:rPr>
        <w:t>被保险人故意犯罪或抗拒依法采取的刑事强制措施；</w:t>
      </w:r>
    </w:p>
    <w:p>
      <w:pPr>
        <w:pStyle w:val="ListParagraph"/>
        <w:numPr>
          <w:ilvl w:val="0"/>
          <w:numId w:val="4"/>
        </w:numPr>
        <w:tabs>
          <w:tab w:pos="2688" w:val="left" w:leader="none"/>
        </w:tabs>
        <w:spacing w:line="272" w:lineRule="exact" w:before="0" w:after="0"/>
        <w:ind w:left="2688" w:right="0" w:hanging="421"/>
        <w:jc w:val="both"/>
        <w:rPr>
          <w:sz w:val="21"/>
        </w:rPr>
      </w:pPr>
      <w:r>
        <w:rPr>
          <w:spacing w:val="-2"/>
          <w:sz w:val="21"/>
        </w:rPr>
        <w:t>被保险人自伤；</w:t>
      </w:r>
    </w:p>
    <w:p>
      <w:pPr>
        <w:pStyle w:val="ListParagraph"/>
        <w:numPr>
          <w:ilvl w:val="0"/>
          <w:numId w:val="4"/>
        </w:numPr>
        <w:tabs>
          <w:tab w:pos="2688" w:val="left" w:leader="none"/>
        </w:tabs>
        <w:spacing w:line="280" w:lineRule="exact" w:before="0" w:after="0"/>
        <w:ind w:left="2688" w:right="0" w:hanging="421"/>
        <w:jc w:val="both"/>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spacing w:val="-106"/>
          <w:w w:val="100"/>
          <w:sz w:val="21"/>
        </w:rPr>
        <w:t>）</w:t>
      </w:r>
      <w:r>
        <w:rPr>
          <w:w w:val="100"/>
          <w:sz w:val="21"/>
        </w:rPr>
        <w:t>；</w:t>
      </w:r>
    </w:p>
    <w:p>
      <w:pPr>
        <w:pStyle w:val="ListParagraph"/>
        <w:numPr>
          <w:ilvl w:val="0"/>
          <w:numId w:val="4"/>
        </w:numPr>
        <w:tabs>
          <w:tab w:pos="2687" w:val="left" w:leader="none"/>
          <w:tab w:pos="2688" w:val="left" w:leader="none"/>
        </w:tabs>
        <w:spacing w:line="225" w:lineRule="auto" w:before="8" w:after="0"/>
        <w:ind w:left="2688" w:right="101" w:hanging="421"/>
        <w:jc w:val="left"/>
        <w:rPr>
          <w:sz w:val="21"/>
        </w:rPr>
      </w:pPr>
      <w:r>
        <w:rPr>
          <w:spacing w:val="-3"/>
          <w:w w:val="100"/>
          <w:sz w:val="21"/>
        </w:rPr>
        <w:t>被保险人酒后驾驶（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7</w:t>
      </w:r>
      <w:r>
        <w:rPr>
          <w:spacing w:val="-106"/>
          <w:w w:val="100"/>
          <w:sz w:val="21"/>
        </w:rPr>
        <w:t>）</w:t>
      </w:r>
      <w:r>
        <w:rPr>
          <w:spacing w:val="-3"/>
          <w:w w:val="100"/>
          <w:sz w:val="21"/>
        </w:rPr>
        <w:t>，无合法有效驾驶证驾驶</w:t>
      </w:r>
      <w:r>
        <w:rPr>
          <w:w w:val="100"/>
          <w:sz w:val="21"/>
        </w:rPr>
        <w:t>（见</w:t>
      </w:r>
      <w:r>
        <w:rPr>
          <w:spacing w:val="-41"/>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7.9</w:t>
      </w:r>
      <w:r>
        <w:rPr>
          <w:sz w:val="21"/>
        </w:rPr>
        <w:t>）</w:t>
      </w:r>
      <w:r>
        <w:rPr>
          <w:spacing w:val="-1"/>
          <w:sz w:val="21"/>
        </w:rPr>
        <w:t>的机动车；</w:t>
      </w:r>
    </w:p>
    <w:p>
      <w:pPr>
        <w:pStyle w:val="ListParagraph"/>
        <w:numPr>
          <w:ilvl w:val="0"/>
          <w:numId w:val="4"/>
        </w:numPr>
        <w:tabs>
          <w:tab w:pos="2687" w:val="left" w:leader="none"/>
          <w:tab w:pos="2688" w:val="left" w:leader="none"/>
        </w:tabs>
        <w:spacing w:line="256" w:lineRule="exact" w:before="0" w:after="0"/>
        <w:ind w:left="2688" w:right="0" w:hanging="421"/>
        <w:jc w:val="left"/>
        <w:rPr>
          <w:sz w:val="21"/>
        </w:rPr>
      </w:pPr>
      <w:r>
        <w:rPr>
          <w:spacing w:val="-3"/>
          <w:sz w:val="21"/>
        </w:rPr>
        <w:t>战争、军事冲突、暴乱或武装叛乱；</w:t>
      </w:r>
    </w:p>
    <w:p>
      <w:pPr>
        <w:pStyle w:val="ListParagraph"/>
        <w:numPr>
          <w:ilvl w:val="0"/>
          <w:numId w:val="4"/>
        </w:numPr>
        <w:tabs>
          <w:tab w:pos="2687" w:val="left" w:leader="none"/>
          <w:tab w:pos="2688" w:val="left" w:leader="none"/>
        </w:tabs>
        <w:spacing w:line="272" w:lineRule="exact" w:before="0" w:after="0"/>
        <w:ind w:left="2688" w:right="0" w:hanging="421"/>
        <w:jc w:val="left"/>
        <w:rPr>
          <w:sz w:val="21"/>
        </w:rPr>
      </w:pPr>
      <w:r>
        <w:rPr>
          <w:spacing w:val="-3"/>
          <w:sz w:val="21"/>
        </w:rPr>
        <w:t>核爆炸、核辐射或核污染；</w:t>
      </w:r>
    </w:p>
    <w:p>
      <w:pPr>
        <w:pStyle w:val="ListParagraph"/>
        <w:numPr>
          <w:ilvl w:val="0"/>
          <w:numId w:val="4"/>
        </w:numPr>
        <w:tabs>
          <w:tab w:pos="2687" w:val="left" w:leader="none"/>
          <w:tab w:pos="2688" w:val="left" w:leader="none"/>
        </w:tabs>
        <w:spacing w:line="225" w:lineRule="auto" w:before="16" w:after="0"/>
        <w:ind w:left="2688" w:right="101" w:hanging="421"/>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0"/>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10</w:t>
      </w:r>
      <w:r>
        <w:rPr>
          <w:spacing w:val="-108"/>
          <w:w w:val="100"/>
          <w:sz w:val="21"/>
        </w:rPr>
        <w:t>）</w:t>
      </w:r>
      <w:r>
        <w:rPr>
          <w:w w:val="100"/>
          <w:sz w:val="21"/>
        </w:rPr>
        <w:t>（因</w:t>
      </w:r>
      <w:r>
        <w:rPr>
          <w:spacing w:val="-3"/>
          <w:w w:val="100"/>
          <w:sz w:val="21"/>
        </w:rPr>
        <w:t>本附加合同附表所列第</w:t>
      </w:r>
      <w:r>
        <w:rPr>
          <w:spacing w:val="-53"/>
          <w:sz w:val="21"/>
        </w:rPr>
        <w:t> </w:t>
      </w:r>
      <w:r>
        <w:rPr>
          <w:rFonts w:ascii="Times New Roman" w:eastAsia="Times New Roman"/>
          <w:spacing w:val="-3"/>
          <w:w w:val="100"/>
          <w:sz w:val="21"/>
        </w:rPr>
        <w:t>3</w:t>
      </w:r>
      <w:r>
        <w:rPr>
          <w:rFonts w:ascii="Times New Roman" w:eastAsia="Times New Roman"/>
          <w:w w:val="100"/>
          <w:sz w:val="21"/>
        </w:rPr>
        <w:t>2</w:t>
      </w:r>
      <w:r>
        <w:rPr>
          <w:rFonts w:ascii="Times New Roman" w:eastAsia="Times New Roman"/>
          <w:spacing w:val="-3"/>
          <w:sz w:val="21"/>
        </w:rPr>
        <w:t> </w:t>
      </w:r>
      <w:r>
        <w:rPr>
          <w:spacing w:val="-3"/>
          <w:w w:val="100"/>
          <w:sz w:val="21"/>
        </w:rPr>
        <w:t>项所导致的除外</w:t>
      </w:r>
      <w:r>
        <w:rPr>
          <w:spacing w:val="-106"/>
          <w:w w:val="100"/>
          <w:sz w:val="21"/>
        </w:rPr>
        <w:t>）</w:t>
      </w:r>
      <w:r>
        <w:rPr>
          <w:w w:val="100"/>
          <w:sz w:val="21"/>
        </w:rPr>
        <w:t>；</w:t>
      </w:r>
    </w:p>
    <w:p>
      <w:pPr>
        <w:pStyle w:val="ListParagraph"/>
        <w:numPr>
          <w:ilvl w:val="0"/>
          <w:numId w:val="4"/>
        </w:numPr>
        <w:tabs>
          <w:tab w:pos="2688" w:val="left" w:leader="none"/>
        </w:tabs>
        <w:spacing w:line="274" w:lineRule="exact" w:before="0" w:after="0"/>
        <w:ind w:left="2688" w:right="0" w:hanging="421"/>
        <w:jc w:val="both"/>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12</w:t>
      </w:r>
      <w:r>
        <w:rPr>
          <w:spacing w:val="-108"/>
          <w:w w:val="100"/>
          <w:sz w:val="21"/>
        </w:rPr>
        <w:t>）</w:t>
      </w:r>
      <w:r>
        <w:rPr>
          <w:w w:val="100"/>
          <w:sz w:val="21"/>
        </w:rPr>
        <w:t>。</w:t>
      </w:r>
    </w:p>
    <w:p>
      <w:pPr>
        <w:spacing w:after="0" w:line="274" w:lineRule="exact"/>
        <w:jc w:val="both"/>
        <w:rPr>
          <w:sz w:val="21"/>
        </w:rPr>
        <w:sectPr>
          <w:pgSz w:w="11900" w:h="16840"/>
          <w:pgMar w:top="1260" w:bottom="280" w:left="1680" w:right="1100"/>
        </w:sectPr>
      </w:pPr>
    </w:p>
    <w:p>
      <w:pPr>
        <w:pStyle w:val="BodyText"/>
        <w:spacing w:line="230" w:lineRule="auto" w:before="38"/>
        <w:ind w:left="2627" w:right="221"/>
        <w:jc w:val="both"/>
      </w:pPr>
      <w:r>
        <w:rPr>
          <w:spacing w:val="-6"/>
        </w:rPr>
        <w:t>发生上述第 </w:t>
      </w:r>
      <w:r>
        <w:rPr>
          <w:rFonts w:ascii="Times New Roman" w:eastAsia="Times New Roman"/>
        </w:rPr>
        <w:t>1 </w:t>
      </w:r>
      <w:r>
        <w:rPr>
          <w:spacing w:val="-3"/>
        </w:rPr>
        <w:t>种情形导致本附加合同及其所依附的主合同终止的，如果您已缴足二年保险费，我们将退还本附加合同及其所依附的主合同终止时的现金价值（见 </w:t>
      </w:r>
      <w:r>
        <w:rPr>
          <w:rFonts w:ascii="Times New Roman" w:eastAsia="Times New Roman"/>
        </w:rPr>
        <w:t>7.13</w:t>
      </w:r>
      <w:r>
        <w:rPr/>
        <w:t>）</w:t>
      </w:r>
      <w:r>
        <w:rPr>
          <w:spacing w:val="-3"/>
        </w:rPr>
        <w:t>给被保险人；如果被保险人身故的，该现金价值将作为被保险人的遗产处理。</w:t>
      </w:r>
    </w:p>
    <w:p>
      <w:pPr>
        <w:pStyle w:val="BodyText"/>
        <w:spacing w:before="11"/>
        <w:rPr>
          <w:sz w:val="18"/>
        </w:rPr>
      </w:pPr>
    </w:p>
    <w:p>
      <w:pPr>
        <w:pStyle w:val="BodyText"/>
        <w:spacing w:line="232" w:lineRule="auto"/>
        <w:ind w:left="2627" w:right="221"/>
        <w:jc w:val="both"/>
      </w:pPr>
      <w:r>
        <w:rPr>
          <w:spacing w:val="-6"/>
        </w:rPr>
        <w:t>发生上述第 </w:t>
      </w:r>
      <w:r>
        <w:rPr>
          <w:rFonts w:ascii="Times New Roman" w:eastAsia="Times New Roman"/>
        </w:rPr>
        <w:t>2 </w:t>
      </w:r>
      <w:r>
        <w:rPr>
          <w:spacing w:val="-3"/>
        </w:rPr>
        <w:t>种情形导致本附加合同及其所依附的主合同终止的，如果您已缴足二年保险费，我们将退还本附加合同及其所依附的主合同终止时的现金价值给您。</w:t>
      </w:r>
    </w:p>
    <w:p>
      <w:pPr>
        <w:pStyle w:val="BodyText"/>
        <w:spacing w:before="6"/>
        <w:rPr>
          <w:sz w:val="19"/>
        </w:rPr>
      </w:pPr>
    </w:p>
    <w:p>
      <w:pPr>
        <w:pStyle w:val="BodyText"/>
        <w:spacing w:line="225" w:lineRule="auto" w:before="1"/>
        <w:ind w:left="2627" w:right="115"/>
      </w:pPr>
      <w:r>
        <w:rPr/>
        <w:t>发生上述第</w:t>
      </w:r>
      <w:r>
        <w:rPr>
          <w:rFonts w:ascii="Times New Roman" w:eastAsia="Times New Roman"/>
        </w:rPr>
        <w:t>3 </w:t>
      </w:r>
      <w:r>
        <w:rPr/>
        <w:t>种至第</w:t>
      </w:r>
      <w:r>
        <w:rPr>
          <w:rFonts w:ascii="Times New Roman" w:eastAsia="Times New Roman"/>
        </w:rPr>
        <w:t>9 </w:t>
      </w:r>
      <w:r>
        <w:rPr/>
        <w:t>种情形导致本附加合同及其所依附的主合同终止的， 我们将退还本附加合同及其所依附的主合同终止时的现金价值给您。</w:t>
      </w:r>
    </w:p>
    <w:p>
      <w:pPr>
        <w:pStyle w:val="BodyText"/>
        <w:rPr>
          <w:sz w:val="20"/>
        </w:rPr>
      </w:pPr>
    </w:p>
    <w:p>
      <w:pPr>
        <w:pStyle w:val="BodyText"/>
        <w:spacing w:before="12"/>
        <w:rPr>
          <w:sz w:val="16"/>
        </w:rPr>
      </w:pPr>
    </w:p>
    <w:p>
      <w:pPr>
        <w:pStyle w:val="BodyText"/>
        <w:tabs>
          <w:tab w:pos="950" w:val="left" w:leader="none"/>
          <w:tab w:pos="2627" w:val="left" w:leader="none"/>
        </w:tabs>
        <w:spacing w:line="422" w:lineRule="auto"/>
        <w:ind w:left="2627" w:right="665" w:hanging="2525"/>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单</w:t>
      </w:r>
      <w:r>
        <w:rPr>
          <w:spacing w:val="-3"/>
        </w:rPr>
        <w:t>上</w:t>
      </w:r>
      <w:r>
        <w:rPr/>
        <w:t>载</w:t>
      </w:r>
      <w:r>
        <w:rPr>
          <w:spacing w:val="-3"/>
        </w:rPr>
        <w:t>明</w:t>
      </w:r>
      <w:r>
        <w:rPr/>
        <w:t>。 本附</w:t>
      </w:r>
      <w:r>
        <w:rPr>
          <w:spacing w:val="-3"/>
        </w:rPr>
        <w:t>加</w:t>
      </w:r>
      <w:r>
        <w:rPr/>
        <w:t>合</w:t>
      </w:r>
      <w:r>
        <w:rPr>
          <w:spacing w:val="-3"/>
        </w:rPr>
        <w:t>同</w:t>
      </w:r>
      <w:r>
        <w:rPr/>
        <w:t>的</w:t>
      </w:r>
      <w:r>
        <w:rPr>
          <w:spacing w:val="-3"/>
        </w:rPr>
        <w:t>缴</w:t>
      </w:r>
      <w:r>
        <w:rPr/>
        <w:t>费</w:t>
      </w:r>
      <w:r>
        <w:rPr>
          <w:spacing w:val="-3"/>
        </w:rPr>
        <w:t>期</w:t>
      </w:r>
      <w:r>
        <w:rPr/>
        <w:t>间</w:t>
      </w:r>
      <w:r>
        <w:rPr>
          <w:spacing w:val="-3"/>
        </w:rPr>
        <w:t>和</w:t>
      </w:r>
      <w:r>
        <w:rPr/>
        <w:t>缴费</w:t>
      </w:r>
      <w:r>
        <w:rPr>
          <w:spacing w:val="-3"/>
        </w:rPr>
        <w:t>方</w:t>
      </w:r>
      <w:r>
        <w:rPr/>
        <w:t>式</w:t>
      </w:r>
      <w:r>
        <w:rPr>
          <w:spacing w:val="-3"/>
        </w:rPr>
        <w:t>与</w:t>
      </w:r>
      <w:r>
        <w:rPr/>
        <w:t>所</w:t>
      </w:r>
      <w:r>
        <w:rPr>
          <w:spacing w:val="-3"/>
        </w:rPr>
        <w:t>依</w:t>
      </w:r>
      <w:r>
        <w:rPr/>
        <w:t>附</w:t>
      </w:r>
      <w:r>
        <w:rPr>
          <w:spacing w:val="-3"/>
        </w:rPr>
        <w:t>的</w:t>
      </w:r>
      <w:r>
        <w:rPr/>
        <w:t>主</w:t>
      </w:r>
      <w:r>
        <w:rPr>
          <w:spacing w:val="-3"/>
        </w:rPr>
        <w:t>合</w:t>
      </w:r>
      <w:r>
        <w:rPr/>
        <w:t>同相</w:t>
      </w:r>
      <w:r>
        <w:rPr>
          <w:spacing w:val="-3"/>
        </w:rPr>
        <w:t>同</w:t>
      </w:r>
      <w:r>
        <w:rPr/>
        <w:t>。</w:t>
      </w:r>
    </w:p>
    <w:p>
      <w:pPr>
        <w:pStyle w:val="BodyText"/>
        <w:spacing w:line="448" w:lineRule="auto" w:before="78"/>
        <w:ind w:left="2627" w:right="11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60"/>
        <w:ind w:left="2627" w:right="223"/>
        <w:jc w:val="both"/>
      </w:pPr>
      <w:r>
        <w:rPr/>
        <w:t>我们保留在每个保单周年日调整本附加合同保险费率的权利，我们将根据厘定本附加合同保险费率所使用的重大疾病发生率与重大疾病实际发生率的差异确定是否对本附加合同保险费率进行调整，调整同时我们也会向国务院保险监督管理机构报备。如果调整保险费率，我们将在保单周年日前书面通知您。</w:t>
      </w:r>
    </w:p>
    <w:p>
      <w:pPr>
        <w:pStyle w:val="BodyText"/>
        <w:rPr>
          <w:sz w:val="20"/>
        </w:rPr>
      </w:pPr>
    </w:p>
    <w:p>
      <w:pPr>
        <w:pStyle w:val="BodyText"/>
        <w:spacing w:before="11"/>
        <w:rPr>
          <w:sz w:val="16"/>
        </w:rPr>
      </w:pPr>
    </w:p>
    <w:p>
      <w:pPr>
        <w:pStyle w:val="BodyText"/>
        <w:tabs>
          <w:tab w:pos="950" w:val="left" w:leader="none"/>
        </w:tabs>
        <w:spacing w:before="1"/>
        <w:ind w:left="103"/>
      </w:pPr>
      <w:r>
        <w:rPr/>
        <w:t>第</w:t>
      </w:r>
      <w:r>
        <w:rPr>
          <w:spacing w:val="-55"/>
        </w:rPr>
        <w:t> </w:t>
      </w:r>
      <w:r>
        <w:rPr>
          <w:rFonts w:ascii="Times New Roman" w:eastAsia="Times New Roman"/>
          <w:b/>
        </w:rPr>
        <w:t>4 </w:t>
      </w:r>
      <w:r>
        <w:rPr/>
        <w:t>章</w:t>
        <w:tab/>
        <w:t>保险</w:t>
      </w:r>
      <w:r>
        <w:rPr>
          <w:spacing w:val="-3"/>
        </w:rPr>
        <w:t>金</w:t>
      </w:r>
      <w:r>
        <w:rPr/>
        <w:t>的给付</w:t>
      </w:r>
    </w:p>
    <w:p>
      <w:pPr>
        <w:pStyle w:val="BodyText"/>
        <w:spacing w:before="3"/>
        <w:rPr>
          <w:sz w:val="12"/>
        </w:rPr>
      </w:pPr>
    </w:p>
    <w:p>
      <w:pPr>
        <w:spacing w:after="0"/>
        <w:rPr>
          <w:sz w:val="12"/>
        </w:rPr>
        <w:sectPr>
          <w:pgSz w:w="11900" w:h="16840"/>
          <w:pgMar w:top="1240" w:bottom="280" w:left="1320" w:right="980"/>
        </w:sectPr>
      </w:pPr>
    </w:p>
    <w:p>
      <w:pPr>
        <w:pStyle w:val="ListParagraph"/>
        <w:numPr>
          <w:ilvl w:val="1"/>
          <w:numId w:val="5"/>
        </w:numPr>
        <w:tabs>
          <w:tab w:pos="950" w:val="left" w:leader="none"/>
          <w:tab w:pos="951" w:val="left" w:leader="none"/>
        </w:tabs>
        <w:spacing w:line="240" w:lineRule="auto" w:before="63" w:after="0"/>
        <w:ind w:left="950" w:right="0" w:hanging="480"/>
        <w:jc w:val="left"/>
        <w:rPr>
          <w:sz w:val="21"/>
        </w:rPr>
      </w:pPr>
      <w:r>
        <w:rPr>
          <w:spacing w:val="-1"/>
          <w:sz w:val="21"/>
        </w:rPr>
        <w:t>请求给付保险</w:t>
      </w:r>
      <w:r>
        <w:rPr>
          <w:spacing w:val="-2"/>
          <w:sz w:val="21"/>
        </w:rPr>
        <w:t>金的诉讼时效</w:t>
      </w:r>
    </w:p>
    <w:p>
      <w:pPr>
        <w:pStyle w:val="BodyText"/>
        <w:spacing w:before="60"/>
        <w:ind w:left="372" w:right="22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20" w:right="980"/>
          <w:cols w:num="2" w:equalWidth="0">
            <w:col w:w="2216" w:space="40"/>
            <w:col w:w="7344"/>
          </w:cols>
        </w:sectPr>
      </w:pPr>
    </w:p>
    <w:p>
      <w:pPr>
        <w:pStyle w:val="BodyText"/>
        <w:spacing w:before="6"/>
        <w:rPr>
          <w:sz w:val="13"/>
        </w:rPr>
      </w:pPr>
    </w:p>
    <w:p>
      <w:pPr>
        <w:spacing w:after="0"/>
        <w:rPr>
          <w:sz w:val="13"/>
        </w:rPr>
        <w:sectPr>
          <w:type w:val="continuous"/>
          <w:pgSz w:w="11900" w:h="16840"/>
          <w:pgMar w:top="1220" w:bottom="280" w:left="1320" w:right="980"/>
        </w:sectPr>
      </w:pPr>
    </w:p>
    <w:p>
      <w:pPr>
        <w:pStyle w:val="ListParagraph"/>
        <w:numPr>
          <w:ilvl w:val="1"/>
          <w:numId w:val="5"/>
        </w:numPr>
        <w:tabs>
          <w:tab w:pos="950" w:val="left" w:leader="none"/>
          <w:tab w:pos="951" w:val="left" w:leader="none"/>
        </w:tabs>
        <w:spacing w:line="240" w:lineRule="auto" w:before="62" w:after="0"/>
        <w:ind w:left="950" w:right="0" w:hanging="480"/>
        <w:jc w:val="left"/>
        <w:rPr>
          <w:sz w:val="21"/>
        </w:rPr>
      </w:pPr>
      <w:r>
        <w:rPr>
          <w:spacing w:val="-1"/>
          <w:sz w:val="21"/>
        </w:rPr>
        <w:t>保险金受益人的指定</w:t>
      </w:r>
    </w:p>
    <w:p>
      <w:pPr>
        <w:pStyle w:val="BodyText"/>
        <w:spacing w:before="60"/>
        <w:ind w:left="372" w:right="223"/>
      </w:pPr>
      <w:r>
        <w:rPr/>
        <w:br w:type="column"/>
      </w:r>
      <w:r>
        <w:rPr/>
        <w:t>本附加合同重大疾病保险金、恶性肿瘤特别保险金和轻症疾病保险金的受益人是被保险人本人。</w:t>
      </w:r>
    </w:p>
    <w:p>
      <w:pPr>
        <w:spacing w:after="0"/>
        <w:sectPr>
          <w:type w:val="continuous"/>
          <w:pgSz w:w="11900" w:h="16840"/>
          <w:pgMar w:top="1220" w:bottom="280" w:left="1320" w:right="980"/>
          <w:cols w:num="2" w:equalWidth="0">
            <w:col w:w="2216" w:space="40"/>
            <w:col w:w="7344"/>
          </w:cols>
        </w:sectPr>
      </w:pPr>
    </w:p>
    <w:p>
      <w:pPr>
        <w:pStyle w:val="BodyText"/>
        <w:spacing w:before="5"/>
        <w:rPr>
          <w:sz w:val="13"/>
        </w:rPr>
      </w:pPr>
    </w:p>
    <w:p>
      <w:pPr>
        <w:spacing w:after="0"/>
        <w:rPr>
          <w:sz w:val="13"/>
        </w:rPr>
        <w:sectPr>
          <w:type w:val="continuous"/>
          <w:pgSz w:w="11900" w:h="16840"/>
          <w:pgMar w:top="1220" w:bottom="280" w:left="1320" w:right="980"/>
        </w:sectPr>
      </w:pPr>
    </w:p>
    <w:p>
      <w:pPr>
        <w:pStyle w:val="ListParagraph"/>
        <w:numPr>
          <w:ilvl w:val="1"/>
          <w:numId w:val="5"/>
        </w:numPr>
        <w:tabs>
          <w:tab w:pos="950" w:val="left" w:leader="none"/>
          <w:tab w:pos="951" w:val="left" w:leader="none"/>
        </w:tabs>
        <w:spacing w:line="240" w:lineRule="auto" w:before="63" w:after="0"/>
        <w:ind w:left="950" w:right="0" w:hanging="480"/>
        <w:jc w:val="left"/>
        <w:rPr>
          <w:sz w:val="21"/>
        </w:rPr>
      </w:pPr>
      <w:r>
        <w:rPr>
          <w:spacing w:val="-1"/>
          <w:sz w:val="21"/>
        </w:rPr>
        <w:t>如何申请保险金</w:t>
      </w:r>
    </w:p>
    <w:p>
      <w:pPr>
        <w:pStyle w:val="BodyText"/>
        <w:spacing w:before="60"/>
        <w:ind w:left="372" w:right="223"/>
      </w:pPr>
      <w:r>
        <w:rPr/>
        <w:br w:type="column"/>
      </w:r>
      <w:r>
        <w:rPr/>
        <w:t>申请重大疾病保险金、恶性肿瘤特别保险金和轻症疾病保险金时，申请人须填写理赔申请书，并提供下列证明和资料原件：</w:t>
      </w:r>
    </w:p>
    <w:p>
      <w:pPr>
        <w:pStyle w:val="ListParagraph"/>
        <w:numPr>
          <w:ilvl w:val="0"/>
          <w:numId w:val="6"/>
        </w:numPr>
        <w:tabs>
          <w:tab w:pos="1093" w:val="left" w:leader="none"/>
        </w:tabs>
        <w:spacing w:line="279" w:lineRule="exact" w:before="0" w:after="0"/>
        <w:ind w:left="1092" w:right="0" w:hanging="720"/>
        <w:jc w:val="left"/>
        <w:rPr>
          <w:sz w:val="21"/>
        </w:rPr>
      </w:pPr>
      <w:r>
        <w:rPr>
          <w:spacing w:val="-1"/>
          <w:sz w:val="21"/>
        </w:rPr>
        <w:t>保险合同；</w:t>
      </w:r>
    </w:p>
    <w:p>
      <w:pPr>
        <w:pStyle w:val="ListParagraph"/>
        <w:numPr>
          <w:ilvl w:val="0"/>
          <w:numId w:val="6"/>
        </w:numPr>
        <w:tabs>
          <w:tab w:pos="1093" w:val="left" w:leader="none"/>
        </w:tabs>
        <w:spacing w:line="274" w:lineRule="exact" w:before="0" w:after="0"/>
        <w:ind w:left="1092" w:right="0" w:hanging="720"/>
        <w:jc w:val="left"/>
        <w:rPr>
          <w:sz w:val="21"/>
        </w:rPr>
      </w:pPr>
      <w:r>
        <w:rPr>
          <w:spacing w:val="-3"/>
          <w:sz w:val="21"/>
        </w:rPr>
        <w:t>被保险人的有效身份证件；</w:t>
      </w:r>
    </w:p>
    <w:p>
      <w:pPr>
        <w:pStyle w:val="ListParagraph"/>
        <w:numPr>
          <w:ilvl w:val="0"/>
          <w:numId w:val="6"/>
        </w:numPr>
        <w:tabs>
          <w:tab w:pos="1093" w:val="left" w:leader="none"/>
        </w:tabs>
        <w:spacing w:line="225" w:lineRule="auto" w:before="8" w:after="0"/>
        <w:ind w:left="1092" w:right="221" w:hanging="720"/>
        <w:jc w:val="left"/>
        <w:rPr>
          <w:sz w:val="21"/>
        </w:rPr>
      </w:pPr>
      <w:r>
        <w:rPr>
          <w:spacing w:val="-9"/>
          <w:sz w:val="21"/>
        </w:rPr>
        <w:t>医院</w:t>
      </w:r>
      <w:r>
        <w:rPr>
          <w:spacing w:val="-3"/>
          <w:sz w:val="21"/>
        </w:rPr>
        <w:t>（</w:t>
      </w:r>
      <w:r>
        <w:rPr>
          <w:spacing w:val="-15"/>
          <w:sz w:val="21"/>
        </w:rPr>
        <w:t>见 </w:t>
      </w:r>
      <w:r>
        <w:rPr>
          <w:rFonts w:ascii="Times New Roman" w:eastAsia="Times New Roman"/>
          <w:spacing w:val="-4"/>
          <w:sz w:val="21"/>
        </w:rPr>
        <w:t>7.14</w:t>
      </w:r>
      <w:r>
        <w:rPr>
          <w:spacing w:val="-4"/>
          <w:sz w:val="21"/>
        </w:rPr>
        <w:t>）</w:t>
      </w:r>
      <w:r>
        <w:rPr>
          <w:spacing w:val="-8"/>
          <w:sz w:val="21"/>
        </w:rPr>
        <w:t>诊断证明</w:t>
      </w:r>
      <w:r>
        <w:rPr>
          <w:sz w:val="21"/>
        </w:rPr>
        <w:t>（</w:t>
      </w:r>
      <w:r>
        <w:rPr>
          <w:spacing w:val="-5"/>
          <w:sz w:val="21"/>
        </w:rPr>
        <w:t>包括完整的门诊病历、出院小结或出院</w:t>
      </w:r>
      <w:r>
        <w:rPr>
          <w:spacing w:val="-4"/>
          <w:w w:val="100"/>
          <w:sz w:val="21"/>
        </w:rPr>
        <w:t>证明、相关的检查检验报告等</w:t>
      </w:r>
      <w:r>
        <w:rPr>
          <w:spacing w:val="-108"/>
          <w:w w:val="100"/>
          <w:sz w:val="21"/>
        </w:rPr>
        <w:t>）</w:t>
      </w:r>
      <w:r>
        <w:rPr>
          <w:w w:val="100"/>
          <w:sz w:val="21"/>
        </w:rPr>
        <w:t>；</w:t>
      </w:r>
    </w:p>
    <w:p>
      <w:pPr>
        <w:pStyle w:val="ListParagraph"/>
        <w:numPr>
          <w:ilvl w:val="0"/>
          <w:numId w:val="6"/>
        </w:numPr>
        <w:tabs>
          <w:tab w:pos="1093" w:val="left" w:leader="none"/>
        </w:tabs>
        <w:spacing w:line="225" w:lineRule="auto" w:before="13" w:after="0"/>
        <w:ind w:left="1092" w:right="223" w:hanging="720"/>
        <w:jc w:val="left"/>
        <w:rPr>
          <w:sz w:val="21"/>
        </w:rPr>
      </w:pPr>
      <w:r>
        <w:rPr>
          <w:sz w:val="21"/>
        </w:rPr>
        <w:t>本附加合同附表一所列相应重大疾病和附表二所列相应轻症疾病</w:t>
      </w:r>
      <w:r>
        <w:rPr>
          <w:spacing w:val="-3"/>
          <w:sz w:val="21"/>
        </w:rPr>
        <w:t>中明确要求的其它医疗证明；</w:t>
      </w:r>
    </w:p>
    <w:p>
      <w:pPr>
        <w:pStyle w:val="ListParagraph"/>
        <w:numPr>
          <w:ilvl w:val="0"/>
          <w:numId w:val="6"/>
        </w:numPr>
        <w:tabs>
          <w:tab w:pos="1104" w:val="left" w:leader="none"/>
          <w:tab w:pos="1105" w:val="left" w:leader="none"/>
        </w:tabs>
        <w:spacing w:line="225" w:lineRule="auto" w:before="15" w:after="0"/>
        <w:ind w:left="1104" w:right="223" w:hanging="732"/>
        <w:jc w:val="left"/>
        <w:rPr>
          <w:sz w:val="21"/>
        </w:rPr>
      </w:pPr>
      <w:r>
        <w:rPr>
          <w:sz w:val="21"/>
        </w:rPr>
        <w:t>所能提供的与确认保险事故的性质、原因等有关的其它证明和资料。</w:t>
      </w:r>
    </w:p>
    <w:p>
      <w:pPr>
        <w:pStyle w:val="BodyText"/>
        <w:spacing w:before="6"/>
        <w:rPr>
          <w:sz w:val="19"/>
        </w:rPr>
      </w:pPr>
    </w:p>
    <w:p>
      <w:pPr>
        <w:pStyle w:val="BodyText"/>
        <w:spacing w:line="225" w:lineRule="auto" w:before="1"/>
        <w:ind w:left="372" w:right="223"/>
      </w:pPr>
      <w:r>
        <w:rPr>
          <w:rFonts w:ascii="Times New Roman" w:eastAsia="Times New Roman"/>
        </w:rPr>
        <w:t>2</w:t>
      </w:r>
      <w:r>
        <w:rPr>
          <w:spacing w:val="-10"/>
        </w:rPr>
        <w:t>、申请轻症疾病豁免保费时，申请人须填写理赔申请书，并提供下列证明</w:t>
      </w:r>
      <w:r>
        <w:rPr>
          <w:spacing w:val="-5"/>
        </w:rPr>
        <w:t>和资料原件：</w:t>
      </w:r>
    </w:p>
    <w:p>
      <w:pPr>
        <w:pStyle w:val="ListParagraph"/>
        <w:numPr>
          <w:ilvl w:val="0"/>
          <w:numId w:val="7"/>
        </w:numPr>
        <w:tabs>
          <w:tab w:pos="1093" w:val="left" w:leader="none"/>
        </w:tabs>
        <w:spacing w:line="279" w:lineRule="exact" w:before="0" w:after="0"/>
        <w:ind w:left="3348" w:right="0" w:hanging="2976"/>
        <w:jc w:val="left"/>
        <w:rPr>
          <w:sz w:val="21"/>
        </w:rPr>
      </w:pPr>
      <w:r>
        <w:rPr>
          <w:spacing w:val="-1"/>
          <w:sz w:val="21"/>
        </w:rPr>
        <w:t>保险合同；</w:t>
      </w:r>
    </w:p>
    <w:p>
      <w:pPr>
        <w:pStyle w:val="ListParagraph"/>
        <w:numPr>
          <w:ilvl w:val="0"/>
          <w:numId w:val="7"/>
        </w:numPr>
        <w:tabs>
          <w:tab w:pos="1093" w:val="left" w:leader="none"/>
        </w:tabs>
        <w:spacing w:line="274" w:lineRule="exact" w:before="0" w:after="0"/>
        <w:ind w:left="3348" w:right="0" w:hanging="2976"/>
        <w:jc w:val="left"/>
        <w:rPr>
          <w:sz w:val="21"/>
        </w:rPr>
      </w:pPr>
      <w:r>
        <w:rPr>
          <w:spacing w:val="-3"/>
          <w:sz w:val="21"/>
        </w:rPr>
        <w:t>被保险人的有效身份证件；</w:t>
      </w:r>
    </w:p>
    <w:p>
      <w:pPr>
        <w:pStyle w:val="ListParagraph"/>
        <w:numPr>
          <w:ilvl w:val="0"/>
          <w:numId w:val="7"/>
        </w:numPr>
        <w:tabs>
          <w:tab w:pos="1093" w:val="left" w:leader="none"/>
        </w:tabs>
        <w:spacing w:line="274" w:lineRule="exact" w:before="0" w:after="0"/>
        <w:ind w:left="3348" w:right="0" w:hanging="2976"/>
        <w:jc w:val="left"/>
        <w:rPr>
          <w:sz w:val="21"/>
        </w:rPr>
      </w:pPr>
      <w:r>
        <w:rPr>
          <w:spacing w:val="-3"/>
          <w:sz w:val="21"/>
        </w:rPr>
        <w:t>受益人的有效身份证件，与被保险人的关系证明；</w:t>
      </w:r>
    </w:p>
    <w:p>
      <w:pPr>
        <w:pStyle w:val="ListParagraph"/>
        <w:numPr>
          <w:ilvl w:val="0"/>
          <w:numId w:val="7"/>
        </w:numPr>
        <w:tabs>
          <w:tab w:pos="1093" w:val="left" w:leader="none"/>
        </w:tabs>
        <w:spacing w:line="282" w:lineRule="exact" w:before="0" w:after="0"/>
        <w:ind w:left="3348" w:right="0" w:hanging="2976"/>
        <w:jc w:val="left"/>
        <w:rPr>
          <w:sz w:val="21"/>
        </w:rPr>
      </w:pPr>
      <w:r>
        <w:rPr>
          <w:spacing w:val="-6"/>
          <w:sz w:val="21"/>
        </w:rPr>
        <w:t>医院诊断证明</w:t>
      </w:r>
      <w:r>
        <w:rPr>
          <w:spacing w:val="-3"/>
          <w:sz w:val="21"/>
        </w:rPr>
        <w:t>（</w:t>
      </w:r>
      <w:r>
        <w:rPr>
          <w:spacing w:val="-6"/>
          <w:sz w:val="21"/>
        </w:rPr>
        <w:t>包括完整的门诊病历、出院小结或出院证明、相关</w:t>
      </w:r>
    </w:p>
    <w:p>
      <w:pPr>
        <w:spacing w:after="0" w:line="282" w:lineRule="exact"/>
        <w:jc w:val="left"/>
        <w:rPr>
          <w:sz w:val="21"/>
        </w:rPr>
        <w:sectPr>
          <w:type w:val="continuous"/>
          <w:pgSz w:w="11900" w:h="16840"/>
          <w:pgMar w:top="1220" w:bottom="280" w:left="1320" w:right="980"/>
          <w:cols w:num="2" w:equalWidth="0">
            <w:col w:w="2216" w:space="40"/>
            <w:col w:w="7344"/>
          </w:cols>
        </w:sectPr>
      </w:pPr>
    </w:p>
    <w:p>
      <w:pPr>
        <w:pStyle w:val="BodyText"/>
        <w:spacing w:line="273" w:lineRule="exact" w:before="6"/>
        <w:ind w:left="3347"/>
      </w:pPr>
      <w:r>
        <w:rPr>
          <w:spacing w:val="-3"/>
          <w:w w:val="100"/>
        </w:rPr>
        <w:t>的检查检验报告等</w:t>
      </w:r>
      <w:r>
        <w:rPr>
          <w:spacing w:val="-108"/>
          <w:w w:val="100"/>
        </w:rPr>
        <w:t>）</w:t>
      </w:r>
      <w:r>
        <w:rPr>
          <w:w w:val="100"/>
        </w:rPr>
        <w:t>；</w:t>
      </w:r>
    </w:p>
    <w:p>
      <w:pPr>
        <w:pStyle w:val="ListParagraph"/>
        <w:numPr>
          <w:ilvl w:val="0"/>
          <w:numId w:val="7"/>
        </w:numPr>
        <w:tabs>
          <w:tab w:pos="3348" w:val="left" w:leader="none"/>
        </w:tabs>
        <w:spacing w:line="280" w:lineRule="exact" w:before="0" w:after="0"/>
        <w:ind w:left="3347" w:right="0" w:hanging="720"/>
        <w:jc w:val="left"/>
        <w:rPr>
          <w:sz w:val="21"/>
        </w:rPr>
      </w:pPr>
      <w:r>
        <w:rPr>
          <w:spacing w:val="-3"/>
          <w:sz w:val="21"/>
        </w:rPr>
        <w:t>本附加合同附表二所列相应轻症疾病中明确要求的其它医疗证明；</w:t>
      </w:r>
    </w:p>
    <w:p>
      <w:pPr>
        <w:pStyle w:val="ListParagraph"/>
        <w:numPr>
          <w:ilvl w:val="0"/>
          <w:numId w:val="7"/>
        </w:numPr>
        <w:tabs>
          <w:tab w:pos="3348" w:val="left" w:leader="none"/>
        </w:tabs>
        <w:spacing w:line="225" w:lineRule="auto" w:before="9" w:after="0"/>
        <w:ind w:left="3348" w:right="223" w:hanging="720"/>
        <w:jc w:val="left"/>
        <w:rPr>
          <w:sz w:val="21"/>
        </w:rPr>
      </w:pPr>
      <w:r>
        <w:rPr>
          <w:sz w:val="21"/>
        </w:rPr>
        <w:t>所能提供的与确认保险事故的性质、原因等有关的其它证明和资料。</w:t>
      </w:r>
    </w:p>
    <w:p>
      <w:pPr>
        <w:pStyle w:val="BodyText"/>
        <w:spacing w:before="2"/>
        <w:rPr>
          <w:sz w:val="18"/>
        </w:rPr>
      </w:pPr>
    </w:p>
    <w:p>
      <w:pPr>
        <w:pStyle w:val="BodyText"/>
        <w:ind w:left="2627" w:right="223"/>
      </w:pPr>
      <w:r>
        <w:rPr/>
        <w:t>以上证明和资料不完整的，我们将及时一次性通知申请人补充提供有关证明和资料。</w:t>
      </w:r>
    </w:p>
    <w:p>
      <w:pPr>
        <w:pStyle w:val="BodyText"/>
        <w:rPr>
          <w:sz w:val="20"/>
        </w:rPr>
      </w:pPr>
    </w:p>
    <w:p>
      <w:pPr>
        <w:pStyle w:val="BodyText"/>
        <w:spacing w:before="10"/>
        <w:rPr>
          <w:sz w:val="17"/>
        </w:rPr>
      </w:pPr>
    </w:p>
    <w:p>
      <w:pPr>
        <w:pStyle w:val="BodyText"/>
        <w:spacing w:line="230" w:lineRule="auto"/>
        <w:ind w:left="2627" w:right="223" w:hanging="2525"/>
        <w:jc w:val="both"/>
      </w:pPr>
      <w:r>
        <w:rPr>
          <w:spacing w:val="-27"/>
        </w:rPr>
        <w:t>第 </w:t>
      </w:r>
      <w:r>
        <w:rPr>
          <w:rFonts w:ascii="Times New Roman" w:eastAsia="Times New Roman"/>
          <w:b/>
        </w:rPr>
        <w:t>5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pgSz w:w="11900" w:h="16840"/>
          <w:pgMar w:top="1260" w:bottom="280" w:left="1320" w:right="980"/>
        </w:sectPr>
      </w:pPr>
    </w:p>
    <w:p>
      <w:pPr>
        <w:pStyle w:val="BodyText"/>
        <w:spacing w:before="12"/>
        <w:rPr>
          <w:sz w:val="16"/>
        </w:rPr>
      </w:pPr>
    </w:p>
    <w:p>
      <w:pPr>
        <w:pStyle w:val="BodyText"/>
        <w:spacing w:line="282" w:lineRule="exact"/>
        <w:ind w:left="103"/>
      </w:pPr>
      <w:r>
        <w:rPr/>
        <w:t>第 </w:t>
      </w:r>
      <w:r>
        <w:rPr>
          <w:rFonts w:ascii="Times New Roman" w:eastAsia="Times New Roman"/>
          <w:b/>
        </w:rPr>
        <w:t>6 </w:t>
      </w:r>
      <w:r>
        <w:rPr/>
        <w:t>章 附加合同效力的</w:t>
      </w:r>
    </w:p>
    <w:p>
      <w:pPr>
        <w:pStyle w:val="BodyText"/>
        <w:spacing w:line="266" w:lineRule="exact"/>
        <w:ind w:left="842" w:right="1113"/>
        <w:jc w:val="center"/>
      </w:pPr>
      <w:r>
        <w:rPr/>
        <w:t>终止</w:t>
      </w:r>
    </w:p>
    <w:p>
      <w:pPr>
        <w:pStyle w:val="BodyText"/>
        <w:spacing w:before="9"/>
        <w:rPr>
          <w:sz w:val="16"/>
        </w:rPr>
      </w:pPr>
      <w:r>
        <w:rPr/>
        <w:br w:type="column"/>
      </w:r>
      <w:r>
        <w:rPr>
          <w:sz w:val="16"/>
        </w:rPr>
      </w:r>
    </w:p>
    <w:p>
      <w:pPr>
        <w:pStyle w:val="BodyText"/>
        <w:ind w:left="103"/>
      </w:pPr>
      <w:r>
        <w:rPr/>
        <w:t>发生下列任何一种情形时，本附加合同终止：</w:t>
      </w:r>
    </w:p>
    <w:p>
      <w:pPr>
        <w:pStyle w:val="BodyText"/>
        <w:spacing w:before="1"/>
        <w:rPr>
          <w:sz w:val="19"/>
        </w:rPr>
      </w:pPr>
    </w:p>
    <w:p>
      <w:pPr>
        <w:pStyle w:val="BodyText"/>
        <w:spacing w:line="230" w:lineRule="auto"/>
        <w:ind w:left="527" w:right="221" w:hanging="372"/>
        <w:jc w:val="both"/>
      </w:pPr>
      <w:r>
        <w:rPr>
          <w:rFonts w:ascii="Times New Roman" w:eastAsia="Times New Roman"/>
        </w:rPr>
        <w:t>1</w:t>
      </w:r>
      <w:r>
        <w:rPr/>
        <w:t>、 在本附加合同有效期内，您不能单独申请终止本附加合同，但如果您以书面形式申请解除主合同，自我们收到解除合同申请书时起，主合</w:t>
      </w:r>
      <w:r>
        <w:rPr>
          <w:spacing w:val="-8"/>
        </w:rPr>
        <w:t>同和本附加合同同时终止。我们自收到解除合同申请书之日起 </w:t>
      </w:r>
      <w:r>
        <w:rPr>
          <w:rFonts w:ascii="Times New Roman" w:eastAsia="Times New Roman"/>
        </w:rPr>
        <w:t>30 </w:t>
      </w:r>
      <w:r>
        <w:rPr/>
        <w:t>日内</w:t>
      </w:r>
      <w:r>
        <w:rPr>
          <w:spacing w:val="-3"/>
        </w:rPr>
        <w:t>按合同约定向您退还本附加合同终止时的现金价值；</w:t>
      </w:r>
    </w:p>
    <w:p>
      <w:pPr>
        <w:pStyle w:val="BodyText"/>
        <w:spacing w:line="279" w:lineRule="exact"/>
        <w:ind w:left="155"/>
      </w:pPr>
      <w:r>
        <w:rPr>
          <w:rFonts w:ascii="Times New Roman" w:eastAsia="Times New Roman"/>
        </w:rPr>
        <w:t>2</w:t>
      </w:r>
      <w:r>
        <w:rPr/>
        <w:t>、 主合同终止；</w:t>
      </w:r>
    </w:p>
    <w:p>
      <w:pPr>
        <w:pStyle w:val="BodyText"/>
        <w:spacing w:line="282" w:lineRule="exact"/>
        <w:ind w:left="155"/>
      </w:pPr>
      <w:r>
        <w:rPr>
          <w:rFonts w:ascii="Times New Roman" w:eastAsia="Times New Roman"/>
        </w:rPr>
        <w:t>3</w:t>
      </w:r>
      <w:r>
        <w:rPr/>
        <w:t>、 因本附加合同其它条款或主合同条款所列情况而终止。</w:t>
      </w:r>
    </w:p>
    <w:p>
      <w:pPr>
        <w:spacing w:after="0" w:line="282" w:lineRule="exact"/>
        <w:sectPr>
          <w:type w:val="continuous"/>
          <w:pgSz w:w="11900" w:h="16840"/>
          <w:pgMar w:top="1220" w:bottom="280" w:left="1320" w:right="980"/>
          <w:cols w:num="2" w:equalWidth="0">
            <w:col w:w="2415" w:space="57"/>
            <w:col w:w="7128"/>
          </w:cols>
        </w:sectPr>
      </w:pPr>
    </w:p>
    <w:p>
      <w:pPr>
        <w:pStyle w:val="BodyText"/>
        <w:rPr>
          <w:sz w:val="20"/>
        </w:rPr>
      </w:pPr>
    </w:p>
    <w:p>
      <w:pPr>
        <w:pStyle w:val="BodyText"/>
        <w:spacing w:before="9"/>
        <w:rPr>
          <w:sz w:val="15"/>
        </w:rPr>
      </w:pPr>
    </w:p>
    <w:p>
      <w:pPr>
        <w:pStyle w:val="BodyText"/>
        <w:tabs>
          <w:tab w:pos="950" w:val="left" w:leader="none"/>
        </w:tabs>
        <w:ind w:left="103"/>
      </w:pPr>
      <w:r>
        <w:rPr/>
        <w:t>第</w:t>
      </w:r>
      <w:r>
        <w:rPr>
          <w:spacing w:val="-55"/>
        </w:rPr>
        <w:t> </w:t>
      </w:r>
      <w:r>
        <w:rPr>
          <w:rFonts w:ascii="Times New Roman" w:eastAsia="Times New Roman"/>
          <w:b/>
        </w:rPr>
        <w:t>7 </w:t>
      </w:r>
      <w:r>
        <w:rPr/>
        <w:t>章</w:t>
        <w:tab/>
        <w:t>名词</w:t>
      </w:r>
      <w:r>
        <w:rPr>
          <w:spacing w:val="-3"/>
        </w:rPr>
        <w:t>释</w:t>
      </w:r>
      <w:r>
        <w:rPr/>
        <w:t>义</w:t>
      </w:r>
    </w:p>
    <w:p>
      <w:pPr>
        <w:pStyle w:val="BodyText"/>
        <w:spacing w:before="2"/>
        <w:rPr>
          <w:sz w:val="17"/>
        </w:rPr>
      </w:pPr>
    </w:p>
    <w:p>
      <w:pPr>
        <w:pStyle w:val="ListParagraph"/>
        <w:numPr>
          <w:ilvl w:val="1"/>
          <w:numId w:val="8"/>
        </w:numPr>
        <w:tabs>
          <w:tab w:pos="950" w:val="left" w:leader="none"/>
          <w:tab w:pos="951" w:val="left" w:leader="none"/>
          <w:tab w:pos="2627" w:val="left" w:leader="none"/>
        </w:tabs>
        <w:spacing w:line="237" w:lineRule="auto" w:before="1" w:after="0"/>
        <w:ind w:left="2627" w:right="115" w:hanging="2157"/>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年龄</w:t>
      </w:r>
      <w:r>
        <w:rPr>
          <w:spacing w:val="-80"/>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8"/>
        </w:numPr>
        <w:tabs>
          <w:tab w:pos="951" w:val="left" w:leader="none"/>
        </w:tabs>
        <w:spacing w:line="237" w:lineRule="auto" w:before="0" w:after="0"/>
        <w:ind w:left="2640" w:right="221" w:hanging="2170"/>
        <w:jc w:val="both"/>
        <w:rPr>
          <w:sz w:val="21"/>
        </w:rPr>
      </w:pPr>
      <w:r>
        <w:rPr>
          <w:spacing w:val="-2"/>
          <w:sz w:val="21"/>
        </w:rPr>
        <w:t>重大疾病：     指被保险人初次发</w:t>
      </w:r>
      <w:r>
        <w:rPr>
          <w:sz w:val="21"/>
        </w:rPr>
        <w:t>Th</w:t>
      </w:r>
      <w:r>
        <w:rPr>
          <w:spacing w:val="-2"/>
          <w:sz w:val="21"/>
        </w:rPr>
        <w:t>并被专科医</w:t>
      </w:r>
      <w:r>
        <w:rPr>
          <w:sz w:val="21"/>
        </w:rPr>
        <w:t>Th</w:t>
      </w:r>
      <w:r>
        <w:rPr>
          <w:spacing w:val="-3"/>
          <w:sz w:val="21"/>
        </w:rPr>
        <w:t>确诊的符合本附加合同附表一中所列的任何一种疾病定义所述条件的疾病。</w:t>
      </w:r>
    </w:p>
    <w:p>
      <w:pPr>
        <w:pStyle w:val="BodyText"/>
        <w:spacing w:before="7"/>
        <w:rPr>
          <w:sz w:val="18"/>
        </w:rPr>
      </w:pPr>
    </w:p>
    <w:p>
      <w:pPr>
        <w:pStyle w:val="ListParagraph"/>
        <w:numPr>
          <w:ilvl w:val="1"/>
          <w:numId w:val="8"/>
        </w:numPr>
        <w:tabs>
          <w:tab w:pos="951" w:val="left" w:leader="none"/>
        </w:tabs>
        <w:spacing w:line="237" w:lineRule="auto" w:before="1" w:after="0"/>
        <w:ind w:left="2640" w:right="221" w:hanging="2170"/>
        <w:jc w:val="both"/>
        <w:rPr>
          <w:sz w:val="21"/>
        </w:rPr>
      </w:pPr>
      <w:r>
        <w:rPr>
          <w:spacing w:val="-2"/>
          <w:sz w:val="21"/>
        </w:rPr>
        <w:t>轻症疾病：     指被保险人初次发</w:t>
      </w:r>
      <w:r>
        <w:rPr>
          <w:sz w:val="21"/>
        </w:rPr>
        <w:t>Th</w:t>
      </w:r>
      <w:r>
        <w:rPr>
          <w:spacing w:val="-2"/>
          <w:sz w:val="21"/>
        </w:rPr>
        <w:t>并被专科医</w:t>
      </w:r>
      <w:r>
        <w:rPr>
          <w:sz w:val="21"/>
        </w:rPr>
        <w:t>Th</w:t>
      </w:r>
      <w:r>
        <w:rPr>
          <w:spacing w:val="-3"/>
          <w:sz w:val="21"/>
        </w:rPr>
        <w:t>确诊的符合本附加合同附表二中所列的任何一种疾病定义所述条件的疾病。</w:t>
      </w:r>
    </w:p>
    <w:p>
      <w:pPr>
        <w:pStyle w:val="BodyText"/>
        <w:spacing w:before="8"/>
        <w:rPr>
          <w:sz w:val="18"/>
        </w:rPr>
      </w:pPr>
    </w:p>
    <w:p>
      <w:pPr>
        <w:pStyle w:val="ListParagraph"/>
        <w:numPr>
          <w:ilvl w:val="1"/>
          <w:numId w:val="8"/>
        </w:numPr>
        <w:tabs>
          <w:tab w:pos="951" w:val="left" w:leader="none"/>
        </w:tabs>
        <w:spacing w:line="237" w:lineRule="auto" w:before="0" w:after="0"/>
        <w:ind w:left="2627" w:right="223" w:hanging="2157"/>
        <w:jc w:val="both"/>
        <w:rPr>
          <w:sz w:val="21"/>
        </w:rPr>
      </w:pPr>
      <w:r>
        <w:rPr>
          <w:spacing w:val="-3"/>
          <w:sz w:val="21"/>
        </w:rPr>
        <w:t>意外伤害事故： 指外来的、不可预知的、突发的、非本意的、非由疾病引起的使身体受到伤害的客观事件。</w:t>
      </w:r>
    </w:p>
    <w:p>
      <w:pPr>
        <w:pStyle w:val="BodyText"/>
        <w:spacing w:before="9"/>
        <w:rPr>
          <w:sz w:val="19"/>
        </w:rPr>
      </w:pPr>
    </w:p>
    <w:p>
      <w:pPr>
        <w:pStyle w:val="ListParagraph"/>
        <w:numPr>
          <w:ilvl w:val="1"/>
          <w:numId w:val="8"/>
        </w:numPr>
        <w:tabs>
          <w:tab w:pos="951" w:val="left" w:leader="none"/>
        </w:tabs>
        <w:spacing w:line="225" w:lineRule="auto" w:before="0" w:after="0"/>
        <w:ind w:left="2627" w:right="221" w:hanging="2157"/>
        <w:jc w:val="both"/>
        <w:rPr>
          <w:sz w:val="21"/>
        </w:rPr>
      </w:pPr>
      <w:r>
        <w:rPr>
          <w:spacing w:val="-1"/>
          <w:w w:val="100"/>
          <w:sz w:val="21"/>
        </w:rPr>
        <w:t>专科医生：</w:t>
      </w:r>
      <w:r>
        <w:rPr>
          <w:spacing w:val="-1"/>
          <w:sz w:val="21"/>
        </w:rPr>
        <w:t>      </w:t>
      </w: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20"/>
          <w:w w:val="100"/>
          <w:sz w:val="21"/>
        </w:rPr>
        <w:t>主治医师以上职称的《医师职称证书》；</w:t>
      </w:r>
      <w:r>
        <w:rPr>
          <w:spacing w:val="-3"/>
          <w:w w:val="100"/>
          <w:sz w:val="21"/>
        </w:rPr>
        <w:t>（</w:t>
      </w:r>
      <w:r>
        <w:rPr>
          <w:rFonts w:ascii="Times New Roman" w:eastAsia="Times New Roman"/>
          <w:w w:val="100"/>
          <w:sz w:val="21"/>
        </w:rPr>
        <w:t>4</w:t>
      </w:r>
      <w:r>
        <w:rPr>
          <w:spacing w:val="-41"/>
          <w:w w:val="100"/>
          <w:sz w:val="21"/>
        </w:rPr>
        <w:t>）</w:t>
      </w:r>
      <w:r>
        <w:rPr>
          <w:spacing w:val="-3"/>
          <w:w w:val="100"/>
          <w:sz w:val="21"/>
        </w:rPr>
        <w:t>在二级或二级以上医院的相应</w:t>
      </w:r>
      <w:r>
        <w:rPr>
          <w:spacing w:val="-3"/>
          <w:sz w:val="21"/>
        </w:rPr>
        <w:t>科室从事临床工作三年以上。</w:t>
      </w:r>
    </w:p>
    <w:p>
      <w:pPr>
        <w:pStyle w:val="BodyText"/>
        <w:spacing w:before="10"/>
        <w:rPr>
          <w:sz w:val="18"/>
        </w:rPr>
      </w:pPr>
    </w:p>
    <w:p>
      <w:pPr>
        <w:pStyle w:val="ListParagraph"/>
        <w:numPr>
          <w:ilvl w:val="1"/>
          <w:numId w:val="8"/>
        </w:numPr>
        <w:tabs>
          <w:tab w:pos="951" w:val="left" w:leader="none"/>
        </w:tabs>
        <w:spacing w:line="237" w:lineRule="auto" w:before="1" w:after="0"/>
        <w:ind w:left="2627" w:right="221" w:hanging="2157"/>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8"/>
        <w:rPr>
          <w:sz w:val="18"/>
        </w:rPr>
      </w:pPr>
    </w:p>
    <w:p>
      <w:pPr>
        <w:pStyle w:val="ListParagraph"/>
        <w:numPr>
          <w:ilvl w:val="1"/>
          <w:numId w:val="8"/>
        </w:numPr>
        <w:tabs>
          <w:tab w:pos="951" w:val="left" w:leader="none"/>
        </w:tabs>
        <w:spacing w:line="237" w:lineRule="auto" w:before="1" w:after="0"/>
        <w:ind w:left="2627" w:right="223" w:hanging="2157"/>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spacing w:after="0" w:line="237" w:lineRule="auto"/>
        <w:jc w:val="both"/>
        <w:rPr>
          <w:sz w:val="21"/>
        </w:rPr>
        <w:sectPr>
          <w:type w:val="continuous"/>
          <w:pgSz w:w="11900" w:h="16840"/>
          <w:pgMar w:top="1220" w:bottom="280" w:left="1320" w:right="9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659"/>
        <w:gridCol w:w="6927"/>
      </w:tblGrid>
      <w:tr>
        <w:trPr>
          <w:trHeight w:val="262" w:hRule="atLeast"/>
        </w:trPr>
        <w:tc>
          <w:tcPr>
            <w:tcW w:w="528" w:type="dxa"/>
          </w:tcPr>
          <w:p>
            <w:pPr>
              <w:pStyle w:val="TableParagraph"/>
              <w:spacing w:line="234" w:lineRule="exact"/>
              <w:ind w:left="0" w:right="106"/>
              <w:jc w:val="right"/>
              <w:rPr>
                <w:rFonts w:ascii="Times New Roman"/>
                <w:b/>
                <w:sz w:val="21"/>
              </w:rPr>
            </w:pPr>
            <w:r>
              <w:rPr>
                <w:rFonts w:ascii="Times New Roman"/>
                <w:b/>
                <w:sz w:val="21"/>
              </w:rPr>
              <w:t>7.8</w:t>
            </w:r>
          </w:p>
        </w:tc>
        <w:tc>
          <w:tcPr>
            <w:tcW w:w="1659" w:type="dxa"/>
          </w:tcPr>
          <w:p>
            <w:pPr>
              <w:pStyle w:val="TableParagraph"/>
              <w:spacing w:line="237" w:lineRule="exact"/>
              <w:ind w:left="107"/>
              <w:rPr>
                <w:sz w:val="21"/>
              </w:rPr>
            </w:pPr>
            <w:r>
              <w:rPr>
                <w:spacing w:val="-33"/>
                <w:sz w:val="21"/>
              </w:rPr>
              <w:t>无 合 法 有 效 驾</w:t>
            </w:r>
          </w:p>
        </w:tc>
        <w:tc>
          <w:tcPr>
            <w:tcW w:w="6927" w:type="dxa"/>
          </w:tcPr>
          <w:p>
            <w:pPr>
              <w:pStyle w:val="TableParagraph"/>
              <w:spacing w:line="235" w:lineRule="exact"/>
              <w:rPr>
                <w:sz w:val="21"/>
              </w:rPr>
            </w:pPr>
            <w:r>
              <w:rPr>
                <w:sz w:val="21"/>
              </w:rPr>
              <w:t>指下列情形之一：</w:t>
            </w:r>
          </w:p>
        </w:tc>
      </w:tr>
      <w:tr>
        <w:trPr>
          <w:trHeight w:val="1475" w:hRule="atLeast"/>
        </w:trPr>
        <w:tc>
          <w:tcPr>
            <w:tcW w:w="528" w:type="dxa"/>
          </w:tcPr>
          <w:p>
            <w:pPr>
              <w:pStyle w:val="TableParagraph"/>
              <w:ind w:left="0"/>
              <w:rPr>
                <w:rFonts w:ascii="Times New Roman"/>
                <w:sz w:val="20"/>
              </w:rPr>
            </w:pPr>
          </w:p>
        </w:tc>
        <w:tc>
          <w:tcPr>
            <w:tcW w:w="1659" w:type="dxa"/>
          </w:tcPr>
          <w:p>
            <w:pPr>
              <w:pStyle w:val="TableParagraph"/>
              <w:spacing w:line="246" w:lineRule="exact"/>
              <w:ind w:left="107"/>
              <w:rPr>
                <w:sz w:val="21"/>
              </w:rPr>
            </w:pPr>
            <w:r>
              <w:rPr>
                <w:sz w:val="21"/>
              </w:rPr>
              <w:t>驶证驾驶：</w:t>
            </w:r>
          </w:p>
        </w:tc>
        <w:tc>
          <w:tcPr>
            <w:tcW w:w="6927" w:type="dxa"/>
          </w:tcPr>
          <w:p>
            <w:pPr>
              <w:pStyle w:val="TableParagraph"/>
              <w:spacing w:line="251" w:lineRule="exact"/>
              <w:rPr>
                <w:sz w:val="21"/>
              </w:rPr>
            </w:pPr>
            <w:r>
              <w:rPr>
                <w:rFonts w:ascii="Times New Roman" w:eastAsia="Times New Roman"/>
                <w:sz w:val="21"/>
              </w:rPr>
              <w:t>1</w:t>
            </w:r>
            <w:r>
              <w:rPr>
                <w:sz w:val="21"/>
              </w:rPr>
              <w:t>、没有取得驾驶资格；</w:t>
            </w:r>
          </w:p>
          <w:p>
            <w:pPr>
              <w:pStyle w:val="TableParagraph"/>
              <w:spacing w:line="274" w:lineRule="exact"/>
              <w:rPr>
                <w:sz w:val="21"/>
              </w:rPr>
            </w:pPr>
            <w:r>
              <w:rPr>
                <w:rFonts w:ascii="Times New Roman" w:eastAsia="Times New Roman"/>
                <w:sz w:val="21"/>
              </w:rPr>
              <w:t>2</w:t>
            </w:r>
            <w:r>
              <w:rPr>
                <w:sz w:val="21"/>
              </w:rPr>
              <w:t>、驾驶与驾驶证准驾车型不相符合的车辆；</w:t>
            </w:r>
          </w:p>
          <w:p>
            <w:pPr>
              <w:pStyle w:val="TableParagraph"/>
              <w:spacing w:line="274" w:lineRule="exact"/>
              <w:rPr>
                <w:sz w:val="21"/>
              </w:rPr>
            </w:pPr>
            <w:r>
              <w:rPr>
                <w:rFonts w:ascii="Times New Roman" w:eastAsia="Times New Roman"/>
                <w:sz w:val="21"/>
              </w:rPr>
              <w:t>3</w:t>
            </w:r>
            <w:r>
              <w:rPr>
                <w:sz w:val="21"/>
              </w:rPr>
              <w:t>、持审验不合格的驾驶证驾驶；</w:t>
            </w:r>
          </w:p>
          <w:p>
            <w:pPr>
              <w:pStyle w:val="TableParagraph"/>
              <w:spacing w:line="223" w:lineRule="auto" w:before="11"/>
              <w:ind w:left="440" w:right="52" w:hanging="315"/>
              <w:rPr>
                <w:sz w:val="21"/>
              </w:rPr>
            </w:pPr>
            <w:r>
              <w:rPr>
                <w:rFonts w:ascii="Times New Roman" w:eastAsia="Times New Roman"/>
                <w:sz w:val="21"/>
              </w:rPr>
              <w:t>4</w:t>
            </w:r>
            <w:r>
              <w:rPr>
                <w:spacing w:val="-10"/>
                <w:sz w:val="21"/>
              </w:rPr>
              <w:t>、持学习驾驶证学习驾车时，无教练员随车指导，或不按指定时间、路线</w:t>
            </w:r>
            <w:r>
              <w:rPr>
                <w:spacing w:val="-5"/>
                <w:sz w:val="21"/>
              </w:rPr>
              <w:t>学习驾车。</w:t>
            </w:r>
          </w:p>
        </w:tc>
      </w:tr>
      <w:tr>
        <w:trPr>
          <w:trHeight w:val="403" w:hRule="atLeast"/>
        </w:trPr>
        <w:tc>
          <w:tcPr>
            <w:tcW w:w="528" w:type="dxa"/>
          </w:tcPr>
          <w:p>
            <w:pPr>
              <w:pStyle w:val="TableParagraph"/>
              <w:spacing w:before="132"/>
              <w:ind w:left="0" w:right="106"/>
              <w:jc w:val="right"/>
              <w:rPr>
                <w:rFonts w:ascii="Times New Roman"/>
                <w:b/>
                <w:sz w:val="21"/>
              </w:rPr>
            </w:pPr>
            <w:r>
              <w:rPr>
                <w:rFonts w:ascii="Times New Roman"/>
                <w:b/>
                <w:sz w:val="21"/>
              </w:rPr>
              <w:t>7.9</w:t>
            </w:r>
          </w:p>
        </w:tc>
        <w:tc>
          <w:tcPr>
            <w:tcW w:w="1659" w:type="dxa"/>
          </w:tcPr>
          <w:p>
            <w:pPr>
              <w:pStyle w:val="TableParagraph"/>
              <w:spacing w:before="102"/>
              <w:ind w:left="107"/>
              <w:rPr>
                <w:sz w:val="21"/>
              </w:rPr>
            </w:pPr>
            <w:r>
              <w:rPr>
                <w:sz w:val="21"/>
              </w:rPr>
              <w:t>无有效行驶证：</w:t>
            </w:r>
          </w:p>
        </w:tc>
        <w:tc>
          <w:tcPr>
            <w:tcW w:w="6927" w:type="dxa"/>
          </w:tcPr>
          <w:p>
            <w:pPr>
              <w:pStyle w:val="TableParagraph"/>
              <w:spacing w:before="100"/>
              <w:rPr>
                <w:sz w:val="21"/>
              </w:rPr>
            </w:pPr>
            <w:r>
              <w:rPr>
                <w:sz w:val="21"/>
              </w:rPr>
              <w:t>指下列情形之一：</w:t>
            </w:r>
          </w:p>
        </w:tc>
      </w:tr>
      <w:tr>
        <w:trPr>
          <w:trHeight w:val="664" w:hRule="atLeast"/>
        </w:trPr>
        <w:tc>
          <w:tcPr>
            <w:tcW w:w="528" w:type="dxa"/>
          </w:tcPr>
          <w:p>
            <w:pPr>
              <w:pStyle w:val="TableParagraph"/>
              <w:ind w:left="0"/>
              <w:rPr>
                <w:rFonts w:ascii="Times New Roman"/>
                <w:sz w:val="20"/>
              </w:rPr>
            </w:pPr>
          </w:p>
        </w:tc>
        <w:tc>
          <w:tcPr>
            <w:tcW w:w="1659" w:type="dxa"/>
          </w:tcPr>
          <w:p>
            <w:pPr>
              <w:pStyle w:val="TableParagraph"/>
              <w:ind w:left="0"/>
              <w:rPr>
                <w:rFonts w:ascii="Times New Roman"/>
                <w:sz w:val="20"/>
              </w:rPr>
            </w:pPr>
          </w:p>
        </w:tc>
        <w:tc>
          <w:tcPr>
            <w:tcW w:w="6927" w:type="dxa"/>
          </w:tcPr>
          <w:p>
            <w:pPr>
              <w:pStyle w:val="TableParagraph"/>
              <w:spacing w:line="251" w:lineRule="exact"/>
              <w:rPr>
                <w:sz w:val="21"/>
              </w:rPr>
            </w:pPr>
            <w:r>
              <w:rPr>
                <w:rFonts w:ascii="Times New Roman" w:eastAsia="Times New Roman"/>
                <w:sz w:val="21"/>
              </w:rPr>
              <w:t>1</w:t>
            </w:r>
            <w:r>
              <w:rPr>
                <w:sz w:val="21"/>
              </w:rPr>
              <w:t>、机动车被依法注销登记的；</w:t>
            </w:r>
          </w:p>
          <w:p>
            <w:pPr>
              <w:pStyle w:val="TableParagraph"/>
              <w:spacing w:line="282" w:lineRule="exact"/>
              <w:rPr>
                <w:sz w:val="21"/>
              </w:rPr>
            </w:pPr>
            <w:r>
              <w:rPr>
                <w:rFonts w:ascii="Times New Roman" w:eastAsia="Times New Roman"/>
                <w:sz w:val="21"/>
              </w:rPr>
              <w:t>2</w:t>
            </w:r>
            <w:r>
              <w:rPr>
                <w:sz w:val="21"/>
              </w:rPr>
              <w:t>、未依法按时进行或通过机动车安全技术检验。</w:t>
            </w:r>
          </w:p>
        </w:tc>
      </w:tr>
      <w:tr>
        <w:trPr>
          <w:trHeight w:val="655" w:hRule="atLeast"/>
        </w:trPr>
        <w:tc>
          <w:tcPr>
            <w:tcW w:w="528" w:type="dxa"/>
          </w:tcPr>
          <w:p>
            <w:pPr>
              <w:pStyle w:val="TableParagraph"/>
              <w:spacing w:before="123"/>
              <w:ind w:left="0" w:right="106"/>
              <w:jc w:val="right"/>
              <w:rPr>
                <w:rFonts w:ascii="Times New Roman"/>
                <w:b/>
                <w:sz w:val="21"/>
              </w:rPr>
            </w:pPr>
            <w:r>
              <w:rPr>
                <w:rFonts w:ascii="Times New Roman"/>
                <w:b/>
                <w:sz w:val="21"/>
              </w:rPr>
              <w:t>7.10</w:t>
            </w:r>
          </w:p>
        </w:tc>
        <w:tc>
          <w:tcPr>
            <w:tcW w:w="1659" w:type="dxa"/>
          </w:tcPr>
          <w:p>
            <w:pPr>
              <w:pStyle w:val="TableParagraph"/>
              <w:spacing w:line="274" w:lineRule="exact" w:before="119"/>
              <w:ind w:left="107" w:right="83"/>
              <w:rPr>
                <w:sz w:val="21"/>
              </w:rPr>
            </w:pPr>
            <w:r>
              <w:rPr>
                <w:spacing w:val="-33"/>
                <w:sz w:val="21"/>
              </w:rPr>
              <w:t>感 染 艾 滋 病 病毒（</w:t>
            </w:r>
            <w:r>
              <w:rPr>
                <w:rFonts w:ascii="Times New Roman" w:eastAsia="Times New Roman"/>
                <w:b/>
                <w:spacing w:val="-33"/>
                <w:sz w:val="21"/>
              </w:rPr>
              <w:t>HIV</w:t>
            </w:r>
            <w:r>
              <w:rPr>
                <w:spacing w:val="-33"/>
                <w:sz w:val="21"/>
              </w:rPr>
              <w:t>）或患</w:t>
            </w:r>
          </w:p>
        </w:tc>
        <w:tc>
          <w:tcPr>
            <w:tcW w:w="6927" w:type="dxa"/>
          </w:tcPr>
          <w:p>
            <w:pPr>
              <w:pStyle w:val="TableParagraph"/>
              <w:spacing w:line="274" w:lineRule="exact" w:before="117"/>
              <w:ind w:left="73" w:right="50"/>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tc>
      </w:tr>
    </w:tbl>
    <w:p>
      <w:pPr>
        <w:pStyle w:val="BodyText"/>
        <w:spacing w:line="223" w:lineRule="auto" w:before="12"/>
        <w:ind w:left="2375" w:right="115" w:hanging="1625"/>
      </w:pPr>
      <w:r>
        <w:rPr>
          <w:spacing w:val="-31"/>
          <w:w w:val="100"/>
        </w:rPr>
        <w:t>艾滋病</w:t>
      </w:r>
      <w:r>
        <w:rPr>
          <w:spacing w:val="-3"/>
          <w:w w:val="100"/>
        </w:rPr>
        <w:t>（</w:t>
      </w:r>
      <w:r>
        <w:rPr>
          <w:rFonts w:ascii="Times New Roman" w:eastAsia="Times New Roman"/>
          <w:b/>
          <w:spacing w:val="-2"/>
          <w:w w:val="100"/>
        </w:rPr>
        <w:t>A</w:t>
      </w:r>
      <w:r>
        <w:rPr>
          <w:rFonts w:ascii="Times New Roman" w:eastAsia="Times New Roman"/>
          <w:b/>
          <w:spacing w:val="-3"/>
          <w:w w:val="100"/>
        </w:rPr>
        <w:t>I</w:t>
      </w:r>
      <w:r>
        <w:rPr>
          <w:rFonts w:ascii="Times New Roman" w:eastAsia="Times New Roman"/>
          <w:b/>
          <w:spacing w:val="0"/>
          <w:w w:val="100"/>
        </w:rPr>
        <w:t>D</w:t>
      </w:r>
      <w:r>
        <w:rPr>
          <w:rFonts w:ascii="Times New Roman" w:eastAsia="Times New Roman"/>
          <w:b/>
          <w:w w:val="100"/>
        </w:rPr>
        <w:t>S</w:t>
      </w:r>
      <w:r>
        <w:rPr>
          <w:spacing w:val="-106"/>
          <w:w w:val="100"/>
        </w:rPr>
        <w:t>）</w:t>
      </w:r>
      <w:r>
        <w:rPr>
          <w:w w:val="100"/>
        </w:rPr>
        <w:t>：</w:t>
      </w:r>
      <w:r>
        <w:rPr/>
        <w:t> </w:t>
      </w:r>
      <w:r>
        <w:rPr>
          <w:spacing w:val="-5"/>
          <w:w w:val="100"/>
        </w:rPr>
        <w:t>它样本中检测到艾滋病病毒或其抗体呈阳性，没有出现临床症状或体征的，</w:t>
      </w:r>
      <w:r>
        <w:rPr>
          <w:spacing w:val="-7"/>
        </w:rPr>
        <w:t>为感染艾滋病病毒；如果同时出现了明显临床症状或体征的，为患艾滋病。</w:t>
      </w:r>
    </w:p>
    <w:p>
      <w:pPr>
        <w:pStyle w:val="BodyText"/>
        <w:spacing w:before="8"/>
        <w:rPr>
          <w:sz w:val="18"/>
        </w:rPr>
      </w:pPr>
    </w:p>
    <w:p>
      <w:pPr>
        <w:pStyle w:val="ListParagraph"/>
        <w:numPr>
          <w:ilvl w:val="1"/>
          <w:numId w:val="9"/>
        </w:numPr>
        <w:tabs>
          <w:tab w:pos="750" w:val="left" w:leader="none"/>
          <w:tab w:pos="751" w:val="left" w:leader="none"/>
          <w:tab w:pos="2375" w:val="left" w:leader="none"/>
        </w:tabs>
        <w:spacing w:line="237" w:lineRule="auto" w:before="0" w:after="0"/>
        <w:ind w:left="2375" w:right="223" w:hanging="2199"/>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pgSz w:w="11900" w:h="16840"/>
          <w:pgMar w:top="1300" w:bottom="280" w:left="1520" w:right="980"/>
        </w:sectPr>
      </w:pPr>
    </w:p>
    <w:p>
      <w:pPr>
        <w:pStyle w:val="ListParagraph"/>
        <w:numPr>
          <w:ilvl w:val="1"/>
          <w:numId w:val="9"/>
        </w:numPr>
        <w:tabs>
          <w:tab w:pos="751" w:val="left" w:leader="none"/>
        </w:tabs>
        <w:spacing w:line="240" w:lineRule="auto" w:before="62" w:after="0"/>
        <w:ind w:left="750" w:right="0" w:hanging="586"/>
        <w:jc w:val="both"/>
        <w:rPr>
          <w:sz w:val="21"/>
        </w:rPr>
      </w:pPr>
      <w:r>
        <w:rPr>
          <w:spacing w:val="-3"/>
          <w:sz w:val="21"/>
        </w:rPr>
        <w:t>先天性畸形、变</w:t>
      </w:r>
      <w:r>
        <w:rPr>
          <w:spacing w:val="-33"/>
          <w:sz w:val="21"/>
        </w:rPr>
        <w:t>形 或 染 色 体 异常：</w:t>
      </w:r>
    </w:p>
    <w:p>
      <w:pPr>
        <w:pStyle w:val="BodyText"/>
        <w:spacing w:before="60"/>
        <w:ind w:left="118" w:right="115"/>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18"/>
      </w:pPr>
      <w:r>
        <w:rPr/>
        <w:t>（</w:t>
      </w:r>
      <w:r>
        <w:rPr>
          <w:rFonts w:ascii="Times New Roman" w:eastAsia="Times New Roman"/>
        </w:rPr>
        <w:t>ICD-10</w:t>
      </w:r>
      <w:r>
        <w:rPr/>
        <w:t>）确定。</w:t>
      </w:r>
    </w:p>
    <w:p>
      <w:pPr>
        <w:spacing w:after="0" w:line="289" w:lineRule="exact"/>
        <w:sectPr>
          <w:type w:val="continuous"/>
          <w:pgSz w:w="11900" w:h="16840"/>
          <w:pgMar w:top="1220" w:bottom="280" w:left="1520" w:right="980"/>
          <w:cols w:num="2" w:equalWidth="0">
            <w:col w:w="2217" w:space="40"/>
            <w:col w:w="7143"/>
          </w:cols>
        </w:sectPr>
      </w:pPr>
    </w:p>
    <w:p>
      <w:pPr>
        <w:pStyle w:val="BodyText"/>
        <w:spacing w:before="6"/>
        <w:rPr>
          <w:sz w:val="12"/>
        </w:rPr>
      </w:pPr>
    </w:p>
    <w:p>
      <w:pPr>
        <w:pStyle w:val="ListParagraph"/>
        <w:numPr>
          <w:ilvl w:val="1"/>
          <w:numId w:val="9"/>
        </w:numPr>
        <w:tabs>
          <w:tab w:pos="751" w:val="left" w:leader="none"/>
        </w:tabs>
        <w:spacing w:line="237" w:lineRule="auto" w:before="65" w:after="0"/>
        <w:ind w:left="2427" w:right="223" w:hanging="2263"/>
        <w:jc w:val="both"/>
        <w:rPr>
          <w:sz w:val="21"/>
        </w:rPr>
      </w:pPr>
      <w:r>
        <w:rPr>
          <w:spacing w:val="-3"/>
          <w:sz w:val="21"/>
        </w:rPr>
        <w:t>现金价值：     指本附加合同所具有的价值，通常体现为解除合同时，根据精算原理计算的，由我们退还的那部分金额。</w:t>
      </w:r>
    </w:p>
    <w:p>
      <w:pPr>
        <w:pStyle w:val="BodyText"/>
        <w:spacing w:before="8"/>
        <w:rPr>
          <w:sz w:val="18"/>
        </w:rPr>
      </w:pPr>
    </w:p>
    <w:p>
      <w:pPr>
        <w:pStyle w:val="ListParagraph"/>
        <w:numPr>
          <w:ilvl w:val="1"/>
          <w:numId w:val="9"/>
        </w:numPr>
        <w:tabs>
          <w:tab w:pos="751" w:val="left" w:leader="none"/>
        </w:tabs>
        <w:spacing w:line="237" w:lineRule="auto" w:before="0" w:after="0"/>
        <w:ind w:left="2375" w:right="223" w:hanging="2211"/>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8"/>
        <w:rPr>
          <w:sz w:val="18"/>
        </w:rPr>
      </w:pPr>
    </w:p>
    <w:p>
      <w:pPr>
        <w:pStyle w:val="BodyText"/>
        <w:spacing w:line="237" w:lineRule="auto"/>
        <w:ind w:left="2427" w:right="223"/>
      </w:pPr>
      <w:r>
        <w:rPr/>
        <w:t>医生是指领有执业医师执照、在医院内行医并拥有处方权的医生，且非您或被保险人以及您或被保险人的配偶、父母、子女。</w:t>
      </w:r>
    </w:p>
    <w:p>
      <w:pPr>
        <w:pStyle w:val="BodyText"/>
        <w:spacing w:before="10"/>
        <w:rPr>
          <w:sz w:val="13"/>
        </w:rPr>
      </w:pPr>
    </w:p>
    <w:p>
      <w:pPr>
        <w:spacing w:after="0"/>
        <w:rPr>
          <w:sz w:val="13"/>
        </w:rPr>
        <w:sectPr>
          <w:type w:val="continuous"/>
          <w:pgSz w:w="11900" w:h="16840"/>
          <w:pgMar w:top="1220" w:bottom="280" w:left="1520" w:right="980"/>
        </w:sectPr>
      </w:pPr>
    </w:p>
    <w:p>
      <w:pPr>
        <w:pStyle w:val="ListParagraph"/>
        <w:numPr>
          <w:ilvl w:val="1"/>
          <w:numId w:val="9"/>
        </w:numPr>
        <w:tabs>
          <w:tab w:pos="750" w:val="left" w:leader="none"/>
          <w:tab w:pos="751" w:val="left" w:leader="none"/>
        </w:tabs>
        <w:spacing w:line="237" w:lineRule="auto" w:before="66" w:after="0"/>
        <w:ind w:left="750" w:right="0" w:hanging="586"/>
        <w:jc w:val="left"/>
        <w:rPr>
          <w:sz w:val="21"/>
        </w:rPr>
      </w:pPr>
      <w:r>
        <w:rPr>
          <w:spacing w:val="-33"/>
          <w:sz w:val="21"/>
        </w:rPr>
        <w:t>肢 体 机 能 完 全丧失：</w:t>
      </w:r>
    </w:p>
    <w:p>
      <w:pPr>
        <w:pStyle w:val="BodyText"/>
        <w:spacing w:line="237" w:lineRule="auto" w:before="63"/>
        <w:ind w:left="164" w:right="22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1520" w:right="980"/>
          <w:cols w:num="2" w:equalWidth="0">
            <w:col w:w="2217" w:space="46"/>
            <w:col w:w="7137"/>
          </w:cols>
        </w:sectPr>
      </w:pPr>
    </w:p>
    <w:p>
      <w:pPr>
        <w:pStyle w:val="BodyText"/>
        <w:spacing w:before="8"/>
        <w:rPr>
          <w:sz w:val="13"/>
        </w:rPr>
      </w:pPr>
    </w:p>
    <w:p>
      <w:pPr>
        <w:spacing w:after="0"/>
        <w:rPr>
          <w:sz w:val="13"/>
        </w:rPr>
        <w:sectPr>
          <w:type w:val="continuous"/>
          <w:pgSz w:w="11900" w:h="16840"/>
          <w:pgMar w:top="1220" w:bottom="280" w:left="1520" w:right="980"/>
        </w:sectPr>
      </w:pPr>
    </w:p>
    <w:p>
      <w:pPr>
        <w:pStyle w:val="ListParagraph"/>
        <w:numPr>
          <w:ilvl w:val="1"/>
          <w:numId w:val="9"/>
        </w:numPr>
        <w:tabs>
          <w:tab w:pos="750" w:val="left" w:leader="none"/>
          <w:tab w:pos="751" w:val="left" w:leader="none"/>
        </w:tabs>
        <w:spacing w:line="237" w:lineRule="auto" w:before="66" w:after="0"/>
        <w:ind w:left="750" w:right="0" w:hanging="586"/>
        <w:jc w:val="left"/>
        <w:rPr>
          <w:sz w:val="21"/>
        </w:rPr>
      </w:pPr>
      <w:r>
        <w:rPr>
          <w:spacing w:val="-33"/>
          <w:sz w:val="21"/>
        </w:rPr>
        <w:t>语 言 能 力 完 全丧失：</w:t>
      </w:r>
    </w:p>
    <w:p>
      <w:pPr>
        <w:pStyle w:val="BodyText"/>
        <w:spacing w:line="237" w:lineRule="auto" w:before="63"/>
        <w:ind w:left="164" w:right="223"/>
      </w:pPr>
      <w:r>
        <w:rPr/>
        <w:br w:type="column"/>
      </w:r>
      <w:r>
        <w:rPr/>
        <w:t>指无法发出四种语音（包括口唇音、齿舌音、口盖音和喉头音）中的任何三种、或声带全部切除，或因大脑语言中枢受伤害而患失语症。</w:t>
      </w:r>
    </w:p>
    <w:p>
      <w:pPr>
        <w:spacing w:after="0" w:line="237" w:lineRule="auto"/>
        <w:sectPr>
          <w:type w:val="continuous"/>
          <w:pgSz w:w="11900" w:h="16840"/>
          <w:pgMar w:top="1220" w:bottom="280" w:left="1520" w:right="980"/>
          <w:cols w:num="2" w:equalWidth="0">
            <w:col w:w="2217" w:space="46"/>
            <w:col w:w="7137"/>
          </w:cols>
        </w:sectPr>
      </w:pPr>
    </w:p>
    <w:p>
      <w:pPr>
        <w:pStyle w:val="BodyText"/>
        <w:spacing w:before="8"/>
        <w:rPr>
          <w:sz w:val="13"/>
        </w:rPr>
      </w:pPr>
    </w:p>
    <w:p>
      <w:pPr>
        <w:spacing w:after="0"/>
        <w:rPr>
          <w:sz w:val="13"/>
        </w:rPr>
        <w:sectPr>
          <w:type w:val="continuous"/>
          <w:pgSz w:w="11900" w:h="16840"/>
          <w:pgMar w:top="1220" w:bottom="280" w:left="1520" w:right="980"/>
        </w:sectPr>
      </w:pPr>
    </w:p>
    <w:p>
      <w:pPr>
        <w:pStyle w:val="ListParagraph"/>
        <w:numPr>
          <w:ilvl w:val="1"/>
          <w:numId w:val="9"/>
        </w:numPr>
        <w:tabs>
          <w:tab w:pos="750" w:val="left" w:leader="none"/>
          <w:tab w:pos="751" w:val="left" w:leader="none"/>
        </w:tabs>
        <w:spacing w:line="240" w:lineRule="auto" w:before="63" w:after="0"/>
        <w:ind w:left="750" w:right="0" w:hanging="586"/>
        <w:jc w:val="left"/>
        <w:rPr>
          <w:sz w:val="21"/>
        </w:rPr>
      </w:pPr>
      <w:r>
        <w:rPr>
          <w:spacing w:val="-33"/>
          <w:sz w:val="21"/>
        </w:rPr>
        <w:t>咀 嚼 吞 咽 能 力</w:t>
      </w:r>
      <w:r>
        <w:rPr>
          <w:spacing w:val="-15"/>
          <w:sz w:val="21"/>
        </w:rPr>
        <w:t>完全丧失：</w:t>
      </w:r>
    </w:p>
    <w:p>
      <w:pPr>
        <w:pStyle w:val="BodyText"/>
        <w:spacing w:before="60"/>
        <w:ind w:left="164" w:right="115"/>
      </w:pPr>
      <w:r>
        <w:rPr/>
        <w:br w:type="column"/>
      </w:r>
      <w:r>
        <w:rPr>
          <w:spacing w:val="-7"/>
        </w:rPr>
        <w:t>指因牙齿以外的原因导致器质障碍或机能障碍，以致不能作咀嚼吞咽运动， </w:t>
      </w:r>
      <w:r>
        <w:rPr>
          <w:spacing w:val="-5"/>
        </w:rPr>
        <w:t>除流质食物外不能摄取或吞咽的状态。</w:t>
      </w:r>
    </w:p>
    <w:p>
      <w:pPr>
        <w:spacing w:after="0"/>
        <w:sectPr>
          <w:type w:val="continuous"/>
          <w:pgSz w:w="11900" w:h="16840"/>
          <w:pgMar w:top="1220" w:bottom="280" w:left="1520" w:right="980"/>
          <w:cols w:num="2" w:equalWidth="0">
            <w:col w:w="2217" w:space="46"/>
            <w:col w:w="7137"/>
          </w:cols>
        </w:sectPr>
      </w:pPr>
    </w:p>
    <w:p>
      <w:pPr>
        <w:pStyle w:val="BodyText"/>
        <w:spacing w:before="6"/>
        <w:rPr>
          <w:sz w:val="13"/>
        </w:rPr>
      </w:pPr>
    </w:p>
    <w:p>
      <w:pPr>
        <w:spacing w:after="0"/>
        <w:rPr>
          <w:sz w:val="13"/>
        </w:rPr>
        <w:sectPr>
          <w:type w:val="continuous"/>
          <w:pgSz w:w="11900" w:h="16840"/>
          <w:pgMar w:top="1220" w:bottom="280" w:left="1520" w:right="980"/>
        </w:sectPr>
      </w:pPr>
    </w:p>
    <w:p>
      <w:pPr>
        <w:pStyle w:val="ListParagraph"/>
        <w:numPr>
          <w:ilvl w:val="1"/>
          <w:numId w:val="9"/>
        </w:numPr>
        <w:tabs>
          <w:tab w:pos="750" w:val="left" w:leader="none"/>
          <w:tab w:pos="751" w:val="left" w:leader="none"/>
        </w:tabs>
        <w:spacing w:line="240" w:lineRule="auto" w:before="62" w:after="0"/>
        <w:ind w:left="750" w:right="0" w:hanging="586"/>
        <w:jc w:val="left"/>
        <w:rPr>
          <w:sz w:val="21"/>
        </w:rPr>
      </w:pPr>
      <w:r>
        <w:rPr>
          <w:spacing w:val="-33"/>
          <w:sz w:val="21"/>
        </w:rPr>
        <w:t>六 项 基 本 日 常</w:t>
      </w:r>
      <w:r>
        <w:rPr>
          <w:spacing w:val="-15"/>
          <w:sz w:val="21"/>
        </w:rPr>
        <w:t>生活活动：</w:t>
      </w:r>
    </w:p>
    <w:p>
      <w:pPr>
        <w:pStyle w:val="BodyText"/>
        <w:spacing w:line="225" w:lineRule="auto" w:before="77"/>
        <w:ind w:left="164"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29"/>
          <w:w w:val="100"/>
        </w:rPr>
        <w:t>）</w:t>
      </w:r>
      <w:r>
        <w:rPr>
          <w:spacing w:val="-15"/>
          <w:w w:val="100"/>
        </w:rPr>
        <w:t>穿衣：自己能够穿衣及脱衣；</w:t>
      </w:r>
      <w:r>
        <w:rPr>
          <w:w w:val="100"/>
        </w:rPr>
        <w:t>（</w:t>
      </w:r>
      <w:r>
        <w:rPr>
          <w:rFonts w:ascii="Times New Roman" w:eastAsia="Times New Roman"/>
          <w:spacing w:val="-3"/>
          <w:w w:val="100"/>
        </w:rPr>
        <w:t>2</w:t>
      </w:r>
      <w:r>
        <w:rPr>
          <w:spacing w:val="-29"/>
          <w:w w:val="100"/>
        </w:rPr>
        <w:t>）</w:t>
      </w:r>
      <w:r>
        <w:rPr>
          <w:w w:val="100"/>
        </w:rPr>
        <w:t>移动：</w:t>
      </w:r>
      <w:r>
        <w:rPr>
          <w:spacing w:val="-10"/>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520" w:right="980"/>
          <w:cols w:num="2" w:equalWidth="0">
            <w:col w:w="2217" w:space="46"/>
            <w:col w:w="7137"/>
          </w:cols>
        </w:sectPr>
      </w:pPr>
    </w:p>
    <w:p>
      <w:pPr>
        <w:pStyle w:val="BodyText"/>
        <w:spacing w:before="5"/>
        <w:rPr>
          <w:sz w:val="12"/>
        </w:rPr>
      </w:pPr>
    </w:p>
    <w:p>
      <w:pPr>
        <w:pStyle w:val="ListParagraph"/>
        <w:numPr>
          <w:ilvl w:val="1"/>
          <w:numId w:val="9"/>
        </w:numPr>
        <w:tabs>
          <w:tab w:pos="750" w:val="left" w:leader="none"/>
          <w:tab w:pos="751" w:val="left" w:leader="none"/>
          <w:tab w:pos="2427" w:val="left" w:leader="none"/>
        </w:tabs>
        <w:spacing w:line="223" w:lineRule="auto" w:before="83" w:after="0"/>
        <w:ind w:left="2428" w:right="221" w:hanging="2264"/>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6"/>
          <w:sz w:val="21"/>
        </w:rPr>
        <w:t> </w:t>
      </w:r>
      <w:r>
        <w:rPr>
          <w:rFonts w:ascii="Times New Roman" w:eastAsia="Times New Roman"/>
          <w:sz w:val="21"/>
        </w:rPr>
        <w:t>180</w:t>
      </w:r>
      <w:r>
        <w:rPr>
          <w:rFonts w:ascii="Times New Roman" w:eastAsia="Times New Roman"/>
          <w:spacing w:val="25"/>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spacing w:after="0" w:line="223" w:lineRule="auto"/>
        <w:jc w:val="left"/>
        <w:rPr>
          <w:sz w:val="21"/>
        </w:rPr>
        <w:sectPr>
          <w:type w:val="continuous"/>
          <w:pgSz w:w="11900" w:h="16840"/>
          <w:pgMar w:top="1220" w:bottom="280" w:left="1520" w:right="980"/>
        </w:sectPr>
      </w:pPr>
    </w:p>
    <w:p>
      <w:pPr>
        <w:pStyle w:val="BodyText"/>
        <w:rPr>
          <w:sz w:val="20"/>
        </w:rPr>
      </w:pPr>
    </w:p>
    <w:p>
      <w:pPr>
        <w:pStyle w:val="BodyText"/>
        <w:spacing w:before="4"/>
        <w:rPr>
          <w:sz w:val="18"/>
        </w:rPr>
      </w:pPr>
    </w:p>
    <w:p>
      <w:pPr>
        <w:pStyle w:val="BodyText"/>
        <w:tabs>
          <w:tab w:pos="2267" w:val="left" w:leader="none"/>
        </w:tabs>
        <w:spacing w:line="225" w:lineRule="auto" w:before="63"/>
        <w:ind w:left="2267" w:right="221" w:hanging="1769"/>
        <w:jc w:val="both"/>
      </w:pPr>
      <w:r>
        <w:rPr/>
        <w:t>附表一</w:t>
        <w:tab/>
        <w:t>本附</w:t>
      </w:r>
      <w:r>
        <w:rPr>
          <w:spacing w:val="-3"/>
        </w:rPr>
        <w:t>加</w:t>
      </w:r>
      <w:r>
        <w:rPr/>
        <w:t>合</w:t>
      </w:r>
      <w:r>
        <w:rPr>
          <w:spacing w:val="-3"/>
        </w:rPr>
        <w:t>同</w:t>
      </w:r>
      <w:r>
        <w:rPr/>
        <w:t>所</w:t>
      </w:r>
      <w:r>
        <w:rPr>
          <w:spacing w:val="-3"/>
        </w:rPr>
        <w:t>指</w:t>
      </w:r>
      <w:r>
        <w:rPr/>
        <w:t>重</w:t>
      </w:r>
      <w:r>
        <w:rPr>
          <w:spacing w:val="-3"/>
        </w:rPr>
        <w:t>大</w:t>
      </w:r>
      <w:r>
        <w:rPr/>
        <w:t>疾</w:t>
      </w:r>
      <w:r>
        <w:rPr>
          <w:spacing w:val="-3"/>
        </w:rPr>
        <w:t>病</w:t>
      </w:r>
      <w:r>
        <w:rPr/>
        <w:t>包括</w:t>
      </w:r>
      <w:r>
        <w:rPr>
          <w:spacing w:val="-3"/>
        </w:rPr>
        <w:t>以</w:t>
      </w:r>
      <w:r>
        <w:rPr/>
        <w:t>下</w:t>
      </w:r>
      <w:r>
        <w:rPr>
          <w:spacing w:val="-3"/>
        </w:rPr>
        <w:t>疾病</w:t>
      </w:r>
      <w:r>
        <w:rPr>
          <w:spacing w:val="-22"/>
        </w:rPr>
        <w:t>、</w:t>
      </w:r>
      <w:r>
        <w:rPr>
          <w:spacing w:val="-3"/>
        </w:rPr>
        <w:t>疾</w:t>
      </w:r>
      <w:r>
        <w:rPr/>
        <w:t>病</w:t>
      </w:r>
      <w:r>
        <w:rPr>
          <w:spacing w:val="-3"/>
        </w:rPr>
        <w:t>状态</w:t>
      </w:r>
      <w:r>
        <w:rPr/>
        <w:t>或手</w:t>
      </w:r>
      <w:r>
        <w:rPr>
          <w:spacing w:val="-3"/>
        </w:rPr>
        <w:t>术</w:t>
      </w:r>
      <w:r>
        <w:rPr>
          <w:spacing w:val="-24"/>
        </w:rPr>
        <w:t>。</w:t>
      </w:r>
      <w:r>
        <w:rPr/>
        <w:t>其</w:t>
      </w:r>
      <w:r>
        <w:rPr>
          <w:spacing w:val="-3"/>
        </w:rPr>
        <w:t>中</w:t>
      </w:r>
      <w:r>
        <w:rPr/>
        <w:t>第</w:t>
      </w:r>
      <w:r>
        <w:rPr>
          <w:spacing w:val="-38"/>
        </w:rPr>
        <w:t> </w:t>
      </w:r>
      <w:r>
        <w:rPr>
          <w:rFonts w:ascii="Times New Roman" w:eastAsia="Times New Roman"/>
        </w:rPr>
        <w:t>1-25</w:t>
      </w:r>
      <w:r>
        <w:rPr>
          <w:rFonts w:ascii="Times New Roman" w:eastAsia="Times New Roman"/>
          <w:spacing w:val="15"/>
        </w:rPr>
        <w:t> </w:t>
      </w:r>
      <w:r>
        <w:rPr/>
        <w:t>项为中</w:t>
      </w:r>
      <w:r>
        <w:rPr>
          <w:spacing w:val="-3"/>
        </w:rPr>
        <w:t>国</w:t>
      </w:r>
      <w:r>
        <w:rPr/>
        <w:t>保</w:t>
      </w:r>
      <w:r>
        <w:rPr>
          <w:spacing w:val="-3"/>
        </w:rPr>
        <w:t>险</w:t>
      </w:r>
      <w:r>
        <w:rPr/>
        <w:t>行</w:t>
      </w:r>
      <w:r>
        <w:rPr>
          <w:spacing w:val="-3"/>
        </w:rPr>
        <w:t>业</w:t>
      </w:r>
      <w:r>
        <w:rPr/>
        <w:t>协</w:t>
      </w:r>
      <w:r>
        <w:rPr>
          <w:spacing w:val="-3"/>
        </w:rPr>
        <w:t>会</w:t>
      </w:r>
      <w:r>
        <w:rPr/>
        <w:t>与</w:t>
      </w:r>
      <w:r>
        <w:rPr>
          <w:spacing w:val="-3"/>
        </w:rPr>
        <w:t>中</w:t>
      </w:r>
      <w:r>
        <w:rPr/>
        <w:t>国医</w:t>
      </w:r>
      <w:r>
        <w:rPr>
          <w:spacing w:val="-3"/>
        </w:rPr>
        <w:t>师</w:t>
      </w:r>
      <w:r>
        <w:rPr/>
        <w:t>协</w:t>
      </w:r>
      <w:r>
        <w:rPr>
          <w:spacing w:val="-3"/>
        </w:rPr>
        <w:t>会</w:t>
      </w:r>
      <w:r>
        <w:rPr/>
        <w:t>共</w:t>
      </w:r>
      <w:r>
        <w:rPr>
          <w:spacing w:val="-3"/>
        </w:rPr>
        <w:t>同</w:t>
      </w:r>
      <w:r>
        <w:rPr/>
        <w:t>制</w:t>
      </w:r>
      <w:r>
        <w:rPr>
          <w:spacing w:val="-3"/>
        </w:rPr>
        <w:t>定</w:t>
      </w:r>
      <w:r>
        <w:rPr/>
        <w:t>的</w:t>
      </w:r>
      <w:r>
        <w:rPr>
          <w:spacing w:val="-3"/>
        </w:rPr>
        <w:t>疾</w:t>
      </w:r>
      <w:r>
        <w:rPr/>
        <w:t>病定</w:t>
      </w:r>
      <w:r>
        <w:rPr>
          <w:spacing w:val="-3"/>
        </w:rPr>
        <w:t>义</w:t>
      </w:r>
      <w:r>
        <w:rPr/>
        <w:t>，第</w:t>
      </w:r>
      <w:r>
        <w:rPr>
          <w:spacing w:val="-12"/>
        </w:rPr>
        <w:t> </w:t>
      </w:r>
      <w:r>
        <w:rPr>
          <w:rFonts w:ascii="Times New Roman" w:eastAsia="Times New Roman"/>
        </w:rPr>
        <w:t>26-38</w:t>
      </w:r>
      <w:r>
        <w:rPr>
          <w:rFonts w:ascii="Times New Roman" w:eastAsia="Times New Roman"/>
          <w:spacing w:val="40"/>
        </w:rPr>
        <w:t> </w:t>
      </w:r>
      <w:r>
        <w:rPr/>
        <w:t>项为我们</w:t>
      </w:r>
      <w:r>
        <w:rPr>
          <w:spacing w:val="-3"/>
        </w:rPr>
        <w:t>增</w:t>
      </w:r>
      <w:r>
        <w:rPr/>
        <w:t>加</w:t>
      </w:r>
      <w:r>
        <w:rPr>
          <w:spacing w:val="-3"/>
        </w:rPr>
        <w:t>的</w:t>
      </w:r>
      <w:r>
        <w:rPr/>
        <w:t>疾</w:t>
      </w:r>
      <w:r>
        <w:rPr>
          <w:spacing w:val="-3"/>
        </w:rPr>
        <w:t>病</w:t>
      </w:r>
      <w:r>
        <w:rPr/>
        <w:t>种</w:t>
      </w:r>
      <w:r>
        <w:rPr>
          <w:spacing w:val="-3"/>
        </w:rPr>
        <w:t>类</w:t>
      </w:r>
      <w:r>
        <w:rPr/>
        <w:t>并</w:t>
      </w:r>
      <w:r>
        <w:rPr>
          <w:spacing w:val="-3"/>
        </w:rPr>
        <w:t>自</w:t>
      </w:r>
      <w:r>
        <w:rPr/>
        <w:t>行制</w:t>
      </w:r>
      <w:r>
        <w:rPr>
          <w:spacing w:val="-3"/>
        </w:rPr>
        <w:t>定</w:t>
      </w:r>
      <w:r>
        <w:rPr/>
        <w:t>的</w:t>
      </w:r>
      <w:r>
        <w:rPr>
          <w:spacing w:val="-3"/>
        </w:rPr>
        <w:t>疾</w:t>
      </w:r>
      <w:r>
        <w:rPr/>
        <w:t>病</w:t>
      </w:r>
      <w:r>
        <w:rPr>
          <w:spacing w:val="-3"/>
        </w:rPr>
        <w:t>定</w:t>
      </w:r>
      <w:r>
        <w:rPr/>
        <w:t>义。</w:t>
      </w:r>
    </w:p>
    <w:p>
      <w:pPr>
        <w:pStyle w:val="BodyText"/>
        <w:rPr>
          <w:sz w:val="19"/>
        </w:rPr>
      </w:pPr>
    </w:p>
    <w:p>
      <w:pPr>
        <w:pStyle w:val="BodyText"/>
        <w:spacing w:line="232" w:lineRule="auto"/>
        <w:ind w:left="2267" w:right="223" w:hanging="1680"/>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spacing w:before="2"/>
        <w:rPr>
          <w:sz w:val="17"/>
        </w:rPr>
      </w:pPr>
    </w:p>
    <w:p>
      <w:pPr>
        <w:pStyle w:val="BodyText"/>
        <w:spacing w:line="273" w:lineRule="exact"/>
        <w:ind w:left="2267"/>
      </w:pPr>
      <w:r>
        <w:rPr/>
        <w:t>下列疾病不在保障范围内：</w:t>
      </w:r>
    </w:p>
    <w:p>
      <w:pPr>
        <w:pStyle w:val="BodyText"/>
        <w:spacing w:line="280" w:lineRule="exact"/>
        <w:ind w:left="2267"/>
      </w:pPr>
      <w:r>
        <w:rPr/>
        <w:t>（</w:t>
      </w:r>
      <w:r>
        <w:rPr>
          <w:rFonts w:ascii="Times New Roman" w:eastAsia="Times New Roman"/>
        </w:rPr>
        <w:t>1</w:t>
      </w:r>
      <w:r>
        <w:rPr/>
        <w:t>）原位癌；</w:t>
      </w:r>
    </w:p>
    <w:p>
      <w:pPr>
        <w:pStyle w:val="BodyText"/>
        <w:spacing w:line="274" w:lineRule="exact"/>
        <w:ind w:left="226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4" w:lineRule="exact"/>
        <w:ind w:left="226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267"/>
      </w:pPr>
      <w:r>
        <w:rPr/>
        <w:t>（</w:t>
      </w:r>
      <w:r>
        <w:rPr>
          <w:rFonts w:ascii="Times New Roman" w:eastAsia="Times New Roman"/>
        </w:rPr>
        <w:t>4</w:t>
      </w:r>
      <w:r>
        <w:rPr/>
        <w:t>）皮肤癌（不包括恶性黑色素瘤及已发Th转移的皮肤癌）；</w:t>
      </w:r>
    </w:p>
    <w:p>
      <w:pPr>
        <w:pStyle w:val="BodyText"/>
        <w:spacing w:line="272" w:lineRule="exact"/>
        <w:ind w:left="226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267"/>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before="1"/>
        <w:ind w:left="2267" w:right="223" w:hanging="1680"/>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1" w:lineRule="exact"/>
        <w:ind w:left="2267"/>
      </w:pPr>
      <w:r>
        <w:rPr/>
        <w:t>（</w:t>
      </w:r>
      <w:r>
        <w:rPr>
          <w:rFonts w:ascii="Times New Roman" w:eastAsia="Times New Roman"/>
        </w:rPr>
        <w:t>1</w:t>
      </w:r>
      <w:r>
        <w:rPr/>
        <w:t>）典型临床表现，例如急性胸痛等；</w:t>
      </w:r>
    </w:p>
    <w:p>
      <w:pPr>
        <w:pStyle w:val="BodyText"/>
        <w:spacing w:line="272" w:lineRule="exact"/>
        <w:ind w:left="2267"/>
      </w:pPr>
      <w:r>
        <w:rPr/>
        <w:t>（</w:t>
      </w:r>
      <w:r>
        <w:rPr>
          <w:rFonts w:ascii="Times New Roman" w:eastAsia="Times New Roman"/>
        </w:rPr>
        <w:t>2</w:t>
      </w:r>
      <w:r>
        <w:rPr/>
        <w:t>）新近的心电图改变提示急性心肌梗塞；</w:t>
      </w:r>
    </w:p>
    <w:p>
      <w:pPr>
        <w:pStyle w:val="BodyText"/>
        <w:spacing w:line="225" w:lineRule="auto" w:before="8"/>
        <w:ind w:left="2267" w:right="221"/>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81" w:lineRule="exact"/>
        <w:ind w:left="226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267"/>
      </w:pPr>
      <w:r>
        <w:rPr>
          <w:rFonts w:ascii="Times New Roman" w:eastAsia="Times New Roman"/>
        </w:rPr>
        <w:t>50%</w:t>
      </w:r>
      <w:r>
        <w:rPr/>
        <w:t>。</w:t>
      </w:r>
    </w:p>
    <w:p>
      <w:pPr>
        <w:pStyle w:val="BodyText"/>
        <w:spacing w:before="10"/>
        <w:rPr>
          <w:sz w:val="18"/>
        </w:rPr>
      </w:pPr>
    </w:p>
    <w:p>
      <w:pPr>
        <w:pStyle w:val="BodyText"/>
        <w:spacing w:line="223" w:lineRule="auto"/>
        <w:ind w:left="2267" w:right="221" w:hanging="1680"/>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67"/>
      </w:pPr>
      <w:r>
        <w:rPr/>
        <w:t>（</w:t>
      </w:r>
      <w:r>
        <w:rPr>
          <w:rFonts w:ascii="Times New Roman" w:eastAsia="Times New Roman"/>
        </w:rPr>
        <w:t>1</w:t>
      </w:r>
      <w:r>
        <w:rPr/>
        <w:t>）一肢或一肢以上肢体机能完全丧失（见 </w:t>
      </w:r>
      <w:r>
        <w:rPr>
          <w:rFonts w:ascii="Times New Roman" w:eastAsia="Times New Roman"/>
        </w:rPr>
        <w:t>7.15</w:t>
      </w:r>
      <w:r>
        <w:rPr/>
        <w:t>）；</w:t>
      </w:r>
    </w:p>
    <w:p>
      <w:pPr>
        <w:pStyle w:val="BodyText"/>
        <w:spacing w:line="274" w:lineRule="exact"/>
        <w:ind w:left="2267"/>
      </w:pPr>
      <w:r>
        <w:rPr/>
        <w:t>（</w:t>
      </w:r>
      <w:r>
        <w:rPr>
          <w:rFonts w:ascii="Times New Roman" w:eastAsia="Times New Roman"/>
        </w:rPr>
        <w:t>2</w:t>
      </w:r>
      <w:r>
        <w:rPr/>
        <w:t>）语言能力完全丧失（见 </w:t>
      </w:r>
      <w:r>
        <w:rPr>
          <w:rFonts w:ascii="Times New Roman" w:eastAsia="Times New Roman"/>
        </w:rPr>
        <w:t>7.16</w:t>
      </w:r>
      <w:r>
        <w:rPr/>
        <w:t>）或咀嚼吞咽能力完全丧失（见 </w:t>
      </w:r>
      <w:r>
        <w:rPr>
          <w:rFonts w:ascii="Times New Roman" w:eastAsia="Times New Roman"/>
        </w:rPr>
        <w:t>7.17</w:t>
      </w:r>
      <w:r>
        <w:rPr/>
        <w:t>）；</w:t>
      </w:r>
    </w:p>
    <w:p>
      <w:pPr>
        <w:pStyle w:val="BodyText"/>
        <w:spacing w:line="272" w:lineRule="exact"/>
        <w:ind w:left="2267"/>
      </w:pPr>
      <w:r>
        <w:rPr/>
        <w:t>（</w:t>
      </w:r>
      <w:r>
        <w:rPr>
          <w:rFonts w:ascii="Times New Roman" w:eastAsia="Times New Roman"/>
        </w:rPr>
        <w:t>3</w:t>
      </w:r>
      <w:r>
        <w:rPr/>
        <w:t>）自主生活能力完全丧失，无法独立完成六项基本日常生活活动（见</w:t>
      </w:r>
    </w:p>
    <w:p>
      <w:pPr>
        <w:pStyle w:val="BodyText"/>
        <w:spacing w:line="281" w:lineRule="exact"/>
        <w:ind w:left="2776" w:right="3746"/>
        <w:jc w:val="center"/>
      </w:pPr>
      <w:r>
        <w:rPr>
          <w:rFonts w:ascii="Times New Roman" w:eastAsia="Times New Roman"/>
        </w:rPr>
        <w:t>7.18</w:t>
      </w:r>
      <w:r>
        <w:rPr/>
        <w:t>）中的三项或三项以上。</w:t>
      </w:r>
    </w:p>
    <w:p>
      <w:pPr>
        <w:pStyle w:val="BodyText"/>
        <w:spacing w:before="12"/>
        <w:rPr>
          <w:sz w:val="13"/>
        </w:rPr>
      </w:pPr>
    </w:p>
    <w:p>
      <w:pPr>
        <w:spacing w:after="0"/>
        <w:rPr>
          <w:sz w:val="13"/>
        </w:rPr>
        <w:sectPr>
          <w:pgSz w:w="11900" w:h="16840"/>
          <w:pgMar w:top="1600" w:bottom="280" w:left="1680" w:right="980"/>
        </w:sectPr>
      </w:pPr>
    </w:p>
    <w:p>
      <w:pPr>
        <w:pStyle w:val="BodyText"/>
        <w:spacing w:line="230" w:lineRule="auto" w:before="57"/>
        <w:ind w:left="590" w:hanging="3"/>
        <w:jc w:val="both"/>
      </w:pPr>
      <w:r>
        <w:rPr>
          <w:rFonts w:ascii="Times New Roman" w:eastAsia="Times New Roman"/>
          <w:b/>
          <w:spacing w:val="2"/>
        </w:rPr>
        <w:t>4.</w:t>
      </w:r>
      <w:r>
        <w:rPr>
          <w:spacing w:val="3"/>
        </w:rPr>
        <w:t>重大器官移植</w:t>
      </w:r>
      <w:r>
        <w:rPr>
          <w:spacing w:val="-32"/>
        </w:rPr>
        <w:t>术 或 造 血 干 细</w:t>
      </w:r>
      <w:r>
        <w:rPr>
          <w:spacing w:val="-18"/>
        </w:rPr>
        <w:t>胞移植术</w:t>
      </w:r>
    </w:p>
    <w:p>
      <w:pPr>
        <w:pStyle w:val="BodyText"/>
        <w:spacing w:line="237" w:lineRule="auto" w:before="45"/>
        <w:ind w:left="171" w:right="223"/>
      </w:pPr>
      <w:r>
        <w:rPr/>
        <w:br w:type="column"/>
      </w:r>
      <w:r>
        <w:rPr/>
        <w:t>重大器官移植术，指因相应器官功能衰竭，已经实施了肾脏、肝脏、心脏或肺脏的异体移植手术。</w:t>
      </w:r>
    </w:p>
    <w:p>
      <w:pPr>
        <w:pStyle w:val="BodyText"/>
        <w:spacing w:before="7"/>
        <w:rPr>
          <w:sz w:val="18"/>
        </w:rPr>
      </w:pPr>
    </w:p>
    <w:p>
      <w:pPr>
        <w:pStyle w:val="BodyText"/>
        <w:spacing w:line="237" w:lineRule="auto"/>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type w:val="continuous"/>
          <w:pgSz w:w="11900" w:h="16840"/>
          <w:pgMar w:top="1220" w:bottom="280" w:left="1680" w:right="980"/>
          <w:cols w:num="2" w:equalWidth="0">
            <w:col w:w="2057" w:space="40"/>
            <w:col w:w="7143"/>
          </w:cols>
        </w:sectPr>
      </w:pPr>
    </w:p>
    <w:p>
      <w:pPr>
        <w:pStyle w:val="BodyText"/>
        <w:spacing w:before="1"/>
        <w:rPr>
          <w:sz w:val="15"/>
        </w:rPr>
      </w:pPr>
    </w:p>
    <w:p>
      <w:pPr>
        <w:spacing w:after="0"/>
        <w:rPr>
          <w:sz w:val="15"/>
        </w:rPr>
        <w:sectPr>
          <w:type w:val="continuous"/>
          <w:pgSz w:w="11900" w:h="16840"/>
          <w:pgMar w:top="1220" w:bottom="280" w:left="1680" w:right="980"/>
        </w:sectPr>
      </w:pPr>
    </w:p>
    <w:p>
      <w:pPr>
        <w:pStyle w:val="BodyText"/>
        <w:spacing w:line="230" w:lineRule="auto" w:before="57"/>
        <w:ind w:left="590" w:hanging="3"/>
        <w:jc w:val="both"/>
      </w:pPr>
      <w:r>
        <w:rPr>
          <w:rFonts w:ascii="Times New Roman" w:eastAsia="Times New Roman"/>
          <w:b/>
        </w:rPr>
        <w:t>5.</w:t>
      </w:r>
      <w:r>
        <w:rPr/>
        <w:t>冠状动脉搭桥术（或称冠状动脉旁路移植术）</w:t>
      </w:r>
    </w:p>
    <w:p>
      <w:pPr>
        <w:pStyle w:val="BodyText"/>
        <w:spacing w:line="237" w:lineRule="auto" w:before="46"/>
        <w:ind w:left="161" w:right="223"/>
      </w:pPr>
      <w:r>
        <w:rPr/>
        <w:br w:type="column"/>
      </w:r>
      <w:r>
        <w:rPr/>
        <w:t>指为治疗严重的冠心病，实际实施了开胸进行的冠状动脉血管旁路移植的手术。</w:t>
      </w:r>
    </w:p>
    <w:p>
      <w:pPr>
        <w:pStyle w:val="BodyText"/>
        <w:spacing w:before="8"/>
        <w:rPr>
          <w:sz w:val="18"/>
        </w:rPr>
      </w:pPr>
    </w:p>
    <w:p>
      <w:pPr>
        <w:pStyle w:val="BodyText"/>
        <w:spacing w:line="237" w:lineRule="auto"/>
        <w:ind w:left="161" w:right="223"/>
      </w:pPr>
      <w:r>
        <w:rPr/>
        <w:t>冠状动脉支架植入术、心导管球囊扩张术、激光射频技术及其它非开胸的介入手术、腔镜手术不在保障范围内。</w:t>
      </w:r>
    </w:p>
    <w:p>
      <w:pPr>
        <w:spacing w:after="0" w:line="237" w:lineRule="auto"/>
        <w:sectPr>
          <w:type w:val="continuous"/>
          <w:pgSz w:w="11900" w:h="16840"/>
          <w:pgMar w:top="1220" w:bottom="280" w:left="1680" w:right="980"/>
          <w:cols w:num="2" w:equalWidth="0">
            <w:col w:w="2067" w:space="40"/>
            <w:col w:w="7133"/>
          </w:cols>
        </w:sectPr>
      </w:pPr>
    </w:p>
    <w:p>
      <w:pPr>
        <w:pStyle w:val="BodyText"/>
        <w:spacing w:before="1"/>
        <w:rPr>
          <w:sz w:val="15"/>
        </w:rPr>
      </w:pPr>
    </w:p>
    <w:p>
      <w:pPr>
        <w:spacing w:after="0"/>
        <w:rPr>
          <w:sz w:val="15"/>
        </w:rPr>
        <w:sectPr>
          <w:type w:val="continuous"/>
          <w:pgSz w:w="11900" w:h="16840"/>
          <w:pgMar w:top="1220" w:bottom="280" w:left="1680" w:right="980"/>
        </w:sectPr>
      </w:pPr>
    </w:p>
    <w:p>
      <w:pPr>
        <w:spacing w:line="281" w:lineRule="exact" w:before="46"/>
        <w:ind w:left="587" w:right="0" w:firstLine="0"/>
        <w:jc w:val="left"/>
        <w:rPr>
          <w:sz w:val="21"/>
        </w:rPr>
      </w:pPr>
      <w:r>
        <w:rPr>
          <w:rFonts w:ascii="Times New Roman" w:eastAsia="Times New Roman"/>
          <w:b/>
          <w:sz w:val="21"/>
        </w:rPr>
        <w:t>6. </w:t>
      </w:r>
      <w:r>
        <w:rPr>
          <w:spacing w:val="-25"/>
          <w:sz w:val="21"/>
        </w:rPr>
        <w:t>终 末 期 肾 病</w:t>
      </w:r>
    </w:p>
    <w:p>
      <w:pPr>
        <w:pStyle w:val="BodyText"/>
        <w:spacing w:line="265" w:lineRule="exact"/>
        <w:ind w:left="590"/>
      </w:pPr>
      <w:r>
        <w:rPr/>
        <w:t>（或称慢性肾</w:t>
      </w:r>
    </w:p>
    <w:p>
      <w:pPr>
        <w:pStyle w:val="BodyText"/>
        <w:spacing w:line="273" w:lineRule="exact" w:before="43"/>
        <w:ind w:left="171"/>
      </w:pPr>
      <w:r>
        <w:rPr/>
        <w:br w:type="column"/>
      </w:r>
      <w:r>
        <w:rPr/>
        <w:t>指双肾功能慢性不可逆性衰竭，达到尿毒症期，经诊断后已经进行了至少</w:t>
      </w:r>
    </w:p>
    <w:p>
      <w:pPr>
        <w:pStyle w:val="BodyText"/>
        <w:spacing w:line="289" w:lineRule="exact"/>
        <w:ind w:left="171"/>
      </w:pPr>
      <w:r>
        <w:rPr>
          <w:rFonts w:ascii="Times New Roman" w:eastAsia="Times New Roman"/>
        </w:rPr>
        <w:t>90 </w:t>
      </w:r>
      <w:r>
        <w:rPr/>
        <w:t>天的规律性透析治疗或实施了肾脏移植手术。</w:t>
      </w:r>
    </w:p>
    <w:p>
      <w:pPr>
        <w:spacing w:after="0" w:line="289" w:lineRule="exact"/>
        <w:sectPr>
          <w:type w:val="continuous"/>
          <w:pgSz w:w="11900" w:h="16840"/>
          <w:pgMar w:top="1220" w:bottom="280" w:left="1680" w:right="980"/>
          <w:cols w:num="2" w:equalWidth="0">
            <w:col w:w="2057" w:space="40"/>
            <w:col w:w="7143"/>
          </w:cols>
        </w:sectPr>
      </w:pPr>
    </w:p>
    <w:p>
      <w:pPr>
        <w:pStyle w:val="BodyText"/>
        <w:spacing w:line="237" w:lineRule="auto" w:before="12"/>
        <w:ind w:left="590" w:right="7181"/>
      </w:pPr>
      <w:r>
        <w:rPr>
          <w:spacing w:val="-33"/>
        </w:rPr>
        <w:t>功 能 衰 竭 尿 毒症期）</w:t>
      </w:r>
    </w:p>
    <w:p>
      <w:pPr>
        <w:pStyle w:val="BodyText"/>
        <w:spacing w:before="2"/>
        <w:rPr>
          <w:sz w:val="20"/>
        </w:rPr>
      </w:pPr>
    </w:p>
    <w:p>
      <w:pPr>
        <w:pStyle w:val="BodyText"/>
        <w:tabs>
          <w:tab w:pos="2267" w:val="left" w:leader="none"/>
        </w:tabs>
        <w:spacing w:line="220" w:lineRule="auto" w:before="1"/>
        <w:ind w:left="2267" w:right="223" w:hanging="1680"/>
      </w:pPr>
      <w:r>
        <w:rPr>
          <w:rFonts w:ascii="Times New Roman" w:eastAsia="Times New Roman"/>
          <w:b/>
        </w:rPr>
        <w:t>7.</w:t>
      </w:r>
      <w:r>
        <w:rPr/>
        <w:t>多个肢体</w:t>
      </w:r>
      <w:r>
        <w:rPr>
          <w:spacing w:val="-3"/>
        </w:rPr>
        <w:t>缺</w:t>
      </w:r>
      <w:r>
        <w:rPr/>
        <w:t>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2"/>
        <w:rPr>
          <w:sz w:val="15"/>
        </w:rPr>
      </w:pPr>
    </w:p>
    <w:p>
      <w:pPr>
        <w:spacing w:after="0"/>
        <w:rPr>
          <w:sz w:val="15"/>
        </w:rPr>
        <w:sectPr>
          <w:pgSz w:w="11900" w:h="16840"/>
          <w:pgMar w:top="1260" w:bottom="280" w:left="1680" w:right="980"/>
        </w:sectPr>
      </w:pPr>
    </w:p>
    <w:p>
      <w:pPr>
        <w:pStyle w:val="BodyText"/>
        <w:spacing w:line="223" w:lineRule="auto" w:before="66"/>
        <w:ind w:left="590" w:hanging="3"/>
      </w:pPr>
      <w:r>
        <w:rPr>
          <w:rFonts w:ascii="Times New Roman" w:eastAsia="Times New Roman"/>
          <w:b/>
        </w:rPr>
        <w:t>8.</w:t>
      </w:r>
      <w:r>
        <w:rPr/>
        <w:t>急性或亚急性重症肝炎</w:t>
      </w:r>
    </w:p>
    <w:p>
      <w:pPr>
        <w:pStyle w:val="BodyText"/>
        <w:spacing w:line="237" w:lineRule="auto" w:before="46"/>
        <w:ind w:left="171" w:right="223"/>
      </w:pPr>
      <w:r>
        <w:rPr/>
        <w:br w:type="column"/>
      </w:r>
      <w:r>
        <w:rPr/>
        <w:t>指因肝炎病毒感染引起肝脏组织弥漫性坏死，导致急性肝功能衰竭，且经血清学或病毒学检查证实，并须满足下列全部条件：</w:t>
      </w:r>
    </w:p>
    <w:p>
      <w:pPr>
        <w:pStyle w:val="BodyText"/>
        <w:spacing w:line="281"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2"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71"/>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80" w:right="980"/>
          <w:cols w:num="2" w:equalWidth="0">
            <w:col w:w="2057" w:space="40"/>
            <w:col w:w="7143"/>
          </w:cols>
        </w:sectPr>
      </w:pPr>
    </w:p>
    <w:p>
      <w:pPr>
        <w:pStyle w:val="BodyText"/>
        <w:spacing w:before="12"/>
        <w:rPr>
          <w:sz w:val="13"/>
        </w:rPr>
      </w:pPr>
    </w:p>
    <w:p>
      <w:pPr>
        <w:pStyle w:val="BodyText"/>
        <w:tabs>
          <w:tab w:pos="2267" w:val="left" w:leader="none"/>
        </w:tabs>
        <w:spacing w:line="225" w:lineRule="auto" w:before="63"/>
        <w:ind w:left="2267" w:right="115" w:hanging="1680"/>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68"/>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rPr>
          <w:sz w:val="17"/>
        </w:rPr>
      </w:pPr>
    </w:p>
    <w:p>
      <w:pPr>
        <w:pStyle w:val="BodyText"/>
        <w:ind w:left="2268"/>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10"/>
        </w:numPr>
        <w:tabs>
          <w:tab w:pos="884" w:val="left" w:leader="none"/>
        </w:tabs>
        <w:spacing w:line="225" w:lineRule="auto" w:before="63" w:after="0"/>
        <w:ind w:left="590" w:right="0" w:hanging="2"/>
        <w:jc w:val="left"/>
        <w:rPr>
          <w:sz w:val="21"/>
        </w:rPr>
      </w:pPr>
      <w:r>
        <w:rPr>
          <w:spacing w:val="20"/>
          <w:sz w:val="21"/>
        </w:rPr>
        <w:t>慢性肝功能</w:t>
      </w:r>
      <w:r>
        <w:rPr>
          <w:spacing w:val="5"/>
          <w:sz w:val="21"/>
        </w:rPr>
        <w:t>衰竭失代偿期</w:t>
      </w:r>
    </w:p>
    <w:p>
      <w:pPr>
        <w:pStyle w:val="BodyText"/>
        <w:spacing w:line="274" w:lineRule="exact" w:before="43"/>
        <w:ind w:left="173"/>
      </w:pPr>
      <w:r>
        <w:rPr/>
        <w:br w:type="column"/>
      </w:r>
      <w:r>
        <w:rPr/>
        <w:t>指因慢性肝脏疾病导致肝功能衰竭，须满足下列全部条件：</w:t>
      </w:r>
    </w:p>
    <w:p>
      <w:pPr>
        <w:pStyle w:val="BodyText"/>
        <w:spacing w:line="282" w:lineRule="exact"/>
        <w:ind w:left="173"/>
      </w:pPr>
      <w:r>
        <w:rPr/>
        <w:t>（</w:t>
      </w:r>
      <w:r>
        <w:rPr>
          <w:rFonts w:ascii="Times New Roman" w:eastAsia="Times New Roman"/>
        </w:rPr>
        <w:t>1</w:t>
      </w:r>
      <w:r>
        <w:rPr/>
        <w:t>）持续性黄疸；</w:t>
      </w:r>
    </w:p>
    <w:p>
      <w:pPr>
        <w:pStyle w:val="BodyText"/>
        <w:spacing w:line="272" w:lineRule="exact"/>
        <w:ind w:left="173"/>
      </w:pPr>
      <w:r>
        <w:rPr/>
        <w:t>（</w:t>
      </w:r>
      <w:r>
        <w:rPr>
          <w:rFonts w:ascii="Times New Roman" w:eastAsia="Times New Roman"/>
        </w:rPr>
        <w:t>2</w:t>
      </w:r>
      <w:r>
        <w:rPr/>
        <w:t>）腹水；</w:t>
      </w:r>
    </w:p>
    <w:p>
      <w:pPr>
        <w:pStyle w:val="BodyText"/>
        <w:spacing w:line="272" w:lineRule="exact"/>
        <w:ind w:left="173"/>
      </w:pPr>
      <w:r>
        <w:rPr/>
        <w:t>（</w:t>
      </w:r>
      <w:r>
        <w:rPr>
          <w:rFonts w:ascii="Times New Roman" w:eastAsia="Times New Roman"/>
        </w:rPr>
        <w:t>3</w:t>
      </w:r>
      <w:r>
        <w:rPr/>
        <w:t>）肝性脑病；</w:t>
      </w:r>
    </w:p>
    <w:p>
      <w:pPr>
        <w:pStyle w:val="BodyText"/>
        <w:spacing w:line="282" w:lineRule="exact"/>
        <w:ind w:left="173"/>
      </w:pPr>
      <w:r>
        <w:rPr/>
        <w:t>（</w:t>
      </w:r>
      <w:r>
        <w:rPr>
          <w:rFonts w:ascii="Times New Roman" w:eastAsia="Times New Roman"/>
        </w:rPr>
        <w:t>4</w:t>
      </w:r>
      <w:r>
        <w:rPr/>
        <w:t>）充血性脾大伴脾功能亢进或食管胃底静脉曲张。</w:t>
      </w:r>
    </w:p>
    <w:p>
      <w:pPr>
        <w:pStyle w:val="BodyText"/>
        <w:rPr>
          <w:sz w:val="17"/>
        </w:rPr>
      </w:pPr>
    </w:p>
    <w:p>
      <w:pPr>
        <w:pStyle w:val="BodyText"/>
        <w:ind w:left="173"/>
      </w:pPr>
      <w:r>
        <w:rPr/>
        <w:t>因酗酒或药物滥用导致的肝功能衰竭不在保障范围内。</w:t>
      </w:r>
    </w:p>
    <w:p>
      <w:pPr>
        <w:spacing w:after="0"/>
        <w:sectPr>
          <w:type w:val="continuous"/>
          <w:pgSz w:w="11900" w:h="16840"/>
          <w:pgMar w:top="1220" w:bottom="280" w:left="1680" w:right="980"/>
          <w:cols w:num="2" w:equalWidth="0">
            <w:col w:w="2055" w:space="40"/>
            <w:col w:w="7145"/>
          </w:cols>
        </w:sectPr>
      </w:pPr>
    </w:p>
    <w:p>
      <w:pPr>
        <w:pStyle w:val="BodyText"/>
        <w:spacing w:before="1"/>
        <w:rPr>
          <w:sz w:val="15"/>
        </w:rPr>
      </w:pPr>
    </w:p>
    <w:p>
      <w:pPr>
        <w:spacing w:after="0"/>
        <w:rPr>
          <w:sz w:val="15"/>
        </w:rPr>
        <w:sectPr>
          <w:type w:val="continuous"/>
          <w:pgSz w:w="11900" w:h="16840"/>
          <w:pgMar w:top="1220" w:bottom="280" w:left="1680" w:right="980"/>
        </w:sectPr>
      </w:pPr>
    </w:p>
    <w:p>
      <w:pPr>
        <w:pStyle w:val="ListParagraph"/>
        <w:numPr>
          <w:ilvl w:val="0"/>
          <w:numId w:val="10"/>
        </w:numPr>
        <w:tabs>
          <w:tab w:pos="874" w:val="left" w:leader="none"/>
        </w:tabs>
        <w:spacing w:line="230" w:lineRule="auto" w:before="58" w:after="0"/>
        <w:ind w:left="590" w:right="0" w:hanging="2"/>
        <w:jc w:val="both"/>
        <w:rPr>
          <w:sz w:val="21"/>
        </w:rPr>
      </w:pPr>
      <w:r>
        <w:rPr>
          <w:spacing w:val="23"/>
          <w:sz w:val="21"/>
        </w:rPr>
        <w:t>脑炎后遗症</w:t>
      </w:r>
      <w:r>
        <w:rPr>
          <w:spacing w:val="-30"/>
          <w:sz w:val="21"/>
        </w:rPr>
        <w:t>或 脑 膜 炎 后 遗症</w:t>
      </w:r>
    </w:p>
    <w:p>
      <w:pPr>
        <w:pStyle w:val="BodyText"/>
        <w:spacing w:line="237" w:lineRule="auto" w:before="46"/>
        <w:ind w:left="171"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3" w:lineRule="auto" w:before="11"/>
        <w:ind w:left="171" w:right="22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80" w:right="980"/>
          <w:cols w:num="2" w:equalWidth="0">
            <w:col w:w="2057" w:space="40"/>
            <w:col w:w="7143"/>
          </w:cols>
        </w:sectPr>
      </w:pPr>
    </w:p>
    <w:p>
      <w:pPr>
        <w:pStyle w:val="BodyText"/>
        <w:spacing w:before="1"/>
        <w:rPr>
          <w:sz w:val="15"/>
        </w:rPr>
      </w:pPr>
    </w:p>
    <w:p>
      <w:pPr>
        <w:pStyle w:val="BodyText"/>
        <w:spacing w:line="223" w:lineRule="auto" w:before="66"/>
        <w:ind w:left="2267" w:right="221" w:hanging="1680"/>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13"/>
        <w:rPr>
          <w:sz w:val="16"/>
        </w:rPr>
      </w:pPr>
    </w:p>
    <w:p>
      <w:pPr>
        <w:pStyle w:val="BodyText"/>
        <w:ind w:left="2268"/>
      </w:pPr>
      <w:r>
        <w:rPr/>
        <w:t>因酗酒或药物滥用导致的深度昏迷不在保障范围内。</w:t>
      </w:r>
    </w:p>
    <w:p>
      <w:pPr>
        <w:pStyle w:val="BodyText"/>
        <w:spacing w:before="2"/>
        <w:rPr>
          <w:sz w:val="20"/>
        </w:rPr>
      </w:pPr>
    </w:p>
    <w:p>
      <w:pPr>
        <w:pStyle w:val="BodyText"/>
        <w:spacing w:line="223" w:lineRule="auto"/>
        <w:ind w:left="2267" w:right="221" w:hanging="1680"/>
        <w:jc w:val="both"/>
      </w:pPr>
      <w:r>
        <w:rPr>
          <w:rFonts w:ascii="Times New Roman" w:eastAsia="Times New Roman"/>
          <w:b/>
        </w:rPr>
        <w:t>13.</w:t>
      </w:r>
      <w:r>
        <w:rPr>
          <w:spacing w:val="-3"/>
        </w:rPr>
        <w:t>双耳失聪    指因疾病或意外伤害导致双耳听力永久不可逆</w:t>
      </w:r>
      <w:r>
        <w:rPr/>
        <w:t>（</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12"/>
        <w:rPr>
          <w:sz w:val="19"/>
        </w:rPr>
      </w:pPr>
    </w:p>
    <w:p>
      <w:pPr>
        <w:pStyle w:val="BodyText"/>
        <w:spacing w:line="223" w:lineRule="auto"/>
        <w:ind w:left="2268" w:right="169"/>
      </w:pPr>
      <w:r>
        <w:rPr/>
        <w:t>申请理赔时被保险人年龄必须在 </w:t>
      </w:r>
      <w:r>
        <w:rPr>
          <w:rFonts w:ascii="Times New Roman" w:eastAsia="Times New Roman"/>
        </w:rPr>
        <w:t>3 </w:t>
      </w:r>
      <w:r>
        <w:rPr/>
        <w:t>周岁以上，并且提供理赔当时的听力丧失诊断及检查证明。</w:t>
      </w:r>
    </w:p>
    <w:p>
      <w:pPr>
        <w:pStyle w:val="BodyText"/>
        <w:spacing w:before="4"/>
        <w:rPr>
          <w:sz w:val="20"/>
        </w:rPr>
      </w:pPr>
    </w:p>
    <w:p>
      <w:pPr>
        <w:pStyle w:val="BodyText"/>
        <w:spacing w:line="220" w:lineRule="auto"/>
        <w:ind w:left="2267" w:right="223" w:hanging="1680"/>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89" w:lineRule="exact"/>
        <w:ind w:left="2267"/>
      </w:pPr>
      <w:r>
        <w:rPr/>
        <w:t>（</w:t>
      </w:r>
      <w:r>
        <w:rPr>
          <w:rFonts w:ascii="Times New Roman" w:eastAsia="Times New Roman"/>
        </w:rPr>
        <w:t>1</w:t>
      </w:r>
      <w:r>
        <w:rPr/>
        <w:t>）眼球缺失或摘除；</w:t>
      </w:r>
    </w:p>
    <w:p>
      <w:pPr>
        <w:spacing w:after="0" w:line="289" w:lineRule="exact"/>
        <w:sectPr>
          <w:type w:val="continuous"/>
          <w:pgSz w:w="11900" w:h="16840"/>
          <w:pgMar w:top="1220" w:bottom="280" w:left="1680" w:right="980"/>
        </w:sectPr>
      </w:pPr>
    </w:p>
    <w:p>
      <w:pPr>
        <w:pStyle w:val="BodyText"/>
        <w:spacing w:line="223" w:lineRule="auto" w:before="47"/>
        <w:ind w:left="2268" w:right="103"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spacing w:before="4"/>
        <w:rPr>
          <w:sz w:val="18"/>
        </w:rPr>
      </w:pPr>
    </w:p>
    <w:p>
      <w:pPr>
        <w:pStyle w:val="BodyText"/>
        <w:spacing w:line="225" w:lineRule="auto" w:before="1"/>
        <w:ind w:left="2268" w:right="49"/>
      </w:pPr>
      <w:r>
        <w:rPr/>
        <w:t>申请理赔时被保险人年龄必须在 </w:t>
      </w:r>
      <w:r>
        <w:rPr>
          <w:rFonts w:ascii="Times New Roman" w:eastAsia="Times New Roman"/>
        </w:rPr>
        <w:t>3 </w:t>
      </w:r>
      <w:r>
        <w:rPr/>
        <w:t>周岁以上，并且提供理赔当时的视力丧失诊断及检查证明。</w:t>
      </w:r>
    </w:p>
    <w:p>
      <w:pPr>
        <w:pStyle w:val="BodyText"/>
        <w:spacing w:before="10"/>
        <w:rPr>
          <w:sz w:val="19"/>
        </w:rPr>
      </w:pPr>
    </w:p>
    <w:p>
      <w:pPr>
        <w:pStyle w:val="BodyText"/>
        <w:spacing w:line="225" w:lineRule="auto"/>
        <w:ind w:left="2267" w:right="101" w:hanging="1680"/>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24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心脏瓣膜手术</w:t>
      </w:r>
    </w:p>
    <w:p>
      <w:pPr>
        <w:pStyle w:val="BodyText"/>
        <w:spacing w:before="43"/>
        <w:ind w:left="173"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2055" w:space="40"/>
            <w:col w:w="7025"/>
          </w:cols>
        </w:sectPr>
      </w:pPr>
    </w:p>
    <w:p>
      <w:pPr>
        <w:pStyle w:val="BodyText"/>
        <w:spacing w:before="9"/>
        <w:rPr>
          <w:sz w:val="14"/>
        </w:rPr>
      </w:pPr>
    </w:p>
    <w:p>
      <w:pPr>
        <w:spacing w:after="0"/>
        <w:rPr>
          <w:sz w:val="14"/>
        </w:rPr>
        <w:sectPr>
          <w:type w:val="continuous"/>
          <w:pgSz w:w="11900" w:h="16840"/>
          <w:pgMar w:top="1220" w:bottom="280" w:left="1680" w:right="1100"/>
        </w:sectPr>
      </w:pPr>
    </w:p>
    <w:p>
      <w:pPr>
        <w:pStyle w:val="ListParagraph"/>
        <w:numPr>
          <w:ilvl w:val="0"/>
          <w:numId w:val="11"/>
        </w:numPr>
        <w:tabs>
          <w:tab w:pos="884" w:val="left" w:leader="none"/>
        </w:tabs>
        <w:spacing w:line="225" w:lineRule="auto" w:before="63" w:after="0"/>
        <w:ind w:left="590" w:right="0" w:hanging="2"/>
        <w:jc w:val="left"/>
        <w:rPr>
          <w:sz w:val="21"/>
        </w:rPr>
      </w:pPr>
      <w:r>
        <w:rPr>
          <w:spacing w:val="20"/>
          <w:sz w:val="21"/>
        </w:rPr>
        <w:t>严重阿尔茨海默病</w:t>
      </w:r>
    </w:p>
    <w:p>
      <w:pPr>
        <w:pStyle w:val="BodyText"/>
        <w:spacing w:line="232" w:lineRule="auto" w:before="52"/>
        <w:ind w:left="173"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5"/>
        <w:rPr>
          <w:sz w:val="18"/>
        </w:rPr>
      </w:pPr>
    </w:p>
    <w:p>
      <w:pPr>
        <w:pStyle w:val="BodyText"/>
        <w:ind w:left="173"/>
        <w:jc w:val="both"/>
      </w:pPr>
      <w:r>
        <w:rPr/>
        <w:t>神经官能症和精神病不在保障范围内。</w:t>
      </w:r>
    </w:p>
    <w:p>
      <w:pPr>
        <w:spacing w:after="0"/>
        <w:jc w:val="both"/>
        <w:sectPr>
          <w:type w:val="continuous"/>
          <w:pgSz w:w="11900" w:h="16840"/>
          <w:pgMar w:top="1220" w:bottom="280" w:left="1680" w:right="1100"/>
          <w:cols w:num="2" w:equalWidth="0">
            <w:col w:w="2055" w:space="40"/>
            <w:col w:w="7025"/>
          </w:cols>
        </w:sectPr>
      </w:pPr>
    </w:p>
    <w:p>
      <w:pPr>
        <w:pStyle w:val="BodyText"/>
        <w:spacing w:before="12"/>
        <w:rPr>
          <w:sz w:val="14"/>
        </w:rPr>
      </w:pPr>
    </w:p>
    <w:p>
      <w:pPr>
        <w:pStyle w:val="BodyText"/>
        <w:spacing w:line="225" w:lineRule="auto" w:before="63"/>
        <w:ind w:left="2267" w:right="101" w:hanging="1680"/>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5" w:lineRule="exact"/>
        <w:ind w:left="2268"/>
      </w:pPr>
      <w:r>
        <w:rPr/>
        <w:t>（</w:t>
      </w:r>
      <w:r>
        <w:rPr>
          <w:rFonts w:ascii="Times New Roman" w:eastAsia="Times New Roman"/>
        </w:rPr>
        <w:t>1</w:t>
      </w:r>
      <w:r>
        <w:rPr/>
        <w:t>）一肢或一肢以上肢体机能完全丧失；</w:t>
      </w:r>
    </w:p>
    <w:p>
      <w:pPr>
        <w:pStyle w:val="BodyText"/>
        <w:spacing w:line="272" w:lineRule="exact"/>
        <w:ind w:left="2267"/>
      </w:pPr>
      <w:r>
        <w:rPr/>
        <w:t>（</w:t>
      </w:r>
      <w:r>
        <w:rPr>
          <w:rFonts w:ascii="Times New Roman" w:eastAsia="Times New Roman"/>
        </w:rPr>
        <w:t>2</w:t>
      </w:r>
      <w:r>
        <w:rPr/>
        <w:t>）语言能力或咀嚼吞咽能力完全丧失；</w:t>
      </w:r>
    </w:p>
    <w:p>
      <w:pPr>
        <w:pStyle w:val="BodyText"/>
        <w:spacing w:line="225" w:lineRule="auto" w:before="7"/>
        <w:ind w:left="2267" w:right="10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1"/>
        <w:rPr>
          <w:sz w:val="14"/>
        </w:rPr>
      </w:pPr>
    </w:p>
    <w:p>
      <w:pPr>
        <w:spacing w:after="0"/>
        <w:rPr>
          <w:sz w:val="14"/>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严重帕金森病</w:t>
      </w:r>
    </w:p>
    <w:p>
      <w:pPr>
        <w:pStyle w:val="BodyText"/>
        <w:spacing w:before="44"/>
        <w:ind w:left="173" w:right="103"/>
      </w:pPr>
      <w:r>
        <w:rPr/>
        <w:br w:type="column"/>
      </w:r>
      <w:r>
        <w:rPr/>
        <w:t>是一种中枢神经系统的退行性疾病，临床表现为震颤麻痹、共济失调等。须满足下列全部条件：</w:t>
      </w:r>
    </w:p>
    <w:p>
      <w:pPr>
        <w:pStyle w:val="BodyText"/>
        <w:spacing w:line="281" w:lineRule="exact"/>
        <w:ind w:left="173"/>
      </w:pPr>
      <w:r>
        <w:rPr/>
        <w:t>（</w:t>
      </w:r>
      <w:r>
        <w:rPr>
          <w:rFonts w:ascii="Times New Roman" w:eastAsia="Times New Roman"/>
        </w:rPr>
        <w:t>1</w:t>
      </w:r>
      <w:r>
        <w:rPr/>
        <w:t>）药物治疗无法控制病情；</w:t>
      </w:r>
    </w:p>
    <w:p>
      <w:pPr>
        <w:pStyle w:val="BodyText"/>
        <w:spacing w:line="223" w:lineRule="auto" w:before="11"/>
        <w:ind w:left="173" w:right="10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5"/>
        <w:rPr>
          <w:sz w:val="18"/>
        </w:rPr>
      </w:pPr>
    </w:p>
    <w:p>
      <w:pPr>
        <w:pStyle w:val="BodyText"/>
        <w:ind w:left="173"/>
      </w:pPr>
      <w:r>
        <w:rPr/>
        <w:t>继发性帕金森综合症不在保障范围内。</w:t>
      </w:r>
    </w:p>
    <w:p>
      <w:pPr>
        <w:spacing w:after="0"/>
        <w:sectPr>
          <w:type w:val="continuous"/>
          <w:pgSz w:w="11900" w:h="16840"/>
          <w:pgMar w:top="1220" w:bottom="280" w:left="1680" w:right="1100"/>
          <w:cols w:num="2" w:equalWidth="0">
            <w:col w:w="2055" w:space="40"/>
            <w:col w:w="7025"/>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z w:val="21"/>
        </w:rPr>
        <w:t>严重Ⅲ 度烧伤</w:t>
      </w:r>
    </w:p>
    <w:p>
      <w:pPr>
        <w:pStyle w:val="BodyText"/>
        <w:spacing w:line="225" w:lineRule="auto" w:before="61"/>
        <w:ind w:left="173" w:right="10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 《中国新九分法》计算。</w:t>
      </w:r>
    </w:p>
    <w:p>
      <w:pPr>
        <w:spacing w:after="0" w:line="225" w:lineRule="auto"/>
        <w:sectPr>
          <w:type w:val="continuous"/>
          <w:pgSz w:w="11900" w:h="16840"/>
          <w:pgMar w:top="1220" w:bottom="280" w:left="1680" w:right="1100"/>
          <w:cols w:num="2" w:equalWidth="0">
            <w:col w:w="2055" w:space="40"/>
            <w:col w:w="7025"/>
          </w:cols>
        </w:sectPr>
      </w:pPr>
    </w:p>
    <w:p>
      <w:pPr>
        <w:pStyle w:val="BodyText"/>
        <w:spacing w:before="9"/>
        <w:rPr>
          <w:sz w:val="14"/>
        </w:rPr>
      </w:pPr>
    </w:p>
    <w:p>
      <w:pPr>
        <w:spacing w:after="0"/>
        <w:rPr>
          <w:sz w:val="14"/>
        </w:rPr>
        <w:sectPr>
          <w:type w:val="continuous"/>
          <w:pgSz w:w="11900" w:h="16840"/>
          <w:pgMar w:top="1220" w:bottom="280" w:left="1680" w:right="1100"/>
        </w:sectPr>
      </w:pPr>
    </w:p>
    <w:p>
      <w:pPr>
        <w:pStyle w:val="ListParagraph"/>
        <w:numPr>
          <w:ilvl w:val="0"/>
          <w:numId w:val="12"/>
        </w:numPr>
        <w:tabs>
          <w:tab w:pos="968" w:val="left" w:leader="none"/>
        </w:tabs>
        <w:spacing w:line="225" w:lineRule="auto" w:before="63" w:after="0"/>
        <w:ind w:left="590" w:right="0" w:hanging="2"/>
        <w:jc w:val="left"/>
        <w:rPr>
          <w:sz w:val="21"/>
        </w:rPr>
      </w:pPr>
      <w:r>
        <w:rPr>
          <w:spacing w:val="3"/>
          <w:sz w:val="21"/>
        </w:rPr>
        <w:t>严重原发性</w:t>
      </w:r>
      <w:r>
        <w:rPr>
          <w:sz w:val="21"/>
        </w:rPr>
        <w:t>肺动脉高压</w:t>
      </w:r>
    </w:p>
    <w:p>
      <w:pPr>
        <w:pStyle w:val="BodyText"/>
        <w:spacing w:before="43"/>
        <w:ind w:left="171"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jc w:val="both"/>
        <w:sectPr>
          <w:type w:val="continuous"/>
          <w:pgSz w:w="11900" w:h="16840"/>
          <w:pgMar w:top="1220" w:bottom="280" w:left="1680" w:right="1100"/>
          <w:cols w:num="2" w:equalWidth="0">
            <w:col w:w="2057" w:space="40"/>
            <w:col w:w="7023"/>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严重运动神经元病</w:t>
      </w:r>
    </w:p>
    <w:p>
      <w:pPr>
        <w:pStyle w:val="BodyText"/>
        <w:spacing w:line="237" w:lineRule="auto" w:before="45"/>
        <w:ind w:left="173"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2055" w:space="40"/>
            <w:col w:w="7025"/>
          </w:cols>
        </w:sectPr>
      </w:pPr>
    </w:p>
    <w:p>
      <w:pPr>
        <w:pStyle w:val="BodyText"/>
        <w:spacing w:before="11"/>
        <w:rPr>
          <w:sz w:val="14"/>
        </w:rPr>
      </w:pPr>
    </w:p>
    <w:p>
      <w:pPr>
        <w:spacing w:after="0"/>
        <w:rPr>
          <w:sz w:val="14"/>
        </w:rPr>
        <w:sectPr>
          <w:type w:val="continuous"/>
          <w:pgSz w:w="11900" w:h="16840"/>
          <w:pgMar w:top="1220" w:bottom="280" w:left="1680" w:right="1100"/>
        </w:sectPr>
      </w:pPr>
    </w:p>
    <w:p>
      <w:pPr>
        <w:pStyle w:val="ListParagraph"/>
        <w:numPr>
          <w:ilvl w:val="0"/>
          <w:numId w:val="12"/>
        </w:numPr>
        <w:tabs>
          <w:tab w:pos="884" w:val="left" w:leader="none"/>
        </w:tabs>
        <w:spacing w:line="225" w:lineRule="auto" w:before="63" w:after="0"/>
        <w:ind w:left="590" w:right="0" w:hanging="2"/>
        <w:jc w:val="left"/>
        <w:rPr>
          <w:sz w:val="21"/>
        </w:rPr>
      </w:pPr>
      <w:r>
        <w:rPr>
          <w:spacing w:val="20"/>
          <w:sz w:val="21"/>
        </w:rPr>
        <w:t>语言能力丧失</w:t>
      </w:r>
    </w:p>
    <w:p>
      <w:pPr>
        <w:pStyle w:val="BodyText"/>
        <w:spacing w:line="282" w:lineRule="exact" w:before="44"/>
        <w:ind w:left="173"/>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173"/>
      </w:pPr>
      <w:r>
        <w:rPr/>
        <w:t>（声带完全切除不受此时间限制），仍无法通过现有医疗手段恢复。</w:t>
      </w:r>
    </w:p>
    <w:p>
      <w:pPr>
        <w:spacing w:after="0" w:line="266" w:lineRule="exact"/>
        <w:sectPr>
          <w:type w:val="continuous"/>
          <w:pgSz w:w="11900" w:h="16840"/>
          <w:pgMar w:top="1220" w:bottom="280" w:left="1680" w:right="1100"/>
          <w:cols w:num="2" w:equalWidth="0">
            <w:col w:w="2055" w:space="40"/>
            <w:col w:w="7025"/>
          </w:cols>
        </w:sectPr>
      </w:pPr>
    </w:p>
    <w:p>
      <w:pPr>
        <w:pStyle w:val="BodyText"/>
        <w:spacing w:before="6"/>
        <w:ind w:left="2267"/>
      </w:pPr>
      <w:r>
        <w:rPr/>
        <w:t>精神心理因素所致的语言能力丧失不在保障范围内。</w:t>
      </w:r>
    </w:p>
    <w:p>
      <w:pPr>
        <w:pStyle w:val="BodyText"/>
        <w:spacing w:before="6"/>
        <w:rPr>
          <w:sz w:val="19"/>
        </w:rPr>
      </w:pPr>
    </w:p>
    <w:p>
      <w:pPr>
        <w:pStyle w:val="BodyText"/>
        <w:spacing w:line="225" w:lineRule="auto" w:before="1"/>
        <w:ind w:left="2267" w:right="50"/>
      </w:pPr>
      <w:r>
        <w:rPr/>
        <w:t>申请理赔时被保险人年龄必须在 </w:t>
      </w:r>
      <w:r>
        <w:rPr>
          <w:rFonts w:ascii="Times New Roman" w:eastAsia="Times New Roman"/>
        </w:rPr>
        <w:t>3 </w:t>
      </w:r>
      <w:r>
        <w:rPr/>
        <w:t>周岁以上，并且提供理赔当时的语言能力丧失诊断及检查证明。</w:t>
      </w:r>
    </w:p>
    <w:p>
      <w:pPr>
        <w:pStyle w:val="BodyText"/>
        <w:spacing w:before="2"/>
        <w:rPr>
          <w:sz w:val="15"/>
        </w:rPr>
      </w:pPr>
    </w:p>
    <w:p>
      <w:pPr>
        <w:spacing w:after="0"/>
        <w:rPr>
          <w:sz w:val="15"/>
        </w:rPr>
        <w:sectPr>
          <w:pgSz w:w="11900" w:h="16840"/>
          <w:pgMar w:top="1500" w:bottom="280" w:left="1680" w:right="1100"/>
        </w:sectPr>
      </w:pPr>
    </w:p>
    <w:p>
      <w:pPr>
        <w:pStyle w:val="ListParagraph"/>
        <w:numPr>
          <w:ilvl w:val="0"/>
          <w:numId w:val="12"/>
        </w:numPr>
        <w:tabs>
          <w:tab w:pos="884" w:val="left" w:leader="none"/>
        </w:tabs>
        <w:spacing w:line="223" w:lineRule="auto" w:before="65" w:after="0"/>
        <w:ind w:left="590" w:right="0" w:hanging="2"/>
        <w:jc w:val="left"/>
        <w:rPr>
          <w:sz w:val="21"/>
        </w:rPr>
      </w:pPr>
      <w:r>
        <w:rPr>
          <w:spacing w:val="20"/>
          <w:sz w:val="21"/>
        </w:rPr>
        <w:t>重型再生障</w:t>
      </w:r>
      <w:r>
        <w:rPr>
          <w:spacing w:val="8"/>
          <w:sz w:val="21"/>
        </w:rPr>
        <w:t>碍性贫血</w:t>
      </w:r>
    </w:p>
    <w:p>
      <w:pPr>
        <w:pStyle w:val="BodyText"/>
        <w:spacing w:line="237" w:lineRule="auto" w:before="45"/>
        <w:ind w:left="173" w:right="103"/>
      </w:pPr>
      <w:r>
        <w:rPr/>
        <w:br w:type="column"/>
      </w:r>
      <w:r>
        <w:rPr/>
        <w:t>指因骨髓造血功能慢性持续性衰竭导致的贫血、中性粒细胞减少及血小板减少。须满足以下全部条件：</w:t>
      </w:r>
    </w:p>
    <w:p>
      <w:pPr>
        <w:pStyle w:val="BodyText"/>
        <w:spacing w:line="281" w:lineRule="exact"/>
        <w:ind w:left="173"/>
      </w:pPr>
      <w:r>
        <w:rPr/>
        <w:t>（</w:t>
      </w:r>
      <w:r>
        <w:rPr>
          <w:rFonts w:ascii="Times New Roman" w:eastAsia="Times New Roman"/>
        </w:rPr>
        <w:t>1</w:t>
      </w:r>
      <w:r>
        <w:rPr/>
        <w:t>）骨髓穿刺检查或骨髓活检结果支持诊断；</w:t>
      </w:r>
    </w:p>
    <w:p>
      <w:pPr>
        <w:pStyle w:val="BodyText"/>
        <w:spacing w:line="274" w:lineRule="exact"/>
        <w:ind w:left="173"/>
      </w:pPr>
      <w:r>
        <w:rPr/>
        <w:t>（</w:t>
      </w:r>
      <w:r>
        <w:rPr>
          <w:rFonts w:ascii="Times New Roman" w:eastAsia="Times New Roman"/>
        </w:rPr>
        <w:t>2</w:t>
      </w:r>
      <w:r>
        <w:rPr/>
        <w:t>）外周血象必须具备以下三项条件：</w:t>
      </w:r>
    </w:p>
    <w:p>
      <w:pPr>
        <w:pStyle w:val="BodyText"/>
        <w:spacing w:line="272" w:lineRule="exact"/>
        <w:ind w:left="699"/>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2" w:lineRule="exact"/>
        <w:ind w:left="699"/>
      </w:pPr>
      <w:r>
        <w:rPr/>
        <w:t>② 网织红细胞＜</w:t>
      </w:r>
      <w:r>
        <w:rPr>
          <w:rFonts w:ascii="Times New Roman" w:hAnsi="Times New Roman" w:eastAsia="Times New Roman"/>
        </w:rPr>
        <w:t>1%</w:t>
      </w:r>
      <w:r>
        <w:rPr/>
        <w:t>；</w:t>
      </w:r>
    </w:p>
    <w:p>
      <w:pPr>
        <w:pStyle w:val="BodyText"/>
        <w:spacing w:line="282" w:lineRule="exact"/>
        <w:ind w:left="699"/>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10"/>
        <w:rPr>
          <w:sz w:val="13"/>
        </w:rPr>
      </w:pPr>
    </w:p>
    <w:p>
      <w:pPr>
        <w:pStyle w:val="BodyText"/>
        <w:spacing w:line="230" w:lineRule="auto" w:before="57"/>
        <w:ind w:left="2267" w:right="103" w:hanging="1680"/>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ind w:left="226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13"/>
        </w:numPr>
        <w:tabs>
          <w:tab w:pos="884" w:val="left" w:leader="none"/>
        </w:tabs>
        <w:spacing w:line="225" w:lineRule="auto" w:before="62" w:after="0"/>
        <w:ind w:left="590" w:right="0" w:hanging="2"/>
        <w:jc w:val="left"/>
        <w:rPr>
          <w:sz w:val="21"/>
        </w:rPr>
      </w:pPr>
      <w:r>
        <w:rPr>
          <w:spacing w:val="20"/>
          <w:sz w:val="21"/>
        </w:rPr>
        <w:t>多发性硬化症</w:t>
      </w:r>
    </w:p>
    <w:p>
      <w:pPr>
        <w:pStyle w:val="BodyText"/>
        <w:spacing w:line="232" w:lineRule="auto" w:before="51"/>
        <w:ind w:left="173" w:right="103"/>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rPr>
          <w:sz w:val="17"/>
        </w:rPr>
      </w:pPr>
    </w:p>
    <w:p>
      <w:pPr>
        <w:pStyle w:val="BodyText"/>
        <w:spacing w:line="274" w:lineRule="exact"/>
        <w:ind w:left="173"/>
        <w:jc w:val="both"/>
      </w:pPr>
      <w:r>
        <w:rPr/>
        <w:t>由神经科专家提供确诊必须包含下列内容：</w:t>
      </w:r>
    </w:p>
    <w:p>
      <w:pPr>
        <w:pStyle w:val="BodyText"/>
        <w:spacing w:line="282" w:lineRule="exact"/>
        <w:ind w:left="173"/>
        <w:jc w:val="both"/>
      </w:pPr>
      <w:r>
        <w:rPr/>
        <w:t>（</w:t>
      </w:r>
      <w:r>
        <w:rPr>
          <w:rFonts w:ascii="Times New Roman" w:eastAsia="Times New Roman"/>
        </w:rPr>
        <w:t>1</w:t>
      </w:r>
      <w:r>
        <w:rPr/>
        <w:t>）明确出现因视神经、脑干或脊髓损伤而导致的临床表现；</w:t>
      </w:r>
    </w:p>
    <w:p>
      <w:pPr>
        <w:pStyle w:val="BodyText"/>
        <w:spacing w:line="272" w:lineRule="exact"/>
        <w:ind w:left="173"/>
        <w:jc w:val="both"/>
      </w:pPr>
      <w:r>
        <w:rPr/>
        <w:t>（</w:t>
      </w:r>
      <w:r>
        <w:rPr>
          <w:rFonts w:ascii="Times New Roman" w:eastAsia="Times New Roman"/>
        </w:rPr>
        <w:t>2</w:t>
      </w:r>
      <w:r>
        <w:rPr/>
        <w:t>）散在的身体损伤的多样性；</w:t>
      </w:r>
    </w:p>
    <w:p>
      <w:pPr>
        <w:pStyle w:val="BodyText"/>
        <w:spacing w:line="281" w:lineRule="exact"/>
        <w:ind w:left="173"/>
        <w:jc w:val="both"/>
      </w:pPr>
      <w:r>
        <w:rPr/>
        <w:t>（</w:t>
      </w:r>
      <w:r>
        <w:rPr>
          <w:rFonts w:ascii="Times New Roman" w:eastAsia="Times New Roman"/>
        </w:rPr>
        <w:t>3</w:t>
      </w:r>
      <w:r>
        <w:rPr/>
        <w:t>）有明确的上述症状及神经损伤反复恶化与减轻的病史记录。</w:t>
      </w:r>
    </w:p>
    <w:p>
      <w:pPr>
        <w:spacing w:after="0" w:line="281" w:lineRule="exact"/>
        <w:jc w:val="both"/>
        <w:sectPr>
          <w:type w:val="continuous"/>
          <w:pgSz w:w="11900" w:h="16840"/>
          <w:pgMar w:top="1220" w:bottom="280" w:left="1680" w:right="1100"/>
          <w:cols w:num="2" w:equalWidth="0">
            <w:col w:w="2055" w:space="40"/>
            <w:col w:w="7025"/>
          </w:cols>
        </w:sectPr>
      </w:pPr>
    </w:p>
    <w:p>
      <w:pPr>
        <w:pStyle w:val="BodyText"/>
        <w:spacing w:before="12"/>
        <w:rPr>
          <w:sz w:val="13"/>
        </w:rPr>
      </w:pPr>
    </w:p>
    <w:p>
      <w:pPr>
        <w:spacing w:after="0"/>
        <w:rPr>
          <w:sz w:val="13"/>
        </w:rPr>
        <w:sectPr>
          <w:type w:val="continuous"/>
          <w:pgSz w:w="11900" w:h="16840"/>
          <w:pgMar w:top="1220" w:bottom="280" w:left="1680" w:right="1100"/>
        </w:sectPr>
      </w:pPr>
    </w:p>
    <w:p>
      <w:pPr>
        <w:pStyle w:val="ListParagraph"/>
        <w:numPr>
          <w:ilvl w:val="0"/>
          <w:numId w:val="13"/>
        </w:numPr>
        <w:tabs>
          <w:tab w:pos="884" w:val="left" w:leader="none"/>
        </w:tabs>
        <w:spacing w:line="230" w:lineRule="auto" w:before="57" w:after="0"/>
        <w:ind w:left="590" w:right="0" w:hanging="2"/>
        <w:jc w:val="both"/>
        <w:rPr>
          <w:sz w:val="21"/>
        </w:rPr>
      </w:pPr>
      <w:r>
        <w:rPr>
          <w:spacing w:val="20"/>
          <w:sz w:val="21"/>
        </w:rPr>
        <w:t>胰岛素依赖</w:t>
      </w:r>
      <w:r>
        <w:rPr>
          <w:spacing w:val="6"/>
          <w:sz w:val="21"/>
        </w:rPr>
        <w:t>型糖尿病</w:t>
      </w:r>
      <w:r>
        <w:rPr>
          <w:sz w:val="21"/>
        </w:rPr>
        <w:t>（Ⅰ型</w:t>
      </w:r>
      <w:r>
        <w:rPr>
          <w:spacing w:val="-1"/>
          <w:sz w:val="21"/>
        </w:rPr>
        <w:t>糖尿病</w:t>
      </w:r>
      <w:r>
        <w:rPr>
          <w:sz w:val="21"/>
        </w:rPr>
        <w:t>）</w:t>
      </w:r>
    </w:p>
    <w:p>
      <w:pPr>
        <w:pStyle w:val="BodyText"/>
        <w:spacing w:line="232" w:lineRule="auto" w:before="51"/>
        <w:ind w:left="171"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80" w:lineRule="exact"/>
        <w:ind w:left="171"/>
        <w:jc w:val="both"/>
      </w:pPr>
      <w:r>
        <w:rPr/>
        <w:t>（</w:t>
      </w:r>
      <w:r>
        <w:rPr>
          <w:rFonts w:ascii="Times New Roman" w:eastAsia="Times New Roman"/>
        </w:rPr>
        <w:t>1</w:t>
      </w:r>
      <w:r>
        <w:rPr/>
        <w:t>）已出现增殖性视网膜病变；</w:t>
      </w:r>
    </w:p>
    <w:p>
      <w:pPr>
        <w:pStyle w:val="BodyText"/>
        <w:spacing w:line="272" w:lineRule="exact"/>
        <w:ind w:left="171"/>
        <w:jc w:val="both"/>
      </w:pPr>
      <w:r>
        <w:rPr/>
        <w:t>（</w:t>
      </w:r>
      <w:r>
        <w:rPr>
          <w:rFonts w:ascii="Times New Roman" w:eastAsia="Times New Roman"/>
        </w:rPr>
        <w:t>2</w:t>
      </w:r>
      <w:r>
        <w:rPr/>
        <w:t>）须植入心脏起搏器治疗心脏病；</w:t>
      </w:r>
    </w:p>
    <w:p>
      <w:pPr>
        <w:pStyle w:val="BodyText"/>
        <w:spacing w:line="282" w:lineRule="exact"/>
        <w:ind w:left="171"/>
        <w:jc w:val="both"/>
      </w:pPr>
      <w:r>
        <w:rPr/>
        <w:t>（</w:t>
      </w:r>
      <w:r>
        <w:rPr>
          <w:rFonts w:ascii="Times New Roman" w:eastAsia="Times New Roman"/>
        </w:rPr>
        <w:t>3</w:t>
      </w:r>
      <w:r>
        <w:rPr/>
        <w:t>）因坏疽需切除一只或以上脚趾。</w:t>
      </w:r>
    </w:p>
    <w:p>
      <w:pPr>
        <w:spacing w:after="0" w:line="282" w:lineRule="exact"/>
        <w:jc w:val="both"/>
        <w:sectPr>
          <w:type w:val="continuous"/>
          <w:pgSz w:w="11900" w:h="16840"/>
          <w:pgMar w:top="1220" w:bottom="280" w:left="1680" w:right="1100"/>
          <w:cols w:num="2" w:equalWidth="0">
            <w:col w:w="2057" w:space="40"/>
            <w:col w:w="7023"/>
          </w:cols>
        </w:sectPr>
      </w:pPr>
    </w:p>
    <w:p>
      <w:pPr>
        <w:pStyle w:val="BodyText"/>
        <w:spacing w:before="10"/>
        <w:rPr>
          <w:sz w:val="13"/>
        </w:rPr>
      </w:pPr>
    </w:p>
    <w:p>
      <w:pPr>
        <w:spacing w:after="0"/>
        <w:rPr>
          <w:sz w:val="13"/>
        </w:rPr>
        <w:sectPr>
          <w:type w:val="continuous"/>
          <w:pgSz w:w="11900" w:h="16840"/>
          <w:pgMar w:top="1220" w:bottom="280" w:left="1680" w:right="1100"/>
        </w:sectPr>
      </w:pPr>
    </w:p>
    <w:p>
      <w:pPr>
        <w:pStyle w:val="ListParagraph"/>
        <w:numPr>
          <w:ilvl w:val="0"/>
          <w:numId w:val="13"/>
        </w:numPr>
        <w:tabs>
          <w:tab w:pos="884" w:val="left" w:leader="none"/>
        </w:tabs>
        <w:spacing w:line="225" w:lineRule="auto" w:before="63" w:after="0"/>
        <w:ind w:left="590" w:right="0" w:hanging="2"/>
        <w:jc w:val="left"/>
        <w:rPr>
          <w:sz w:val="21"/>
        </w:rPr>
      </w:pPr>
      <w:r>
        <w:rPr>
          <w:spacing w:val="20"/>
          <w:sz w:val="21"/>
        </w:rPr>
        <w:t>肺源性心脏病</w:t>
      </w:r>
    </w:p>
    <w:p>
      <w:pPr>
        <w:pStyle w:val="BodyText"/>
        <w:spacing w:line="274" w:lineRule="exact" w:before="43"/>
        <w:ind w:left="173"/>
      </w:pPr>
      <w:r>
        <w:rPr/>
        <w:br w:type="column"/>
      </w:r>
      <w:r>
        <w:rPr/>
        <w:t>由呼吸科医生确诊为肺源性心脏病，必须同时满足如下诊断标准：</w:t>
      </w:r>
    </w:p>
    <w:p>
      <w:pPr>
        <w:pStyle w:val="BodyText"/>
        <w:spacing w:line="282" w:lineRule="exact"/>
        <w:ind w:left="173"/>
      </w:pPr>
      <w:r>
        <w:rPr/>
        <w:t>（</w:t>
      </w:r>
      <w:r>
        <w:rPr>
          <w:rFonts w:ascii="Times New Roman" w:eastAsia="Times New Roman"/>
        </w:rPr>
        <w:t>1</w:t>
      </w:r>
      <w:r>
        <w:rPr/>
        <w:t>）左心房压力增高（不低于 </w:t>
      </w:r>
      <w:r>
        <w:rPr>
          <w:rFonts w:ascii="Times New Roman" w:eastAsia="Times New Roman"/>
        </w:rPr>
        <w:t>20 </w:t>
      </w:r>
      <w:r>
        <w:rPr/>
        <w:t>个单位）；</w:t>
      </w:r>
    </w:p>
    <w:p>
      <w:pPr>
        <w:pStyle w:val="BodyText"/>
        <w:spacing w:line="274" w:lineRule="exact"/>
        <w:ind w:left="173"/>
      </w:pPr>
      <w:r>
        <w:rPr/>
        <w:t>（</w:t>
      </w:r>
      <w:r>
        <w:rPr>
          <w:rFonts w:ascii="Times New Roman" w:eastAsia="Times New Roman"/>
        </w:rPr>
        <w:t>2</w:t>
      </w:r>
      <w:r>
        <w:rPr/>
        <w:t>）肺血管阻力高于正常值 </w:t>
      </w:r>
      <w:r>
        <w:rPr>
          <w:rFonts w:ascii="Times New Roman" w:eastAsia="Times New Roman"/>
        </w:rPr>
        <w:t>3 </w:t>
      </w:r>
      <w:r>
        <w:rPr/>
        <w:t>个单位（</w:t>
      </w:r>
      <w:r>
        <w:rPr>
          <w:rFonts w:ascii="Times New Roman" w:eastAsia="Times New Roman"/>
        </w:rPr>
        <w:t>Pulmonary Resistance</w:t>
      </w:r>
      <w:r>
        <w:rPr/>
        <w:t>）；</w:t>
      </w:r>
    </w:p>
    <w:p>
      <w:pPr>
        <w:pStyle w:val="BodyText"/>
        <w:spacing w:line="272" w:lineRule="exact"/>
        <w:ind w:left="173"/>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line="272" w:lineRule="exact"/>
        <w:ind w:left="173"/>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line="274" w:lineRule="exact"/>
        <w:ind w:left="173"/>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line="282" w:lineRule="exact"/>
        <w:ind w:left="173"/>
      </w:pPr>
      <w:r>
        <w:rPr/>
        <w:t>（</w:t>
      </w:r>
      <w:r>
        <w:rPr>
          <w:rFonts w:ascii="Times New Roman" w:eastAsia="Times New Roman"/>
        </w:rPr>
        <w:t>6</w:t>
      </w:r>
      <w:r>
        <w:rPr/>
        <w:t>）右心室过度肥大、扩张，出现右心衰竭和呼吸困难。</w:t>
      </w:r>
    </w:p>
    <w:p>
      <w:pPr>
        <w:spacing w:after="0" w:line="282" w:lineRule="exact"/>
        <w:sectPr>
          <w:type w:val="continuous"/>
          <w:pgSz w:w="11900" w:h="16840"/>
          <w:pgMar w:top="1220" w:bottom="280" w:left="1680" w:right="1100"/>
          <w:cols w:num="2" w:equalWidth="0">
            <w:col w:w="2055" w:space="40"/>
            <w:col w:w="7025"/>
          </w:cols>
        </w:sectPr>
      </w:pPr>
    </w:p>
    <w:p>
      <w:pPr>
        <w:pStyle w:val="BodyText"/>
        <w:spacing w:before="9"/>
        <w:rPr>
          <w:sz w:val="13"/>
        </w:rPr>
      </w:pPr>
    </w:p>
    <w:p>
      <w:pPr>
        <w:pStyle w:val="BodyText"/>
        <w:spacing w:line="232" w:lineRule="auto" w:before="54"/>
        <w:ind w:left="2267" w:right="134" w:hanging="1680"/>
        <w:jc w:val="both"/>
      </w:pPr>
      <w:r>
        <w:rPr>
          <w:rFonts w:ascii="Times New Roman" w:eastAsia="Times New Roman"/>
          <w:b/>
        </w:rPr>
        <w:t>29.</w:t>
      </w:r>
      <w:r>
        <w:rPr>
          <w:spacing w:val="-4"/>
        </w:rPr>
        <w:t>脊髓灰质炎  是指被保险人被脊髓灰质炎病毒感染，因脊髓前角细胞或相应的脑干细胞受到破坏而引致的局部或广泛的肌肉无力为特征的疾病。疾病未导致不可</w:t>
      </w:r>
      <w:r>
        <w:rPr>
          <w:spacing w:val="-6"/>
        </w:rPr>
        <w:t>恢复的、永久性的麻痹者不在本保单保障范围内。诊断必须经神经专科医</w:t>
      </w:r>
      <w:r>
        <w:rPr>
          <w:spacing w:val="-5"/>
        </w:rPr>
        <w:t>生确诊为急性脊髓灰质炎病毒感染导致瘫痪，此种瘫痪必须有明显运动功</w:t>
      </w:r>
      <w:r>
        <w:rPr>
          <w:spacing w:val="-4"/>
        </w:rPr>
        <w:t>能损害或呼吸衰弱瘫痪，并且至少持续 </w:t>
      </w:r>
      <w:r>
        <w:rPr>
          <w:rFonts w:ascii="Times New Roman" w:eastAsia="Times New Roman"/>
        </w:rPr>
        <w:t>90 </w:t>
      </w:r>
      <w:r>
        <w:rPr>
          <w:spacing w:val="-3"/>
        </w:rPr>
        <w:t>天。必须有明确证据证明脊髓灰质炎病毒为病因。未引起瘫痪者保险公司不承担给付保险金的责任。</w:t>
      </w:r>
    </w:p>
    <w:p>
      <w:pPr>
        <w:spacing w:after="0" w:line="232" w:lineRule="auto"/>
        <w:jc w:val="both"/>
        <w:sectPr>
          <w:type w:val="continuous"/>
          <w:pgSz w:w="11900" w:h="16840"/>
          <w:pgMar w:top="1220" w:bottom="280" w:left="1680" w:right="1100"/>
        </w:sectPr>
      </w:pPr>
    </w:p>
    <w:p>
      <w:pPr>
        <w:pStyle w:val="BodyText"/>
        <w:spacing w:line="220" w:lineRule="auto" w:before="52"/>
        <w:ind w:left="2267" w:right="183" w:hanging="1680"/>
        <w:jc w:val="both"/>
      </w:pPr>
      <w:r>
        <w:rPr>
          <w:rFonts w:ascii="Times New Roman" w:eastAsia="Times New Roman"/>
          <w:b/>
        </w:rPr>
        <w:t>30.</w:t>
      </w:r>
      <w:r>
        <w:rPr>
          <w:spacing w:val="-3"/>
        </w:rPr>
        <w:t>终末期肺病  因终末期肺病而出现的慢性呼吸功能衰竭，其诊断须由呼吸科医生确认并同时符合以下标准：</w:t>
      </w:r>
    </w:p>
    <w:p>
      <w:pPr>
        <w:pStyle w:val="BodyText"/>
        <w:spacing w:line="281" w:lineRule="exact"/>
        <w:ind w:left="2267"/>
      </w:pPr>
      <w:r>
        <w:rPr/>
        <w:t>（</w:t>
      </w:r>
      <w:r>
        <w:rPr>
          <w:rFonts w:ascii="Times New Roman" w:eastAsia="Times New Roman"/>
        </w:rPr>
        <w:t>1</w:t>
      </w:r>
      <w:r>
        <w:rPr/>
        <w:t>）肺功能测试其第一秒钟末用力呼气量（</w:t>
      </w:r>
      <w:r>
        <w:rPr>
          <w:rFonts w:ascii="Times New Roman" w:eastAsia="Times New Roman"/>
        </w:rPr>
        <w:t>FEV1</w:t>
      </w:r>
      <w:r>
        <w:rPr/>
        <w:t>）持续低于 </w:t>
      </w:r>
      <w:r>
        <w:rPr>
          <w:rFonts w:ascii="Times New Roman" w:eastAsia="Times New Roman"/>
        </w:rPr>
        <w:t>1 </w:t>
      </w:r>
      <w:r>
        <w:rPr/>
        <w:t>升；</w:t>
      </w:r>
    </w:p>
    <w:p>
      <w:pPr>
        <w:pStyle w:val="BodyText"/>
        <w:spacing w:line="274" w:lineRule="exact"/>
        <w:ind w:left="2268"/>
      </w:pPr>
      <w:r>
        <w:rPr/>
        <w:t>（</w:t>
      </w:r>
      <w:r>
        <w:rPr>
          <w:rFonts w:ascii="Times New Roman" w:eastAsia="Times New Roman"/>
        </w:rPr>
        <w:t>2</w:t>
      </w:r>
      <w:r>
        <w:rPr/>
        <w:t>）病人缺氧必须持续地进行输氧治疗；</w:t>
      </w:r>
    </w:p>
    <w:p>
      <w:pPr>
        <w:pStyle w:val="BodyText"/>
        <w:spacing w:line="282" w:lineRule="exact"/>
        <w:ind w:left="2267"/>
      </w:pPr>
      <w:r>
        <w:rPr/>
        <w:t>（</w:t>
      </w:r>
      <w:r>
        <w:rPr>
          <w:rFonts w:ascii="Times New Roman" w:eastAsia="Times New Roman"/>
        </w:rPr>
        <w:t>3</w:t>
      </w:r>
      <w:r>
        <w:rPr/>
        <w:t>）动脉血气分析氧分压低于 </w:t>
      </w:r>
      <w:r>
        <w:rPr>
          <w:rFonts w:ascii="Times New Roman" w:eastAsia="Times New Roman"/>
        </w:rPr>
        <w:t>55mmHg</w:t>
      </w:r>
      <w:r>
        <w:rPr/>
        <w:t>；</w:t>
      </w:r>
    </w:p>
    <w:p>
      <w:pPr>
        <w:pStyle w:val="BodyText"/>
        <w:spacing w:before="1"/>
        <w:rPr>
          <w:sz w:val="18"/>
        </w:rPr>
      </w:pPr>
    </w:p>
    <w:p>
      <w:pPr>
        <w:pStyle w:val="BodyText"/>
        <w:spacing w:line="230" w:lineRule="auto"/>
        <w:ind w:left="2267" w:right="181" w:hanging="1680"/>
        <w:jc w:val="both"/>
      </w:pPr>
      <w:r>
        <w:rPr>
          <w:rFonts w:ascii="Times New Roman" w:eastAsia="Times New Roman"/>
          <w:b/>
        </w:rPr>
        <w:t>31.</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我们认可的医院</w:t>
      </w:r>
      <w:r>
        <w:rPr>
          <w:spacing w:val="-11"/>
        </w:rPr>
        <w:t>使用辅助机器维持生命。申请理赔需被保险人因植物人状态住院 </w:t>
      </w:r>
      <w:r>
        <w:rPr>
          <w:rFonts w:ascii="Times New Roman" w:eastAsia="Times New Roman"/>
        </w:rPr>
        <w:t>30 </w:t>
      </w:r>
      <w:r>
        <w:rPr>
          <w:spacing w:val="-2"/>
        </w:rPr>
        <w:t>天以上</w:t>
      </w:r>
      <w:r>
        <w:rPr>
          <w:spacing w:val="-3"/>
        </w:rPr>
        <w:t>并且必须有神经专科医生的医学诊断证明。</w:t>
      </w:r>
    </w:p>
    <w:p>
      <w:pPr>
        <w:pStyle w:val="BodyText"/>
        <w:spacing w:before="2"/>
        <w:rPr>
          <w:sz w:val="18"/>
        </w:rPr>
      </w:pPr>
    </w:p>
    <w:p>
      <w:pPr>
        <w:pStyle w:val="BodyText"/>
        <w:ind w:left="2268"/>
      </w:pPr>
      <w:r>
        <w:rPr/>
        <w:t>由于酗酒或滥用药物所致的植物人状态除外。</w:t>
      </w:r>
    </w:p>
    <w:p>
      <w:pPr>
        <w:pStyle w:val="BodyText"/>
        <w:rPr>
          <w:sz w:val="16"/>
        </w:rPr>
      </w:pPr>
    </w:p>
    <w:p>
      <w:pPr>
        <w:spacing w:after="0"/>
        <w:rPr>
          <w:sz w:val="16"/>
        </w:rPr>
        <w:sectPr>
          <w:pgSz w:w="11900" w:h="16840"/>
          <w:pgMar w:top="1240" w:bottom="280" w:left="1680" w:right="1020"/>
        </w:sectPr>
      </w:pPr>
    </w:p>
    <w:p>
      <w:pPr>
        <w:spacing w:line="230" w:lineRule="auto" w:before="57"/>
        <w:ind w:left="537" w:right="0" w:hanging="3"/>
        <w:jc w:val="left"/>
        <w:rPr>
          <w:sz w:val="21"/>
        </w:rPr>
      </w:pPr>
      <w:r>
        <w:rPr>
          <w:rFonts w:ascii="Times New Roman" w:eastAsia="Times New Roman"/>
          <w:b/>
          <w:sz w:val="21"/>
        </w:rPr>
        <w:t>32. </w:t>
      </w:r>
      <w:r>
        <w:rPr>
          <w:spacing w:val="-32"/>
          <w:sz w:val="21"/>
        </w:rPr>
        <w:t>慢 性 呼 吸 功能衰竭</w:t>
      </w:r>
    </w:p>
    <w:p>
      <w:pPr>
        <w:pStyle w:val="BodyText"/>
        <w:spacing w:line="242" w:lineRule="auto" w:before="43"/>
        <w:ind w:left="171" w:right="183"/>
      </w:pPr>
      <w:r>
        <w:rPr/>
        <w:br w:type="column"/>
      </w:r>
      <w:r>
        <w:rPr/>
        <w:t>慢性肺部疾病导致永久不可逆性的慢性呼吸功能衰竭。慢性呼吸功能衰竭必须明确诊断并满足下列全部条件：</w:t>
      </w:r>
    </w:p>
    <w:p>
      <w:pPr>
        <w:pStyle w:val="BodyText"/>
        <w:spacing w:line="286" w:lineRule="exact" w:before="3"/>
        <w:ind w:left="171"/>
      </w:pPr>
      <w:r>
        <w:rPr/>
        <w:t>（</w:t>
      </w:r>
      <w:r>
        <w:rPr>
          <w:rFonts w:ascii="Times New Roman" w:eastAsia="Times New Roman"/>
        </w:rPr>
        <w:t>1</w:t>
      </w:r>
      <w:r>
        <w:rPr/>
        <w:t>）休息时出现呼吸困难；</w:t>
      </w:r>
    </w:p>
    <w:p>
      <w:pPr>
        <w:pStyle w:val="BodyText"/>
        <w:spacing w:line="280" w:lineRule="exact"/>
        <w:ind w:left="171"/>
      </w:pPr>
      <w:r>
        <w:rPr/>
        <w:t>（</w:t>
      </w:r>
      <w:r>
        <w:rPr>
          <w:rFonts w:ascii="Times New Roman" w:eastAsia="Times New Roman"/>
        </w:rPr>
        <w:t>2</w:t>
      </w:r>
      <w:r>
        <w:rPr/>
        <w:t>）动脉血氧分压（</w:t>
      </w:r>
      <w:r>
        <w:rPr>
          <w:rFonts w:ascii="Times New Roman" w:eastAsia="Times New Roman"/>
        </w:rPr>
        <w:t>PaO 2</w:t>
      </w:r>
      <w:r>
        <w:rPr/>
        <w:t>）</w:t>
      </w:r>
      <w:r>
        <w:rPr>
          <w:rFonts w:ascii="Times New Roman" w:eastAsia="Times New Roman"/>
        </w:rPr>
        <w:t>&lt; 50mmHg</w:t>
      </w:r>
      <w:r>
        <w:rPr/>
        <w:t>；</w:t>
      </w:r>
    </w:p>
    <w:p>
      <w:pPr>
        <w:pStyle w:val="BodyText"/>
        <w:spacing w:line="280" w:lineRule="exact"/>
        <w:ind w:left="171"/>
      </w:pPr>
      <w:r>
        <w:rPr/>
        <w:t>（</w:t>
      </w:r>
      <w:r>
        <w:rPr>
          <w:rFonts w:ascii="Times New Roman" w:eastAsia="Times New Roman"/>
        </w:rPr>
        <w:t>3</w:t>
      </w:r>
      <w:r>
        <w:rPr/>
        <w:t>）动脉血氧饱和度（</w:t>
      </w:r>
      <w:r>
        <w:rPr>
          <w:rFonts w:ascii="Times New Roman" w:eastAsia="Times New Roman"/>
        </w:rPr>
        <w:t>SaO 2</w:t>
      </w:r>
      <w:r>
        <w:rPr/>
        <w:t>）</w:t>
      </w:r>
      <w:r>
        <w:rPr>
          <w:rFonts w:ascii="Times New Roman" w:eastAsia="Times New Roman"/>
        </w:rPr>
        <w:t>&lt; 80</w:t>
      </w:r>
      <w:r>
        <w:rPr/>
        <w:t>％；</w:t>
      </w:r>
    </w:p>
    <w:p>
      <w:pPr>
        <w:pStyle w:val="BodyText"/>
        <w:spacing w:line="286" w:lineRule="exact"/>
        <w:ind w:left="171"/>
      </w:pPr>
      <w:r>
        <w:rPr/>
        <w:t>（</w:t>
      </w:r>
      <w:r>
        <w:rPr>
          <w:rFonts w:ascii="Times New Roman" w:eastAsia="Times New Roman"/>
        </w:rPr>
        <w:t>4</w:t>
      </w:r>
      <w:r>
        <w:rPr/>
        <w:t>）因缺氧必须接受持续的输氧治疗。</w:t>
      </w:r>
    </w:p>
    <w:p>
      <w:pPr>
        <w:spacing w:after="0" w:line="286" w:lineRule="exact"/>
        <w:sectPr>
          <w:type w:val="continuous"/>
          <w:pgSz w:w="11900" w:h="16840"/>
          <w:pgMar w:top="1220" w:bottom="280" w:left="1680" w:right="1020"/>
          <w:cols w:num="2" w:equalWidth="0">
            <w:col w:w="2057" w:space="40"/>
            <w:col w:w="7103"/>
          </w:cols>
        </w:sectPr>
      </w:pPr>
    </w:p>
    <w:p>
      <w:pPr>
        <w:pStyle w:val="BodyText"/>
        <w:spacing w:before="5"/>
        <w:rPr>
          <w:sz w:val="13"/>
        </w:rPr>
      </w:pPr>
    </w:p>
    <w:p>
      <w:pPr>
        <w:pStyle w:val="BodyText"/>
        <w:spacing w:line="235" w:lineRule="auto" w:before="51"/>
        <w:ind w:left="2267" w:right="181" w:hanging="1680"/>
        <w:jc w:val="both"/>
      </w:pPr>
      <w:r>
        <w:rPr>
          <w:rFonts w:ascii="Times New Roman" w:eastAsia="Times New Roman"/>
          <w:b/>
          <w:position w:val="1"/>
        </w:rPr>
        <w:t>33.</w:t>
      </w:r>
      <w:r>
        <w:rPr>
          <w:spacing w:val="12"/>
          <w:position w:val="1"/>
        </w:rPr>
        <w:t>严重心肌病  </w:t>
      </w:r>
      <w:r>
        <w:rPr>
          <w:spacing w:val="-3"/>
        </w:rPr>
        <w:t>指被保人因心肌病导致慢性心功能损害造成永久不可逆性的心功能衰竭。</w:t>
      </w:r>
      <w:r>
        <w:rPr>
          <w:spacing w:val="-5"/>
        </w:rPr>
        <w:t>心功能衰竭程度达到纽约心脏病学会的心功能分级标准之心功能 </w:t>
      </w:r>
      <w:r>
        <w:rPr>
          <w:rFonts w:ascii="Times New Roman" w:eastAsia="Times New Roman"/>
        </w:rPr>
        <w:t>IV </w:t>
      </w:r>
      <w:r>
        <w:rPr>
          <w:spacing w:val="-33"/>
        </w:rPr>
        <w:t>级。被</w:t>
      </w:r>
      <w:r>
        <w:rPr>
          <w:spacing w:val="-10"/>
        </w:rPr>
        <w:t>保险人永久不可逆性的体力活动能力受限，不能从事任何体力活动。</w:t>
      </w:r>
    </w:p>
    <w:p>
      <w:pPr>
        <w:pStyle w:val="BodyText"/>
        <w:spacing w:before="11"/>
        <w:rPr>
          <w:sz w:val="18"/>
        </w:rPr>
      </w:pPr>
    </w:p>
    <w:p>
      <w:pPr>
        <w:pStyle w:val="BodyText"/>
        <w:spacing w:line="232" w:lineRule="auto"/>
        <w:ind w:left="2267" w:right="183" w:hanging="1680"/>
        <w:jc w:val="both"/>
      </w:pPr>
      <w:r>
        <w:rPr>
          <w:rFonts w:ascii="Times New Roman" w:eastAsia="Times New Roman"/>
          <w:b/>
        </w:rPr>
        <w:t>34.</w:t>
      </w:r>
      <w:r>
        <w:rPr>
          <w:spacing w:val="-3"/>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line="280" w:lineRule="exact"/>
        <w:ind w:left="2267"/>
      </w:pPr>
      <w:r>
        <w:rPr/>
        <w:t>（</w:t>
      </w:r>
      <w:r>
        <w:rPr>
          <w:rFonts w:ascii="Times New Roman" w:eastAsia="Times New Roman"/>
        </w:rPr>
        <w:t>1</w:t>
      </w:r>
      <w:r>
        <w:rPr/>
        <w:t>）经药物、胸腺手术治疗一年以上无法控制病情，丧失正常工作能力；</w:t>
      </w:r>
    </w:p>
    <w:p>
      <w:pPr>
        <w:pStyle w:val="BodyText"/>
        <w:spacing w:line="232" w:lineRule="auto"/>
        <w:ind w:left="2267" w:right="181"/>
        <w:jc w:val="both"/>
      </w:pPr>
      <w:r>
        <w:rPr>
          <w:spacing w:val="-8"/>
        </w:rPr>
        <w:t>（</w:t>
      </w:r>
      <w:r>
        <w:rPr>
          <w:rFonts w:ascii="Times New Roman" w:eastAsia="Times New Roman"/>
          <w:spacing w:val="-8"/>
        </w:rPr>
        <w:t>2</w:t>
      </w:r>
      <w:r>
        <w:rPr>
          <w:spacing w:val="-8"/>
        </w:rPr>
        <w:t>）出现眼睑下垂，或延髓肌受累引起的构音困难、进食呛咳，或由于肌无力累及延髓肌、呼吸肌而致机体呼吸功能不正常的危急状态即肌无力危象；</w:t>
      </w:r>
    </w:p>
    <w:p>
      <w:pPr>
        <w:pStyle w:val="BodyText"/>
        <w:spacing w:line="223" w:lineRule="auto" w:before="19"/>
        <w:ind w:left="2267" w:right="183" w:firstLine="105"/>
      </w:pPr>
      <w:r>
        <w:rPr/>
        <w:t>（</w:t>
      </w:r>
      <w:r>
        <w:rPr>
          <w:rFonts w:ascii="Times New Roman" w:eastAsia="Times New Roman"/>
        </w:rPr>
        <w:t>3</w:t>
      </w:r>
      <w:r>
        <w:rPr/>
        <w:t>）</w:t>
      </w:r>
      <w:r>
        <w:rPr>
          <w:spacing w:val="-9"/>
        </w:rPr>
        <w:t> 症状缓解、复发及恶化交替出现，临床接受新斯的明等抗胆碱酯酶</w:t>
      </w:r>
      <w:r>
        <w:rPr>
          <w:spacing w:val="-5"/>
        </w:rPr>
        <w:t>药物治疗的病史。</w:t>
      </w:r>
    </w:p>
    <w:p>
      <w:pPr>
        <w:pStyle w:val="BodyText"/>
        <w:spacing w:before="1"/>
        <w:rPr>
          <w:sz w:val="15"/>
        </w:rPr>
      </w:pPr>
    </w:p>
    <w:p>
      <w:pPr>
        <w:spacing w:after="0"/>
        <w:rPr>
          <w:sz w:val="15"/>
        </w:rPr>
        <w:sectPr>
          <w:type w:val="continuous"/>
          <w:pgSz w:w="11900" w:h="16840"/>
          <w:pgMar w:top="1220" w:bottom="280" w:left="1680" w:right="1020"/>
        </w:sectPr>
      </w:pPr>
    </w:p>
    <w:p>
      <w:pPr>
        <w:pStyle w:val="BodyText"/>
        <w:spacing w:line="230" w:lineRule="auto" w:before="57"/>
        <w:ind w:left="590" w:hanging="3"/>
        <w:jc w:val="both"/>
      </w:pPr>
      <w:r>
        <w:rPr>
          <w:rFonts w:ascii="Times New Roman" w:eastAsia="Times New Roman"/>
          <w:b/>
        </w:rPr>
        <w:t>35. </w:t>
      </w:r>
      <w:r>
        <w:rPr>
          <w:spacing w:val="20"/>
        </w:rPr>
        <w:t>因职业关系</w:t>
      </w:r>
      <w:r>
        <w:rPr>
          <w:spacing w:val="-30"/>
        </w:rPr>
        <w:t>导 致 的 人 类 免</w:t>
      </w:r>
      <w:r>
        <w:rPr>
          <w:spacing w:val="-24"/>
        </w:rPr>
        <w:t>疫 缺 陷 病 毒</w:t>
      </w:r>
    </w:p>
    <w:p>
      <w:pPr>
        <w:spacing w:line="289" w:lineRule="exact" w:before="0"/>
        <w:ind w:left="590" w:right="0" w:firstLine="0"/>
        <w:jc w:val="both"/>
        <w:rPr>
          <w:sz w:val="21"/>
        </w:rPr>
      </w:pPr>
      <w:r>
        <w:rPr>
          <w:sz w:val="21"/>
        </w:rPr>
        <w:t>（</w:t>
      </w:r>
      <w:r>
        <w:rPr>
          <w:rFonts w:ascii="Times New Roman" w:eastAsia="Times New Roman"/>
          <w:b/>
          <w:sz w:val="21"/>
        </w:rPr>
        <w:t>HIV</w:t>
      </w:r>
      <w:r>
        <w:rPr>
          <w:sz w:val="21"/>
        </w:rPr>
        <w:t>）感染</w:t>
      </w:r>
    </w:p>
    <w:p>
      <w:pPr>
        <w:pStyle w:val="BodyText"/>
        <w:spacing w:line="237" w:lineRule="auto" w:before="46"/>
        <w:ind w:left="171" w:right="18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103"/>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0"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171" w:right="181" w:hanging="1"/>
        <w:jc w:val="both"/>
      </w:pPr>
      <w:r>
        <w:rPr/>
        <w:t>（</w:t>
      </w:r>
      <w:r>
        <w:rPr>
          <w:rFonts w:ascii="Times New Roman" w:eastAsia="Times New Roman"/>
        </w:rPr>
        <w:t>3</w:t>
      </w:r>
      <w:r>
        <w:rPr/>
        <w:t>）必须提供被保险人在所报事故发生后的 </w:t>
      </w:r>
      <w:r>
        <w:rPr>
          <w:rFonts w:ascii="Times New Roman" w:eastAsia="Times New Roman"/>
        </w:rPr>
        <w:t>5 </w:t>
      </w:r>
      <w:r>
        <w:rPr/>
        <w:t>天以内进行的检查报告， 该报告必须显示被保险人血液人类免疫缺陷病毒（</w:t>
      </w:r>
      <w:r>
        <w:rPr>
          <w:rFonts w:ascii="Times New Roman" w:eastAsia="Times New Roman"/>
        </w:rPr>
        <w:t>HIV</w:t>
      </w:r>
      <w:r>
        <w:rPr/>
        <w:t>）阴性和</w:t>
      </w:r>
      <w:r>
        <w:rPr>
          <w:rFonts w:ascii="Times New Roman" w:eastAsia="Times New Roman"/>
        </w:rPr>
        <w:t>/</w:t>
      </w:r>
      <w:r>
        <w:rPr/>
        <w:t>或人类免疫缺陷病毒（</w:t>
      </w:r>
      <w:r>
        <w:rPr>
          <w:rFonts w:ascii="Times New Roman" w:eastAsia="Times New Roman"/>
        </w:rPr>
        <w:t>HIV  </w:t>
      </w:r>
      <w:r>
        <w:rPr/>
        <w:t>）抗体阴性；</w:t>
      </w:r>
    </w:p>
    <w:p>
      <w:pPr>
        <w:pStyle w:val="BodyText"/>
        <w:spacing w:line="223" w:lineRule="auto" w:before="3"/>
        <w:ind w:left="171" w:right="130"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  </w:t>
      </w:r>
      <w:r>
        <w:rPr/>
        <w:t>）或人类免疫缺陷病毒（</w:t>
      </w:r>
      <w:r>
        <w:rPr>
          <w:rFonts w:ascii="Times New Roman" w:eastAsia="Times New Roman"/>
        </w:rPr>
        <w:t>HIV</w:t>
      </w:r>
      <w:r>
        <w:rPr/>
        <w:t>）抗体。</w:t>
      </w:r>
    </w:p>
    <w:p>
      <w:pPr>
        <w:pStyle w:val="BodyText"/>
        <w:spacing w:before="2"/>
        <w:rPr>
          <w:sz w:val="17"/>
        </w:rPr>
      </w:pPr>
    </w:p>
    <w:p>
      <w:pPr>
        <w:pStyle w:val="BodyText"/>
        <w:spacing w:line="273" w:lineRule="exact"/>
        <w:ind w:left="171"/>
      </w:pPr>
      <w:r>
        <w:rPr/>
        <w:t>限定职业：</w:t>
      </w:r>
    </w:p>
    <w:p>
      <w:pPr>
        <w:pStyle w:val="BodyText"/>
        <w:ind w:left="171" w:right="183"/>
      </w:pPr>
      <w:r>
        <w:rPr/>
        <w:t>医Th和牙科医Th、护士、实验室工作人员、医院护工、医Th助理和牙医助理、 救护车工作人员、助产士、消防队员、警察、狱警。</w:t>
      </w:r>
    </w:p>
    <w:p>
      <w:pPr>
        <w:spacing w:after="0"/>
        <w:sectPr>
          <w:type w:val="continuous"/>
          <w:pgSz w:w="11900" w:h="16840"/>
          <w:pgMar w:top="1220" w:bottom="280" w:left="1680" w:right="1020"/>
          <w:cols w:num="2" w:equalWidth="0">
            <w:col w:w="2057" w:space="40"/>
            <w:col w:w="7103"/>
          </w:cols>
        </w:sectPr>
      </w:pPr>
    </w:p>
    <w:p>
      <w:pPr>
        <w:pStyle w:val="BodyText"/>
        <w:spacing w:before="2"/>
        <w:rPr>
          <w:sz w:val="15"/>
        </w:rPr>
      </w:pPr>
    </w:p>
    <w:p>
      <w:pPr>
        <w:pStyle w:val="BodyText"/>
        <w:tabs>
          <w:tab w:pos="2267" w:val="left" w:leader="none"/>
        </w:tabs>
        <w:spacing w:before="45"/>
        <w:ind w:left="587"/>
      </w:pPr>
      <w:r>
        <w:rPr>
          <w:rFonts w:ascii="Times New Roman" w:eastAsia="Times New Roman"/>
          <w:b/>
        </w:rPr>
        <w:t>36.</w:t>
      </w:r>
      <w:r>
        <w:rPr/>
        <w:t>经输血</w:t>
      </w:r>
      <w:r>
        <w:rPr>
          <w:spacing w:val="-3"/>
        </w:rPr>
        <w:t>导</w:t>
      </w:r>
      <w:r>
        <w:rPr/>
        <w:t>致</w:t>
        <w:tab/>
      </w:r>
      <w:r>
        <w:rPr>
          <w:spacing w:val="-1"/>
        </w:rPr>
        <w:t>被保</w:t>
      </w:r>
      <w:r>
        <w:rPr>
          <w:spacing w:val="-3"/>
        </w:rPr>
        <w:t>险</w:t>
      </w:r>
      <w:r>
        <w:rPr>
          <w:spacing w:val="-1"/>
        </w:rPr>
        <w:t>人</w:t>
      </w:r>
      <w:r>
        <w:rPr>
          <w:spacing w:val="-3"/>
        </w:rPr>
        <w:t>感</w:t>
      </w:r>
      <w:r>
        <w:rPr>
          <w:spacing w:val="-1"/>
        </w:rPr>
        <w:t>染</w:t>
      </w:r>
      <w:r>
        <w:rPr>
          <w:spacing w:val="-3"/>
        </w:rPr>
        <w:t>上</w:t>
      </w:r>
      <w:r>
        <w:rPr>
          <w:spacing w:val="-1"/>
        </w:rPr>
        <w:t>人</w:t>
      </w:r>
      <w:r>
        <w:rPr>
          <w:spacing w:val="-3"/>
        </w:rPr>
        <w:t>类</w:t>
      </w:r>
      <w:r>
        <w:rPr>
          <w:spacing w:val="-1"/>
        </w:rPr>
        <w:t>免</w:t>
      </w:r>
      <w:r>
        <w:rPr>
          <w:spacing w:val="-3"/>
        </w:rPr>
        <w:t>疫</w:t>
      </w:r>
      <w:r>
        <w:rPr>
          <w:spacing w:val="-1"/>
        </w:rPr>
        <w:t>缺陷</w:t>
      </w:r>
      <w:r>
        <w:rPr>
          <w:spacing w:val="-3"/>
        </w:rPr>
        <w:t>病</w:t>
      </w:r>
      <w:r>
        <w:rPr/>
        <w:t>毒（</w:t>
      </w:r>
      <w:r>
        <w:rPr>
          <w:rFonts w:ascii="Times New Roman" w:eastAsia="Times New Roman"/>
        </w:rPr>
        <w:t>HIV</w:t>
      </w:r>
      <w:r>
        <w:rPr/>
        <w:t>）并</w:t>
      </w:r>
      <w:r>
        <w:rPr>
          <w:spacing w:val="-3"/>
        </w:rPr>
        <w:t>且满</w:t>
      </w:r>
      <w:r>
        <w:rPr/>
        <w:t>足下</w:t>
      </w:r>
      <w:r>
        <w:rPr>
          <w:spacing w:val="-3"/>
        </w:rPr>
        <w:t>列</w:t>
      </w:r>
      <w:r>
        <w:rPr/>
        <w:t>全</w:t>
      </w:r>
      <w:r>
        <w:rPr>
          <w:spacing w:val="-3"/>
        </w:rPr>
        <w:t>部</w:t>
      </w:r>
      <w:r>
        <w:rPr/>
        <w:t>条</w:t>
      </w:r>
      <w:r>
        <w:rPr>
          <w:spacing w:val="-3"/>
        </w:rPr>
        <w:t>件</w:t>
      </w:r>
      <w:r>
        <w:rPr/>
        <w:t>：</w:t>
      </w:r>
    </w:p>
    <w:p>
      <w:pPr>
        <w:spacing w:after="0"/>
        <w:sectPr>
          <w:type w:val="continuous"/>
          <w:pgSz w:w="11900" w:h="16840"/>
          <w:pgMar w:top="1220" w:bottom="280" w:left="1680" w:right="1020"/>
        </w:sectPr>
      </w:pPr>
    </w:p>
    <w:p>
      <w:pPr>
        <w:pStyle w:val="BodyText"/>
        <w:spacing w:line="230" w:lineRule="auto" w:before="40"/>
        <w:ind w:left="590"/>
        <w:jc w:val="both"/>
      </w:pPr>
      <w:r>
        <w:rPr>
          <w:spacing w:val="-33"/>
        </w:rPr>
        <w:t>的 人 类 免 疫 缺陷病毒（</w:t>
      </w:r>
      <w:r>
        <w:rPr>
          <w:rFonts w:ascii="Times New Roman" w:eastAsia="Times New Roman"/>
          <w:b/>
          <w:spacing w:val="-33"/>
        </w:rPr>
        <w:t>HIV</w:t>
      </w:r>
      <w:r>
        <w:rPr>
          <w:spacing w:val="-33"/>
        </w:rPr>
        <w:t>） 感染</w:t>
      </w:r>
    </w:p>
    <w:p>
      <w:pPr>
        <w:pStyle w:val="BodyText"/>
        <w:spacing w:line="281" w:lineRule="exact" w:before="26"/>
        <w:ind w:left="171"/>
      </w:pPr>
      <w:r>
        <w:rPr/>
        <w:br w:type="column"/>
      </w: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7"/>
        <w:ind w:left="171" w:right="123"/>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71" w:right="98"/>
      </w:pPr>
      <w:r>
        <w:rPr>
          <w:spacing w:val="-3"/>
        </w:rPr>
        <w:t>在任何治愈艾滋病</w:t>
      </w:r>
      <w:r>
        <w:rPr/>
        <w:t>（</w:t>
      </w:r>
      <w:r>
        <w:rPr>
          <w:rFonts w:ascii="Times New Roman" w:eastAsia="Times New Roman"/>
        </w:rPr>
        <w:t>AIDS</w:t>
      </w:r>
      <w:r>
        <w:rPr/>
        <w:t>）</w:t>
      </w:r>
      <w:r>
        <w:rPr>
          <w:spacing w:val="-3"/>
        </w:rPr>
        <w:t>或阻止人类免疫缺陷病毒</w:t>
      </w:r>
      <w:r>
        <w:rPr/>
        <w:t>（</w:t>
      </w:r>
      <w:r>
        <w:rPr>
          <w:rFonts w:ascii="Times New Roman" w:eastAsia="Times New Roman"/>
        </w:rPr>
        <w:t>HIV</w:t>
      </w:r>
      <w:r>
        <w:rPr/>
        <w:t>）</w:t>
      </w:r>
      <w:r>
        <w:rPr>
          <w:spacing w:val="-3"/>
        </w:rPr>
        <w:t>作用的疗法</w:t>
      </w:r>
      <w:r>
        <w:rPr>
          <w:spacing w:val="-7"/>
        </w:rPr>
        <w:t>被发现以后，或能防止艾滋病</w:t>
      </w:r>
      <w:r>
        <w:rPr/>
        <w:t>（</w:t>
      </w:r>
      <w:r>
        <w:rPr>
          <w:rFonts w:ascii="Times New Roman" w:eastAsia="Times New Roman"/>
        </w:rPr>
        <w:t>AIDS</w:t>
      </w:r>
      <w:r>
        <w:rPr/>
        <w:t>）</w:t>
      </w:r>
      <w:r>
        <w:rPr>
          <w:spacing w:val="-3"/>
        </w:rPr>
        <w:t> 发生的医疗方法被研究出来以后， 本保障将不再予以赔付。</w:t>
      </w:r>
    </w:p>
    <w:p>
      <w:pPr>
        <w:pStyle w:val="BodyText"/>
        <w:rPr>
          <w:sz w:val="19"/>
        </w:rPr>
      </w:pPr>
    </w:p>
    <w:p>
      <w:pPr>
        <w:pStyle w:val="BodyText"/>
        <w:spacing w:line="230" w:lineRule="auto"/>
        <w:ind w:left="171" w:right="201"/>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0" w:lineRule="auto"/>
        <w:jc w:val="both"/>
        <w:sectPr>
          <w:pgSz w:w="11900" w:h="16840"/>
          <w:pgMar w:top="1240" w:bottom="280" w:left="1680" w:right="1000"/>
          <w:cols w:num="2" w:equalWidth="0">
            <w:col w:w="2057" w:space="40"/>
            <w:col w:w="7123"/>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5" w:lineRule="auto" w:before="63"/>
        <w:ind w:left="590" w:right="0" w:hanging="3"/>
        <w:jc w:val="left"/>
        <w:rPr>
          <w:sz w:val="21"/>
        </w:rPr>
      </w:pPr>
      <w:r>
        <w:rPr>
          <w:rFonts w:ascii="Times New Roman" w:eastAsia="Times New Roman"/>
          <w:b/>
          <w:sz w:val="21"/>
        </w:rPr>
        <w:t>37. </w:t>
      </w:r>
      <w:r>
        <w:rPr>
          <w:sz w:val="21"/>
        </w:rPr>
        <w:t>严重类风湿性关节炎</w:t>
      </w:r>
    </w:p>
    <w:p>
      <w:pPr>
        <w:pStyle w:val="BodyText"/>
        <w:spacing w:line="235" w:lineRule="auto" w:before="49"/>
        <w:ind w:left="173" w:right="201"/>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80" w:lineRule="exact"/>
        <w:ind w:left="173"/>
        <w:jc w:val="both"/>
      </w:pPr>
      <w:r>
        <w:rPr/>
        <w:t>（</w:t>
      </w:r>
      <w:r>
        <w:rPr>
          <w:rFonts w:ascii="Times New Roman" w:eastAsia="Times New Roman"/>
        </w:rPr>
        <w:t>1</w:t>
      </w:r>
      <w:r>
        <w:rPr/>
        <w:t>）晨僵；</w:t>
      </w:r>
    </w:p>
    <w:p>
      <w:pPr>
        <w:pStyle w:val="BodyText"/>
        <w:spacing w:line="272" w:lineRule="exact"/>
        <w:ind w:left="173"/>
        <w:jc w:val="both"/>
      </w:pPr>
      <w:r>
        <w:rPr/>
        <w:t>（</w:t>
      </w:r>
      <w:r>
        <w:rPr>
          <w:rFonts w:ascii="Times New Roman" w:eastAsia="Times New Roman"/>
        </w:rPr>
        <w:t>2</w:t>
      </w:r>
      <w:r>
        <w:rPr/>
        <w:t>）对称性关节炎；</w:t>
      </w:r>
    </w:p>
    <w:p>
      <w:pPr>
        <w:pStyle w:val="BodyText"/>
        <w:spacing w:line="274" w:lineRule="exact"/>
        <w:ind w:left="173"/>
        <w:jc w:val="both"/>
      </w:pPr>
      <w:r>
        <w:rPr/>
        <w:t>（</w:t>
      </w:r>
      <w:r>
        <w:rPr>
          <w:rFonts w:ascii="Times New Roman" w:eastAsia="Times New Roman"/>
        </w:rPr>
        <w:t>3</w:t>
      </w:r>
      <w:r>
        <w:rPr/>
        <w:t>）类风湿性皮下结节；</w:t>
      </w:r>
    </w:p>
    <w:p>
      <w:pPr>
        <w:pStyle w:val="BodyText"/>
        <w:spacing w:line="274" w:lineRule="exact"/>
        <w:ind w:left="173"/>
        <w:jc w:val="both"/>
      </w:pPr>
      <w:r>
        <w:rPr/>
        <w:t>（</w:t>
      </w:r>
      <w:r>
        <w:rPr>
          <w:rFonts w:ascii="Times New Roman" w:eastAsia="Times New Roman"/>
        </w:rPr>
        <w:t>4</w:t>
      </w:r>
      <w:r>
        <w:rPr/>
        <w:t>）类风湿因子滴度升高；</w:t>
      </w:r>
    </w:p>
    <w:p>
      <w:pPr>
        <w:pStyle w:val="BodyText"/>
        <w:spacing w:line="282" w:lineRule="exact"/>
        <w:ind w:left="17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00"/>
          <w:cols w:num="2" w:equalWidth="0">
            <w:col w:w="2055" w:space="40"/>
            <w:col w:w="7125"/>
          </w:cols>
        </w:sectPr>
      </w:pPr>
    </w:p>
    <w:p>
      <w:pPr>
        <w:pStyle w:val="BodyText"/>
        <w:spacing w:before="9"/>
        <w:rPr>
          <w:sz w:val="13"/>
        </w:rPr>
      </w:pPr>
    </w:p>
    <w:p>
      <w:pPr>
        <w:pStyle w:val="BodyText"/>
        <w:spacing w:line="230" w:lineRule="auto" w:before="58"/>
        <w:ind w:left="2267" w:right="203" w:hanging="1680"/>
        <w:jc w:val="both"/>
      </w:pPr>
      <w:r>
        <w:rPr>
          <w:rFonts w:ascii="Times New Roman" w:eastAsia="Times New Roman"/>
          <w:b/>
        </w:rPr>
        <w:t>38.</w:t>
      </w:r>
      <w:r>
        <w:rPr>
          <w:spacing w:val="-3"/>
        </w:rPr>
        <w:t>疾病末期    被保险人经医生诊断确定为严重疾病末期，并经专科医生认定其所患疾病依现有医疗技术无法治愈且根据医学及临床经验其平均存活期间在六个月以下。</w:t>
      </w:r>
    </w:p>
    <w:p>
      <w:pPr>
        <w:pStyle w:val="BodyText"/>
        <w:rPr>
          <w:sz w:val="20"/>
        </w:rPr>
      </w:pPr>
    </w:p>
    <w:p>
      <w:pPr>
        <w:pStyle w:val="BodyText"/>
        <w:spacing w:before="12"/>
        <w:rPr>
          <w:sz w:val="16"/>
        </w:rPr>
      </w:pPr>
    </w:p>
    <w:p>
      <w:pPr>
        <w:pStyle w:val="BodyText"/>
        <w:tabs>
          <w:tab w:pos="2267" w:val="left" w:leader="none"/>
        </w:tabs>
        <w:ind w:left="590"/>
      </w:pPr>
      <w:r>
        <w:rPr/>
        <w:t>附表二</w:t>
        <w:tab/>
        <w:t>本附</w:t>
      </w:r>
      <w:r>
        <w:rPr>
          <w:spacing w:val="-3"/>
        </w:rPr>
        <w:t>加</w:t>
      </w:r>
      <w:r>
        <w:rPr/>
        <w:t>合</w:t>
      </w:r>
      <w:r>
        <w:rPr>
          <w:spacing w:val="-3"/>
        </w:rPr>
        <w:t>同</w:t>
      </w:r>
      <w:r>
        <w:rPr/>
        <w:t>所</w:t>
      </w:r>
      <w:r>
        <w:rPr>
          <w:spacing w:val="-3"/>
        </w:rPr>
        <w:t>指</w:t>
      </w:r>
      <w:r>
        <w:rPr/>
        <w:t>轻</w:t>
      </w:r>
      <w:r>
        <w:rPr>
          <w:spacing w:val="-3"/>
        </w:rPr>
        <w:t>症</w:t>
      </w:r>
      <w:r>
        <w:rPr/>
        <w:t>疾</w:t>
      </w:r>
      <w:r>
        <w:rPr>
          <w:spacing w:val="-3"/>
        </w:rPr>
        <w:t>病</w:t>
      </w:r>
      <w:r>
        <w:rPr/>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p>
    <w:p>
      <w:pPr>
        <w:pStyle w:val="BodyText"/>
        <w:rPr>
          <w:sz w:val="9"/>
        </w:rPr>
      </w:pPr>
    </w:p>
    <w:p>
      <w:pPr>
        <w:spacing w:after="0"/>
        <w:rPr>
          <w:sz w:val="9"/>
        </w:rPr>
        <w:sectPr>
          <w:type w:val="continuous"/>
          <w:pgSz w:w="11900" w:h="16840"/>
          <w:pgMar w:top="1220" w:bottom="280" w:left="1680" w:right="1000"/>
        </w:sectPr>
      </w:pPr>
    </w:p>
    <w:p>
      <w:pPr>
        <w:pStyle w:val="BodyText"/>
        <w:spacing w:line="232" w:lineRule="auto" w:before="54"/>
        <w:ind w:left="590" w:hanging="3"/>
        <w:jc w:val="both"/>
      </w:pPr>
      <w:r>
        <w:rPr>
          <w:rFonts w:ascii="Times New Roman" w:eastAsia="Times New Roman"/>
          <w:b/>
          <w:spacing w:val="2"/>
        </w:rPr>
        <w:t>1.</w:t>
      </w:r>
      <w:r>
        <w:rPr>
          <w:spacing w:val="3"/>
        </w:rPr>
        <w:t>极早期的恶性</w:t>
      </w:r>
      <w:r>
        <w:rPr>
          <w:spacing w:val="-32"/>
        </w:rPr>
        <w:t>肿 瘤 或 恶 性 病变</w:t>
      </w:r>
    </w:p>
    <w:p>
      <w:pPr>
        <w:pStyle w:val="BodyText"/>
        <w:spacing w:line="244" w:lineRule="auto" w:before="55"/>
        <w:ind w:left="171" w:right="237"/>
      </w:pPr>
      <w:r>
        <w:rPr/>
        <w:br w:type="column"/>
      </w:r>
      <w:r>
        <w:rPr/>
        <w:t>指经组织病理学检查被明确诊断为下列恶性病变，并且接受了相应的治疗。</w:t>
      </w:r>
    </w:p>
    <w:p>
      <w:pPr>
        <w:pStyle w:val="BodyText"/>
        <w:spacing w:line="285" w:lineRule="exact" w:before="1"/>
        <w:ind w:left="171"/>
      </w:pPr>
      <w:r>
        <w:rPr/>
        <w:t>（</w:t>
      </w:r>
      <w:r>
        <w:rPr>
          <w:rFonts w:ascii="Times New Roman" w:eastAsia="Times New Roman"/>
        </w:rPr>
        <w:t>1</w:t>
      </w:r>
      <w:r>
        <w:rPr/>
        <w:t>）原位癌</w:t>
      </w:r>
    </w:p>
    <w:p>
      <w:pPr>
        <w:pStyle w:val="BodyText"/>
        <w:spacing w:line="280"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1"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0" w:lineRule="exact"/>
        <w:ind w:left="171"/>
      </w:pPr>
      <w:r>
        <w:rPr/>
        <w:t>（</w:t>
      </w:r>
      <w:r>
        <w:rPr>
          <w:rFonts w:ascii="Times New Roman" w:eastAsia="Times New Roman"/>
        </w:rPr>
        <w:t>4</w:t>
      </w:r>
      <w:r>
        <w:rPr/>
        <w:t>）皮肤癌；</w:t>
      </w:r>
    </w:p>
    <w:p>
      <w:pPr>
        <w:pStyle w:val="BodyText"/>
        <w:spacing w:line="285" w:lineRule="exact"/>
        <w:ind w:left="17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spacing w:after="0" w:line="285" w:lineRule="exact"/>
        <w:sectPr>
          <w:type w:val="continuous"/>
          <w:pgSz w:w="11900" w:h="16840"/>
          <w:pgMar w:top="1220" w:bottom="280" w:left="1680" w:right="1000"/>
          <w:cols w:num="2" w:equalWidth="0">
            <w:col w:w="2057" w:space="40"/>
            <w:col w:w="7123"/>
          </w:cols>
        </w:sectPr>
      </w:pPr>
    </w:p>
    <w:p>
      <w:pPr>
        <w:pStyle w:val="BodyText"/>
        <w:spacing w:before="7"/>
        <w:rPr>
          <w:sz w:val="13"/>
        </w:rPr>
      </w:pPr>
    </w:p>
    <w:p>
      <w:pPr>
        <w:spacing w:after="0"/>
        <w:rPr>
          <w:sz w:val="13"/>
        </w:rPr>
        <w:sectPr>
          <w:type w:val="continuous"/>
          <w:pgSz w:w="11900" w:h="16840"/>
          <w:pgMar w:top="1220" w:bottom="280" w:left="1680" w:right="1000"/>
        </w:sectPr>
      </w:pPr>
    </w:p>
    <w:p>
      <w:pPr>
        <w:pStyle w:val="BodyText"/>
        <w:spacing w:line="223" w:lineRule="auto" w:before="66"/>
        <w:ind w:left="590" w:hanging="3"/>
      </w:pPr>
      <w:r>
        <w:rPr>
          <w:rFonts w:ascii="Times New Roman" w:eastAsia="Times New Roman"/>
          <w:b/>
        </w:rPr>
        <w:t>2.</w:t>
      </w:r>
      <w:r>
        <w:rPr/>
        <w:t>不典型的急性心肌梗塞</w:t>
      </w:r>
    </w:p>
    <w:p>
      <w:pPr>
        <w:pStyle w:val="BodyText"/>
        <w:spacing w:line="242" w:lineRule="auto" w:before="55"/>
        <w:ind w:left="171" w:right="192"/>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4" w:lineRule="exact"/>
        <w:ind w:left="171"/>
      </w:pPr>
      <w:r>
        <w:rPr/>
        <w:t>（</w:t>
      </w:r>
      <w:r>
        <w:rPr>
          <w:rFonts w:ascii="Times New Roman" w:eastAsia="Times New Roman"/>
        </w:rPr>
        <w:t>1</w:t>
      </w:r>
      <w:r>
        <w:rPr/>
        <w:t>）肌钙蛋白有诊断意义的升高；</w:t>
      </w:r>
    </w:p>
    <w:p>
      <w:pPr>
        <w:pStyle w:val="BodyText"/>
        <w:spacing w:line="286"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type w:val="continuous"/>
          <w:pgSz w:w="11900" w:h="16840"/>
          <w:pgMar w:top="1220" w:bottom="280" w:left="1680" w:right="1000"/>
          <w:cols w:num="2" w:equalWidth="0">
            <w:col w:w="2057" w:space="40"/>
            <w:col w:w="7123"/>
          </w:cols>
        </w:sectPr>
      </w:pPr>
    </w:p>
    <w:p>
      <w:pPr>
        <w:pStyle w:val="BodyText"/>
        <w:spacing w:before="4"/>
        <w:rPr>
          <w:sz w:val="16"/>
        </w:rPr>
      </w:pPr>
    </w:p>
    <w:p>
      <w:pPr>
        <w:spacing w:after="0"/>
        <w:rPr>
          <w:sz w:val="16"/>
        </w:rPr>
        <w:sectPr>
          <w:type w:val="continuous"/>
          <w:pgSz w:w="11900" w:h="16840"/>
          <w:pgMar w:top="1220" w:bottom="280" w:left="1680" w:right="1000"/>
        </w:sectPr>
      </w:pPr>
    </w:p>
    <w:p>
      <w:pPr>
        <w:pStyle w:val="BodyText"/>
        <w:spacing w:line="225" w:lineRule="auto" w:before="63"/>
        <w:ind w:left="590" w:hanging="3"/>
      </w:pPr>
      <w:r>
        <w:rPr>
          <w:rFonts w:ascii="Times New Roman" w:eastAsia="Times New Roman"/>
          <w:b/>
        </w:rPr>
        <w:t>3.</w:t>
      </w:r>
      <w:r>
        <w:rPr/>
        <w:t>冠状动脉介入手术</w:t>
      </w:r>
    </w:p>
    <w:p>
      <w:pPr>
        <w:pStyle w:val="BodyText"/>
        <w:spacing w:line="244" w:lineRule="auto" w:before="55"/>
        <w:ind w:left="171" w:right="194"/>
      </w:pPr>
      <w:r>
        <w:rPr/>
        <w:br w:type="column"/>
      </w:r>
      <w:r>
        <w:rPr/>
        <w:t>为了治疗明显的冠状动脉狭窄性疾病，首次实际实施了冠状动脉球囊扩张成形术、冠状动脉支架植入术或激光冠状动脉成形术。</w:t>
      </w:r>
    </w:p>
    <w:p>
      <w:pPr>
        <w:spacing w:after="0" w:line="244" w:lineRule="auto"/>
        <w:sectPr>
          <w:type w:val="continuous"/>
          <w:pgSz w:w="11900" w:h="16840"/>
          <w:pgMar w:top="1220" w:bottom="280" w:left="1680" w:right="1000"/>
          <w:cols w:num="2" w:equalWidth="0">
            <w:col w:w="2057" w:space="40"/>
            <w:col w:w="7123"/>
          </w:cols>
        </w:sectPr>
      </w:pPr>
    </w:p>
    <w:p>
      <w:pPr>
        <w:pStyle w:val="BodyText"/>
        <w:spacing w:before="3"/>
        <w:rPr>
          <w:sz w:val="14"/>
        </w:rPr>
      </w:pPr>
    </w:p>
    <w:p>
      <w:pPr>
        <w:pStyle w:val="BodyText"/>
        <w:spacing w:line="232" w:lineRule="auto" w:before="54"/>
        <w:ind w:left="2267" w:right="234" w:hanging="1680"/>
        <w:jc w:val="both"/>
      </w:pPr>
      <w:r>
        <w:rPr>
          <w:rFonts w:ascii="Times New Roman" w:hAnsi="Times New Roman" w:eastAsia="Times New Roman"/>
          <w:b/>
          <w:position w:val="1"/>
        </w:rPr>
        <w:t>4.</w:t>
      </w:r>
      <w:r>
        <w:rPr>
          <w:spacing w:val="12"/>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13"/>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spacing w:after="0" w:line="232" w:lineRule="auto"/>
        <w:jc w:val="both"/>
        <w:sectPr>
          <w:type w:val="continuous"/>
          <w:pgSz w:w="11900" w:h="16840"/>
          <w:pgMar w:top="1220" w:bottom="280" w:left="1680" w:right="1000"/>
        </w:sectPr>
      </w:pPr>
    </w:p>
    <w:p>
      <w:pPr>
        <w:pStyle w:val="BodyText"/>
        <w:spacing w:before="18"/>
        <w:ind w:left="2267"/>
      </w:pPr>
      <w:r>
        <w:rPr/>
        <w:t>短暂性脑缺血发作(TIA) 和腔隙性脑梗塞不在保障范围内。</w:t>
      </w:r>
    </w:p>
    <w:p>
      <w:pPr>
        <w:pStyle w:val="BodyText"/>
        <w:spacing w:before="7"/>
        <w:rPr>
          <w:sz w:val="14"/>
        </w:rPr>
      </w:pPr>
    </w:p>
    <w:p>
      <w:pPr>
        <w:spacing w:after="0"/>
        <w:rPr>
          <w:sz w:val="14"/>
        </w:rPr>
        <w:sectPr>
          <w:pgSz w:w="11900" w:h="16840"/>
          <w:pgMar w:top="1260" w:bottom="280" w:left="1680" w:right="1120"/>
        </w:sectPr>
      </w:pPr>
    </w:p>
    <w:p>
      <w:pPr>
        <w:pStyle w:val="BodyText"/>
        <w:spacing w:line="225" w:lineRule="auto" w:before="63"/>
        <w:ind w:left="590" w:hanging="3"/>
      </w:pPr>
      <w:r>
        <w:rPr>
          <w:rFonts w:ascii="Times New Roman" w:eastAsia="Times New Roman"/>
          <w:b/>
        </w:rPr>
        <w:t>5.</w:t>
      </w:r>
      <w:r>
        <w:rPr/>
        <w:t>心脏瓣膜介入手术</w:t>
      </w:r>
    </w:p>
    <w:p>
      <w:pPr>
        <w:pStyle w:val="BodyText"/>
        <w:spacing w:line="244" w:lineRule="auto" w:before="55"/>
        <w:ind w:left="171" w:right="74"/>
      </w:pPr>
      <w:r>
        <w:rPr/>
        <w:br w:type="column"/>
      </w:r>
      <w:r>
        <w:rPr/>
        <w:t>为了治疗心脏瓣膜疾病，实际实施了非开胸的经胸壁打孔内镜手术或经皮经导管介入手术进行的心脏瓣膜置换或修复手术。</w:t>
      </w:r>
    </w:p>
    <w:p>
      <w:pPr>
        <w:spacing w:after="0" w:line="244" w:lineRule="auto"/>
        <w:sectPr>
          <w:type w:val="continuous"/>
          <w:pgSz w:w="11900" w:h="16840"/>
          <w:pgMar w:top="1220" w:bottom="280" w:left="1680" w:right="1120"/>
          <w:cols w:num="2" w:equalWidth="0">
            <w:col w:w="2057" w:space="40"/>
            <w:col w:w="7003"/>
          </w:cols>
        </w:sectPr>
      </w:pPr>
    </w:p>
    <w:p>
      <w:pPr>
        <w:pStyle w:val="BodyText"/>
        <w:spacing w:before="3"/>
        <w:rPr>
          <w:sz w:val="14"/>
        </w:rPr>
      </w:pPr>
    </w:p>
    <w:p>
      <w:pPr>
        <w:pStyle w:val="BodyText"/>
        <w:tabs>
          <w:tab w:pos="2267" w:val="left" w:leader="none"/>
        </w:tabs>
        <w:spacing w:line="237" w:lineRule="auto" w:before="48"/>
        <w:ind w:left="2267" w:right="114" w:hanging="1680"/>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t>虽</w:t>
      </w:r>
      <w:r>
        <w:rPr>
          <w:spacing w:val="-3"/>
        </w:rPr>
        <w:t>然</w:t>
      </w:r>
      <w:r>
        <w:rPr/>
        <w:t>未</w:t>
      </w:r>
      <w:r>
        <w:rPr>
          <w:spacing w:val="-3"/>
        </w:rPr>
        <w:t>达</w:t>
      </w:r>
      <w:r>
        <w:rPr/>
        <w:t>到</w:t>
      </w:r>
      <w:r>
        <w:rPr>
          <w:spacing w:val="-3"/>
        </w:rPr>
        <w:t>重</w:t>
      </w:r>
      <w:r>
        <w:rPr/>
        <w:t>大疾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2" w:lineRule="auto"/>
        <w:ind w:left="2268" w:right="11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8"/>
        <w:rPr>
          <w:sz w:val="20"/>
        </w:rPr>
      </w:pPr>
    </w:p>
    <w:p>
      <w:pPr>
        <w:pStyle w:val="BodyText"/>
        <w:spacing w:line="242" w:lineRule="auto" w:before="1"/>
        <w:ind w:left="2267" w:right="119"/>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8"/>
        <w:rPr>
          <w:sz w:val="14"/>
        </w:rPr>
      </w:pPr>
    </w:p>
    <w:p>
      <w:pPr>
        <w:spacing w:after="0"/>
        <w:rPr>
          <w:sz w:val="14"/>
        </w:rPr>
        <w:sectPr>
          <w:type w:val="continuous"/>
          <w:pgSz w:w="11900" w:h="16840"/>
          <w:pgMar w:top="1220" w:bottom="280" w:left="1680" w:right="1120"/>
        </w:sectPr>
      </w:pPr>
    </w:p>
    <w:p>
      <w:pPr>
        <w:spacing w:line="281" w:lineRule="exact" w:before="45"/>
        <w:ind w:left="587" w:right="0" w:firstLine="0"/>
        <w:jc w:val="left"/>
        <w:rPr>
          <w:rFonts w:ascii="Times New Roman" w:eastAsia="Times New Roman"/>
          <w:b/>
          <w:sz w:val="21"/>
        </w:rPr>
      </w:pPr>
      <w:r>
        <w:rPr>
          <w:rFonts w:ascii="Times New Roman" w:eastAsia="Times New Roman"/>
          <w:b/>
          <w:sz w:val="21"/>
        </w:rPr>
        <w:t>7. </w:t>
      </w:r>
      <w:r>
        <w:rPr>
          <w:sz w:val="21"/>
        </w:rPr>
        <w:t>较小面积 </w:t>
      </w:r>
      <w:r>
        <w:rPr>
          <w:rFonts w:ascii="Times New Roman" w:eastAsia="Times New Roman"/>
          <w:b/>
          <w:sz w:val="21"/>
        </w:rPr>
        <w:t>III</w:t>
      </w:r>
    </w:p>
    <w:p>
      <w:pPr>
        <w:pStyle w:val="BodyText"/>
        <w:spacing w:line="265" w:lineRule="exact"/>
        <w:ind w:left="590"/>
      </w:pPr>
      <w:r>
        <w:rPr/>
        <w:t>度烧伤</w:t>
      </w:r>
    </w:p>
    <w:p>
      <w:pPr>
        <w:pStyle w:val="BodyText"/>
        <w:spacing w:line="230" w:lineRule="auto" w:before="67"/>
        <w:ind w:left="173" w:right="71"/>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0" w:lineRule="auto"/>
        <w:sectPr>
          <w:type w:val="continuous"/>
          <w:pgSz w:w="11900" w:h="16840"/>
          <w:pgMar w:top="1220" w:bottom="280" w:left="1680" w:right="1120"/>
          <w:cols w:num="2" w:equalWidth="0">
            <w:col w:w="2055" w:space="40"/>
            <w:col w:w="7005"/>
          </w:cols>
        </w:sectPr>
      </w:pPr>
    </w:p>
    <w:p>
      <w:pPr>
        <w:pStyle w:val="BodyText"/>
        <w:spacing w:before="8"/>
        <w:rPr>
          <w:sz w:val="14"/>
        </w:rPr>
      </w:pPr>
    </w:p>
    <w:p>
      <w:pPr>
        <w:pStyle w:val="BodyText"/>
        <w:tabs>
          <w:tab w:pos="2267" w:val="left" w:leader="none"/>
        </w:tabs>
        <w:spacing w:before="45"/>
        <w:ind w:left="587"/>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6"/>
      </w:pPr>
    </w:p>
    <w:p>
      <w:pPr>
        <w:pStyle w:val="BodyText"/>
        <w:ind w:left="2267"/>
      </w:pPr>
      <w:r>
        <w:rPr/>
        <w:t>主动脉指胸主动脉和腹主动脉，不包括胸主动脉和腹主动脉的分支血管。</w:t>
      </w:r>
    </w:p>
    <w:p>
      <w:pPr>
        <w:pStyle w:val="BodyText"/>
        <w:spacing w:before="7"/>
        <w:rPr>
          <w:sz w:val="14"/>
        </w:rPr>
      </w:pPr>
    </w:p>
    <w:p>
      <w:pPr>
        <w:spacing w:after="0"/>
        <w:rPr>
          <w:sz w:val="14"/>
        </w:rPr>
        <w:sectPr>
          <w:type w:val="continuous"/>
          <w:pgSz w:w="11900" w:h="16840"/>
          <w:pgMar w:top="1220" w:bottom="280" w:left="1680" w:right="1120"/>
        </w:sectPr>
      </w:pPr>
    </w:p>
    <w:p>
      <w:pPr>
        <w:pStyle w:val="BodyText"/>
        <w:spacing w:line="232" w:lineRule="auto" w:before="54"/>
        <w:ind w:left="590" w:hanging="3"/>
        <w:jc w:val="both"/>
      </w:pPr>
      <w:r>
        <w:rPr>
          <w:rFonts w:ascii="Times New Roman" w:eastAsia="Times New Roman"/>
          <w:b/>
          <w:spacing w:val="2"/>
        </w:rPr>
        <w:t>9.</w:t>
      </w:r>
      <w:r>
        <w:rPr>
          <w:spacing w:val="3"/>
        </w:rPr>
        <w:t>脑垂体瘤、脑</w:t>
      </w:r>
      <w:r>
        <w:rPr>
          <w:spacing w:val="-2"/>
        </w:rPr>
        <w:t>囊肿、脑动脉瘤</w:t>
      </w:r>
      <w:r>
        <w:rPr>
          <w:spacing w:val="-3"/>
        </w:rPr>
        <w:t>及脑血管瘤</w:t>
      </w:r>
    </w:p>
    <w:p>
      <w:pPr>
        <w:pStyle w:val="BodyText"/>
        <w:spacing w:line="232" w:lineRule="auto" w:before="64"/>
        <w:ind w:left="171" w:right="117"/>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6" w:lineRule="exact" w:before="3"/>
        <w:ind w:left="171"/>
      </w:pPr>
      <w:r>
        <w:rPr/>
        <w:t>（</w:t>
      </w:r>
      <w:r>
        <w:rPr>
          <w:rFonts w:ascii="Times New Roman" w:eastAsia="Times New Roman"/>
        </w:rPr>
        <w:t>1</w:t>
      </w:r>
      <w:r>
        <w:rPr/>
        <w:t>）脑垂体瘤；</w:t>
      </w:r>
    </w:p>
    <w:p>
      <w:pPr>
        <w:pStyle w:val="BodyText"/>
        <w:spacing w:line="281"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type w:val="continuous"/>
          <w:pgSz w:w="11900" w:h="16840"/>
          <w:pgMar w:top="1220" w:bottom="280" w:left="1680" w:right="1120"/>
          <w:cols w:num="2" w:equalWidth="0">
            <w:col w:w="2057" w:space="40"/>
            <w:col w:w="7003"/>
          </w:cols>
        </w:sectPr>
      </w:pPr>
    </w:p>
    <w:p>
      <w:pPr>
        <w:pStyle w:val="BodyText"/>
        <w:spacing w:before="4"/>
        <w:rPr>
          <w:sz w:val="13"/>
        </w:rPr>
      </w:pPr>
    </w:p>
    <w:p>
      <w:pPr>
        <w:spacing w:after="0"/>
        <w:rPr>
          <w:sz w:val="13"/>
        </w:rPr>
        <w:sectPr>
          <w:type w:val="continuous"/>
          <w:pgSz w:w="11900" w:h="16840"/>
          <w:pgMar w:top="1220" w:bottom="280" w:left="1680" w:right="1120"/>
        </w:sectPr>
      </w:pPr>
    </w:p>
    <w:p>
      <w:pPr>
        <w:spacing w:line="225" w:lineRule="auto" w:before="63"/>
        <w:ind w:left="590" w:right="0" w:hanging="3"/>
        <w:jc w:val="left"/>
        <w:rPr>
          <w:sz w:val="21"/>
        </w:rPr>
      </w:pPr>
      <w:r>
        <w:rPr>
          <w:rFonts w:ascii="Times New Roman" w:eastAsia="Times New Roman"/>
          <w:b/>
          <w:sz w:val="21"/>
        </w:rPr>
        <w:t>10. </w:t>
      </w:r>
      <w:r>
        <w:rPr>
          <w:sz w:val="21"/>
        </w:rPr>
        <w:t>重度头部外伤</w:t>
      </w:r>
    </w:p>
    <w:p>
      <w:pPr>
        <w:pStyle w:val="BodyText"/>
        <w:spacing w:line="235" w:lineRule="auto" w:before="61"/>
        <w:ind w:left="173" w:right="117"/>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r>
        <w:rPr/>
        <w:t>射断层扫描（</w:t>
      </w:r>
      <w:r>
        <w:rPr>
          <w:rFonts w:ascii="Times New Roman" w:eastAsia="Times New Roman"/>
        </w:rPr>
        <w:t>PET</w:t>
      </w:r>
      <w:r>
        <w:rPr/>
        <w:t>）等影像学检查证实。神经系统永久性的功能障碍，指</w:t>
      </w:r>
      <w:r>
        <w:rPr>
          <w:spacing w:val="-13"/>
        </w:rPr>
        <w:t>脑损伤 </w:t>
      </w:r>
      <w:r>
        <w:rPr>
          <w:rFonts w:ascii="Times New Roman" w:eastAsia="Times New Roman"/>
        </w:rPr>
        <w:t>180 </w:t>
      </w:r>
      <w:r>
        <w:rPr>
          <w:spacing w:val="-9"/>
        </w:rPr>
        <w:t>天后，仍完全丧失自主生活能力，无法独立完成六项基本日常</w:t>
      </w:r>
      <w:r>
        <w:rPr>
          <w:spacing w:val="-5"/>
        </w:rPr>
        <w:t>生活活动中的二项或以上。</w:t>
      </w:r>
    </w:p>
    <w:sectPr>
      <w:type w:val="continuous"/>
      <w:pgSz w:w="11900" w:h="16840"/>
      <w:pgMar w:top="1220" w:bottom="280" w:left="1680" w:right="1120"/>
      <w:cols w:num="2" w:equalWidth="0">
        <w:col w:w="2055" w:space="40"/>
        <w:col w:w="70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2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1">
    <w:multiLevelType w:val="hybridMultilevel"/>
    <w:lvl w:ilvl="0">
      <w:start w:val="19"/>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10">
    <w:multiLevelType w:val="hybridMultilevel"/>
    <w:lvl w:ilvl="0">
      <w:start w:val="16"/>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9">
    <w:multiLevelType w:val="hybridMultilevel"/>
    <w:lvl w:ilvl="0">
      <w:start w:val="10"/>
      <w:numFmt w:val="decimal"/>
      <w:lvlText w:val="%1."/>
      <w:lvlJc w:val="left"/>
      <w:pPr>
        <w:ind w:left="590" w:hanging="296"/>
        <w:jc w:val="left"/>
      </w:pPr>
      <w:rPr>
        <w:rFonts w:hint="default" w:ascii="Times New Roman" w:hAnsi="Times New Roman" w:eastAsia="Times New Roman" w:cs="Times New Roman"/>
        <w:b/>
        <w:bCs/>
        <w:w w:val="100"/>
        <w:sz w:val="21"/>
        <w:szCs w:val="21"/>
      </w:rPr>
    </w:lvl>
    <w:lvl w:ilvl="1">
      <w:start w:val="0"/>
      <w:numFmt w:val="bullet"/>
      <w:lvlText w:val="•"/>
      <w:lvlJc w:val="left"/>
      <w:pPr>
        <w:ind w:left="745" w:hanging="296"/>
      </w:pPr>
      <w:rPr>
        <w:rFonts w:hint="default"/>
      </w:rPr>
    </w:lvl>
    <w:lvl w:ilvl="2">
      <w:start w:val="0"/>
      <w:numFmt w:val="bullet"/>
      <w:lvlText w:val="•"/>
      <w:lvlJc w:val="left"/>
      <w:pPr>
        <w:ind w:left="890" w:hanging="296"/>
      </w:pPr>
      <w:rPr>
        <w:rFonts w:hint="default"/>
      </w:rPr>
    </w:lvl>
    <w:lvl w:ilvl="3">
      <w:start w:val="0"/>
      <w:numFmt w:val="bullet"/>
      <w:lvlText w:val="•"/>
      <w:lvlJc w:val="left"/>
      <w:pPr>
        <w:ind w:left="1036" w:hanging="296"/>
      </w:pPr>
      <w:rPr>
        <w:rFonts w:hint="default"/>
      </w:rPr>
    </w:lvl>
    <w:lvl w:ilvl="4">
      <w:start w:val="0"/>
      <w:numFmt w:val="bullet"/>
      <w:lvlText w:val="•"/>
      <w:lvlJc w:val="left"/>
      <w:pPr>
        <w:ind w:left="1181" w:hanging="296"/>
      </w:pPr>
      <w:rPr>
        <w:rFonts w:hint="default"/>
      </w:rPr>
    </w:lvl>
    <w:lvl w:ilvl="5">
      <w:start w:val="0"/>
      <w:numFmt w:val="bullet"/>
      <w:lvlText w:val="•"/>
      <w:lvlJc w:val="left"/>
      <w:pPr>
        <w:ind w:left="1327" w:hanging="296"/>
      </w:pPr>
      <w:rPr>
        <w:rFonts w:hint="default"/>
      </w:rPr>
    </w:lvl>
    <w:lvl w:ilvl="6">
      <w:start w:val="0"/>
      <w:numFmt w:val="bullet"/>
      <w:lvlText w:val="•"/>
      <w:lvlJc w:val="left"/>
      <w:pPr>
        <w:ind w:left="1472" w:hanging="296"/>
      </w:pPr>
      <w:rPr>
        <w:rFonts w:hint="default"/>
      </w:rPr>
    </w:lvl>
    <w:lvl w:ilvl="7">
      <w:start w:val="0"/>
      <w:numFmt w:val="bullet"/>
      <w:lvlText w:val="•"/>
      <w:lvlJc w:val="left"/>
      <w:pPr>
        <w:ind w:left="1617" w:hanging="296"/>
      </w:pPr>
      <w:rPr>
        <w:rFonts w:hint="default"/>
      </w:rPr>
    </w:lvl>
    <w:lvl w:ilvl="8">
      <w:start w:val="0"/>
      <w:numFmt w:val="bullet"/>
      <w:lvlText w:val="•"/>
      <w:lvlJc w:val="left"/>
      <w:pPr>
        <w:ind w:left="1763" w:hanging="296"/>
      </w:pPr>
      <w:rPr>
        <w:rFonts w:hint="default"/>
      </w:rPr>
    </w:lvl>
  </w:abstractNum>
  <w:abstractNum w:abstractNumId="8">
    <w:multiLevelType w:val="hybridMultilevel"/>
    <w:lvl w:ilvl="0">
      <w:start w:val="7"/>
      <w:numFmt w:val="decimal"/>
      <w:lvlText w:val="%1"/>
      <w:lvlJc w:val="left"/>
      <w:pPr>
        <w:ind w:left="2375" w:hanging="574"/>
        <w:jc w:val="left"/>
      </w:pPr>
      <w:rPr>
        <w:rFonts w:hint="default"/>
      </w:rPr>
    </w:lvl>
    <w:lvl w:ilvl="1">
      <w:start w:val="11"/>
      <w:numFmt w:val="decimal"/>
      <w:lvlText w:val="%1.%2"/>
      <w:lvlJc w:val="left"/>
      <w:pPr>
        <w:ind w:left="2375" w:hanging="574"/>
        <w:jc w:val="lef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784" w:hanging="574"/>
      </w:pPr>
      <w:rPr>
        <w:rFonts w:hint="default"/>
      </w:rPr>
    </w:lvl>
    <w:lvl w:ilvl="3">
      <w:start w:val="0"/>
      <w:numFmt w:val="bullet"/>
      <w:lvlText w:val="•"/>
      <w:lvlJc w:val="left"/>
      <w:pPr>
        <w:ind w:left="4486" w:hanging="574"/>
      </w:pPr>
      <w:rPr>
        <w:rFonts w:hint="default"/>
      </w:rPr>
    </w:lvl>
    <w:lvl w:ilvl="4">
      <w:start w:val="0"/>
      <w:numFmt w:val="bullet"/>
      <w:lvlText w:val="•"/>
      <w:lvlJc w:val="left"/>
      <w:pPr>
        <w:ind w:left="5188" w:hanging="574"/>
      </w:pPr>
      <w:rPr>
        <w:rFonts w:hint="default"/>
      </w:rPr>
    </w:lvl>
    <w:lvl w:ilvl="5">
      <w:start w:val="0"/>
      <w:numFmt w:val="bullet"/>
      <w:lvlText w:val="•"/>
      <w:lvlJc w:val="left"/>
      <w:pPr>
        <w:ind w:left="5890" w:hanging="574"/>
      </w:pPr>
      <w:rPr>
        <w:rFonts w:hint="default"/>
      </w:rPr>
    </w:lvl>
    <w:lvl w:ilvl="6">
      <w:start w:val="0"/>
      <w:numFmt w:val="bullet"/>
      <w:lvlText w:val="•"/>
      <w:lvlJc w:val="left"/>
      <w:pPr>
        <w:ind w:left="6592" w:hanging="574"/>
      </w:pPr>
      <w:rPr>
        <w:rFonts w:hint="default"/>
      </w:rPr>
    </w:lvl>
    <w:lvl w:ilvl="7">
      <w:start w:val="0"/>
      <w:numFmt w:val="bullet"/>
      <w:lvlText w:val="•"/>
      <w:lvlJc w:val="left"/>
      <w:pPr>
        <w:ind w:left="7294" w:hanging="574"/>
      </w:pPr>
      <w:rPr>
        <w:rFonts w:hint="default"/>
      </w:rPr>
    </w:lvl>
    <w:lvl w:ilvl="8">
      <w:start w:val="0"/>
      <w:numFmt w:val="bullet"/>
      <w:lvlText w:val="•"/>
      <w:lvlJc w:val="left"/>
      <w:pPr>
        <w:ind w:left="7996" w:hanging="574"/>
      </w:pPr>
      <w:rPr>
        <w:rFonts w:hint="default"/>
      </w:rPr>
    </w:lvl>
  </w:abstractNum>
  <w:abstractNum w:abstractNumId="7">
    <w:multiLevelType w:val="hybridMultilevel"/>
    <w:lvl w:ilvl="0">
      <w:start w:val="7"/>
      <w:numFmt w:val="decimal"/>
      <w:lvlText w:val="%1"/>
      <w:lvlJc w:val="left"/>
      <w:pPr>
        <w:ind w:left="2627" w:hanging="481"/>
        <w:jc w:val="left"/>
      </w:pPr>
      <w:rPr>
        <w:rFonts w:hint="default"/>
      </w:rPr>
    </w:lvl>
    <w:lvl w:ilvl="1">
      <w:start w:val="1"/>
      <w:numFmt w:val="decimal"/>
      <w:lvlText w:val="%1.%2"/>
      <w:lvlJc w:val="left"/>
      <w:pPr>
        <w:ind w:left="2627"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16" w:hanging="481"/>
      </w:pPr>
      <w:rPr>
        <w:rFonts w:hint="default"/>
      </w:rPr>
    </w:lvl>
    <w:lvl w:ilvl="3">
      <w:start w:val="0"/>
      <w:numFmt w:val="bullet"/>
      <w:lvlText w:val="•"/>
      <w:lvlJc w:val="left"/>
      <w:pPr>
        <w:ind w:left="4714" w:hanging="481"/>
      </w:pPr>
      <w:rPr>
        <w:rFonts w:hint="default"/>
      </w:rPr>
    </w:lvl>
    <w:lvl w:ilvl="4">
      <w:start w:val="0"/>
      <w:numFmt w:val="bullet"/>
      <w:lvlText w:val="•"/>
      <w:lvlJc w:val="left"/>
      <w:pPr>
        <w:ind w:left="5412" w:hanging="481"/>
      </w:pPr>
      <w:rPr>
        <w:rFonts w:hint="default"/>
      </w:rPr>
    </w:lvl>
    <w:lvl w:ilvl="5">
      <w:start w:val="0"/>
      <w:numFmt w:val="bullet"/>
      <w:lvlText w:val="•"/>
      <w:lvlJc w:val="left"/>
      <w:pPr>
        <w:ind w:left="6110" w:hanging="481"/>
      </w:pPr>
      <w:rPr>
        <w:rFonts w:hint="default"/>
      </w:rPr>
    </w:lvl>
    <w:lvl w:ilvl="6">
      <w:start w:val="0"/>
      <w:numFmt w:val="bullet"/>
      <w:lvlText w:val="•"/>
      <w:lvlJc w:val="left"/>
      <w:pPr>
        <w:ind w:left="6808" w:hanging="481"/>
      </w:pPr>
      <w:rPr>
        <w:rFonts w:hint="default"/>
      </w:rPr>
    </w:lvl>
    <w:lvl w:ilvl="7">
      <w:start w:val="0"/>
      <w:numFmt w:val="bullet"/>
      <w:lvlText w:val="•"/>
      <w:lvlJc w:val="left"/>
      <w:pPr>
        <w:ind w:left="7506" w:hanging="481"/>
      </w:pPr>
      <w:rPr>
        <w:rFonts w:hint="default"/>
      </w:rPr>
    </w:lvl>
    <w:lvl w:ilvl="8">
      <w:start w:val="0"/>
      <w:numFmt w:val="bullet"/>
      <w:lvlText w:val="•"/>
      <w:lvlJc w:val="left"/>
      <w:pPr>
        <w:ind w:left="8204" w:hanging="481"/>
      </w:pPr>
      <w:rPr>
        <w:rFonts w:hint="default"/>
      </w:rPr>
    </w:lvl>
  </w:abstractNum>
  <w:abstractNum w:abstractNumId="6">
    <w:multiLevelType w:val="hybridMultilevel"/>
    <w:lvl w:ilvl="0">
      <w:start w:val="1"/>
      <w:numFmt w:val="decimal"/>
      <w:lvlText w:val="（%1）"/>
      <w:lvlJc w:val="left"/>
      <w:pPr>
        <w:ind w:left="3348" w:hanging="720"/>
        <w:jc w:val="right"/>
      </w:pPr>
      <w:rPr>
        <w:rFonts w:hint="default" w:ascii="宋体" w:hAnsi="宋体" w:eastAsia="宋体" w:cs="宋体"/>
        <w:w w:val="100"/>
        <w:sz w:val="21"/>
        <w:szCs w:val="21"/>
      </w:rPr>
    </w:lvl>
    <w:lvl w:ilvl="1">
      <w:start w:val="0"/>
      <w:numFmt w:val="bullet"/>
      <w:lvlText w:val="•"/>
      <w:lvlJc w:val="left"/>
      <w:pPr>
        <w:ind w:left="3740" w:hanging="720"/>
      </w:pPr>
      <w:rPr>
        <w:rFonts w:hint="default"/>
      </w:rPr>
    </w:lvl>
    <w:lvl w:ilvl="2">
      <w:start w:val="0"/>
      <w:numFmt w:val="bullet"/>
      <w:lvlText w:val="•"/>
      <w:lvlJc w:val="left"/>
      <w:pPr>
        <w:ind w:left="4140" w:hanging="720"/>
      </w:pPr>
      <w:rPr>
        <w:rFonts w:hint="default"/>
      </w:rPr>
    </w:lvl>
    <w:lvl w:ilvl="3">
      <w:start w:val="0"/>
      <w:numFmt w:val="bullet"/>
      <w:lvlText w:val="•"/>
      <w:lvlJc w:val="left"/>
      <w:pPr>
        <w:ind w:left="4541" w:hanging="720"/>
      </w:pPr>
      <w:rPr>
        <w:rFonts w:hint="default"/>
      </w:rPr>
    </w:lvl>
    <w:lvl w:ilvl="4">
      <w:start w:val="0"/>
      <w:numFmt w:val="bullet"/>
      <w:lvlText w:val="•"/>
      <w:lvlJc w:val="left"/>
      <w:pPr>
        <w:ind w:left="4941" w:hanging="720"/>
      </w:pPr>
      <w:rPr>
        <w:rFonts w:hint="default"/>
      </w:rPr>
    </w:lvl>
    <w:lvl w:ilvl="5">
      <w:start w:val="0"/>
      <w:numFmt w:val="bullet"/>
      <w:lvlText w:val="•"/>
      <w:lvlJc w:val="left"/>
      <w:pPr>
        <w:ind w:left="5342" w:hanging="720"/>
      </w:pPr>
      <w:rPr>
        <w:rFonts w:hint="default"/>
      </w:rPr>
    </w:lvl>
    <w:lvl w:ilvl="6">
      <w:start w:val="0"/>
      <w:numFmt w:val="bullet"/>
      <w:lvlText w:val="•"/>
      <w:lvlJc w:val="left"/>
      <w:pPr>
        <w:ind w:left="5742" w:hanging="720"/>
      </w:pPr>
      <w:rPr>
        <w:rFonts w:hint="default"/>
      </w:rPr>
    </w:lvl>
    <w:lvl w:ilvl="7">
      <w:start w:val="0"/>
      <w:numFmt w:val="bullet"/>
      <w:lvlText w:val="•"/>
      <w:lvlJc w:val="left"/>
      <w:pPr>
        <w:ind w:left="6143" w:hanging="720"/>
      </w:pPr>
      <w:rPr>
        <w:rFonts w:hint="default"/>
      </w:rPr>
    </w:lvl>
    <w:lvl w:ilvl="8">
      <w:start w:val="0"/>
      <w:numFmt w:val="bullet"/>
      <w:lvlText w:val="•"/>
      <w:lvlJc w:val="left"/>
      <w:pPr>
        <w:ind w:left="6543" w:hanging="720"/>
      </w:pPr>
      <w:rPr>
        <w:rFonts w:hint="default"/>
      </w:rPr>
    </w:lvl>
  </w:abstractNum>
  <w:abstractNum w:abstractNumId="5">
    <w:multiLevelType w:val="hybridMultilevel"/>
    <w:lvl w:ilvl="0">
      <w:start w:val="1"/>
      <w:numFmt w:val="decimal"/>
      <w:lvlText w:val="（%1）"/>
      <w:lvlJc w:val="left"/>
      <w:pPr>
        <w:ind w:left="1092" w:hanging="720"/>
        <w:jc w:val="left"/>
      </w:pPr>
      <w:rPr>
        <w:rFonts w:hint="default" w:ascii="宋体" w:hAnsi="宋体" w:eastAsia="宋体" w:cs="宋体"/>
        <w:w w:val="100"/>
        <w:sz w:val="21"/>
        <w:szCs w:val="21"/>
      </w:rPr>
    </w:lvl>
    <w:lvl w:ilvl="1">
      <w:start w:val="0"/>
      <w:numFmt w:val="bullet"/>
      <w:lvlText w:val="•"/>
      <w:lvlJc w:val="left"/>
      <w:pPr>
        <w:ind w:left="1724" w:hanging="720"/>
      </w:pPr>
      <w:rPr>
        <w:rFonts w:hint="default"/>
      </w:rPr>
    </w:lvl>
    <w:lvl w:ilvl="2">
      <w:start w:val="0"/>
      <w:numFmt w:val="bullet"/>
      <w:lvlText w:val="•"/>
      <w:lvlJc w:val="left"/>
      <w:pPr>
        <w:ind w:left="2348" w:hanging="720"/>
      </w:pPr>
      <w:rPr>
        <w:rFonts w:hint="default"/>
      </w:rPr>
    </w:lvl>
    <w:lvl w:ilvl="3">
      <w:start w:val="0"/>
      <w:numFmt w:val="bullet"/>
      <w:lvlText w:val="•"/>
      <w:lvlJc w:val="left"/>
      <w:pPr>
        <w:ind w:left="2973" w:hanging="720"/>
      </w:pPr>
      <w:rPr>
        <w:rFonts w:hint="default"/>
      </w:rPr>
    </w:lvl>
    <w:lvl w:ilvl="4">
      <w:start w:val="0"/>
      <w:numFmt w:val="bullet"/>
      <w:lvlText w:val="•"/>
      <w:lvlJc w:val="left"/>
      <w:pPr>
        <w:ind w:left="3597"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846" w:hanging="720"/>
      </w:pPr>
      <w:rPr>
        <w:rFonts w:hint="default"/>
      </w:rPr>
    </w:lvl>
    <w:lvl w:ilvl="7">
      <w:start w:val="0"/>
      <w:numFmt w:val="bullet"/>
      <w:lvlText w:val="•"/>
      <w:lvlJc w:val="left"/>
      <w:pPr>
        <w:ind w:left="5471" w:hanging="720"/>
      </w:pPr>
      <w:rPr>
        <w:rFonts w:hint="default"/>
      </w:rPr>
    </w:lvl>
    <w:lvl w:ilvl="8">
      <w:start w:val="0"/>
      <w:numFmt w:val="bullet"/>
      <w:lvlText w:val="•"/>
      <w:lvlJc w:val="left"/>
      <w:pPr>
        <w:ind w:left="6095" w:hanging="720"/>
      </w:pPr>
      <w:rPr>
        <w:rFonts w:hint="default"/>
      </w:rPr>
    </w:lvl>
  </w:abstractNum>
  <w:abstractNum w:abstractNumId="4">
    <w:multiLevelType w:val="hybridMultilevel"/>
    <w:lvl w:ilvl="0">
      <w:start w:val="4"/>
      <w:numFmt w:val="decimal"/>
      <w:lvlText w:val="%1"/>
      <w:lvlJc w:val="left"/>
      <w:pPr>
        <w:ind w:left="950" w:hanging="481"/>
        <w:jc w:val="left"/>
      </w:pPr>
      <w:rPr>
        <w:rFonts w:hint="default"/>
      </w:rPr>
    </w:lvl>
    <w:lvl w:ilvl="1">
      <w:start w:val="1"/>
      <w:numFmt w:val="decimal"/>
      <w:lvlText w:val="%1.%2"/>
      <w:lvlJc w:val="left"/>
      <w:pPr>
        <w:ind w:left="950"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1"/>
      </w:pPr>
      <w:rPr>
        <w:rFonts w:hint="default"/>
      </w:rPr>
    </w:lvl>
    <w:lvl w:ilvl="3">
      <w:start w:val="0"/>
      <w:numFmt w:val="bullet"/>
      <w:lvlText w:val="•"/>
      <w:lvlJc w:val="left"/>
      <w:pPr>
        <w:ind w:left="1336" w:hanging="481"/>
      </w:pPr>
      <w:rPr>
        <w:rFonts w:hint="default"/>
      </w:rPr>
    </w:lvl>
    <w:lvl w:ilvl="4">
      <w:start w:val="0"/>
      <w:numFmt w:val="bullet"/>
      <w:lvlText w:val="•"/>
      <w:lvlJc w:val="left"/>
      <w:pPr>
        <w:ind w:left="1462" w:hanging="481"/>
      </w:pPr>
      <w:rPr>
        <w:rFonts w:hint="default"/>
      </w:rPr>
    </w:lvl>
    <w:lvl w:ilvl="5">
      <w:start w:val="0"/>
      <w:numFmt w:val="bullet"/>
      <w:lvlText w:val="•"/>
      <w:lvlJc w:val="left"/>
      <w:pPr>
        <w:ind w:left="1587" w:hanging="481"/>
      </w:pPr>
      <w:rPr>
        <w:rFonts w:hint="default"/>
      </w:rPr>
    </w:lvl>
    <w:lvl w:ilvl="6">
      <w:start w:val="0"/>
      <w:numFmt w:val="bullet"/>
      <w:lvlText w:val="•"/>
      <w:lvlJc w:val="left"/>
      <w:pPr>
        <w:ind w:left="1713" w:hanging="481"/>
      </w:pPr>
      <w:rPr>
        <w:rFonts w:hint="default"/>
      </w:rPr>
    </w:lvl>
    <w:lvl w:ilvl="7">
      <w:start w:val="0"/>
      <w:numFmt w:val="bullet"/>
      <w:lvlText w:val="•"/>
      <w:lvlJc w:val="left"/>
      <w:pPr>
        <w:ind w:left="1838" w:hanging="481"/>
      </w:pPr>
      <w:rPr>
        <w:rFonts w:hint="default"/>
      </w:rPr>
    </w:lvl>
    <w:lvl w:ilvl="8">
      <w:start w:val="0"/>
      <w:numFmt w:val="bullet"/>
      <w:lvlText w:val="•"/>
      <w:lvlJc w:val="left"/>
      <w:pPr>
        <w:ind w:left="1964" w:hanging="481"/>
      </w:pPr>
      <w:rPr>
        <w:rFonts w:hint="default"/>
      </w:rPr>
    </w:lvl>
  </w:abstractNum>
  <w:abstractNum w:abstractNumId="3">
    <w:multiLevelType w:val="hybridMultilevel"/>
    <w:lvl w:ilvl="0">
      <w:start w:val="1"/>
      <w:numFmt w:val="decimal"/>
      <w:lvlText w:val="%1."/>
      <w:lvlJc w:val="left"/>
      <w:pPr>
        <w:ind w:left="2688" w:hanging="420"/>
        <w:jc w:val="left"/>
      </w:pPr>
      <w:rPr>
        <w:rFonts w:hint="default" w:ascii="宋体" w:hAnsi="宋体" w:eastAsia="宋体" w:cs="宋体"/>
        <w:w w:val="100"/>
        <w:sz w:val="21"/>
        <w:szCs w:val="21"/>
      </w:rPr>
    </w:lvl>
    <w:lvl w:ilvl="1">
      <w:start w:val="0"/>
      <w:numFmt w:val="bullet"/>
      <w:lvlText w:val="•"/>
      <w:lvlJc w:val="left"/>
      <w:pPr>
        <w:ind w:left="3324" w:hanging="420"/>
      </w:pPr>
      <w:rPr>
        <w:rFonts w:hint="default"/>
      </w:rPr>
    </w:lvl>
    <w:lvl w:ilvl="2">
      <w:start w:val="0"/>
      <w:numFmt w:val="bullet"/>
      <w:lvlText w:val="•"/>
      <w:lvlJc w:val="left"/>
      <w:pPr>
        <w:ind w:left="3968" w:hanging="420"/>
      </w:pPr>
      <w:rPr>
        <w:rFonts w:hint="default"/>
      </w:rPr>
    </w:lvl>
    <w:lvl w:ilvl="3">
      <w:start w:val="0"/>
      <w:numFmt w:val="bullet"/>
      <w:lvlText w:val="•"/>
      <w:lvlJc w:val="left"/>
      <w:pPr>
        <w:ind w:left="4612" w:hanging="420"/>
      </w:pPr>
      <w:rPr>
        <w:rFonts w:hint="default"/>
      </w:rPr>
    </w:lvl>
    <w:lvl w:ilvl="4">
      <w:start w:val="0"/>
      <w:numFmt w:val="bullet"/>
      <w:lvlText w:val="•"/>
      <w:lvlJc w:val="left"/>
      <w:pPr>
        <w:ind w:left="5256" w:hanging="420"/>
      </w:pPr>
      <w:rPr>
        <w:rFonts w:hint="default"/>
      </w:rPr>
    </w:lvl>
    <w:lvl w:ilvl="5">
      <w:start w:val="0"/>
      <w:numFmt w:val="bullet"/>
      <w:lvlText w:val="•"/>
      <w:lvlJc w:val="left"/>
      <w:pPr>
        <w:ind w:left="5900" w:hanging="420"/>
      </w:pPr>
      <w:rPr>
        <w:rFonts w:hint="default"/>
      </w:rPr>
    </w:lvl>
    <w:lvl w:ilvl="6">
      <w:start w:val="0"/>
      <w:numFmt w:val="bullet"/>
      <w:lvlText w:val="•"/>
      <w:lvlJc w:val="left"/>
      <w:pPr>
        <w:ind w:left="6544" w:hanging="420"/>
      </w:pPr>
      <w:rPr>
        <w:rFonts w:hint="default"/>
      </w:rPr>
    </w:lvl>
    <w:lvl w:ilvl="7">
      <w:start w:val="0"/>
      <w:numFmt w:val="bullet"/>
      <w:lvlText w:val="•"/>
      <w:lvlJc w:val="left"/>
      <w:pPr>
        <w:ind w:left="7188" w:hanging="420"/>
      </w:pPr>
      <w:rPr>
        <w:rFonts w:hint="default"/>
      </w:rPr>
    </w:lvl>
    <w:lvl w:ilvl="8">
      <w:start w:val="0"/>
      <w:numFmt w:val="bullet"/>
      <w:lvlText w:val="•"/>
      <w:lvlJc w:val="left"/>
      <w:pPr>
        <w:ind w:left="7832" w:hanging="420"/>
      </w:pPr>
      <w:rPr>
        <w:rFonts w:hint="default"/>
      </w:rPr>
    </w:lvl>
  </w:abstractNum>
  <w:abstractNum w:abstractNumId="2">
    <w:multiLevelType w:val="hybridMultilevel"/>
    <w:lvl w:ilvl="0">
      <w:start w:val="2"/>
      <w:numFmt w:val="decimal"/>
      <w:lvlText w:val="%1"/>
      <w:lvlJc w:val="left"/>
      <w:pPr>
        <w:ind w:left="950" w:hanging="481"/>
        <w:jc w:val="left"/>
      </w:pPr>
      <w:rPr>
        <w:rFonts w:hint="default"/>
      </w:rPr>
    </w:lvl>
    <w:lvl w:ilvl="1">
      <w:start w:val="1"/>
      <w:numFmt w:val="decimal"/>
      <w:lvlText w:val="%1.%2"/>
      <w:lvlJc w:val="left"/>
      <w:pPr>
        <w:ind w:left="2267" w:hanging="481"/>
        <w:jc w:val="righ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2990" w:hanging="720"/>
        <w:jc w:val="left"/>
      </w:pPr>
      <w:rPr>
        <w:rFonts w:hint="default" w:ascii="宋体" w:hAnsi="宋体" w:eastAsia="宋体" w:cs="宋体"/>
        <w:w w:val="100"/>
        <w:sz w:val="21"/>
        <w:szCs w:val="21"/>
      </w:rPr>
    </w:lvl>
    <w:lvl w:ilvl="3">
      <w:start w:val="0"/>
      <w:numFmt w:val="bullet"/>
      <w:lvlText w:val="•"/>
      <w:lvlJc w:val="left"/>
      <w:pPr>
        <w:ind w:left="3765" w:hanging="720"/>
      </w:pPr>
      <w:rPr>
        <w:rFonts w:hint="default"/>
      </w:rPr>
    </w:lvl>
    <w:lvl w:ilvl="4">
      <w:start w:val="0"/>
      <w:numFmt w:val="bullet"/>
      <w:lvlText w:val="•"/>
      <w:lvlJc w:val="left"/>
      <w:pPr>
        <w:ind w:left="4530" w:hanging="720"/>
      </w:pPr>
      <w:rPr>
        <w:rFonts w:hint="default"/>
      </w:rPr>
    </w:lvl>
    <w:lvl w:ilvl="5">
      <w:start w:val="0"/>
      <w:numFmt w:val="bullet"/>
      <w:lvlText w:val="•"/>
      <w:lvlJc w:val="left"/>
      <w:pPr>
        <w:ind w:left="5295" w:hanging="720"/>
      </w:pPr>
      <w:rPr>
        <w:rFonts w:hint="default"/>
      </w:rPr>
    </w:lvl>
    <w:lvl w:ilvl="6">
      <w:start w:val="0"/>
      <w:numFmt w:val="bullet"/>
      <w:lvlText w:val="•"/>
      <w:lvlJc w:val="left"/>
      <w:pPr>
        <w:ind w:left="6060" w:hanging="720"/>
      </w:pPr>
      <w:rPr>
        <w:rFonts w:hint="default"/>
      </w:rPr>
    </w:lvl>
    <w:lvl w:ilvl="7">
      <w:start w:val="0"/>
      <w:numFmt w:val="bullet"/>
      <w:lvlText w:val="•"/>
      <w:lvlJc w:val="left"/>
      <w:pPr>
        <w:ind w:left="6825" w:hanging="720"/>
      </w:pPr>
      <w:rPr>
        <w:rFonts w:hint="default"/>
      </w:rPr>
    </w:lvl>
    <w:lvl w:ilvl="8">
      <w:start w:val="0"/>
      <w:numFmt w:val="bullet"/>
      <w:lvlText w:val="•"/>
      <w:lvlJc w:val="left"/>
      <w:pPr>
        <w:ind w:left="7590" w:hanging="720"/>
      </w:pPr>
      <w:rPr>
        <w:rFonts w:hint="default"/>
      </w:rPr>
    </w:lvl>
  </w:abstractNum>
  <w:abstractNum w:abstractNumId="1">
    <w:multiLevelType w:val="hybridMultilevel"/>
    <w:lvl w:ilvl="0">
      <w:start w:val="1"/>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11" w:hanging="480"/>
      </w:pPr>
      <w:rPr>
        <w:rFonts w:hint="default"/>
      </w:rPr>
    </w:lvl>
    <w:lvl w:ilvl="3">
      <w:start w:val="0"/>
      <w:numFmt w:val="bullet"/>
      <w:lvlText w:val="•"/>
      <w:lvlJc w:val="left"/>
      <w:pPr>
        <w:ind w:left="1336" w:hanging="480"/>
      </w:pPr>
      <w:rPr>
        <w:rFonts w:hint="default"/>
      </w:rPr>
    </w:lvl>
    <w:lvl w:ilvl="4">
      <w:start w:val="0"/>
      <w:numFmt w:val="bullet"/>
      <w:lvlText w:val="•"/>
      <w:lvlJc w:val="left"/>
      <w:pPr>
        <w:ind w:left="1462" w:hanging="480"/>
      </w:pPr>
      <w:rPr>
        <w:rFonts w:hint="default"/>
      </w:rPr>
    </w:lvl>
    <w:lvl w:ilvl="5">
      <w:start w:val="0"/>
      <w:numFmt w:val="bullet"/>
      <w:lvlText w:val="•"/>
      <w:lvlJc w:val="left"/>
      <w:pPr>
        <w:ind w:left="1587" w:hanging="480"/>
      </w:pPr>
      <w:rPr>
        <w:rFonts w:hint="default"/>
      </w:rPr>
    </w:lvl>
    <w:lvl w:ilvl="6">
      <w:start w:val="0"/>
      <w:numFmt w:val="bullet"/>
      <w:lvlText w:val="•"/>
      <w:lvlJc w:val="left"/>
      <w:pPr>
        <w:ind w:left="1713" w:hanging="480"/>
      </w:pPr>
      <w:rPr>
        <w:rFonts w:hint="default"/>
      </w:rPr>
    </w:lvl>
    <w:lvl w:ilvl="7">
      <w:start w:val="0"/>
      <w:numFmt w:val="bullet"/>
      <w:lvlText w:val="•"/>
      <w:lvlJc w:val="left"/>
      <w:pPr>
        <w:ind w:left="1838" w:hanging="480"/>
      </w:pPr>
      <w:rPr>
        <w:rFonts w:hint="default"/>
      </w:rPr>
    </w:lvl>
    <w:lvl w:ilvl="8">
      <w:start w:val="0"/>
      <w:numFmt w:val="bullet"/>
      <w:lvlText w:val="•"/>
      <w:lvlJc w:val="left"/>
      <w:pPr>
        <w:ind w:left="1964"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5"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8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90" w:hanging="2"/>
    </w:pPr>
    <w:rPr>
      <w:rFonts w:ascii="宋体" w:hAnsi="宋体" w:eastAsia="宋体" w:cs="宋体"/>
    </w:rPr>
  </w:style>
  <w:style w:styleId="TableParagraph" w:type="paragraph">
    <w:name w:val="Table Paragraph"/>
    <w:basedOn w:val="Normal"/>
    <w:uiPriority w:val="1"/>
    <w:qFormat/>
    <w:pPr>
      <w:ind w:left="1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CJRA20120101</dc:title>
  <dcterms:created xsi:type="dcterms:W3CDTF">2018-10-20T00:09:18Z</dcterms:created>
  <dcterms:modified xsi:type="dcterms:W3CDTF">2018-10-20T00:09:18Z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PDFCreator 1.9.1.0</vt:lpwstr>
  </property>
  <property fmtid="{D5CDD505-2E9C-101B-9397-08002B2CF9AE}" pid="4" name="LastSaved">
    <vt:filetime>2018-10-19T00:00:00Z</vt:filetime>
  </property>
</Properties>
</file>