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41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交银康联[2011]疾病保险 008 号</w:t>
      </w:r>
    </w:p>
    <w:p>
      <w:pPr>
        <w:pStyle w:val="BodyText"/>
        <w:ind w:right="417"/>
        <w:jc w:val="right"/>
      </w:pPr>
      <w:r>
        <w:rPr/>
        <w:t>请扫描以查询验证条款</w:t>
      </w:r>
    </w:p>
    <w:p>
      <w:pPr>
        <w:pStyle w:val="Heading1"/>
        <w:spacing w:before="20"/>
        <w:ind w:right="319"/>
        <w:jc w:val="center"/>
      </w:pPr>
      <w:r>
        <w:rPr/>
        <w:pict>
          <v:line style="position:absolute;mso-position-horizontal-relative:page;mso-position-vertical-relative:paragraph;z-index:-27496" from="49.560001pt,2.966659pt" to="545.760001pt,2.966659pt" stroked="true" strokeweight=".71997pt" strokecolor="#000000">
            <v:stroke dashstyle="solid"/>
            <w10:wrap type="none"/>
          </v:line>
        </w:pict>
      </w:r>
      <w:r>
        <w:rPr>
          <w:w w:val="95"/>
        </w:rPr>
        <w:t>交银康联附加交银健康人生重大疾病保险条款</w:t>
      </w:r>
      <w:r>
        <w:rPr>
          <w:w w:val="95"/>
          <w:vertAlign w:val="subscript"/>
        </w:rPr>
        <w:t>（2011</w:t>
      </w:r>
      <w:r>
        <w:rPr>
          <w:w w:val="95"/>
          <w:vertAlign w:val="baseline"/>
        </w:rPr>
        <w:t> 年 </w:t>
      </w:r>
      <w:r>
        <w:rPr>
          <w:w w:val="95"/>
          <w:vertAlign w:val="subscript"/>
        </w:rPr>
        <w:t>2</w:t>
      </w:r>
      <w:r>
        <w:rPr>
          <w:w w:val="95"/>
          <w:vertAlign w:val="baseline"/>
        </w:rPr>
        <w:t> 月</w:t>
      </w:r>
      <w:r>
        <w:rPr>
          <w:w w:val="95"/>
          <w:vertAlign w:val="subscript"/>
        </w:rPr>
        <w:t>）</w:t>
      </w:r>
      <w:r>
        <w:rPr>
          <w:w w:val="95"/>
          <w:vertAlign w:val="baseline"/>
        </w:rPr>
      </w:r>
    </w:p>
    <w:p>
      <w:pPr>
        <w:spacing w:before="71"/>
        <w:ind w:left="43" w:right="31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48" w:right="319"/>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76"/>
        </w:rPr>
        <w:t>，</w:t>
      </w:r>
      <w:r>
        <w:rPr>
          <w:spacing w:val="-91"/>
          <w:position w:val="-7"/>
        </w:rPr>
        <w:t>．</w:t>
      </w:r>
      <w:r>
        <w:rPr>
          <w:spacing w:val="-148"/>
        </w:rPr>
        <w:t>对</w:t>
      </w:r>
      <w:r>
        <w:rPr>
          <w:spacing w:val="-118"/>
          <w:position w:val="-7"/>
        </w:rPr>
        <w:t>．</w:t>
      </w:r>
      <w:r>
        <w:rPr>
          <w:spacing w:val="-120"/>
        </w:rPr>
        <w:t>“</w:t>
      </w:r>
      <w:r>
        <w:rPr>
          <w:spacing w:val="-92"/>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健</w:t>
      </w:r>
      <w:r>
        <w:rPr>
          <w:spacing w:val="-63"/>
          <w:position w:val="-7"/>
        </w:rPr>
        <w:t>．</w:t>
      </w:r>
      <w:r>
        <w:rPr>
          <w:spacing w:val="-148"/>
        </w:rPr>
        <w:t>康</w:t>
      </w:r>
      <w:r>
        <w:rPr>
          <w:spacing w:val="-63"/>
          <w:position w:val="-7"/>
        </w:rPr>
        <w:t>．</w:t>
      </w:r>
      <w:r>
        <w:rPr>
          <w:spacing w:val="-148"/>
        </w:rPr>
        <w:t>人</w:t>
      </w:r>
      <w:r>
        <w:rPr>
          <w:spacing w:val="-63"/>
          <w:position w:val="-7"/>
        </w:rPr>
        <w:t>．</w:t>
      </w:r>
      <w:r>
        <w:rPr>
          <w:spacing w:val="-148"/>
        </w:rPr>
        <w:t>生</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90" w:val="right" w:leader="dot"/>
        </w:tabs>
        <w:spacing w:line="240" w:lineRule="auto" w:before="22" w:after="0"/>
        <w:ind w:left="1697" w:right="0" w:hanging="420"/>
        <w:jc w:val="left"/>
        <w:rPr>
          <w:sz w:val="21"/>
        </w:rPr>
      </w:pPr>
      <w:r>
        <w:rPr>
          <w:sz w:val="21"/>
        </w:rPr>
        <w:t>本附加合同必须与《交银康联交银健康人生两全保险（分红型</w:t>
      </w:r>
      <w:r>
        <w:rPr>
          <w:spacing w:val="-105"/>
          <w:sz w:val="21"/>
        </w:rPr>
        <w:t>）</w:t>
      </w:r>
      <w:r>
        <w:rPr>
          <w:sz w:val="21"/>
        </w:rPr>
        <w:t>》同时投保</w:t>
        <w:tab/>
        <w:t>1.1</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2.2</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59" w:lineRule="auto" w:before="21" w:after="0"/>
        <w:ind w:left="1697" w:right="115" w:hanging="420"/>
        <w:jc w:val="left"/>
        <w:rPr>
          <w:sz w:val="21"/>
        </w:rPr>
      </w:pPr>
      <w:r>
        <w:rPr>
          <w:spacing w:val="-1"/>
          <w:sz w:val="21"/>
        </w:rPr>
        <w:t>本公司对保障范围内的重大疾病做了定义，被保险人年满</w:t>
      </w:r>
      <w:r>
        <w:rPr>
          <w:sz w:val="21"/>
        </w:rPr>
        <w:t>18周岁前后保障的重大疾病种类有所</w:t>
      </w:r>
      <w:r>
        <w:rPr>
          <w:spacing w:val="-1"/>
          <w:sz w:val="21"/>
        </w:rPr>
        <w:t>不同，请您仔细阅读.......................................................附录一</w:t>
      </w:r>
    </w:p>
    <w:p>
      <w:pPr>
        <w:pStyle w:val="Heading3"/>
        <w:tabs>
          <w:tab w:pos="1315" w:val="left" w:leader="none"/>
        </w:tabs>
        <w:spacing w:before="23"/>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608009pt;width:459.6pt;height:274.56pt;mso-position-horizontal-relative:page;mso-position-vertical-relative:paragraph;z-index:-27472"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600"/>
        </w:sectPr>
      </w:pPr>
    </w:p>
    <w:p>
      <w:pPr>
        <w:pStyle w:val="Heading3"/>
        <w:spacing w:line="341" w:lineRule="exact" w:before="29"/>
        <w:ind w:left="1119"/>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0" w:val="left" w:leader="none"/>
        </w:tabs>
        <w:spacing w:line="238" w:lineRule="exact" w:before="0" w:after="0"/>
        <w:ind w:left="1749" w:right="0" w:hanging="420"/>
        <w:jc w:val="left"/>
        <w:rPr>
          <w:sz w:val="21"/>
        </w:rPr>
      </w:pPr>
      <w:r>
        <w:rPr>
          <w:sz w:val="21"/>
        </w:rPr>
        <w:t>合同构成</w:t>
      </w:r>
    </w:p>
    <w:p>
      <w:pPr>
        <w:pStyle w:val="ListParagraph"/>
        <w:numPr>
          <w:ilvl w:val="1"/>
          <w:numId w:val="2"/>
        </w:numPr>
        <w:tabs>
          <w:tab w:pos="1750" w:val="left" w:leader="none"/>
        </w:tabs>
        <w:spacing w:line="217" w:lineRule="exact" w:before="0" w:after="0"/>
        <w:ind w:left="1749" w:right="0" w:hanging="420"/>
        <w:jc w:val="left"/>
        <w:rPr>
          <w:sz w:val="21"/>
        </w:rPr>
      </w:pPr>
      <w:r>
        <w:rPr>
          <w:sz w:val="21"/>
        </w:rPr>
        <w:t>合同生效</w:t>
      </w:r>
    </w:p>
    <w:p>
      <w:pPr>
        <w:pStyle w:val="Heading3"/>
        <w:spacing w:line="296" w:lineRule="exact" w:before="0"/>
        <w:ind w:left="1119"/>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0" w:val="left" w:leader="none"/>
        </w:tabs>
        <w:spacing w:line="238" w:lineRule="exact" w:before="0" w:after="0"/>
        <w:ind w:left="1749" w:right="0" w:hanging="420"/>
        <w:jc w:val="left"/>
        <w:rPr>
          <w:sz w:val="21"/>
        </w:rPr>
      </w:pPr>
      <w:r>
        <w:rPr>
          <w:sz w:val="21"/>
        </w:rPr>
        <w:t>保险金额</w:t>
      </w:r>
    </w:p>
    <w:p>
      <w:pPr>
        <w:pStyle w:val="ListParagraph"/>
        <w:numPr>
          <w:ilvl w:val="1"/>
          <w:numId w:val="3"/>
        </w:numPr>
        <w:tabs>
          <w:tab w:pos="1750" w:val="left" w:leader="none"/>
        </w:tabs>
        <w:spacing w:line="250" w:lineRule="exact" w:before="0" w:after="0"/>
        <w:ind w:left="1749" w:right="0" w:hanging="420"/>
        <w:jc w:val="left"/>
        <w:rPr>
          <w:sz w:val="21"/>
        </w:rPr>
      </w:pPr>
      <w:r>
        <w:rPr>
          <w:sz w:val="21"/>
        </w:rPr>
        <w:t>保险责任</w:t>
      </w:r>
    </w:p>
    <w:p>
      <w:pPr>
        <w:pStyle w:val="ListParagraph"/>
        <w:numPr>
          <w:ilvl w:val="1"/>
          <w:numId w:val="3"/>
        </w:numPr>
        <w:tabs>
          <w:tab w:pos="1750" w:val="left" w:leader="none"/>
        </w:tabs>
        <w:spacing w:line="217" w:lineRule="exact" w:before="0" w:after="0"/>
        <w:ind w:left="1749" w:right="0" w:hanging="420"/>
        <w:jc w:val="left"/>
        <w:rPr>
          <w:sz w:val="21"/>
        </w:rPr>
      </w:pPr>
      <w:r>
        <w:rPr>
          <w:sz w:val="21"/>
        </w:rPr>
        <w:t>责任免除</w:t>
      </w:r>
    </w:p>
    <w:p>
      <w:pPr>
        <w:pStyle w:val="Heading3"/>
        <w:spacing w:line="295" w:lineRule="exact" w:before="0"/>
        <w:ind w:left="1119"/>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0" w:val="left" w:leader="none"/>
        </w:tabs>
        <w:spacing w:line="238" w:lineRule="exact" w:before="0" w:after="0"/>
        <w:ind w:left="1749" w:right="0" w:hanging="420"/>
        <w:jc w:val="left"/>
        <w:rPr>
          <w:sz w:val="21"/>
        </w:rPr>
      </w:pPr>
      <w:r>
        <w:rPr>
          <w:sz w:val="21"/>
        </w:rPr>
        <w:t>受益人</w:t>
      </w:r>
    </w:p>
    <w:p>
      <w:pPr>
        <w:pStyle w:val="ListParagraph"/>
        <w:numPr>
          <w:ilvl w:val="1"/>
          <w:numId w:val="4"/>
        </w:numPr>
        <w:tabs>
          <w:tab w:pos="1750" w:val="left" w:leader="none"/>
        </w:tabs>
        <w:spacing w:line="250" w:lineRule="exact" w:before="0" w:after="0"/>
        <w:ind w:left="1749" w:right="0" w:hanging="420"/>
        <w:jc w:val="left"/>
        <w:rPr>
          <w:sz w:val="21"/>
        </w:rPr>
      </w:pPr>
      <w:r>
        <w:rPr>
          <w:sz w:val="21"/>
        </w:rPr>
        <w:t>保险金申请</w:t>
      </w:r>
    </w:p>
    <w:p>
      <w:pPr>
        <w:pStyle w:val="ListParagraph"/>
        <w:numPr>
          <w:ilvl w:val="1"/>
          <w:numId w:val="4"/>
        </w:numPr>
        <w:tabs>
          <w:tab w:pos="1750" w:val="left" w:leader="none"/>
        </w:tabs>
        <w:spacing w:line="216" w:lineRule="exact" w:before="0" w:after="0"/>
        <w:ind w:left="1749" w:right="0" w:hanging="420"/>
        <w:jc w:val="left"/>
        <w:rPr>
          <w:sz w:val="21"/>
        </w:rPr>
      </w:pPr>
      <w:r>
        <w:rPr>
          <w:sz w:val="21"/>
        </w:rPr>
        <w:t>诉讼时效</w:t>
      </w:r>
    </w:p>
    <w:p>
      <w:pPr>
        <w:pStyle w:val="Heading3"/>
        <w:numPr>
          <w:ilvl w:val="0"/>
          <w:numId w:val="5"/>
        </w:numPr>
        <w:tabs>
          <w:tab w:pos="1436" w:val="left" w:leader="none"/>
        </w:tabs>
        <w:spacing w:line="296" w:lineRule="exact" w:before="0" w:after="0"/>
        <w:ind w:left="1435"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0" w:val="left" w:leader="none"/>
        </w:tabs>
        <w:spacing w:line="238" w:lineRule="exact" w:before="0" w:after="0"/>
        <w:ind w:left="1749" w:right="0" w:hanging="420"/>
        <w:jc w:val="left"/>
        <w:rPr>
          <w:sz w:val="21"/>
        </w:rPr>
      </w:pPr>
      <w:r>
        <w:rPr>
          <w:sz w:val="21"/>
        </w:rPr>
        <w:t>保险费的交纳</w:t>
      </w:r>
    </w:p>
    <w:p>
      <w:pPr>
        <w:pStyle w:val="ListParagraph"/>
        <w:numPr>
          <w:ilvl w:val="1"/>
          <w:numId w:val="5"/>
        </w:numPr>
        <w:tabs>
          <w:tab w:pos="1750" w:val="left" w:leader="none"/>
        </w:tabs>
        <w:spacing w:line="250" w:lineRule="exact" w:before="0" w:after="0"/>
        <w:ind w:left="1749" w:right="0" w:hanging="420"/>
        <w:jc w:val="left"/>
        <w:rPr>
          <w:sz w:val="21"/>
        </w:rPr>
      </w:pPr>
      <w:r>
        <w:rPr>
          <w:sz w:val="21"/>
        </w:rPr>
        <w:t>宽限期</w:t>
      </w:r>
    </w:p>
    <w:p>
      <w:pPr>
        <w:pStyle w:val="ListParagraph"/>
        <w:numPr>
          <w:ilvl w:val="1"/>
          <w:numId w:val="5"/>
        </w:numPr>
        <w:tabs>
          <w:tab w:pos="1750" w:val="left" w:leader="none"/>
        </w:tabs>
        <w:spacing w:line="217" w:lineRule="exact" w:before="0" w:after="0"/>
        <w:ind w:left="1749" w:right="0" w:hanging="420"/>
        <w:jc w:val="left"/>
        <w:rPr>
          <w:sz w:val="21"/>
        </w:rPr>
      </w:pPr>
      <w:r>
        <w:rPr>
          <w:sz w:val="21"/>
        </w:rPr>
        <w:t>保险费率调整</w:t>
      </w:r>
    </w:p>
    <w:p>
      <w:pPr>
        <w:pStyle w:val="Heading3"/>
        <w:spacing w:line="296" w:lineRule="exact" w:before="0"/>
        <w:ind w:left="1119"/>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04" w:lineRule="exact"/>
        <w:ind w:left="1329"/>
      </w:pPr>
      <w:r>
        <w:rPr/>
        <w:t>5.1 现金价值</w:t>
      </w:r>
    </w:p>
    <w:p>
      <w:pPr>
        <w:pStyle w:val="Heading3"/>
        <w:spacing w:line="296" w:lineRule="exact" w:before="0"/>
        <w:ind w:left="1119"/>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6"/>
        </w:numPr>
        <w:tabs>
          <w:tab w:pos="1750" w:val="left" w:leader="none"/>
        </w:tabs>
        <w:spacing w:line="238" w:lineRule="exact" w:before="0" w:after="0"/>
        <w:ind w:left="1749" w:right="0" w:hanging="420"/>
        <w:jc w:val="left"/>
        <w:rPr>
          <w:sz w:val="21"/>
        </w:rPr>
      </w:pPr>
      <w:r>
        <w:rPr>
          <w:sz w:val="21"/>
        </w:rPr>
        <w:t>效力中止</w:t>
      </w:r>
    </w:p>
    <w:p>
      <w:pPr>
        <w:pStyle w:val="ListParagraph"/>
        <w:numPr>
          <w:ilvl w:val="1"/>
          <w:numId w:val="6"/>
        </w:numPr>
        <w:tabs>
          <w:tab w:pos="1750" w:val="left" w:leader="none"/>
        </w:tabs>
        <w:spacing w:line="262" w:lineRule="exact" w:before="0" w:after="0"/>
        <w:ind w:left="1749" w:right="0" w:hanging="420"/>
        <w:jc w:val="left"/>
        <w:rPr>
          <w:sz w:val="21"/>
        </w:rPr>
      </w:pPr>
      <w:r>
        <w:rPr>
          <w:sz w:val="21"/>
        </w:rPr>
        <w:t>效力恢复</w:t>
      </w:r>
    </w:p>
    <w:p>
      <w:pPr>
        <w:pStyle w:val="Heading3"/>
        <w:spacing w:line="341" w:lineRule="exact" w:before="28"/>
        <w:ind w:left="373"/>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3" w:right="3945" w:hanging="420"/>
      </w:pPr>
      <w:r>
        <w:rPr/>
        <w:t>7.1 您解除合同的手续及风险</w:t>
      </w:r>
    </w:p>
    <w:p>
      <w:pPr>
        <w:pStyle w:val="Heading3"/>
        <w:spacing w:line="250" w:lineRule="exact" w:before="0"/>
        <w:ind w:left="373"/>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4" w:val="left" w:leader="none"/>
        </w:tabs>
        <w:spacing w:line="238" w:lineRule="exact" w:before="0" w:after="0"/>
        <w:ind w:left="373" w:right="0" w:firstLine="210"/>
        <w:jc w:val="left"/>
        <w:rPr>
          <w:sz w:val="21"/>
        </w:rPr>
      </w:pPr>
      <w:r>
        <w:rPr>
          <w:sz w:val="21"/>
        </w:rPr>
        <w:t>效力终止</w:t>
      </w:r>
    </w:p>
    <w:p>
      <w:pPr>
        <w:pStyle w:val="ListParagraph"/>
        <w:numPr>
          <w:ilvl w:val="1"/>
          <w:numId w:val="7"/>
        </w:numPr>
        <w:tabs>
          <w:tab w:pos="1004" w:val="left" w:leader="none"/>
        </w:tabs>
        <w:spacing w:line="175" w:lineRule="auto" w:before="61" w:after="0"/>
        <w:ind w:left="373" w:right="4365"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4" w:val="left" w:leader="none"/>
        </w:tabs>
        <w:spacing w:line="213" w:lineRule="exact" w:before="0" w:after="0"/>
        <w:ind w:left="1003" w:right="0" w:hanging="420"/>
        <w:jc w:val="left"/>
        <w:rPr>
          <w:sz w:val="21"/>
        </w:rPr>
      </w:pPr>
      <w:r>
        <w:rPr>
          <w:sz w:val="21"/>
        </w:rPr>
        <w:t>医院</w:t>
      </w:r>
    </w:p>
    <w:p>
      <w:pPr>
        <w:pStyle w:val="ListParagraph"/>
        <w:numPr>
          <w:ilvl w:val="1"/>
          <w:numId w:val="8"/>
        </w:numPr>
        <w:tabs>
          <w:tab w:pos="1004" w:val="left" w:leader="none"/>
        </w:tabs>
        <w:spacing w:line="250" w:lineRule="exact" w:before="0" w:after="0"/>
        <w:ind w:left="1003" w:right="0" w:hanging="420"/>
        <w:jc w:val="left"/>
        <w:rPr>
          <w:sz w:val="21"/>
        </w:rPr>
      </w:pPr>
      <w:r>
        <w:rPr>
          <w:sz w:val="21"/>
        </w:rPr>
        <w:t>专科医生</w:t>
      </w:r>
    </w:p>
    <w:p>
      <w:pPr>
        <w:pStyle w:val="ListParagraph"/>
        <w:numPr>
          <w:ilvl w:val="1"/>
          <w:numId w:val="8"/>
        </w:numPr>
        <w:tabs>
          <w:tab w:pos="1004" w:val="left" w:leader="none"/>
        </w:tabs>
        <w:spacing w:line="250" w:lineRule="exact" w:before="0" w:after="0"/>
        <w:ind w:left="1003" w:right="0" w:hanging="420"/>
        <w:jc w:val="left"/>
        <w:rPr>
          <w:sz w:val="21"/>
        </w:rPr>
      </w:pPr>
      <w:r>
        <w:rPr>
          <w:sz w:val="21"/>
        </w:rPr>
        <w:t>意外伤害事故</w:t>
      </w:r>
    </w:p>
    <w:p>
      <w:pPr>
        <w:pStyle w:val="ListParagraph"/>
        <w:numPr>
          <w:ilvl w:val="1"/>
          <w:numId w:val="8"/>
        </w:numPr>
        <w:tabs>
          <w:tab w:pos="1007" w:val="left" w:leader="none"/>
        </w:tabs>
        <w:spacing w:line="218" w:lineRule="auto" w:before="12" w:after="0"/>
        <w:ind w:left="1003" w:right="3918" w:hanging="420"/>
        <w:jc w:val="left"/>
        <w:rPr>
          <w:sz w:val="21"/>
        </w:rPr>
      </w:pPr>
      <w:r>
        <w:rPr>
          <w:sz w:val="21"/>
        </w:rPr>
        <w:t>感染艾滋病病毒或患艾滋病</w:t>
      </w:r>
    </w:p>
    <w:p>
      <w:pPr>
        <w:pStyle w:val="ListParagraph"/>
        <w:numPr>
          <w:ilvl w:val="1"/>
          <w:numId w:val="8"/>
        </w:numPr>
        <w:tabs>
          <w:tab w:pos="1004" w:val="left" w:leader="none"/>
        </w:tabs>
        <w:spacing w:line="238" w:lineRule="exact" w:before="0" w:after="0"/>
        <w:ind w:left="1003" w:right="0" w:hanging="420"/>
        <w:jc w:val="left"/>
        <w:rPr>
          <w:sz w:val="21"/>
        </w:rPr>
      </w:pPr>
      <w:r>
        <w:rPr>
          <w:sz w:val="21"/>
        </w:rPr>
        <w:t>遗传性疾病</w:t>
      </w:r>
    </w:p>
    <w:p>
      <w:pPr>
        <w:pStyle w:val="ListParagraph"/>
        <w:numPr>
          <w:ilvl w:val="1"/>
          <w:numId w:val="8"/>
        </w:numPr>
        <w:tabs>
          <w:tab w:pos="1007" w:val="left" w:leader="none"/>
        </w:tabs>
        <w:spacing w:line="218" w:lineRule="auto" w:before="12" w:after="0"/>
        <w:ind w:left="1003" w:right="3918" w:hanging="420"/>
        <w:jc w:val="left"/>
        <w:rPr>
          <w:sz w:val="21"/>
        </w:rPr>
      </w:pPr>
      <w:r>
        <w:rPr>
          <w:sz w:val="21"/>
        </w:rPr>
        <w:t>先天性畸形、变形或染色体异常</w:t>
      </w:r>
    </w:p>
    <w:p>
      <w:pPr>
        <w:pStyle w:val="ListParagraph"/>
        <w:numPr>
          <w:ilvl w:val="1"/>
          <w:numId w:val="8"/>
        </w:numPr>
        <w:tabs>
          <w:tab w:pos="1004" w:val="left" w:leader="none"/>
        </w:tabs>
        <w:spacing w:line="175" w:lineRule="auto" w:before="49" w:after="0"/>
        <w:ind w:left="373" w:right="4365"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600"/>
          <w:cols w:num="2" w:equalWidth="0">
            <w:col w:w="3544" w:space="40"/>
            <w:col w:w="6846"/>
          </w:cols>
        </w:sectPr>
      </w:pPr>
    </w:p>
    <w:p>
      <w:pPr>
        <w:pStyle w:val="Heading1"/>
        <w:spacing w:line="480" w:lineRule="exact" w:before="0"/>
        <w:ind w:left="3230"/>
      </w:pPr>
      <w:r>
        <w:rPr/>
        <w:t>交银康联人寿保险有限公司</w:t>
      </w:r>
    </w:p>
    <w:p>
      <w:pPr>
        <w:spacing w:before="71"/>
        <w:ind w:left="1006" w:right="0" w:firstLine="0"/>
        <w:jc w:val="left"/>
        <w:rPr>
          <w:rFonts w:ascii="微软雅黑" w:eastAsia="微软雅黑" w:hint="eastAsia"/>
          <w:b/>
          <w:sz w:val="32"/>
        </w:rPr>
      </w:pPr>
      <w:r>
        <w:rPr>
          <w:rFonts w:ascii="微软雅黑" w:eastAsia="微软雅黑" w:hint="eastAsia"/>
          <w:b/>
          <w:w w:val="95"/>
          <w:sz w:val="32"/>
        </w:rPr>
        <w:t>交银康联附加交银健康人生重大疾病保险条款</w:t>
      </w:r>
      <w:r>
        <w:rPr>
          <w:rFonts w:ascii="微软雅黑" w:eastAsia="微软雅黑" w:hint="eastAsia"/>
          <w:b/>
          <w:w w:val="95"/>
          <w:sz w:val="32"/>
          <w:vertAlign w:val="subscript"/>
        </w:rPr>
        <w:t>（2011</w:t>
      </w:r>
      <w:r>
        <w:rPr>
          <w:rFonts w:ascii="微软雅黑" w:eastAsia="微软雅黑" w:hint="eastAsia"/>
          <w:b/>
          <w:w w:val="95"/>
          <w:sz w:val="32"/>
          <w:vertAlign w:val="baseline"/>
        </w:rPr>
        <w:t> 年 </w:t>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在本条款中，“您”指投保人，“本公司”指交银康联人寿保险有限公司，“本附加合同”指您与本公司之间订立的“交银康联附加交银健康人生重大疾病保险合同”。</w:t>
      </w:r>
    </w:p>
    <w:p>
      <w:pPr>
        <w:pStyle w:val="BodyText"/>
        <w:rPr>
          <w:sz w:val="20"/>
        </w:rPr>
      </w:pPr>
    </w:p>
    <w:p>
      <w:pPr>
        <w:pStyle w:val="BodyText"/>
        <w:spacing w:before="1"/>
      </w:pPr>
    </w:p>
    <w:p>
      <w:pPr>
        <w:pStyle w:val="Heading2"/>
        <w:tabs>
          <w:tab w:pos="1073"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本附加合同须附加在主合</w:t>
      </w:r>
      <w:r>
        <w:rPr>
          <w:spacing w:val="-17"/>
          <w:sz w:val="21"/>
        </w:rPr>
        <w:t>同</w:t>
      </w:r>
      <w:r>
        <w:rPr>
          <w:sz w:val="21"/>
        </w:rPr>
        <w:t>《交银康联交银健康人生两全保</w:t>
      </w:r>
      <w:r>
        <w:rPr>
          <w:spacing w:val="-17"/>
          <w:sz w:val="21"/>
        </w:rPr>
        <w:t>险</w:t>
      </w:r>
      <w:r>
        <w:rPr>
          <w:sz w:val="21"/>
        </w:rPr>
        <w:t>（分红型</w:t>
      </w:r>
      <w:r>
        <w:rPr>
          <w:spacing w:val="-105"/>
          <w:sz w:val="21"/>
        </w:rPr>
        <w:t>）</w:t>
      </w:r>
      <w:r>
        <w:rPr>
          <w:spacing w:val="-17"/>
          <w:sz w:val="21"/>
        </w:rPr>
        <w:t>》</w:t>
      </w:r>
      <w:r>
        <w:rPr>
          <w:sz w:val="21"/>
        </w:rPr>
        <w:t>上，经本公司在保险单中列明后始得生效</w:t>
      </w:r>
      <w:r>
        <w:rPr>
          <w:spacing w:val="-26"/>
          <w:sz w:val="21"/>
        </w:rPr>
        <w:t>，</w:t>
      </w:r>
      <w:r>
        <w:rPr>
          <w:sz w:val="21"/>
        </w:rPr>
        <w:t>并成为主合同不可分割的一部分</w:t>
      </w:r>
      <w:r>
        <w:rPr>
          <w:spacing w:val="-26"/>
          <w:sz w:val="21"/>
        </w:rPr>
        <w:t>。</w:t>
      </w:r>
      <w:r>
        <w:rPr>
          <w:sz w:val="21"/>
        </w:rPr>
        <w:t>主合同所附的各条款、投保单及与本附加合同有关的其他投保文件、声明、批注、附贴批单和其他协议，均为本附加合同的构成部分。</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本附加合同的生效日与主合同相同</w:t>
      </w:r>
      <w:r>
        <w:rPr>
          <w:spacing w:val="-26"/>
          <w:sz w:val="21"/>
        </w:rPr>
        <w:t>。</w:t>
      </w:r>
      <w:r>
        <w:rPr>
          <w:sz w:val="21"/>
        </w:rPr>
        <w:t>本公司自合同生效日次日零时起开始承担本附加合同约定的保险责任。</w:t>
      </w:r>
    </w:p>
    <w:p>
      <w:pPr>
        <w:pStyle w:val="BodyText"/>
        <w:spacing w:before="7"/>
        <w:rPr>
          <w:sz w:val="20"/>
        </w:rPr>
      </w:pPr>
    </w:p>
    <w:p>
      <w:pPr>
        <w:pStyle w:val="Heading2"/>
        <w:tabs>
          <w:tab w:pos="1073" w:val="left" w:leader="none"/>
        </w:tabs>
        <w:spacing w:before="61"/>
      </w:pPr>
      <w:r>
        <w:rPr/>
        <w:pict>
          <v:line style="position:absolute;mso-position-horizontal-relative:page;mso-position-vertical-relative:paragraph;z-index:1120;mso-wrap-distance-left:0;mso-wrap-distance-right:0" from="45.66pt,31.630083pt" to="550.14pt,31.630083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保险金额</w:t>
        <w:tab/>
      </w:r>
      <w:r>
        <w:rPr>
          <w:sz w:val="21"/>
        </w:rPr>
        <w:t>本附加合同的保险金额由您在投保时与本公司约定</w:t>
      </w:r>
      <w:r>
        <w:rPr>
          <w:spacing w:val="-51"/>
          <w:sz w:val="21"/>
        </w:rPr>
        <w:t>，</w:t>
      </w:r>
      <w:r>
        <w:rPr>
          <w:sz w:val="21"/>
        </w:rPr>
        <w:t>为本附加合同保险费的计算基础，并载明于保险单或批注上。</w:t>
      </w:r>
    </w:p>
    <w:p>
      <w:pPr>
        <w:pStyle w:val="BodyText"/>
        <w:spacing w:before="11"/>
        <w:rPr>
          <w:sz w:val="17"/>
        </w:rPr>
      </w:pPr>
    </w:p>
    <w:p>
      <w:pPr>
        <w:pStyle w:val="ListParagraph"/>
        <w:numPr>
          <w:ilvl w:val="1"/>
          <w:numId w:val="10"/>
        </w:numPr>
        <w:tabs>
          <w:tab w:pos="1072" w:val="left" w:leader="none"/>
          <w:tab w:pos="1073" w:val="left" w:leader="none"/>
          <w:tab w:pos="3003" w:val="left" w:leader="none"/>
        </w:tabs>
        <w:spacing w:line="240" w:lineRule="auto" w:before="1"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6"/>
        <w:rPr>
          <w:sz w:val="20"/>
        </w:rPr>
      </w:pPr>
    </w:p>
    <w:p>
      <w:pPr>
        <w:pStyle w:val="BodyText"/>
        <w:spacing w:line="273" w:lineRule="auto"/>
        <w:ind w:left="3003" w:right="207" w:hanging="1931"/>
        <w:jc w:val="both"/>
      </w:pPr>
      <w:r>
        <w:rPr>
          <w:b/>
          <w:spacing w:val="1"/>
        </w:rPr>
        <w:t>重大疾病保险金   </w:t>
      </w:r>
      <w:r>
        <w:rPr/>
        <w:t>如果被保险人经</w:t>
      </w:r>
      <w:r>
        <w:rPr>
          <w:b/>
          <w:spacing w:val="-6"/>
        </w:rPr>
        <w:t>医院</w:t>
      </w:r>
      <w:r>
        <w:rPr/>
        <w:t>（见释义</w:t>
      </w:r>
      <w:r>
        <w:rPr>
          <w:spacing w:val="-14"/>
        </w:rPr>
        <w:t>）</w:t>
      </w:r>
      <w:r>
        <w:rPr/>
        <w:t>的</w:t>
      </w:r>
      <w:r>
        <w:rPr>
          <w:b/>
          <w:spacing w:val="-4"/>
        </w:rPr>
        <w:t>专科医生</w:t>
      </w:r>
      <w:r>
        <w:rPr/>
        <w:t>（见释义</w:t>
      </w:r>
      <w:r>
        <w:rPr>
          <w:spacing w:val="-14"/>
        </w:rPr>
        <w:t>）</w:t>
      </w:r>
      <w:r>
        <w:rPr/>
        <w:t>确诊初次患上本附加合</w:t>
      </w:r>
      <w:r>
        <w:rPr>
          <w:spacing w:val="-3"/>
        </w:rPr>
        <w:t>同重大疾病列表</w:t>
      </w:r>
      <w:r>
        <w:rPr/>
        <w:t>（见附录一</w:t>
      </w:r>
      <w:r>
        <w:rPr>
          <w:spacing w:val="-17"/>
        </w:rPr>
        <w:t>）</w:t>
      </w:r>
      <w:r>
        <w:rPr>
          <w:spacing w:val="-1"/>
        </w:rPr>
        <w:t>内所界定的重大疾病中的任何一种疾病，本附加合同及主合同《交银康联交银健康人生两全保险（分红型</w:t>
      </w:r>
      <w:r>
        <w:rPr>
          <w:spacing w:val="-106"/>
        </w:rPr>
        <w:t>）</w:t>
      </w:r>
      <w:r>
        <w:rPr/>
        <w:t>》终止，本公司给付重大疾病保险金。</w:t>
      </w:r>
    </w:p>
    <w:p>
      <w:pPr>
        <w:pStyle w:val="BodyText"/>
        <w:spacing w:line="273" w:lineRule="auto" w:before="7"/>
        <w:ind w:left="3003" w:right="208"/>
        <w:jc w:val="both"/>
      </w:pPr>
      <w:r>
        <w:rPr/>
        <w:t>如果被保险人在合同生效后一年内非因</w:t>
      </w:r>
      <w:r>
        <w:rPr>
          <w:b/>
        </w:rPr>
        <w:t>意外伤害事故</w:t>
      </w:r>
      <w:r>
        <w:rPr/>
        <w:t>初次患上重大疾病,重大</w:t>
      </w:r>
      <w:r>
        <w:rPr>
          <w:spacing w:val="-3"/>
        </w:rPr>
        <w:t>疾病保险金等于本附加合同和主合同《交银康联交银健康人生两全保险</w:t>
      </w:r>
      <w:r>
        <w:rPr/>
        <w:t>（分红型</w:t>
      </w:r>
      <w:r>
        <w:rPr>
          <w:spacing w:val="-105"/>
        </w:rPr>
        <w:t>）</w:t>
      </w:r>
      <w:r>
        <w:rPr>
          <w:spacing w:val="-6"/>
        </w:rPr>
        <w:t>》累计已交保险费的 </w:t>
      </w:r>
      <w:r>
        <w:rPr/>
        <w:t>110%；</w:t>
      </w:r>
    </w:p>
    <w:p>
      <w:pPr>
        <w:pStyle w:val="BodyText"/>
        <w:spacing w:line="273" w:lineRule="auto" w:before="7"/>
        <w:ind w:left="3004" w:right="142" w:hanging="1"/>
      </w:pPr>
      <w:r>
        <w:rPr/>
        <w:t>如果被保险人因</w:t>
      </w:r>
      <w:r>
        <w:rPr>
          <w:b/>
        </w:rPr>
        <w:t>意外伤害事故</w:t>
      </w:r>
      <w:r>
        <w:rPr/>
        <w:t>、或在合同生效满一年后非因</w:t>
      </w:r>
      <w:r>
        <w:rPr>
          <w:b/>
        </w:rPr>
        <w:t>意外伤害事故</w:t>
      </w:r>
      <w:r>
        <w:rPr/>
        <w:t>初次患上重大疾病,重大疾病保险金等于本附加合同的保险金额。</w:t>
      </w:r>
    </w:p>
    <w:p>
      <w:pPr>
        <w:pStyle w:val="BodyText"/>
        <w:spacing w:before="7"/>
        <w:ind w:left="3004"/>
      </w:pPr>
      <w:r>
        <w:rPr/>
        <w:t>本公司对本附加合同所负的重大疾病保险金给付责任以一次为限。</w:t>
      </w:r>
    </w:p>
    <w:p>
      <w:pPr>
        <w:pStyle w:val="BodyText"/>
        <w:spacing w:line="273" w:lineRule="auto" w:before="36"/>
        <w:ind w:left="3004" w:right="261"/>
      </w:pPr>
      <w:r>
        <w:rPr>
          <w:spacing w:val="-9"/>
        </w:rPr>
        <w:t>被保险人年满 </w:t>
      </w:r>
      <w:r>
        <w:rPr/>
        <w:t>18</w:t>
      </w:r>
      <w:r>
        <w:rPr>
          <w:spacing w:val="-56"/>
        </w:rPr>
        <w:t> </w:t>
      </w:r>
      <w:r>
        <w:rPr>
          <w:b/>
        </w:rPr>
        <w:t>周岁</w:t>
      </w:r>
      <w:r>
        <w:rPr/>
        <w:t>前后本附加合同保障的重大疾病种类有所不同，请仔细阅读重大疾病列表内的重大疾病定义。</w:t>
      </w:r>
    </w:p>
    <w:p>
      <w:pPr>
        <w:pStyle w:val="BodyText"/>
        <w:spacing w:before="11"/>
        <w:rPr>
          <w:sz w:val="17"/>
        </w:rPr>
      </w:pPr>
    </w:p>
    <w:p>
      <w:pPr>
        <w:pStyle w:val="ListParagraph"/>
        <w:numPr>
          <w:ilvl w:val="1"/>
          <w:numId w:val="10"/>
        </w:numPr>
        <w:tabs>
          <w:tab w:pos="1073" w:val="left" w:leader="none"/>
          <w:tab w:pos="1074" w:val="left" w:leader="none"/>
          <w:tab w:pos="3003" w:val="left" w:leader="none"/>
        </w:tabs>
        <w:spacing w:line="273" w:lineRule="auto" w:before="0"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51"/>
          <w:sz w:val="21"/>
        </w:rPr>
        <w:t>，</w:t>
      </w:r>
      <w:r>
        <w:rPr>
          <w:rFonts w:ascii="黑体" w:eastAsia="黑体" w:hint="eastAsia"/>
          <w:sz w:val="21"/>
        </w:rPr>
        <w:t>导致被保险人发Th本附加合同重大疾病列表内界定的重大疾病的，本公司不承担保险责任：</w:t>
      </w:r>
    </w:p>
    <w:p>
      <w:pPr>
        <w:pStyle w:val="BodyText"/>
        <w:spacing w:before="7"/>
        <w:ind w:left="3004"/>
        <w:rPr>
          <w:rFonts w:ascii="黑体" w:eastAsia="黑体" w:hint="eastAsia"/>
        </w:rPr>
      </w:pPr>
      <w:r>
        <w:rPr>
          <w:rFonts w:ascii="黑体" w:eastAsia="黑体" w:hint="eastAsia"/>
        </w:rPr>
        <w:t>（1）投保人对被保险人的故意杀害、故意伤害；</w:t>
      </w:r>
    </w:p>
    <w:p>
      <w:pPr>
        <w:pStyle w:val="BodyText"/>
        <w:spacing w:before="37"/>
        <w:ind w:left="3004"/>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3004"/>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3508"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3508"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spacing w:after="0" w:line="273" w:lineRule="auto"/>
        <w:rPr>
          <w:rFonts w:ascii="黑体" w:hAnsi="黑体" w:eastAsia="黑体" w:hint="eastAsia"/>
        </w:rPr>
        <w:sectPr>
          <w:pgSz w:w="11910" w:h="16840"/>
          <w:pgMar w:top="1160" w:bottom="280" w:left="800" w:right="800"/>
        </w:sectPr>
      </w:pPr>
    </w:p>
    <w:p>
      <w:pPr>
        <w:pStyle w:val="BodyText"/>
        <w:rPr>
          <w:rFonts w:ascii="黑体"/>
          <w:sz w:val="42"/>
        </w:rPr>
      </w:pPr>
    </w:p>
    <w:p>
      <w:pPr>
        <w:pStyle w:val="BodyText"/>
        <w:spacing w:before="5"/>
        <w:rPr>
          <w:rFonts w:ascii="黑体"/>
          <w:sz w:val="55"/>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1"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8"/>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1812"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line="273" w:lineRule="auto" w:before="99"/>
              <w:ind w:left="242" w:right="108"/>
              <w:jc w:val="both"/>
              <w:rPr>
                <w:rFonts w:ascii="黑体" w:eastAsia="黑体" w:hint="eastAsia"/>
                <w:sz w:val="21"/>
              </w:rPr>
            </w:pPr>
            <w:r>
              <w:rPr>
                <w:rFonts w:ascii="黑体" w:eastAsia="黑体" w:hint="eastAsia"/>
                <w:spacing w:val="-3"/>
                <w:sz w:val="21"/>
              </w:rPr>
              <w:t>本公司保留提高或降低保险费率的权利，但须报送国务院保险监督管理机构备</w:t>
            </w:r>
            <w:r>
              <w:rPr>
                <w:rFonts w:ascii="黑体" w:eastAsia="黑体" w:hint="eastAsia"/>
                <w:spacing w:val="-8"/>
                <w:sz w:val="21"/>
              </w:rPr>
              <w:t>案。保险费率的调整适用于相同产品项下的所有被保险人或同一投保年龄和性别的所有被保险人。</w:t>
            </w:r>
          </w:p>
          <w:p>
            <w:pPr>
              <w:pStyle w:val="TableParagraph"/>
              <w:spacing w:line="273" w:lineRule="auto" w:before="7"/>
              <w:ind w:left="242" w:right="108"/>
              <w:jc w:val="both"/>
              <w:rPr>
                <w:rFonts w:ascii="黑体" w:eastAsia="黑体" w:hint="eastAsia"/>
                <w:sz w:val="21"/>
              </w:rPr>
            </w:pPr>
            <w:r>
              <w:rPr>
                <w:rFonts w:ascii="黑体" w:eastAsia="黑体" w:hint="eastAsia"/>
                <w:spacing w:val="-4"/>
                <w:sz w:val="21"/>
              </w:rPr>
              <w:t>本公司调整保险费率后，您须按调整后的保险费率交纳续期保险费，调整前您已经交纳的保险费不受影响。</w:t>
            </w:r>
          </w:p>
        </w:tc>
      </w:tr>
      <w:tr>
        <w:trPr>
          <w:trHeight w:val="713" w:hRule="atLeast"/>
        </w:trPr>
        <w:tc>
          <w:tcPr>
            <w:tcW w:w="712"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36" w:type="dxa"/>
            <w:tcBorders>
              <w:bottom w:val="single" w:sz="8" w:space="0" w:color="000000"/>
            </w:tcBorders>
          </w:tcPr>
          <w:p>
            <w:pPr>
              <w:pStyle w:val="TableParagraph"/>
              <w:spacing w:before="206"/>
              <w:ind w:left="248"/>
              <w:rPr>
                <w:b/>
                <w:sz w:val="24"/>
              </w:rPr>
            </w:pPr>
            <w:r>
              <w:rPr>
                <w:b/>
                <w:w w:val="95"/>
                <w:sz w:val="24"/>
              </w:rPr>
              <w:t>现金价值权益</w:t>
            </w:r>
          </w:p>
        </w:tc>
        <w:tc>
          <w:tcPr>
            <w:tcW w:w="7443" w:type="dxa"/>
            <w:tcBorders>
              <w:bottom w:val="single" w:sz="8" w:space="0" w:color="000000"/>
            </w:tcBorders>
          </w:tcPr>
          <w:p>
            <w:pPr>
              <w:pStyle w:val="TableParagraph"/>
              <w:rPr>
                <w:rFonts w:ascii="Times New Roman"/>
                <w:sz w:val="20"/>
              </w:rPr>
            </w:pPr>
          </w:p>
        </w:tc>
      </w:tr>
      <w:tr>
        <w:trPr>
          <w:trHeight w:val="518"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5.1</w:t>
            </w:r>
          </w:p>
        </w:tc>
        <w:tc>
          <w:tcPr>
            <w:tcW w:w="1936" w:type="dxa"/>
            <w:tcBorders>
              <w:top w:val="single" w:sz="8" w:space="0" w:color="000000"/>
            </w:tcBorders>
          </w:tcPr>
          <w:p>
            <w:pPr>
              <w:pStyle w:val="TableParagraph"/>
              <w:spacing w:before="9"/>
              <w:rPr>
                <w:sz w:val="14"/>
              </w:rPr>
            </w:pPr>
          </w:p>
          <w:p>
            <w:pPr>
              <w:pStyle w:val="TableParagraph"/>
              <w:ind w:left="247"/>
              <w:rPr>
                <w:b/>
                <w:sz w:val="21"/>
              </w:rPr>
            </w:pPr>
            <w:r>
              <w:rPr>
                <w:b/>
                <w:w w:val="95"/>
                <w:sz w:val="21"/>
              </w:rPr>
              <w:t>现金价值</w:t>
            </w:r>
          </w:p>
        </w:tc>
        <w:tc>
          <w:tcPr>
            <w:tcW w:w="7443" w:type="dxa"/>
            <w:tcBorders>
              <w:top w:val="single" w:sz="8" w:space="0" w:color="000000"/>
            </w:tcBorders>
          </w:tcPr>
          <w:p>
            <w:pPr>
              <w:pStyle w:val="TableParagraph"/>
              <w:spacing w:before="9"/>
              <w:rPr>
                <w:sz w:val="14"/>
              </w:rPr>
            </w:pPr>
          </w:p>
          <w:p>
            <w:pPr>
              <w:pStyle w:val="TableParagraph"/>
              <w:ind w:left="242"/>
              <w:rPr>
                <w:sz w:val="21"/>
              </w:rPr>
            </w:pPr>
            <w:r>
              <w:rPr>
                <w:sz w:val="21"/>
              </w:rPr>
              <w:t>本附加合同具有现金价值，并已包含在主合同的现金价值中载明于保险单或批</w:t>
            </w:r>
          </w:p>
        </w:tc>
      </w:tr>
      <w:tr>
        <w:trPr>
          <w:trHeight w:val="260" w:hRule="atLeast"/>
        </w:trPr>
        <w:tc>
          <w:tcPr>
            <w:tcW w:w="712" w:type="dxa"/>
          </w:tcPr>
          <w:p>
            <w:pPr>
              <w:pStyle w:val="TableParagraph"/>
              <w:rPr>
                <w:rFonts w:ascii="Times New Roman"/>
                <w:sz w:val="18"/>
              </w:rPr>
            </w:pPr>
          </w:p>
        </w:tc>
        <w:tc>
          <w:tcPr>
            <w:tcW w:w="1936" w:type="dxa"/>
          </w:tcPr>
          <w:p>
            <w:pPr>
              <w:pStyle w:val="TableParagraph"/>
              <w:rPr>
                <w:rFonts w:ascii="Times New Roman"/>
                <w:sz w:val="18"/>
              </w:rPr>
            </w:pPr>
          </w:p>
        </w:tc>
        <w:tc>
          <w:tcPr>
            <w:tcW w:w="7443" w:type="dxa"/>
          </w:tcPr>
          <w:p>
            <w:pPr>
              <w:pStyle w:val="TableParagraph"/>
              <w:spacing w:line="241" w:lineRule="exact"/>
              <w:ind w:left="242"/>
              <w:rPr>
                <w:sz w:val="21"/>
              </w:rPr>
            </w:pPr>
            <w:r>
              <w:rPr>
                <w:sz w:val="21"/>
              </w:rPr>
              <w:t>注上。</w:t>
            </w:r>
          </w:p>
        </w:tc>
      </w:tr>
    </w:tbl>
    <w:p>
      <w:pPr>
        <w:spacing w:after="0" w:line="241" w:lineRule="exact"/>
        <w:rPr>
          <w:sz w:val="21"/>
        </w:rPr>
        <w:sectPr>
          <w:type w:val="continuous"/>
          <w:pgSz w:w="11910" w:h="16840"/>
          <w:pgMar w:top="520" w:bottom="280" w:left="800" w:right="800"/>
        </w:sectPr>
      </w:pPr>
    </w:p>
    <w:p>
      <w:pPr>
        <w:pStyle w:val="Heading2"/>
        <w:tabs>
          <w:tab w:pos="1073" w:val="left" w:leader="none"/>
        </w:tabs>
        <w:spacing w:before="42"/>
      </w:pPr>
      <w:r>
        <w:rPr/>
        <w:pict>
          <v:line style="position:absolute;mso-position-horizontal-relative:page;mso-position-vertical-relative:paragraph;z-index:1168;mso-wrap-distance-left:0;mso-wrap-distance-right:0" from="45.66pt,30.680037pt" to="550.14pt,30.680037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12"/>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rPr>
          <w:sz w:val="18"/>
        </w:rPr>
      </w:pPr>
    </w:p>
    <w:p>
      <w:pPr>
        <w:pStyle w:val="ListParagraph"/>
        <w:numPr>
          <w:ilvl w:val="1"/>
          <w:numId w:val="12"/>
        </w:numPr>
        <w:tabs>
          <w:tab w:pos="1072" w:val="left" w:leader="none"/>
          <w:tab w:pos="1073" w:val="left" w:leader="none"/>
          <w:tab w:pos="3003" w:val="left" w:leader="none"/>
        </w:tabs>
        <w:spacing w:line="240" w:lineRule="auto" w:before="1" w:after="0"/>
        <w:ind w:left="3003" w:right="0" w:hanging="2782"/>
        <w:jc w:val="left"/>
        <w:rPr>
          <w:sz w:val="21"/>
        </w:rPr>
      </w:pPr>
      <w:r>
        <w:rPr>
          <w:b/>
          <w:sz w:val="21"/>
        </w:rPr>
        <w:t>效力恢复</w:t>
        <w:tab/>
      </w:r>
      <w:r>
        <w:rPr>
          <w:sz w:val="21"/>
        </w:rPr>
        <w:t>除主合同或本附加合同另有约定外，本附加合同效力的恢复与主合同一致。</w:t>
      </w:r>
    </w:p>
    <w:p>
      <w:pPr>
        <w:pStyle w:val="BodyText"/>
        <w:rPr>
          <w:sz w:val="26"/>
        </w:rPr>
      </w:pPr>
    </w:p>
    <w:p>
      <w:pPr>
        <w:tabs>
          <w:tab w:pos="1073" w:val="left" w:leader="none"/>
        </w:tabs>
        <w:spacing w:before="0"/>
        <w:ind w:left="221" w:right="0" w:firstLine="0"/>
        <w:jc w:val="left"/>
        <w:rPr>
          <w:b/>
          <w:sz w:val="24"/>
        </w:rPr>
      </w:pPr>
      <w:r>
        <w:rPr/>
        <w:pict>
          <v:line style="position:absolute;mso-position-horizontal-relative:page;mso-position-vertical-relative:paragraph;z-index:1192;mso-wrap-distance-left:0;mso-wrap-distance-right:0" from="45.66pt,28.580082pt" to="550.14pt,28.580082pt" stroked="true" strokeweight=".96002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380" w:bottom="280" w:left="800" w:right="800"/>
        </w:sectPr>
      </w:pPr>
    </w:p>
    <w:p>
      <w:pPr>
        <w:pStyle w:val="Heading3"/>
        <w:tabs>
          <w:tab w:pos="1073" w:val="left" w:leader="none"/>
        </w:tabs>
        <w:spacing w:line="273" w:lineRule="auto"/>
        <w:ind w:left="1073" w:hanging="852"/>
      </w:pPr>
      <w:r>
        <w:rPr/>
        <w:t>7.1</w:t>
        <w:tab/>
      </w:r>
      <w:r>
        <w:rPr>
          <w:w w:val="95"/>
        </w:rPr>
        <w:t>您解除合同的手续 及风险</w:t>
      </w:r>
    </w:p>
    <w:p>
      <w:pPr>
        <w:pStyle w:val="BodyText"/>
        <w:spacing w:before="35"/>
        <w:ind w:left="203"/>
      </w:pPr>
      <w:r>
        <w:rPr/>
        <w:br w:type="column"/>
      </w:r>
      <w:r>
        <w:rPr/>
        <w:t>如您申请解除本附加合同，请填写解除合同申请书并向本公司提供下列资料：</w:t>
      </w:r>
    </w:p>
    <w:p>
      <w:pPr>
        <w:pStyle w:val="BodyText"/>
        <w:spacing w:before="36"/>
        <w:ind w:left="203"/>
      </w:pPr>
      <w:r>
        <w:rPr/>
        <w:t>（1）保险合同；</w:t>
      </w:r>
    </w:p>
    <w:p>
      <w:pPr>
        <w:spacing w:before="36"/>
        <w:ind w:left="203" w:right="0" w:firstLine="0"/>
        <w:jc w:val="left"/>
        <w:rPr>
          <w:sz w:val="21"/>
        </w:rPr>
      </w:pPr>
      <w:r>
        <w:rPr>
          <w:w w:val="95"/>
          <w:sz w:val="21"/>
        </w:rPr>
        <w:t>（2）您的</w:t>
      </w:r>
      <w:r>
        <w:rPr>
          <w:b/>
          <w:w w:val="95"/>
          <w:sz w:val="21"/>
        </w:rPr>
        <w:t>有效身份证明</w:t>
      </w:r>
      <w:r>
        <w:rPr>
          <w:w w:val="95"/>
          <w:sz w:val="21"/>
        </w:rPr>
        <w:t>。</w:t>
      </w:r>
    </w:p>
    <w:p>
      <w:pPr>
        <w:pStyle w:val="BodyText"/>
        <w:spacing w:before="36"/>
        <w:ind w:left="203"/>
      </w:pPr>
      <w:r>
        <w:rPr/>
        <w:t>您在解除本附加合同的同时，须同时解除主合同。</w:t>
      </w:r>
    </w:p>
    <w:p>
      <w:pPr>
        <w:pStyle w:val="BodyText"/>
        <w:spacing w:line="273" w:lineRule="auto" w:before="36"/>
        <w:ind w:left="203" w:right="146"/>
      </w:pPr>
      <w:r>
        <w:rPr/>
        <w:t>自本公司收到解除合同申请书之日起，本附加合同终止。本公司自收到解除合同申请书之日起 30 日内向您退还本附加合同的现金价值。</w:t>
      </w:r>
    </w:p>
    <w:p>
      <w:pPr>
        <w:pStyle w:val="BodyText"/>
        <w:spacing w:before="7"/>
        <w:ind w:left="203"/>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6"/>
        <w:rPr>
          <w:rFonts w:ascii="黑体"/>
        </w:rPr>
      </w:pPr>
    </w:p>
    <w:p>
      <w:pPr>
        <w:pStyle w:val="Heading2"/>
        <w:tabs>
          <w:tab w:pos="1073" w:val="left" w:leader="none"/>
        </w:tabs>
        <w:spacing w:before="61"/>
      </w:pPr>
      <w:r>
        <w:rPr/>
        <w:pict>
          <v:line style="position:absolute;mso-position-horizontal-relative:page;mso-position-vertical-relative:paragraph;z-index:1216;mso-wrap-distance-left:0;mso-wrap-distance-right:0" from="45.66pt,31.630083pt" to="550.14pt,31.630083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rPr>
          <w:sz w:val="17"/>
        </w:rPr>
      </w:pPr>
    </w:p>
    <w:p>
      <w:pPr>
        <w:pStyle w:val="ListParagraph"/>
        <w:numPr>
          <w:ilvl w:val="1"/>
          <w:numId w:val="13"/>
        </w:numPr>
        <w:tabs>
          <w:tab w:pos="1073" w:val="left" w:leader="none"/>
          <w:tab w:pos="1074" w:val="left" w:leader="none"/>
          <w:tab w:pos="3003" w:val="left" w:leader="none"/>
        </w:tabs>
        <w:spacing w:line="240" w:lineRule="auto" w:before="0"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6"/>
        <w:ind w:left="3003"/>
      </w:pPr>
      <w:r>
        <w:rPr/>
        <w:t>（1）投保年龄</w:t>
      </w:r>
    </w:p>
    <w:p>
      <w:pPr>
        <w:pStyle w:val="BodyText"/>
        <w:spacing w:before="36"/>
        <w:ind w:left="3003"/>
      </w:pPr>
      <w:r>
        <w:rPr/>
        <w:t>（2）保险期间</w:t>
      </w:r>
    </w:p>
    <w:p>
      <w:pPr>
        <w:pStyle w:val="BodyText"/>
        <w:spacing w:before="36"/>
        <w:ind w:left="3003"/>
      </w:pPr>
      <w:r>
        <w:rPr/>
        <w:t>（3）保险事故通知</w:t>
      </w:r>
    </w:p>
    <w:p>
      <w:pPr>
        <w:pStyle w:val="BodyText"/>
        <w:spacing w:before="36"/>
        <w:ind w:left="3003"/>
      </w:pPr>
      <w:r>
        <w:rPr/>
        <w:t>（4）保险金给付</w:t>
      </w:r>
    </w:p>
    <w:p>
      <w:pPr>
        <w:pStyle w:val="BodyText"/>
        <w:spacing w:before="36"/>
        <w:ind w:left="3003"/>
      </w:pPr>
      <w:r>
        <w:rPr/>
        <w:t>（5）保单贷款</w:t>
      </w:r>
    </w:p>
    <w:p>
      <w:pPr>
        <w:pStyle w:val="BodyText"/>
        <w:spacing w:before="36"/>
        <w:ind w:left="3003"/>
      </w:pPr>
      <w:r>
        <w:rPr/>
        <w:t>（6）保险费自动垫交</w:t>
      </w:r>
    </w:p>
    <w:p>
      <w:pPr>
        <w:pStyle w:val="BodyText"/>
        <w:spacing w:before="36"/>
        <w:ind w:left="3003"/>
      </w:pPr>
      <w:r>
        <w:rPr/>
        <w:t>（7）明确说明与如实告知</w:t>
      </w:r>
    </w:p>
    <w:p>
      <w:pPr>
        <w:pStyle w:val="BodyText"/>
        <w:spacing w:before="36"/>
        <w:ind w:left="3003"/>
      </w:pPr>
      <w:r>
        <w:rPr/>
        <w:t>（8）本公司合同解除权的限制</w:t>
      </w:r>
    </w:p>
    <w:p>
      <w:pPr>
        <w:pStyle w:val="BodyText"/>
        <w:spacing w:before="36"/>
        <w:ind w:left="3003"/>
      </w:pPr>
      <w:r>
        <w:rPr/>
        <w:t>（9）年龄性别错误</w:t>
      </w:r>
    </w:p>
    <w:p>
      <w:pPr>
        <w:pStyle w:val="BodyText"/>
        <w:spacing w:before="36"/>
        <w:ind w:left="3003"/>
      </w:pPr>
      <w:r>
        <w:rPr/>
        <w:t>（10）未还款项</w:t>
      </w:r>
    </w:p>
    <w:p>
      <w:pPr>
        <w:pStyle w:val="BodyText"/>
        <w:spacing w:before="36"/>
        <w:ind w:left="3003"/>
      </w:pPr>
      <w:r>
        <w:rPr/>
        <w:t>（11）合同内容变更</w:t>
      </w:r>
    </w:p>
    <w:p>
      <w:pPr>
        <w:pStyle w:val="BodyText"/>
        <w:spacing w:before="36"/>
        <w:ind w:left="3003"/>
      </w:pPr>
      <w:r>
        <w:rPr/>
        <w:t>（12）争议处理</w:t>
      </w:r>
    </w:p>
    <w:p>
      <w:pPr>
        <w:pStyle w:val="BodyText"/>
        <w:spacing w:before="36"/>
        <w:ind w:left="3003"/>
      </w:pPr>
      <w:r>
        <w:rPr/>
        <w:t>如果主合同与本附加合同的条款互有抵触，则以本附加合同的条款为准。</w:t>
      </w:r>
    </w:p>
    <w:p>
      <w:pPr>
        <w:pStyle w:val="BodyText"/>
        <w:spacing w:before="4"/>
      </w:pPr>
    </w:p>
    <w:p>
      <w:pPr>
        <w:tabs>
          <w:tab w:pos="1073"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75pt" to="550.14pt,31.630075pt" stroked="true" strokeweight=".95999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0"/>
        <w:rPr>
          <w:b/>
          <w:sz w:val="9"/>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spacing w:after="0" w:line="273" w:lineRule="auto"/>
        <w:jc w:val="left"/>
        <w:rPr>
          <w:sz w:val="21"/>
        </w:rPr>
        <w:sectPr>
          <w:type w:val="continuous"/>
          <w:pgSz w:w="11910" w:h="16840"/>
          <w:pgMar w:top="520" w:bottom="280" w:left="800" w:right="800"/>
        </w:sectPr>
      </w:pPr>
    </w:p>
    <w:p>
      <w:pPr>
        <w:pStyle w:val="ListParagraph"/>
        <w:numPr>
          <w:ilvl w:val="1"/>
          <w:numId w:val="14"/>
        </w:numPr>
        <w:tabs>
          <w:tab w:pos="954" w:val="left" w:leader="none"/>
        </w:tabs>
        <w:spacing w:line="273" w:lineRule="auto" w:before="19" w:after="0"/>
        <w:ind w:left="2883" w:right="207" w:hanging="2782"/>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在二级或二级以上医院的相应科室从事临床工作三年以上。</w:t>
      </w:r>
    </w:p>
    <w:p>
      <w:pPr>
        <w:pStyle w:val="BodyText"/>
        <w:spacing w:before="7"/>
        <w:ind w:left="2883"/>
      </w:pPr>
      <w:r>
        <w:rPr/>
        <w:t>专科医生不包括被保险人本人及其直系亲属。</w:t>
      </w:r>
    </w:p>
    <w:p>
      <w:pPr>
        <w:pStyle w:val="BodyText"/>
        <w:spacing w:before="1"/>
        <w:rPr>
          <w:sz w:val="20"/>
        </w:rPr>
      </w:pPr>
    </w:p>
    <w:p>
      <w:pPr>
        <w:pStyle w:val="ListParagraph"/>
        <w:numPr>
          <w:ilvl w:val="1"/>
          <w:numId w:val="14"/>
        </w:numPr>
        <w:tabs>
          <w:tab w:pos="953" w:val="left" w:leader="none"/>
          <w:tab w:pos="954" w:val="left" w:leader="none"/>
          <w:tab w:pos="2883" w:val="left" w:leader="none"/>
        </w:tabs>
        <w:spacing w:line="240" w:lineRule="auto" w:before="0" w:after="0"/>
        <w:ind w:left="953" w:right="0" w:hanging="852"/>
        <w:jc w:val="left"/>
        <w:rPr>
          <w:sz w:val="21"/>
        </w:rPr>
      </w:pPr>
      <w:r>
        <w:rPr>
          <w:b/>
          <w:sz w:val="21"/>
        </w:rPr>
        <w:t>意外伤害事故</w:t>
        <w:tab/>
      </w:r>
      <w:r>
        <w:rPr>
          <w:sz w:val="21"/>
        </w:rPr>
        <w:t>指外来的</w:t>
      </w:r>
      <w:r>
        <w:rPr>
          <w:spacing w:val="-17"/>
          <w:sz w:val="21"/>
        </w:rPr>
        <w:t>、</w:t>
      </w:r>
      <w:r>
        <w:rPr>
          <w:sz w:val="21"/>
        </w:rPr>
        <w:t>突发的、</w:t>
      </w:r>
      <w:r>
        <w:rPr>
          <w:spacing w:val="-17"/>
          <w:sz w:val="21"/>
        </w:rPr>
        <w:t> </w:t>
      </w:r>
      <w:r>
        <w:rPr>
          <w:sz w:val="21"/>
        </w:rPr>
        <w:t>非本意的</w:t>
      </w:r>
      <w:r>
        <w:rPr>
          <w:spacing w:val="-17"/>
          <w:sz w:val="21"/>
        </w:rPr>
        <w:t>、</w:t>
      </w:r>
      <w:r>
        <w:rPr>
          <w:sz w:val="21"/>
        </w:rPr>
        <w:t>非疾病的直接致使身体受到伤害的客观事件。</w:t>
      </w:r>
    </w:p>
    <w:p>
      <w:pPr>
        <w:pStyle w:val="BodyText"/>
        <w:spacing w:before="12"/>
        <w:rPr>
          <w:sz w:val="16"/>
        </w:rPr>
      </w:pPr>
    </w:p>
    <w:p>
      <w:pPr>
        <w:spacing w:after="0"/>
        <w:rPr>
          <w:sz w:val="16"/>
        </w:rPr>
        <w:sectPr>
          <w:pgSz w:w="11910" w:h="16840"/>
          <w:pgMar w:top="1100" w:bottom="280" w:left="920" w:right="800"/>
        </w:sectPr>
      </w:pPr>
    </w:p>
    <w:p>
      <w:pPr>
        <w:pStyle w:val="Heading3"/>
        <w:numPr>
          <w:ilvl w:val="1"/>
          <w:numId w:val="14"/>
        </w:numPr>
        <w:tabs>
          <w:tab w:pos="953" w:val="left" w:leader="none"/>
          <w:tab w:pos="954" w:val="left" w:leader="none"/>
        </w:tabs>
        <w:spacing w:line="273" w:lineRule="auto" w:before="42" w:after="0"/>
        <w:ind w:left="953" w:right="0" w:hanging="852"/>
        <w:jc w:val="left"/>
      </w:pPr>
      <w:r>
        <w:rPr/>
        <w:t>感染艾滋病病毒或</w:t>
      </w:r>
      <w:r>
        <w:rPr>
          <w:w w:val="95"/>
        </w:rPr>
        <w:t>患艾滋病</w:t>
      </w:r>
    </w:p>
    <w:p>
      <w:pPr>
        <w:pStyle w:val="BodyText"/>
        <w:spacing w:line="256" w:lineRule="auto" w:before="42"/>
        <w:ind w:left="101"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5"/>
        <w:ind w:left="101"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3"/>
        <w:rPr>
          <w:sz w:val="15"/>
        </w:rPr>
      </w:pPr>
    </w:p>
    <w:p>
      <w:pPr>
        <w:pStyle w:val="ListParagraph"/>
        <w:numPr>
          <w:ilvl w:val="1"/>
          <w:numId w:val="14"/>
        </w:numPr>
        <w:tabs>
          <w:tab w:pos="953" w:val="left" w:leader="none"/>
          <w:tab w:pos="954" w:val="left" w:leader="none"/>
          <w:tab w:pos="2883" w:val="left" w:leader="none"/>
        </w:tabs>
        <w:spacing w:line="273" w:lineRule="auto" w:before="35" w:after="0"/>
        <w:ind w:left="2883" w:right="208" w:hanging="2782"/>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4"/>
        <w:rPr>
          <w:sz w:val="15"/>
        </w:rPr>
      </w:pPr>
    </w:p>
    <w:p>
      <w:pPr>
        <w:spacing w:after="0"/>
        <w:rPr>
          <w:sz w:val="15"/>
        </w:rPr>
        <w:sectPr>
          <w:type w:val="continuous"/>
          <w:pgSz w:w="11910" w:h="16840"/>
          <w:pgMar w:top="520" w:bottom="280" w:left="920" w:right="800"/>
        </w:sectPr>
      </w:pPr>
    </w:p>
    <w:p>
      <w:pPr>
        <w:pStyle w:val="Heading3"/>
        <w:numPr>
          <w:ilvl w:val="1"/>
          <w:numId w:val="14"/>
        </w:numPr>
        <w:tabs>
          <w:tab w:pos="953" w:val="left" w:leader="none"/>
          <w:tab w:pos="954" w:val="left" w:leader="none"/>
        </w:tabs>
        <w:spacing w:line="273" w:lineRule="auto" w:before="35" w:after="0"/>
        <w:ind w:left="953" w:right="0" w:hanging="852"/>
        <w:jc w:val="left"/>
      </w:pPr>
      <w:r>
        <w:rPr/>
        <w:t>先天性畸形、变形</w:t>
      </w:r>
      <w:r>
        <w:rPr>
          <w:w w:val="95"/>
        </w:rPr>
        <w:t>或染色体异常</w:t>
      </w:r>
    </w:p>
    <w:p>
      <w:pPr>
        <w:pStyle w:val="BodyText"/>
        <w:spacing w:line="273" w:lineRule="auto" w:before="35"/>
        <w:ind w:left="101"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ListParagraph"/>
        <w:numPr>
          <w:ilvl w:val="1"/>
          <w:numId w:val="14"/>
        </w:numPr>
        <w:tabs>
          <w:tab w:pos="953" w:val="left" w:leader="none"/>
          <w:tab w:pos="954" w:val="left" w:leader="none"/>
          <w:tab w:pos="2883" w:val="left" w:leader="none"/>
        </w:tabs>
        <w:spacing w:line="240" w:lineRule="auto" w:before="36" w:after="0"/>
        <w:ind w:left="95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ind w:left="101"/>
      </w:pPr>
      <w:r>
        <w:rPr/>
        <w:t>附录一 重大疾病列表</w:t>
      </w:r>
    </w:p>
    <w:p>
      <w:pPr>
        <w:pStyle w:val="BodyText"/>
        <w:rPr>
          <w:b/>
          <w:sz w:val="19"/>
        </w:rPr>
      </w:pPr>
    </w:p>
    <w:p>
      <w:pPr>
        <w:pStyle w:val="BodyText"/>
        <w:spacing w:line="273" w:lineRule="auto"/>
        <w:ind w:left="288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2883" w:right="4568"/>
      </w:pPr>
      <w:r>
        <w:rPr/>
        <w:t>（ICD-10）的恶性肿瘤范畴。下列疾病不在保障范围内：</w:t>
      </w:r>
    </w:p>
    <w:p>
      <w:pPr>
        <w:pStyle w:val="BodyText"/>
        <w:spacing w:before="7"/>
        <w:ind w:left="2883"/>
      </w:pPr>
      <w:r>
        <w:rPr/>
        <w:t>（1）原位癌；</w:t>
      </w:r>
    </w:p>
    <w:p>
      <w:pPr>
        <w:pStyle w:val="BodyText"/>
        <w:spacing w:before="36"/>
        <w:ind w:left="2883"/>
      </w:pPr>
      <w:r>
        <w:rPr/>
        <w:t>（2）相当于Binet 分期方案 A 期程度的慢性淋巴细胞白血病；</w:t>
      </w:r>
    </w:p>
    <w:p>
      <w:pPr>
        <w:pStyle w:val="BodyText"/>
        <w:spacing w:before="36"/>
        <w:ind w:left="2883"/>
      </w:pPr>
      <w:r>
        <w:rPr/>
        <w:t>（3）相当于Ann Arbor 分期方案 I 期程度的何杰金氏病；</w:t>
      </w:r>
    </w:p>
    <w:p>
      <w:pPr>
        <w:pStyle w:val="BodyText"/>
        <w:spacing w:before="36"/>
        <w:ind w:left="2883"/>
      </w:pPr>
      <w:r>
        <w:rPr/>
        <w:t>（4）</w:t>
      </w:r>
      <w:r>
        <w:rPr>
          <w:spacing w:val="-1"/>
        </w:rPr>
        <w:t>皮肤癌</w:t>
      </w:r>
      <w:r>
        <w:rPr/>
        <w:t>（不包括恶性黑色素瘤及已发生转移的皮肤癌</w:t>
      </w:r>
      <w:r>
        <w:rPr>
          <w:spacing w:val="-106"/>
        </w:rPr>
        <w:t>）</w:t>
      </w:r>
      <w:r>
        <w:rPr/>
        <w:t>；</w:t>
      </w:r>
    </w:p>
    <w:p>
      <w:pPr>
        <w:pStyle w:val="BodyText"/>
        <w:spacing w:before="36"/>
        <w:ind w:left="288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288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953" w:val="left" w:leader="none"/>
          <w:tab w:pos="2883" w:val="left" w:leader="none"/>
        </w:tabs>
        <w:spacing w:line="273" w:lineRule="auto" w:before="1"/>
        <w:ind w:left="288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8"/>
        <w:ind w:left="2884"/>
      </w:pPr>
      <w:r>
        <w:rPr/>
        <w:t>（1）典型临床表现，例如急性胸痛等；</w:t>
      </w:r>
    </w:p>
    <w:p>
      <w:pPr>
        <w:pStyle w:val="BodyText"/>
        <w:spacing w:before="37"/>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8"/>
        <w:ind w:left="2884"/>
      </w:pPr>
      <w:r>
        <w:rPr>
          <w:spacing w:val="-12"/>
        </w:rPr>
        <w:t>（4）</w:t>
      </w:r>
      <w:r>
        <w:rPr>
          <w:spacing w:val="-19"/>
        </w:rPr>
        <w:t>发病 </w:t>
      </w:r>
      <w:r>
        <w:rPr/>
        <w:t>90</w:t>
      </w:r>
      <w:r>
        <w:rPr>
          <w:spacing w:val="-14"/>
        </w:rPr>
        <w:t> 天后，经检查证实左心室功能降低，如左心室射血分数低于 </w:t>
      </w:r>
      <w:r>
        <w:rPr/>
        <w:t>50%。</w:t>
      </w:r>
    </w:p>
    <w:p>
      <w:pPr>
        <w:pStyle w:val="Heading2"/>
        <w:spacing w:before="13"/>
        <w:ind w:left="2884"/>
      </w:pPr>
      <w:r>
        <w:rPr/>
        <w:t>本公司仅承担被保险人年满 18 周岁后的保障责任。</w:t>
      </w:r>
    </w:p>
    <w:p>
      <w:pPr>
        <w:pStyle w:val="BodyText"/>
        <w:rPr>
          <w:b/>
          <w:sz w:val="19"/>
        </w:rPr>
      </w:pPr>
    </w:p>
    <w:p>
      <w:pPr>
        <w:tabs>
          <w:tab w:pos="953" w:val="left" w:leader="none"/>
          <w:tab w:pos="2883" w:val="left" w:leader="none"/>
        </w:tabs>
        <w:spacing w:before="0"/>
        <w:ind w:left="101" w:right="0" w:firstLine="0"/>
        <w:jc w:val="left"/>
        <w:rPr>
          <w:sz w:val="21"/>
        </w:rPr>
      </w:pPr>
      <w:r>
        <w:rPr>
          <w:b/>
          <w:sz w:val="21"/>
        </w:rPr>
        <w:t>三</w:t>
        <w:tab/>
        <w:t>脑中风后遗症</w:t>
        <w:tab/>
      </w:r>
      <w:r>
        <w:rPr>
          <w:sz w:val="21"/>
        </w:rPr>
        <w:t>指因脑血管的突发病变引起脑血管出血</w:t>
      </w:r>
      <w:r>
        <w:rPr>
          <w:spacing w:val="-26"/>
          <w:sz w:val="21"/>
        </w:rPr>
        <w:t>、</w:t>
      </w:r>
      <w:r>
        <w:rPr>
          <w:sz w:val="21"/>
        </w:rPr>
        <w:t>栓塞或梗塞</w:t>
      </w:r>
      <w:r>
        <w:rPr>
          <w:spacing w:val="-26"/>
          <w:sz w:val="21"/>
        </w:rPr>
        <w:t>，</w:t>
      </w:r>
      <w:r>
        <w:rPr>
          <w:sz w:val="21"/>
        </w:rPr>
        <w:t>并导致神经系统永久性</w:t>
      </w:r>
    </w:p>
    <w:p>
      <w:pPr>
        <w:spacing w:after="0"/>
        <w:jc w:val="left"/>
        <w:rPr>
          <w:sz w:val="21"/>
        </w:rPr>
        <w:sectPr>
          <w:type w:val="continuous"/>
          <w:pgSz w:w="11910" w:h="16840"/>
          <w:pgMar w:top="520" w:bottom="280" w:left="920" w:right="800"/>
        </w:sectPr>
      </w:pPr>
    </w:p>
    <w:p>
      <w:pPr>
        <w:pStyle w:val="BodyText"/>
        <w:spacing w:line="273" w:lineRule="auto" w:before="19"/>
        <w:ind w:left="2884" w:right="208"/>
      </w:pPr>
      <w:r>
        <w:rPr>
          <w:spacing w:val="-6"/>
        </w:rPr>
        <w:t>的功能障碍。神经系统永久性的功能障碍，指疾病确诊 </w:t>
      </w:r>
      <w:r>
        <w:rPr/>
        <w:t>180</w:t>
      </w:r>
      <w:r>
        <w:rPr>
          <w:spacing w:val="-10"/>
        </w:rPr>
        <w:t> 天后，仍遗留下列</w:t>
      </w:r>
      <w:r>
        <w:rPr>
          <w:spacing w:val="-1"/>
        </w:rPr>
        <w:t>一种或一种以上障碍：</w:t>
      </w:r>
    </w:p>
    <w:p>
      <w:pPr>
        <w:spacing w:before="7"/>
        <w:ind w:left="288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6"/>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6"/>
        <w:ind w:left="3387" w:right="38" w:hanging="504"/>
        <w:jc w:val="left"/>
        <w:rPr>
          <w:sz w:val="21"/>
        </w:rPr>
      </w:pPr>
      <w:r>
        <w:rPr>
          <w:sz w:val="21"/>
        </w:rPr>
        <w:t>（3）自主生活能力完全丧失，无法独立完成</w:t>
      </w:r>
      <w:r>
        <w:rPr>
          <w:b/>
          <w:sz w:val="21"/>
        </w:rPr>
        <w:t>六项基本日常生活活动</w:t>
      </w:r>
      <w:r>
        <w:rPr>
          <w:sz w:val="21"/>
        </w:rPr>
        <w:t>（见注 1） 中的三项或三项以上。</w:t>
      </w:r>
    </w:p>
    <w:p>
      <w:pPr>
        <w:pStyle w:val="Heading2"/>
        <w:spacing w:line="298" w:lineRule="exact"/>
        <w:ind w:left="2884"/>
      </w:pPr>
      <w:r>
        <w:rPr/>
        <w:t>本公司仅承担被保险人年满 18 周岁后的保障责任。</w:t>
      </w:r>
    </w:p>
    <w:p>
      <w:pPr>
        <w:pStyle w:val="BodyText"/>
        <w:spacing w:before="5"/>
        <w:rPr>
          <w:b/>
          <w:sz w:val="16"/>
        </w:rPr>
      </w:pPr>
    </w:p>
    <w:p>
      <w:pPr>
        <w:spacing w:after="0"/>
        <w:rPr>
          <w:sz w:val="16"/>
        </w:rPr>
        <w:sectPr>
          <w:pgSz w:w="11910" w:h="16840"/>
          <w:pgMar w:top="1100" w:bottom="280" w:left="920" w:right="800"/>
        </w:sectPr>
      </w:pPr>
    </w:p>
    <w:p>
      <w:pPr>
        <w:pStyle w:val="Heading3"/>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pStyle w:val="Heading2"/>
        <w:spacing w:line="298" w:lineRule="exact"/>
        <w:ind w:left="101"/>
      </w:pPr>
      <w:r>
        <w:rPr/>
        <w:t>本公司仅承担被保险人年满 18 周岁后的保障责任。</w:t>
      </w:r>
    </w:p>
    <w:p>
      <w:pPr>
        <w:spacing w:after="0" w:line="298" w:lineRule="exact"/>
        <w:sectPr>
          <w:type w:val="continuous"/>
          <w:pgSz w:w="11910" w:h="16840"/>
          <w:pgMar w:top="520" w:bottom="280" w:left="920" w:right="800"/>
          <w:cols w:num="2" w:equalWidth="0">
            <w:col w:w="2641" w:space="142"/>
            <w:col w:w="7407"/>
          </w:cols>
        </w:sectPr>
      </w:pPr>
    </w:p>
    <w:p>
      <w:pPr>
        <w:pStyle w:val="BodyText"/>
        <w:spacing w:before="4"/>
        <w:rPr>
          <w:b/>
          <w:sz w:val="16"/>
        </w:rPr>
      </w:pPr>
    </w:p>
    <w:p>
      <w:pPr>
        <w:spacing w:after="0"/>
        <w:rPr>
          <w:sz w:val="16"/>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3"/>
        <w:rPr>
          <w:sz w:val="15"/>
        </w:rPr>
      </w:pPr>
    </w:p>
    <w:p>
      <w:pPr>
        <w:pStyle w:val="BodyText"/>
        <w:tabs>
          <w:tab w:pos="953" w:val="left" w:leader="none"/>
          <w:tab w:pos="2883" w:val="left" w:leader="none"/>
        </w:tabs>
        <w:spacing w:line="273" w:lineRule="auto" w:before="36"/>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7"/>
        <w:ind w:left="101"/>
      </w:pPr>
      <w:r>
        <w:rPr/>
        <w:t>（2）肝性脑病；</w:t>
      </w:r>
    </w:p>
    <w:p>
      <w:pPr>
        <w:pStyle w:val="BodyText"/>
        <w:spacing w:before="37"/>
        <w:ind w:left="101"/>
      </w:pPr>
      <w:r>
        <w:rPr/>
        <w:t>（3）B 超或其它影像学检查显示肝脏体积急速萎缩；</w:t>
      </w:r>
    </w:p>
    <w:p>
      <w:pPr>
        <w:pStyle w:val="BodyText"/>
        <w:spacing w:before="37"/>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6"/>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7"/>
        <w:ind w:left="2883"/>
      </w:pPr>
      <w:r>
        <w:rPr/>
        <w:t>（2）实际实施了对脑肿瘤进行的放射治疗。</w:t>
      </w:r>
    </w:p>
    <w:p>
      <w:pPr>
        <w:pStyle w:val="BodyText"/>
        <w:spacing w:before="37"/>
        <w:ind w:left="2883"/>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pStyle w:val="BodyText"/>
        <w:spacing w:before="36"/>
        <w:ind w:left="101"/>
      </w:pPr>
      <w:r>
        <w:rPr/>
        <w:t>（2）腹水；</w:t>
      </w:r>
    </w:p>
    <w:p>
      <w:pPr>
        <w:pStyle w:val="BodyText"/>
        <w:spacing w:before="36"/>
        <w:ind w:left="101"/>
      </w:pPr>
      <w:r>
        <w:rPr/>
        <w:t>（3）肝性脑病；</w:t>
      </w:r>
    </w:p>
    <w:p>
      <w:pPr>
        <w:pStyle w:val="BodyText"/>
        <w:spacing w:line="273" w:lineRule="auto" w:before="36"/>
        <w:ind w:left="101" w:right="2154"/>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920" w:right="800"/>
          <w:cols w:num="2" w:equalWidth="0">
            <w:col w:w="2641" w:space="142"/>
            <w:col w:w="7407"/>
          </w:cols>
        </w:sectPr>
      </w:pPr>
    </w:p>
    <w:p>
      <w:pPr>
        <w:pStyle w:val="Heading3"/>
        <w:tabs>
          <w:tab w:pos="1013" w:val="left" w:leader="none"/>
        </w:tabs>
        <w:spacing w:line="273" w:lineRule="auto" w:before="6"/>
        <w:ind w:left="1013" w:hanging="852"/>
      </w:pPr>
      <w:r>
        <w:rPr/>
        <w:t>十一</w:t>
        <w:tab/>
      </w:r>
      <w:r>
        <w:rPr>
          <w:w w:val="95"/>
        </w:rPr>
        <w:t>脑炎后遗症或脑膜 </w:t>
      </w:r>
      <w:r>
        <w:rPr/>
        <w:t>炎后遗症</w:t>
      </w:r>
    </w:p>
    <w:p>
      <w:pPr>
        <w:pStyle w:val="BodyText"/>
        <w:spacing w:line="273" w:lineRule="auto" w:before="6"/>
        <w:ind w:left="161" w:right="206"/>
      </w:pPr>
      <w:r>
        <w:rPr/>
        <w:br w:type="column"/>
      </w:r>
      <w:r>
        <w:rPr/>
        <w:t>指因患脑炎或脑膜炎导致的神经系统永久性的功能障碍。神经系统永久性的功能障碍，指疾病确诊 180 天后，仍遗留下列一种或一种以上障碍：</w:t>
      </w:r>
    </w:p>
    <w:p>
      <w:pPr>
        <w:spacing w:before="8"/>
        <w:ind w:left="161" w:right="0" w:firstLine="0"/>
        <w:jc w:val="left"/>
        <w:rPr>
          <w:sz w:val="21"/>
        </w:rPr>
      </w:pPr>
      <w:r>
        <w:rPr>
          <w:w w:val="95"/>
          <w:sz w:val="21"/>
        </w:rPr>
        <w:t>（1）一肢或一肢以上</w:t>
      </w:r>
      <w:r>
        <w:rPr>
          <w:b/>
          <w:w w:val="95"/>
          <w:sz w:val="21"/>
        </w:rPr>
        <w:t>肢体机能完全丧失</w:t>
      </w:r>
      <w:r>
        <w:rPr>
          <w:w w:val="95"/>
          <w:sz w:val="21"/>
        </w:rPr>
        <w:t>；</w:t>
      </w:r>
    </w:p>
    <w:p>
      <w:pPr>
        <w:spacing w:before="37"/>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pgSz w:w="11910" w:h="16840"/>
          <w:pgMar w:top="1340" w:bottom="280" w:left="860" w:right="740"/>
          <w:cols w:num="2" w:equalWidth="0">
            <w:col w:w="2701" w:space="82"/>
            <w:col w:w="7527"/>
          </w:cols>
        </w:sectPr>
      </w:pP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8"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40"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84" w:lineRule="exact"/>
              <w:ind w:left="121"/>
              <w:rPr>
                <w:b/>
                <w:sz w:val="24"/>
              </w:rPr>
            </w:pPr>
            <w:r>
              <w:rPr>
                <w:b/>
                <w:sz w:val="24"/>
              </w:rPr>
              <w:t>本公司仅承担被保险人年满 18 周岁后的保障责任。</w:t>
            </w:r>
          </w:p>
        </w:tc>
      </w:tr>
      <w:tr>
        <w:trPr>
          <w:trHeight w:val="417" w:hRule="atLeast"/>
        </w:trPr>
        <w:tc>
          <w:tcPr>
            <w:tcW w:w="687" w:type="dxa"/>
          </w:tcPr>
          <w:p>
            <w:pPr>
              <w:pStyle w:val="TableParagraph"/>
              <w:spacing w:before="92"/>
              <w:ind w:left="50"/>
              <w:rPr>
                <w:b/>
                <w:sz w:val="21"/>
              </w:rPr>
            </w:pPr>
            <w:r>
              <w:rPr>
                <w:b/>
                <w:sz w:val="21"/>
              </w:rPr>
              <w:t>十八</w:t>
            </w:r>
          </w:p>
        </w:tc>
        <w:tc>
          <w:tcPr>
            <w:tcW w:w="2024" w:type="dxa"/>
          </w:tcPr>
          <w:p>
            <w:pPr>
              <w:pStyle w:val="TableParagraph"/>
              <w:spacing w:before="92"/>
              <w:ind w:left="215"/>
              <w:rPr>
                <w:b/>
                <w:sz w:val="21"/>
              </w:rPr>
            </w:pPr>
            <w:r>
              <w:rPr>
                <w:b/>
                <w:w w:val="95"/>
                <w:sz w:val="21"/>
              </w:rPr>
              <w:t>严重脑损伤</w:t>
            </w:r>
          </w:p>
        </w:tc>
        <w:tc>
          <w:tcPr>
            <w:tcW w:w="7369" w:type="dxa"/>
          </w:tcPr>
          <w:p>
            <w:pPr>
              <w:pStyle w:val="TableParagraph"/>
              <w:spacing w:before="92"/>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仍遗留下列一种或一种以上障碍：</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w w:val="95"/>
                <w:sz w:val="21"/>
              </w:rPr>
              <w:t>（1）一肢或一肢以上</w:t>
            </w:r>
            <w:r>
              <w:rPr>
                <w:b/>
                <w:w w:val="95"/>
                <w:sz w:val="21"/>
              </w:rPr>
              <w:t>肢体机能完全丧失</w:t>
            </w:r>
            <w:r>
              <w:rPr>
                <w:w w:val="95"/>
                <w:sz w:val="21"/>
              </w:rPr>
              <w:t>；</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w w:val="95"/>
                <w:sz w:val="21"/>
              </w:rPr>
              <w:t>（2）</w:t>
            </w:r>
            <w:r>
              <w:rPr>
                <w:b/>
                <w:w w:val="95"/>
                <w:sz w:val="21"/>
              </w:rPr>
              <w:t>语言能力或咀嚼吞咽能力完全丧失</w:t>
            </w:r>
            <w:r>
              <w:rPr>
                <w:w w:val="95"/>
                <w:sz w:val="21"/>
              </w:rPr>
              <w:t>；</w:t>
            </w:r>
          </w:p>
        </w:tc>
      </w:tr>
    </w:tbl>
    <w:p>
      <w:pPr>
        <w:spacing w:after="0" w:line="241" w:lineRule="exact"/>
        <w:rPr>
          <w:sz w:val="21"/>
        </w:rPr>
        <w:sectPr>
          <w:type w:val="continuous"/>
          <w:pgSz w:w="11910" w:h="16840"/>
          <w:pgMar w:top="520" w:bottom="280" w:left="860" w:right="740"/>
        </w:sectPr>
      </w:pPr>
    </w:p>
    <w:p>
      <w:pPr>
        <w:spacing w:line="273" w:lineRule="auto" w:before="19"/>
        <w:ind w:left="3469" w:right="255" w:hanging="526"/>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tabs>
          <w:tab w:pos="1013" w:val="left" w:leader="none"/>
          <w:tab w:pos="2943" w:val="left" w:leader="none"/>
        </w:tabs>
        <w:spacing w:line="273" w:lineRule="auto"/>
        <w:ind w:left="2943" w:right="208" w:hanging="2783"/>
      </w:pPr>
      <w:r>
        <w:rPr>
          <w:b/>
        </w:rPr>
        <w:t>十九</w:t>
        <w:tab/>
        <w:t>严重帕金森病</w:t>
        <w:tab/>
      </w:r>
      <w:r>
        <w:rPr/>
        <w:t>是一种中枢神经系统的退行性疾病</w:t>
      </w:r>
      <w:r>
        <w:rPr>
          <w:spacing w:val="-17"/>
        </w:rPr>
        <w:t>，</w:t>
      </w:r>
      <w:r>
        <w:rPr/>
        <w:t>临床表现为震颤麻痹</w:t>
      </w:r>
      <w:r>
        <w:rPr>
          <w:spacing w:val="-17"/>
        </w:rPr>
        <w:t>、</w:t>
      </w:r>
      <w:r>
        <w:rPr/>
        <w:t>共济失调等</w:t>
      </w:r>
      <w:r>
        <w:rPr>
          <w:spacing w:val="-17"/>
        </w:rPr>
        <w:t>。</w:t>
      </w:r>
      <w:r>
        <w:rPr/>
        <w:t>须满</w:t>
      </w:r>
      <w:r>
        <w:rPr>
          <w:spacing w:val="-1"/>
        </w:rPr>
        <w:t>足下列全部条件：</w:t>
      </w:r>
    </w:p>
    <w:p>
      <w:pPr>
        <w:pStyle w:val="BodyText"/>
        <w:spacing w:before="7"/>
        <w:ind w:left="2943"/>
      </w:pPr>
      <w:r>
        <w:rPr/>
        <w:t>（1）药物治疗无法控制病情；</w:t>
      </w:r>
    </w:p>
    <w:p>
      <w:pPr>
        <w:spacing w:line="273" w:lineRule="auto" w:before="36"/>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Heading2"/>
        <w:spacing w:before="12"/>
        <w:ind w:left="2944"/>
      </w:pPr>
      <w:r>
        <w:rPr/>
        <w:t>本公司仅承担被保险人年满 18 周岁后的保障责任。</w:t>
      </w:r>
    </w:p>
    <w:p>
      <w:pPr>
        <w:pStyle w:val="BodyText"/>
        <w:spacing w:before="12"/>
        <w:rPr>
          <w:b/>
          <w:sz w:val="18"/>
        </w:rPr>
      </w:pPr>
    </w:p>
    <w:p>
      <w:pPr>
        <w:pStyle w:val="BodyText"/>
        <w:tabs>
          <w:tab w:pos="1013" w:val="left" w:leader="none"/>
          <w:tab w:pos="2943" w:val="left" w:leader="none"/>
        </w:tabs>
        <w:spacing w:line="273" w:lineRule="auto" w:before="1"/>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top="1100" w:bottom="280" w:left="860" w:right="800"/>
        </w:sectPr>
      </w:pPr>
    </w:p>
    <w:p>
      <w:pPr>
        <w:pStyle w:val="Heading3"/>
        <w:tabs>
          <w:tab w:pos="1013" w:val="left" w:leader="none"/>
        </w:tabs>
        <w:ind w:left="161"/>
      </w:pPr>
      <w:r>
        <w:rPr/>
        <w:t>二十一</w:t>
        <w:tab/>
      </w:r>
      <w:r>
        <w:rPr>
          <w:w w:val="95"/>
        </w:rPr>
        <w:t>严重原发性肺动脉</w:t>
      </w:r>
    </w:p>
    <w:p>
      <w:pPr>
        <w:spacing w:before="36"/>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pStyle w:val="Heading2"/>
        <w:spacing w:line="298" w:lineRule="exact"/>
        <w:ind w:left="161"/>
        <w:jc w:val="both"/>
      </w:pPr>
      <w:r>
        <w:rPr/>
        <w:t>本公司仅承担被保险人年满 18 周岁后的保障责任。</w:t>
      </w:r>
    </w:p>
    <w:p>
      <w:pPr>
        <w:spacing w:after="0" w:line="298" w:lineRule="exact"/>
        <w:jc w:val="both"/>
        <w:sectPr>
          <w:type w:val="continuous"/>
          <w:pgSz w:w="11910" w:h="16840"/>
          <w:pgMar w:top="520" w:bottom="280" w:left="860" w:right="800"/>
          <w:cols w:num="2" w:equalWidth="0">
            <w:col w:w="2701" w:space="82"/>
            <w:col w:w="7467"/>
          </w:cols>
        </w:sectPr>
      </w:pPr>
    </w:p>
    <w:p>
      <w:pPr>
        <w:pStyle w:val="BodyText"/>
        <w:spacing w:before="6"/>
        <w:rPr>
          <w:b/>
          <w:sz w:val="16"/>
        </w:rPr>
      </w:pPr>
    </w:p>
    <w:p>
      <w:pPr>
        <w:spacing w:line="273" w:lineRule="auto" w:before="35"/>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1"/>
        <w:rPr>
          <w:sz w:val="17"/>
        </w:rPr>
      </w:pPr>
    </w:p>
    <w:p>
      <w:pPr>
        <w:pStyle w:val="BodyText"/>
        <w:tabs>
          <w:tab w:pos="1013" w:val="left" w:leader="none"/>
          <w:tab w:pos="2943" w:val="left" w:leader="none"/>
        </w:tabs>
        <w:spacing w:line="273" w:lineRule="auto" w:before="1"/>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8"/>
        <w:ind w:left="2943"/>
      </w:pPr>
      <w:r>
        <w:rPr/>
        <w:t>精神心理因素所致的语言能力丧失不在保障范围内。</w:t>
      </w:r>
    </w:p>
    <w:p>
      <w:pPr>
        <w:pStyle w:val="Heading2"/>
        <w:spacing w:line="237" w:lineRule="auto" w:before="16"/>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二十四</w:t>
        <w:tab/>
      </w:r>
      <w:r>
        <w:rPr>
          <w:w w:val="95"/>
        </w:rPr>
        <w:t>重型再生障碍性贫</w:t>
      </w:r>
    </w:p>
    <w:p>
      <w:pPr>
        <w:spacing w:before="36"/>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2"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73" w:lineRule="auto" w:before="99"/>
              <w:ind w:left="121" w:right="75"/>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19"/>
                <w:w w:val="95"/>
                <w:sz w:val="21"/>
              </w:rPr>
              <w:t>病定义使用规范》。</w:t>
            </w:r>
          </w:p>
        </w:tc>
      </w:tr>
      <w:tr>
        <w:trPr>
          <w:trHeight w:val="425"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2" w:type="dxa"/>
          </w:tcPr>
          <w:p>
            <w:pPr>
              <w:pStyle w:val="TableParagraph"/>
              <w:spacing w:before="99"/>
              <w:ind w:right="48"/>
              <w:jc w:val="right"/>
              <w:rPr>
                <w:sz w:val="21"/>
              </w:rPr>
            </w:pPr>
            <w:r>
              <w:rPr>
                <w:sz w:val="21"/>
              </w:rPr>
              <w:t>是指末期肺部疾病包括间质肺部疾病所引起的慢性呼吸功能衰竭。肺功能测验</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right="47"/>
              <w:jc w:val="right"/>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right="48"/>
              <w:jc w:val="right"/>
              <w:rPr>
                <w:sz w:val="21"/>
              </w:rPr>
            </w:pPr>
            <w:r>
              <w:rPr>
                <w:sz w:val="21"/>
              </w:rPr>
              <w:t>血气分析结果符合重度呼吸衰竭诊断标准，静止时也感到呼吸困难。诊断必须</w:t>
            </w:r>
          </w:p>
        </w:tc>
      </w:tr>
    </w:tbl>
    <w:p>
      <w:pPr>
        <w:spacing w:after="0" w:line="241" w:lineRule="exact"/>
        <w:jc w:val="right"/>
        <w:rPr>
          <w:sz w:val="21"/>
        </w:rPr>
        <w:sectPr>
          <w:type w:val="continuous"/>
          <w:pgSz w:w="11910" w:h="16840"/>
          <w:pgMar w:top="520" w:bottom="280" w:left="860" w:right="800"/>
        </w:sectPr>
      </w:pPr>
    </w:p>
    <w:p>
      <w:pPr>
        <w:spacing w:before="19"/>
        <w:ind w:left="2884" w:right="0" w:firstLine="0"/>
        <w:jc w:val="left"/>
        <w:rPr>
          <w:sz w:val="21"/>
        </w:rPr>
      </w:pPr>
      <w:r>
        <w:rPr>
          <w:w w:val="95"/>
          <w:sz w:val="21"/>
        </w:rPr>
        <w:t>由呼吸</w:t>
      </w:r>
      <w:r>
        <w:rPr>
          <w:b/>
          <w:w w:val="95"/>
          <w:sz w:val="21"/>
        </w:rPr>
        <w:t>专科医生</w:t>
      </w:r>
      <w:r>
        <w:rPr>
          <w:w w:val="95"/>
          <w:sz w:val="21"/>
        </w:rPr>
        <w:t>确认。</w:t>
      </w:r>
    </w:p>
    <w:p>
      <w:pPr>
        <w:pStyle w:val="Heading2"/>
        <w:spacing w:before="13"/>
        <w:ind w:left="2884"/>
      </w:pPr>
      <w:r>
        <w:rPr/>
        <w:t>本公司仅承担被保险人年满 18 周岁后的保障责任。</w:t>
      </w:r>
    </w:p>
    <w:p>
      <w:pPr>
        <w:pStyle w:val="BodyText"/>
        <w:rPr>
          <w:b/>
          <w:sz w:val="19"/>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7"/>
        <w:ind w:left="2883"/>
      </w:pPr>
      <w:r>
        <w:rPr/>
        <w:t>（2）进食：自己从已准备好的碗或碟中取食物放入口中。</w:t>
      </w:r>
    </w:p>
    <w:p>
      <w:pPr>
        <w:pStyle w:val="Heading2"/>
        <w:spacing w:before="13"/>
        <w:ind w:left="2884"/>
      </w:pPr>
      <w:r>
        <w:rPr/>
        <w:t>本公司仅承担被保险人年满 18 周岁后的保障责任。</w:t>
      </w:r>
    </w:p>
    <w:p>
      <w:pPr>
        <w:pStyle w:val="BodyText"/>
        <w:rPr>
          <w:b/>
          <w:sz w:val="19"/>
        </w:rPr>
      </w:pPr>
    </w:p>
    <w:p>
      <w:pPr>
        <w:tabs>
          <w:tab w:pos="953" w:val="left" w:leader="none"/>
          <w:tab w:pos="2883" w:val="left" w:leader="none"/>
        </w:tabs>
        <w:spacing w:line="266" w:lineRule="auto" w:before="0"/>
        <w:ind w:left="2883" w:right="157" w:hanging="2783"/>
        <w:jc w:val="left"/>
        <w:rPr>
          <w:b/>
          <w:sz w:val="24"/>
        </w:rPr>
      </w:pPr>
      <w:r>
        <w:rPr>
          <w:b/>
          <w:sz w:val="21"/>
        </w:rPr>
        <w:t>二十八</w:t>
        <w:tab/>
        <w:t>严重冠心病</w:t>
        <w:tab/>
      </w:r>
      <w:r>
        <w:rPr>
          <w:w w:val="95"/>
          <w:sz w:val="21"/>
        </w:rPr>
        <w:t>指经心脏科</w:t>
      </w:r>
      <w:r>
        <w:rPr>
          <w:b/>
          <w:w w:val="95"/>
          <w:sz w:val="21"/>
        </w:rPr>
        <w:t>专科医生</w:t>
      </w:r>
      <w:r>
        <w:rPr>
          <w:w w:val="95"/>
          <w:sz w:val="21"/>
        </w:rPr>
        <w:t>根据冠状动脉造影检查结果确诊的三支主要血</w:t>
      </w:r>
      <w:r>
        <w:rPr>
          <w:spacing w:val="-53"/>
          <w:w w:val="95"/>
          <w:sz w:val="21"/>
        </w:rPr>
        <w:t>管</w:t>
      </w:r>
      <w:r>
        <w:rPr>
          <w:w w:val="95"/>
          <w:sz w:val="21"/>
        </w:rPr>
        <w:t>（左冠状    </w:t>
      </w:r>
      <w:r>
        <w:rPr>
          <w:sz w:val="21"/>
        </w:rPr>
        <w:t>动脉主干和右冠状动脉</w:t>
      </w:r>
      <w:r>
        <w:rPr>
          <w:spacing w:val="-65"/>
          <w:sz w:val="21"/>
        </w:rPr>
        <w:t>，</w:t>
      </w:r>
      <w:r>
        <w:rPr>
          <w:sz w:val="21"/>
        </w:rPr>
        <w:t>或前降支</w:t>
      </w:r>
      <w:r>
        <w:rPr>
          <w:spacing w:val="-65"/>
          <w:sz w:val="21"/>
        </w:rPr>
        <w:t>、</w:t>
      </w:r>
      <w:r>
        <w:rPr>
          <w:sz w:val="21"/>
        </w:rPr>
        <w:t>左旋支和右冠状动脉</w:t>
      </w:r>
      <w:r>
        <w:rPr>
          <w:spacing w:val="-65"/>
          <w:sz w:val="21"/>
        </w:rPr>
        <w:t>）</w:t>
      </w:r>
      <w:r>
        <w:rPr>
          <w:sz w:val="21"/>
        </w:rPr>
        <w:t>严重狭窄性病</w:t>
      </w:r>
      <w:r>
        <w:rPr>
          <w:spacing w:val="-65"/>
          <w:sz w:val="21"/>
        </w:rPr>
        <w:t>变</w:t>
      </w:r>
      <w:r>
        <w:rPr>
          <w:sz w:val="21"/>
        </w:rPr>
        <w:t>（至少一支血管管腔直径减少</w:t>
      </w:r>
      <w:r>
        <w:rPr>
          <w:spacing w:val="-55"/>
          <w:sz w:val="21"/>
        </w:rPr>
        <w:t> </w:t>
      </w:r>
      <w:r>
        <w:rPr>
          <w:sz w:val="21"/>
        </w:rPr>
        <w:t>75％以上和其他两支血管管腔直径减少</w:t>
      </w:r>
      <w:r>
        <w:rPr>
          <w:spacing w:val="-55"/>
          <w:sz w:val="21"/>
        </w:rPr>
        <w:t> </w:t>
      </w:r>
      <w:r>
        <w:rPr>
          <w:sz w:val="21"/>
        </w:rPr>
        <w:t>60％以上</w:t>
      </w:r>
      <w:r>
        <w:rPr>
          <w:spacing w:val="-105"/>
          <w:sz w:val="21"/>
        </w:rPr>
        <w:t>）</w:t>
      </w:r>
      <w:r>
        <w:rPr>
          <w:sz w:val="21"/>
        </w:rPr>
        <w:t>。前降支、左旋支及右冠状动脉的分支血管的狭窄不作为本保障的衡量指标。</w:t>
      </w:r>
      <w:r>
        <w:rPr>
          <w:b/>
          <w:sz w:val="24"/>
        </w:rPr>
        <w:t>本公司仅承担被保险人年满</w:t>
      </w:r>
      <w:r>
        <w:rPr>
          <w:b/>
          <w:spacing w:val="-71"/>
          <w:sz w:val="24"/>
        </w:rPr>
        <w:t> </w:t>
      </w:r>
      <w:r>
        <w:rPr>
          <w:b/>
          <w:sz w:val="24"/>
        </w:rPr>
        <w:t>18</w:t>
      </w:r>
      <w:r>
        <w:rPr>
          <w:b/>
          <w:spacing w:val="-71"/>
          <w:sz w:val="24"/>
        </w:rPr>
        <w:t> </w:t>
      </w:r>
      <w:r>
        <w:rPr>
          <w:b/>
          <w:sz w:val="24"/>
        </w:rPr>
        <w:t>周岁后的保障责任。</w:t>
      </w:r>
    </w:p>
    <w:p>
      <w:pPr>
        <w:pStyle w:val="BodyText"/>
        <w:spacing w:before="12"/>
        <w:rPr>
          <w:b/>
          <w:sz w:val="16"/>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4"/>
        <w:rPr>
          <w:sz w:val="15"/>
        </w:rPr>
      </w:pPr>
    </w:p>
    <w:p>
      <w:pPr>
        <w:spacing w:after="0"/>
        <w:rPr>
          <w:sz w:val="15"/>
        </w:rPr>
        <w:sectPr>
          <w:pgSz w:w="11910" w:h="16840"/>
          <w:pgMar w:top="1100" w:bottom="280" w:left="920" w:right="800"/>
        </w:sectPr>
      </w:pPr>
    </w:p>
    <w:p>
      <w:pPr>
        <w:pStyle w:val="Heading3"/>
        <w:tabs>
          <w:tab w:pos="953" w:val="left" w:leader="none"/>
        </w:tabs>
        <w:ind w:left="101"/>
      </w:pPr>
      <w:r>
        <w:rPr/>
        <w:t>三十</w:t>
        <w:tab/>
      </w:r>
      <w:r>
        <w:rPr>
          <w:w w:val="95"/>
        </w:rPr>
        <w:t>系统性红斑狼疮－</w:t>
      </w:r>
    </w:p>
    <w:p>
      <w:pPr>
        <w:spacing w:line="273" w:lineRule="auto" w:before="36"/>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6"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6"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6"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肾小</w:t>
      </w:r>
      <w:r>
        <w:rPr>
          <w:sz w:val="21"/>
        </w:rPr>
        <w:t>球硬化型</w:t>
      </w:r>
    </w:p>
    <w:p>
      <w:pPr>
        <w:pStyle w:val="Heading2"/>
        <w:spacing w:before="12"/>
        <w:ind w:left="101"/>
      </w:pPr>
      <w:r>
        <w:rPr/>
        <w:t>本公司仅承担被保险人年满 18 周岁后的保障责任。</w:t>
      </w:r>
    </w:p>
    <w:p>
      <w:pPr>
        <w:spacing w:after="0"/>
        <w:sectPr>
          <w:type w:val="continuous"/>
          <w:pgSz w:w="11910" w:h="16840"/>
          <w:pgMar w:top="520" w:bottom="280" w:left="920" w:right="800"/>
          <w:cols w:num="2" w:equalWidth="0">
            <w:col w:w="2641" w:space="142"/>
            <w:col w:w="7407"/>
          </w:cols>
        </w:sectPr>
      </w:pPr>
    </w:p>
    <w:p>
      <w:pPr>
        <w:pStyle w:val="BodyText"/>
        <w:spacing w:before="3"/>
        <w:rPr>
          <w:b/>
          <w:sz w:val="16"/>
        </w:rPr>
      </w:pPr>
    </w:p>
    <w:p>
      <w:pPr>
        <w:spacing w:after="0"/>
        <w:rPr>
          <w:sz w:val="16"/>
        </w:rPr>
        <w:sectPr>
          <w:type w:val="continuous"/>
          <w:pgSz w:w="11910" w:h="16840"/>
          <w:pgMar w:top="520" w:bottom="280" w:left="920" w:right="800"/>
        </w:sectPr>
      </w:pPr>
    </w:p>
    <w:p>
      <w:pPr>
        <w:pStyle w:val="Heading3"/>
        <w:tabs>
          <w:tab w:pos="953" w:val="left" w:leader="none"/>
        </w:tabs>
        <w:spacing w:before="36"/>
        <w:ind w:left="101"/>
      </w:pPr>
      <w:r>
        <w:rPr/>
        <w:t>三十一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6"/>
        <w:ind w:left="101"/>
      </w:pPr>
      <w:r>
        <w:rPr/>
        <w:br w:type="column"/>
      </w:r>
      <w:r>
        <w:rPr/>
        <w:t>被保险人感染上人类免疫缺陷病毒（HIV）并且满足下列全部条件：</w:t>
      </w:r>
    </w:p>
    <w:p>
      <w:pPr>
        <w:pStyle w:val="BodyText"/>
        <w:spacing w:line="273" w:lineRule="auto" w:before="37"/>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pStyle w:val="BodyText"/>
        <w:spacing w:before="37"/>
        <w:ind w:left="101"/>
      </w:pPr>
      <w:r>
        <w:rPr/>
        <w:t>（4）受感染的被保险人不是血友病患者。</w:t>
      </w:r>
    </w:p>
    <w:p>
      <w:pPr>
        <w:pStyle w:val="BodyText"/>
        <w:spacing w:before="37"/>
        <w:ind w:left="101"/>
      </w:pPr>
      <w:r>
        <w:rPr/>
        <w:t>在任何治愈艾滋病（AIDS）或阻止 HIV 病毒作用的疗法被发现以后，或能防止</w:t>
      </w:r>
    </w:p>
    <w:p>
      <w:pPr>
        <w:pStyle w:val="BodyText"/>
        <w:spacing w:before="37"/>
        <w:ind w:left="101"/>
      </w:pPr>
      <w:r>
        <w:rPr/>
        <w:t>AIDS 发生的医疗方法被研究出来以后，本保障将不再予以赔付。</w:t>
      </w:r>
    </w:p>
    <w:p>
      <w:pPr>
        <w:pStyle w:val="BodyText"/>
        <w:spacing w:line="273" w:lineRule="auto" w:before="37"/>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260" w:hRule="atLeast"/>
        </w:trPr>
        <w:tc>
          <w:tcPr>
            <w:tcW w:w="793" w:type="dxa"/>
          </w:tcPr>
          <w:p>
            <w:pPr>
              <w:pStyle w:val="TableParagraph"/>
              <w:spacing w:line="210" w:lineRule="exact"/>
              <w:ind w:left="31" w:right="88"/>
              <w:jc w:val="center"/>
              <w:rPr>
                <w:b/>
                <w:sz w:val="21"/>
              </w:rPr>
            </w:pPr>
            <w:r>
              <w:rPr>
                <w:b/>
                <w:sz w:val="21"/>
              </w:rPr>
              <w:t>三十二</w:t>
            </w:r>
          </w:p>
        </w:tc>
        <w:tc>
          <w:tcPr>
            <w:tcW w:w="1918" w:type="dxa"/>
          </w:tcPr>
          <w:p>
            <w:pPr>
              <w:pStyle w:val="TableParagraph"/>
              <w:spacing w:line="210" w:lineRule="exact"/>
              <w:ind w:left="108"/>
              <w:rPr>
                <w:b/>
                <w:sz w:val="21"/>
              </w:rPr>
            </w:pPr>
            <w:r>
              <w:rPr>
                <w:b/>
                <w:w w:val="95"/>
                <w:sz w:val="21"/>
              </w:rPr>
              <w:t>脊髓灰质炎</w:t>
            </w:r>
          </w:p>
        </w:tc>
        <w:tc>
          <w:tcPr>
            <w:tcW w:w="7262" w:type="dxa"/>
          </w:tcPr>
          <w:p>
            <w:pPr>
              <w:pStyle w:val="TableParagraph"/>
              <w:spacing w:line="210" w:lineRule="exact"/>
              <w:ind w:left="121"/>
              <w:rPr>
                <w:sz w:val="21"/>
              </w:rPr>
            </w:pPr>
            <w:r>
              <w:rPr>
                <w:sz w:val="21"/>
              </w:rPr>
              <w:t>脊髓灰质炎是由于脊髓灰质炎病毒感染所致的瘫痪性疾病，临床表现为运动功</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能损害或呼吸无力。脊髓灰质炎必须明确诊断。本保单仅对脊髓灰质炎造成的</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神经系统功能损害导致被保险人一肢或一肢以上肢体机能永久完全丧失的情</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7"/>
                <w:sz w:val="21"/>
              </w:rPr>
              <w:t>况予以理赔。肢体机能永久完全丧失，指疾病确诊 </w:t>
            </w:r>
            <w:r>
              <w:rPr>
                <w:sz w:val="21"/>
              </w:rPr>
              <w:t>180</w:t>
            </w:r>
            <w:r>
              <w:rPr>
                <w:spacing w:val="-9"/>
                <w:sz w:val="21"/>
              </w:rPr>
              <w:t> 天后，每肢三大关节中</w:t>
            </w:r>
          </w:p>
        </w:tc>
      </w:tr>
      <w:tr>
        <w:trPr>
          <w:trHeight w:val="42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的两大关节仍然完全僵硬，或不能随意识活动。</w:t>
            </w:r>
          </w:p>
        </w:tc>
      </w:tr>
      <w:tr>
        <w:trPr>
          <w:trHeight w:val="425"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before="99"/>
              <w:ind w:left="121"/>
              <w:rPr>
                <w:sz w:val="21"/>
              </w:rPr>
            </w:pPr>
            <w:r>
              <w:rPr>
                <w:sz w:val="21"/>
              </w:rPr>
              <w:t>重症肌无力是一种神经肌肉接头传递障碍所致的疾病，表现为局部或全身骨骼</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肌（特别是眼外肌）极易疲劳。疾病可以累及呼吸肌、上肢或下肢的近端肌群</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或全身肌肉，必须满足下列全部条件：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（1）经药物治疗和胸腺切除治疗一年以上仍无法控制病情；</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w w:val="95"/>
                <w:sz w:val="21"/>
              </w:rPr>
              <w:t>（2）自主生活能力完全丧失，无法独立完成</w:t>
            </w:r>
            <w:r>
              <w:rPr>
                <w:b/>
                <w:w w:val="95"/>
                <w:sz w:val="21"/>
              </w:rPr>
              <w:t>六项基本日常生活活动</w:t>
            </w:r>
            <w:r>
              <w:rPr>
                <w:w w:val="95"/>
                <w:sz w:val="21"/>
              </w:rPr>
              <w:t>中的三项</w:t>
            </w:r>
          </w:p>
        </w:tc>
      </w:tr>
      <w:tr>
        <w:trPr>
          <w:trHeight w:val="79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before="37"/>
              <w:ind w:left="625"/>
              <w:rPr>
                <w:sz w:val="21"/>
              </w:rPr>
            </w:pPr>
            <w:r>
              <w:rPr>
                <w:sz w:val="21"/>
              </w:rPr>
              <w:t>或三项以上。</w:t>
            </w:r>
          </w:p>
          <w:p>
            <w:pPr>
              <w:pStyle w:val="TableParagraph"/>
              <w:spacing w:before="12"/>
              <w:ind w:left="121"/>
              <w:rPr>
                <w:b/>
                <w:sz w:val="24"/>
              </w:rPr>
            </w:pPr>
            <w:r>
              <w:rPr>
                <w:b/>
                <w:sz w:val="24"/>
              </w:rPr>
              <w:t>本公司仅承担被保险人年满 18 周岁后的保障责任。</w:t>
            </w:r>
          </w:p>
        </w:tc>
      </w:tr>
      <w:tr>
        <w:trPr>
          <w:trHeight w:val="417" w:hRule="atLeast"/>
        </w:trPr>
        <w:tc>
          <w:tcPr>
            <w:tcW w:w="793" w:type="dxa"/>
          </w:tcPr>
          <w:p>
            <w:pPr>
              <w:pStyle w:val="TableParagraph"/>
              <w:spacing w:before="92"/>
              <w:ind w:left="31" w:right="88"/>
              <w:jc w:val="center"/>
              <w:rPr>
                <w:b/>
                <w:sz w:val="21"/>
              </w:rPr>
            </w:pPr>
            <w:r>
              <w:rPr>
                <w:b/>
                <w:sz w:val="21"/>
              </w:rPr>
              <w:t>三十四</w:t>
            </w:r>
          </w:p>
        </w:tc>
        <w:tc>
          <w:tcPr>
            <w:tcW w:w="1918" w:type="dxa"/>
          </w:tcPr>
          <w:p>
            <w:pPr>
              <w:pStyle w:val="TableParagraph"/>
              <w:spacing w:before="92"/>
              <w:ind w:left="108"/>
              <w:rPr>
                <w:b/>
                <w:sz w:val="21"/>
              </w:rPr>
            </w:pPr>
            <w:r>
              <w:rPr>
                <w:b/>
                <w:sz w:val="21"/>
              </w:rPr>
              <w:t>I 型糖尿病</w:t>
            </w:r>
          </w:p>
        </w:tc>
        <w:tc>
          <w:tcPr>
            <w:tcW w:w="7262" w:type="dxa"/>
          </w:tcPr>
          <w:p>
            <w:pPr>
              <w:pStyle w:val="TableParagraph"/>
              <w:spacing w:before="92"/>
              <w:ind w:left="121"/>
              <w:rPr>
                <w:sz w:val="21"/>
              </w:rPr>
            </w:pPr>
            <w:r>
              <w:rPr>
                <w:sz w:val="21"/>
              </w:rPr>
              <w:t>I 型糖尿病的特征为由于胰岛素分泌绝对不足引起严重胰岛素缺乏导致慢性血</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2"/>
        <w:rPr>
          <w:sz w:val="20"/>
        </w:rPr>
      </w:pPr>
    </w:p>
    <w:p>
      <w:pPr>
        <w:pStyle w:val="BodyText"/>
        <w:tabs>
          <w:tab w:pos="1013" w:val="left" w:leader="none"/>
          <w:tab w:pos="2943" w:val="left" w:leader="none"/>
        </w:tabs>
        <w:spacing w:line="273" w:lineRule="auto"/>
        <w:ind w:left="2943" w:right="26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4"/>
        <w:rPr>
          <w:sz w:val="15"/>
        </w:rPr>
      </w:pPr>
    </w:p>
    <w:p>
      <w:pPr>
        <w:spacing w:after="0"/>
        <w:rPr>
          <w:sz w:val="15"/>
        </w:rPr>
        <w:sectPr>
          <w:pgSz w:w="11910" w:h="16840"/>
          <w:pgMar w:top="1180" w:bottom="280" w:left="860" w:right="740"/>
        </w:sectPr>
      </w:pPr>
    </w:p>
    <w:p>
      <w:pPr>
        <w:pStyle w:val="Heading3"/>
        <w:tabs>
          <w:tab w:pos="1013" w:val="left" w:leader="none"/>
        </w:tabs>
        <w:ind w:left="161"/>
      </w:pPr>
      <w:r>
        <w:rPr/>
        <w:t>三十六</w:t>
        <w:tab/>
      </w:r>
      <w:r>
        <w:rPr>
          <w:w w:val="95"/>
        </w:rPr>
        <w:t>川崎病（伴有冠状</w:t>
      </w:r>
    </w:p>
    <w:p>
      <w:pPr>
        <w:spacing w:before="37"/>
        <w:ind w:left="1013" w:right="0" w:firstLine="0"/>
        <w:jc w:val="left"/>
        <w:rPr>
          <w:b/>
          <w:sz w:val="21"/>
        </w:rPr>
      </w:pPr>
      <w:r>
        <w:rPr>
          <w:b/>
          <w:w w:val="95"/>
          <w:sz w:val="21"/>
        </w:rPr>
        <w:t>动脉瘤形成）</w:t>
      </w:r>
    </w:p>
    <w:p>
      <w:pPr>
        <w:pStyle w:val="BodyText"/>
        <w:spacing w:line="273" w:lineRule="auto" w:before="35"/>
        <w:ind w:left="161" w:right="206"/>
      </w:pPr>
      <w:r>
        <w:rPr/>
        <w:br w:type="column"/>
      </w:r>
      <w:r>
        <w:rPr/>
        <w:t>指一种以全身血管炎变为主要病理改变的急性发热性出疹性小儿疾病。必须由本公司认可的儿科医生确诊并且同时满足下列指标：</w:t>
      </w:r>
    </w:p>
    <w:p>
      <w:pPr>
        <w:pStyle w:val="BodyText"/>
        <w:spacing w:line="273" w:lineRule="auto" w:before="7"/>
        <w:ind w:left="686" w:right="323" w:hanging="526"/>
      </w:pPr>
      <w:r>
        <w:rPr/>
        <w:t>（1）血液化验显示：不成熟型白细胞增多和明显的血小板增多，贫血，血沉升高；</w:t>
      </w:r>
    </w:p>
    <w:p>
      <w:pPr>
        <w:pStyle w:val="BodyText"/>
        <w:spacing w:line="273" w:lineRule="auto" w:before="7"/>
        <w:ind w:left="665" w:right="323" w:hanging="504"/>
      </w:pPr>
      <w:r>
        <w:rPr/>
        <w:t>（2）因严重心脏并发症确已接受开胸手术以矫正冠状动脉狭窄或阻塞手术治疗；或确已接受心脏瓣膜置换手术（瓣膜包括生物瓣膜和机械瓣膜</w:t>
      </w:r>
      <w:r>
        <w:rPr>
          <w:spacing w:val="-105"/>
        </w:rPr>
        <w:t>）</w:t>
      </w:r>
      <w:r>
        <w:rPr/>
        <w:t>。</w:t>
      </w:r>
    </w:p>
    <w:p>
      <w:pPr>
        <w:spacing w:after="0" w:line="273" w:lineRule="auto"/>
        <w:sectPr>
          <w:type w:val="continuous"/>
          <w:pgSz w:w="11910" w:h="16840"/>
          <w:pgMar w:top="520" w:bottom="280" w:left="860" w:right="740"/>
          <w:cols w:num="2" w:equalWidth="0">
            <w:col w:w="2701" w:space="82"/>
            <w:col w:w="7527"/>
          </w:cols>
        </w:sectPr>
      </w:pPr>
    </w:p>
    <w:p>
      <w:pPr>
        <w:pStyle w:val="BodyText"/>
        <w:spacing w:before="5"/>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366"/>
      </w:tblGrid>
      <w:tr>
        <w:trPr>
          <w:trHeight w:val="396" w:hRule="atLeast"/>
        </w:trPr>
        <w:tc>
          <w:tcPr>
            <w:tcW w:w="2711" w:type="dxa"/>
            <w:gridSpan w:val="2"/>
          </w:tcPr>
          <w:p>
            <w:pPr>
              <w:pStyle w:val="TableParagraph"/>
              <w:rPr>
                <w:rFonts w:ascii="Times New Roman"/>
                <w:sz w:val="20"/>
              </w:rPr>
            </w:pPr>
          </w:p>
        </w:tc>
        <w:tc>
          <w:tcPr>
            <w:tcW w:w="7366" w:type="dxa"/>
          </w:tcPr>
          <w:p>
            <w:pPr>
              <w:pStyle w:val="TableParagraph"/>
              <w:spacing w:line="240" w:lineRule="exact"/>
              <w:ind w:left="121"/>
              <w:rPr>
                <w:b/>
                <w:sz w:val="24"/>
              </w:rPr>
            </w:pPr>
            <w:r>
              <w:rPr>
                <w:b/>
                <w:sz w:val="24"/>
              </w:rPr>
              <w:t>本公司仅承担被保险人未满 18 周岁时的保障责任。</w:t>
            </w:r>
          </w:p>
        </w:tc>
      </w:tr>
      <w:tr>
        <w:trPr>
          <w:trHeight w:val="417" w:hRule="atLeast"/>
        </w:trPr>
        <w:tc>
          <w:tcPr>
            <w:tcW w:w="793" w:type="dxa"/>
          </w:tcPr>
          <w:p>
            <w:pPr>
              <w:pStyle w:val="TableParagraph"/>
              <w:spacing w:before="92"/>
              <w:ind w:left="50"/>
              <w:rPr>
                <w:b/>
                <w:sz w:val="21"/>
              </w:rPr>
            </w:pPr>
            <w:r>
              <w:rPr>
                <w:b/>
                <w:sz w:val="21"/>
              </w:rPr>
              <w:t>三十七</w:t>
            </w:r>
          </w:p>
        </w:tc>
        <w:tc>
          <w:tcPr>
            <w:tcW w:w="1918" w:type="dxa"/>
          </w:tcPr>
          <w:p>
            <w:pPr>
              <w:pStyle w:val="TableParagraph"/>
              <w:spacing w:before="92"/>
              <w:ind w:left="108"/>
              <w:rPr>
                <w:b/>
                <w:sz w:val="21"/>
              </w:rPr>
            </w:pPr>
            <w:r>
              <w:rPr>
                <w:b/>
                <w:w w:val="95"/>
                <w:sz w:val="21"/>
              </w:rPr>
              <w:t>幼年类风湿性关节</w:t>
            </w:r>
          </w:p>
        </w:tc>
        <w:tc>
          <w:tcPr>
            <w:tcW w:w="7366" w:type="dxa"/>
          </w:tcPr>
          <w:p>
            <w:pPr>
              <w:pStyle w:val="TableParagraph"/>
              <w:spacing w:before="92"/>
              <w:ind w:left="121"/>
              <w:rPr>
                <w:sz w:val="21"/>
              </w:rPr>
            </w:pPr>
            <w:r>
              <w:rPr>
                <w:sz w:val="21"/>
              </w:rPr>
              <w:t>因非传染的慢性关节滑膜炎引起多处关节呈现的慢性关节炎症，并导致自身免</w:t>
            </w:r>
          </w:p>
        </w:tc>
      </w:tr>
      <w:tr>
        <w:trPr>
          <w:trHeight w:val="311" w:hRule="atLeast"/>
        </w:trPr>
        <w:tc>
          <w:tcPr>
            <w:tcW w:w="793" w:type="dxa"/>
          </w:tcPr>
          <w:p>
            <w:pPr>
              <w:pStyle w:val="TableParagraph"/>
              <w:rPr>
                <w:rFonts w:ascii="Times New Roman"/>
                <w:sz w:val="20"/>
              </w:rPr>
            </w:pPr>
          </w:p>
        </w:tc>
        <w:tc>
          <w:tcPr>
            <w:tcW w:w="1918" w:type="dxa"/>
          </w:tcPr>
          <w:p>
            <w:pPr>
              <w:pStyle w:val="TableParagraph"/>
              <w:spacing w:line="261" w:lineRule="exact"/>
              <w:ind w:left="108"/>
              <w:rPr>
                <w:b/>
                <w:sz w:val="21"/>
              </w:rPr>
            </w:pPr>
            <w:r>
              <w:rPr>
                <w:b/>
                <w:w w:val="95"/>
                <w:sz w:val="21"/>
              </w:rPr>
              <w:t>炎－斯蒂尔病</w:t>
            </w:r>
          </w:p>
        </w:tc>
        <w:tc>
          <w:tcPr>
            <w:tcW w:w="7366" w:type="dxa"/>
          </w:tcPr>
          <w:p>
            <w:pPr>
              <w:pStyle w:val="TableParagraph"/>
              <w:spacing w:line="261" w:lineRule="exact"/>
              <w:ind w:left="121"/>
              <w:rPr>
                <w:sz w:val="21"/>
              </w:rPr>
            </w:pPr>
            <w:r>
              <w:rPr>
                <w:spacing w:val="-12"/>
                <w:sz w:val="21"/>
              </w:rPr>
              <w:t>疫失调。本病须经本公司认可的类风湿科医生出具医学诊断证明，因病情严重，</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61" w:lineRule="exact"/>
              <w:ind w:left="121"/>
              <w:rPr>
                <w:sz w:val="21"/>
              </w:rPr>
            </w:pPr>
            <w:r>
              <w:rPr>
                <w:sz w:val="21"/>
              </w:rPr>
              <w:t>在医生的建议下已接受以治疗为目的的膝或髋关节的置换手术，其他类型的儿</w:t>
            </w:r>
          </w:p>
        </w:tc>
      </w:tr>
      <w:tr>
        <w:trPr>
          <w:trHeight w:val="304"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61" w:lineRule="exact"/>
              <w:ind w:left="121"/>
              <w:rPr>
                <w:sz w:val="21"/>
              </w:rPr>
            </w:pPr>
            <w:r>
              <w:rPr>
                <w:sz w:val="21"/>
              </w:rPr>
              <w:t>童类风湿性关节炎除外。</w:t>
            </w:r>
          </w:p>
        </w:tc>
      </w:tr>
      <w:tr>
        <w:trPr>
          <w:trHeight w:val="437"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366" w:type="dxa"/>
          </w:tcPr>
          <w:p>
            <w:pPr>
              <w:pStyle w:val="TableParagraph"/>
              <w:spacing w:line="284" w:lineRule="exact"/>
              <w:ind w:left="121"/>
              <w:rPr>
                <w:b/>
                <w:sz w:val="24"/>
              </w:rPr>
            </w:pPr>
            <w:r>
              <w:rPr>
                <w:b/>
                <w:sz w:val="24"/>
              </w:rPr>
              <w:t>本公司仅承担被保险人未满 18 周岁时的保障责任。</w:t>
            </w:r>
          </w:p>
        </w:tc>
      </w:tr>
      <w:tr>
        <w:trPr>
          <w:trHeight w:val="1946" w:hRule="atLeast"/>
        </w:trPr>
        <w:tc>
          <w:tcPr>
            <w:tcW w:w="793" w:type="dxa"/>
          </w:tcPr>
          <w:p>
            <w:pPr>
              <w:pStyle w:val="TableParagraph"/>
              <w:spacing w:before="95"/>
              <w:ind w:left="50"/>
              <w:rPr>
                <w:b/>
                <w:sz w:val="21"/>
              </w:rPr>
            </w:pPr>
            <w:r>
              <w:rPr>
                <w:b/>
                <w:sz w:val="21"/>
              </w:rPr>
              <w:t>注 1</w:t>
            </w:r>
          </w:p>
        </w:tc>
        <w:tc>
          <w:tcPr>
            <w:tcW w:w="1918" w:type="dxa"/>
          </w:tcPr>
          <w:p>
            <w:pPr>
              <w:pStyle w:val="TableParagraph"/>
              <w:spacing w:line="273" w:lineRule="auto" w:before="95"/>
              <w:ind w:left="108" w:right="119"/>
              <w:rPr>
                <w:b/>
                <w:sz w:val="21"/>
              </w:rPr>
            </w:pPr>
            <w:r>
              <w:rPr>
                <w:b/>
                <w:sz w:val="21"/>
              </w:rPr>
              <w:t>六项基本日常生活活动</w:t>
            </w:r>
          </w:p>
        </w:tc>
        <w:tc>
          <w:tcPr>
            <w:tcW w:w="7366" w:type="dxa"/>
          </w:tcPr>
          <w:p>
            <w:pPr>
              <w:pStyle w:val="TableParagraph"/>
              <w:spacing w:before="95"/>
              <w:ind w:left="121"/>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21"/>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21"/>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21"/>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21"/>
              <w:rPr>
                <w:sz w:val="21"/>
              </w:rPr>
            </w:pPr>
            <w:r>
              <w:rPr>
                <w:sz w:val="21"/>
              </w:rPr>
              <w:t>（</w:t>
            </w:r>
            <w:r>
              <w:rPr>
                <w:rFonts w:ascii="Times New Roman" w:eastAsia="Times New Roman"/>
                <w:sz w:val="21"/>
              </w:rPr>
              <w:t>4</w:t>
            </w:r>
            <w:r>
              <w:rPr>
                <w:sz w:val="21"/>
              </w:rPr>
              <w:t>）如厕：自己控制进行大小便；</w:t>
            </w:r>
          </w:p>
          <w:p>
            <w:pPr>
              <w:pStyle w:val="TableParagraph"/>
              <w:spacing w:line="271" w:lineRule="exact" w:before="21"/>
              <w:ind w:left="121"/>
              <w:rPr>
                <w:sz w:val="21"/>
              </w:rPr>
            </w:pPr>
            <w:r>
              <w:rPr>
                <w:sz w:val="21"/>
              </w:rPr>
              <w:t>（</w:t>
            </w:r>
            <w:r>
              <w:rPr>
                <w:rFonts w:ascii="Times New Roman" w:eastAsia="Times New Roman"/>
                <w:sz w:val="21"/>
              </w:rPr>
              <w:t>5</w:t>
            </w:r>
            <w:r>
              <w:rPr>
                <w:sz w:val="21"/>
              </w:rPr>
              <w:t>）进食：自己从已准备好的碗或碟中取食物放入口中；</w:t>
            </w:r>
          </w:p>
        </w:tc>
      </w:tr>
    </w:tbl>
    <w:p>
      <w:pPr>
        <w:spacing w:after="0" w:line="271" w:lineRule="exact"/>
        <w:rPr>
          <w:sz w:val="21"/>
        </w:rPr>
        <w:sectPr>
          <w:type w:val="continuous"/>
          <w:pgSz w:w="11910" w:h="16840"/>
          <w:pgMar w:top="520" w:bottom="280" w:left="860" w:right="740"/>
        </w:sectPr>
      </w:pPr>
    </w:p>
    <w:p>
      <w:pPr>
        <w:pStyle w:val="BodyText"/>
        <w:spacing w:before="19"/>
        <w:ind w:left="2884"/>
      </w:pPr>
      <w:r>
        <w:rPr/>
        <w:t>（</w:t>
      </w:r>
      <w:r>
        <w:rPr>
          <w:rFonts w:ascii="Times New Roman" w:eastAsia="Times New Roman"/>
        </w:rPr>
        <w:t>6</w:t>
      </w:r>
      <w:r>
        <w:rPr/>
        <w:t>）洗澡：自己进行淋浴或盆浴。</w:t>
      </w:r>
    </w:p>
    <w:p>
      <w:pPr>
        <w:pStyle w:val="BodyText"/>
        <w:spacing w:before="12"/>
        <w:rPr>
          <w:sz w:val="18"/>
        </w:rPr>
      </w:pPr>
    </w:p>
    <w:p>
      <w:pPr>
        <w:pStyle w:val="BodyText"/>
        <w:tabs>
          <w:tab w:pos="953" w:val="left" w:leader="none"/>
          <w:tab w:pos="2883" w:val="left" w:leader="none"/>
        </w:tabs>
        <w:spacing w:line="273" w:lineRule="auto"/>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pgSz w:w="11910" w:h="16840"/>
          <w:pgMar w:top="1100" w:bottom="280" w:left="920" w:right="800"/>
        </w:sectPr>
      </w:pPr>
    </w:p>
    <w:p>
      <w:pPr>
        <w:pStyle w:val="Heading3"/>
        <w:tabs>
          <w:tab w:pos="953" w:val="left" w:leader="none"/>
        </w:tabs>
        <w:spacing w:before="36"/>
        <w:ind w:left="101"/>
      </w:pPr>
      <w:r>
        <w:rPr/>
        <w:t>注</w:t>
      </w:r>
      <w:r>
        <w:rPr>
          <w:spacing w:val="-53"/>
        </w:rPr>
        <w:t> </w:t>
      </w:r>
      <w:r>
        <w:rPr/>
        <w:t>3</w:t>
        <w:tab/>
      </w:r>
      <w:r>
        <w:rPr>
          <w:w w:val="95"/>
        </w:rPr>
        <w:t>语言能力或咀嚼吞</w:t>
      </w:r>
    </w:p>
    <w:p>
      <w:pPr>
        <w:spacing w:before="37"/>
        <w:ind w:left="953" w:right="0" w:firstLine="0"/>
        <w:jc w:val="left"/>
        <w:rPr>
          <w:b/>
          <w:sz w:val="21"/>
        </w:rPr>
      </w:pPr>
      <w:r>
        <w:rPr>
          <w:b/>
          <w:w w:val="95"/>
          <w:sz w:val="21"/>
        </w:rPr>
        <w:t>咽能力完全丧失</w:t>
      </w:r>
    </w:p>
    <w:p>
      <w:pPr>
        <w:pStyle w:val="BodyText"/>
        <w:spacing w:line="273" w:lineRule="auto" w:before="36"/>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9"/>
        <w:rPr>
          <w:sz w:val="14"/>
        </w:rPr>
      </w:pPr>
    </w:p>
    <w:p>
      <w:pPr>
        <w:pStyle w:val="BodyText"/>
        <w:tabs>
          <w:tab w:pos="953" w:val="left" w:leader="none"/>
          <w:tab w:pos="2883"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right"/>
      </w:pPr>
      <w:rPr>
        <w:rFonts w:hint="default" w:ascii="宋体" w:hAnsi="宋体" w:eastAsia="宋体" w:cs="宋体"/>
        <w:b/>
        <w:bCs/>
        <w:w w:val="99"/>
        <w:sz w:val="21"/>
        <w:szCs w:val="21"/>
      </w:rPr>
    </w:lvl>
    <w:lvl w:ilvl="2">
      <w:start w:val="0"/>
      <w:numFmt w:val="bullet"/>
      <w:lvlText w:val="•"/>
      <w:lvlJc w:val="left"/>
      <w:pPr>
        <w:ind w:left="4171" w:hanging="853"/>
      </w:pPr>
      <w:rPr>
        <w:rFonts w:hint="default"/>
      </w:rPr>
    </w:lvl>
    <w:lvl w:ilvl="3">
      <w:start w:val="0"/>
      <w:numFmt w:val="bullet"/>
      <w:lvlText w:val="•"/>
      <w:lvlJc w:val="left"/>
      <w:pPr>
        <w:ind w:left="4923" w:hanging="853"/>
      </w:pPr>
      <w:rPr>
        <w:rFonts w:hint="default"/>
      </w:rPr>
    </w:lvl>
    <w:lvl w:ilvl="4">
      <w:start w:val="0"/>
      <w:numFmt w:val="bullet"/>
      <w:lvlText w:val="•"/>
      <w:lvlJc w:val="left"/>
      <w:pPr>
        <w:ind w:left="5674" w:hanging="853"/>
      </w:pPr>
      <w:rPr>
        <w:rFonts w:hint="default"/>
      </w:rPr>
    </w:lvl>
    <w:lvl w:ilvl="5">
      <w:start w:val="0"/>
      <w:numFmt w:val="bullet"/>
      <w:lvlText w:val="•"/>
      <w:lvlJc w:val="left"/>
      <w:pPr>
        <w:ind w:left="6426" w:hanging="853"/>
      </w:pPr>
      <w:rPr>
        <w:rFonts w:hint="default"/>
      </w:rPr>
    </w:lvl>
    <w:lvl w:ilvl="6">
      <w:start w:val="0"/>
      <w:numFmt w:val="bullet"/>
      <w:lvlText w:val="•"/>
      <w:lvlJc w:val="left"/>
      <w:pPr>
        <w:ind w:left="7178" w:hanging="853"/>
      </w:pPr>
      <w:rPr>
        <w:rFonts w:hint="default"/>
      </w:rPr>
    </w:lvl>
    <w:lvl w:ilvl="7">
      <w:start w:val="0"/>
      <w:numFmt w:val="bullet"/>
      <w:lvlText w:val="•"/>
      <w:lvlJc w:val="left"/>
      <w:pPr>
        <w:ind w:left="7929" w:hanging="853"/>
      </w:pPr>
      <w:rPr>
        <w:rFonts w:hint="default"/>
      </w:rPr>
    </w:lvl>
    <w:lvl w:ilvl="8">
      <w:start w:val="0"/>
      <w:numFmt w:val="bullet"/>
      <w:lvlText w:val="•"/>
      <w:lvlJc w:val="left"/>
      <w:pPr>
        <w:ind w:left="8681" w:hanging="853"/>
      </w:pPr>
      <w:rPr>
        <w:rFonts w:hint="default"/>
      </w:rPr>
    </w:lvl>
  </w:abstractNum>
  <w:abstractNum w:abstractNumId="12">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1003" w:hanging="420"/>
        <w:jc w:val="left"/>
      </w:pPr>
      <w:rPr>
        <w:rFonts w:hint="default"/>
      </w:rPr>
    </w:lvl>
    <w:lvl w:ilvl="1">
      <w:start w:val="1"/>
      <w:numFmt w:val="decimal"/>
      <w:lvlText w:val="%1.%2"/>
      <w:lvlJc w:val="left"/>
      <w:pPr>
        <w:ind w:left="1003" w:hanging="420"/>
        <w:jc w:val="left"/>
      </w:pPr>
      <w:rPr>
        <w:rFonts w:hint="default" w:ascii="宋体" w:hAnsi="宋体" w:eastAsia="宋体" w:cs="宋体"/>
        <w:spacing w:val="-1"/>
        <w:w w:val="100"/>
        <w:sz w:val="21"/>
        <w:szCs w:val="21"/>
      </w:rPr>
    </w:lvl>
    <w:lvl w:ilvl="2">
      <w:start w:val="0"/>
      <w:numFmt w:val="bullet"/>
      <w:lvlText w:val="•"/>
      <w:lvlJc w:val="left"/>
      <w:pPr>
        <w:ind w:left="2168" w:hanging="420"/>
      </w:pPr>
      <w:rPr>
        <w:rFonts w:hint="default"/>
      </w:rPr>
    </w:lvl>
    <w:lvl w:ilvl="3">
      <w:start w:val="0"/>
      <w:numFmt w:val="bullet"/>
      <w:lvlText w:val="•"/>
      <w:lvlJc w:val="left"/>
      <w:pPr>
        <w:ind w:left="2752" w:hanging="420"/>
      </w:pPr>
      <w:rPr>
        <w:rFonts w:hint="default"/>
      </w:rPr>
    </w:lvl>
    <w:lvl w:ilvl="4">
      <w:start w:val="0"/>
      <w:numFmt w:val="bullet"/>
      <w:lvlText w:val="•"/>
      <w:lvlJc w:val="left"/>
      <w:pPr>
        <w:ind w:left="3336" w:hanging="420"/>
      </w:pPr>
      <w:rPr>
        <w:rFonts w:hint="default"/>
      </w:rPr>
    </w:lvl>
    <w:lvl w:ilvl="5">
      <w:start w:val="0"/>
      <w:numFmt w:val="bullet"/>
      <w:lvlText w:val="•"/>
      <w:lvlJc w:val="left"/>
      <w:pPr>
        <w:ind w:left="3920" w:hanging="420"/>
      </w:pPr>
      <w:rPr>
        <w:rFonts w:hint="default"/>
      </w:rPr>
    </w:lvl>
    <w:lvl w:ilvl="6">
      <w:start w:val="0"/>
      <w:numFmt w:val="bullet"/>
      <w:lvlText w:val="•"/>
      <w:lvlJc w:val="left"/>
      <w:pPr>
        <w:ind w:left="4504" w:hanging="420"/>
      </w:pPr>
      <w:rPr>
        <w:rFonts w:hint="default"/>
      </w:rPr>
    </w:lvl>
    <w:lvl w:ilvl="7">
      <w:start w:val="0"/>
      <w:numFmt w:val="bullet"/>
      <w:lvlText w:val="•"/>
      <w:lvlJc w:val="left"/>
      <w:pPr>
        <w:ind w:left="5088" w:hanging="420"/>
      </w:pPr>
      <w:rPr>
        <w:rFonts w:hint="default"/>
      </w:rPr>
    </w:lvl>
    <w:lvl w:ilvl="8">
      <w:start w:val="0"/>
      <w:numFmt w:val="bullet"/>
      <w:lvlText w:val="•"/>
      <w:lvlJc w:val="left"/>
      <w:pPr>
        <w:ind w:left="5672" w:hanging="420"/>
      </w:pPr>
      <w:rPr>
        <w:rFonts w:hint="default"/>
      </w:rPr>
    </w:lvl>
  </w:abstractNum>
  <w:abstractNum w:abstractNumId="6">
    <w:multiLevelType w:val="hybridMultilevel"/>
    <w:lvl w:ilvl="0">
      <w:start w:val="8"/>
      <w:numFmt w:val="decimal"/>
      <w:lvlText w:val="%1"/>
      <w:lvlJc w:val="left"/>
      <w:pPr>
        <w:ind w:left="373" w:hanging="420"/>
        <w:jc w:val="left"/>
      </w:pPr>
      <w:rPr>
        <w:rFonts w:hint="default"/>
      </w:rPr>
    </w:lvl>
    <w:lvl w:ilvl="1">
      <w:start w:val="1"/>
      <w:numFmt w:val="decimal"/>
      <w:lvlText w:val="%1.%2"/>
      <w:lvlJc w:val="left"/>
      <w:pPr>
        <w:ind w:left="373" w:hanging="420"/>
        <w:jc w:val="left"/>
      </w:pPr>
      <w:rPr>
        <w:rFonts w:hint="default" w:ascii="宋体" w:hAnsi="宋体" w:eastAsia="宋体" w:cs="宋体"/>
        <w:w w:val="100"/>
        <w:sz w:val="21"/>
        <w:szCs w:val="21"/>
      </w:rPr>
    </w:lvl>
    <w:lvl w:ilvl="2">
      <w:start w:val="0"/>
      <w:numFmt w:val="bullet"/>
      <w:lvlText w:val="•"/>
      <w:lvlJc w:val="left"/>
      <w:pPr>
        <w:ind w:left="1672" w:hanging="420"/>
      </w:pPr>
      <w:rPr>
        <w:rFonts w:hint="default"/>
      </w:rPr>
    </w:lvl>
    <w:lvl w:ilvl="3">
      <w:start w:val="0"/>
      <w:numFmt w:val="bullet"/>
      <w:lvlText w:val="•"/>
      <w:lvlJc w:val="left"/>
      <w:pPr>
        <w:ind w:left="2318" w:hanging="420"/>
      </w:pPr>
      <w:rPr>
        <w:rFonts w:hint="default"/>
      </w:rPr>
    </w:lvl>
    <w:lvl w:ilvl="4">
      <w:start w:val="0"/>
      <w:numFmt w:val="bullet"/>
      <w:lvlText w:val="•"/>
      <w:lvlJc w:val="left"/>
      <w:pPr>
        <w:ind w:left="2964" w:hanging="420"/>
      </w:pPr>
      <w:rPr>
        <w:rFonts w:hint="default"/>
      </w:rPr>
    </w:lvl>
    <w:lvl w:ilvl="5">
      <w:start w:val="0"/>
      <w:numFmt w:val="bullet"/>
      <w:lvlText w:val="•"/>
      <w:lvlJc w:val="left"/>
      <w:pPr>
        <w:ind w:left="3610" w:hanging="420"/>
      </w:pPr>
      <w:rPr>
        <w:rFonts w:hint="default"/>
      </w:rPr>
    </w:lvl>
    <w:lvl w:ilvl="6">
      <w:start w:val="0"/>
      <w:numFmt w:val="bullet"/>
      <w:lvlText w:val="•"/>
      <w:lvlJc w:val="left"/>
      <w:pPr>
        <w:ind w:left="4256"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48" w:hanging="420"/>
      </w:pPr>
      <w:rPr>
        <w:rFonts w:hint="default"/>
      </w:rPr>
    </w:lvl>
  </w:abstractNum>
  <w:abstractNum w:abstractNumId="5">
    <w:multiLevelType w:val="hybridMultilevel"/>
    <w:lvl w:ilvl="0">
      <w:start w:val="6"/>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4">
    <w:multiLevelType w:val="hybridMultilevel"/>
    <w:lvl w:ilvl="0">
      <w:start w:val="4"/>
      <w:numFmt w:val="decimal"/>
      <w:lvlText w:val="%1."/>
      <w:lvlJc w:val="left"/>
      <w:pPr>
        <w:ind w:left="1435" w:hanging="316"/>
        <w:jc w:val="left"/>
      </w:pPr>
      <w:rPr>
        <w:rFonts w:hint="default" w:ascii="宋体" w:hAnsi="宋体" w:eastAsia="宋体" w:cs="宋体"/>
        <w:w w:val="100"/>
        <w:sz w:val="21"/>
        <w:szCs w:val="21"/>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1940" w:hanging="420"/>
      </w:pPr>
      <w:rPr>
        <w:rFonts w:hint="default"/>
      </w:rPr>
    </w:lvl>
    <w:lvl w:ilvl="3">
      <w:start w:val="0"/>
      <w:numFmt w:val="bullet"/>
      <w:lvlText w:val="•"/>
      <w:lvlJc w:val="left"/>
      <w:pPr>
        <w:ind w:left="2140" w:hanging="420"/>
      </w:pPr>
      <w:rPr>
        <w:rFonts w:hint="default"/>
      </w:rPr>
    </w:lvl>
    <w:lvl w:ilvl="4">
      <w:start w:val="0"/>
      <w:numFmt w:val="bullet"/>
      <w:lvlText w:val="•"/>
      <w:lvlJc w:val="left"/>
      <w:pPr>
        <w:ind w:left="2341" w:hanging="420"/>
      </w:pPr>
      <w:rPr>
        <w:rFonts w:hint="default"/>
      </w:rPr>
    </w:lvl>
    <w:lvl w:ilvl="5">
      <w:start w:val="0"/>
      <w:numFmt w:val="bullet"/>
      <w:lvlText w:val="•"/>
      <w:lvlJc w:val="left"/>
      <w:pPr>
        <w:ind w:left="2541" w:hanging="420"/>
      </w:pPr>
      <w:rPr>
        <w:rFonts w:hint="default"/>
      </w:rPr>
    </w:lvl>
    <w:lvl w:ilvl="6">
      <w:start w:val="0"/>
      <w:numFmt w:val="bullet"/>
      <w:lvlText w:val="•"/>
      <w:lvlJc w:val="left"/>
      <w:pPr>
        <w:ind w:left="2741" w:hanging="420"/>
      </w:pPr>
      <w:rPr>
        <w:rFonts w:hint="default"/>
      </w:rPr>
    </w:lvl>
    <w:lvl w:ilvl="7">
      <w:start w:val="0"/>
      <w:numFmt w:val="bullet"/>
      <w:lvlText w:val="•"/>
      <w:lvlJc w:val="left"/>
      <w:pPr>
        <w:ind w:left="2942" w:hanging="420"/>
      </w:pPr>
      <w:rPr>
        <w:rFonts w:hint="default"/>
      </w:rPr>
    </w:lvl>
    <w:lvl w:ilvl="8">
      <w:start w:val="0"/>
      <w:numFmt w:val="bullet"/>
      <w:lvlText w:val="•"/>
      <w:lvlJc w:val="left"/>
      <w:pPr>
        <w:ind w:left="3142" w:hanging="420"/>
      </w:pPr>
      <w:rPr>
        <w:rFonts w:hint="default"/>
      </w:rPr>
    </w:lvl>
  </w:abstractNum>
  <w:abstractNum w:abstractNumId="3">
    <w:multiLevelType w:val="hybridMultilevel"/>
    <w:lvl w:ilvl="0">
      <w:start w:val="3"/>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2">
    <w:multiLevelType w:val="hybridMultilevel"/>
    <w:lvl w:ilvl="0">
      <w:start w:val="2"/>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1">
    <w:multiLevelType w:val="hybridMultilevel"/>
    <w:lvl w:ilvl="0">
      <w:start w:val="1"/>
      <w:numFmt w:val="decimal"/>
      <w:lvlText w:val="%1"/>
      <w:lvlJc w:val="left"/>
      <w:pPr>
        <w:ind w:left="1749" w:hanging="420"/>
        <w:jc w:val="left"/>
      </w:pPr>
      <w:rPr>
        <w:rFonts w:hint="default"/>
      </w:rPr>
    </w:lvl>
    <w:lvl w:ilvl="1">
      <w:start w:val="1"/>
      <w:numFmt w:val="decimal"/>
      <w:lvlText w:val="%1.%2"/>
      <w:lvlJc w:val="left"/>
      <w:pPr>
        <w:ind w:left="1749" w:hanging="420"/>
        <w:jc w:val="left"/>
      </w:pPr>
      <w:rPr>
        <w:rFonts w:hint="default" w:ascii="宋体" w:hAnsi="宋体" w:eastAsia="宋体" w:cs="宋体"/>
        <w:w w:val="100"/>
        <w:sz w:val="21"/>
        <w:szCs w:val="21"/>
      </w:rPr>
    </w:lvl>
    <w:lvl w:ilvl="2">
      <w:start w:val="0"/>
      <w:numFmt w:val="bullet"/>
      <w:lvlText w:val="•"/>
      <w:lvlJc w:val="left"/>
      <w:pPr>
        <w:ind w:left="2100" w:hanging="420"/>
      </w:pPr>
      <w:rPr>
        <w:rFonts w:hint="default"/>
      </w:rPr>
    </w:lvl>
    <w:lvl w:ilvl="3">
      <w:start w:val="0"/>
      <w:numFmt w:val="bullet"/>
      <w:lvlText w:val="•"/>
      <w:lvlJc w:val="left"/>
      <w:pPr>
        <w:ind w:left="2280" w:hanging="420"/>
      </w:pPr>
      <w:rPr>
        <w:rFonts w:hint="default"/>
      </w:rPr>
    </w:lvl>
    <w:lvl w:ilvl="4">
      <w:start w:val="0"/>
      <w:numFmt w:val="bullet"/>
      <w:lvlText w:val="•"/>
      <w:lvlJc w:val="left"/>
      <w:pPr>
        <w:ind w:left="2461" w:hanging="420"/>
      </w:pPr>
      <w:rPr>
        <w:rFonts w:hint="default"/>
      </w:rPr>
    </w:lvl>
    <w:lvl w:ilvl="5">
      <w:start w:val="0"/>
      <w:numFmt w:val="bullet"/>
      <w:lvlText w:val="•"/>
      <w:lvlJc w:val="left"/>
      <w:pPr>
        <w:ind w:left="2641" w:hanging="420"/>
      </w:pPr>
      <w:rPr>
        <w:rFonts w:hint="default"/>
      </w:rPr>
    </w:lvl>
    <w:lvl w:ilvl="6">
      <w:start w:val="0"/>
      <w:numFmt w:val="bullet"/>
      <w:lvlText w:val="•"/>
      <w:lvlJc w:val="left"/>
      <w:pPr>
        <w:ind w:left="2821" w:hanging="420"/>
      </w:pPr>
      <w:rPr>
        <w:rFonts w:hint="default"/>
      </w:rPr>
    </w:lvl>
    <w:lvl w:ilvl="7">
      <w:start w:val="0"/>
      <w:numFmt w:val="bullet"/>
      <w:lvlText w:val="•"/>
      <w:lvlJc w:val="left"/>
      <w:pPr>
        <w:ind w:left="3002" w:hanging="420"/>
      </w:pPr>
      <w:rPr>
        <w:rFonts w:hint="default"/>
      </w:rPr>
    </w:lvl>
    <w:lvl w:ilvl="8">
      <w:start w:val="0"/>
      <w:numFmt w:val="bullet"/>
      <w:lvlText w:val="•"/>
      <w:lvlJc w:val="left"/>
      <w:pPr>
        <w:ind w:left="3182"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72" w:hanging="420"/>
      </w:pPr>
      <w:rPr>
        <w:rFonts w:hint="default"/>
      </w:rPr>
    </w:lvl>
    <w:lvl w:ilvl="2">
      <w:start w:val="0"/>
      <w:numFmt w:val="bullet"/>
      <w:lvlText w:val="•"/>
      <w:lvlJc w:val="left"/>
      <w:pPr>
        <w:ind w:left="3444"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189" w:hanging="420"/>
      </w:pPr>
      <w:rPr>
        <w:rFonts w:hint="default"/>
      </w:rPr>
    </w:lvl>
    <w:lvl w:ilvl="5">
      <w:start w:val="0"/>
      <w:numFmt w:val="bullet"/>
      <w:lvlText w:val="•"/>
      <w:lvlJc w:val="left"/>
      <w:pPr>
        <w:ind w:left="6062" w:hanging="420"/>
      </w:pPr>
      <w:rPr>
        <w:rFonts w:hint="default"/>
      </w:rPr>
    </w:lvl>
    <w:lvl w:ilvl="6">
      <w:start w:val="0"/>
      <w:numFmt w:val="bullet"/>
      <w:lvlText w:val="•"/>
      <w:lvlJc w:val="left"/>
      <w:pPr>
        <w:ind w:left="6934" w:hanging="420"/>
      </w:pPr>
      <w:rPr>
        <w:rFonts w:hint="default"/>
      </w:rPr>
    </w:lvl>
    <w:lvl w:ilvl="7">
      <w:start w:val="0"/>
      <w:numFmt w:val="bullet"/>
      <w:lvlText w:val="•"/>
      <w:lvlJc w:val="left"/>
      <w:pPr>
        <w:ind w:left="7807" w:hanging="420"/>
      </w:pPr>
      <w:rPr>
        <w:rFonts w:hint="default"/>
      </w:rPr>
    </w:lvl>
    <w:lvl w:ilvl="8">
      <w:start w:val="0"/>
      <w:numFmt w:val="bullet"/>
      <w:lvlText w:val="•"/>
      <w:lvlJc w:val="left"/>
      <w:pPr>
        <w:ind w:left="8679"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42"/>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174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&lt;4D6963726F736F667420576F7264202D20BDBBD2F8BFB5C1AAB8BDBCD3BDBBD2F8BDA1BFB5C8CBC9FAD6D8B4F3BCB2B2A1B1A3CFD52DCCF5BFEE2D31A3A8B6FECEACC2EBA3A9&gt;</dc:title>
  <dcterms:created xsi:type="dcterms:W3CDTF">2018-10-20T01:10:03Z</dcterms:created>
  <dcterms:modified xsi:type="dcterms:W3CDTF">2018-10-20T01:10:03Z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