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Heading1"/>
        <w:spacing w:before="371"/>
        <w:ind w:left="2799"/>
      </w:pPr>
      <w:r>
        <w:rPr/>
        <w:t>中荷人寿保险有限公司</w:t>
      </w:r>
    </w:p>
    <w:p>
      <w:pPr>
        <w:spacing w:before="1"/>
        <w:ind w:left="2794" w:right="0" w:firstLine="0"/>
        <w:jc w:val="center"/>
        <w:rPr>
          <w:rFonts w:ascii="Malgun Gothic" w:eastAsia="Malgun Gothic" w:hint="eastAsia"/>
          <w:b/>
          <w:sz w:val="18"/>
        </w:rPr>
      </w:pPr>
      <w:r>
        <w:rPr>
          <w:rFonts w:ascii="Malgun Gothic" w:eastAsia="Malgun Gothic" w:hint="eastAsia"/>
          <w:b/>
          <w:sz w:val="18"/>
        </w:rPr>
        <w:t>ING－BOB LIFE INSURANCE COMPANY LIMITED</w:t>
      </w:r>
    </w:p>
    <w:p>
      <w:pPr>
        <w:pStyle w:val="BodyText"/>
        <w:spacing w:before="10"/>
        <w:rPr>
          <w:rFonts w:ascii="Malgun Gothic"/>
          <w:b/>
          <w:sz w:val="17"/>
        </w:rPr>
      </w:pPr>
    </w:p>
    <w:p>
      <w:pPr>
        <w:pStyle w:val="Heading1"/>
        <w:spacing w:before="1"/>
        <w:ind w:left="2799"/>
      </w:pPr>
      <w:r>
        <w:rPr/>
        <w:t>中荷一生关爱重疾养老计划</w:t>
      </w:r>
    </w:p>
    <w:p>
      <w:pPr>
        <w:spacing w:line="300" w:lineRule="auto" w:before="28"/>
        <w:ind w:left="1430" w:right="373" w:firstLine="2"/>
        <w:jc w:val="center"/>
        <w:rPr>
          <w:b/>
          <w:sz w:val="18"/>
        </w:rPr>
      </w:pPr>
      <w:r>
        <w:rPr/>
        <w:br w:type="column"/>
      </w:r>
      <w:r>
        <w:rPr>
          <w:b/>
          <w:sz w:val="18"/>
        </w:rPr>
        <w:t>中荷人寿</w:t>
      </w:r>
      <w:r>
        <w:rPr>
          <w:rFonts w:ascii="Times New Roman" w:eastAsia="Times New Roman"/>
          <w:b/>
          <w:sz w:val="18"/>
        </w:rPr>
        <w:t>[2010] </w:t>
      </w:r>
      <w:r>
        <w:rPr>
          <w:b/>
          <w:spacing w:val="-9"/>
          <w:sz w:val="18"/>
        </w:rPr>
        <w:t>疾病保险 </w:t>
      </w:r>
      <w:r>
        <w:rPr>
          <w:rFonts w:ascii="Times New Roman" w:eastAsia="Times New Roman"/>
          <w:b/>
          <w:sz w:val="18"/>
        </w:rPr>
        <w:t>014 </w:t>
      </w:r>
      <w:r>
        <w:rPr>
          <w:b/>
          <w:sz w:val="18"/>
        </w:rPr>
        <w:t>号</w:t>
      </w:r>
    </w:p>
    <w:p>
      <w:pPr>
        <w:pStyle w:val="BodyText"/>
        <w:spacing w:before="3"/>
        <w:rPr>
          <w:b/>
          <w:sz w:val="4"/>
        </w:rPr>
      </w:pPr>
    </w:p>
    <w:p>
      <w:pPr>
        <w:pStyle w:val="BodyText"/>
        <w:ind w:left="149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5"/>
        <w:ind w:left="1187" w:right="131" w:firstLine="0"/>
        <w:jc w:val="center"/>
        <w:rPr>
          <w:b/>
          <w:sz w:val="18"/>
        </w:rPr>
      </w:pPr>
      <w:r>
        <w:rPr>
          <w:b/>
          <w:w w:val="95"/>
          <w:sz w:val="18"/>
        </w:rPr>
        <w:t>请扫描以查询验证条款</w:t>
      </w:r>
    </w:p>
    <w:p>
      <w:pPr>
        <w:spacing w:after="0"/>
        <w:jc w:val="center"/>
        <w:rPr>
          <w:sz w:val="18"/>
        </w:rPr>
        <w:sectPr>
          <w:type w:val="continuous"/>
          <w:pgSz w:w="11910" w:h="16840"/>
          <w:pgMar w:top="520" w:bottom="280" w:left="1200" w:right="660"/>
          <w:cols w:num="2" w:equalWidth="0">
            <w:col w:w="6935" w:space="40"/>
            <w:col w:w="3075"/>
          </w:cols>
        </w:sectPr>
      </w:pPr>
    </w:p>
    <w:p>
      <w:pPr>
        <w:pStyle w:val="BodyText"/>
        <w:spacing w:before="11" w:after="1"/>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spacing w:line="237" w:lineRule="auto" w:before="35"/>
        <w:ind w:left="104" w:right="412" w:firstLine="0"/>
        <w:jc w:val="left"/>
        <w:rPr>
          <w:b/>
          <w:sz w:val="24"/>
        </w:rPr>
      </w:pPr>
      <w:r>
        <w:rPr>
          <w:b/>
          <w:spacing w:val="-3"/>
          <w:sz w:val="24"/>
        </w:rPr>
        <w:t>中荷一生关爱重疾养老计划</w:t>
      </w:r>
      <w:r>
        <w:rPr>
          <w:b/>
          <w:sz w:val="24"/>
        </w:rPr>
        <w:t>（</w:t>
      </w:r>
      <w:r>
        <w:rPr>
          <w:b/>
          <w:spacing w:val="-23"/>
          <w:sz w:val="24"/>
        </w:rPr>
        <w:t>代码 </w:t>
      </w:r>
      <w:r>
        <w:rPr>
          <w:b/>
          <w:spacing w:val="-7"/>
          <w:sz w:val="24"/>
        </w:rPr>
        <w:t>CIB）</w:t>
      </w:r>
      <w:r>
        <w:rPr>
          <w:b/>
          <w:spacing w:val="-3"/>
          <w:sz w:val="24"/>
        </w:rPr>
        <w:t>由中荷一生关爱两全保险</w:t>
      </w:r>
      <w:r>
        <w:rPr>
          <w:b/>
          <w:sz w:val="24"/>
        </w:rPr>
        <w:t>（</w:t>
      </w:r>
      <w:r>
        <w:rPr>
          <w:b/>
          <w:spacing w:val="-23"/>
          <w:sz w:val="24"/>
        </w:rPr>
        <w:t>代码 </w:t>
      </w:r>
      <w:r>
        <w:rPr>
          <w:b/>
          <w:spacing w:val="-10"/>
          <w:sz w:val="24"/>
        </w:rPr>
        <w:t>EB）</w:t>
      </w:r>
      <w:r>
        <w:rPr>
          <w:b/>
          <w:sz w:val="24"/>
        </w:rPr>
        <w:t>和中荷附加一生关爱定期重大疾病保险（</w:t>
      </w:r>
      <w:r>
        <w:rPr>
          <w:b/>
          <w:spacing w:val="-25"/>
          <w:sz w:val="24"/>
        </w:rPr>
        <w:t>代码 </w:t>
      </w:r>
      <w:r>
        <w:rPr>
          <w:b/>
          <w:sz w:val="24"/>
        </w:rPr>
        <w:t>DDB）构成，两者同时投保。</w:t>
      </w:r>
    </w:p>
    <w:p>
      <w:pPr>
        <w:pStyle w:val="BodyText"/>
        <w:rPr>
          <w:b/>
          <w:sz w:val="24"/>
        </w:rPr>
      </w:pPr>
    </w:p>
    <w:p>
      <w:pPr>
        <w:pStyle w:val="BodyText"/>
        <w:spacing w:before="12"/>
        <w:rPr>
          <w:b/>
          <w:sz w:val="22"/>
        </w:rPr>
      </w:pPr>
    </w:p>
    <w:p>
      <w:pPr>
        <w:pStyle w:val="Heading1"/>
        <w:ind w:left="1651" w:right="1958"/>
      </w:pPr>
      <w:r>
        <w:rPr/>
        <w:t>中荷附加一生关爱定期重大疾病保险合同条款</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5"/>
        <w:rPr>
          <w:rFonts w:ascii="微软雅黑"/>
          <w:b/>
          <w:sz w:val="20"/>
        </w:rPr>
      </w:pPr>
      <w:r>
        <w:rPr/>
        <w:pict>
          <v:shapetype id="_x0000_t202" o:spt="202" coordsize="21600,21600" path="m,l,21600r21600,l21600,xe">
            <v:stroke joinstyle="miter"/>
            <v:path gradientshapeok="t" o:connecttype="rect"/>
          </v:shapetype>
          <v:shape style="position:absolute;margin-left:243.720001pt;margin-top:20.060802pt;width:131.25pt;height:39pt;mso-position-horizontal-relative:page;mso-position-vertical-relative:paragraph;z-index:1048;mso-wrap-distance-left:0;mso-wrap-distance-right:0" type="#_x0000_t202" filled="false" stroked="true" strokeweight="1.02pt" strokecolor="#000000">
            <v:textbox inset="0,0,0,0">
              <w:txbxContent>
                <w:p>
                  <w:pPr>
                    <w:spacing w:before="46"/>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1"/>
        <w:rPr>
          <w:rFonts w:ascii="微软雅黑"/>
          <w:b/>
          <w:sz w:val="23"/>
        </w:rPr>
      </w:pPr>
    </w:p>
    <w:p>
      <w:pPr>
        <w:pStyle w:val="Heading4"/>
        <w:spacing w:before="1"/>
        <w:ind w:left="104" w:firstLine="0"/>
      </w:pPr>
      <w:r>
        <w:rPr>
          <w:w w:val="95"/>
        </w:rPr>
        <w:t>本阅读提示是为了帮助投保人、被保险人和受益人更好理解条款，对本合同内容的解释以条款正文为准。</w:t>
      </w:r>
    </w:p>
    <w:p>
      <w:pPr>
        <w:pStyle w:val="BodyText"/>
        <w:spacing w:before="11"/>
        <w:rPr>
          <w:b/>
          <w:sz w:val="24"/>
        </w:rPr>
      </w:pPr>
    </w:p>
    <w:p>
      <w:pPr>
        <w:spacing w:before="0"/>
        <w:ind w:left="2511" w:right="0" w:firstLine="0"/>
        <w:jc w:val="left"/>
        <w:rPr>
          <w:b/>
          <w:sz w:val="24"/>
        </w:rPr>
      </w:pPr>
      <w:r>
        <w:rPr>
          <w:b/>
          <w:w w:val="95"/>
          <w:sz w:val="24"/>
        </w:rPr>
        <w:t>投保人、被保险人、受益人应当特别注意的事项</w:t>
      </w:r>
    </w:p>
    <w:p>
      <w:pPr>
        <w:pStyle w:val="BodyText"/>
        <w:tabs>
          <w:tab w:pos="9238" w:val="right" w:leader="dot"/>
        </w:tabs>
        <w:spacing w:before="334"/>
        <w:ind w:left="104"/>
      </w:pPr>
      <w:r>
        <w:rPr/>
        <w:t>被保险人可以享受本保险提供的保障利益…</w:t>
        <w:tab/>
        <w:t>2.2</w:t>
      </w:r>
    </w:p>
    <w:p>
      <w:pPr>
        <w:pStyle w:val="BodyText"/>
        <w:tabs>
          <w:tab w:pos="9238" w:val="right" w:leader="dot"/>
        </w:tabs>
        <w:spacing w:before="37"/>
        <w:ind w:left="104"/>
      </w:pPr>
      <w:r>
        <w:rPr/>
        <w:t>在某些情况下，我们不承担保险责任…</w:t>
        <w:tab/>
        <w:t>2.3</w:t>
      </w:r>
    </w:p>
    <w:p>
      <w:pPr>
        <w:pStyle w:val="BodyText"/>
        <w:tabs>
          <w:tab w:pos="9238" w:val="right" w:leader="dot"/>
        </w:tabs>
        <w:spacing w:before="37"/>
        <w:ind w:left="104"/>
      </w:pPr>
      <w:r>
        <w:rPr/>
        <w:t>投保人有权解除合同…</w:t>
        <w:tab/>
        <w:t>6.3</w:t>
      </w:r>
    </w:p>
    <w:p>
      <w:pPr>
        <w:pStyle w:val="BodyText"/>
        <w:tabs>
          <w:tab w:pos="9028" w:val="right" w:leader="dot"/>
        </w:tabs>
        <w:spacing w:before="37"/>
        <w:ind w:left="104"/>
      </w:pPr>
      <w:r>
        <w:rPr/>
        <w:t>我们对本附加合同中的重大疾病有特定的解释和认定标准…</w:t>
        <w:tab/>
        <w:t>3</w:t>
      </w:r>
    </w:p>
    <w:p>
      <w:pPr>
        <w:pStyle w:val="BodyText"/>
        <w:tabs>
          <w:tab w:pos="9238" w:val="right" w:leader="dot"/>
        </w:tabs>
        <w:spacing w:before="37"/>
        <w:ind w:left="104"/>
      </w:pPr>
      <w:r>
        <w:rPr/>
        <w:t>在某些情况下，本合同效力终止…</w:t>
        <w:tab/>
        <w:t>7.3</w:t>
      </w:r>
    </w:p>
    <w:p>
      <w:pPr>
        <w:pStyle w:val="BodyText"/>
        <w:tabs>
          <w:tab w:pos="9238" w:val="right" w:leader="dot"/>
        </w:tabs>
        <w:spacing w:before="37"/>
        <w:ind w:left="104"/>
      </w:pPr>
      <w:r>
        <w:rPr/>
        <w:t>投保人应按时缴纳保险费…</w:t>
        <w:tab/>
        <w:t>5.1</w:t>
      </w:r>
    </w:p>
    <w:p>
      <w:pPr>
        <w:pStyle w:val="BodyText"/>
        <w:tabs>
          <w:tab w:pos="9238" w:val="right" w:leader="dot"/>
        </w:tabs>
        <w:spacing w:before="37"/>
        <w:ind w:left="104"/>
      </w:pPr>
      <w:r>
        <w:rPr/>
        <w:t>投保人、被保险人应当如实告知…</w:t>
        <w:tab/>
        <w:t>1.2</w:t>
      </w:r>
    </w:p>
    <w:p>
      <w:pPr>
        <w:pStyle w:val="BodyText"/>
        <w:tabs>
          <w:tab w:pos="9238" w:val="right" w:leader="dot"/>
        </w:tabs>
        <w:spacing w:before="37"/>
        <w:ind w:left="104"/>
      </w:pPr>
      <w:r>
        <w:rPr/>
        <w:t>投保人应及时向我们通知保险事故…</w:t>
        <w:tab/>
        <w:t>4.2</w:t>
      </w:r>
    </w:p>
    <w:p>
      <w:pPr>
        <w:pStyle w:val="BodyText"/>
        <w:tabs>
          <w:tab w:pos="9238" w:val="right" w:leader="dot"/>
        </w:tabs>
        <w:spacing w:before="37"/>
        <w:ind w:left="104"/>
      </w:pPr>
      <w:r>
        <w:rPr/>
        <w:t>受益人申请保险金应提供证明文件和资料…</w:t>
        <w:tab/>
        <w:t>4.4</w:t>
      </w:r>
    </w:p>
    <w:p>
      <w:pPr>
        <w:pStyle w:val="BodyText"/>
        <w:tabs>
          <w:tab w:pos="9238" w:val="right" w:leader="dot"/>
        </w:tabs>
        <w:spacing w:before="37"/>
        <w:ind w:left="104"/>
      </w:pPr>
      <w:r>
        <w:rPr/>
        <w:t>理赔保险金时我们有权利对被保险人进行身体检查…</w:t>
        <w:tab/>
        <w:t>4.6</w:t>
      </w:r>
    </w:p>
    <w:p>
      <w:pPr>
        <w:pStyle w:val="BodyText"/>
        <w:tabs>
          <w:tab w:pos="9238" w:val="right" w:leader="dot"/>
        </w:tabs>
        <w:spacing w:before="37"/>
        <w:ind w:left="104"/>
      </w:pPr>
      <w:r>
        <w:rPr/>
        <w:t>受益人的保险金申请权应在一定期间内行使…</w:t>
        <w:tab/>
        <w:t>4.3</w:t>
      </w:r>
    </w:p>
    <w:p>
      <w:pPr>
        <w:pStyle w:val="BodyText"/>
        <w:tabs>
          <w:tab w:pos="9032" w:val="right" w:leader="dot"/>
        </w:tabs>
        <w:spacing w:before="37"/>
        <w:ind w:left="104"/>
      </w:pPr>
      <w:r>
        <w:rPr/>
        <w:t>我们对一些重要术语进行了解释，并作了</w:t>
      </w:r>
      <w:r>
        <w:rPr>
          <w:b/>
        </w:rPr>
        <w:t>显著标识，</w:t>
      </w:r>
      <w:r>
        <w:rPr/>
        <w:t>请投保人、被保险人、受益人注意…</w:t>
        <w:tab/>
        <w:t>8</w:t>
      </w:r>
    </w:p>
    <w:p>
      <w:pPr>
        <w:spacing w:after="0"/>
        <w:sectPr>
          <w:type w:val="continuous"/>
          <w:pgSz w:w="11910" w:h="16840"/>
          <w:pgMar w:top="520" w:bottom="280" w:left="1200" w:right="660"/>
        </w:sectPr>
      </w:pPr>
    </w:p>
    <w:p>
      <w:pPr>
        <w:pStyle w:val="BodyText"/>
        <w:rPr>
          <w:sz w:val="20"/>
        </w:rPr>
      </w:pPr>
    </w:p>
    <w:p>
      <w:pPr>
        <w:pStyle w:val="BodyText"/>
        <w:spacing w:before="4"/>
        <w:rPr>
          <w:sz w:val="24"/>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spacing w:before="4"/>
        <w:rPr>
          <w:sz w:val="24"/>
        </w:rPr>
      </w:pPr>
    </w:p>
    <w:p>
      <w:pPr>
        <w:pStyle w:val="Heading4"/>
        <w:spacing w:before="0"/>
        <w:ind w:left="1891" w:firstLine="0"/>
      </w:pPr>
      <w:r>
        <w:rPr>
          <w:w w:val="95"/>
        </w:rPr>
        <w:t>在阅读条款正文之前，浏览一下目录有助于对条款结构有一个大致了解。</w:t>
      </w:r>
    </w:p>
    <w:p>
      <w:pPr>
        <w:pStyle w:val="BodyText"/>
        <w:spacing w:before="8"/>
        <w:rPr>
          <w:b/>
          <w:sz w:val="26"/>
        </w:rPr>
      </w:pPr>
    </w:p>
    <w:p>
      <w:pPr>
        <w:pStyle w:val="ListParagraph"/>
        <w:numPr>
          <w:ilvl w:val="0"/>
          <w:numId w:val="1"/>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397183">
            <wp:simplePos x="0" y="0"/>
            <wp:positionH relativeFrom="page">
              <wp:posOffset>2738627</wp:posOffset>
            </wp:positionH>
            <wp:positionV relativeFrom="paragraph">
              <wp:posOffset>9448</wp:posOffset>
            </wp:positionV>
            <wp:extent cx="6095" cy="37642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397207">
            <wp:simplePos x="0" y="0"/>
            <wp:positionH relativeFrom="page">
              <wp:posOffset>4827269</wp:posOffset>
            </wp:positionH>
            <wp:positionV relativeFrom="paragraph">
              <wp:posOffset>9448</wp:posOffset>
            </wp:positionV>
            <wp:extent cx="6096" cy="3764279"/>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764279"/>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1"/>
        </w:numPr>
        <w:tabs>
          <w:tab w:pos="733" w:val="left" w:leader="none"/>
          <w:tab w:pos="3532" w:val="left" w:leader="none"/>
          <w:tab w:pos="6822" w:val="left" w:leader="none"/>
        </w:tabs>
        <w:spacing w:line="240" w:lineRule="auto" w:before="36" w:after="0"/>
        <w:ind w:left="732" w:right="0" w:hanging="420"/>
        <w:jc w:val="left"/>
        <w:rPr>
          <w:sz w:val="21"/>
        </w:rPr>
      </w:pPr>
      <w:r>
        <w:rPr>
          <w:sz w:val="21"/>
        </w:rPr>
        <w:t>合同成立及保险责任开始</w:t>
        <w:tab/>
        <w:t>4.3</w:t>
      </w:r>
      <w:r>
        <w:rPr>
          <w:spacing w:val="-52"/>
          <w:sz w:val="21"/>
        </w:rPr>
        <w:t> </w:t>
      </w:r>
      <w:r>
        <w:rPr>
          <w:sz w:val="21"/>
        </w:rPr>
        <w:t>诉讼时效</w:t>
        <w:tab/>
        <w:t>7.3</w:t>
      </w:r>
      <w:r>
        <w:rPr>
          <w:spacing w:val="-2"/>
          <w:sz w:val="21"/>
        </w:rPr>
        <w:t> </w:t>
      </w:r>
      <w:r>
        <w:rPr>
          <w:sz w:val="21"/>
        </w:rPr>
        <w:t>合同效力的终止</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申请保险金应提供的材料</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保险金的给付</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身体检查</w:t>
      </w:r>
    </w:p>
    <w:p>
      <w:pPr>
        <w:pStyle w:val="Heading4"/>
        <w:spacing w:before="36"/>
        <w:ind w:left="0" w:right="2317" w:firstLine="0"/>
        <w:jc w:val="right"/>
      </w:pPr>
      <w:r>
        <w:rPr/>
        <w:t>8 释义</w:t>
      </w:r>
    </w:p>
    <w:p>
      <w:pPr>
        <w:pStyle w:val="BodyText"/>
        <w:tabs>
          <w:tab w:pos="525" w:val="left" w:leader="none"/>
        </w:tabs>
        <w:spacing w:before="36"/>
        <w:ind w:right="955"/>
        <w:jc w:val="right"/>
      </w:pPr>
      <w:r>
        <w:rPr/>
        <w:t>8.1</w:t>
        <w:tab/>
      </w:r>
      <w:r>
        <w:rPr>
          <w:spacing w:val="-1"/>
        </w:rPr>
        <w:t>意外伤害事故</w:t>
      </w:r>
    </w:p>
    <w:p>
      <w:pPr>
        <w:pStyle w:val="ListParagraph"/>
        <w:numPr>
          <w:ilvl w:val="0"/>
          <w:numId w:val="1"/>
        </w:numPr>
        <w:tabs>
          <w:tab w:pos="316" w:val="left" w:leader="none"/>
          <w:tab w:pos="3323" w:val="left" w:leader="none"/>
          <w:tab w:pos="6822" w:val="left" w:leader="none"/>
          <w:tab w:pos="7348" w:val="left" w:leader="none"/>
        </w:tabs>
        <w:spacing w:line="240" w:lineRule="auto" w:before="36" w:after="0"/>
        <w:ind w:left="315" w:right="0" w:hanging="213"/>
        <w:jc w:val="left"/>
        <w:rPr>
          <w:sz w:val="21"/>
        </w:rPr>
      </w:pPr>
      <w:r>
        <w:rPr>
          <w:b/>
          <w:sz w:val="21"/>
        </w:rPr>
        <w:t>我们提供的保障</w:t>
        <w:tab/>
        <w:t>5</w:t>
      </w:r>
      <w:r>
        <w:rPr>
          <w:b/>
          <w:spacing w:val="-1"/>
          <w:sz w:val="21"/>
        </w:rPr>
        <w:t> </w:t>
      </w:r>
      <w:r>
        <w:rPr>
          <w:b/>
          <w:sz w:val="21"/>
        </w:rPr>
        <w:t>缴付保险费</w:t>
        <w:tab/>
      </w:r>
      <w:r>
        <w:rPr>
          <w:sz w:val="21"/>
        </w:rPr>
        <w:t>8.2</w:t>
        <w:tab/>
      </w:r>
      <w:r>
        <w:rPr>
          <w:spacing w:val="-1"/>
          <w:sz w:val="21"/>
        </w:rPr>
        <w:t>意外伤害</w:t>
      </w:r>
    </w:p>
    <w:p>
      <w:pPr>
        <w:pStyle w:val="ListParagraph"/>
        <w:numPr>
          <w:ilvl w:val="1"/>
          <w:numId w:val="1"/>
        </w:numPr>
        <w:tabs>
          <w:tab w:pos="733" w:val="left" w:leader="none"/>
          <w:tab w:pos="3532" w:val="left" w:leader="none"/>
          <w:tab w:pos="6822" w:val="left" w:leader="none"/>
          <w:tab w:pos="7347" w:val="left" w:leader="none"/>
        </w:tabs>
        <w:spacing w:line="240" w:lineRule="auto" w:before="36" w:after="0"/>
        <w:ind w:left="732" w:right="0" w:hanging="420"/>
        <w:jc w:val="left"/>
        <w:rPr>
          <w:sz w:val="21"/>
        </w:rPr>
      </w:pPr>
      <w:r>
        <w:rPr>
          <w:sz w:val="21"/>
        </w:rPr>
        <w:t>保险金额</w:t>
        <w:tab/>
        <w:t>5.1</w:t>
      </w:r>
      <w:r>
        <w:rPr>
          <w:spacing w:val="-1"/>
          <w:sz w:val="21"/>
        </w:rPr>
        <w:t> </w:t>
      </w:r>
      <w:r>
        <w:rPr>
          <w:sz w:val="21"/>
        </w:rPr>
        <w:t>保险费的缴付、宽限期</w:t>
        <w:tab/>
        <w:t>8.3</w:t>
        <w:tab/>
        <w:t>医院</w:t>
      </w:r>
    </w:p>
    <w:p>
      <w:pPr>
        <w:pStyle w:val="ListParagraph"/>
        <w:numPr>
          <w:ilvl w:val="1"/>
          <w:numId w:val="1"/>
        </w:numPr>
        <w:tabs>
          <w:tab w:pos="733" w:val="left" w:leader="none"/>
          <w:tab w:pos="3533" w:val="left" w:leader="none"/>
          <w:tab w:pos="6822" w:val="left" w:leader="none"/>
          <w:tab w:pos="7347" w:val="left" w:leader="none"/>
        </w:tabs>
        <w:spacing w:line="240" w:lineRule="auto" w:before="36" w:after="0"/>
        <w:ind w:left="732" w:right="0" w:hanging="420"/>
        <w:jc w:val="left"/>
        <w:rPr>
          <w:sz w:val="21"/>
        </w:rPr>
      </w:pPr>
      <w:r>
        <w:rPr>
          <w:sz w:val="21"/>
        </w:rPr>
        <w:t>保险责任</w:t>
        <w:tab/>
        <w:t>5.2</w:t>
      </w:r>
      <w:r>
        <w:rPr>
          <w:spacing w:val="-1"/>
          <w:sz w:val="21"/>
        </w:rPr>
        <w:t> </w:t>
      </w:r>
      <w:r>
        <w:rPr>
          <w:sz w:val="21"/>
        </w:rPr>
        <w:t>变更为减额付清保险</w:t>
        <w:tab/>
        <w:t>8.4</w:t>
        <w:tab/>
      </w:r>
      <w:r>
        <w:rPr>
          <w:spacing w:val="-1"/>
          <w:sz w:val="21"/>
        </w:rPr>
        <w:t>专科</w:t>
      </w:r>
      <w:r>
        <w:rPr>
          <w:sz w:val="21"/>
        </w:rPr>
        <w:t>医生</w:t>
      </w:r>
    </w:p>
    <w:p>
      <w:pPr>
        <w:pStyle w:val="ListParagraph"/>
        <w:numPr>
          <w:ilvl w:val="1"/>
          <w:numId w:val="1"/>
        </w:numPr>
        <w:tabs>
          <w:tab w:pos="733" w:val="left" w:leader="none"/>
          <w:tab w:pos="6822" w:val="left" w:leader="none"/>
          <w:tab w:pos="7347" w:val="left" w:leader="none"/>
        </w:tabs>
        <w:spacing w:line="240" w:lineRule="auto" w:before="36" w:after="0"/>
        <w:ind w:left="732" w:right="0" w:hanging="420"/>
        <w:jc w:val="left"/>
        <w:rPr>
          <w:sz w:val="21"/>
        </w:rPr>
      </w:pPr>
      <w:r>
        <w:rPr>
          <w:sz w:val="21"/>
        </w:rPr>
        <w:t>责任免除</w:t>
        <w:tab/>
        <w:t>8.5</w:t>
        <w:tab/>
      </w:r>
      <w:r>
        <w:rPr>
          <w:spacing w:val="-1"/>
          <w:sz w:val="21"/>
        </w:rPr>
        <w:t>感染</w:t>
      </w:r>
      <w:r>
        <w:rPr>
          <w:sz w:val="21"/>
        </w:rPr>
        <w:t>艾滋病病毒或患艾</w:t>
      </w:r>
    </w:p>
    <w:p>
      <w:pPr>
        <w:pStyle w:val="BodyText"/>
        <w:spacing w:before="36"/>
        <w:ind w:right="1799"/>
        <w:jc w:val="right"/>
      </w:pPr>
      <w:r>
        <w:rPr/>
        <w:t>滋病</w:t>
      </w:r>
    </w:p>
    <w:p>
      <w:pPr>
        <w:pStyle w:val="BodyText"/>
        <w:tabs>
          <w:tab w:pos="525" w:val="left" w:leader="none"/>
        </w:tabs>
        <w:spacing w:before="36"/>
        <w:ind w:right="1165"/>
        <w:jc w:val="right"/>
      </w:pPr>
      <w:r>
        <w:rPr/>
        <w:t>8.6</w:t>
        <w:tab/>
      </w:r>
      <w:r>
        <w:rPr>
          <w:spacing w:val="-1"/>
        </w:rPr>
        <w:t>遗传性疾病</w:t>
      </w:r>
    </w:p>
    <w:p>
      <w:pPr>
        <w:pStyle w:val="ListParagraph"/>
        <w:numPr>
          <w:ilvl w:val="0"/>
          <w:numId w:val="1"/>
        </w:numPr>
        <w:tabs>
          <w:tab w:pos="315" w:val="left" w:leader="none"/>
          <w:tab w:pos="3323" w:val="left" w:leader="none"/>
          <w:tab w:pos="6822" w:val="left" w:leader="none"/>
          <w:tab w:pos="7347" w:val="left" w:leader="none"/>
        </w:tabs>
        <w:spacing w:line="240" w:lineRule="auto" w:before="36" w:after="0"/>
        <w:ind w:left="314" w:right="0" w:hanging="212"/>
        <w:jc w:val="left"/>
        <w:rPr>
          <w:sz w:val="21"/>
        </w:rPr>
      </w:pPr>
      <w:r>
        <w:rPr>
          <w:b/>
          <w:sz w:val="21"/>
        </w:rPr>
        <w:t>重大疾病</w:t>
        <w:tab/>
        <w:t>6</w:t>
      </w:r>
      <w:r>
        <w:rPr>
          <w:b/>
          <w:spacing w:val="-1"/>
          <w:sz w:val="21"/>
        </w:rPr>
        <w:t> </w:t>
      </w:r>
      <w:r>
        <w:rPr>
          <w:b/>
          <w:sz w:val="21"/>
        </w:rPr>
        <w:t>投保人的特别权利及相应义务</w:t>
        <w:tab/>
      </w:r>
      <w:r>
        <w:rPr>
          <w:sz w:val="21"/>
        </w:rPr>
        <w:t>8.7</w:t>
        <w:tab/>
      </w:r>
      <w:r>
        <w:rPr>
          <w:spacing w:val="-1"/>
          <w:sz w:val="21"/>
        </w:rPr>
        <w:t>先天</w:t>
      </w:r>
      <w:r>
        <w:rPr>
          <w:sz w:val="21"/>
        </w:rPr>
        <w:t>性畸形、变形或染</w:t>
      </w:r>
    </w:p>
    <w:p>
      <w:pPr>
        <w:pStyle w:val="BodyText"/>
        <w:spacing w:before="9"/>
        <w:rPr>
          <w:sz w:val="7"/>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1034"/>
        <w:gridCol w:w="2587"/>
        <w:gridCol w:w="1745"/>
      </w:tblGrid>
      <w:tr>
        <w:trPr>
          <w:trHeight w:val="261" w:hRule="atLeast"/>
        </w:trPr>
        <w:tc>
          <w:tcPr>
            <w:tcW w:w="2605" w:type="dxa"/>
          </w:tcPr>
          <w:p>
            <w:pPr>
              <w:pStyle w:val="TableParagraph"/>
              <w:spacing w:line="210" w:lineRule="exact"/>
              <w:ind w:left="50"/>
              <w:rPr>
                <w:sz w:val="21"/>
              </w:rPr>
            </w:pPr>
            <w:r>
              <w:rPr>
                <w:sz w:val="21"/>
              </w:rPr>
              <w:t>3.1 重大疾病的范围</w:t>
            </w:r>
          </w:p>
        </w:tc>
        <w:tc>
          <w:tcPr>
            <w:tcW w:w="1034" w:type="dxa"/>
          </w:tcPr>
          <w:p>
            <w:pPr>
              <w:pStyle w:val="TableParagraph"/>
              <w:spacing w:line="210" w:lineRule="exact"/>
              <w:ind w:right="51"/>
              <w:jc w:val="right"/>
              <w:rPr>
                <w:sz w:val="21"/>
              </w:rPr>
            </w:pPr>
            <w:r>
              <w:rPr>
                <w:sz w:val="21"/>
              </w:rPr>
              <w:t>6.1</w:t>
            </w:r>
          </w:p>
        </w:tc>
        <w:tc>
          <w:tcPr>
            <w:tcW w:w="2587" w:type="dxa"/>
          </w:tcPr>
          <w:p>
            <w:pPr>
              <w:pStyle w:val="TableParagraph"/>
              <w:spacing w:line="210" w:lineRule="exact"/>
              <w:ind w:left="51"/>
              <w:rPr>
                <w:sz w:val="21"/>
              </w:rPr>
            </w:pPr>
            <w:r>
              <w:rPr>
                <w:sz w:val="21"/>
              </w:rPr>
              <w:t>变更保险金额</w:t>
            </w:r>
          </w:p>
        </w:tc>
        <w:tc>
          <w:tcPr>
            <w:tcW w:w="1745" w:type="dxa"/>
          </w:tcPr>
          <w:p>
            <w:pPr>
              <w:pStyle w:val="TableParagraph"/>
              <w:spacing w:line="210" w:lineRule="exact"/>
              <w:ind w:left="854"/>
              <w:rPr>
                <w:sz w:val="21"/>
              </w:rPr>
            </w:pPr>
            <w:r>
              <w:rPr>
                <w:sz w:val="21"/>
              </w:rPr>
              <w:t>色体异常</w:t>
            </w:r>
          </w:p>
        </w:tc>
      </w:tr>
      <w:tr>
        <w:trPr>
          <w:trHeight w:val="311" w:hRule="atLeast"/>
        </w:trPr>
        <w:tc>
          <w:tcPr>
            <w:tcW w:w="2605" w:type="dxa"/>
          </w:tcPr>
          <w:p>
            <w:pPr>
              <w:pStyle w:val="TableParagraph"/>
              <w:spacing w:line="261" w:lineRule="exact"/>
              <w:ind w:left="50"/>
              <w:rPr>
                <w:sz w:val="21"/>
              </w:rPr>
            </w:pPr>
            <w:r>
              <w:rPr>
                <w:sz w:val="21"/>
              </w:rPr>
              <w:t>3.2 重大疾病的定义</w:t>
            </w:r>
          </w:p>
        </w:tc>
        <w:tc>
          <w:tcPr>
            <w:tcW w:w="1034" w:type="dxa"/>
          </w:tcPr>
          <w:p>
            <w:pPr>
              <w:pStyle w:val="TableParagraph"/>
              <w:spacing w:line="261" w:lineRule="exact"/>
              <w:ind w:right="50"/>
              <w:jc w:val="right"/>
              <w:rPr>
                <w:sz w:val="21"/>
              </w:rPr>
            </w:pPr>
            <w:r>
              <w:rPr>
                <w:sz w:val="21"/>
              </w:rPr>
              <w:t>6.2</w:t>
            </w:r>
          </w:p>
        </w:tc>
        <w:tc>
          <w:tcPr>
            <w:tcW w:w="2587" w:type="dxa"/>
          </w:tcPr>
          <w:p>
            <w:pPr>
              <w:pStyle w:val="TableParagraph"/>
              <w:spacing w:line="261" w:lineRule="exact"/>
              <w:ind w:left="52"/>
              <w:rPr>
                <w:sz w:val="21"/>
              </w:rPr>
            </w:pPr>
            <w:r>
              <w:rPr>
                <w:sz w:val="21"/>
              </w:rPr>
              <w:t>保单借款</w:t>
            </w:r>
          </w:p>
        </w:tc>
        <w:tc>
          <w:tcPr>
            <w:tcW w:w="1745" w:type="dxa"/>
          </w:tcPr>
          <w:p>
            <w:pPr>
              <w:pStyle w:val="TableParagraph"/>
              <w:rPr>
                <w:rFonts w:ascii="Times New Roman"/>
                <w:sz w:val="20"/>
              </w:rPr>
            </w:pPr>
          </w:p>
        </w:tc>
      </w:tr>
      <w:tr>
        <w:trPr>
          <w:trHeight w:val="260" w:hRule="atLeast"/>
        </w:trPr>
        <w:tc>
          <w:tcPr>
            <w:tcW w:w="2605" w:type="dxa"/>
          </w:tcPr>
          <w:p>
            <w:pPr>
              <w:pStyle w:val="TableParagraph"/>
              <w:rPr>
                <w:rFonts w:ascii="Times New Roman"/>
                <w:sz w:val="18"/>
              </w:rPr>
            </w:pPr>
          </w:p>
        </w:tc>
        <w:tc>
          <w:tcPr>
            <w:tcW w:w="1034" w:type="dxa"/>
          </w:tcPr>
          <w:p>
            <w:pPr>
              <w:pStyle w:val="TableParagraph"/>
              <w:spacing w:line="241" w:lineRule="exact"/>
              <w:ind w:right="50"/>
              <w:jc w:val="right"/>
              <w:rPr>
                <w:sz w:val="21"/>
              </w:rPr>
            </w:pPr>
            <w:r>
              <w:rPr>
                <w:sz w:val="21"/>
              </w:rPr>
              <w:t>6.3</w:t>
            </w:r>
          </w:p>
        </w:tc>
        <w:tc>
          <w:tcPr>
            <w:tcW w:w="2587" w:type="dxa"/>
          </w:tcPr>
          <w:p>
            <w:pPr>
              <w:pStyle w:val="TableParagraph"/>
              <w:spacing w:line="241" w:lineRule="exact"/>
              <w:ind w:left="52"/>
              <w:rPr>
                <w:sz w:val="21"/>
              </w:rPr>
            </w:pPr>
            <w:r>
              <w:rPr>
                <w:sz w:val="21"/>
              </w:rPr>
              <w:t>解除合同（退保）</w:t>
            </w:r>
          </w:p>
        </w:tc>
        <w:tc>
          <w:tcPr>
            <w:tcW w:w="1745" w:type="dxa"/>
          </w:tcPr>
          <w:p>
            <w:pPr>
              <w:pStyle w:val="TableParagraph"/>
              <w:rPr>
                <w:rFonts w:ascii="Times New Roman"/>
                <w:sz w:val="18"/>
              </w:rPr>
            </w:pPr>
          </w:p>
        </w:tc>
      </w:tr>
    </w:tbl>
    <w:p>
      <w:pPr>
        <w:spacing w:after="0"/>
        <w:rPr>
          <w:rFonts w:ascii="Times New Roman"/>
          <w:sz w:val="18"/>
        </w:rPr>
        <w:sectPr>
          <w:pgSz w:w="11910" w:h="16840"/>
          <w:pgMar w:top="1600" w:bottom="280" w:left="1100" w:right="12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6" w:right="1311" w:firstLine="1389"/>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3"/>
        </w:numPr>
        <w:tabs>
          <w:tab w:pos="1075" w:val="left" w:leader="none"/>
          <w:tab w:pos="1076" w:val="left" w:leader="none"/>
        </w:tabs>
        <w:spacing w:line="240" w:lineRule="auto" w:before="12" w:after="0"/>
        <w:ind w:left="1075" w:right="0" w:hanging="849"/>
        <w:jc w:val="left"/>
      </w:pPr>
      <w:r>
        <w:rPr>
          <w:w w:val="95"/>
        </w:rPr>
        <w:t>投保人与我们的合同</w:t>
      </w:r>
    </w:p>
    <w:p>
      <w:pPr>
        <w:pStyle w:val="BodyText"/>
        <w:spacing w:before="2"/>
        <w:rPr>
          <w:b/>
          <w:sz w:val="10"/>
        </w:rPr>
      </w:pPr>
      <w:r>
        <w:rPr/>
        <w:pict>
          <v:group style="position:absolute;margin-left:59.939999pt;margin-top:8.619936pt;width:483.1pt;height:1.45pt;mso-position-horizontal-relative:page;mso-position-vertical-relative:paragraph;z-index:1192;mso-wrap-distance-left:0;mso-wrap-distance-right:0" coordorigin="1199,172" coordsize="9662,29">
            <v:line style="position:absolute" from="1199,177" to="2047,177" stroked="true" strokeweight=".48004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6"/>
        <w:rPr>
          <w:b/>
          <w:sz w:val="7"/>
        </w:rPr>
      </w:pPr>
    </w:p>
    <w:p>
      <w:pPr>
        <w:pStyle w:val="ListParagraph"/>
        <w:numPr>
          <w:ilvl w:val="1"/>
          <w:numId w:val="3"/>
        </w:numPr>
        <w:tabs>
          <w:tab w:pos="1075" w:val="left" w:leader="none"/>
        </w:tabs>
        <w:spacing w:line="230" w:lineRule="auto" w:before="46" w:after="0"/>
        <w:ind w:left="2775" w:right="211" w:hanging="2549"/>
        <w:jc w:val="both"/>
        <w:rPr>
          <w:sz w:val="21"/>
        </w:rPr>
      </w:pPr>
      <w:r>
        <w:rPr>
          <w:b/>
          <w:position w:val="-1"/>
          <w:sz w:val="21"/>
        </w:rPr>
        <w:t>合同构成       </w:t>
      </w:r>
      <w:r>
        <w:rPr>
          <w:spacing w:val="-1"/>
          <w:sz w:val="21"/>
        </w:rPr>
        <w:t>中荷附加一生关爱定期重大疾病保险合同</w:t>
      </w:r>
      <w:r>
        <w:rPr>
          <w:sz w:val="21"/>
        </w:rPr>
        <w:t>（以下简称本附加合同</w:t>
      </w:r>
      <w:r>
        <w:rPr>
          <w:spacing w:val="-18"/>
          <w:sz w:val="21"/>
        </w:rPr>
        <w:t>）</w:t>
      </w:r>
      <w:r>
        <w:rPr>
          <w:sz w:val="21"/>
        </w:rPr>
        <w:t>依中荷一</w:t>
      </w:r>
      <w:r>
        <w:rPr>
          <w:spacing w:val="-3"/>
          <w:sz w:val="21"/>
        </w:rPr>
        <w:t>生关爱两全保险合同</w:t>
      </w:r>
      <w:r>
        <w:rPr>
          <w:sz w:val="21"/>
        </w:rPr>
        <w:t>（</w:t>
      </w:r>
      <w:r>
        <w:rPr>
          <w:spacing w:val="-8"/>
          <w:sz w:val="21"/>
        </w:rPr>
        <w:t>以下简称主合同，代码 EB）</w:t>
      </w:r>
      <w:r>
        <w:rPr>
          <w:spacing w:val="-4"/>
          <w:sz w:val="21"/>
        </w:rPr>
        <w:t>投保人的申请，经本公司同意而订立。 本附加合同须附加于主合同后始为有效。</w:t>
      </w:r>
    </w:p>
    <w:p>
      <w:pPr>
        <w:pStyle w:val="BodyText"/>
        <w:spacing w:line="237" w:lineRule="auto"/>
        <w:ind w:left="2775" w:right="112"/>
        <w:jc w:val="both"/>
      </w:pPr>
      <w:r>
        <w:rPr/>
        <w:t>本附加合同由所载的条款、保险单、投保单及有关声明、批注、其他约定书以及主合同中与本附加合同相关的部分构成。凡本附加合同条款未做规定的内容，适用主合同条款。若主合同条款与本附加合同条款有抵触时，则以本附加合同条款为准。</w:t>
      </w:r>
    </w:p>
    <w:p>
      <w:pPr>
        <w:pStyle w:val="BodyText"/>
        <w:spacing w:line="237" w:lineRule="auto"/>
        <w:ind w:left="2775" w:right="212"/>
        <w:jc w:val="both"/>
      </w:pPr>
      <w:r>
        <w:rPr/>
        <w:t>本附加合同条款依法按照通常理解予以解释，如合同条款有两种以上解释的，作有利于被保险人或受益人的解释。</w:t>
      </w:r>
    </w:p>
    <w:p>
      <w:pPr>
        <w:pStyle w:val="BodyText"/>
        <w:spacing w:line="272" w:lineRule="exact"/>
        <w:ind w:left="2775"/>
      </w:pPr>
      <w:r>
        <w:rPr/>
        <w:t>本附加合同的代码为 DDB．</w:t>
      </w:r>
    </w:p>
    <w:p>
      <w:pPr>
        <w:pStyle w:val="BodyText"/>
        <w:spacing w:before="9"/>
        <w:rPr>
          <w:sz w:val="18"/>
        </w:rPr>
      </w:pPr>
    </w:p>
    <w:p>
      <w:pPr>
        <w:pStyle w:val="ListParagraph"/>
        <w:numPr>
          <w:ilvl w:val="1"/>
          <w:numId w:val="3"/>
        </w:numPr>
        <w:tabs>
          <w:tab w:pos="1075" w:val="left" w:leader="none"/>
        </w:tabs>
        <w:spacing w:line="273" w:lineRule="auto" w:before="0" w:after="0"/>
        <w:ind w:left="2775" w:right="211" w:hanging="2549"/>
        <w:jc w:val="both"/>
        <w:rPr>
          <w:sz w:val="21"/>
        </w:rPr>
      </w:pPr>
      <w:r>
        <w:rPr>
          <w:b/>
          <w:sz w:val="21"/>
        </w:rPr>
        <w:t>如实告知       </w:t>
      </w:r>
      <w:r>
        <w:rPr>
          <w:spacing w:val="-4"/>
          <w:sz w:val="21"/>
        </w:rPr>
        <w:t>订立本附加合同，我们应当向投保人说明本附加合同的内容。对本附加合同</w:t>
      </w:r>
      <w:r>
        <w:rPr>
          <w:spacing w:val="-7"/>
          <w:sz w:val="21"/>
        </w:rPr>
        <w:t>中免除我们责任的条款，在订立合同时我们应当在投保单、保险单或者其他</w:t>
      </w:r>
      <w:r>
        <w:rPr>
          <w:spacing w:val="-9"/>
          <w:sz w:val="21"/>
        </w:rPr>
        <w:t>保险凭证上作出足以引起投保人注意的提示，并对该条款的内容以书面或者</w:t>
      </w:r>
      <w:r>
        <w:rPr>
          <w:spacing w:val="-11"/>
          <w:sz w:val="21"/>
        </w:rPr>
        <w:t>口头形式向投保人作出明确说明。未作提示或者明确说明的，该条款不产生效力。</w:t>
      </w:r>
    </w:p>
    <w:p>
      <w:pPr>
        <w:pStyle w:val="BodyText"/>
        <w:spacing w:line="273" w:lineRule="auto" w:before="7"/>
        <w:ind w:left="2775" w:right="176"/>
        <w:jc w:val="both"/>
      </w:pPr>
      <w:r>
        <w:rPr/>
        <w:t>订立本附加合同，我们可以就投保人和被保险人的有关情况提出书面询问， 投保人应当如实告知。</w:t>
      </w:r>
    </w:p>
    <w:p>
      <w:pPr>
        <w:pStyle w:val="BodyText"/>
        <w:spacing w:line="273" w:lineRule="auto" w:before="7"/>
        <w:ind w:left="2775" w:right="212"/>
        <w:jc w:val="both"/>
      </w:pPr>
      <w:r>
        <w:rPr>
          <w:spacing w:val="-3"/>
        </w:rPr>
        <w:t>如果投保人故意隐瞒事实，不履行如实告知义务，或者因重大过失未履行如</w:t>
      </w:r>
      <w:r>
        <w:rPr>
          <w:spacing w:val="-7"/>
        </w:rPr>
        <w:t>实告知义务，足以影响我们决定是否同意承保或者提高保险费率的，我们有</w:t>
      </w:r>
      <w:r>
        <w:rPr>
          <w:spacing w:val="-10"/>
        </w:rPr>
        <w:t>权解除本附加合同。但若被保险人自本附加合同成立日</w:t>
      </w:r>
      <w:r>
        <w:rPr/>
        <w:t>（若本合同中止后复</w:t>
      </w:r>
      <w:r>
        <w:rPr>
          <w:spacing w:val="-3"/>
        </w:rPr>
        <w:t>效，则以最后复效日为准</w:t>
      </w:r>
      <w:r>
        <w:rPr>
          <w:spacing w:val="-12"/>
        </w:rPr>
        <w:t>）</w:t>
      </w:r>
      <w:r>
        <w:rPr>
          <w:spacing w:val="-1"/>
        </w:rPr>
        <w:t>起持续有效两年后才发生保险事故的，我们将不再依据本条规定行使对本附加合同的解除权。</w:t>
      </w:r>
    </w:p>
    <w:p>
      <w:pPr>
        <w:pStyle w:val="BodyText"/>
        <w:spacing w:line="237" w:lineRule="auto"/>
        <w:ind w:left="2775" w:right="211"/>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11"/>
        <w:jc w:val="both"/>
      </w:pPr>
      <w:r>
        <w:rPr>
          <w:spacing w:val="-3"/>
        </w:rPr>
        <w:t>如果投保人故意不履行如实告知义务，我们对于本合同解除前发生的保险事故，不承担给付保险金的责任，并不退还保险费。</w:t>
      </w:r>
    </w:p>
    <w:p>
      <w:pPr>
        <w:pStyle w:val="BodyText"/>
        <w:spacing w:line="237" w:lineRule="auto"/>
        <w:ind w:left="2775" w:right="105"/>
      </w:pPr>
      <w:r>
        <w:rPr>
          <w:spacing w:val="-2"/>
        </w:rPr>
        <w:t>如果投保人因重大过失未履行如实告知义务，对保险事故的发生有严重影响</w:t>
      </w:r>
      <w:r>
        <w:rPr>
          <w:spacing w:val="-12"/>
        </w:rPr>
        <w:t>的，我们对于本附加合同解除前发生的保险事故，不承担给付保险金的责任， 但退还本附加合同的保险费。</w:t>
      </w:r>
    </w:p>
    <w:p>
      <w:pPr>
        <w:pStyle w:val="BodyText"/>
        <w:spacing w:before="4"/>
        <w:rPr>
          <w:sz w:val="15"/>
        </w:rPr>
      </w:pPr>
    </w:p>
    <w:p>
      <w:pPr>
        <w:spacing w:after="0"/>
        <w:rPr>
          <w:sz w:val="15"/>
        </w:rPr>
        <w:sectPr>
          <w:footerReference w:type="default" r:id="rId7"/>
          <w:pgSz w:w="11910" w:h="16840"/>
          <w:pgMar w:footer="998" w:header="0" w:top="1500" w:bottom="1180" w:left="1080" w:right="940"/>
          <w:pgNumType w:start="1"/>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合同成立及保险责任的开始</w:t>
      </w:r>
    </w:p>
    <w:p>
      <w:pPr>
        <w:pStyle w:val="BodyText"/>
        <w:spacing w:before="35"/>
        <w:ind w:left="185"/>
      </w:pPr>
      <w:r>
        <w:rPr/>
        <w:br w:type="column"/>
      </w:r>
      <w:r>
        <w:rPr/>
        <w:t>本附加合同与主合同同时投保、同时生效、保险责任同时开始。</w:t>
      </w:r>
    </w:p>
    <w:p>
      <w:pPr>
        <w:spacing w:after="0"/>
        <w:sectPr>
          <w:type w:val="continuous"/>
          <w:pgSz w:w="11910" w:h="16840"/>
          <w:pgMar w:top="520" w:bottom="280" w:left="1080" w:right="940"/>
          <w:cols w:num="2" w:equalWidth="0">
            <w:col w:w="2551" w:space="40"/>
            <w:col w:w="7299"/>
          </w:cols>
        </w:sectPr>
      </w:pPr>
    </w:p>
    <w:p>
      <w:pPr>
        <w:pStyle w:val="Heading2"/>
        <w:numPr>
          <w:ilvl w:val="0"/>
          <w:numId w:val="3"/>
        </w:numPr>
        <w:tabs>
          <w:tab w:pos="1075" w:val="left" w:leader="none"/>
          <w:tab w:pos="1076" w:val="left" w:leader="none"/>
        </w:tabs>
        <w:spacing w:line="240" w:lineRule="auto" w:before="2" w:after="0"/>
        <w:ind w:left="1075" w:right="0" w:hanging="849"/>
        <w:jc w:val="left"/>
      </w:pPr>
      <w:r>
        <w:rPr>
          <w:w w:val="95"/>
        </w:rPr>
        <w:t>我们提供的保障</w:t>
      </w:r>
    </w:p>
    <w:p>
      <w:pPr>
        <w:pStyle w:val="BodyText"/>
        <w:spacing w:before="1"/>
        <w:rPr>
          <w:b/>
          <w:sz w:val="10"/>
        </w:rPr>
      </w:pPr>
      <w:r>
        <w:rPr/>
        <w:pict>
          <v:group style="position:absolute;margin-left:59.939999pt;margin-top:8.583339pt;width:483.1pt;height:1.45pt;mso-position-horizontal-relative:page;mso-position-vertical-relative:paragraph;z-index:1216;mso-wrap-distance-left:0;mso-wrap-distance-right:0" coordorigin="1199,172" coordsize="9662,29">
            <v:line style="position:absolute" from="1199,176" to="2047,176" stroked="true" strokeweight=".48004pt" strokecolor="#000000">
              <v:stroke dashstyle="solid"/>
            </v:line>
            <v:line style="position:absolute" from="1199,196" to="2047,196" stroked="true" strokeweight=".47998pt" strokecolor="#000000">
              <v:stroke dashstyle="solid"/>
            </v:line>
            <v:rect style="position:absolute;left:2047;top:171;width:29;height:10" filled="true" fillcolor="#000000" stroked="false">
              <v:fill type="solid"/>
            </v:rect>
            <v:rect style="position:absolute;left:2047;top:190;width:29;height:10" filled="true" fillcolor="#000000" stroked="false">
              <v:fill type="solid"/>
            </v:rect>
            <v:line style="position:absolute" from="2076,176" to="3749,176" stroked="true" strokeweight=".48004pt" strokecolor="#000000">
              <v:stroke dashstyle="solid"/>
            </v:line>
            <v:line style="position:absolute" from="2076,196" to="3749,196" stroked="true" strokeweight=".47998pt" strokecolor="#000000">
              <v:stroke dashstyle="solid"/>
            </v:line>
            <v:rect style="position:absolute;left:3748;top:171;width:29;height:10" filled="true" fillcolor="#000000" stroked="false">
              <v:fill type="solid"/>
            </v:rect>
            <v:rect style="position:absolute;left:3748;top:190;width:29;height:10" filled="true" fillcolor="#000000" stroked="false">
              <v:fill type="solid"/>
            </v:rect>
            <v:line style="position:absolute" from="3778,176" to="10860,176"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2"/>
        <w:rPr>
          <w:b/>
          <w:sz w:val="9"/>
        </w:rPr>
      </w:pPr>
    </w:p>
    <w:p>
      <w:pPr>
        <w:pStyle w:val="ListParagraph"/>
        <w:numPr>
          <w:ilvl w:val="1"/>
          <w:numId w:val="3"/>
        </w:numPr>
        <w:tabs>
          <w:tab w:pos="1074" w:val="left" w:leader="none"/>
          <w:tab w:pos="1075" w:val="left" w:leader="none"/>
          <w:tab w:pos="2775" w:val="left" w:leader="none"/>
        </w:tabs>
        <w:spacing w:line="273" w:lineRule="auto" w:before="35" w:after="0"/>
        <w:ind w:left="2775" w:right="212" w:hanging="2549"/>
        <w:jc w:val="left"/>
        <w:rPr>
          <w:sz w:val="21"/>
        </w:rPr>
      </w:pPr>
      <w:r>
        <w:rPr>
          <w:b/>
          <w:sz w:val="21"/>
        </w:rPr>
        <w:t>保险金额</w:t>
        <w:tab/>
      </w:r>
      <w:r>
        <w:rPr>
          <w:sz w:val="21"/>
        </w:rPr>
        <w:t>本附加合同所称的保险金额是指保险单或主合同批注上所载的本附加合同的保险金额</w:t>
      </w:r>
      <w:r>
        <w:rPr>
          <w:spacing w:val="-18"/>
          <w:sz w:val="21"/>
        </w:rPr>
        <w:t>。</w:t>
      </w:r>
      <w:r>
        <w:rPr>
          <w:sz w:val="21"/>
        </w:rPr>
        <w:t>若该金额按本附加合同其它条款的约定发生变更</w:t>
      </w:r>
      <w:r>
        <w:rPr>
          <w:spacing w:val="-18"/>
          <w:sz w:val="21"/>
        </w:rPr>
        <w:t>，</w:t>
      </w:r>
      <w:r>
        <w:rPr>
          <w:sz w:val="21"/>
        </w:rPr>
        <w:t>则以变更后的金额为保险金额。</w:t>
      </w:r>
    </w:p>
    <w:p>
      <w:pPr>
        <w:pStyle w:val="BodyText"/>
        <w:spacing w:before="6"/>
        <w:rPr>
          <w:sz w:val="17"/>
        </w:rPr>
      </w:pPr>
    </w:p>
    <w:p>
      <w:pPr>
        <w:pStyle w:val="ListParagraph"/>
        <w:numPr>
          <w:ilvl w:val="1"/>
          <w:numId w:val="3"/>
        </w:numPr>
        <w:tabs>
          <w:tab w:pos="1075" w:val="left" w:leader="none"/>
          <w:tab w:pos="1076" w:val="left" w:leader="none"/>
          <w:tab w:pos="2775" w:val="left" w:leader="none"/>
        </w:tabs>
        <w:spacing w:line="240" w:lineRule="auto" w:before="1" w:after="0"/>
        <w:ind w:left="1075" w:right="0" w:hanging="849"/>
        <w:jc w:val="left"/>
        <w:rPr>
          <w:sz w:val="21"/>
        </w:rPr>
      </w:pPr>
      <w:r>
        <w:rPr>
          <w:b/>
          <w:position w:val="3"/>
          <w:sz w:val="21"/>
        </w:rPr>
        <w:t>保险责任</w:t>
        <w:tab/>
      </w:r>
      <w:r>
        <w:rPr>
          <w:sz w:val="21"/>
        </w:rPr>
        <w:t>在本合同有效期内，我们承担如下保险责任：</w:t>
      </w:r>
    </w:p>
    <w:p>
      <w:pPr>
        <w:pStyle w:val="BodyText"/>
        <w:spacing w:before="8"/>
        <w:rPr>
          <w:sz w:val="17"/>
        </w:rPr>
      </w:pPr>
    </w:p>
    <w:p>
      <w:pPr>
        <w:pStyle w:val="ListParagraph"/>
        <w:numPr>
          <w:ilvl w:val="2"/>
          <w:numId w:val="3"/>
        </w:numPr>
        <w:tabs>
          <w:tab w:pos="1075" w:val="left" w:leader="none"/>
          <w:tab w:pos="1076" w:val="left" w:leader="none"/>
          <w:tab w:pos="2775" w:val="left" w:leader="none"/>
        </w:tabs>
        <w:spacing w:line="278" w:lineRule="auto" w:before="0" w:after="0"/>
        <w:ind w:left="2775" w:right="105" w:hanging="2549"/>
        <w:jc w:val="left"/>
        <w:rPr>
          <w:sz w:val="21"/>
        </w:rPr>
      </w:pPr>
      <w:r>
        <w:rPr>
          <w:i/>
          <w:position w:val="3"/>
          <w:sz w:val="22"/>
        </w:rPr>
        <w:t>重大疾病保险金</w:t>
        <w:tab/>
      </w:r>
      <w:r>
        <w:rPr>
          <w:w w:val="95"/>
          <w:sz w:val="21"/>
        </w:rPr>
        <w:t>在本附加合同有效期内</w:t>
      </w:r>
      <w:r>
        <w:rPr>
          <w:spacing w:val="-40"/>
          <w:w w:val="95"/>
          <w:sz w:val="21"/>
        </w:rPr>
        <w:t>，</w:t>
      </w:r>
      <w:r>
        <w:rPr>
          <w:w w:val="95"/>
          <w:sz w:val="21"/>
        </w:rPr>
        <w:t>被保险人因</w:t>
      </w:r>
      <w:r>
        <w:rPr>
          <w:b/>
          <w:w w:val="95"/>
          <w:sz w:val="21"/>
        </w:rPr>
        <w:t>意外伤害事故</w:t>
      </w:r>
      <w:r>
        <w:rPr>
          <w:w w:val="95"/>
          <w:sz w:val="21"/>
        </w:rPr>
        <w:t>或于本附加合同持续有效    </w:t>
      </w:r>
      <w:r>
        <w:rPr>
          <w:sz w:val="21"/>
        </w:rPr>
        <w:t>九十</w:t>
      </w:r>
      <w:r>
        <w:rPr>
          <w:spacing w:val="-70"/>
          <w:sz w:val="21"/>
        </w:rPr>
        <w:t>日</w:t>
      </w:r>
      <w:r>
        <w:rPr>
          <w:sz w:val="21"/>
        </w:rPr>
        <w:t>（若本附加合同中止后复效</w:t>
      </w:r>
      <w:r>
        <w:rPr>
          <w:spacing w:val="-70"/>
          <w:sz w:val="21"/>
        </w:rPr>
        <w:t>，</w:t>
      </w:r>
      <w:r>
        <w:rPr>
          <w:sz w:val="21"/>
        </w:rPr>
        <w:t>则以最后复效日起持续有效九十日为准） 以</w:t>
      </w:r>
      <w:r>
        <w:rPr>
          <w:spacing w:val="-12"/>
          <w:sz w:val="21"/>
        </w:rPr>
        <w:t>后</w:t>
      </w:r>
      <w:r>
        <w:rPr>
          <w:sz w:val="21"/>
        </w:rPr>
        <w:t>（不含当日</w:t>
      </w:r>
      <w:r>
        <w:rPr>
          <w:spacing w:val="-12"/>
          <w:sz w:val="21"/>
        </w:rPr>
        <w:t>）</w:t>
      </w:r>
      <w:r>
        <w:rPr>
          <w:sz w:val="21"/>
        </w:rPr>
        <w:t>首次确诊患本附加合同所述重大疾</w:t>
      </w:r>
      <w:r>
        <w:rPr>
          <w:spacing w:val="-12"/>
          <w:sz w:val="21"/>
        </w:rPr>
        <w:t>病</w:t>
      </w:r>
      <w:r>
        <w:rPr>
          <w:sz w:val="21"/>
        </w:rPr>
        <w:t>（无论一种或多种</w:t>
      </w:r>
      <w:r>
        <w:rPr>
          <w:spacing w:val="-105"/>
          <w:sz w:val="21"/>
        </w:rPr>
        <w:t>）</w:t>
      </w:r>
      <w:r>
        <w:rPr>
          <w:sz w:val="21"/>
        </w:rPr>
        <w:t>，则我们给付等值于本附加合同保险金额的重大疾病保险金</w:t>
      </w:r>
      <w:r>
        <w:rPr>
          <w:spacing w:val="-35"/>
          <w:sz w:val="21"/>
        </w:rPr>
        <w:t>，</w:t>
      </w:r>
      <w:r>
        <w:rPr>
          <w:sz w:val="21"/>
        </w:rPr>
        <w:t>本附加合同及主合同</w:t>
      </w:r>
      <w:r>
        <w:rPr>
          <w:spacing w:val="-57"/>
          <w:sz w:val="21"/>
        </w:rPr>
        <w:t> </w:t>
      </w:r>
      <w:r>
        <w:rPr>
          <w:sz w:val="21"/>
        </w:rPr>
        <w:t>EB</w:t>
      </w:r>
      <w:r>
        <w:rPr>
          <w:spacing w:val="-57"/>
          <w:sz w:val="21"/>
        </w:rPr>
        <w:t> </w:t>
      </w:r>
      <w:r>
        <w:rPr>
          <w:sz w:val="21"/>
        </w:rPr>
        <w:t>效力终止。</w:t>
      </w:r>
    </w:p>
    <w:p>
      <w:pPr>
        <w:pStyle w:val="BodyText"/>
        <w:spacing w:before="3"/>
        <w:rPr>
          <w:sz w:val="11"/>
        </w:rPr>
      </w:pPr>
    </w:p>
    <w:p>
      <w:pPr>
        <w:spacing w:after="0"/>
        <w:rPr>
          <w:sz w:val="11"/>
        </w:rPr>
        <w:sectPr>
          <w:pgSz w:w="11910" w:h="16840"/>
          <w:pgMar w:header="0" w:footer="998" w:top="1580" w:bottom="1180" w:left="1080" w:right="940"/>
        </w:sectPr>
      </w:pPr>
    </w:p>
    <w:p>
      <w:pPr>
        <w:pStyle w:val="Heading3"/>
        <w:numPr>
          <w:ilvl w:val="2"/>
          <w:numId w:val="3"/>
        </w:numPr>
        <w:tabs>
          <w:tab w:pos="1075" w:val="left" w:leader="none"/>
          <w:tab w:pos="1076" w:val="left" w:leader="none"/>
        </w:tabs>
        <w:spacing w:line="211" w:lineRule="auto" w:before="66" w:after="0"/>
        <w:ind w:left="1075" w:right="0" w:hanging="849"/>
        <w:jc w:val="left"/>
      </w:pPr>
      <w:r>
        <w:rPr>
          <w:w w:val="95"/>
        </w:rPr>
        <w:t>特定重大疾病额外给付</w:t>
      </w:r>
    </w:p>
    <w:p>
      <w:pPr>
        <w:pStyle w:val="BodyText"/>
        <w:spacing w:line="278" w:lineRule="auto" w:before="91"/>
        <w:ind w:left="173" w:right="210"/>
        <w:jc w:val="both"/>
      </w:pPr>
      <w:r>
        <w:rPr/>
        <w:br w:type="column"/>
      </w:r>
      <w:r>
        <w:rPr>
          <w:spacing w:val="-4"/>
        </w:rPr>
        <w:t>在本附加合同有效期内，若被保险人因意外伤害事故或于本附加合同持续有</w:t>
      </w:r>
      <w:r>
        <w:rPr>
          <w:spacing w:val="-8"/>
        </w:rPr>
        <w:t>效九十日</w:t>
      </w:r>
      <w:r>
        <w:rPr/>
        <w:t>（</w:t>
      </w:r>
      <w:r>
        <w:rPr>
          <w:spacing w:val="-2"/>
        </w:rPr>
        <w:t>若本附加合同中止后复效，则以最后复效日起持续有效九十日为</w:t>
      </w:r>
      <w:r>
        <w:rPr>
          <w:spacing w:val="1"/>
        </w:rPr>
        <w:t>准）以后</w:t>
      </w:r>
      <w:r>
        <w:rPr>
          <w:spacing w:val="0"/>
        </w:rPr>
        <w:t>（</w:t>
      </w:r>
      <w:r>
        <w:rPr/>
        <w:t>不含当日</w:t>
      </w:r>
      <w:r>
        <w:rPr>
          <w:spacing w:val="0"/>
        </w:rPr>
        <w:t>）</w:t>
      </w:r>
      <w:r>
        <w:rPr/>
        <w:t>首次确诊患以下特定重大疾病</w:t>
      </w:r>
      <w:r>
        <w:rPr>
          <w:spacing w:val="1"/>
        </w:rPr>
        <w:t>（</w:t>
      </w:r>
      <w:r>
        <w:rPr/>
        <w:t>无论一种或多种</w:t>
      </w:r>
      <w:r>
        <w:rPr>
          <w:spacing w:val="-104"/>
        </w:rPr>
        <w:t>）</w:t>
      </w:r>
      <w:r>
        <w:rPr/>
        <w:t>，</w:t>
      </w:r>
      <w:r>
        <w:rPr>
          <w:spacing w:val="-2"/>
        </w:rPr>
        <w:t>且确诊时间于被保险人年满 </w:t>
      </w:r>
      <w:r>
        <w:rPr/>
        <w:t>65</w:t>
      </w:r>
      <w:r>
        <w:rPr>
          <w:spacing w:val="-4"/>
        </w:rPr>
        <w:t> 周岁后的首个保单周年日之前，则我们除按</w:t>
      </w:r>
    </w:p>
    <w:p>
      <w:pPr>
        <w:pStyle w:val="BodyText"/>
        <w:spacing w:line="276" w:lineRule="auto"/>
        <w:ind w:left="173" w:right="211"/>
        <w:jc w:val="both"/>
      </w:pPr>
      <w:r>
        <w:rPr>
          <w:i/>
          <w:sz w:val="22"/>
        </w:rPr>
        <w:t>2.2.1</w:t>
      </w:r>
      <w:r>
        <w:rPr>
          <w:i/>
          <w:spacing w:val="-64"/>
          <w:sz w:val="22"/>
        </w:rPr>
        <w:t> </w:t>
      </w:r>
      <w:r>
        <w:rPr/>
        <w:t>约定给付重大疾病保险金外，一并额外给付等值于本附加合同保险金</w:t>
      </w:r>
      <w:r>
        <w:rPr>
          <w:spacing w:val="-31"/>
        </w:rPr>
        <w:t>额 </w:t>
      </w:r>
      <w:r>
        <w:rPr/>
        <w:t>20%</w:t>
      </w:r>
      <w:r>
        <w:rPr>
          <w:spacing w:val="-4"/>
        </w:rPr>
        <w:t>的特别保险金，本附加合同及主合同 </w:t>
      </w:r>
      <w:r>
        <w:rPr/>
        <w:t>EB</w:t>
      </w:r>
      <w:r>
        <w:rPr>
          <w:spacing w:val="-11"/>
        </w:rPr>
        <w:t> 效力终止。</w:t>
      </w:r>
    </w:p>
    <w:p>
      <w:pPr>
        <w:pStyle w:val="BodyText"/>
        <w:spacing w:line="278" w:lineRule="auto" w:before="14"/>
        <w:ind w:left="173" w:right="210"/>
        <w:jc w:val="both"/>
      </w:pPr>
      <w:r>
        <w:rPr>
          <w:spacing w:val="-5"/>
        </w:rPr>
        <w:t>特定重大疾病指：急性心肌梗塞，终末期肾病，脑中风后遗症，重大器官移</w:t>
      </w:r>
      <w:r>
        <w:rPr>
          <w:spacing w:val="-8"/>
        </w:rPr>
        <w:t>植术，符合恶性肿瘤定义的男性睾丸癌、男性阴茎癌、男性前列腺癌、女性乳房癌、女性子宫癌、女性阴道癌、女性卵巢癌、女性输卵管癌。</w:t>
      </w:r>
    </w:p>
    <w:p>
      <w:pPr>
        <w:spacing w:after="0" w:line="278" w:lineRule="auto"/>
        <w:jc w:val="both"/>
        <w:sectPr>
          <w:type w:val="continuous"/>
          <w:pgSz w:w="11910" w:h="16840"/>
          <w:pgMar w:top="520" w:bottom="280" w:left="1080" w:right="940"/>
          <w:cols w:num="2" w:equalWidth="0">
            <w:col w:w="2562" w:space="40"/>
            <w:col w:w="7288"/>
          </w:cols>
        </w:sectPr>
      </w:pPr>
    </w:p>
    <w:p>
      <w:pPr>
        <w:pStyle w:val="BodyText"/>
        <w:spacing w:before="10"/>
        <w:rPr>
          <w:sz w:val="12"/>
        </w:rPr>
      </w:pPr>
    </w:p>
    <w:p>
      <w:pPr>
        <w:pStyle w:val="BodyText"/>
        <w:spacing w:line="273" w:lineRule="auto" w:before="29"/>
        <w:ind w:left="2775" w:right="106" w:hanging="2549"/>
        <w:jc w:val="both"/>
      </w:pPr>
      <w:r>
        <w:rPr>
          <w:i/>
          <w:position w:val="3"/>
          <w:sz w:val="22"/>
        </w:rPr>
        <w:t>2.2.3</w:t>
      </w:r>
      <w:r>
        <w:rPr>
          <w:i/>
          <w:spacing w:val="10"/>
          <w:position w:val="3"/>
          <w:sz w:val="22"/>
        </w:rPr>
        <w:t>  保险金给付限制 </w:t>
      </w:r>
      <w:r>
        <w:rPr>
          <w:spacing w:val="-4"/>
        </w:rPr>
        <w:t>在本附加合同有效期内，若被保险人于本附加合同生效之日起持续有效九十</w:t>
      </w:r>
      <w:r>
        <w:rPr>
          <w:spacing w:val="-12"/>
        </w:rPr>
        <w:t>日</w:t>
      </w:r>
      <w:r>
        <w:rPr/>
        <w:t>（</w:t>
      </w:r>
      <w:r>
        <w:rPr>
          <w:spacing w:val="-1"/>
        </w:rPr>
        <w:t>若本附加合同中止后复效，则以最后复效日起持续有效九十日为准</w:t>
      </w:r>
      <w:r>
        <w:rPr>
          <w:spacing w:val="-12"/>
        </w:rPr>
        <w:t>）</w:t>
      </w:r>
      <w:r>
        <w:rPr/>
        <w:t>以内</w:t>
      </w:r>
      <w:r>
        <w:rPr>
          <w:rFonts w:ascii="Times New Roman" w:eastAsia="Times New Roman"/>
        </w:rPr>
        <w:t>(</w:t>
      </w:r>
      <w:r>
        <w:rPr/>
        <w:t>含当日</w:t>
      </w:r>
      <w:r>
        <w:rPr>
          <w:rFonts w:ascii="Times New Roman" w:eastAsia="Times New Roman"/>
        </w:rPr>
        <w:t>)</w:t>
      </w:r>
      <w:r>
        <w:rPr/>
        <w:t>患重大疾病，我们不承担给付保险金的责任，本附加合同及主合</w:t>
      </w:r>
      <w:r>
        <w:rPr>
          <w:spacing w:val="41"/>
        </w:rPr>
        <w:t>同</w:t>
      </w:r>
      <w:r>
        <w:rPr/>
        <w:t>EB</w:t>
      </w:r>
      <w:r>
        <w:rPr>
          <w:spacing w:val="-16"/>
        </w:rPr>
        <w:t> 效力终止，我们将无息全额退还本附加合同及主合同 </w:t>
      </w:r>
      <w:r>
        <w:rPr/>
        <w:t>EB</w:t>
      </w:r>
      <w:r>
        <w:rPr>
          <w:spacing w:val="-10"/>
        </w:rPr>
        <w:t> 已缴的保险费。</w:t>
      </w:r>
    </w:p>
    <w:p>
      <w:pPr>
        <w:pStyle w:val="BodyText"/>
        <w:spacing w:before="2"/>
        <w:rPr>
          <w:sz w:val="16"/>
        </w:rPr>
      </w:pPr>
    </w:p>
    <w:p>
      <w:pPr>
        <w:pStyle w:val="BodyText"/>
        <w:tabs>
          <w:tab w:pos="1182" w:val="left" w:leader="none"/>
          <w:tab w:pos="2775" w:val="left" w:leader="none"/>
        </w:tabs>
        <w:spacing w:line="280" w:lineRule="auto" w:before="1"/>
        <w:ind w:left="2775" w:right="212" w:hanging="2549"/>
      </w:pPr>
      <w:r>
        <w:rPr>
          <w:b/>
          <w:position w:val="3"/>
        </w:rPr>
        <w:t>2.3</w:t>
        <w:tab/>
        <w:t>责任免除</w:t>
        <w:tab/>
      </w:r>
      <w:r>
        <w:rPr/>
        <w:t>因下列情形之一</w:t>
      </w:r>
      <w:r>
        <w:rPr>
          <w:spacing w:val="-12"/>
        </w:rPr>
        <w:t>，</w:t>
      </w:r>
      <w:r>
        <w:rPr/>
        <w:t>导致被保险人发生疾病</w:t>
      </w:r>
      <w:r>
        <w:rPr>
          <w:spacing w:val="-12"/>
        </w:rPr>
        <w:t>、</w:t>
      </w:r>
      <w:r>
        <w:rPr/>
        <w:t>达到疾病状态或进行手术的</w:t>
      </w:r>
      <w:r>
        <w:rPr>
          <w:spacing w:val="-12"/>
        </w:rPr>
        <w:t>，</w:t>
      </w:r>
      <w:r>
        <w:rPr/>
        <w:t>我们不承担给付保险金的责任：</w:t>
      </w:r>
    </w:p>
    <w:p>
      <w:pPr>
        <w:pStyle w:val="BodyText"/>
        <w:spacing w:before="9"/>
        <w:ind w:left="2775"/>
      </w:pPr>
      <w:r>
        <w:rPr/>
        <w:t>1、投保人对被保险人的故意杀害、故意伤害；</w:t>
      </w:r>
    </w:p>
    <w:p>
      <w:pPr>
        <w:pStyle w:val="BodyText"/>
        <w:spacing w:line="274" w:lineRule="exact"/>
        <w:ind w:left="2775"/>
      </w:pPr>
      <w:r>
        <w:rPr/>
        <w:t>2、被保险人故意自伤、故意犯罪或者抗拒依法采取的刑事强制措施；</w:t>
      </w:r>
    </w:p>
    <w:p>
      <w:pPr>
        <w:pStyle w:val="BodyText"/>
        <w:spacing w:line="272" w:lineRule="exact"/>
        <w:ind w:left="2775"/>
      </w:pPr>
      <w:r>
        <w:rPr/>
        <w:t>3、被保险人主动服用、吸食或注射毒品；</w:t>
      </w:r>
    </w:p>
    <w:p>
      <w:pPr>
        <w:pStyle w:val="BodyText"/>
        <w:spacing w:line="237" w:lineRule="auto" w:before="1"/>
        <w:ind w:left="2775" w:right="210"/>
      </w:pPr>
      <w:r>
        <w:rPr/>
        <w:t>4、被保险人酒后驾驶，无合法有效驾驶证驾驶，或驾驶无有效行驶证的机动车；</w:t>
      </w:r>
    </w:p>
    <w:p>
      <w:pPr>
        <w:spacing w:line="280" w:lineRule="auto" w:before="42"/>
        <w:ind w:left="2775" w:right="212" w:firstLine="0"/>
        <w:jc w:val="left"/>
        <w:rPr>
          <w:sz w:val="21"/>
        </w:rPr>
      </w:pPr>
      <w:r>
        <w:rPr>
          <w:sz w:val="21"/>
        </w:rPr>
        <w:t>5、被保险人患</w:t>
      </w:r>
      <w:r>
        <w:rPr>
          <w:b/>
          <w:sz w:val="21"/>
        </w:rPr>
        <w:t>艾滋病(AIDS)</w:t>
      </w:r>
      <w:r>
        <w:rPr>
          <w:sz w:val="21"/>
        </w:rPr>
        <w:t>或感染</w:t>
      </w:r>
      <w:r>
        <w:rPr>
          <w:b/>
          <w:sz w:val="21"/>
        </w:rPr>
        <w:t>艾滋病病毒(HIV</w:t>
      </w:r>
      <w:r>
        <w:rPr>
          <w:b/>
          <w:spacing w:val="3"/>
          <w:sz w:val="21"/>
        </w:rPr>
        <w:t> 呈阳性)</w:t>
      </w:r>
      <w:r>
        <w:rPr>
          <w:sz w:val="21"/>
        </w:rPr>
        <w:t>（但本附加合同另有约定的除外</w:t>
      </w:r>
      <w:r>
        <w:rPr>
          <w:spacing w:val="-105"/>
          <w:sz w:val="21"/>
        </w:rPr>
        <w:t>）</w:t>
      </w:r>
      <w:r>
        <w:rPr>
          <w:sz w:val="21"/>
        </w:rPr>
        <w:t>；</w:t>
      </w:r>
    </w:p>
    <w:p>
      <w:pPr>
        <w:pStyle w:val="BodyText"/>
        <w:spacing w:before="8"/>
        <w:ind w:left="2775"/>
      </w:pPr>
      <w:r>
        <w:rPr/>
        <w:t>6、战争、军事冲突、暴乱或武装叛乱；</w:t>
      </w:r>
    </w:p>
    <w:p>
      <w:pPr>
        <w:pStyle w:val="BodyText"/>
        <w:spacing w:before="45"/>
        <w:ind w:left="2775"/>
      </w:pPr>
      <w:r>
        <w:rPr/>
        <w:t>7、核爆炸、核辐射或核污染；</w:t>
      </w:r>
    </w:p>
    <w:p>
      <w:pPr>
        <w:pStyle w:val="Heading4"/>
        <w:spacing w:before="45"/>
        <w:ind w:left="2775" w:firstLine="0"/>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19"/>
        <w:ind w:left="2775" w:right="212"/>
      </w:pPr>
      <w:r>
        <w:rPr>
          <w:spacing w:val="-5"/>
        </w:rPr>
        <w:t>本附加合同因上述第１项情形而终止，投保人已交足 </w:t>
      </w:r>
      <w:r>
        <w:rPr/>
        <w:t>2</w:t>
      </w:r>
      <w:r>
        <w:rPr>
          <w:spacing w:val="-9"/>
        </w:rPr>
        <w:t> 年以上保险费的，本</w:t>
      </w:r>
      <w:r>
        <w:rPr>
          <w:spacing w:val="-9"/>
          <w:w w:val="95"/>
        </w:rPr>
        <w:t>公司按合同约定向其他权利人退还本合同当时的</w:t>
      </w:r>
      <w:r>
        <w:rPr>
          <w:b/>
          <w:spacing w:val="-9"/>
          <w:w w:val="95"/>
        </w:rPr>
        <w:t>现金价值</w:t>
      </w:r>
      <w:r>
        <w:rPr>
          <w:spacing w:val="-9"/>
          <w:w w:val="95"/>
        </w:rPr>
        <w:t>。</w:t>
      </w:r>
    </w:p>
    <w:p>
      <w:pPr>
        <w:pStyle w:val="BodyText"/>
        <w:spacing w:line="273" w:lineRule="auto" w:before="8"/>
        <w:ind w:left="2775" w:right="157"/>
      </w:pPr>
      <w:r>
        <w:rPr/>
        <w:t>本附加合同因上述其他情形而终止，本公司向投保人退还本合同当时的现金价值。</w:t>
      </w:r>
    </w:p>
    <w:p>
      <w:pPr>
        <w:spacing w:after="0" w:line="273" w:lineRule="auto"/>
        <w:sectPr>
          <w:type w:val="continuous"/>
          <w:pgSz w:w="11910" w:h="16840"/>
          <w:pgMar w:top="520" w:bottom="280" w:left="1080" w:right="940"/>
        </w:sectPr>
      </w:pPr>
    </w:p>
    <w:p>
      <w:pPr>
        <w:pStyle w:val="BodyText"/>
        <w:spacing w:before="8"/>
        <w:rPr>
          <w:sz w:val="19"/>
        </w:rPr>
      </w:pPr>
    </w:p>
    <w:p>
      <w:pPr>
        <w:pStyle w:val="Heading2"/>
        <w:numPr>
          <w:ilvl w:val="0"/>
          <w:numId w:val="3"/>
        </w:numPr>
        <w:tabs>
          <w:tab w:pos="1075" w:val="left" w:leader="none"/>
          <w:tab w:pos="1076" w:val="left" w:leader="none"/>
        </w:tabs>
        <w:spacing w:line="240" w:lineRule="auto" w:before="13" w:after="0"/>
        <w:ind w:left="1075" w:right="0" w:hanging="849"/>
        <w:jc w:val="left"/>
      </w:pPr>
      <w:r>
        <w:rPr>
          <w:w w:val="95"/>
        </w:rPr>
        <w:t>重大疾病</w:t>
      </w:r>
    </w:p>
    <w:p>
      <w:pPr>
        <w:pStyle w:val="BodyText"/>
        <w:spacing w:before="2"/>
        <w:rPr>
          <w:b/>
          <w:sz w:val="10"/>
        </w:rPr>
      </w:pPr>
      <w:r>
        <w:rPr/>
        <w:pict>
          <v:group style="position:absolute;margin-left:59.939999pt;margin-top:8.625113pt;width:483.1pt;height:1.45pt;mso-position-horizontal-relative:page;mso-position-vertical-relative:paragraph;z-index:1240;mso-wrap-distance-left:0;mso-wrap-distance-right:0" coordorigin="1199,173" coordsize="9662,29">
            <v:line style="position:absolute" from="1199,177" to="2047,177"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rPr>
          <w:b/>
          <w:sz w:val="9"/>
        </w:rPr>
      </w:pPr>
    </w:p>
    <w:p>
      <w:pPr>
        <w:pStyle w:val="ListParagraph"/>
        <w:numPr>
          <w:ilvl w:val="1"/>
          <w:numId w:val="3"/>
        </w:numPr>
        <w:tabs>
          <w:tab w:pos="1076" w:val="left" w:leader="none"/>
        </w:tabs>
        <w:spacing w:line="278" w:lineRule="auto" w:before="31" w:after="0"/>
        <w:ind w:left="2775" w:right="291" w:hanging="2549"/>
        <w:jc w:val="both"/>
        <w:rPr>
          <w:sz w:val="21"/>
        </w:rPr>
      </w:pPr>
      <w:r>
        <w:rPr>
          <w:b/>
          <w:position w:val="3"/>
          <w:sz w:val="21"/>
        </w:rPr>
        <w:t>重大疾病的范围 </w:t>
      </w:r>
      <w:r>
        <w:rPr>
          <w:spacing w:val="-2"/>
          <w:sz w:val="21"/>
        </w:rPr>
        <w:t>本附加合同所指的重大疾病在本附加合同中有确定的含义，不仅包括部分一</w:t>
      </w:r>
      <w:r>
        <w:rPr>
          <w:spacing w:val="-5"/>
          <w:sz w:val="21"/>
        </w:rPr>
        <w:t>般意义上的重大疾病，还包括某些重大手术。本附加合同所指的重大疾病可</w:t>
      </w:r>
      <w:r>
        <w:rPr>
          <w:spacing w:val="-7"/>
          <w:sz w:val="21"/>
        </w:rPr>
        <w:t>能与临床医学所指的重大疾病在概念和范围上有所不同，我们将在本附加合</w:t>
      </w:r>
      <w:r>
        <w:rPr>
          <w:spacing w:val="-10"/>
          <w:sz w:val="21"/>
        </w:rPr>
        <w:t>同重大疾病定义中详细列明，投保人投保本附加合同即表明其认可并遵从本附加合同中对重大疾病的定义。</w:t>
      </w:r>
    </w:p>
    <w:p>
      <w:pPr>
        <w:pStyle w:val="BodyText"/>
        <w:rPr>
          <w:sz w:val="20"/>
        </w:rPr>
      </w:pPr>
    </w:p>
    <w:p>
      <w:pPr>
        <w:pStyle w:val="BodyText"/>
        <w:rPr>
          <w:sz w:val="20"/>
        </w:rPr>
      </w:pPr>
    </w:p>
    <w:p>
      <w:pPr>
        <w:pStyle w:val="BodyText"/>
        <w:spacing w:before="3"/>
        <w:rPr>
          <w:sz w:val="15"/>
        </w:rPr>
      </w:pPr>
    </w:p>
    <w:tbl>
      <w:tblPr>
        <w:tblW w:w="0" w:type="auto"/>
        <w:jc w:val="left"/>
        <w:tblInd w:w="2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485"/>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485"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7"/>
              <w:ind w:left="80"/>
              <w:jc w:val="center"/>
              <w:rPr>
                <w:sz w:val="18"/>
              </w:rPr>
            </w:pPr>
            <w:r>
              <w:rPr>
                <w:sz w:val="18"/>
              </w:rPr>
              <w:t>2</w:t>
            </w:r>
          </w:p>
        </w:tc>
        <w:tc>
          <w:tcPr>
            <w:tcW w:w="2978" w:type="dxa"/>
          </w:tcPr>
          <w:p>
            <w:pPr>
              <w:pStyle w:val="TableParagraph"/>
              <w:spacing w:before="17"/>
              <w:ind w:left="60"/>
              <w:rPr>
                <w:sz w:val="18"/>
              </w:rPr>
            </w:pPr>
            <w:r>
              <w:rPr>
                <w:sz w:val="18"/>
              </w:rPr>
              <w:t>急性心肌梗塞</w:t>
            </w:r>
          </w:p>
        </w:tc>
        <w:tc>
          <w:tcPr>
            <w:tcW w:w="278" w:type="dxa"/>
          </w:tcPr>
          <w:p>
            <w:pPr>
              <w:pStyle w:val="TableParagraph"/>
              <w:spacing w:before="17"/>
              <w:ind w:left="37"/>
              <w:rPr>
                <w:sz w:val="18"/>
              </w:rPr>
            </w:pPr>
            <w:r>
              <w:rPr>
                <w:sz w:val="18"/>
              </w:rPr>
              <w:t>22</w:t>
            </w:r>
          </w:p>
        </w:tc>
        <w:tc>
          <w:tcPr>
            <w:tcW w:w="3485" w:type="dxa"/>
          </w:tcPr>
          <w:p>
            <w:pPr>
              <w:pStyle w:val="TableParagraph"/>
              <w:spacing w:before="17"/>
              <w:ind w:left="59"/>
              <w:rPr>
                <w:sz w:val="18"/>
              </w:rPr>
            </w:pPr>
            <w:r>
              <w:rPr>
                <w:sz w:val="18"/>
              </w:rPr>
              <w:t>严重运动神经元病</w:t>
            </w:r>
          </w:p>
        </w:tc>
      </w:tr>
      <w:tr>
        <w:trPr>
          <w:trHeight w:val="326" w:hRule="atLeast"/>
        </w:trPr>
        <w:tc>
          <w:tcPr>
            <w:tcW w:w="290" w:type="dxa"/>
          </w:tcPr>
          <w:p>
            <w:pPr>
              <w:pStyle w:val="TableParagraph"/>
              <w:spacing w:before="18"/>
              <w:ind w:left="80"/>
              <w:jc w:val="center"/>
              <w:rPr>
                <w:sz w:val="18"/>
              </w:rPr>
            </w:pPr>
            <w:r>
              <w:rPr>
                <w:sz w:val="18"/>
              </w:rPr>
              <w:t>3</w:t>
            </w:r>
          </w:p>
        </w:tc>
        <w:tc>
          <w:tcPr>
            <w:tcW w:w="2978" w:type="dxa"/>
          </w:tcPr>
          <w:p>
            <w:pPr>
              <w:pStyle w:val="TableParagraph"/>
              <w:spacing w:before="18"/>
              <w:ind w:left="60"/>
              <w:rPr>
                <w:sz w:val="18"/>
              </w:rPr>
            </w:pPr>
            <w:r>
              <w:rPr>
                <w:sz w:val="18"/>
              </w:rPr>
              <w:t>脑中风后遗症</w:t>
            </w:r>
          </w:p>
        </w:tc>
        <w:tc>
          <w:tcPr>
            <w:tcW w:w="278" w:type="dxa"/>
          </w:tcPr>
          <w:p>
            <w:pPr>
              <w:pStyle w:val="TableParagraph"/>
              <w:spacing w:before="18"/>
              <w:ind w:left="37"/>
              <w:rPr>
                <w:sz w:val="18"/>
              </w:rPr>
            </w:pPr>
            <w:r>
              <w:rPr>
                <w:sz w:val="18"/>
              </w:rPr>
              <w:t>23</w:t>
            </w:r>
          </w:p>
        </w:tc>
        <w:tc>
          <w:tcPr>
            <w:tcW w:w="3485" w:type="dxa"/>
          </w:tcPr>
          <w:p>
            <w:pPr>
              <w:pStyle w:val="TableParagraph"/>
              <w:spacing w:before="18"/>
              <w:ind w:left="59"/>
              <w:rPr>
                <w:sz w:val="18"/>
              </w:rPr>
            </w:pPr>
            <w:r>
              <w:rPr>
                <w:sz w:val="18"/>
              </w:rPr>
              <w:t>语言能力丧失</w:t>
            </w:r>
          </w:p>
        </w:tc>
      </w:tr>
      <w:tr>
        <w:trPr>
          <w:trHeight w:val="326" w:hRule="atLeast"/>
        </w:trPr>
        <w:tc>
          <w:tcPr>
            <w:tcW w:w="290" w:type="dxa"/>
          </w:tcPr>
          <w:p>
            <w:pPr>
              <w:pStyle w:val="TableParagraph"/>
              <w:spacing w:before="17"/>
              <w:ind w:left="80"/>
              <w:jc w:val="center"/>
              <w:rPr>
                <w:sz w:val="18"/>
              </w:rPr>
            </w:pPr>
            <w:r>
              <w:rPr>
                <w:sz w:val="18"/>
              </w:rPr>
              <w:t>4</w:t>
            </w:r>
          </w:p>
        </w:tc>
        <w:tc>
          <w:tcPr>
            <w:tcW w:w="2978" w:type="dxa"/>
          </w:tcPr>
          <w:p>
            <w:pPr>
              <w:pStyle w:val="TableParagraph"/>
              <w:spacing w:before="17"/>
              <w:ind w:left="60"/>
              <w:rPr>
                <w:sz w:val="18"/>
              </w:rPr>
            </w:pPr>
            <w:r>
              <w:rPr>
                <w:sz w:val="18"/>
              </w:rPr>
              <w:t>重大器官移植术或造血干细胞移植术</w:t>
            </w:r>
          </w:p>
        </w:tc>
        <w:tc>
          <w:tcPr>
            <w:tcW w:w="278" w:type="dxa"/>
          </w:tcPr>
          <w:p>
            <w:pPr>
              <w:pStyle w:val="TableParagraph"/>
              <w:spacing w:before="17"/>
              <w:ind w:left="37"/>
              <w:rPr>
                <w:sz w:val="18"/>
              </w:rPr>
            </w:pPr>
            <w:r>
              <w:rPr>
                <w:sz w:val="18"/>
              </w:rPr>
              <w:t>24</w:t>
            </w:r>
          </w:p>
        </w:tc>
        <w:tc>
          <w:tcPr>
            <w:tcW w:w="3485" w:type="dxa"/>
          </w:tcPr>
          <w:p>
            <w:pPr>
              <w:pStyle w:val="TableParagraph"/>
              <w:spacing w:before="17"/>
              <w:ind w:left="59"/>
              <w:rPr>
                <w:sz w:val="18"/>
              </w:rPr>
            </w:pPr>
            <w:r>
              <w:rPr>
                <w:sz w:val="18"/>
              </w:rPr>
              <w:t>重型再生障碍性贫血</w:t>
            </w:r>
          </w:p>
        </w:tc>
      </w:tr>
      <w:tr>
        <w:trPr>
          <w:trHeight w:val="326" w:hRule="atLeast"/>
        </w:trPr>
        <w:tc>
          <w:tcPr>
            <w:tcW w:w="290" w:type="dxa"/>
          </w:tcPr>
          <w:p>
            <w:pPr>
              <w:pStyle w:val="TableParagraph"/>
              <w:spacing w:before="18"/>
              <w:ind w:left="80"/>
              <w:jc w:val="center"/>
              <w:rPr>
                <w:sz w:val="18"/>
              </w:rPr>
            </w:pPr>
            <w:r>
              <w:rPr>
                <w:sz w:val="18"/>
              </w:rPr>
              <w:t>5</w:t>
            </w:r>
          </w:p>
        </w:tc>
        <w:tc>
          <w:tcPr>
            <w:tcW w:w="2978" w:type="dxa"/>
          </w:tcPr>
          <w:p>
            <w:pPr>
              <w:pStyle w:val="TableParagraph"/>
              <w:spacing w:before="18"/>
              <w:ind w:left="60"/>
              <w:rPr>
                <w:sz w:val="18"/>
              </w:rPr>
            </w:pPr>
            <w:r>
              <w:rPr>
                <w:sz w:val="18"/>
              </w:rPr>
              <w:t>冠状动脉搭桥术</w:t>
            </w:r>
          </w:p>
        </w:tc>
        <w:tc>
          <w:tcPr>
            <w:tcW w:w="278" w:type="dxa"/>
          </w:tcPr>
          <w:p>
            <w:pPr>
              <w:pStyle w:val="TableParagraph"/>
              <w:spacing w:before="18"/>
              <w:ind w:left="37"/>
              <w:rPr>
                <w:sz w:val="18"/>
              </w:rPr>
            </w:pPr>
            <w:r>
              <w:rPr>
                <w:sz w:val="18"/>
              </w:rPr>
              <w:t>25</w:t>
            </w:r>
          </w:p>
        </w:tc>
        <w:tc>
          <w:tcPr>
            <w:tcW w:w="3485" w:type="dxa"/>
          </w:tcPr>
          <w:p>
            <w:pPr>
              <w:pStyle w:val="TableParagraph"/>
              <w:spacing w:before="18"/>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7"/>
              <w:ind w:left="60"/>
              <w:rPr>
                <w:sz w:val="18"/>
              </w:rPr>
            </w:pPr>
            <w:r>
              <w:rPr>
                <w:sz w:val="18"/>
              </w:rPr>
              <w:t>（或称冠状动脉旁路移植术）</w:t>
            </w:r>
          </w:p>
        </w:tc>
        <w:tc>
          <w:tcPr>
            <w:tcW w:w="278" w:type="dxa"/>
          </w:tcPr>
          <w:p>
            <w:pPr>
              <w:pStyle w:val="TableParagraph"/>
              <w:spacing w:before="17"/>
              <w:ind w:left="37"/>
              <w:rPr>
                <w:sz w:val="18"/>
              </w:rPr>
            </w:pPr>
            <w:r>
              <w:rPr>
                <w:sz w:val="18"/>
              </w:rPr>
              <w:t>26</w:t>
            </w:r>
          </w:p>
        </w:tc>
        <w:tc>
          <w:tcPr>
            <w:tcW w:w="3485" w:type="dxa"/>
          </w:tcPr>
          <w:p>
            <w:pPr>
              <w:pStyle w:val="TableParagraph"/>
              <w:spacing w:before="17"/>
              <w:ind w:left="59"/>
              <w:rPr>
                <w:sz w:val="18"/>
              </w:rPr>
            </w:pPr>
            <w:r>
              <w:rPr>
                <w:sz w:val="18"/>
              </w:rPr>
              <w:t>慢性呼吸功能衰竭</w:t>
            </w:r>
          </w:p>
        </w:tc>
      </w:tr>
      <w:tr>
        <w:trPr>
          <w:trHeight w:val="326" w:hRule="atLeast"/>
        </w:trPr>
        <w:tc>
          <w:tcPr>
            <w:tcW w:w="290" w:type="dxa"/>
          </w:tcPr>
          <w:p>
            <w:pPr>
              <w:pStyle w:val="TableParagraph"/>
              <w:spacing w:before="18"/>
              <w:ind w:left="80"/>
              <w:jc w:val="center"/>
              <w:rPr>
                <w:sz w:val="18"/>
              </w:rPr>
            </w:pPr>
            <w:r>
              <w:rPr>
                <w:sz w:val="18"/>
              </w:rPr>
              <w:t>6</w:t>
            </w:r>
          </w:p>
        </w:tc>
        <w:tc>
          <w:tcPr>
            <w:tcW w:w="2978" w:type="dxa"/>
          </w:tcPr>
          <w:p>
            <w:pPr>
              <w:pStyle w:val="TableParagraph"/>
              <w:spacing w:before="18"/>
              <w:ind w:left="60"/>
              <w:rPr>
                <w:sz w:val="18"/>
              </w:rPr>
            </w:pPr>
            <w:r>
              <w:rPr>
                <w:sz w:val="18"/>
              </w:rPr>
              <w:t>终末期肾病</w:t>
            </w:r>
          </w:p>
        </w:tc>
        <w:tc>
          <w:tcPr>
            <w:tcW w:w="278" w:type="dxa"/>
          </w:tcPr>
          <w:p>
            <w:pPr>
              <w:pStyle w:val="TableParagraph"/>
              <w:spacing w:before="18"/>
              <w:ind w:left="37"/>
              <w:rPr>
                <w:sz w:val="18"/>
              </w:rPr>
            </w:pPr>
            <w:r>
              <w:rPr>
                <w:sz w:val="18"/>
              </w:rPr>
              <w:t>27</w:t>
            </w:r>
          </w:p>
        </w:tc>
        <w:tc>
          <w:tcPr>
            <w:tcW w:w="3485" w:type="dxa"/>
          </w:tcPr>
          <w:p>
            <w:pPr>
              <w:pStyle w:val="TableParagraph"/>
              <w:spacing w:before="18"/>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7"/>
              <w:ind w:left="60"/>
              <w:rPr>
                <w:sz w:val="18"/>
              </w:rPr>
            </w:pPr>
            <w:r>
              <w:rPr>
                <w:sz w:val="18"/>
              </w:rPr>
              <w:t>（或称慢性肾功能衰竭尿毒症期）</w:t>
            </w:r>
          </w:p>
        </w:tc>
        <w:tc>
          <w:tcPr>
            <w:tcW w:w="278" w:type="dxa"/>
          </w:tcPr>
          <w:p>
            <w:pPr>
              <w:pStyle w:val="TableParagraph"/>
              <w:spacing w:before="17"/>
              <w:ind w:left="37"/>
              <w:rPr>
                <w:sz w:val="18"/>
              </w:rPr>
            </w:pPr>
            <w:r>
              <w:rPr>
                <w:sz w:val="18"/>
              </w:rPr>
              <w:t>28</w:t>
            </w:r>
          </w:p>
        </w:tc>
        <w:tc>
          <w:tcPr>
            <w:tcW w:w="3485" w:type="dxa"/>
          </w:tcPr>
          <w:p>
            <w:pPr>
              <w:pStyle w:val="TableParagraph"/>
              <w:spacing w:before="17"/>
              <w:ind w:left="59"/>
              <w:rPr>
                <w:sz w:val="18"/>
              </w:rPr>
            </w:pPr>
            <w:r>
              <w:rPr>
                <w:sz w:val="18"/>
              </w:rPr>
              <w:t>脊髓灰质炎</w:t>
            </w:r>
          </w:p>
        </w:tc>
      </w:tr>
      <w:tr>
        <w:trPr>
          <w:trHeight w:val="326" w:hRule="atLeast"/>
        </w:trPr>
        <w:tc>
          <w:tcPr>
            <w:tcW w:w="290" w:type="dxa"/>
          </w:tcPr>
          <w:p>
            <w:pPr>
              <w:pStyle w:val="TableParagraph"/>
              <w:spacing w:before="18"/>
              <w:ind w:left="80"/>
              <w:jc w:val="center"/>
              <w:rPr>
                <w:sz w:val="18"/>
              </w:rPr>
            </w:pPr>
            <w:r>
              <w:rPr>
                <w:sz w:val="18"/>
              </w:rPr>
              <w:t>7</w:t>
            </w:r>
          </w:p>
        </w:tc>
        <w:tc>
          <w:tcPr>
            <w:tcW w:w="2978" w:type="dxa"/>
          </w:tcPr>
          <w:p>
            <w:pPr>
              <w:pStyle w:val="TableParagraph"/>
              <w:spacing w:before="18"/>
              <w:ind w:left="60"/>
              <w:rPr>
                <w:sz w:val="18"/>
              </w:rPr>
            </w:pPr>
            <w:r>
              <w:rPr>
                <w:sz w:val="18"/>
              </w:rPr>
              <w:t>多个肢体缺失</w:t>
            </w:r>
          </w:p>
        </w:tc>
        <w:tc>
          <w:tcPr>
            <w:tcW w:w="278" w:type="dxa"/>
          </w:tcPr>
          <w:p>
            <w:pPr>
              <w:pStyle w:val="TableParagraph"/>
              <w:spacing w:before="18"/>
              <w:ind w:left="37"/>
              <w:rPr>
                <w:sz w:val="18"/>
              </w:rPr>
            </w:pPr>
            <w:r>
              <w:rPr>
                <w:sz w:val="18"/>
              </w:rPr>
              <w:t>29</w:t>
            </w:r>
          </w:p>
        </w:tc>
        <w:tc>
          <w:tcPr>
            <w:tcW w:w="3485" w:type="dxa"/>
          </w:tcPr>
          <w:p>
            <w:pPr>
              <w:pStyle w:val="TableParagraph"/>
              <w:spacing w:before="18"/>
              <w:ind w:left="59"/>
              <w:rPr>
                <w:sz w:val="18"/>
              </w:rPr>
            </w:pPr>
            <w:r>
              <w:rPr>
                <w:sz w:val="18"/>
              </w:rPr>
              <w:t>全身性重症肌无力</w:t>
            </w:r>
          </w:p>
        </w:tc>
      </w:tr>
      <w:tr>
        <w:trPr>
          <w:trHeight w:val="326" w:hRule="atLeast"/>
        </w:trPr>
        <w:tc>
          <w:tcPr>
            <w:tcW w:w="290" w:type="dxa"/>
          </w:tcPr>
          <w:p>
            <w:pPr>
              <w:pStyle w:val="TableParagraph"/>
              <w:spacing w:before="17"/>
              <w:ind w:left="80"/>
              <w:jc w:val="center"/>
              <w:rPr>
                <w:sz w:val="18"/>
              </w:rPr>
            </w:pPr>
            <w:r>
              <w:rPr>
                <w:sz w:val="18"/>
              </w:rPr>
              <w:t>8</w:t>
            </w:r>
          </w:p>
        </w:tc>
        <w:tc>
          <w:tcPr>
            <w:tcW w:w="2978" w:type="dxa"/>
          </w:tcPr>
          <w:p>
            <w:pPr>
              <w:pStyle w:val="TableParagraph"/>
              <w:spacing w:before="17"/>
              <w:ind w:left="60"/>
              <w:rPr>
                <w:sz w:val="18"/>
              </w:rPr>
            </w:pPr>
            <w:r>
              <w:rPr>
                <w:sz w:val="18"/>
              </w:rPr>
              <w:t>急性或亚急性重症肝炎</w:t>
            </w:r>
          </w:p>
        </w:tc>
        <w:tc>
          <w:tcPr>
            <w:tcW w:w="278" w:type="dxa"/>
          </w:tcPr>
          <w:p>
            <w:pPr>
              <w:pStyle w:val="TableParagraph"/>
              <w:spacing w:before="17"/>
              <w:ind w:left="37"/>
              <w:rPr>
                <w:sz w:val="18"/>
              </w:rPr>
            </w:pPr>
            <w:r>
              <w:rPr>
                <w:sz w:val="18"/>
              </w:rPr>
              <w:t>30</w:t>
            </w:r>
          </w:p>
        </w:tc>
        <w:tc>
          <w:tcPr>
            <w:tcW w:w="3485" w:type="dxa"/>
          </w:tcPr>
          <w:p>
            <w:pPr>
              <w:pStyle w:val="TableParagraph"/>
              <w:spacing w:before="17"/>
              <w:ind w:left="59"/>
              <w:rPr>
                <w:sz w:val="18"/>
              </w:rPr>
            </w:pPr>
            <w:r>
              <w:rPr>
                <w:sz w:val="18"/>
              </w:rPr>
              <w:t>严重冠心病</w:t>
            </w:r>
          </w:p>
        </w:tc>
      </w:tr>
      <w:tr>
        <w:trPr>
          <w:trHeight w:val="326" w:hRule="atLeast"/>
        </w:trPr>
        <w:tc>
          <w:tcPr>
            <w:tcW w:w="290" w:type="dxa"/>
          </w:tcPr>
          <w:p>
            <w:pPr>
              <w:pStyle w:val="TableParagraph"/>
              <w:spacing w:before="18"/>
              <w:ind w:left="80"/>
              <w:jc w:val="center"/>
              <w:rPr>
                <w:sz w:val="18"/>
              </w:rPr>
            </w:pPr>
            <w:r>
              <w:rPr>
                <w:sz w:val="18"/>
              </w:rPr>
              <w:t>9</w:t>
            </w:r>
          </w:p>
        </w:tc>
        <w:tc>
          <w:tcPr>
            <w:tcW w:w="2978" w:type="dxa"/>
          </w:tcPr>
          <w:p>
            <w:pPr>
              <w:pStyle w:val="TableParagraph"/>
              <w:spacing w:before="18"/>
              <w:ind w:left="60"/>
              <w:rPr>
                <w:sz w:val="18"/>
              </w:rPr>
            </w:pPr>
            <w:r>
              <w:rPr>
                <w:sz w:val="18"/>
              </w:rPr>
              <w:t>良性脑肿瘤</w:t>
            </w:r>
          </w:p>
        </w:tc>
        <w:tc>
          <w:tcPr>
            <w:tcW w:w="278" w:type="dxa"/>
          </w:tcPr>
          <w:p>
            <w:pPr>
              <w:pStyle w:val="TableParagraph"/>
              <w:spacing w:before="18"/>
              <w:ind w:left="37"/>
              <w:rPr>
                <w:sz w:val="18"/>
              </w:rPr>
            </w:pPr>
            <w:r>
              <w:rPr>
                <w:sz w:val="18"/>
              </w:rPr>
              <w:t>31</w:t>
            </w:r>
          </w:p>
        </w:tc>
        <w:tc>
          <w:tcPr>
            <w:tcW w:w="3485" w:type="dxa"/>
          </w:tcPr>
          <w:p>
            <w:pPr>
              <w:pStyle w:val="TableParagraph"/>
              <w:spacing w:before="18"/>
              <w:ind w:left="59"/>
              <w:rPr>
                <w:sz w:val="18"/>
              </w:rPr>
            </w:pPr>
            <w:r>
              <w:rPr>
                <w:sz w:val="18"/>
              </w:rPr>
              <w:t>严重心肌病</w:t>
            </w:r>
          </w:p>
        </w:tc>
      </w:tr>
      <w:tr>
        <w:trPr>
          <w:trHeight w:val="327" w:hRule="atLeast"/>
        </w:trPr>
        <w:tc>
          <w:tcPr>
            <w:tcW w:w="290" w:type="dxa"/>
          </w:tcPr>
          <w:p>
            <w:pPr>
              <w:pStyle w:val="TableParagraph"/>
              <w:spacing w:before="17"/>
              <w:ind w:left="30" w:right="39"/>
              <w:jc w:val="center"/>
              <w:rPr>
                <w:sz w:val="18"/>
              </w:rPr>
            </w:pPr>
            <w:r>
              <w:rPr>
                <w:sz w:val="18"/>
              </w:rPr>
              <w:t>10</w:t>
            </w:r>
          </w:p>
        </w:tc>
        <w:tc>
          <w:tcPr>
            <w:tcW w:w="2978" w:type="dxa"/>
          </w:tcPr>
          <w:p>
            <w:pPr>
              <w:pStyle w:val="TableParagraph"/>
              <w:spacing w:before="17"/>
              <w:ind w:left="60"/>
              <w:rPr>
                <w:sz w:val="18"/>
              </w:rPr>
            </w:pPr>
            <w:r>
              <w:rPr>
                <w:sz w:val="18"/>
              </w:rPr>
              <w:t>慢性肝功能衰竭失代偿期</w:t>
            </w:r>
          </w:p>
        </w:tc>
        <w:tc>
          <w:tcPr>
            <w:tcW w:w="278" w:type="dxa"/>
          </w:tcPr>
          <w:p>
            <w:pPr>
              <w:pStyle w:val="TableParagraph"/>
              <w:spacing w:before="17"/>
              <w:ind w:left="37"/>
              <w:rPr>
                <w:sz w:val="18"/>
              </w:rPr>
            </w:pPr>
            <w:r>
              <w:rPr>
                <w:sz w:val="18"/>
              </w:rPr>
              <w:t>32</w:t>
            </w:r>
          </w:p>
        </w:tc>
        <w:tc>
          <w:tcPr>
            <w:tcW w:w="3485" w:type="dxa"/>
          </w:tcPr>
          <w:p>
            <w:pPr>
              <w:pStyle w:val="TableParagraph"/>
              <w:spacing w:before="17"/>
              <w:ind w:left="59"/>
              <w:rPr>
                <w:sz w:val="18"/>
              </w:rPr>
            </w:pPr>
            <w:r>
              <w:rPr>
                <w:sz w:val="18"/>
              </w:rPr>
              <w:t>系统性红斑狼疮－III 型或以上狼疮性肾炎</w:t>
            </w:r>
          </w:p>
        </w:tc>
      </w:tr>
      <w:tr>
        <w:trPr>
          <w:trHeight w:val="326" w:hRule="atLeast"/>
        </w:trPr>
        <w:tc>
          <w:tcPr>
            <w:tcW w:w="290" w:type="dxa"/>
          </w:tcPr>
          <w:p>
            <w:pPr>
              <w:pStyle w:val="TableParagraph"/>
              <w:spacing w:before="18"/>
              <w:ind w:left="30" w:right="39"/>
              <w:jc w:val="center"/>
              <w:rPr>
                <w:sz w:val="18"/>
              </w:rPr>
            </w:pPr>
            <w:r>
              <w:rPr>
                <w:sz w:val="18"/>
              </w:rPr>
              <w:t>11</w:t>
            </w:r>
          </w:p>
        </w:tc>
        <w:tc>
          <w:tcPr>
            <w:tcW w:w="2978" w:type="dxa"/>
          </w:tcPr>
          <w:p>
            <w:pPr>
              <w:pStyle w:val="TableParagraph"/>
              <w:spacing w:before="18"/>
              <w:ind w:left="60"/>
              <w:rPr>
                <w:sz w:val="18"/>
              </w:rPr>
            </w:pPr>
            <w:r>
              <w:rPr>
                <w:sz w:val="18"/>
              </w:rPr>
              <w:t>脑炎后遗症或脑膜炎后遗症</w:t>
            </w:r>
          </w:p>
        </w:tc>
        <w:tc>
          <w:tcPr>
            <w:tcW w:w="278" w:type="dxa"/>
          </w:tcPr>
          <w:p>
            <w:pPr>
              <w:pStyle w:val="TableParagraph"/>
              <w:spacing w:before="18"/>
              <w:ind w:left="37"/>
              <w:rPr>
                <w:sz w:val="18"/>
              </w:rPr>
            </w:pPr>
            <w:r>
              <w:rPr>
                <w:sz w:val="18"/>
              </w:rPr>
              <w:t>33</w:t>
            </w:r>
          </w:p>
        </w:tc>
        <w:tc>
          <w:tcPr>
            <w:tcW w:w="3485" w:type="dxa"/>
          </w:tcPr>
          <w:p>
            <w:pPr>
              <w:pStyle w:val="TableParagraph"/>
              <w:spacing w:before="18"/>
              <w:ind w:left="59"/>
              <w:rPr>
                <w:sz w:val="18"/>
              </w:rPr>
            </w:pPr>
            <w:r>
              <w:rPr>
                <w:sz w:val="18"/>
              </w:rPr>
              <w:t>因职业关系导致的人类免疫缺陷病毒感染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12</w:t>
            </w:r>
          </w:p>
        </w:tc>
        <w:tc>
          <w:tcPr>
            <w:tcW w:w="2978" w:type="dxa"/>
          </w:tcPr>
          <w:p>
            <w:pPr>
              <w:pStyle w:val="TableParagraph"/>
              <w:spacing w:before="17"/>
              <w:ind w:left="60"/>
              <w:rPr>
                <w:sz w:val="18"/>
              </w:rPr>
            </w:pPr>
            <w:r>
              <w:rPr>
                <w:sz w:val="18"/>
              </w:rPr>
              <w:t>深度昏迷</w:t>
            </w:r>
          </w:p>
        </w:tc>
        <w:tc>
          <w:tcPr>
            <w:tcW w:w="278" w:type="dxa"/>
          </w:tcPr>
          <w:p>
            <w:pPr>
              <w:pStyle w:val="TableParagraph"/>
              <w:spacing w:before="17"/>
              <w:ind w:left="37"/>
              <w:rPr>
                <w:sz w:val="18"/>
              </w:rPr>
            </w:pPr>
            <w:r>
              <w:rPr>
                <w:sz w:val="18"/>
              </w:rPr>
              <w:t>34</w:t>
            </w:r>
          </w:p>
        </w:tc>
        <w:tc>
          <w:tcPr>
            <w:tcW w:w="3485" w:type="dxa"/>
          </w:tcPr>
          <w:p>
            <w:pPr>
              <w:pStyle w:val="TableParagraph"/>
              <w:spacing w:before="17"/>
              <w:ind w:left="59"/>
              <w:rPr>
                <w:sz w:val="18"/>
              </w:rPr>
            </w:pPr>
            <w:r>
              <w:rPr>
                <w:sz w:val="18"/>
              </w:rPr>
              <w:t>经输血导致的人类免疫缺陷病毒感染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13</w:t>
            </w:r>
          </w:p>
        </w:tc>
        <w:tc>
          <w:tcPr>
            <w:tcW w:w="2978" w:type="dxa"/>
          </w:tcPr>
          <w:p>
            <w:pPr>
              <w:pStyle w:val="TableParagraph"/>
              <w:spacing w:before="18"/>
              <w:ind w:left="60"/>
              <w:rPr>
                <w:sz w:val="18"/>
              </w:rPr>
            </w:pPr>
            <w:r>
              <w:rPr>
                <w:sz w:val="18"/>
              </w:rPr>
              <w:t>双耳失聪</w:t>
            </w:r>
          </w:p>
        </w:tc>
        <w:tc>
          <w:tcPr>
            <w:tcW w:w="278" w:type="dxa"/>
          </w:tcPr>
          <w:p>
            <w:pPr>
              <w:pStyle w:val="TableParagraph"/>
              <w:spacing w:before="18"/>
              <w:ind w:left="37"/>
              <w:rPr>
                <w:sz w:val="18"/>
              </w:rPr>
            </w:pPr>
            <w:r>
              <w:rPr>
                <w:sz w:val="18"/>
              </w:rPr>
              <w:t>35</w:t>
            </w:r>
          </w:p>
        </w:tc>
        <w:tc>
          <w:tcPr>
            <w:tcW w:w="3485" w:type="dxa"/>
          </w:tcPr>
          <w:p>
            <w:pPr>
              <w:pStyle w:val="TableParagraph"/>
              <w:spacing w:before="18"/>
              <w:ind w:left="59"/>
              <w:rPr>
                <w:sz w:val="18"/>
              </w:rPr>
            </w:pPr>
            <w:r>
              <w:rPr>
                <w:sz w:val="18"/>
              </w:rPr>
              <w:t>严重克隆病</w:t>
            </w:r>
          </w:p>
        </w:tc>
      </w:tr>
      <w:tr>
        <w:trPr>
          <w:trHeight w:val="326" w:hRule="atLeast"/>
        </w:trPr>
        <w:tc>
          <w:tcPr>
            <w:tcW w:w="290" w:type="dxa"/>
          </w:tcPr>
          <w:p>
            <w:pPr>
              <w:pStyle w:val="TableParagraph"/>
              <w:spacing w:before="17"/>
              <w:ind w:left="30" w:right="39"/>
              <w:jc w:val="center"/>
              <w:rPr>
                <w:sz w:val="18"/>
              </w:rPr>
            </w:pPr>
            <w:r>
              <w:rPr>
                <w:sz w:val="18"/>
              </w:rPr>
              <w:t>14</w:t>
            </w:r>
          </w:p>
        </w:tc>
        <w:tc>
          <w:tcPr>
            <w:tcW w:w="2978" w:type="dxa"/>
          </w:tcPr>
          <w:p>
            <w:pPr>
              <w:pStyle w:val="TableParagraph"/>
              <w:spacing w:before="17"/>
              <w:ind w:left="60"/>
              <w:rPr>
                <w:sz w:val="18"/>
              </w:rPr>
            </w:pPr>
            <w:r>
              <w:rPr>
                <w:sz w:val="18"/>
              </w:rPr>
              <w:t>双目失明</w:t>
            </w:r>
          </w:p>
        </w:tc>
        <w:tc>
          <w:tcPr>
            <w:tcW w:w="278" w:type="dxa"/>
          </w:tcPr>
          <w:p>
            <w:pPr>
              <w:pStyle w:val="TableParagraph"/>
              <w:spacing w:before="17"/>
              <w:ind w:left="37"/>
              <w:rPr>
                <w:sz w:val="18"/>
              </w:rPr>
            </w:pPr>
            <w:r>
              <w:rPr>
                <w:sz w:val="18"/>
              </w:rPr>
              <w:t>36</w:t>
            </w:r>
          </w:p>
        </w:tc>
        <w:tc>
          <w:tcPr>
            <w:tcW w:w="3485" w:type="dxa"/>
          </w:tcPr>
          <w:p>
            <w:pPr>
              <w:pStyle w:val="TableParagraph"/>
              <w:spacing w:before="17"/>
              <w:ind w:left="59"/>
              <w:rPr>
                <w:sz w:val="18"/>
              </w:rPr>
            </w:pPr>
            <w:r>
              <w:rPr>
                <w:sz w:val="18"/>
              </w:rPr>
              <w:t>严重溃疡性结肠炎</w:t>
            </w:r>
          </w:p>
        </w:tc>
      </w:tr>
      <w:tr>
        <w:trPr>
          <w:trHeight w:val="326" w:hRule="atLeast"/>
        </w:trPr>
        <w:tc>
          <w:tcPr>
            <w:tcW w:w="290" w:type="dxa"/>
          </w:tcPr>
          <w:p>
            <w:pPr>
              <w:pStyle w:val="TableParagraph"/>
              <w:spacing w:before="18"/>
              <w:ind w:left="30" w:right="39"/>
              <w:jc w:val="center"/>
              <w:rPr>
                <w:sz w:val="18"/>
              </w:rPr>
            </w:pPr>
            <w:r>
              <w:rPr>
                <w:sz w:val="18"/>
              </w:rPr>
              <w:t>15</w:t>
            </w:r>
          </w:p>
        </w:tc>
        <w:tc>
          <w:tcPr>
            <w:tcW w:w="2978" w:type="dxa"/>
          </w:tcPr>
          <w:p>
            <w:pPr>
              <w:pStyle w:val="TableParagraph"/>
              <w:spacing w:before="18"/>
              <w:ind w:left="60"/>
              <w:rPr>
                <w:sz w:val="18"/>
              </w:rPr>
            </w:pPr>
            <w:r>
              <w:rPr>
                <w:sz w:val="18"/>
              </w:rPr>
              <w:t>瘫痪</w:t>
            </w:r>
          </w:p>
        </w:tc>
        <w:tc>
          <w:tcPr>
            <w:tcW w:w="278" w:type="dxa"/>
          </w:tcPr>
          <w:p>
            <w:pPr>
              <w:pStyle w:val="TableParagraph"/>
              <w:spacing w:before="18"/>
              <w:ind w:left="37"/>
              <w:rPr>
                <w:sz w:val="18"/>
              </w:rPr>
            </w:pPr>
            <w:r>
              <w:rPr>
                <w:sz w:val="18"/>
              </w:rPr>
              <w:t>37</w:t>
            </w:r>
          </w:p>
        </w:tc>
        <w:tc>
          <w:tcPr>
            <w:tcW w:w="3485" w:type="dxa"/>
          </w:tcPr>
          <w:p>
            <w:pPr>
              <w:pStyle w:val="TableParagraph"/>
              <w:spacing w:before="18"/>
              <w:ind w:left="59"/>
              <w:rPr>
                <w:sz w:val="18"/>
              </w:rPr>
            </w:pPr>
            <w:r>
              <w:rPr>
                <w:sz w:val="18"/>
              </w:rPr>
              <w:t>1 型糖尿病</w:t>
            </w:r>
          </w:p>
        </w:tc>
      </w:tr>
      <w:tr>
        <w:trPr>
          <w:trHeight w:val="326" w:hRule="atLeast"/>
        </w:trPr>
        <w:tc>
          <w:tcPr>
            <w:tcW w:w="290" w:type="dxa"/>
          </w:tcPr>
          <w:p>
            <w:pPr>
              <w:pStyle w:val="TableParagraph"/>
              <w:spacing w:before="17"/>
              <w:ind w:left="30" w:right="39"/>
              <w:jc w:val="center"/>
              <w:rPr>
                <w:sz w:val="18"/>
              </w:rPr>
            </w:pPr>
            <w:r>
              <w:rPr>
                <w:sz w:val="18"/>
              </w:rPr>
              <w:t>16</w:t>
            </w:r>
          </w:p>
        </w:tc>
        <w:tc>
          <w:tcPr>
            <w:tcW w:w="2978" w:type="dxa"/>
          </w:tcPr>
          <w:p>
            <w:pPr>
              <w:pStyle w:val="TableParagraph"/>
              <w:spacing w:before="17"/>
              <w:ind w:left="60"/>
              <w:rPr>
                <w:sz w:val="18"/>
              </w:rPr>
            </w:pPr>
            <w:r>
              <w:rPr>
                <w:sz w:val="18"/>
              </w:rPr>
              <w:t>心脏瓣膜手术</w:t>
            </w:r>
          </w:p>
        </w:tc>
        <w:tc>
          <w:tcPr>
            <w:tcW w:w="278" w:type="dxa"/>
          </w:tcPr>
          <w:p>
            <w:pPr>
              <w:pStyle w:val="TableParagraph"/>
              <w:spacing w:before="17"/>
              <w:ind w:left="37"/>
              <w:rPr>
                <w:sz w:val="18"/>
              </w:rPr>
            </w:pPr>
            <w:r>
              <w:rPr>
                <w:sz w:val="18"/>
              </w:rPr>
              <w:t>38</w:t>
            </w:r>
          </w:p>
        </w:tc>
        <w:tc>
          <w:tcPr>
            <w:tcW w:w="3485" w:type="dxa"/>
          </w:tcPr>
          <w:p>
            <w:pPr>
              <w:pStyle w:val="TableParagraph"/>
              <w:spacing w:before="17"/>
              <w:ind w:left="59"/>
              <w:rPr>
                <w:sz w:val="18"/>
              </w:rPr>
            </w:pPr>
            <w:r>
              <w:rPr>
                <w:sz w:val="18"/>
              </w:rPr>
              <w:t>肺源性心脏病</w:t>
            </w:r>
          </w:p>
        </w:tc>
      </w:tr>
      <w:tr>
        <w:trPr>
          <w:trHeight w:val="326" w:hRule="atLeast"/>
        </w:trPr>
        <w:tc>
          <w:tcPr>
            <w:tcW w:w="290" w:type="dxa"/>
          </w:tcPr>
          <w:p>
            <w:pPr>
              <w:pStyle w:val="TableParagraph"/>
              <w:spacing w:before="18"/>
              <w:ind w:left="30" w:right="39"/>
              <w:jc w:val="center"/>
              <w:rPr>
                <w:sz w:val="18"/>
              </w:rPr>
            </w:pPr>
            <w:r>
              <w:rPr>
                <w:sz w:val="18"/>
              </w:rPr>
              <w:t>17</w:t>
            </w:r>
          </w:p>
        </w:tc>
        <w:tc>
          <w:tcPr>
            <w:tcW w:w="2978" w:type="dxa"/>
          </w:tcPr>
          <w:p>
            <w:pPr>
              <w:pStyle w:val="TableParagraph"/>
              <w:spacing w:before="18"/>
              <w:ind w:left="60"/>
              <w:rPr>
                <w:sz w:val="18"/>
              </w:rPr>
            </w:pPr>
            <w:r>
              <w:rPr>
                <w:sz w:val="18"/>
              </w:rPr>
              <w:t>严重阿尔茨海默病</w:t>
            </w:r>
          </w:p>
        </w:tc>
        <w:tc>
          <w:tcPr>
            <w:tcW w:w="278" w:type="dxa"/>
          </w:tcPr>
          <w:p>
            <w:pPr>
              <w:pStyle w:val="TableParagraph"/>
              <w:spacing w:before="18"/>
              <w:ind w:left="37"/>
              <w:rPr>
                <w:sz w:val="18"/>
              </w:rPr>
            </w:pPr>
            <w:r>
              <w:rPr>
                <w:sz w:val="18"/>
              </w:rPr>
              <w:t>39</w:t>
            </w:r>
          </w:p>
        </w:tc>
        <w:tc>
          <w:tcPr>
            <w:tcW w:w="3485" w:type="dxa"/>
          </w:tcPr>
          <w:p>
            <w:pPr>
              <w:pStyle w:val="TableParagraph"/>
              <w:spacing w:before="18"/>
              <w:ind w:left="59"/>
              <w:rPr>
                <w:sz w:val="18"/>
              </w:rPr>
            </w:pPr>
            <w:r>
              <w:rPr>
                <w:sz w:val="18"/>
              </w:rPr>
              <w:t>植物人状态</w:t>
            </w:r>
          </w:p>
        </w:tc>
      </w:tr>
      <w:tr>
        <w:trPr>
          <w:trHeight w:val="326" w:hRule="atLeast"/>
        </w:trPr>
        <w:tc>
          <w:tcPr>
            <w:tcW w:w="290" w:type="dxa"/>
          </w:tcPr>
          <w:p>
            <w:pPr>
              <w:pStyle w:val="TableParagraph"/>
              <w:spacing w:before="17"/>
              <w:ind w:left="30" w:right="39"/>
              <w:jc w:val="center"/>
              <w:rPr>
                <w:sz w:val="18"/>
              </w:rPr>
            </w:pPr>
            <w:r>
              <w:rPr>
                <w:sz w:val="18"/>
              </w:rPr>
              <w:t>18</w:t>
            </w:r>
          </w:p>
        </w:tc>
        <w:tc>
          <w:tcPr>
            <w:tcW w:w="2978" w:type="dxa"/>
          </w:tcPr>
          <w:p>
            <w:pPr>
              <w:pStyle w:val="TableParagraph"/>
              <w:spacing w:before="17"/>
              <w:ind w:left="60"/>
              <w:rPr>
                <w:sz w:val="18"/>
              </w:rPr>
            </w:pPr>
            <w:r>
              <w:rPr>
                <w:sz w:val="18"/>
              </w:rPr>
              <w:t>严重脑损伤</w:t>
            </w:r>
          </w:p>
        </w:tc>
        <w:tc>
          <w:tcPr>
            <w:tcW w:w="278" w:type="dxa"/>
          </w:tcPr>
          <w:p>
            <w:pPr>
              <w:pStyle w:val="TableParagraph"/>
              <w:spacing w:before="17"/>
              <w:ind w:left="37"/>
              <w:rPr>
                <w:sz w:val="18"/>
              </w:rPr>
            </w:pPr>
            <w:r>
              <w:rPr>
                <w:sz w:val="18"/>
              </w:rPr>
              <w:t>40</w:t>
            </w:r>
          </w:p>
        </w:tc>
        <w:tc>
          <w:tcPr>
            <w:tcW w:w="3485" w:type="dxa"/>
          </w:tcPr>
          <w:p>
            <w:pPr>
              <w:pStyle w:val="TableParagraph"/>
              <w:spacing w:before="17"/>
              <w:ind w:left="59"/>
              <w:rPr>
                <w:sz w:val="18"/>
              </w:rPr>
            </w:pPr>
            <w:r>
              <w:rPr>
                <w:sz w:val="18"/>
              </w:rPr>
              <w:t>严重类风湿性关节炎</w:t>
            </w:r>
          </w:p>
        </w:tc>
      </w:tr>
      <w:tr>
        <w:trPr>
          <w:trHeight w:val="326" w:hRule="atLeast"/>
        </w:trPr>
        <w:tc>
          <w:tcPr>
            <w:tcW w:w="290" w:type="dxa"/>
          </w:tcPr>
          <w:p>
            <w:pPr>
              <w:pStyle w:val="TableParagraph"/>
              <w:spacing w:before="18"/>
              <w:ind w:left="30" w:right="39"/>
              <w:jc w:val="center"/>
              <w:rPr>
                <w:sz w:val="18"/>
              </w:rPr>
            </w:pPr>
            <w:r>
              <w:rPr>
                <w:sz w:val="18"/>
              </w:rPr>
              <w:t>19</w:t>
            </w:r>
          </w:p>
        </w:tc>
        <w:tc>
          <w:tcPr>
            <w:tcW w:w="2978" w:type="dxa"/>
          </w:tcPr>
          <w:p>
            <w:pPr>
              <w:pStyle w:val="TableParagraph"/>
              <w:spacing w:before="18"/>
              <w:ind w:left="60"/>
              <w:rPr>
                <w:sz w:val="18"/>
              </w:rPr>
            </w:pPr>
            <w:r>
              <w:rPr>
                <w:sz w:val="18"/>
              </w:rPr>
              <w:t>严重帕金森病</w:t>
            </w:r>
          </w:p>
        </w:tc>
        <w:tc>
          <w:tcPr>
            <w:tcW w:w="278" w:type="dxa"/>
          </w:tcPr>
          <w:p>
            <w:pPr>
              <w:pStyle w:val="TableParagraph"/>
              <w:spacing w:before="18"/>
              <w:ind w:left="37"/>
              <w:rPr>
                <w:sz w:val="18"/>
              </w:rPr>
            </w:pPr>
            <w:r>
              <w:rPr>
                <w:sz w:val="18"/>
              </w:rPr>
              <w:t>41</w:t>
            </w:r>
          </w:p>
        </w:tc>
        <w:tc>
          <w:tcPr>
            <w:tcW w:w="3485" w:type="dxa"/>
          </w:tcPr>
          <w:p>
            <w:pPr>
              <w:pStyle w:val="TableParagraph"/>
              <w:spacing w:before="18"/>
              <w:ind w:left="59"/>
              <w:rPr>
                <w:sz w:val="18"/>
              </w:rPr>
            </w:pPr>
            <w:r>
              <w:rPr>
                <w:sz w:val="18"/>
              </w:rPr>
              <w:t>非阿尔茨海默病所致严重痴呆</w:t>
            </w:r>
          </w:p>
        </w:tc>
      </w:tr>
      <w:tr>
        <w:trPr>
          <w:trHeight w:val="253" w:hRule="atLeast"/>
        </w:trPr>
        <w:tc>
          <w:tcPr>
            <w:tcW w:w="290" w:type="dxa"/>
          </w:tcPr>
          <w:p>
            <w:pPr>
              <w:pStyle w:val="TableParagraph"/>
              <w:spacing w:line="216" w:lineRule="exact" w:before="17"/>
              <w:ind w:left="30" w:right="39"/>
              <w:jc w:val="center"/>
              <w:rPr>
                <w:sz w:val="18"/>
              </w:rPr>
            </w:pPr>
            <w:r>
              <w:rPr>
                <w:sz w:val="18"/>
              </w:rPr>
              <w:t>20</w:t>
            </w:r>
          </w:p>
        </w:tc>
        <w:tc>
          <w:tcPr>
            <w:tcW w:w="2978" w:type="dxa"/>
          </w:tcPr>
          <w:p>
            <w:pPr>
              <w:pStyle w:val="TableParagraph"/>
              <w:spacing w:line="216" w:lineRule="exact" w:before="17"/>
              <w:ind w:left="60"/>
              <w:rPr>
                <w:sz w:val="18"/>
              </w:rPr>
            </w:pPr>
            <w:r>
              <w:rPr>
                <w:sz w:val="18"/>
              </w:rPr>
              <w:t>严重Ⅲ度烧伤</w:t>
            </w:r>
          </w:p>
        </w:tc>
        <w:tc>
          <w:tcPr>
            <w:tcW w:w="278" w:type="dxa"/>
          </w:tcPr>
          <w:p>
            <w:pPr>
              <w:pStyle w:val="TableParagraph"/>
              <w:spacing w:line="216" w:lineRule="exact" w:before="17"/>
              <w:ind w:left="37"/>
              <w:rPr>
                <w:sz w:val="18"/>
              </w:rPr>
            </w:pPr>
            <w:r>
              <w:rPr>
                <w:sz w:val="18"/>
              </w:rPr>
              <w:t>42</w:t>
            </w:r>
          </w:p>
        </w:tc>
        <w:tc>
          <w:tcPr>
            <w:tcW w:w="3485" w:type="dxa"/>
          </w:tcPr>
          <w:p>
            <w:pPr>
              <w:pStyle w:val="TableParagraph"/>
              <w:spacing w:line="216" w:lineRule="exact" w:before="17"/>
              <w:ind w:left="59"/>
              <w:rPr>
                <w:sz w:val="18"/>
              </w:rPr>
            </w:pPr>
            <w:r>
              <w:rPr>
                <w:sz w:val="18"/>
              </w:rPr>
              <w:t>终末期疾病</w:t>
            </w:r>
          </w:p>
        </w:tc>
      </w:tr>
    </w:tbl>
    <w:p>
      <w:pPr>
        <w:pStyle w:val="BodyText"/>
        <w:spacing w:before="7"/>
        <w:rPr>
          <w:sz w:val="18"/>
        </w:rPr>
      </w:pPr>
    </w:p>
    <w:p>
      <w:pPr>
        <w:pStyle w:val="ListParagraph"/>
        <w:numPr>
          <w:ilvl w:val="1"/>
          <w:numId w:val="3"/>
        </w:numPr>
        <w:tabs>
          <w:tab w:pos="1076" w:val="left" w:leader="none"/>
        </w:tabs>
        <w:spacing w:line="280" w:lineRule="auto" w:before="30" w:after="0"/>
        <w:ind w:left="2775" w:right="291" w:hanging="2549"/>
        <w:jc w:val="both"/>
        <w:rPr>
          <w:sz w:val="21"/>
        </w:rPr>
      </w:pPr>
      <w:r>
        <w:rPr>
          <w:b/>
          <w:spacing w:val="0"/>
          <w:position w:val="3"/>
          <w:sz w:val="21"/>
        </w:rPr>
        <w:t>重大疾病的定义 </w:t>
      </w:r>
      <w:r>
        <w:rPr>
          <w:sz w:val="21"/>
        </w:rPr>
        <w:t>以上各种重大疾病须经我们指定或认可的</w:t>
      </w:r>
      <w:r>
        <w:rPr>
          <w:b/>
          <w:sz w:val="21"/>
        </w:rPr>
        <w:t>医院专科医生</w:t>
      </w:r>
      <w:r>
        <w:rPr>
          <w:spacing w:val="-6"/>
          <w:sz w:val="21"/>
        </w:rPr>
        <w:t>明确诊断，符合以下</w:t>
      </w:r>
      <w:r>
        <w:rPr>
          <w:spacing w:val="-27"/>
          <w:sz w:val="21"/>
        </w:rPr>
        <w:t>定义</w:t>
      </w:r>
      <w:r>
        <w:rPr>
          <w:sz w:val="21"/>
        </w:rPr>
        <w:t>（</w:t>
      </w:r>
      <w:r>
        <w:rPr>
          <w:spacing w:val="-21"/>
          <w:sz w:val="21"/>
        </w:rPr>
        <w:t>其中，前 </w:t>
      </w:r>
      <w:r>
        <w:rPr>
          <w:sz w:val="21"/>
        </w:rPr>
        <w:t>25</w:t>
      </w:r>
      <w:r>
        <w:rPr>
          <w:spacing w:val="-10"/>
          <w:sz w:val="21"/>
        </w:rPr>
        <w:t> 种重大疾病定义完全采用了中国保险行业协会发布的《重大疾病保险的疾病定义使用规范》中的疾病定义</w:t>
      </w:r>
      <w:r>
        <w:rPr>
          <w:spacing w:val="-105"/>
          <w:sz w:val="21"/>
        </w:rPr>
        <w:t>）</w:t>
      </w:r>
      <w:r>
        <w:rPr>
          <w:sz w:val="21"/>
        </w:rPr>
        <w:t>：</w:t>
      </w:r>
    </w:p>
    <w:p>
      <w:pPr>
        <w:pStyle w:val="BodyText"/>
        <w:spacing w:before="8"/>
      </w:pPr>
    </w:p>
    <w:p>
      <w:pPr>
        <w:pStyle w:val="ListParagraph"/>
        <w:numPr>
          <w:ilvl w:val="2"/>
          <w:numId w:val="3"/>
        </w:numPr>
        <w:tabs>
          <w:tab w:pos="1075" w:val="left" w:leader="none"/>
          <w:tab w:pos="1076" w:val="left" w:leader="none"/>
          <w:tab w:pos="2775" w:val="left" w:leader="none"/>
        </w:tabs>
        <w:spacing w:line="271" w:lineRule="auto" w:before="0" w:after="0"/>
        <w:ind w:left="2775" w:right="292" w:hanging="2549"/>
        <w:jc w:val="left"/>
        <w:rPr>
          <w:sz w:val="21"/>
        </w:rPr>
      </w:pPr>
      <w:r>
        <w:rPr>
          <w:i/>
          <w:sz w:val="22"/>
        </w:rPr>
        <w:t>恶性肿瘤</w:t>
        <w:tab/>
      </w:r>
      <w:r>
        <w:rPr>
          <w:sz w:val="21"/>
        </w:rPr>
        <w:t>指恶性细胞不受控制的进行性增长和扩散</w:t>
      </w:r>
      <w:r>
        <w:rPr>
          <w:spacing w:val="-18"/>
          <w:sz w:val="21"/>
        </w:rPr>
        <w:t>，</w:t>
      </w:r>
      <w:r>
        <w:rPr>
          <w:sz w:val="21"/>
        </w:rPr>
        <w:t>浸润和破坏周围正常组织</w:t>
      </w:r>
      <w:r>
        <w:rPr>
          <w:spacing w:val="-18"/>
          <w:sz w:val="21"/>
        </w:rPr>
        <w:t>，</w:t>
      </w:r>
      <w:r>
        <w:rPr>
          <w:sz w:val="21"/>
        </w:rPr>
        <w:t>可以经血管</w:t>
      </w:r>
      <w:r>
        <w:rPr>
          <w:spacing w:val="-18"/>
          <w:sz w:val="21"/>
        </w:rPr>
        <w:t>、</w:t>
      </w:r>
      <w:r>
        <w:rPr>
          <w:sz w:val="21"/>
        </w:rPr>
        <w:t>淋巴管和体腔扩散转移到身体其它部位的疾病</w:t>
      </w:r>
      <w:r>
        <w:rPr>
          <w:spacing w:val="-18"/>
          <w:sz w:val="21"/>
        </w:rPr>
        <w:t>。</w:t>
      </w:r>
      <w:r>
        <w:rPr>
          <w:sz w:val="21"/>
        </w:rPr>
        <w:t>经病理学检查结果明确诊断，临床诊断属于世界卫生组织《</w:t>
      </w:r>
      <w:r>
        <w:rPr>
          <w:spacing w:val="-2"/>
          <w:sz w:val="21"/>
        </w:rPr>
        <w:t> </w:t>
      </w:r>
      <w:r>
        <w:rPr>
          <w:sz w:val="21"/>
        </w:rPr>
        <w:t>疾病和有关健康问题的国际统计</w:t>
      </w:r>
      <w:r>
        <w:rPr>
          <w:spacing w:val="-1"/>
          <w:sz w:val="21"/>
        </w:rPr>
        <w:t>分类</w:t>
      </w:r>
      <w:r>
        <w:rPr>
          <w:spacing w:val="-105"/>
          <w:sz w:val="21"/>
        </w:rPr>
        <w:t>》</w:t>
      </w:r>
      <w:r>
        <w:rPr>
          <w:sz w:val="21"/>
        </w:rPr>
        <w:t>（ICD-10）的恶性肿瘤范畴。</w:t>
      </w:r>
    </w:p>
    <w:p>
      <w:pPr>
        <w:pStyle w:val="BodyText"/>
        <w:spacing w:before="9"/>
        <w:ind w:left="2775"/>
      </w:pPr>
      <w:r>
        <w:rPr/>
        <w:t>下列疾病不在保障范围内：</w:t>
      </w:r>
    </w:p>
    <w:p>
      <w:pPr>
        <w:spacing w:after="0"/>
        <w:sectPr>
          <w:pgSz w:w="11910" w:h="16840"/>
          <w:pgMar w:header="0" w:footer="998" w:top="1600" w:bottom="1180" w:left="1080" w:right="860"/>
        </w:sectPr>
      </w:pPr>
    </w:p>
    <w:p>
      <w:pPr>
        <w:pStyle w:val="BodyText"/>
        <w:spacing w:before="22"/>
        <w:ind w:left="2655"/>
      </w:pPr>
      <w:r>
        <w:rPr/>
        <w:t>（1）原位癌；</w:t>
      </w:r>
    </w:p>
    <w:p>
      <w:pPr>
        <w:pStyle w:val="BodyText"/>
        <w:spacing w:before="35"/>
        <w:ind w:left="2655"/>
      </w:pPr>
      <w:r>
        <w:rPr/>
        <w:t>（2）相当于Binet 分期方案 A 期程度的慢性淋巴细胞白血病；</w:t>
      </w:r>
    </w:p>
    <w:p>
      <w:pPr>
        <w:pStyle w:val="BodyText"/>
        <w:spacing w:before="37"/>
        <w:ind w:left="2655"/>
      </w:pPr>
      <w:r>
        <w:rPr/>
        <w:t>（3）相当于Ann Arbor 分期方案 I 期程度的何杰金氏病；</w:t>
      </w:r>
    </w:p>
    <w:p>
      <w:pPr>
        <w:pStyle w:val="BodyText"/>
        <w:spacing w:before="37"/>
        <w:ind w:left="2655"/>
      </w:pPr>
      <w:r>
        <w:rPr/>
        <w:t>（4）</w:t>
      </w:r>
      <w:r>
        <w:rPr>
          <w:spacing w:val="-1"/>
        </w:rPr>
        <w:t>皮肤癌</w:t>
      </w:r>
      <w:r>
        <w:rPr/>
        <w:t>（不包括恶性黑色素瘤及已发生转移的皮肤癌</w:t>
      </w:r>
      <w:r>
        <w:rPr>
          <w:spacing w:val="-106"/>
        </w:rPr>
        <w:t>）</w:t>
      </w:r>
      <w:r>
        <w:rPr/>
        <w:t>；</w:t>
      </w:r>
    </w:p>
    <w:p>
      <w:pPr>
        <w:pStyle w:val="BodyText"/>
        <w:spacing w:before="36"/>
        <w:ind w:left="2655"/>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655"/>
      </w:pPr>
      <w:r>
        <w:rPr/>
        <w:t>（6）感染艾滋病病毒或患艾滋病期间所患恶性肿瘤。</w:t>
      </w:r>
    </w:p>
    <w:p>
      <w:pPr>
        <w:pStyle w:val="BodyText"/>
        <w:spacing w:before="4"/>
        <w:rPr>
          <w:sz w:val="19"/>
        </w:rPr>
      </w:pPr>
    </w:p>
    <w:p>
      <w:pPr>
        <w:pStyle w:val="ListParagraph"/>
        <w:numPr>
          <w:ilvl w:val="2"/>
          <w:numId w:val="3"/>
        </w:numPr>
        <w:tabs>
          <w:tab w:pos="956" w:val="left" w:leader="none"/>
        </w:tabs>
        <w:spacing w:line="268" w:lineRule="auto" w:before="1" w:after="0"/>
        <w:ind w:left="2655" w:right="211" w:hanging="2549"/>
        <w:jc w:val="both"/>
        <w:rPr>
          <w:sz w:val="21"/>
        </w:rPr>
      </w:pPr>
      <w:r>
        <w:rPr>
          <w:i/>
          <w:spacing w:val="5"/>
          <w:sz w:val="22"/>
        </w:rPr>
        <w:t>急性心肌梗塞  </w:t>
      </w:r>
      <w:r>
        <w:rPr>
          <w:spacing w:val="-2"/>
          <w:sz w:val="21"/>
        </w:rPr>
        <w:t>指因冠状动脉阻塞导致的相应区域供血不足造成部分心肌坏死。须满足下列至少三项条件：</w:t>
      </w:r>
    </w:p>
    <w:p>
      <w:pPr>
        <w:pStyle w:val="BodyText"/>
        <w:spacing w:before="12"/>
        <w:ind w:left="2655"/>
      </w:pPr>
      <w:r>
        <w:rPr/>
        <w:t>（1）典型临床表现，例如急性胸痛等；</w:t>
      </w:r>
    </w:p>
    <w:p>
      <w:pPr>
        <w:pStyle w:val="BodyText"/>
        <w:spacing w:before="37"/>
        <w:ind w:left="2655"/>
      </w:pPr>
      <w:r>
        <w:rPr/>
        <w:t>（2）新近的心电图改变提示急性心肌梗塞；</w:t>
      </w:r>
    </w:p>
    <w:p>
      <w:pPr>
        <w:pStyle w:val="BodyText"/>
        <w:spacing w:line="273" w:lineRule="auto" w:before="37"/>
        <w:ind w:left="2655" w:right="210"/>
      </w:pPr>
      <w:r>
        <w:rPr/>
        <w:t>（3）心肌酶或肌钙蛋白有诊断意义的升高，或呈符合急性心肌梗塞的动态性变化；</w:t>
      </w:r>
    </w:p>
    <w:p>
      <w:pPr>
        <w:pStyle w:val="BodyText"/>
        <w:spacing w:before="7"/>
        <w:ind w:left="2655"/>
      </w:pPr>
      <w:r>
        <w:rPr/>
        <w:t>（4</w:t>
      </w:r>
      <w:r>
        <w:rPr>
          <w:spacing w:val="-100"/>
        </w:rPr>
        <w:t>）</w:t>
      </w:r>
      <w:r>
        <w:rPr>
          <w:spacing w:val="-19"/>
        </w:rPr>
        <w:t>发病 </w:t>
      </w:r>
      <w:r>
        <w:rPr>
          <w:spacing w:val="-1"/>
        </w:rPr>
        <w:t>9</w:t>
      </w:r>
      <w:r>
        <w:rPr/>
        <w:t>0</w:t>
      </w:r>
      <w:r>
        <w:rPr>
          <w:spacing w:val="-20"/>
        </w:rPr>
        <w:t> 天后，经检查证实左心室功能降低，如左心室射血分数低于 </w:t>
      </w:r>
      <w:r>
        <w:rPr/>
        <w:t>50%。</w:t>
      </w:r>
    </w:p>
    <w:p>
      <w:pPr>
        <w:pStyle w:val="BodyText"/>
        <w:spacing w:before="3"/>
        <w:rPr>
          <w:sz w:val="19"/>
        </w:rPr>
      </w:pPr>
    </w:p>
    <w:p>
      <w:pPr>
        <w:pStyle w:val="ListParagraph"/>
        <w:numPr>
          <w:ilvl w:val="2"/>
          <w:numId w:val="3"/>
        </w:numPr>
        <w:tabs>
          <w:tab w:pos="956" w:val="left" w:leader="none"/>
        </w:tabs>
        <w:spacing w:line="271" w:lineRule="auto" w:before="0" w:after="0"/>
        <w:ind w:left="2655" w:right="212" w:hanging="2549"/>
        <w:jc w:val="both"/>
        <w:rPr>
          <w:sz w:val="21"/>
        </w:rPr>
      </w:pPr>
      <w:r>
        <w:rPr>
          <w:i/>
          <w:spacing w:val="5"/>
          <w:sz w:val="22"/>
        </w:rPr>
        <w:t>脑中风后遗症  </w:t>
      </w:r>
      <w:r>
        <w:rPr>
          <w:spacing w:val="-2"/>
          <w:sz w:val="21"/>
        </w:rPr>
        <w:t>指因脑血管的突发病变引起脑血管出血、栓塞或梗塞，并导致神经系统永久</w:t>
      </w:r>
      <w:r>
        <w:rPr>
          <w:spacing w:val="-7"/>
          <w:sz w:val="21"/>
        </w:rPr>
        <w:t>性的功能障碍。神经系统永久性的功能障碍，指疾病确诊 </w:t>
      </w:r>
      <w:r>
        <w:rPr>
          <w:sz w:val="21"/>
        </w:rPr>
        <w:t>180</w:t>
      </w:r>
      <w:r>
        <w:rPr>
          <w:spacing w:val="-11"/>
          <w:sz w:val="21"/>
        </w:rPr>
        <w:t> 天后，仍遗留下列一种或一种以上障碍：</w:t>
      </w:r>
    </w:p>
    <w:p>
      <w:pPr>
        <w:pStyle w:val="BodyText"/>
        <w:spacing w:before="10"/>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210"/>
      </w:pPr>
      <w:r>
        <w:rPr/>
        <w:t>（3）自主生活能力完全丧失，无法独立完成六项基本日常生活活动中的三项或三项以上。</w:t>
      </w:r>
    </w:p>
    <w:p>
      <w:pPr>
        <w:pStyle w:val="BodyText"/>
        <w:spacing w:before="11"/>
        <w:rPr>
          <w:sz w:val="12"/>
        </w:rPr>
      </w:pPr>
    </w:p>
    <w:p>
      <w:pPr>
        <w:spacing w:after="0"/>
        <w:rPr>
          <w:sz w:val="12"/>
        </w:rPr>
        <w:sectPr>
          <w:pgSz w:w="11910" w:h="16840"/>
          <w:pgMar w:header="0" w:footer="998" w:top="1460" w:bottom="1180" w:left="1200" w:right="940"/>
        </w:sectPr>
      </w:pPr>
    </w:p>
    <w:p>
      <w:pPr>
        <w:pStyle w:val="Heading3"/>
        <w:numPr>
          <w:ilvl w:val="2"/>
          <w:numId w:val="3"/>
        </w:numPr>
        <w:tabs>
          <w:tab w:pos="955" w:val="left" w:leader="none"/>
          <w:tab w:pos="956" w:val="left" w:leader="none"/>
        </w:tabs>
        <w:spacing w:line="290" w:lineRule="exact" w:before="34" w:after="0"/>
        <w:ind w:left="955" w:right="0" w:hanging="849"/>
        <w:jc w:val="left"/>
      </w:pPr>
      <w:r>
        <w:rPr>
          <w:w w:val="95"/>
        </w:rPr>
        <w:t>重大器官移植术</w:t>
      </w:r>
    </w:p>
    <w:p>
      <w:pPr>
        <w:spacing w:line="228" w:lineRule="auto" w:before="0"/>
        <w:ind w:left="955" w:right="0" w:firstLine="0"/>
        <w:jc w:val="left"/>
        <w:rPr>
          <w:i/>
          <w:sz w:val="22"/>
        </w:rPr>
      </w:pPr>
      <w:r>
        <w:rPr>
          <w:i/>
          <w:w w:val="95"/>
          <w:sz w:val="22"/>
        </w:rPr>
        <w:t>或造血干细胞移植术</w:t>
      </w:r>
    </w:p>
    <w:p>
      <w:pPr>
        <w:pStyle w:val="BodyText"/>
        <w:spacing w:line="273" w:lineRule="auto" w:before="66"/>
        <w:ind w:left="106" w:right="211"/>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06" w:right="212"/>
        <w:jc w:val="both"/>
      </w:pPr>
      <w:r>
        <w:rPr>
          <w:spacing w:val="-3"/>
        </w:rPr>
        <w:t>造血干细胞移植术，指因造血功能损害或造血系统恶性肿瘤，已经实施了造</w:t>
      </w:r>
      <w:r>
        <w:rPr>
          <w:spacing w:val="-6"/>
        </w:rPr>
        <w:t>血干细胞</w:t>
      </w:r>
      <w:r>
        <w:rPr/>
        <w:t>（</w:t>
      </w:r>
      <w:r>
        <w:rPr>
          <w:spacing w:val="-2"/>
        </w:rPr>
        <w:t>包括骨髓造血干细胞、外周血造血干细胞和脐血造血干细胞</w:t>
      </w:r>
      <w:r>
        <w:rPr>
          <w:spacing w:val="-12"/>
        </w:rPr>
        <w:t>）</w:t>
      </w:r>
      <w:r>
        <w:rPr/>
        <w:t>的异体移植手术。</w:t>
      </w:r>
    </w:p>
    <w:p>
      <w:pPr>
        <w:spacing w:after="0" w:line="273" w:lineRule="auto"/>
        <w:jc w:val="both"/>
        <w:sectPr>
          <w:type w:val="continuous"/>
          <w:pgSz w:w="11910" w:h="16840"/>
          <w:pgMar w:top="520" w:bottom="280" w:left="1200" w:right="940"/>
          <w:cols w:num="2" w:equalWidth="0">
            <w:col w:w="2442" w:space="106"/>
            <w:col w:w="7222"/>
          </w:cols>
        </w:sectPr>
      </w:pPr>
    </w:p>
    <w:p>
      <w:pPr>
        <w:pStyle w:val="BodyText"/>
        <w:spacing w:before="5"/>
        <w:rPr>
          <w:sz w:val="14"/>
        </w:rPr>
      </w:pPr>
    </w:p>
    <w:p>
      <w:pPr>
        <w:spacing w:after="0"/>
        <w:rPr>
          <w:sz w:val="14"/>
        </w:rPr>
        <w:sectPr>
          <w:type w:val="continuous"/>
          <w:pgSz w:w="11910" w:h="16840"/>
          <w:pgMar w:top="520" w:bottom="280" w:left="1200" w:right="940"/>
        </w:sectPr>
      </w:pPr>
    </w:p>
    <w:p>
      <w:pPr>
        <w:pStyle w:val="Heading3"/>
        <w:numPr>
          <w:ilvl w:val="2"/>
          <w:numId w:val="3"/>
        </w:numPr>
        <w:tabs>
          <w:tab w:pos="955" w:val="left" w:leader="none"/>
          <w:tab w:pos="956" w:val="left" w:leader="none"/>
        </w:tabs>
        <w:spacing w:line="240" w:lineRule="auto" w:before="34" w:after="0"/>
        <w:ind w:left="955" w:right="0" w:hanging="849"/>
        <w:jc w:val="left"/>
      </w:pPr>
      <w:r>
        <w:rPr>
          <w:w w:val="95"/>
        </w:rPr>
        <w:t>冠状动脉搭桥术</w:t>
      </w:r>
    </w:p>
    <w:p>
      <w:pPr>
        <w:spacing w:line="259" w:lineRule="auto" w:before="23"/>
        <w:ind w:left="955" w:right="0" w:firstLine="0"/>
        <w:jc w:val="left"/>
        <w:rPr>
          <w:i/>
          <w:sz w:val="22"/>
        </w:rPr>
      </w:pPr>
      <w:r>
        <w:rPr>
          <w:i/>
          <w:w w:val="95"/>
          <w:sz w:val="22"/>
        </w:rPr>
        <w:t>（或称冠状动脉旁路移植术）</w:t>
      </w:r>
    </w:p>
    <w:p>
      <w:pPr>
        <w:pStyle w:val="BodyText"/>
        <w:spacing w:line="273" w:lineRule="auto" w:before="46"/>
        <w:ind w:left="106" w:right="158"/>
      </w:pPr>
      <w:r>
        <w:rPr/>
        <w:br w:type="column"/>
      </w:r>
      <w:r>
        <w:rPr/>
        <w:t>指为治疗严重的冠心病，实际实施了开胸进行的冠状动脉血管旁路移植的手术。</w:t>
      </w:r>
    </w:p>
    <w:p>
      <w:pPr>
        <w:pStyle w:val="BodyText"/>
        <w:spacing w:line="273" w:lineRule="auto" w:before="7"/>
        <w:ind w:left="106" w:right="158"/>
      </w:pPr>
      <w:r>
        <w:rPr/>
        <w:t>冠状动脉支架植入术、心导管球囊扩张术、激光射频技术及其它非开胸的介入手术、腔镜手术不在保障范围内。</w:t>
      </w:r>
    </w:p>
    <w:p>
      <w:pPr>
        <w:spacing w:after="0" w:line="273" w:lineRule="auto"/>
        <w:sectPr>
          <w:type w:val="continuous"/>
          <w:pgSz w:w="11910" w:h="16840"/>
          <w:pgMar w:top="520" w:bottom="280" w:left="1200" w:right="940"/>
          <w:cols w:num="2" w:equalWidth="0">
            <w:col w:w="2442" w:space="106"/>
            <w:col w:w="7222"/>
          </w:cols>
        </w:sectPr>
      </w:pPr>
    </w:p>
    <w:p>
      <w:pPr>
        <w:pStyle w:val="BodyText"/>
        <w:spacing w:before="8"/>
        <w:rPr>
          <w:sz w:val="13"/>
        </w:rPr>
      </w:pPr>
    </w:p>
    <w:p>
      <w:pPr>
        <w:spacing w:after="0"/>
        <w:rPr>
          <w:sz w:val="13"/>
        </w:rPr>
        <w:sectPr>
          <w:type w:val="continuous"/>
          <w:pgSz w:w="11910" w:h="16840"/>
          <w:pgMar w:top="520" w:bottom="280" w:left="1200" w:right="940"/>
        </w:sectPr>
      </w:pPr>
    </w:p>
    <w:p>
      <w:pPr>
        <w:pStyle w:val="Heading3"/>
        <w:numPr>
          <w:ilvl w:val="2"/>
          <w:numId w:val="3"/>
        </w:numPr>
        <w:tabs>
          <w:tab w:pos="955" w:val="left" w:leader="none"/>
          <w:tab w:pos="956" w:val="left" w:leader="none"/>
        </w:tabs>
        <w:spacing w:line="240" w:lineRule="auto" w:before="44" w:after="0"/>
        <w:ind w:left="955" w:right="0" w:hanging="849"/>
        <w:jc w:val="left"/>
      </w:pPr>
      <w:r>
        <w:rPr>
          <w:w w:val="95"/>
        </w:rPr>
        <w:t>终末期肾病（或</w:t>
      </w:r>
    </w:p>
    <w:p>
      <w:pPr>
        <w:spacing w:line="259" w:lineRule="auto" w:before="23"/>
        <w:ind w:left="955" w:right="0" w:firstLine="0"/>
        <w:jc w:val="left"/>
        <w:rPr>
          <w:i/>
          <w:sz w:val="22"/>
        </w:rPr>
      </w:pPr>
      <w:r>
        <w:rPr>
          <w:i/>
          <w:w w:val="95"/>
          <w:sz w:val="22"/>
        </w:rPr>
        <w:t>称慢性肾功能衰竭尿毒症期）</w:t>
      </w:r>
    </w:p>
    <w:p>
      <w:pPr>
        <w:pStyle w:val="BodyText"/>
        <w:spacing w:line="237" w:lineRule="auto" w:before="38"/>
        <w:ind w:left="106" w:right="211"/>
      </w:pPr>
      <w:r>
        <w:rPr/>
        <w:br w:type="column"/>
      </w:r>
      <w:r>
        <w:rPr>
          <w:spacing w:val="-8"/>
        </w:rPr>
        <w:t>指双肾功能慢性不可逆性衰竭，达到尿毒症期，经诊断后已经进行了至少 </w:t>
      </w:r>
      <w:r>
        <w:rPr/>
        <w:t>90 </w:t>
      </w:r>
      <w:r>
        <w:rPr>
          <w:spacing w:val="-1"/>
        </w:rPr>
        <w:t>天的规律性透析治疗或实施了肾脏移植手术。</w:t>
      </w:r>
    </w:p>
    <w:p>
      <w:pPr>
        <w:spacing w:after="0" w:line="237" w:lineRule="auto"/>
        <w:sectPr>
          <w:type w:val="continuous"/>
          <w:pgSz w:w="11910" w:h="16840"/>
          <w:pgMar w:top="520" w:bottom="280" w:left="1200" w:right="940"/>
          <w:cols w:num="2" w:equalWidth="0">
            <w:col w:w="2426" w:space="123"/>
            <w:col w:w="7221"/>
          </w:cols>
        </w:sectPr>
      </w:pPr>
    </w:p>
    <w:p>
      <w:pPr>
        <w:pStyle w:val="BodyText"/>
        <w:spacing w:before="2"/>
        <w:rPr>
          <w:sz w:val="15"/>
        </w:rPr>
      </w:pPr>
    </w:p>
    <w:p>
      <w:pPr>
        <w:pStyle w:val="ListParagraph"/>
        <w:numPr>
          <w:ilvl w:val="2"/>
          <w:numId w:val="3"/>
        </w:numPr>
        <w:tabs>
          <w:tab w:pos="955" w:val="left" w:leader="none"/>
          <w:tab w:pos="956" w:val="left" w:leader="none"/>
          <w:tab w:pos="2655" w:val="left" w:leader="none"/>
        </w:tabs>
        <w:spacing w:line="268" w:lineRule="auto" w:before="34" w:after="0"/>
        <w:ind w:left="2655" w:right="211" w:hanging="2549"/>
        <w:jc w:val="left"/>
        <w:rPr>
          <w:sz w:val="21"/>
        </w:rPr>
      </w:pPr>
      <w:r>
        <w:rPr>
          <w:i/>
          <w:sz w:val="22"/>
        </w:rPr>
        <w:t>多个肢体缺失</w:t>
        <w:tab/>
      </w:r>
      <w:r>
        <w:rPr>
          <w:w w:val="95"/>
          <w:sz w:val="21"/>
        </w:rPr>
        <w:t>指因疾病或</w:t>
      </w:r>
      <w:r>
        <w:rPr>
          <w:b/>
          <w:w w:val="95"/>
          <w:sz w:val="21"/>
        </w:rPr>
        <w:t>意外伤害</w:t>
      </w:r>
      <w:r>
        <w:rPr>
          <w:w w:val="95"/>
          <w:sz w:val="21"/>
        </w:rPr>
        <w:t>导致两个或两个以上肢体自腕关节或踝关节近</w:t>
      </w:r>
      <w:r>
        <w:rPr>
          <w:spacing w:val="-39"/>
          <w:w w:val="95"/>
          <w:sz w:val="21"/>
        </w:rPr>
        <w:t>端</w:t>
      </w:r>
      <w:r>
        <w:rPr>
          <w:w w:val="95"/>
          <w:sz w:val="21"/>
        </w:rPr>
        <w:t>（靠近    </w:t>
      </w:r>
      <w:r>
        <w:rPr>
          <w:sz w:val="21"/>
        </w:rPr>
        <w:t>躯干端）以上完全性断离。</w:t>
      </w:r>
    </w:p>
    <w:p>
      <w:pPr>
        <w:pStyle w:val="BodyText"/>
        <w:spacing w:before="11"/>
        <w:rPr>
          <w:sz w:val="14"/>
        </w:rPr>
      </w:pPr>
    </w:p>
    <w:p>
      <w:pPr>
        <w:spacing w:after="0"/>
        <w:rPr>
          <w:sz w:val="14"/>
        </w:rPr>
        <w:sectPr>
          <w:type w:val="continuous"/>
          <w:pgSz w:w="11910" w:h="16840"/>
          <w:pgMar w:top="520" w:bottom="280" w:left="1200" w:right="940"/>
        </w:sectPr>
      </w:pPr>
    </w:p>
    <w:p>
      <w:pPr>
        <w:pStyle w:val="Heading3"/>
        <w:numPr>
          <w:ilvl w:val="2"/>
          <w:numId w:val="3"/>
        </w:numPr>
        <w:tabs>
          <w:tab w:pos="955" w:val="left" w:leader="none"/>
          <w:tab w:pos="956" w:val="left" w:leader="none"/>
        </w:tabs>
        <w:spacing w:line="259" w:lineRule="auto" w:before="34" w:after="0"/>
        <w:ind w:left="955" w:right="0" w:hanging="849"/>
        <w:jc w:val="left"/>
      </w:pPr>
      <w:r>
        <w:rPr>
          <w:w w:val="95"/>
        </w:rPr>
        <w:t>急性或亚急性重症肝炎</w:t>
      </w:r>
    </w:p>
    <w:p>
      <w:pPr>
        <w:pStyle w:val="BodyText"/>
        <w:spacing w:line="273" w:lineRule="auto" w:before="45"/>
        <w:ind w:left="106" w:right="158"/>
      </w:pPr>
      <w:r>
        <w:rPr/>
        <w:br w:type="column"/>
      </w:r>
      <w:r>
        <w:rPr/>
        <w:t>指因肝炎病毒感染引起肝脏组织弥漫性坏死，导致急性肝功能衰竭，且经血清学或病毒学检查证实，并须满足下列全部条件：</w:t>
      </w:r>
    </w:p>
    <w:p>
      <w:pPr>
        <w:pStyle w:val="BodyText"/>
        <w:spacing w:before="7"/>
        <w:ind w:left="106"/>
      </w:pPr>
      <w:r>
        <w:rPr/>
        <w:t>（1）重度黄疸或黄疸迅速加重；</w:t>
      </w:r>
    </w:p>
    <w:p>
      <w:pPr>
        <w:pStyle w:val="BodyText"/>
        <w:spacing w:before="37"/>
        <w:ind w:left="106"/>
      </w:pPr>
      <w:r>
        <w:rPr/>
        <w:t>（2）肝性脑病；</w:t>
      </w:r>
    </w:p>
    <w:p>
      <w:pPr>
        <w:pStyle w:val="BodyText"/>
        <w:spacing w:before="37"/>
        <w:ind w:left="106"/>
      </w:pPr>
      <w:r>
        <w:rPr/>
        <w:t>（3）B 超或其它影像学检查显示肝脏体积急速萎缩；</w:t>
      </w:r>
    </w:p>
    <w:p>
      <w:pPr>
        <w:spacing w:after="0"/>
        <w:sectPr>
          <w:type w:val="continuous"/>
          <w:pgSz w:w="11910" w:h="16840"/>
          <w:pgMar w:top="520" w:bottom="280" w:left="1200" w:right="940"/>
          <w:cols w:num="2" w:equalWidth="0">
            <w:col w:w="2442" w:space="106"/>
            <w:col w:w="7222"/>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6"/>
      </w:tblGrid>
      <w:tr>
        <w:trPr>
          <w:trHeight w:val="369" w:hRule="atLeast"/>
        </w:trPr>
        <w:tc>
          <w:tcPr>
            <w:tcW w:w="2492" w:type="dxa"/>
            <w:gridSpan w:val="2"/>
          </w:tcPr>
          <w:p>
            <w:pPr>
              <w:pStyle w:val="TableParagraph"/>
              <w:rPr>
                <w:rFonts w:ascii="Times New Roman"/>
                <w:sz w:val="20"/>
              </w:rPr>
            </w:pPr>
          </w:p>
        </w:tc>
        <w:tc>
          <w:tcPr>
            <w:tcW w:w="7156" w:type="dxa"/>
          </w:tcPr>
          <w:p>
            <w:pPr>
              <w:pStyle w:val="TableParagraph"/>
              <w:spacing w:line="210" w:lineRule="exact"/>
              <w:ind w:left="106"/>
              <w:rPr>
                <w:sz w:val="21"/>
              </w:rPr>
            </w:pPr>
            <w:r>
              <w:rPr>
                <w:sz w:val="21"/>
              </w:rPr>
              <w:t>（4）肝功能指标进行性恶化。</w:t>
            </w:r>
          </w:p>
        </w:tc>
      </w:tr>
      <w:tr>
        <w:trPr>
          <w:trHeight w:val="431" w:hRule="atLeast"/>
        </w:trPr>
        <w:tc>
          <w:tcPr>
            <w:tcW w:w="790" w:type="dxa"/>
          </w:tcPr>
          <w:p>
            <w:pPr>
              <w:pStyle w:val="TableParagraph"/>
              <w:spacing w:before="93"/>
              <w:ind w:left="50"/>
              <w:rPr>
                <w:i/>
                <w:sz w:val="22"/>
              </w:rPr>
            </w:pPr>
            <w:r>
              <w:rPr>
                <w:i/>
                <w:sz w:val="22"/>
              </w:rPr>
              <w:t>3.2.9</w:t>
            </w:r>
          </w:p>
        </w:tc>
        <w:tc>
          <w:tcPr>
            <w:tcW w:w="1702" w:type="dxa"/>
          </w:tcPr>
          <w:p>
            <w:pPr>
              <w:pStyle w:val="TableParagraph"/>
              <w:spacing w:before="93"/>
              <w:ind w:left="108"/>
              <w:rPr>
                <w:i/>
                <w:sz w:val="22"/>
              </w:rPr>
            </w:pPr>
            <w:r>
              <w:rPr>
                <w:i/>
                <w:w w:val="95"/>
                <w:sz w:val="22"/>
              </w:rPr>
              <w:t>良性脑肿瘤</w:t>
            </w:r>
          </w:p>
        </w:tc>
        <w:tc>
          <w:tcPr>
            <w:tcW w:w="7156" w:type="dxa"/>
          </w:tcPr>
          <w:p>
            <w:pPr>
              <w:pStyle w:val="TableParagraph"/>
              <w:spacing w:before="104"/>
              <w:ind w:left="106"/>
              <w:rPr>
                <w:sz w:val="21"/>
              </w:rPr>
            </w:pPr>
            <w:r>
              <w:rPr>
                <w:sz w:val="21"/>
              </w:rPr>
              <w:t>指脑的良性肿瘤，已经引起颅内压增高，临床表现为视神经乳头水肿、精神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症状、癫痫及运动感觉障碍等，并危及生命。须由头颅断层扫描</w:t>
            </w:r>
            <w:r>
              <w:rPr>
                <w:spacing w:val="1"/>
                <w:sz w:val="21"/>
              </w:rPr>
              <w:t>（</w:t>
            </w:r>
            <w:r>
              <w:rPr>
                <w:spacing w:val="-1"/>
                <w:sz w:val="21"/>
              </w:rPr>
              <w:t>C</w:t>
            </w:r>
            <w:r>
              <w:rPr>
                <w:spacing w:val="1"/>
                <w:sz w:val="21"/>
              </w:rPr>
              <w:t>T</w:t>
            </w:r>
            <w:r>
              <w:rPr>
                <w:spacing w:val="-105"/>
                <w:sz w:val="21"/>
              </w:rPr>
              <w:t>）</w:t>
            </w:r>
            <w:r>
              <w:rPr>
                <w:sz w:val="21"/>
              </w:rPr>
              <w:t>、核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磁共振检查（MRI）或正电子发射断层扫描（PET）等影像学检查证实，并须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满足下列至少一项条件：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（1）实际实施了开颅进行的脑肿瘤完全切除或部分切除的手术；</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（2）实际实施了对脑肿瘤进行的放射治疗。</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脑垂体瘤、脑囊肿、脑血管性疾病不在保障范围内。</w:t>
            </w:r>
          </w:p>
        </w:tc>
      </w:tr>
      <w:tr>
        <w:trPr>
          <w:trHeight w:val="743" w:hRule="atLeast"/>
        </w:trPr>
        <w:tc>
          <w:tcPr>
            <w:tcW w:w="790" w:type="dxa"/>
          </w:tcPr>
          <w:p>
            <w:pPr>
              <w:pStyle w:val="TableParagraph"/>
              <w:spacing w:before="93"/>
              <w:ind w:left="50"/>
              <w:rPr>
                <w:i/>
                <w:sz w:val="22"/>
              </w:rPr>
            </w:pPr>
            <w:r>
              <w:rPr>
                <w:i/>
                <w:sz w:val="22"/>
              </w:rPr>
              <w:t>3.2.10</w:t>
            </w:r>
          </w:p>
        </w:tc>
        <w:tc>
          <w:tcPr>
            <w:tcW w:w="1702" w:type="dxa"/>
          </w:tcPr>
          <w:p>
            <w:pPr>
              <w:pStyle w:val="TableParagraph"/>
              <w:spacing w:line="259" w:lineRule="auto" w:before="93"/>
              <w:ind w:left="108" w:right="104"/>
              <w:rPr>
                <w:i/>
                <w:sz w:val="22"/>
              </w:rPr>
            </w:pPr>
            <w:r>
              <w:rPr>
                <w:i/>
                <w:w w:val="95"/>
                <w:sz w:val="22"/>
              </w:rPr>
              <w:t>慢性肝功能衰竭失代偿期</w:t>
            </w:r>
          </w:p>
        </w:tc>
        <w:tc>
          <w:tcPr>
            <w:tcW w:w="7156" w:type="dxa"/>
          </w:tcPr>
          <w:p>
            <w:pPr>
              <w:pStyle w:val="TableParagraph"/>
              <w:spacing w:before="104"/>
              <w:ind w:left="106"/>
              <w:rPr>
                <w:sz w:val="21"/>
              </w:rPr>
            </w:pPr>
            <w:r>
              <w:rPr>
                <w:sz w:val="21"/>
              </w:rPr>
              <w:t>指因慢性肝脏疾病导致肝功能衰竭,须满足下列全部条件：</w:t>
            </w:r>
          </w:p>
          <w:p>
            <w:pPr>
              <w:pStyle w:val="TableParagraph"/>
              <w:spacing w:before="36"/>
              <w:ind w:left="106"/>
              <w:rPr>
                <w:sz w:val="21"/>
              </w:rPr>
            </w:pPr>
            <w:r>
              <w:rPr>
                <w:sz w:val="21"/>
              </w:rPr>
              <w:t>（1）持续性黄疸；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（2）腹水；</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（3）肝性脑病；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（4）充血性脾肿大伴脾功能亢进或食管胃底静脉曲张。</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因酗酒或药物滥用导致的肝功能衰竭不在保障范围内。</w:t>
            </w:r>
          </w:p>
        </w:tc>
      </w:tr>
      <w:tr>
        <w:trPr>
          <w:trHeight w:val="743" w:hRule="atLeast"/>
        </w:trPr>
        <w:tc>
          <w:tcPr>
            <w:tcW w:w="790" w:type="dxa"/>
          </w:tcPr>
          <w:p>
            <w:pPr>
              <w:pStyle w:val="TableParagraph"/>
              <w:spacing w:before="93"/>
              <w:ind w:left="50"/>
              <w:rPr>
                <w:i/>
                <w:sz w:val="22"/>
              </w:rPr>
            </w:pPr>
            <w:r>
              <w:rPr>
                <w:i/>
                <w:sz w:val="22"/>
              </w:rPr>
              <w:t>3.2.11</w:t>
            </w:r>
          </w:p>
        </w:tc>
        <w:tc>
          <w:tcPr>
            <w:tcW w:w="1702" w:type="dxa"/>
          </w:tcPr>
          <w:p>
            <w:pPr>
              <w:pStyle w:val="TableParagraph"/>
              <w:spacing w:line="259" w:lineRule="auto" w:before="93"/>
              <w:ind w:left="108" w:right="104"/>
              <w:rPr>
                <w:i/>
                <w:sz w:val="22"/>
              </w:rPr>
            </w:pPr>
            <w:r>
              <w:rPr>
                <w:i/>
                <w:w w:val="95"/>
                <w:sz w:val="22"/>
              </w:rPr>
              <w:t>脑炎后遗症或脑膜炎后遗症</w:t>
            </w:r>
          </w:p>
        </w:tc>
        <w:tc>
          <w:tcPr>
            <w:tcW w:w="7156" w:type="dxa"/>
          </w:tcPr>
          <w:p>
            <w:pPr>
              <w:pStyle w:val="TableParagraph"/>
              <w:spacing w:line="273" w:lineRule="auto" w:before="104"/>
              <w:ind w:left="106" w:right="95"/>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（3）自主生活能力完全丧失，无法独立完成六项基本日常生活活动中的三</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项或三项以上。</w:t>
            </w:r>
          </w:p>
        </w:tc>
      </w:tr>
      <w:tr>
        <w:trPr>
          <w:trHeight w:val="431" w:hRule="atLeast"/>
        </w:trPr>
        <w:tc>
          <w:tcPr>
            <w:tcW w:w="790" w:type="dxa"/>
          </w:tcPr>
          <w:p>
            <w:pPr>
              <w:pStyle w:val="TableParagraph"/>
              <w:spacing w:before="93"/>
              <w:ind w:left="50"/>
              <w:rPr>
                <w:i/>
                <w:sz w:val="22"/>
              </w:rPr>
            </w:pPr>
            <w:r>
              <w:rPr>
                <w:i/>
                <w:sz w:val="22"/>
              </w:rPr>
              <w:t>3.2.12</w:t>
            </w:r>
          </w:p>
        </w:tc>
        <w:tc>
          <w:tcPr>
            <w:tcW w:w="1702" w:type="dxa"/>
          </w:tcPr>
          <w:p>
            <w:pPr>
              <w:pStyle w:val="TableParagraph"/>
              <w:spacing w:before="93"/>
              <w:ind w:left="108"/>
              <w:rPr>
                <w:i/>
                <w:sz w:val="22"/>
              </w:rPr>
            </w:pPr>
            <w:r>
              <w:rPr>
                <w:i/>
                <w:w w:val="95"/>
                <w:sz w:val="22"/>
              </w:rPr>
              <w:t>深度昏迷</w:t>
            </w:r>
          </w:p>
        </w:tc>
        <w:tc>
          <w:tcPr>
            <w:tcW w:w="7156" w:type="dxa"/>
          </w:tcPr>
          <w:p>
            <w:pPr>
              <w:pStyle w:val="TableParagraph"/>
              <w:spacing w:before="104"/>
              <w:ind w:left="106"/>
              <w:rPr>
                <w:sz w:val="21"/>
              </w:rPr>
            </w:pPr>
            <w:r>
              <w:rPr>
                <w:sz w:val="21"/>
              </w:rPr>
              <w:t>指因疾病或意外伤害导致意识丧失,对外界刺激和体内需求均无反应,昏迷</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pacing w:val="-2"/>
                <w:sz w:val="21"/>
              </w:rPr>
              <w:t>程度按照格拉斯哥昏迷分级</w:t>
            </w:r>
            <w:r>
              <w:rPr>
                <w:sz w:val="21"/>
              </w:rPr>
              <w:t>（Glasgow</w:t>
            </w:r>
            <w:r>
              <w:rPr>
                <w:spacing w:val="-54"/>
                <w:sz w:val="21"/>
              </w:rPr>
              <w:t> </w:t>
            </w:r>
            <w:r>
              <w:rPr>
                <w:sz w:val="21"/>
              </w:rPr>
              <w:t>coma</w:t>
            </w:r>
            <w:r>
              <w:rPr>
                <w:spacing w:val="-53"/>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且已经持续使用呼吸机及其它生命维持系统 96 小时以上。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因酗酒或药物滥用导致的深度昏迷不在保障范围内。</w:t>
            </w:r>
          </w:p>
        </w:tc>
      </w:tr>
      <w:tr>
        <w:trPr>
          <w:trHeight w:val="431" w:hRule="atLeast"/>
        </w:trPr>
        <w:tc>
          <w:tcPr>
            <w:tcW w:w="790" w:type="dxa"/>
          </w:tcPr>
          <w:p>
            <w:pPr>
              <w:pStyle w:val="TableParagraph"/>
              <w:spacing w:before="93"/>
              <w:ind w:left="50"/>
              <w:rPr>
                <w:i/>
                <w:sz w:val="22"/>
              </w:rPr>
            </w:pPr>
            <w:r>
              <w:rPr>
                <w:i/>
                <w:sz w:val="22"/>
              </w:rPr>
              <w:t>3.2.13</w:t>
            </w:r>
          </w:p>
        </w:tc>
        <w:tc>
          <w:tcPr>
            <w:tcW w:w="1702" w:type="dxa"/>
          </w:tcPr>
          <w:p>
            <w:pPr>
              <w:pStyle w:val="TableParagraph"/>
              <w:spacing w:before="93"/>
              <w:ind w:left="108"/>
              <w:rPr>
                <w:i/>
                <w:sz w:val="22"/>
              </w:rPr>
            </w:pPr>
            <w:r>
              <w:rPr>
                <w:i/>
                <w:w w:val="95"/>
                <w:sz w:val="22"/>
              </w:rPr>
              <w:t>双耳失聪</w:t>
            </w:r>
          </w:p>
        </w:tc>
        <w:tc>
          <w:tcPr>
            <w:tcW w:w="7156" w:type="dxa"/>
          </w:tcPr>
          <w:p>
            <w:pPr>
              <w:pStyle w:val="TableParagraph"/>
              <w:spacing w:before="104"/>
              <w:ind w:left="106"/>
              <w:rPr>
                <w:sz w:val="21"/>
              </w:rPr>
            </w:pPr>
            <w:r>
              <w:rPr>
                <w:sz w:val="21"/>
              </w:rPr>
              <w:t>指因疾病或意外伤害导致双耳听力永久不可逆性丧失，在 500 赫兹、1000</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pacing w:val="-16"/>
                <w:sz w:val="21"/>
              </w:rPr>
              <w:t>赫兹和 </w:t>
            </w:r>
            <w:r>
              <w:rPr>
                <w:sz w:val="21"/>
              </w:rPr>
              <w:t>2000</w:t>
            </w:r>
            <w:r>
              <w:rPr>
                <w:spacing w:val="-12"/>
                <w:sz w:val="21"/>
              </w:rPr>
              <w:t> 赫兹语音频率下，平均听阈大于 </w:t>
            </w:r>
            <w:r>
              <w:rPr>
                <w:sz w:val="21"/>
              </w:rPr>
              <w:t>90</w:t>
            </w:r>
            <w:r>
              <w:rPr>
                <w:spacing w:val="-8"/>
                <w:sz w:val="21"/>
              </w:rPr>
              <w:t> 分贝，且经纯音听力测试、</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声导抗检测或听觉诱发电位检测等证实。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被保险人申请理赔时年龄必须在三周岁以上，并且提供理赔当时的听力丧失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诊断及检查证据。</w:t>
            </w:r>
          </w:p>
        </w:tc>
      </w:tr>
      <w:tr>
        <w:trPr>
          <w:trHeight w:val="431" w:hRule="atLeast"/>
        </w:trPr>
        <w:tc>
          <w:tcPr>
            <w:tcW w:w="790" w:type="dxa"/>
          </w:tcPr>
          <w:p>
            <w:pPr>
              <w:pStyle w:val="TableParagraph"/>
              <w:spacing w:before="93"/>
              <w:ind w:left="50"/>
              <w:rPr>
                <w:i/>
                <w:sz w:val="22"/>
              </w:rPr>
            </w:pPr>
            <w:r>
              <w:rPr>
                <w:i/>
                <w:sz w:val="22"/>
              </w:rPr>
              <w:t>3.2.14</w:t>
            </w:r>
          </w:p>
        </w:tc>
        <w:tc>
          <w:tcPr>
            <w:tcW w:w="1702" w:type="dxa"/>
          </w:tcPr>
          <w:p>
            <w:pPr>
              <w:pStyle w:val="TableParagraph"/>
              <w:spacing w:before="93"/>
              <w:ind w:left="108"/>
              <w:rPr>
                <w:i/>
                <w:sz w:val="22"/>
              </w:rPr>
            </w:pPr>
            <w:r>
              <w:rPr>
                <w:i/>
                <w:w w:val="95"/>
                <w:sz w:val="22"/>
              </w:rPr>
              <w:t>双目失明</w:t>
            </w:r>
          </w:p>
        </w:tc>
        <w:tc>
          <w:tcPr>
            <w:tcW w:w="7156" w:type="dxa"/>
          </w:tcPr>
          <w:p>
            <w:pPr>
              <w:pStyle w:val="TableParagraph"/>
              <w:spacing w:before="104"/>
              <w:ind w:left="106"/>
              <w:rPr>
                <w:sz w:val="21"/>
              </w:rPr>
            </w:pPr>
            <w:r>
              <w:rPr>
                <w:sz w:val="21"/>
              </w:rPr>
              <w:t>指因疾病或意外伤害导致双眼视力永久不可逆性丧失，双眼中较好眼须满足</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（1）眼球缺失或摘除；</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（2）矫正视力低于 0.02（采用国际标准视力表，如果使用其它视力表应进</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行换算</w:t>
            </w:r>
            <w:r>
              <w:rPr>
                <w:spacing w:val="-105"/>
                <w:sz w:val="21"/>
              </w:rPr>
              <w:t>）</w:t>
            </w:r>
            <w:r>
              <w:rPr>
                <w:sz w:val="21"/>
              </w:rPr>
              <w:t>；</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（3）视野半径小于 5 度。</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被保险人申请理赔时年龄必须在三周岁以上，并且提供理赔当时的视力丧失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诊断及检查证据。</w:t>
            </w:r>
          </w:p>
        </w:tc>
      </w:tr>
      <w:tr>
        <w:trPr>
          <w:trHeight w:val="431" w:hRule="atLeast"/>
        </w:trPr>
        <w:tc>
          <w:tcPr>
            <w:tcW w:w="790" w:type="dxa"/>
          </w:tcPr>
          <w:p>
            <w:pPr>
              <w:pStyle w:val="TableParagraph"/>
              <w:spacing w:before="93"/>
              <w:ind w:left="50"/>
              <w:rPr>
                <w:i/>
                <w:sz w:val="22"/>
              </w:rPr>
            </w:pPr>
            <w:r>
              <w:rPr>
                <w:i/>
                <w:sz w:val="22"/>
              </w:rPr>
              <w:t>3.2.15</w:t>
            </w:r>
          </w:p>
        </w:tc>
        <w:tc>
          <w:tcPr>
            <w:tcW w:w="1702" w:type="dxa"/>
          </w:tcPr>
          <w:p>
            <w:pPr>
              <w:pStyle w:val="TableParagraph"/>
              <w:spacing w:before="93"/>
              <w:ind w:left="108"/>
              <w:rPr>
                <w:i/>
                <w:sz w:val="22"/>
              </w:rPr>
            </w:pPr>
            <w:r>
              <w:rPr>
                <w:i/>
                <w:w w:val="95"/>
                <w:sz w:val="22"/>
              </w:rPr>
              <w:t>瘫痪</w:t>
            </w:r>
          </w:p>
        </w:tc>
        <w:tc>
          <w:tcPr>
            <w:tcW w:w="7156" w:type="dxa"/>
          </w:tcPr>
          <w:p>
            <w:pPr>
              <w:pStyle w:val="TableParagraph"/>
              <w:spacing w:before="105"/>
              <w:ind w:left="106"/>
              <w:rPr>
                <w:sz w:val="21"/>
              </w:rPr>
            </w:pPr>
            <w:r>
              <w:rPr>
                <w:sz w:val="21"/>
              </w:rPr>
              <w:t>指因疾病或意外伤害导致两肢或两肢以上肢体机能永久完全丧失。肢体机能</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156" w:type="dxa"/>
          </w:tcPr>
          <w:p>
            <w:pPr>
              <w:pStyle w:val="TableParagraph"/>
              <w:spacing w:line="240" w:lineRule="exact"/>
              <w:ind w:left="106"/>
              <w:rPr>
                <w:sz w:val="21"/>
              </w:rPr>
            </w:pPr>
            <w:r>
              <w:rPr>
                <w:spacing w:val="-7"/>
                <w:sz w:val="21"/>
              </w:rPr>
              <w:t>永久完全丧失，指疾病确诊 </w:t>
            </w:r>
            <w:r>
              <w:rPr>
                <w:sz w:val="21"/>
              </w:rPr>
              <w:t>180</w:t>
            </w:r>
            <w:r>
              <w:rPr>
                <w:spacing w:val="-13"/>
                <w:sz w:val="21"/>
              </w:rPr>
              <w:t> 天后或意外伤害发生 </w:t>
            </w:r>
            <w:r>
              <w:rPr>
                <w:sz w:val="21"/>
              </w:rPr>
              <w:t>180</w:t>
            </w:r>
            <w:r>
              <w:rPr>
                <w:spacing w:val="-10"/>
                <w:sz w:val="21"/>
              </w:rPr>
              <w:t> 天后，每肢三大关</w:t>
            </w:r>
          </w:p>
        </w:tc>
      </w:tr>
    </w:tbl>
    <w:p>
      <w:pPr>
        <w:spacing w:after="0" w:line="240" w:lineRule="exact"/>
        <w:rPr>
          <w:sz w:val="21"/>
        </w:rPr>
        <w:sectPr>
          <w:pgSz w:w="11910" w:h="16840"/>
          <w:pgMar w:header="0" w:footer="998" w:top="1540" w:bottom="1180" w:left="1140" w:right="880"/>
        </w:sectPr>
      </w:pPr>
    </w:p>
    <w:p>
      <w:pPr>
        <w:pStyle w:val="BodyText"/>
        <w:spacing w:before="22"/>
        <w:ind w:left="2655"/>
      </w:pPr>
      <w:r>
        <w:rPr/>
        <w:t>节中的两大关节仍然完全僵硬，或不能随意识活动。</w:t>
      </w:r>
    </w:p>
    <w:p>
      <w:pPr>
        <w:pStyle w:val="BodyText"/>
        <w:spacing w:before="2"/>
        <w:rPr>
          <w:sz w:val="19"/>
        </w:rPr>
      </w:pPr>
    </w:p>
    <w:p>
      <w:pPr>
        <w:pStyle w:val="ListParagraph"/>
        <w:numPr>
          <w:ilvl w:val="2"/>
          <w:numId w:val="4"/>
        </w:numPr>
        <w:tabs>
          <w:tab w:pos="955" w:val="left" w:leader="none"/>
          <w:tab w:pos="956" w:val="left" w:leader="none"/>
          <w:tab w:pos="2655" w:val="left" w:leader="none"/>
        </w:tabs>
        <w:spacing w:line="268" w:lineRule="auto" w:before="1" w:after="0"/>
        <w:ind w:left="2655" w:right="212" w:hanging="2549"/>
        <w:jc w:val="left"/>
        <w:rPr>
          <w:sz w:val="21"/>
        </w:rPr>
      </w:pPr>
      <w:r>
        <w:rPr>
          <w:i/>
          <w:sz w:val="22"/>
        </w:rPr>
        <w:t>心脏瓣膜手术</w:t>
        <w:tab/>
      </w:r>
      <w:r>
        <w:rPr>
          <w:spacing w:val="5"/>
          <w:sz w:val="21"/>
        </w:rPr>
        <w:t>指为治疗</w:t>
      </w:r>
      <w:r>
        <w:rPr>
          <w:spacing w:val="2"/>
          <w:sz w:val="21"/>
        </w:rPr>
        <w:t>心</w:t>
      </w:r>
      <w:r>
        <w:rPr>
          <w:spacing w:val="5"/>
          <w:sz w:val="21"/>
        </w:rPr>
        <w:t>脏瓣膜</w:t>
      </w:r>
      <w:r>
        <w:rPr>
          <w:spacing w:val="2"/>
          <w:sz w:val="21"/>
        </w:rPr>
        <w:t>疾病</w:t>
      </w:r>
      <w:r>
        <w:rPr>
          <w:spacing w:val="5"/>
          <w:sz w:val="21"/>
        </w:rPr>
        <w:t>，实际</w:t>
      </w:r>
      <w:r>
        <w:rPr>
          <w:spacing w:val="2"/>
          <w:sz w:val="21"/>
        </w:rPr>
        <w:t>实施</w:t>
      </w:r>
      <w:r>
        <w:rPr>
          <w:spacing w:val="5"/>
          <w:sz w:val="21"/>
        </w:rPr>
        <w:t>了开胸</w:t>
      </w:r>
      <w:r>
        <w:rPr>
          <w:spacing w:val="2"/>
          <w:sz w:val="21"/>
        </w:rPr>
        <w:t>进行</w:t>
      </w:r>
      <w:r>
        <w:rPr>
          <w:spacing w:val="5"/>
          <w:sz w:val="21"/>
        </w:rPr>
        <w:t>的心脏</w:t>
      </w:r>
      <w:r>
        <w:rPr>
          <w:spacing w:val="2"/>
          <w:sz w:val="21"/>
        </w:rPr>
        <w:t>瓣膜</w:t>
      </w:r>
      <w:r>
        <w:rPr>
          <w:spacing w:val="5"/>
          <w:sz w:val="21"/>
        </w:rPr>
        <w:t>置换或</w:t>
      </w:r>
      <w:r>
        <w:rPr>
          <w:spacing w:val="2"/>
          <w:sz w:val="21"/>
        </w:rPr>
        <w:t>修复</w:t>
      </w:r>
      <w:r>
        <w:rPr>
          <w:spacing w:val="5"/>
          <w:sz w:val="21"/>
        </w:rPr>
        <w:t>的</w:t>
      </w:r>
      <w:r>
        <w:rPr>
          <w:sz w:val="21"/>
        </w:rPr>
        <w:t>手 术。</w:t>
      </w:r>
    </w:p>
    <w:p>
      <w:pPr>
        <w:pStyle w:val="BodyText"/>
        <w:spacing w:before="10"/>
        <w:rPr>
          <w:sz w:val="14"/>
        </w:rPr>
      </w:pPr>
    </w:p>
    <w:p>
      <w:pPr>
        <w:spacing w:after="0"/>
        <w:rPr>
          <w:sz w:val="14"/>
        </w:rPr>
        <w:sectPr>
          <w:pgSz w:w="11910" w:h="16840"/>
          <w:pgMar w:header="0" w:footer="998" w:top="1460" w:bottom="1180" w:left="1200" w:right="940"/>
        </w:sectPr>
      </w:pPr>
    </w:p>
    <w:p>
      <w:pPr>
        <w:pStyle w:val="Heading3"/>
        <w:numPr>
          <w:ilvl w:val="2"/>
          <w:numId w:val="4"/>
        </w:numPr>
        <w:tabs>
          <w:tab w:pos="955" w:val="left" w:leader="none"/>
          <w:tab w:pos="956" w:val="left" w:leader="none"/>
        </w:tabs>
        <w:spacing w:line="240" w:lineRule="auto" w:before="34" w:after="0"/>
        <w:ind w:left="2655" w:right="0" w:hanging="2549"/>
        <w:jc w:val="left"/>
      </w:pPr>
      <w:r>
        <w:rPr>
          <w:w w:val="95"/>
        </w:rPr>
        <w:t>严重阿尔茨海默</w:t>
      </w:r>
    </w:p>
    <w:p>
      <w:pPr>
        <w:spacing w:before="24"/>
        <w:ind w:left="0" w:right="302" w:firstLine="0"/>
        <w:jc w:val="center"/>
        <w:rPr>
          <w:i/>
          <w:sz w:val="22"/>
        </w:rPr>
      </w:pPr>
      <w:r>
        <w:rPr>
          <w:i/>
          <w:w w:val="95"/>
          <w:sz w:val="22"/>
        </w:rPr>
        <w:t>病</w:t>
      </w:r>
    </w:p>
    <w:p>
      <w:pPr>
        <w:pStyle w:val="BodyText"/>
        <w:spacing w:line="273" w:lineRule="auto" w:before="45"/>
        <w:ind w:left="106" w:right="211"/>
        <w:jc w:val="both"/>
      </w:pPr>
      <w:r>
        <w:rPr/>
        <w:br w:type="column"/>
      </w:r>
      <w:r>
        <w:rPr>
          <w:spacing w:val="-4"/>
        </w:rPr>
        <w:t>指因大脑进行性、不可逆性改变导致智能严重衰退或丧失，临床表现为明显</w:t>
      </w:r>
      <w:r>
        <w:rPr>
          <w:spacing w:val="-7"/>
        </w:rPr>
        <w:t>的认知能力障碍、行为异常和社交能力减退，其日常生活必须持续受到他人</w:t>
      </w:r>
      <w:r>
        <w:rPr>
          <w:spacing w:val="-5"/>
        </w:rPr>
        <w:t>监护。须由头颅断层扫描</w:t>
      </w:r>
      <w:r>
        <w:rPr>
          <w:spacing w:val="-1"/>
        </w:rPr>
        <w:t>（CT</w:t>
      </w:r>
      <w:r>
        <w:rPr>
          <w:spacing w:val="-104"/>
        </w:rPr>
        <w:t>）</w:t>
      </w:r>
      <w:r>
        <w:rPr>
          <w:spacing w:val="-4"/>
        </w:rPr>
        <w:t>、核磁共振检查</w:t>
      </w:r>
      <w:r>
        <w:rPr/>
        <w:t>（MRI)</w:t>
      </w:r>
      <w:r>
        <w:rPr>
          <w:spacing w:val="-1"/>
        </w:rPr>
        <w:t> 或正电子发射断层扫描（PET）等影像学检查证实，且自主生活能力完全丧失，无法独立完成六项基本日常生活活动中的三项或三项以上。</w:t>
      </w:r>
    </w:p>
    <w:p>
      <w:pPr>
        <w:pStyle w:val="BodyText"/>
        <w:spacing w:before="7"/>
        <w:ind w:left="106"/>
        <w:jc w:val="both"/>
      </w:pPr>
      <w:r>
        <w:rPr/>
        <w:t>神经官能症和精神疾病不在保障范围内。</w:t>
      </w:r>
    </w:p>
    <w:p>
      <w:pPr>
        <w:spacing w:after="0"/>
        <w:jc w:val="both"/>
        <w:sectPr>
          <w:type w:val="continuous"/>
          <w:pgSz w:w="11910" w:h="16840"/>
          <w:pgMar w:top="520" w:bottom="280" w:left="1200" w:right="940"/>
          <w:cols w:num="2" w:equalWidth="0">
            <w:col w:w="2426" w:space="123"/>
            <w:col w:w="7221"/>
          </w:cols>
        </w:sectPr>
      </w:pPr>
    </w:p>
    <w:p>
      <w:pPr>
        <w:pStyle w:val="BodyText"/>
        <w:spacing w:before="9"/>
        <w:rPr>
          <w:sz w:val="16"/>
        </w:rPr>
      </w:pPr>
    </w:p>
    <w:p>
      <w:pPr>
        <w:pStyle w:val="ListParagraph"/>
        <w:numPr>
          <w:ilvl w:val="2"/>
          <w:numId w:val="4"/>
        </w:numPr>
        <w:tabs>
          <w:tab w:pos="956" w:val="left" w:leader="none"/>
        </w:tabs>
        <w:spacing w:line="271" w:lineRule="auto" w:before="33" w:after="0"/>
        <w:ind w:left="2655" w:right="211" w:hanging="2549"/>
        <w:jc w:val="both"/>
        <w:rPr>
          <w:sz w:val="21"/>
        </w:rPr>
      </w:pPr>
      <w:r>
        <w:rPr>
          <w:i/>
          <w:spacing w:val="7"/>
          <w:sz w:val="22"/>
        </w:rPr>
        <w:t>严重脑损伤 </w:t>
      </w:r>
      <w:r>
        <w:rPr>
          <w:spacing w:val="-3"/>
          <w:sz w:val="21"/>
        </w:rPr>
        <w:t>指因头部遭受机械性外力，引起脑重要部位损伤，导致神经系统永久性的功能障</w:t>
      </w:r>
      <w:r>
        <w:rPr>
          <w:spacing w:val="-5"/>
          <w:sz w:val="21"/>
        </w:rPr>
        <w:t>碍。须由头颅断层扫描</w:t>
      </w:r>
      <w:r>
        <w:rPr>
          <w:spacing w:val="-1"/>
          <w:sz w:val="21"/>
        </w:rPr>
        <w:t>（CT</w:t>
      </w:r>
      <w:r>
        <w:rPr>
          <w:spacing w:val="-104"/>
          <w:sz w:val="21"/>
        </w:rPr>
        <w:t>）</w:t>
      </w:r>
      <w:r>
        <w:rPr>
          <w:spacing w:val="-4"/>
          <w:sz w:val="21"/>
        </w:rPr>
        <w:t>、核磁共振检查</w:t>
      </w:r>
      <w:r>
        <w:rPr>
          <w:sz w:val="21"/>
        </w:rPr>
        <w:t>（MRI)</w:t>
      </w:r>
      <w:r>
        <w:rPr>
          <w:spacing w:val="-3"/>
          <w:sz w:val="21"/>
        </w:rPr>
        <w:t> 或正电子发射断层扫描</w:t>
      </w:r>
      <w:r>
        <w:rPr>
          <w:spacing w:val="-6"/>
          <w:sz w:val="21"/>
        </w:rPr>
        <w:t>（PET）</w:t>
      </w:r>
      <w:r>
        <w:rPr>
          <w:spacing w:val="-7"/>
          <w:sz w:val="21"/>
        </w:rPr>
        <w:t>等影像学检查证实。神经系统永久性的功能障碍，指脑损伤 </w:t>
      </w:r>
      <w:r>
        <w:rPr>
          <w:sz w:val="21"/>
        </w:rPr>
        <w:t>180 天后，仍遗留下列一种或一种以上障碍：</w:t>
      </w:r>
    </w:p>
    <w:p>
      <w:pPr>
        <w:pStyle w:val="BodyText"/>
        <w:spacing w:before="9"/>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282"/>
      </w:pPr>
      <w:r>
        <w:rPr/>
        <w:t>（3）自主生活能力完全丧失，无法独立完成六项基本日常生活活动中的三项或三项以上。</w:t>
      </w:r>
    </w:p>
    <w:p>
      <w:pPr>
        <w:pStyle w:val="BodyText"/>
        <w:rPr>
          <w:sz w:val="17"/>
        </w:rPr>
      </w:pPr>
    </w:p>
    <w:p>
      <w:pPr>
        <w:pStyle w:val="ListParagraph"/>
        <w:numPr>
          <w:ilvl w:val="2"/>
          <w:numId w:val="4"/>
        </w:numPr>
        <w:tabs>
          <w:tab w:pos="956" w:val="left" w:leader="none"/>
        </w:tabs>
        <w:spacing w:line="268" w:lineRule="auto" w:before="0" w:after="0"/>
        <w:ind w:left="2655" w:right="212" w:hanging="2549"/>
        <w:jc w:val="both"/>
        <w:rPr>
          <w:sz w:val="21"/>
        </w:rPr>
      </w:pPr>
      <w:r>
        <w:rPr>
          <w:i/>
          <w:spacing w:val="5"/>
          <w:sz w:val="22"/>
        </w:rPr>
        <w:t>严重帕金森病  </w:t>
      </w:r>
      <w:r>
        <w:rPr>
          <w:spacing w:val="-3"/>
          <w:sz w:val="21"/>
        </w:rPr>
        <w:t>是一种中枢神经系统的退行性疾病，临床表现为震颤麻痹、共济失调等。须满足下列全部条件：</w:t>
      </w:r>
    </w:p>
    <w:p>
      <w:pPr>
        <w:pStyle w:val="BodyText"/>
        <w:spacing w:before="11"/>
        <w:ind w:left="2655"/>
      </w:pPr>
      <w:r>
        <w:rPr/>
        <w:t>（1）药物治疗无法控制病情；</w:t>
      </w:r>
    </w:p>
    <w:p>
      <w:pPr>
        <w:pStyle w:val="BodyText"/>
        <w:spacing w:line="273" w:lineRule="auto" w:before="36"/>
        <w:ind w:left="2655" w:right="282"/>
      </w:pPr>
      <w:r>
        <w:rPr/>
        <w:t>（2）自主生活能力完全丧失，无法独立完成六项基本日常生活活动中的三项或三项以上。</w:t>
      </w:r>
    </w:p>
    <w:p>
      <w:pPr>
        <w:pStyle w:val="BodyText"/>
        <w:spacing w:before="7"/>
        <w:ind w:left="2655"/>
      </w:pPr>
      <w:r>
        <w:rPr/>
        <w:t>继发性帕金森综合征不在保障范围内。</w:t>
      </w:r>
    </w:p>
    <w:p>
      <w:pPr>
        <w:pStyle w:val="BodyText"/>
        <w:spacing w:before="3"/>
        <w:rPr>
          <w:sz w:val="19"/>
        </w:rPr>
      </w:pPr>
    </w:p>
    <w:p>
      <w:pPr>
        <w:pStyle w:val="ListParagraph"/>
        <w:numPr>
          <w:ilvl w:val="2"/>
          <w:numId w:val="4"/>
        </w:numPr>
        <w:tabs>
          <w:tab w:pos="955" w:val="left" w:leader="none"/>
          <w:tab w:pos="956" w:val="left" w:leader="none"/>
          <w:tab w:pos="2655" w:val="left" w:leader="none"/>
        </w:tabs>
        <w:spacing w:line="268" w:lineRule="auto" w:before="0" w:after="0"/>
        <w:ind w:left="2655" w:right="105" w:hanging="2549"/>
        <w:jc w:val="left"/>
        <w:rPr>
          <w:sz w:val="21"/>
        </w:rPr>
      </w:pPr>
      <w:r>
        <w:rPr>
          <w:i/>
          <w:sz w:val="22"/>
        </w:rPr>
        <w:t>严重Ⅲ度烧伤</w:t>
        <w:tab/>
      </w:r>
      <w:r>
        <w:rPr>
          <w:sz w:val="21"/>
        </w:rPr>
        <w:t>指烧伤程度为Ⅲ度</w:t>
      </w:r>
      <w:r>
        <w:rPr>
          <w:spacing w:val="-35"/>
          <w:sz w:val="21"/>
        </w:rPr>
        <w:t>，</w:t>
      </w:r>
      <w:r>
        <w:rPr>
          <w:sz w:val="21"/>
        </w:rPr>
        <w:t>且Ⅲ度烧伤面积达到全身体表面积的</w:t>
      </w:r>
      <w:r>
        <w:rPr>
          <w:spacing w:val="-54"/>
          <w:sz w:val="21"/>
        </w:rPr>
        <w:t> </w:t>
      </w:r>
      <w:r>
        <w:rPr>
          <w:sz w:val="21"/>
        </w:rPr>
        <w:t>20％或</w:t>
      </w:r>
      <w:r>
        <w:rPr>
          <w:spacing w:val="-54"/>
          <w:sz w:val="21"/>
        </w:rPr>
        <w:t> </w:t>
      </w:r>
      <w:r>
        <w:rPr>
          <w:sz w:val="21"/>
        </w:rPr>
        <w:t>20％以上。体表面积根据</w:t>
      </w:r>
      <w:r>
        <w:rPr>
          <w:spacing w:val="-2"/>
          <w:sz w:val="21"/>
        </w:rPr>
        <w:t> </w:t>
      </w:r>
      <w:r>
        <w:rPr>
          <w:sz w:val="21"/>
        </w:rPr>
        <w:t>《中国新九分法》计算。</w:t>
      </w:r>
    </w:p>
    <w:p>
      <w:pPr>
        <w:pStyle w:val="BodyText"/>
        <w:spacing w:before="9"/>
        <w:rPr>
          <w:sz w:val="14"/>
        </w:rPr>
      </w:pPr>
    </w:p>
    <w:p>
      <w:pPr>
        <w:spacing w:after="0"/>
        <w:rPr>
          <w:sz w:val="14"/>
        </w:rPr>
        <w:sectPr>
          <w:type w:val="continuous"/>
          <w:pgSz w:w="11910" w:h="16840"/>
          <w:pgMar w:top="520" w:bottom="280" w:left="1200" w:right="940"/>
        </w:sectPr>
      </w:pPr>
    </w:p>
    <w:p>
      <w:pPr>
        <w:pStyle w:val="Heading3"/>
        <w:numPr>
          <w:ilvl w:val="2"/>
          <w:numId w:val="4"/>
        </w:numPr>
        <w:tabs>
          <w:tab w:pos="955" w:val="left" w:leader="none"/>
          <w:tab w:pos="956" w:val="left" w:leader="none"/>
        </w:tabs>
        <w:spacing w:line="259" w:lineRule="auto" w:before="34" w:after="0"/>
        <w:ind w:left="955" w:right="0" w:hanging="849"/>
        <w:jc w:val="left"/>
      </w:pPr>
      <w:r>
        <w:rPr>
          <w:w w:val="95"/>
        </w:rPr>
        <w:t>严重原发性肺动脉高压</w:t>
      </w:r>
    </w:p>
    <w:p>
      <w:pPr>
        <w:pStyle w:val="BodyText"/>
        <w:spacing w:line="273" w:lineRule="auto" w:before="46"/>
        <w:ind w:left="106" w:right="211"/>
        <w:jc w:val="both"/>
      </w:pPr>
      <w:r>
        <w:rPr/>
        <w:br w:type="column"/>
      </w:r>
      <w:r>
        <w:rPr>
          <w:spacing w:val="-3"/>
        </w:rPr>
        <w:t>指不明原因的肺动脉压力持续性增高，进行性发展而导致的慢性疾病，已经</w:t>
      </w:r>
      <w:r>
        <w:rPr>
          <w:spacing w:val="-5"/>
        </w:rPr>
        <w:t>造成永久不可逆性的体力活动能力受限，达到美国纽约心脏病学会心功能状</w:t>
      </w:r>
      <w:r>
        <w:rPr>
          <w:spacing w:val="-18"/>
        </w:rPr>
        <w:t>态分级 </w:t>
      </w:r>
      <w:r>
        <w:rPr/>
        <w:t>IV</w:t>
      </w:r>
      <w:r>
        <w:rPr>
          <w:spacing w:val="-4"/>
        </w:rPr>
        <w:t> 级，且静息状态下肺动脉平均压超过 </w:t>
      </w:r>
      <w:r>
        <w:rPr/>
        <w:t>3OmmHg</w:t>
      </w:r>
      <w:r>
        <w:rPr>
          <w:spacing w:val="-1"/>
        </w:rPr>
        <w:t> 。</w:t>
      </w:r>
    </w:p>
    <w:p>
      <w:pPr>
        <w:spacing w:after="0" w:line="273" w:lineRule="auto"/>
        <w:jc w:val="both"/>
        <w:sectPr>
          <w:type w:val="continuous"/>
          <w:pgSz w:w="11910" w:h="16840"/>
          <w:pgMar w:top="520" w:bottom="280" w:left="1200" w:right="940"/>
          <w:cols w:num="2" w:equalWidth="0">
            <w:col w:w="2442" w:space="106"/>
            <w:col w:w="7222"/>
          </w:cols>
        </w:sectPr>
      </w:pPr>
    </w:p>
    <w:p>
      <w:pPr>
        <w:pStyle w:val="BodyText"/>
        <w:spacing w:before="7"/>
        <w:rPr>
          <w:sz w:val="14"/>
        </w:rPr>
      </w:pPr>
    </w:p>
    <w:p>
      <w:pPr>
        <w:spacing w:after="0"/>
        <w:rPr>
          <w:sz w:val="14"/>
        </w:rPr>
        <w:sectPr>
          <w:type w:val="continuous"/>
          <w:pgSz w:w="11910" w:h="16840"/>
          <w:pgMar w:top="520" w:bottom="280" w:left="1200" w:right="940"/>
        </w:sectPr>
      </w:pPr>
    </w:p>
    <w:p>
      <w:pPr>
        <w:pStyle w:val="Heading3"/>
        <w:numPr>
          <w:ilvl w:val="2"/>
          <w:numId w:val="4"/>
        </w:numPr>
        <w:tabs>
          <w:tab w:pos="955" w:val="left" w:leader="none"/>
          <w:tab w:pos="956" w:val="left" w:leader="none"/>
        </w:tabs>
        <w:spacing w:line="240" w:lineRule="auto" w:before="33" w:after="0"/>
        <w:ind w:left="2655" w:right="0" w:hanging="2549"/>
        <w:jc w:val="left"/>
      </w:pPr>
      <w:r>
        <w:rPr>
          <w:w w:val="95"/>
        </w:rPr>
        <w:t>严重运动神经元</w:t>
      </w:r>
    </w:p>
    <w:p>
      <w:pPr>
        <w:spacing w:before="23"/>
        <w:ind w:left="0" w:right="319" w:firstLine="0"/>
        <w:jc w:val="center"/>
        <w:rPr>
          <w:i/>
          <w:sz w:val="22"/>
        </w:rPr>
      </w:pPr>
      <w:r>
        <w:rPr>
          <w:i/>
          <w:w w:val="95"/>
          <w:sz w:val="22"/>
        </w:rPr>
        <w:t>病</w:t>
      </w:r>
    </w:p>
    <w:p>
      <w:pPr>
        <w:pStyle w:val="BodyText"/>
        <w:spacing w:line="273" w:lineRule="auto" w:before="45"/>
        <w:ind w:left="106" w:right="210"/>
        <w:jc w:val="both"/>
      </w:pPr>
      <w:r>
        <w:rPr/>
        <w:br w:type="column"/>
      </w:r>
      <w:r>
        <w:rPr>
          <w:spacing w:val="1"/>
        </w:rPr>
        <w:t>是一组中枢神经系统运动神经元的进行性变性疾病，包括进行性脊肌萎缩</w:t>
      </w:r>
      <w:r>
        <w:rPr>
          <w:spacing w:val="-6"/>
        </w:rPr>
        <w:t>症、进行性延髓麻痹症、原发性侧索硬化症、肌萎缩性侧索硬化症。须满足</w:t>
      </w:r>
      <w:r>
        <w:rPr>
          <w:spacing w:val="-9"/>
        </w:rPr>
        <w:t>自主生活能力完全丧失，无法独立完成六项基本日常生活活动中的三项或三项以上的条件。</w:t>
      </w:r>
    </w:p>
    <w:p>
      <w:pPr>
        <w:spacing w:after="0" w:line="273" w:lineRule="auto"/>
        <w:jc w:val="both"/>
        <w:sectPr>
          <w:type w:val="continuous"/>
          <w:pgSz w:w="11910" w:h="16840"/>
          <w:pgMar w:top="520" w:bottom="280" w:left="1200" w:right="940"/>
          <w:cols w:num="2" w:equalWidth="0">
            <w:col w:w="2442" w:space="106"/>
            <w:col w:w="7222"/>
          </w:cols>
        </w:sectPr>
      </w:pPr>
    </w:p>
    <w:p>
      <w:pPr>
        <w:pStyle w:val="BodyText"/>
        <w:spacing w:before="5"/>
        <w:rPr>
          <w:sz w:val="14"/>
        </w:rPr>
      </w:pPr>
    </w:p>
    <w:p>
      <w:pPr>
        <w:pStyle w:val="ListParagraph"/>
        <w:numPr>
          <w:ilvl w:val="2"/>
          <w:numId w:val="4"/>
        </w:numPr>
        <w:tabs>
          <w:tab w:pos="955" w:val="left" w:leader="none"/>
          <w:tab w:pos="956" w:val="left" w:leader="none"/>
          <w:tab w:pos="2655" w:val="left" w:leader="none"/>
        </w:tabs>
        <w:spacing w:line="268" w:lineRule="auto" w:before="34" w:after="0"/>
        <w:ind w:left="2655" w:right="211" w:hanging="2549"/>
        <w:jc w:val="left"/>
        <w:rPr>
          <w:sz w:val="21"/>
        </w:rPr>
      </w:pPr>
      <w:r>
        <w:rPr>
          <w:i/>
          <w:sz w:val="22"/>
        </w:rPr>
        <w:t>语言能力丧失</w:t>
        <w:tab/>
      </w:r>
      <w:r>
        <w:rPr>
          <w:sz w:val="21"/>
        </w:rPr>
        <w:t>指因疾病或意外伤害导致完全丧失语言能力</w:t>
      </w:r>
      <w:r>
        <w:rPr>
          <w:spacing w:val="-96"/>
          <w:sz w:val="21"/>
        </w:rPr>
        <w:t>，</w:t>
      </w:r>
      <w:r>
        <w:rPr>
          <w:sz w:val="21"/>
        </w:rPr>
        <w:t>经过积极治疗至少</w:t>
      </w:r>
      <w:r>
        <w:rPr>
          <w:spacing w:val="-53"/>
          <w:sz w:val="21"/>
        </w:rPr>
        <w:t> </w:t>
      </w:r>
      <w:r>
        <w:rPr>
          <w:sz w:val="21"/>
        </w:rPr>
        <w:t>12 个</w:t>
      </w:r>
      <w:r>
        <w:rPr>
          <w:spacing w:val="-98"/>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655"/>
      </w:pPr>
      <w:r>
        <w:rPr/>
        <w:t>精神心理因素所致的语言能力丧失不在保障范围内。</w:t>
      </w:r>
    </w:p>
    <w:p>
      <w:pPr>
        <w:pStyle w:val="BodyText"/>
        <w:spacing w:line="273" w:lineRule="auto" w:before="36"/>
        <w:ind w:left="2655" w:right="157"/>
      </w:pPr>
      <w:r>
        <w:rPr/>
        <w:t>被保险人申请理赔时年龄必须在三周岁以上，并且提供理赔当时的语言能力丧失诊断及检查证据。</w:t>
      </w:r>
    </w:p>
    <w:p>
      <w:pPr>
        <w:pStyle w:val="BodyText"/>
        <w:rPr>
          <w:sz w:val="17"/>
        </w:rPr>
      </w:pPr>
    </w:p>
    <w:p>
      <w:pPr>
        <w:pStyle w:val="ListParagraph"/>
        <w:numPr>
          <w:ilvl w:val="2"/>
          <w:numId w:val="4"/>
        </w:numPr>
        <w:tabs>
          <w:tab w:pos="955" w:val="left" w:leader="none"/>
          <w:tab w:pos="956" w:val="left" w:leader="none"/>
          <w:tab w:pos="2655" w:val="left" w:leader="none"/>
        </w:tabs>
        <w:spacing w:line="240" w:lineRule="auto" w:before="0" w:after="0"/>
        <w:ind w:left="2655" w:right="0" w:hanging="2549"/>
        <w:jc w:val="left"/>
        <w:rPr>
          <w:sz w:val="21"/>
        </w:rPr>
      </w:pPr>
      <w:r>
        <w:rPr>
          <w:i/>
          <w:sz w:val="22"/>
        </w:rPr>
        <w:t>重型再生障碍性</w:t>
        <w:tab/>
      </w:r>
      <w:r>
        <w:rPr>
          <w:sz w:val="21"/>
        </w:rPr>
        <w:t>指因骨髓造血功能慢性持续性衰竭导致的贫血</w:t>
      </w:r>
      <w:r>
        <w:rPr>
          <w:spacing w:val="-35"/>
          <w:sz w:val="21"/>
        </w:rPr>
        <w:t>、</w:t>
      </w:r>
      <w:r>
        <w:rPr>
          <w:sz w:val="21"/>
        </w:rPr>
        <w:t>中性粒细胞减少及血小板减</w:t>
      </w:r>
    </w:p>
    <w:p>
      <w:pPr>
        <w:spacing w:after="0" w:line="240" w:lineRule="auto"/>
        <w:jc w:val="left"/>
        <w:rPr>
          <w:sz w:val="21"/>
        </w:rPr>
        <w:sectPr>
          <w:type w:val="continuous"/>
          <w:pgSz w:w="11910" w:h="16840"/>
          <w:pgMar w:top="520" w:bottom="280" w:left="1200" w:right="940"/>
        </w:sectPr>
      </w:pPr>
    </w:p>
    <w:p>
      <w:pPr>
        <w:pStyle w:val="BodyText"/>
        <w:tabs>
          <w:tab w:pos="2715" w:val="left" w:leader="none"/>
        </w:tabs>
        <w:spacing w:before="11"/>
        <w:ind w:left="1015"/>
      </w:pPr>
      <w:r>
        <w:rPr>
          <w:i/>
          <w:sz w:val="22"/>
        </w:rPr>
        <w:t>贫血</w:t>
        <w:tab/>
      </w:r>
      <w:r>
        <w:rPr/>
        <w:t>少。须满足下列全部条件：</w:t>
      </w:r>
    </w:p>
    <w:p>
      <w:pPr>
        <w:pStyle w:val="BodyText"/>
        <w:spacing w:before="34"/>
        <w:ind w:left="2715"/>
      </w:pPr>
      <w:r>
        <w:rPr/>
        <w:t>（1）骨髓穿刺检查或骨髓活检结果支持诊断；</w:t>
      </w:r>
    </w:p>
    <w:p>
      <w:pPr>
        <w:pStyle w:val="BodyText"/>
        <w:spacing w:before="36"/>
        <w:ind w:left="2715"/>
      </w:pPr>
      <w:r>
        <w:rPr/>
        <w:t>（2）外周血象须具备所有三项条件：</w:t>
      </w:r>
    </w:p>
    <w:p>
      <w:pPr>
        <w:pStyle w:val="BodyText"/>
        <w:spacing w:before="36"/>
        <w:ind w:left="3135"/>
      </w:pPr>
      <w:r>
        <w:rPr/>
        <w:t>① 中性粒细胞绝对值≤0.5×10</w:t>
      </w:r>
      <w:r>
        <w:rPr>
          <w:b/>
          <w:position w:val="11"/>
          <w:sz w:val="11"/>
        </w:rPr>
        <w:t>9</w:t>
      </w:r>
      <w:r>
        <w:rPr/>
        <w:t>/L ；</w:t>
      </w:r>
    </w:p>
    <w:p>
      <w:pPr>
        <w:pStyle w:val="BodyText"/>
        <w:spacing w:before="36"/>
        <w:ind w:left="3135"/>
      </w:pPr>
      <w:r>
        <w:rPr/>
        <w:t>② 网织红细胞＜1%；</w:t>
      </w:r>
    </w:p>
    <w:p>
      <w:pPr>
        <w:pStyle w:val="BodyText"/>
        <w:spacing w:before="36"/>
        <w:ind w:left="3135"/>
      </w:pPr>
      <w:r>
        <w:rPr/>
        <w:t>③ 血小板绝对值≤20×10</w:t>
      </w:r>
      <w:r>
        <w:rPr>
          <w:b/>
          <w:position w:val="11"/>
          <w:sz w:val="11"/>
        </w:rPr>
        <w:t>9</w:t>
      </w:r>
      <w:r>
        <w:rPr/>
        <w:t>/L。</w:t>
      </w:r>
    </w:p>
    <w:p>
      <w:pPr>
        <w:pStyle w:val="BodyText"/>
        <w:spacing w:before="5"/>
        <w:rPr>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087"/>
      </w:tblGrid>
      <w:tr>
        <w:trPr>
          <w:trHeight w:val="272" w:hRule="atLeast"/>
        </w:trPr>
        <w:tc>
          <w:tcPr>
            <w:tcW w:w="790" w:type="dxa"/>
          </w:tcPr>
          <w:p>
            <w:pPr>
              <w:pStyle w:val="TableParagraph"/>
              <w:spacing w:line="222" w:lineRule="exact"/>
              <w:ind w:left="50"/>
              <w:rPr>
                <w:i/>
                <w:sz w:val="22"/>
              </w:rPr>
            </w:pPr>
            <w:r>
              <w:rPr>
                <w:i/>
                <w:sz w:val="22"/>
              </w:rPr>
              <w:t>3.2.25</w:t>
            </w:r>
          </w:p>
        </w:tc>
        <w:tc>
          <w:tcPr>
            <w:tcW w:w="1702" w:type="dxa"/>
          </w:tcPr>
          <w:p>
            <w:pPr>
              <w:pStyle w:val="TableParagraph"/>
              <w:spacing w:line="222" w:lineRule="exact"/>
              <w:ind w:left="108"/>
              <w:rPr>
                <w:i/>
                <w:sz w:val="22"/>
              </w:rPr>
            </w:pPr>
            <w:r>
              <w:rPr>
                <w:i/>
                <w:w w:val="95"/>
                <w:sz w:val="22"/>
              </w:rPr>
              <w:t>主动脉手术</w:t>
            </w:r>
          </w:p>
        </w:tc>
        <w:tc>
          <w:tcPr>
            <w:tcW w:w="7087" w:type="dxa"/>
          </w:tcPr>
          <w:p>
            <w:pPr>
              <w:pStyle w:val="TableParagraph"/>
              <w:spacing w:line="220" w:lineRule="exact"/>
              <w:ind w:left="106"/>
              <w:rPr>
                <w:sz w:val="21"/>
              </w:rPr>
            </w:pPr>
            <w:r>
              <w:rPr>
                <w:sz w:val="21"/>
              </w:rPr>
              <w:t>指为治疗主动脉疾病，实际实施了开胸或开腹进行的切除、置换、修补病损</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主动脉血管的手术。主动脉指胸主动脉和腹主动脉，不包括胸主动脉和腹主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动脉的分支血管。</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动脉内血管成形术不在保障范围内。</w:t>
            </w:r>
          </w:p>
        </w:tc>
      </w:tr>
      <w:tr>
        <w:trPr>
          <w:trHeight w:val="743" w:hRule="atLeast"/>
        </w:trPr>
        <w:tc>
          <w:tcPr>
            <w:tcW w:w="790" w:type="dxa"/>
          </w:tcPr>
          <w:p>
            <w:pPr>
              <w:pStyle w:val="TableParagraph"/>
              <w:spacing w:before="93"/>
              <w:ind w:left="50"/>
              <w:rPr>
                <w:i/>
                <w:sz w:val="22"/>
              </w:rPr>
            </w:pPr>
            <w:r>
              <w:rPr>
                <w:i/>
                <w:sz w:val="22"/>
              </w:rPr>
              <w:t>3.2.26</w:t>
            </w:r>
          </w:p>
        </w:tc>
        <w:tc>
          <w:tcPr>
            <w:tcW w:w="1702" w:type="dxa"/>
          </w:tcPr>
          <w:p>
            <w:pPr>
              <w:pStyle w:val="TableParagraph"/>
              <w:spacing w:line="259" w:lineRule="auto" w:before="93"/>
              <w:ind w:left="108" w:right="104"/>
              <w:rPr>
                <w:i/>
                <w:sz w:val="22"/>
              </w:rPr>
            </w:pPr>
            <w:r>
              <w:rPr>
                <w:i/>
                <w:w w:val="95"/>
                <w:sz w:val="22"/>
              </w:rPr>
              <w:t>慢性呼吸功能衰</w:t>
            </w:r>
            <w:r>
              <w:rPr>
                <w:i/>
                <w:sz w:val="22"/>
              </w:rPr>
              <w:t>竭</w:t>
            </w:r>
          </w:p>
        </w:tc>
        <w:tc>
          <w:tcPr>
            <w:tcW w:w="7087" w:type="dxa"/>
          </w:tcPr>
          <w:p>
            <w:pPr>
              <w:pStyle w:val="TableParagraph"/>
              <w:spacing w:line="273" w:lineRule="auto" w:before="104"/>
              <w:ind w:left="106" w:right="26"/>
              <w:rPr>
                <w:sz w:val="21"/>
              </w:rPr>
            </w:pPr>
            <w:r>
              <w:rPr>
                <w:sz w:val="21"/>
              </w:rPr>
              <w:t>慢性肺部疾病导致永久不可逆性的慢性呼吸功能衰竭。慢性呼吸功能衰竭必须明确诊断并满足下列全部条件：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（1）休息时出现呼吸困难；</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（2）动脉血氧分压 （PaO 2 ）&lt; 50mmHg；</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（3）动脉血氧饱和度 （SaO 2 ）&lt; 80％；</w:t>
            </w:r>
          </w:p>
        </w:tc>
      </w:tr>
      <w:tr>
        <w:trPr>
          <w:trHeight w:val="43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80" w:lineRule="exact"/>
              <w:ind w:left="106"/>
              <w:rPr>
                <w:sz w:val="21"/>
              </w:rPr>
            </w:pPr>
            <w:r>
              <w:rPr>
                <w:sz w:val="21"/>
              </w:rPr>
              <w:t>（</w:t>
            </w:r>
            <w:r>
              <w:rPr>
                <w:rFonts w:ascii="Times New Roman" w:eastAsia="Times New Roman"/>
                <w:sz w:val="21"/>
              </w:rPr>
              <w:t>4</w:t>
            </w:r>
            <w:r>
              <w:rPr>
                <w:sz w:val="21"/>
              </w:rPr>
              <w:t>）因缺氧必须接受持续的输氧治疗。</w:t>
            </w:r>
          </w:p>
        </w:tc>
      </w:tr>
      <w:tr>
        <w:trPr>
          <w:trHeight w:val="423" w:hRule="atLeast"/>
        </w:trPr>
        <w:tc>
          <w:tcPr>
            <w:tcW w:w="790" w:type="dxa"/>
          </w:tcPr>
          <w:p>
            <w:pPr>
              <w:pStyle w:val="TableParagraph"/>
              <w:spacing w:before="85"/>
              <w:ind w:left="50"/>
              <w:rPr>
                <w:i/>
                <w:sz w:val="22"/>
              </w:rPr>
            </w:pPr>
            <w:r>
              <w:rPr>
                <w:i/>
                <w:sz w:val="22"/>
              </w:rPr>
              <w:t>3.2.27</w:t>
            </w:r>
          </w:p>
        </w:tc>
        <w:tc>
          <w:tcPr>
            <w:tcW w:w="1702" w:type="dxa"/>
          </w:tcPr>
          <w:p>
            <w:pPr>
              <w:pStyle w:val="TableParagraph"/>
              <w:spacing w:before="85"/>
              <w:ind w:left="108"/>
              <w:rPr>
                <w:i/>
                <w:sz w:val="22"/>
              </w:rPr>
            </w:pPr>
            <w:r>
              <w:rPr>
                <w:i/>
                <w:w w:val="95"/>
                <w:sz w:val="22"/>
              </w:rPr>
              <w:t>严重多发性硬化</w:t>
            </w:r>
          </w:p>
        </w:tc>
        <w:tc>
          <w:tcPr>
            <w:tcW w:w="7087" w:type="dxa"/>
          </w:tcPr>
          <w:p>
            <w:pPr>
              <w:pStyle w:val="TableParagraph"/>
              <w:spacing w:before="96"/>
              <w:ind w:left="106"/>
              <w:rPr>
                <w:sz w:val="21"/>
              </w:rPr>
            </w:pPr>
            <w:r>
              <w:rPr>
                <w:sz w:val="21"/>
              </w:rPr>
              <w:t>多发性硬化为中枢神经系统白质多灶性脱髓鞘病变，病变有时累及灰质。多</w:t>
            </w:r>
          </w:p>
        </w:tc>
      </w:tr>
      <w:tr>
        <w:trPr>
          <w:trHeight w:val="30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发性硬化必须明确诊断，并且已经造成永久不可逆的神经系统功能损害。永</w:t>
            </w:r>
          </w:p>
        </w:tc>
      </w:tr>
      <w:tr>
        <w:trPr>
          <w:trHeight w:val="62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56" w:lineRule="auto"/>
              <w:ind w:left="106" w:right="82"/>
              <w:rPr>
                <w:sz w:val="21"/>
              </w:rPr>
            </w:pPr>
            <w:r>
              <w:rPr>
                <w:sz w:val="21"/>
              </w:rPr>
              <w:t>久不可逆的神经系统损害指被保险人持续</w:t>
            </w:r>
            <w:r>
              <w:rPr>
                <w:rFonts w:ascii="Times New Roman" w:eastAsia="Times New Roman"/>
                <w:sz w:val="21"/>
              </w:rPr>
              <w:t>180 </w:t>
            </w:r>
            <w:r>
              <w:rPr>
                <w:sz w:val="21"/>
              </w:rPr>
              <w:t>天无法独立完成下列基本日常生活活动：</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（1）移动：自己从一个房间移动到另一个房间；或者</w:t>
            </w:r>
          </w:p>
        </w:tc>
      </w:tr>
      <w:tr>
        <w:trPr>
          <w:trHeight w:val="43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80" w:lineRule="exact"/>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423" w:hRule="atLeast"/>
        </w:trPr>
        <w:tc>
          <w:tcPr>
            <w:tcW w:w="790" w:type="dxa"/>
          </w:tcPr>
          <w:p>
            <w:pPr>
              <w:pStyle w:val="TableParagraph"/>
              <w:spacing w:before="85"/>
              <w:ind w:left="50"/>
              <w:rPr>
                <w:i/>
                <w:sz w:val="22"/>
              </w:rPr>
            </w:pPr>
            <w:r>
              <w:rPr>
                <w:i/>
                <w:sz w:val="22"/>
              </w:rPr>
              <w:t>3.2.28</w:t>
            </w:r>
          </w:p>
        </w:tc>
        <w:tc>
          <w:tcPr>
            <w:tcW w:w="1702" w:type="dxa"/>
          </w:tcPr>
          <w:p>
            <w:pPr>
              <w:pStyle w:val="TableParagraph"/>
              <w:spacing w:before="85"/>
              <w:ind w:left="108"/>
              <w:rPr>
                <w:i/>
                <w:sz w:val="22"/>
              </w:rPr>
            </w:pPr>
            <w:r>
              <w:rPr>
                <w:i/>
                <w:w w:val="95"/>
                <w:sz w:val="22"/>
              </w:rPr>
              <w:t>脊髓灰质炎</w:t>
            </w:r>
          </w:p>
        </w:tc>
        <w:tc>
          <w:tcPr>
            <w:tcW w:w="7087" w:type="dxa"/>
          </w:tcPr>
          <w:p>
            <w:pPr>
              <w:pStyle w:val="TableParagraph"/>
              <w:spacing w:before="96"/>
              <w:ind w:left="106"/>
              <w:rPr>
                <w:sz w:val="21"/>
              </w:rPr>
            </w:pPr>
            <w:r>
              <w:rPr>
                <w:sz w:val="21"/>
              </w:rPr>
              <w:t>脊髓灰质炎是由于脊髓灰质炎病毒感染所致的瘫痪性疾病，临床表现为运动</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功能损害或呼吸无力。脊髓灰质炎必须明确诊断。本保单仅对脊髓灰质炎造</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成的神经系统功能损害导致被保险人一肢或一肢以上肢体机能永久完全丧</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pacing w:val="-5"/>
                <w:sz w:val="21"/>
              </w:rPr>
              <w:t>失的情况予以理赔。肢体机能永久完全丧失，指疾病确诊 </w:t>
            </w:r>
            <w:r>
              <w:rPr>
                <w:sz w:val="21"/>
              </w:rPr>
              <w:t>180</w:t>
            </w:r>
            <w:r>
              <w:rPr>
                <w:spacing w:val="-11"/>
                <w:sz w:val="21"/>
              </w:rPr>
              <w:t> 天后，每肢三</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大关节中的两大关节仍然完全僵硬，或不能随意识活动。</w:t>
            </w:r>
          </w:p>
        </w:tc>
      </w:tr>
      <w:tr>
        <w:trPr>
          <w:trHeight w:val="743" w:hRule="atLeast"/>
        </w:trPr>
        <w:tc>
          <w:tcPr>
            <w:tcW w:w="790" w:type="dxa"/>
          </w:tcPr>
          <w:p>
            <w:pPr>
              <w:pStyle w:val="TableParagraph"/>
              <w:spacing w:before="93"/>
              <w:ind w:left="50"/>
              <w:rPr>
                <w:i/>
                <w:sz w:val="22"/>
              </w:rPr>
            </w:pPr>
            <w:r>
              <w:rPr>
                <w:i/>
                <w:sz w:val="22"/>
              </w:rPr>
              <w:t>3.2.29</w:t>
            </w:r>
          </w:p>
        </w:tc>
        <w:tc>
          <w:tcPr>
            <w:tcW w:w="1702" w:type="dxa"/>
          </w:tcPr>
          <w:p>
            <w:pPr>
              <w:pStyle w:val="TableParagraph"/>
              <w:spacing w:line="261" w:lineRule="auto" w:before="93"/>
              <w:ind w:left="108" w:right="121" w:hanging="1"/>
              <w:rPr>
                <w:i/>
                <w:sz w:val="22"/>
              </w:rPr>
            </w:pPr>
            <w:r>
              <w:rPr>
                <w:i/>
                <w:w w:val="95"/>
                <w:sz w:val="22"/>
              </w:rPr>
              <w:t>全身性重症肌无</w:t>
            </w:r>
            <w:r>
              <w:rPr>
                <w:i/>
                <w:sz w:val="22"/>
              </w:rPr>
              <w:t>力</w:t>
            </w:r>
          </w:p>
        </w:tc>
        <w:tc>
          <w:tcPr>
            <w:tcW w:w="7087" w:type="dxa"/>
          </w:tcPr>
          <w:p>
            <w:pPr>
              <w:pStyle w:val="TableParagraph"/>
              <w:spacing w:line="273" w:lineRule="auto" w:before="104"/>
              <w:ind w:left="106" w:right="25"/>
              <w:rPr>
                <w:sz w:val="21"/>
              </w:rPr>
            </w:pPr>
            <w:r>
              <w:rPr>
                <w:sz w:val="21"/>
              </w:rPr>
              <w:t>重症肌无力是一种神经肌肉接头传递障碍所致的疾病，表现为局部或全身骨骼肌（特别是眼外肌）极易疲劳。疾病可以累及呼吸肌、上肢或下肢的近端</w:t>
            </w:r>
          </w:p>
        </w:tc>
      </w:tr>
      <w:tr>
        <w:trPr>
          <w:trHeight w:val="31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肌群或全身肌肉，必须满足下列全部条件：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（1）经药物治疗和胸腺切除治疗一年以上仍无法控制病情；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（2）自主生活能力完全丧失，无法独立完成六项基本日常生活活动中的三</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项或三项以上。</w:t>
            </w:r>
          </w:p>
        </w:tc>
      </w:tr>
      <w:tr>
        <w:trPr>
          <w:trHeight w:val="431" w:hRule="atLeast"/>
        </w:trPr>
        <w:tc>
          <w:tcPr>
            <w:tcW w:w="790" w:type="dxa"/>
          </w:tcPr>
          <w:p>
            <w:pPr>
              <w:pStyle w:val="TableParagraph"/>
              <w:spacing w:before="93"/>
              <w:ind w:left="50"/>
              <w:rPr>
                <w:i/>
                <w:sz w:val="22"/>
              </w:rPr>
            </w:pPr>
            <w:r>
              <w:rPr>
                <w:i/>
                <w:sz w:val="22"/>
              </w:rPr>
              <w:t>3.2.30</w:t>
            </w:r>
          </w:p>
        </w:tc>
        <w:tc>
          <w:tcPr>
            <w:tcW w:w="1702" w:type="dxa"/>
          </w:tcPr>
          <w:p>
            <w:pPr>
              <w:pStyle w:val="TableParagraph"/>
              <w:spacing w:before="93"/>
              <w:ind w:left="108"/>
              <w:rPr>
                <w:i/>
                <w:sz w:val="22"/>
              </w:rPr>
            </w:pPr>
            <w:r>
              <w:rPr>
                <w:i/>
                <w:w w:val="95"/>
                <w:sz w:val="22"/>
              </w:rPr>
              <w:t>严重冠心病</w:t>
            </w:r>
          </w:p>
        </w:tc>
        <w:tc>
          <w:tcPr>
            <w:tcW w:w="7087" w:type="dxa"/>
          </w:tcPr>
          <w:p>
            <w:pPr>
              <w:pStyle w:val="TableParagraph"/>
              <w:spacing w:before="104"/>
              <w:ind w:left="106"/>
              <w:rPr>
                <w:sz w:val="21"/>
              </w:rPr>
            </w:pPr>
            <w:r>
              <w:rPr>
                <w:sz w:val="21"/>
              </w:rPr>
              <w:t>指经根据冠状动脉造影检查结果明确诊断为三支主要血管（左冠状动脉主干</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和右冠状动脉，或前降支、左旋支和右冠状动脉）严重狭窄性病变（至少一</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pacing w:val="-6"/>
                <w:sz w:val="21"/>
              </w:rPr>
              <w:t>支血管管腔直径减少 </w:t>
            </w:r>
            <w:r>
              <w:rPr>
                <w:sz w:val="21"/>
              </w:rPr>
              <w:t>75％</w:t>
            </w:r>
            <w:r>
              <w:rPr>
                <w:spacing w:val="-4"/>
                <w:sz w:val="21"/>
              </w:rPr>
              <w:t>以上和其他两支血管管腔直径减少 </w:t>
            </w:r>
            <w:r>
              <w:rPr>
                <w:sz w:val="21"/>
              </w:rPr>
              <w:t>60％以上</w:t>
            </w:r>
            <w:r>
              <w:rPr>
                <w:spacing w:val="-106"/>
                <w:sz w:val="21"/>
              </w:rPr>
              <w:t>）</w:t>
            </w:r>
            <w:r>
              <w:rPr>
                <w:spacing w:val="-35"/>
                <w:sz w:val="21"/>
              </w:rPr>
              <w:t>。前</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降支、左旋支及右冠状动脉的分支血管的狭窄不作为本保障的衡量指标。</w:t>
            </w:r>
          </w:p>
        </w:tc>
      </w:tr>
      <w:tr>
        <w:trPr>
          <w:trHeight w:val="431" w:hRule="atLeast"/>
        </w:trPr>
        <w:tc>
          <w:tcPr>
            <w:tcW w:w="790" w:type="dxa"/>
          </w:tcPr>
          <w:p>
            <w:pPr>
              <w:pStyle w:val="TableParagraph"/>
              <w:spacing w:before="93"/>
              <w:ind w:left="50"/>
              <w:rPr>
                <w:i/>
                <w:sz w:val="22"/>
              </w:rPr>
            </w:pPr>
            <w:r>
              <w:rPr>
                <w:i/>
                <w:sz w:val="22"/>
              </w:rPr>
              <w:t>3.2.31</w:t>
            </w:r>
          </w:p>
        </w:tc>
        <w:tc>
          <w:tcPr>
            <w:tcW w:w="1702" w:type="dxa"/>
          </w:tcPr>
          <w:p>
            <w:pPr>
              <w:pStyle w:val="TableParagraph"/>
              <w:spacing w:before="93"/>
              <w:ind w:left="108"/>
              <w:rPr>
                <w:i/>
                <w:sz w:val="22"/>
              </w:rPr>
            </w:pPr>
            <w:r>
              <w:rPr>
                <w:i/>
                <w:w w:val="95"/>
                <w:sz w:val="22"/>
              </w:rPr>
              <w:t>严重心肌病</w:t>
            </w:r>
          </w:p>
        </w:tc>
        <w:tc>
          <w:tcPr>
            <w:tcW w:w="7087" w:type="dxa"/>
          </w:tcPr>
          <w:p>
            <w:pPr>
              <w:pStyle w:val="TableParagraph"/>
              <w:spacing w:before="105"/>
              <w:ind w:left="106"/>
              <w:rPr>
                <w:sz w:val="21"/>
              </w:rPr>
            </w:pPr>
            <w:r>
              <w:rPr>
                <w:sz w:val="21"/>
              </w:rPr>
              <w:t>指被保险人因心肌病导致慢性心功能损害造成永久不可逆性的心功能衰竭。</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087" w:type="dxa"/>
          </w:tcPr>
          <w:p>
            <w:pPr>
              <w:pStyle w:val="TableParagraph"/>
              <w:spacing w:line="240" w:lineRule="exact"/>
              <w:ind w:left="106"/>
              <w:rPr>
                <w:sz w:val="21"/>
              </w:rPr>
            </w:pPr>
            <w:r>
              <w:rPr>
                <w:sz w:val="21"/>
              </w:rPr>
              <w:t>心功能衰竭程度达到纽约心脏病学会的心功能分级标准之心功能 IV 级。被</w:t>
            </w:r>
          </w:p>
        </w:tc>
      </w:tr>
    </w:tbl>
    <w:p>
      <w:pPr>
        <w:spacing w:after="0" w:line="240" w:lineRule="exact"/>
        <w:rPr>
          <w:sz w:val="21"/>
        </w:rPr>
        <w:sectPr>
          <w:pgSz w:w="11910" w:h="16840"/>
          <w:pgMar w:header="0" w:footer="998" w:top="1460" w:bottom="1180" w:left="1140" w:right="960"/>
        </w:sectPr>
      </w:pPr>
    </w:p>
    <w:p>
      <w:pPr>
        <w:pStyle w:val="BodyText"/>
        <w:spacing w:before="22"/>
        <w:ind w:left="2655"/>
      </w:pPr>
      <w:r>
        <w:rPr/>
        <w:t>保险人永久不可逆性的体力活动能力受限，不能从事任何体力活动。</w:t>
      </w:r>
    </w:p>
    <w:p>
      <w:pPr>
        <w:pStyle w:val="BodyText"/>
        <w:rPr>
          <w:sz w:val="20"/>
        </w:rPr>
      </w:pPr>
    </w:p>
    <w:p>
      <w:pPr>
        <w:pStyle w:val="BodyText"/>
        <w:rPr>
          <w:sz w:val="18"/>
        </w:rPr>
      </w:pPr>
    </w:p>
    <w:p>
      <w:pPr>
        <w:spacing w:after="0"/>
        <w:rPr>
          <w:sz w:val="18"/>
        </w:rPr>
        <w:sectPr>
          <w:pgSz w:w="11910" w:h="16840"/>
          <w:pgMar w:header="0" w:footer="998" w:top="1460" w:bottom="1180" w:left="1200" w:right="100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系统性红斑狼疮</w:t>
      </w:r>
    </w:p>
    <w:p>
      <w:pPr>
        <w:spacing w:line="259" w:lineRule="auto" w:before="24"/>
        <w:ind w:left="955" w:right="155" w:firstLine="0"/>
        <w:jc w:val="left"/>
        <w:rPr>
          <w:i/>
          <w:sz w:val="22"/>
        </w:rPr>
      </w:pPr>
      <w:r>
        <w:rPr>
          <w:i/>
          <w:spacing w:val="-21"/>
          <w:sz w:val="22"/>
        </w:rPr>
        <w:t>— </w:t>
      </w:r>
      <w:r>
        <w:rPr>
          <w:i/>
          <w:sz w:val="22"/>
        </w:rPr>
        <w:t>III</w:t>
      </w:r>
      <w:r>
        <w:rPr>
          <w:i/>
          <w:spacing w:val="-20"/>
          <w:sz w:val="22"/>
        </w:rPr>
        <w:t> 型或以</w:t>
      </w:r>
      <w:r>
        <w:rPr>
          <w:i/>
          <w:spacing w:val="-20"/>
          <w:w w:val="95"/>
          <w:sz w:val="22"/>
        </w:rPr>
        <w:t>上狼疮性肾炎</w:t>
      </w:r>
    </w:p>
    <w:p>
      <w:pPr>
        <w:pStyle w:val="BodyText"/>
        <w:spacing w:line="273" w:lineRule="auto" w:before="45"/>
        <w:ind w:left="106" w:right="152"/>
        <w:jc w:val="both"/>
      </w:pPr>
      <w:r>
        <w:rPr/>
        <w:br w:type="column"/>
      </w:r>
      <w:r>
        <w:rPr>
          <w:spacing w:val="-3"/>
        </w:rPr>
        <w:t>系统性红斑狼疮是由多种因素引起，累及多系统的自身免疫性疾病。其特点是生成自身抗体对抗多种自身抗原。多见于育龄妇女。</w:t>
      </w:r>
    </w:p>
    <w:p>
      <w:pPr>
        <w:pStyle w:val="BodyText"/>
        <w:spacing w:line="273" w:lineRule="auto" w:before="7"/>
        <w:ind w:left="106" w:right="116" w:hanging="1"/>
        <w:jc w:val="both"/>
      </w:pPr>
      <w:r>
        <w:rPr>
          <w:spacing w:val="-5"/>
        </w:rPr>
        <w:t>本保单所指的系统性红斑狼疮仅限于累及肾脏</w:t>
      </w:r>
      <w:r>
        <w:rPr/>
        <w:t>（</w:t>
      </w:r>
      <w:r>
        <w:rPr>
          <w:spacing w:val="-14"/>
        </w:rPr>
        <w:t>经肾脏活检确认的，符合 </w:t>
      </w:r>
      <w:r>
        <w:rPr/>
        <w:t>WHO </w:t>
      </w:r>
      <w:r>
        <w:rPr>
          <w:spacing w:val="-8"/>
        </w:rPr>
        <w:t>诊断标准定义 </w:t>
      </w:r>
      <w:r>
        <w:rPr/>
        <w:t>III</w:t>
      </w:r>
      <w:r>
        <w:rPr>
          <w:spacing w:val="-2"/>
        </w:rPr>
        <w:t> 型至</w:t>
      </w:r>
      <w:r>
        <w:rPr/>
        <w:t>V</w:t>
      </w:r>
      <w:r>
        <w:rPr>
          <w:spacing w:val="-9"/>
        </w:rPr>
        <w:t> 型狼疮性肾炎</w:t>
      </w:r>
      <w:r>
        <w:rPr>
          <w:spacing w:val="-18"/>
        </w:rPr>
        <w:t>）</w:t>
      </w:r>
      <w:r>
        <w:rPr>
          <w:spacing w:val="-2"/>
        </w:rPr>
        <w:t>的系统性红斑狼疮。其他类型的红斑性狼疮，如盘状狼疮、仅累及血液及关节的狼疮不在本保单保障范围內。</w:t>
      </w:r>
    </w:p>
    <w:p>
      <w:pPr>
        <w:pStyle w:val="BodyText"/>
        <w:spacing w:before="5"/>
        <w:rPr>
          <w:sz w:val="24"/>
        </w:rPr>
      </w:pPr>
    </w:p>
    <w:p>
      <w:pPr>
        <w:pStyle w:val="BodyText"/>
        <w:ind w:left="106"/>
        <w:jc w:val="both"/>
      </w:pPr>
      <w:r>
        <w:rPr/>
        <w:t>世界卫生组织（WHO）狼疮性肾炎分型：</w:t>
      </w:r>
    </w:p>
    <w:p>
      <w:pPr>
        <w:pStyle w:val="ListParagraph"/>
        <w:numPr>
          <w:ilvl w:val="3"/>
          <w:numId w:val="5"/>
        </w:numPr>
        <w:tabs>
          <w:tab w:pos="392" w:val="left" w:leader="none"/>
          <w:tab w:pos="2913" w:val="left" w:leader="none"/>
        </w:tabs>
        <w:spacing w:line="240" w:lineRule="auto" w:before="36" w:after="0"/>
        <w:ind w:left="391" w:right="0" w:hanging="159"/>
        <w:jc w:val="left"/>
        <w:rPr>
          <w:sz w:val="21"/>
        </w:rPr>
      </w:pPr>
      <w:r>
        <w:rPr>
          <w:sz w:val="21"/>
        </w:rPr>
        <w:t>型（微小病变型）</w:t>
        <w:tab/>
        <w:t>镜下阴性，尿液正常</w:t>
      </w:r>
    </w:p>
    <w:p>
      <w:pPr>
        <w:pStyle w:val="ListParagraph"/>
        <w:numPr>
          <w:ilvl w:val="3"/>
          <w:numId w:val="5"/>
        </w:numPr>
        <w:tabs>
          <w:tab w:pos="497" w:val="left" w:leader="none"/>
          <w:tab w:pos="2913" w:val="left" w:leader="none"/>
        </w:tabs>
        <w:spacing w:line="240" w:lineRule="auto" w:before="36" w:after="0"/>
        <w:ind w:left="496" w:right="0" w:hanging="264"/>
        <w:jc w:val="left"/>
        <w:rPr>
          <w:sz w:val="21"/>
        </w:rPr>
      </w:pPr>
      <w:r>
        <w:rPr>
          <w:sz w:val="21"/>
        </w:rPr>
        <w:t>型（系膜病变型）</w:t>
        <w:tab/>
        <w:t>中度蛋白尿，偶有尿沉渣改变</w:t>
      </w:r>
    </w:p>
    <w:p>
      <w:pPr>
        <w:pStyle w:val="ListParagraph"/>
        <w:numPr>
          <w:ilvl w:val="3"/>
          <w:numId w:val="5"/>
        </w:numPr>
        <w:tabs>
          <w:tab w:pos="598" w:val="left" w:leader="none"/>
        </w:tabs>
        <w:spacing w:line="240" w:lineRule="auto" w:before="36" w:after="0"/>
        <w:ind w:left="597" w:right="0" w:hanging="365"/>
        <w:jc w:val="left"/>
        <w:rPr>
          <w:sz w:val="21"/>
        </w:rPr>
      </w:pPr>
      <w:r>
        <w:rPr>
          <w:spacing w:val="-105"/>
          <w:sz w:val="21"/>
        </w:rPr>
        <w:t>型</w:t>
      </w:r>
      <w:r>
        <w:rPr>
          <w:sz w:val="21"/>
        </w:rPr>
        <w:t>（局灶及节段增生型） 蛋白尿，尿沉渣改变</w:t>
      </w:r>
    </w:p>
    <w:p>
      <w:pPr>
        <w:pStyle w:val="ListParagraph"/>
        <w:numPr>
          <w:ilvl w:val="3"/>
          <w:numId w:val="5"/>
        </w:numPr>
        <w:tabs>
          <w:tab w:pos="497" w:val="left" w:leader="none"/>
          <w:tab w:pos="2913" w:val="left" w:leader="none"/>
        </w:tabs>
        <w:spacing w:line="240" w:lineRule="auto" w:before="36" w:after="0"/>
        <w:ind w:left="496" w:right="0" w:hanging="264"/>
        <w:jc w:val="left"/>
        <w:rPr>
          <w:sz w:val="21"/>
        </w:rPr>
      </w:pPr>
      <w:r>
        <w:rPr>
          <w:sz w:val="21"/>
        </w:rPr>
        <w:t>型（弥漫增生型）</w:t>
        <w:tab/>
        <w:t>急性肾炎伴有尿沉渣改变及／或肾病综合征</w:t>
      </w:r>
    </w:p>
    <w:p>
      <w:pPr>
        <w:pStyle w:val="ListParagraph"/>
        <w:numPr>
          <w:ilvl w:val="3"/>
          <w:numId w:val="5"/>
        </w:numPr>
        <w:tabs>
          <w:tab w:pos="392" w:val="left" w:leader="none"/>
          <w:tab w:pos="2913" w:val="left" w:leader="none"/>
        </w:tabs>
        <w:spacing w:line="240" w:lineRule="auto" w:before="36" w:after="0"/>
        <w:ind w:left="391" w:right="0" w:hanging="159"/>
        <w:jc w:val="left"/>
        <w:rPr>
          <w:sz w:val="21"/>
        </w:rPr>
      </w:pPr>
      <w:r>
        <w:rPr>
          <w:sz w:val="21"/>
        </w:rPr>
        <w:t>型（膜型）</w:t>
        <w:tab/>
        <w:t>肾病综合征或重度蛋白尿</w:t>
      </w:r>
    </w:p>
    <w:p>
      <w:pPr>
        <w:spacing w:after="0" w:line="240" w:lineRule="auto"/>
        <w:jc w:val="left"/>
        <w:rPr>
          <w:sz w:val="21"/>
        </w:rPr>
        <w:sectPr>
          <w:type w:val="continuous"/>
          <w:pgSz w:w="11910" w:h="16840"/>
          <w:pgMar w:top="520" w:bottom="280" w:left="1200" w:right="1000"/>
          <w:cols w:num="2" w:equalWidth="0">
            <w:col w:w="2426" w:space="123"/>
            <w:col w:w="7161"/>
          </w:cols>
        </w:sectPr>
      </w:pPr>
    </w:p>
    <w:p>
      <w:pPr>
        <w:pStyle w:val="BodyText"/>
        <w:spacing w:before="8"/>
        <w:rPr>
          <w:sz w:val="16"/>
        </w:rPr>
      </w:pPr>
    </w:p>
    <w:p>
      <w:pPr>
        <w:spacing w:after="0"/>
        <w:rPr>
          <w:sz w:val="16"/>
        </w:rPr>
        <w:sectPr>
          <w:type w:val="continuous"/>
          <w:pgSz w:w="11910" w:h="16840"/>
          <w:pgMar w:top="520" w:bottom="280" w:left="1200" w:right="100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因职业关系导致</w:t>
      </w:r>
    </w:p>
    <w:p>
      <w:pPr>
        <w:spacing w:line="259" w:lineRule="auto" w:before="23"/>
        <w:ind w:left="955" w:right="0" w:firstLine="0"/>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line="273" w:lineRule="auto" w:before="46"/>
        <w:ind w:left="106" w:right="151"/>
      </w:pPr>
      <w:r>
        <w:rPr/>
        <w:br w:type="column"/>
      </w:r>
      <w:r>
        <w:rPr>
          <w:spacing w:val="-2"/>
        </w:rPr>
        <w:t>被保险人在其常规职业工作过程中遭遇外伤，或者职业需要处理血液或者其他体液时感染上人类免疫缺陷病毒（HIV</w:t>
      </w:r>
      <w:r>
        <w:rPr>
          <w:spacing w:val="-105"/>
        </w:rPr>
        <w:t>）</w:t>
      </w:r>
      <w:r>
        <w:rPr/>
        <w:t>。</w:t>
      </w:r>
    </w:p>
    <w:p>
      <w:pPr>
        <w:pStyle w:val="BodyText"/>
        <w:spacing w:before="7"/>
        <w:ind w:left="106"/>
      </w:pPr>
      <w:r>
        <w:rPr/>
        <w:t>必须满足下列全部条件：</w:t>
      </w:r>
    </w:p>
    <w:p>
      <w:pPr>
        <w:pStyle w:val="BodyText"/>
        <w:spacing w:line="273" w:lineRule="auto" w:before="36"/>
        <w:ind w:left="106" w:right="150"/>
      </w:pPr>
      <w:r>
        <w:rPr/>
        <w:t>（1）感染必须是在被保险人正在从事其职业工作中发生，该职业必须属于以下列表内的职业；</w:t>
      </w:r>
    </w:p>
    <w:p>
      <w:pPr>
        <w:pStyle w:val="BodyText"/>
        <w:spacing w:before="7"/>
        <w:ind w:left="106"/>
      </w:pPr>
      <w:r>
        <w:rPr/>
        <w:t>（2）血清转化必须出现在事故发生后的 6 个月以内；</w:t>
      </w:r>
    </w:p>
    <w:p>
      <w:pPr>
        <w:pStyle w:val="BodyText"/>
        <w:spacing w:line="273" w:lineRule="auto" w:before="37"/>
        <w:ind w:left="106" w:right="98"/>
      </w:pPr>
      <w:r>
        <w:rPr/>
        <w:t>（3）必须提供被保险人在所报事故发生后的 5 天以内进行的检查报告，该报告必须显示被保险人血液 HIV 病毒阴性和/或 HIV 抗体阴性；</w:t>
      </w:r>
    </w:p>
    <w:p>
      <w:pPr>
        <w:pStyle w:val="BodyText"/>
        <w:spacing w:line="273" w:lineRule="auto" w:before="8"/>
        <w:ind w:left="106" w:right="150"/>
      </w:pPr>
      <w:r>
        <w:rPr/>
        <w:t>（4</w:t>
      </w:r>
      <w:r>
        <w:rPr>
          <w:spacing w:val="-105"/>
        </w:rPr>
        <w:t>）</w:t>
      </w:r>
      <w:r>
        <w:rPr>
          <w:spacing w:val="1"/>
        </w:rPr>
        <w:t>必须在事故发生后的</w:t>
      </w:r>
      <w:r>
        <w:rPr/>
        <w:t>12</w:t>
      </w:r>
      <w:r>
        <w:rPr>
          <w:spacing w:val="-6"/>
        </w:rPr>
        <w:t> 个月内证实被保险人体内存在</w:t>
      </w:r>
      <w:r>
        <w:rPr/>
        <w:t>HIV</w:t>
      </w:r>
      <w:r>
        <w:rPr>
          <w:spacing w:val="-8"/>
        </w:rPr>
        <w:t> 病毒或者</w:t>
      </w:r>
      <w:r>
        <w:rPr/>
        <w:t>HIV抗体。</w:t>
      </w:r>
    </w:p>
    <w:p>
      <w:pPr>
        <w:pStyle w:val="BodyText"/>
        <w:spacing w:before="5"/>
        <w:rPr>
          <w:sz w:val="24"/>
        </w:rPr>
      </w:pPr>
    </w:p>
    <w:p>
      <w:pPr>
        <w:pStyle w:val="BodyText"/>
        <w:ind w:left="106"/>
      </w:pPr>
      <w:r>
        <w:rPr/>
        <w:t>职业限制如下所示:</w:t>
      </w:r>
    </w:p>
    <w:p>
      <w:pPr>
        <w:pStyle w:val="BodyText"/>
        <w:tabs>
          <w:tab w:pos="3819" w:val="left" w:leader="none"/>
        </w:tabs>
        <w:spacing w:before="36"/>
        <w:ind w:left="177"/>
      </w:pPr>
      <w:r>
        <w:rPr/>
        <w:t>医生和牙科医生</w:t>
        <w:tab/>
        <w:t>护士</w:t>
      </w:r>
    </w:p>
    <w:p>
      <w:pPr>
        <w:pStyle w:val="BodyText"/>
        <w:tabs>
          <w:tab w:pos="3819" w:val="left" w:leader="none"/>
        </w:tabs>
        <w:spacing w:before="36"/>
        <w:ind w:left="177"/>
      </w:pPr>
      <w:r>
        <w:rPr/>
        <w:t>医院化验室工作人员</w:t>
        <w:tab/>
        <w:t>医院护工</w:t>
      </w:r>
    </w:p>
    <w:p>
      <w:pPr>
        <w:pStyle w:val="BodyText"/>
        <w:tabs>
          <w:tab w:pos="3819" w:val="left" w:leader="none"/>
        </w:tabs>
        <w:spacing w:before="36"/>
        <w:ind w:left="177"/>
      </w:pPr>
      <w:r>
        <w:rPr/>
        <w:t>医生助理和牙医助理</w:t>
        <w:tab/>
        <w:t>救护车工作人员</w:t>
      </w:r>
    </w:p>
    <w:p>
      <w:pPr>
        <w:pStyle w:val="BodyText"/>
        <w:tabs>
          <w:tab w:pos="3819" w:val="left" w:leader="none"/>
        </w:tabs>
        <w:spacing w:before="36"/>
        <w:ind w:left="177"/>
      </w:pPr>
      <w:r>
        <w:rPr/>
        <w:t>助产士</w:t>
        <w:tab/>
        <w:t>消防队员</w:t>
      </w:r>
    </w:p>
    <w:p>
      <w:pPr>
        <w:pStyle w:val="BodyText"/>
        <w:tabs>
          <w:tab w:pos="3819" w:val="left" w:leader="none"/>
        </w:tabs>
        <w:spacing w:before="36"/>
        <w:ind w:left="177"/>
      </w:pPr>
      <w:r>
        <w:rPr/>
        <w:t>警察</w:t>
        <w:tab/>
        <w:t>狱警</w:t>
      </w:r>
    </w:p>
    <w:p>
      <w:pPr>
        <w:spacing w:after="0"/>
        <w:sectPr>
          <w:type w:val="continuous"/>
          <w:pgSz w:w="11910" w:h="16840"/>
          <w:pgMar w:top="520" w:bottom="280" w:left="1200" w:right="1000"/>
          <w:cols w:num="2" w:equalWidth="0">
            <w:col w:w="2442" w:space="106"/>
            <w:col w:w="7162"/>
          </w:cols>
        </w:sectPr>
      </w:pPr>
    </w:p>
    <w:p>
      <w:pPr>
        <w:pStyle w:val="BodyText"/>
        <w:spacing w:before="8"/>
        <w:rPr>
          <w:sz w:val="16"/>
        </w:rPr>
      </w:pPr>
    </w:p>
    <w:p>
      <w:pPr>
        <w:spacing w:after="0"/>
        <w:rPr>
          <w:sz w:val="16"/>
        </w:rPr>
        <w:sectPr>
          <w:type w:val="continuous"/>
          <w:pgSz w:w="11910" w:h="16840"/>
          <w:pgMar w:top="520" w:bottom="280" w:left="1200" w:right="100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经输血导致的人</w:t>
      </w:r>
    </w:p>
    <w:p>
      <w:pPr>
        <w:spacing w:before="23"/>
        <w:ind w:left="955" w:right="0" w:firstLine="0"/>
        <w:jc w:val="left"/>
        <w:rPr>
          <w:i/>
          <w:sz w:val="22"/>
        </w:rPr>
      </w:pPr>
      <w:r>
        <w:rPr>
          <w:i/>
          <w:w w:val="95"/>
          <w:sz w:val="22"/>
        </w:rPr>
        <w:t>类免疫缺陷病毒</w:t>
      </w:r>
    </w:p>
    <w:p>
      <w:pPr>
        <w:spacing w:before="23"/>
        <w:ind w:left="955" w:right="0" w:firstLine="0"/>
        <w:jc w:val="left"/>
        <w:rPr>
          <w:i/>
          <w:sz w:val="22"/>
        </w:rPr>
      </w:pPr>
      <w:r>
        <w:rPr>
          <w:i/>
          <w:w w:val="95"/>
          <w:sz w:val="22"/>
        </w:rPr>
        <w:t>（HIV）感染</w:t>
      </w:r>
    </w:p>
    <w:p>
      <w:pPr>
        <w:pStyle w:val="BodyText"/>
        <w:spacing w:before="46"/>
        <w:ind w:left="106"/>
      </w:pPr>
      <w:r>
        <w:rPr/>
        <w:br w:type="column"/>
      </w:r>
      <w:r>
        <w:rPr/>
        <w:t>被保险人感染上人类免疫缺陷病毒（HIV）并且满足下列全部条件：</w:t>
      </w:r>
    </w:p>
    <w:p>
      <w:pPr>
        <w:pStyle w:val="BodyText"/>
        <w:spacing w:before="37"/>
        <w:ind w:left="106"/>
      </w:pPr>
      <w:r>
        <w:rPr/>
        <w:t>（1）在保障起始日或复效日之后，被保险人因输血而感染 HIV；</w:t>
      </w:r>
    </w:p>
    <w:p>
      <w:pPr>
        <w:pStyle w:val="BodyText"/>
        <w:spacing w:line="273" w:lineRule="auto" w:before="37"/>
        <w:ind w:left="106" w:right="150"/>
      </w:pPr>
      <w:r>
        <w:rPr/>
        <w:t>（2）提供输血治疗的输血中心或医院出具该项输血感染属医疗责任事故的报告，或者法院终审裁定为医疗责任并且不准上诉；</w:t>
      </w:r>
    </w:p>
    <w:p>
      <w:pPr>
        <w:pStyle w:val="BodyText"/>
        <w:spacing w:before="7"/>
        <w:ind w:left="106"/>
      </w:pPr>
      <w:r>
        <w:rPr/>
        <w:t>（3）受感染的被保险人不是血友病患者。</w:t>
      </w:r>
    </w:p>
    <w:p>
      <w:pPr>
        <w:pStyle w:val="BodyText"/>
        <w:spacing w:line="273" w:lineRule="auto" w:before="36"/>
        <w:ind w:left="106" w:right="152"/>
      </w:pPr>
      <w:r>
        <w:rPr>
          <w:spacing w:val="-2"/>
        </w:rPr>
        <w:t>在任何治愈艾滋病</w:t>
      </w:r>
      <w:r>
        <w:rPr/>
        <w:t>（AIDS）</w:t>
      </w:r>
      <w:r>
        <w:rPr>
          <w:spacing w:val="-15"/>
        </w:rPr>
        <w:t>或阻止 </w:t>
      </w:r>
      <w:r>
        <w:rPr/>
        <w:t>HIV</w:t>
      </w:r>
      <w:r>
        <w:rPr>
          <w:spacing w:val="-9"/>
        </w:rPr>
        <w:t> 病毒作用的疗法被发现以后，或能防</w:t>
      </w:r>
      <w:r>
        <w:rPr>
          <w:spacing w:val="-39"/>
        </w:rPr>
        <w:t>止 </w:t>
      </w:r>
      <w:r>
        <w:rPr/>
        <w:t>AIDS</w:t>
      </w:r>
      <w:r>
        <w:rPr>
          <w:spacing w:val="-9"/>
        </w:rPr>
        <w:t> 发生的医疗方法被研究出来以后，本保障将不再予以赔付。</w:t>
      </w:r>
    </w:p>
    <w:p>
      <w:pPr>
        <w:pStyle w:val="BodyText"/>
        <w:spacing w:line="273" w:lineRule="auto" w:before="7"/>
        <w:ind w:left="106" w:right="151"/>
        <w:jc w:val="both"/>
      </w:pPr>
      <w:r>
        <w:rPr>
          <w:spacing w:val="-2"/>
        </w:rPr>
        <w:t>任何因其他传播方式</w:t>
      </w:r>
      <w:r>
        <w:rPr/>
        <w:t>（</w:t>
      </w:r>
      <w:r>
        <w:rPr>
          <w:spacing w:val="-3"/>
        </w:rPr>
        <w:t>包括：性传播或静脉注射毒品</w:t>
      </w:r>
      <w:r>
        <w:rPr>
          <w:spacing w:val="-12"/>
        </w:rPr>
        <w:t>）</w:t>
      </w:r>
      <w:r>
        <w:rPr>
          <w:spacing w:val="-14"/>
        </w:rPr>
        <w:t>导致的 </w:t>
      </w:r>
      <w:r>
        <w:rPr/>
        <w:t>HIV</w:t>
      </w:r>
      <w:r>
        <w:rPr>
          <w:spacing w:val="-12"/>
        </w:rPr>
        <w:t> 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1200" w:right="1000"/>
          <w:cols w:num="2" w:equalWidth="0">
            <w:col w:w="2442" w:space="106"/>
            <w:col w:w="7162"/>
          </w:cols>
        </w:sectPr>
      </w:pPr>
    </w:p>
    <w:p>
      <w:pPr>
        <w:pStyle w:val="ListParagraph"/>
        <w:numPr>
          <w:ilvl w:val="2"/>
          <w:numId w:val="5"/>
        </w:numPr>
        <w:tabs>
          <w:tab w:pos="956" w:val="left" w:leader="none"/>
        </w:tabs>
        <w:spacing w:line="271" w:lineRule="auto" w:before="11" w:after="0"/>
        <w:ind w:left="2655" w:right="211" w:hanging="2549"/>
        <w:jc w:val="both"/>
        <w:rPr>
          <w:sz w:val="21"/>
        </w:rPr>
      </w:pPr>
      <w:r>
        <w:rPr>
          <w:i/>
          <w:spacing w:val="5"/>
          <w:sz w:val="22"/>
        </w:rPr>
        <w:t>严重克隆病    </w:t>
      </w:r>
      <w:r>
        <w:rPr>
          <w:spacing w:val="-3"/>
          <w:sz w:val="21"/>
        </w:rPr>
        <w:t>克隆病是一种慢性肉芽肿性肠炎，具有特征性的克隆病病理组织学变化。诊</w:t>
      </w:r>
      <w:r>
        <w:rPr>
          <w:spacing w:val="-6"/>
          <w:sz w:val="21"/>
        </w:rPr>
        <w:t>断必须由病理检查结果证实。被保险人所患的克隆病必须已经造成瘘管形成并伴有肠梗阻或肠穿孔。</w:t>
      </w:r>
    </w:p>
    <w:p>
      <w:pPr>
        <w:pStyle w:val="BodyText"/>
        <w:spacing w:before="9"/>
        <w:rPr>
          <w:sz w:val="14"/>
        </w:rPr>
      </w:pPr>
    </w:p>
    <w:p>
      <w:pPr>
        <w:spacing w:after="0"/>
        <w:rPr>
          <w:sz w:val="14"/>
        </w:rPr>
        <w:sectPr>
          <w:pgSz w:w="11910" w:h="16840"/>
          <w:pgMar w:header="0" w:footer="998" w:top="1460" w:bottom="1180" w:left="1200" w:right="9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严重溃疡性结肠</w:t>
      </w:r>
    </w:p>
    <w:p>
      <w:pPr>
        <w:spacing w:before="24"/>
        <w:ind w:left="0" w:right="319" w:firstLine="0"/>
        <w:jc w:val="center"/>
        <w:rPr>
          <w:i/>
          <w:sz w:val="22"/>
        </w:rPr>
      </w:pPr>
      <w:r>
        <w:rPr>
          <w:i/>
          <w:w w:val="95"/>
          <w:sz w:val="22"/>
        </w:rPr>
        <w:t>炎</w:t>
      </w:r>
    </w:p>
    <w:p>
      <w:pPr>
        <w:pStyle w:val="BodyText"/>
        <w:spacing w:line="273" w:lineRule="auto" w:before="45"/>
        <w:ind w:left="106" w:right="211"/>
        <w:jc w:val="both"/>
      </w:pPr>
      <w:r>
        <w:rPr/>
        <w:br w:type="column"/>
      </w:r>
      <w:r>
        <w:rPr>
          <w:spacing w:val="1"/>
        </w:rPr>
        <w:t>本保单所保障的溃疡性结肠炎是指伴有致命性电解质紊乱的急性暴发性溃</w:t>
      </w:r>
      <w:r>
        <w:rPr>
          <w:spacing w:val="-3"/>
        </w:rPr>
        <w:t>疡性结肠炎，病变累及全结肠，表现为严重的血便和系统性症状体征，治疗</w:t>
      </w:r>
      <w:r>
        <w:rPr>
          <w:spacing w:val="-5"/>
        </w:rPr>
        <w:t>通常采取全结肠切除和回肠造瘘术。溃疡性结肠炎必须根据组织病理学特点</w:t>
      </w:r>
      <w:r>
        <w:rPr>
          <w:spacing w:val="-1"/>
        </w:rPr>
        <w:t>诊断，并且被保险人已经接受了结肠切除和</w:t>
      </w:r>
      <w:r>
        <w:rPr/>
        <w:t>/或回肠造瘘术。</w:t>
      </w:r>
    </w:p>
    <w:p>
      <w:pPr>
        <w:spacing w:after="0" w:line="273" w:lineRule="auto"/>
        <w:jc w:val="both"/>
        <w:sectPr>
          <w:type w:val="continuous"/>
          <w:pgSz w:w="11910" w:h="16840"/>
          <w:pgMar w:top="520" w:bottom="280" w:left="1200" w:right="940"/>
          <w:cols w:num="2" w:equalWidth="0">
            <w:col w:w="2442" w:space="106"/>
            <w:col w:w="7222"/>
          </w:cols>
        </w:sectPr>
      </w:pPr>
    </w:p>
    <w:p>
      <w:pPr>
        <w:pStyle w:val="BodyText"/>
        <w:spacing w:before="5"/>
        <w:rPr>
          <w:sz w:val="14"/>
        </w:rPr>
      </w:pPr>
    </w:p>
    <w:p>
      <w:pPr>
        <w:pStyle w:val="ListParagraph"/>
        <w:numPr>
          <w:ilvl w:val="2"/>
          <w:numId w:val="5"/>
        </w:numPr>
        <w:tabs>
          <w:tab w:pos="956" w:val="left" w:leader="none"/>
        </w:tabs>
        <w:spacing w:line="271" w:lineRule="auto" w:before="34" w:after="0"/>
        <w:ind w:left="2655" w:right="211" w:hanging="2549"/>
        <w:jc w:val="both"/>
        <w:rPr>
          <w:sz w:val="21"/>
        </w:rPr>
      </w:pPr>
      <w:r>
        <w:rPr>
          <w:i/>
          <w:sz w:val="22"/>
        </w:rPr>
        <w:t>1</w:t>
      </w:r>
      <w:r>
        <w:rPr>
          <w:i/>
          <w:spacing w:val="-6"/>
          <w:sz w:val="22"/>
        </w:rPr>
        <w:t> 型糖尿病     </w:t>
      </w:r>
      <w:r>
        <w:rPr>
          <w:sz w:val="21"/>
        </w:rPr>
        <w:t>1</w:t>
      </w:r>
      <w:r>
        <w:rPr>
          <w:spacing w:val="-7"/>
          <w:sz w:val="21"/>
        </w:rPr>
        <w:t> 型糖尿病的特征为由于胰岛素分泌绝对不足引起严重胰岛素缺乏导致慢性</w:t>
      </w:r>
      <w:r>
        <w:rPr>
          <w:spacing w:val="-8"/>
          <w:sz w:val="21"/>
        </w:rPr>
        <w:t>血糖升高，需要依赖外源性胰岛素进行机体的葡萄糖代谢和维持生命。被保</w:t>
      </w:r>
      <w:r>
        <w:rPr>
          <w:spacing w:val="-20"/>
          <w:sz w:val="21"/>
        </w:rPr>
        <w:t>险人的 </w:t>
      </w:r>
      <w:r>
        <w:rPr>
          <w:sz w:val="21"/>
        </w:rPr>
        <w:t>1</w:t>
      </w:r>
      <w:r>
        <w:rPr>
          <w:spacing w:val="-13"/>
          <w:sz w:val="21"/>
        </w:rPr>
        <w:t> 型糖尿病必须明确诊断，而且有血胰岛素测定及血 </w:t>
      </w:r>
      <w:r>
        <w:rPr>
          <w:sz w:val="21"/>
        </w:rPr>
        <w:t>C</w:t>
      </w:r>
      <w:r>
        <w:rPr>
          <w:spacing w:val="-1"/>
          <w:sz w:val="21"/>
        </w:rPr>
        <w:t> 肽或尿</w:t>
      </w:r>
      <w:r>
        <w:rPr>
          <w:sz w:val="21"/>
        </w:rPr>
        <w:t>C</w:t>
      </w:r>
      <w:r>
        <w:rPr>
          <w:spacing w:val="-18"/>
          <w:sz w:val="21"/>
        </w:rPr>
        <w:t> 肽测定结果支持诊断，并且满足下列全部条件：</w:t>
      </w:r>
    </w:p>
    <w:p>
      <w:pPr>
        <w:pStyle w:val="BodyText"/>
        <w:spacing w:before="10"/>
        <w:ind w:left="2655"/>
      </w:pPr>
      <w:r>
        <w:rPr/>
        <w:t>（1）已经持续性地接受外源性胰岛素注射治疗连续 180 天以上；</w:t>
      </w:r>
    </w:p>
    <w:p>
      <w:pPr>
        <w:pStyle w:val="BodyText"/>
        <w:spacing w:before="37"/>
        <w:ind w:left="2655"/>
      </w:pPr>
      <w:r>
        <w:rPr/>
        <w:t>（2）因需要已经接受了下列治疗：</w:t>
      </w:r>
    </w:p>
    <w:p>
      <w:pPr>
        <w:pStyle w:val="ListParagraph"/>
        <w:numPr>
          <w:ilvl w:val="0"/>
          <w:numId w:val="6"/>
        </w:numPr>
        <w:tabs>
          <w:tab w:pos="2971" w:val="left" w:leader="none"/>
        </w:tabs>
        <w:spacing w:line="240" w:lineRule="auto" w:before="37" w:after="0"/>
        <w:ind w:left="2970" w:right="0" w:hanging="315"/>
        <w:jc w:val="left"/>
        <w:rPr>
          <w:sz w:val="21"/>
        </w:rPr>
      </w:pPr>
      <w:r>
        <w:rPr>
          <w:spacing w:val="-1"/>
          <w:sz w:val="21"/>
        </w:rPr>
        <w:t>因严重心律失常植入了心脏起搏器；或</w:t>
      </w:r>
    </w:p>
    <w:p>
      <w:pPr>
        <w:pStyle w:val="ListParagraph"/>
        <w:numPr>
          <w:ilvl w:val="0"/>
          <w:numId w:val="6"/>
        </w:numPr>
        <w:tabs>
          <w:tab w:pos="2971" w:val="left" w:leader="none"/>
        </w:tabs>
        <w:spacing w:line="240" w:lineRule="auto" w:before="37" w:after="0"/>
        <w:ind w:left="2970" w:right="0" w:hanging="315"/>
        <w:jc w:val="left"/>
        <w:rPr>
          <w:sz w:val="21"/>
        </w:rPr>
      </w:pPr>
      <w:r>
        <w:rPr>
          <w:spacing w:val="-1"/>
          <w:sz w:val="21"/>
        </w:rPr>
        <w:t>因坏疽自跖趾关节或以上切除了一趾或多趾。</w:t>
      </w:r>
    </w:p>
    <w:p>
      <w:pPr>
        <w:pStyle w:val="BodyText"/>
        <w:spacing w:before="3"/>
        <w:rPr>
          <w:sz w:val="19"/>
        </w:rPr>
      </w:pPr>
    </w:p>
    <w:p>
      <w:pPr>
        <w:pStyle w:val="ListParagraph"/>
        <w:numPr>
          <w:ilvl w:val="2"/>
          <w:numId w:val="5"/>
        </w:numPr>
        <w:tabs>
          <w:tab w:pos="956" w:val="left" w:leader="none"/>
        </w:tabs>
        <w:spacing w:line="271" w:lineRule="auto" w:before="0" w:after="0"/>
        <w:ind w:left="2655" w:right="176" w:hanging="2549"/>
        <w:jc w:val="both"/>
        <w:rPr>
          <w:sz w:val="21"/>
        </w:rPr>
      </w:pPr>
      <w:r>
        <w:rPr>
          <w:i/>
          <w:spacing w:val="10"/>
          <w:sz w:val="22"/>
        </w:rPr>
        <w:t>肺源性心脏病  </w:t>
      </w:r>
      <w:r>
        <w:rPr>
          <w:spacing w:val="1"/>
          <w:sz w:val="21"/>
        </w:rPr>
        <w:t>指被保人因慢性肺部疾病导致慢性心功能损害造成永久不可逆性的心功能</w:t>
      </w:r>
      <w:r>
        <w:rPr>
          <w:spacing w:val="2"/>
          <w:sz w:val="21"/>
        </w:rPr>
        <w:t>衰竭。心功能衰竭程度达到纽约心脏病学会的心功能分级标准之心功能 </w:t>
      </w:r>
      <w:r>
        <w:rPr>
          <w:sz w:val="21"/>
        </w:rPr>
        <w:t>IV 级。被保险人永久不可逆性的体力活动能力受限，不能从事任何体力活动。</w:t>
      </w:r>
    </w:p>
    <w:p>
      <w:pPr>
        <w:pStyle w:val="BodyText"/>
        <w:spacing w:before="2"/>
        <w:rPr>
          <w:sz w:val="17"/>
        </w:rPr>
      </w:pPr>
    </w:p>
    <w:p>
      <w:pPr>
        <w:pStyle w:val="ListParagraph"/>
        <w:numPr>
          <w:ilvl w:val="2"/>
          <w:numId w:val="5"/>
        </w:numPr>
        <w:tabs>
          <w:tab w:pos="956" w:val="left" w:leader="none"/>
        </w:tabs>
        <w:spacing w:line="271" w:lineRule="auto" w:before="0" w:after="0"/>
        <w:ind w:left="2655" w:right="210" w:hanging="2549"/>
        <w:jc w:val="both"/>
        <w:rPr>
          <w:sz w:val="21"/>
        </w:rPr>
      </w:pPr>
      <w:r>
        <w:rPr>
          <w:i/>
          <w:spacing w:val="11"/>
          <w:sz w:val="22"/>
        </w:rPr>
        <w:t>植物人状态    </w:t>
      </w:r>
      <w:r>
        <w:rPr>
          <w:sz w:val="21"/>
        </w:rPr>
        <w:t>植物人状态系指由于严重颅脑外伤造成大脑和/或脑干严重损害导致完全永</w:t>
      </w:r>
      <w:r>
        <w:rPr>
          <w:spacing w:val="-2"/>
          <w:sz w:val="21"/>
        </w:rPr>
        <w:t>久性的对自身和环境的意识丧失和中枢神经系统功能丧失，仅残存植物神经</w:t>
      </w:r>
      <w:r>
        <w:rPr>
          <w:spacing w:val="1"/>
          <w:sz w:val="21"/>
        </w:rPr>
        <w:t>功能的疾病状态。诊断必须明确诊断并且具有严重颅脑外伤和脑损害的证</w:t>
      </w:r>
      <w:r>
        <w:rPr>
          <w:spacing w:val="-4"/>
          <w:sz w:val="21"/>
        </w:rPr>
        <w:t>据。植物人状态必须持续 </w:t>
      </w:r>
      <w:r>
        <w:rPr>
          <w:sz w:val="21"/>
        </w:rPr>
        <w:t>30</w:t>
      </w:r>
      <w:r>
        <w:rPr>
          <w:spacing w:val="-9"/>
          <w:sz w:val="21"/>
        </w:rPr>
        <w:t> 天以上方可申请理赔。</w:t>
      </w:r>
    </w:p>
    <w:p>
      <w:pPr>
        <w:pStyle w:val="BodyText"/>
        <w:spacing w:before="7"/>
        <w:rPr>
          <w:sz w:val="14"/>
        </w:rPr>
      </w:pPr>
    </w:p>
    <w:p>
      <w:pPr>
        <w:spacing w:after="0"/>
        <w:rPr>
          <w:sz w:val="14"/>
        </w:rPr>
        <w:sectPr>
          <w:type w:val="continuous"/>
          <w:pgSz w:w="11910" w:h="16840"/>
          <w:pgMar w:top="520" w:bottom="280" w:left="1200" w:right="9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严重类风湿性关</w:t>
      </w:r>
    </w:p>
    <w:p>
      <w:pPr>
        <w:spacing w:before="23"/>
        <w:ind w:left="937" w:right="1046" w:firstLine="0"/>
        <w:jc w:val="center"/>
        <w:rPr>
          <w:i/>
          <w:sz w:val="22"/>
        </w:rPr>
      </w:pPr>
      <w:r>
        <w:rPr>
          <w:i/>
          <w:w w:val="95"/>
          <w:sz w:val="22"/>
        </w:rPr>
        <w:t>节炎</w:t>
      </w:r>
    </w:p>
    <w:p>
      <w:pPr>
        <w:pStyle w:val="BodyText"/>
        <w:spacing w:line="273" w:lineRule="auto" w:before="46"/>
        <w:ind w:left="106" w:right="176"/>
        <w:jc w:val="both"/>
      </w:pPr>
      <w:r>
        <w:rPr/>
        <w:br w:type="column"/>
      </w:r>
      <w:r>
        <w:rPr>
          <w:spacing w:val="1"/>
        </w:rPr>
        <w:t>类风湿性关节炎为广泛分布的慢性进行性多关节病变，表现为关节严重变</w:t>
      </w:r>
      <w:r>
        <w:rPr>
          <w:spacing w:val="-5"/>
        </w:rPr>
        <w:t>形，侵犯至少三个主要关节或关节组【如：双手</w:t>
      </w:r>
      <w:r>
        <w:rPr/>
        <w:t>（多手指</w:t>
      </w:r>
      <w:r>
        <w:rPr>
          <w:spacing w:val="-5"/>
        </w:rPr>
        <w:t>）</w:t>
      </w:r>
      <w:r>
        <w:rPr>
          <w:spacing w:val="-3"/>
        </w:rPr>
        <w:t>关节、双足</w:t>
      </w:r>
      <w:r>
        <w:rPr/>
        <w:t>（多足趾）</w:t>
      </w:r>
      <w:r>
        <w:rPr>
          <w:spacing w:val="-6"/>
        </w:rPr>
        <w:t>关节、双腕关节、双膝关节和双髋关节】。类风湿性关节炎必须明确</w:t>
      </w:r>
      <w:r>
        <w:rPr>
          <w:spacing w:val="-9"/>
        </w:rPr>
        <w:t>诊断并且已经达到类风湿性关节炎功能分级 </w:t>
      </w:r>
      <w:r>
        <w:rPr/>
        <w:t>III</w:t>
      </w:r>
      <w:r>
        <w:rPr>
          <w:spacing w:val="-11"/>
        </w:rPr>
        <w:t> 级以上的功能障碍</w:t>
      </w:r>
      <w:r>
        <w:rPr/>
        <w:t>（关节活动严重限制，不能完成大部分的日常工作和活动）并且满足下列全部条件：</w:t>
      </w:r>
    </w:p>
    <w:p>
      <w:pPr>
        <w:pStyle w:val="BodyText"/>
        <w:spacing w:before="7"/>
        <w:ind w:left="106"/>
        <w:jc w:val="both"/>
      </w:pPr>
      <w:r>
        <w:rPr/>
        <w:t>（1）晨僵；</w:t>
      </w:r>
    </w:p>
    <w:p>
      <w:pPr>
        <w:pStyle w:val="BodyText"/>
        <w:spacing w:before="36"/>
        <w:ind w:left="106"/>
        <w:jc w:val="both"/>
      </w:pPr>
      <w:r>
        <w:rPr/>
        <w:t>（2）对称性关节炎；</w:t>
      </w:r>
    </w:p>
    <w:p>
      <w:pPr>
        <w:pStyle w:val="BodyText"/>
        <w:spacing w:before="36"/>
        <w:ind w:left="106"/>
        <w:jc w:val="both"/>
      </w:pPr>
      <w:r>
        <w:rPr/>
        <w:t>（3）类风湿性皮下结节；</w:t>
      </w:r>
    </w:p>
    <w:p>
      <w:pPr>
        <w:pStyle w:val="BodyText"/>
        <w:spacing w:before="36"/>
        <w:ind w:left="106"/>
        <w:jc w:val="both"/>
      </w:pPr>
      <w:r>
        <w:rPr/>
        <w:t>（4）类风湿因子滴度升高；</w:t>
      </w:r>
    </w:p>
    <w:p>
      <w:pPr>
        <w:pStyle w:val="BodyText"/>
        <w:spacing w:before="36"/>
        <w:ind w:left="106"/>
        <w:jc w:val="both"/>
      </w:pPr>
      <w:r>
        <w:rPr/>
        <w:t>（5）X 线显示严重的关节（软骨和骨）破坏和关节畸形。</w:t>
      </w:r>
    </w:p>
    <w:p>
      <w:pPr>
        <w:spacing w:after="0"/>
        <w:jc w:val="both"/>
        <w:sectPr>
          <w:type w:val="continuous"/>
          <w:pgSz w:w="11910" w:h="16840"/>
          <w:pgMar w:top="520" w:bottom="280" w:left="1200" w:right="940"/>
          <w:cols w:num="2" w:equalWidth="0">
            <w:col w:w="2442" w:space="106"/>
            <w:col w:w="7222"/>
          </w:cols>
        </w:sectPr>
      </w:pPr>
    </w:p>
    <w:p>
      <w:pPr>
        <w:pStyle w:val="BodyText"/>
        <w:spacing w:before="8"/>
        <w:rPr>
          <w:sz w:val="16"/>
        </w:rPr>
      </w:pPr>
    </w:p>
    <w:p>
      <w:pPr>
        <w:spacing w:after="0"/>
        <w:rPr>
          <w:sz w:val="16"/>
        </w:rPr>
        <w:sectPr>
          <w:type w:val="continuous"/>
          <w:pgSz w:w="11910" w:h="16840"/>
          <w:pgMar w:top="520" w:bottom="280" w:left="1200" w:right="9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非阿尔茨海默病</w:t>
      </w:r>
    </w:p>
    <w:p>
      <w:pPr>
        <w:spacing w:before="23"/>
        <w:ind w:left="955" w:right="0" w:firstLine="0"/>
        <w:jc w:val="left"/>
        <w:rPr>
          <w:i/>
          <w:sz w:val="22"/>
        </w:rPr>
      </w:pPr>
      <w:r>
        <w:rPr>
          <w:i/>
          <w:w w:val="95"/>
          <w:sz w:val="22"/>
        </w:rPr>
        <w:t>所致严重痴呆</w:t>
      </w:r>
    </w:p>
    <w:p>
      <w:pPr>
        <w:pStyle w:val="BodyText"/>
        <w:spacing w:line="280" w:lineRule="auto" w:before="71"/>
        <w:ind w:left="106" w:right="105"/>
      </w:pPr>
      <w:r>
        <w:rPr/>
        <w:br w:type="column"/>
      </w:r>
      <w:r>
        <w:rPr>
          <w:spacing w:val="1"/>
        </w:rPr>
        <w:t>指因阿尔茨海默病以外的脑的器质性疾病造成脑功能衰竭导致永久不可逆</w:t>
      </w:r>
      <w:r>
        <w:rPr>
          <w:spacing w:val="-11"/>
        </w:rPr>
        <w:t>性的严重痴呆，临床表现为明显的认知能力障碍、行为异常和社交能力减退。</w:t>
      </w:r>
      <w:r>
        <w:rPr>
          <w:spacing w:val="-13"/>
        </w:rPr>
        <w:t>被保险人自主生活能力完全丧失，无法独立完成六项基本日常生活活动中的</w:t>
      </w:r>
      <w:r>
        <w:rPr>
          <w:spacing w:val="-12"/>
        </w:rPr>
        <w:t>三项或三项以上，日常生活必须持续受到他人监护。导致痴呆的疾病必须明</w:t>
      </w:r>
      <w:r>
        <w:rPr>
          <w:spacing w:val="-9"/>
        </w:rPr>
        <w:t>确诊断，并且由完整的临床、实验室和影像学检查结果证实。神经官能症和精神疾病不在保障范围内。</w:t>
      </w:r>
    </w:p>
    <w:p>
      <w:pPr>
        <w:spacing w:after="0" w:line="280" w:lineRule="auto"/>
        <w:sectPr>
          <w:type w:val="continuous"/>
          <w:pgSz w:w="11910" w:h="16840"/>
          <w:pgMar w:top="520" w:bottom="280" w:left="1200" w:right="940"/>
          <w:cols w:num="2" w:equalWidth="0">
            <w:col w:w="2426" w:space="123"/>
            <w:col w:w="7221"/>
          </w:cols>
        </w:sectPr>
      </w:pPr>
    </w:p>
    <w:p>
      <w:pPr>
        <w:pStyle w:val="BodyText"/>
        <w:spacing w:before="8"/>
        <w:rPr>
          <w:sz w:val="12"/>
        </w:rPr>
      </w:pPr>
    </w:p>
    <w:p>
      <w:pPr>
        <w:pStyle w:val="ListParagraph"/>
        <w:numPr>
          <w:ilvl w:val="2"/>
          <w:numId w:val="5"/>
        </w:numPr>
        <w:tabs>
          <w:tab w:pos="955" w:val="left" w:leader="none"/>
          <w:tab w:pos="956" w:val="left" w:leader="none"/>
          <w:tab w:pos="2655" w:val="left" w:leader="none"/>
        </w:tabs>
        <w:spacing w:line="240" w:lineRule="auto" w:before="29" w:after="0"/>
        <w:ind w:left="2655" w:right="0" w:hanging="2549"/>
        <w:jc w:val="left"/>
        <w:rPr>
          <w:sz w:val="21"/>
        </w:rPr>
      </w:pPr>
      <w:r>
        <w:rPr>
          <w:i/>
          <w:position w:val="3"/>
          <w:sz w:val="22"/>
        </w:rPr>
        <w:t>终末期疾病</w:t>
        <w:tab/>
      </w:r>
      <w:r>
        <w:rPr>
          <w:sz w:val="21"/>
        </w:rPr>
        <w:t>被保险人被确诊为疾病的终末期状态</w:t>
      </w:r>
      <w:r>
        <w:rPr>
          <w:spacing w:val="-35"/>
          <w:sz w:val="21"/>
        </w:rPr>
        <w:t>。</w:t>
      </w:r>
      <w:r>
        <w:rPr>
          <w:sz w:val="21"/>
        </w:rPr>
        <w:t>疾病已经无法以现有的医疗技术医治</w:t>
      </w:r>
    </w:p>
    <w:p>
      <w:pPr>
        <w:spacing w:after="0" w:line="240" w:lineRule="auto"/>
        <w:jc w:val="left"/>
        <w:rPr>
          <w:sz w:val="21"/>
        </w:rPr>
        <w:sectPr>
          <w:type w:val="continuous"/>
          <w:pgSz w:w="11910" w:h="16840"/>
          <w:pgMar w:top="520" w:bottom="280" w:left="1200" w:right="940"/>
        </w:sectPr>
      </w:pPr>
    </w:p>
    <w:p>
      <w:pPr>
        <w:pStyle w:val="BodyText"/>
        <w:spacing w:line="278" w:lineRule="auto" w:before="8"/>
        <w:ind w:left="2775" w:right="211"/>
        <w:jc w:val="both"/>
      </w:pPr>
      <w:r>
        <w:rPr>
          <w:spacing w:val="-5"/>
        </w:rPr>
        <w:t>缓解，并且根据临床医学经验判断被保险人将于未来六个月内死亡。在家属</w:t>
      </w:r>
      <w:r>
        <w:rPr>
          <w:spacing w:val="-7"/>
        </w:rPr>
        <w:t>及患者的要求和医师的同意下积极治疗已被放弃，所有治疗措施仅以减轻患</w:t>
      </w:r>
      <w:r>
        <w:rPr>
          <w:spacing w:val="-9"/>
        </w:rPr>
        <w:t>者痛苦为目的。此疾病状态必须在被保险人生前已经确诊并且具有医疗证明文件和临床检查依据。</w:t>
      </w:r>
    </w:p>
    <w:p>
      <w:pPr>
        <w:pStyle w:val="BodyText"/>
        <w:rPr>
          <w:sz w:val="20"/>
        </w:rPr>
      </w:pPr>
    </w:p>
    <w:p>
      <w:pPr>
        <w:pStyle w:val="BodyText"/>
        <w:spacing w:before="3"/>
      </w:pPr>
    </w:p>
    <w:p>
      <w:pPr>
        <w:spacing w:before="0"/>
        <w:ind w:left="2775" w:right="0" w:firstLine="0"/>
        <w:jc w:val="left"/>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line="273" w:lineRule="auto" w:before="156"/>
        <w:ind w:left="2775" w:right="106" w:firstLine="420"/>
      </w:pPr>
      <w:r>
        <w:rPr>
          <w:spacing w:val="-9"/>
        </w:rPr>
        <w:t>六项基本日常生活活动是指：</w:t>
      </w:r>
      <w:r>
        <w:rPr/>
        <w:t>（1</w:t>
      </w:r>
      <w:r>
        <w:rPr>
          <w:spacing w:val="-9"/>
        </w:rPr>
        <w:t>）</w:t>
      </w:r>
      <w:r>
        <w:rPr>
          <w:spacing w:val="-12"/>
        </w:rPr>
        <w:t>穿衣：自己能够穿衣及脱衣；</w:t>
      </w:r>
      <w:r>
        <w:rPr/>
        <w:t>（2</w:t>
      </w:r>
      <w:r>
        <w:rPr>
          <w:spacing w:val="-9"/>
        </w:rPr>
        <w:t>）</w:t>
      </w:r>
      <w:r>
        <w:rPr/>
        <w:t>移</w:t>
      </w:r>
      <w:r>
        <w:rPr>
          <w:spacing w:val="-6"/>
        </w:rPr>
        <w:t>动：自己从一个房间到另一个房间</w:t>
      </w:r>
      <w:r>
        <w:rPr>
          <w:spacing w:val="-134"/>
        </w:rPr>
        <w:t>；</w:t>
      </w:r>
      <w:r>
        <w:rPr/>
        <w:t>（3</w:t>
      </w:r>
      <w:r>
        <w:rPr>
          <w:spacing w:val="-28"/>
        </w:rPr>
        <w:t>）</w:t>
      </w:r>
      <w:r>
        <w:rPr>
          <w:spacing w:val="-6"/>
        </w:rPr>
        <w:t>行动：自己上下床或上下轮椅</w:t>
      </w:r>
      <w:r>
        <w:rPr>
          <w:spacing w:val="-134"/>
        </w:rPr>
        <w:t>；</w:t>
      </w:r>
      <w:r>
        <w:rPr/>
        <w:t>（4）</w:t>
      </w:r>
      <w:r>
        <w:rPr>
          <w:spacing w:val="-12"/>
        </w:rPr>
        <w:t>如厕：自己控制进行大小便；</w:t>
      </w:r>
      <w:r>
        <w:rPr>
          <w:spacing w:val="-1"/>
        </w:rPr>
        <w:t>（5</w:t>
      </w:r>
      <w:r>
        <w:rPr>
          <w:spacing w:val="-10"/>
        </w:rPr>
        <w:t>）</w:t>
      </w:r>
      <w:r>
        <w:rPr>
          <w:spacing w:val="-4"/>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7"/>
        <w:ind w:left="3195"/>
      </w:pPr>
      <w:r>
        <w:rPr/>
        <w:t>2、肢体机能完全丧失</w:t>
      </w:r>
    </w:p>
    <w:p>
      <w:pPr>
        <w:pStyle w:val="BodyText"/>
        <w:spacing w:line="273" w:lineRule="auto" w:before="37"/>
        <w:ind w:left="2775" w:right="158" w:firstLine="420"/>
      </w:pPr>
      <w:r>
        <w:rPr/>
        <w:t>指肢体的三大关节中的两大关节僵硬，或不能随意识活动。肢体是指包括肩关节的整个上肢或包括髋关节的整个下肢。</w:t>
      </w:r>
    </w:p>
    <w:p>
      <w:pPr>
        <w:pStyle w:val="BodyText"/>
        <w:spacing w:before="8"/>
        <w:ind w:left="3195"/>
      </w:pPr>
      <w:r>
        <w:rPr/>
        <w:t>3、语言能力或咀嚼吞咽能力完全丧失</w:t>
      </w:r>
    </w:p>
    <w:p>
      <w:pPr>
        <w:pStyle w:val="BodyText"/>
        <w:spacing w:line="273" w:lineRule="auto" w:before="37"/>
        <w:ind w:left="2775" w:right="210" w:firstLine="420"/>
        <w:jc w:val="both"/>
      </w:pPr>
      <w:r>
        <w:rPr>
          <w:spacing w:val="-2"/>
        </w:rPr>
        <w:t>语言能力完全丧失，指无法发出四种语音</w:t>
      </w:r>
      <w:r>
        <w:rPr/>
        <w:t>（</w:t>
      </w:r>
      <w:r>
        <w:rPr>
          <w:spacing w:val="-3"/>
        </w:rPr>
        <w:t>包括口唇音、齿舌音、口盖音和喉头音</w:t>
      </w:r>
      <w:r>
        <w:rPr>
          <w:spacing w:val="-12"/>
        </w:rPr>
        <w:t>）</w:t>
      </w:r>
      <w:r>
        <w:rPr>
          <w:spacing w:val="-3"/>
        </w:rPr>
        <w:t>中的任何三种、或声带全部切除，或因大脑语言中枢受伤害而患失语症。</w:t>
      </w:r>
    </w:p>
    <w:p>
      <w:pPr>
        <w:pStyle w:val="BodyText"/>
        <w:spacing w:line="273" w:lineRule="auto" w:before="7"/>
        <w:ind w:left="2775" w:right="206" w:firstLine="421"/>
      </w:pPr>
      <w:r>
        <w:rPr/>
        <w:t>咀嚼吞咽能力完全丧失，指因牙齿以外的原因导致器质障碍或机能障碍，以致不能作咀嚼吞咽运动，除流质食物外不能摄取或吞咽的状态。</w:t>
      </w:r>
    </w:p>
    <w:p>
      <w:pPr>
        <w:pStyle w:val="BodyText"/>
        <w:spacing w:before="7"/>
        <w:ind w:left="3195"/>
      </w:pPr>
      <w:r>
        <w:rPr/>
        <w:t>4、永久不可逆</w:t>
      </w:r>
    </w:p>
    <w:p>
      <w:pPr>
        <w:pStyle w:val="BodyText"/>
        <w:spacing w:line="273" w:lineRule="auto" w:before="37"/>
        <w:ind w:left="2775" w:right="209" w:firstLine="420"/>
      </w:pPr>
      <w:r>
        <w:rPr>
          <w:spacing w:val="-6"/>
        </w:rPr>
        <w:t>指自疾病确诊或意外伤害发生之日起，经过积极治疗 </w:t>
      </w:r>
      <w:r>
        <w:rPr/>
        <w:t>180</w:t>
      </w:r>
      <w:r>
        <w:rPr>
          <w:spacing w:val="-8"/>
        </w:rPr>
        <w:t> 天后，仍无法通过现有医疗手段恢复。</w:t>
      </w:r>
    </w:p>
    <w:p>
      <w:pPr>
        <w:pStyle w:val="BodyText"/>
        <w:rPr>
          <w:sz w:val="20"/>
        </w:rPr>
      </w:pPr>
    </w:p>
    <w:p>
      <w:pPr>
        <w:pStyle w:val="BodyText"/>
        <w:spacing w:before="12"/>
        <w:rPr>
          <w:sz w:val="22"/>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申请与给付保险金</w:t>
      </w:r>
    </w:p>
    <w:p>
      <w:pPr>
        <w:pStyle w:val="BodyText"/>
        <w:spacing w:before="2"/>
        <w:rPr>
          <w:b/>
          <w:sz w:val="10"/>
        </w:rPr>
      </w:pPr>
      <w:r>
        <w:rPr/>
        <w:pict>
          <v:group style="position:absolute;margin-left:59.939999pt;margin-top:8.619878pt;width:483.1pt;height:1.45pt;mso-position-horizontal-relative:page;mso-position-vertical-relative:paragraph;z-index:1264;mso-wrap-distance-left:0;mso-wrap-distance-right:0" coordorigin="1199,172" coordsize="9662,29">
            <v:line style="position:absolute" from="1199,177" to="2047,177" stroked="true" strokeweight=".48001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1pt" strokecolor="#000000">
              <v:stroke dashstyle="solid"/>
            </v:line>
            <v:line style="position:absolute" from="3778,196" to="10860,196" stroked="true" strokeweight=".4799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500" w:bottom="1180" w:left="1080" w:right="940"/>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受益人的指定与变更</w:t>
      </w:r>
    </w:p>
    <w:p>
      <w:pPr>
        <w:pStyle w:val="BodyText"/>
        <w:spacing w:line="237" w:lineRule="auto" w:before="38"/>
        <w:ind w:left="185" w:right="164"/>
      </w:pPr>
      <w:r>
        <w:rPr/>
        <w:br w:type="column"/>
      </w:r>
      <w:r>
        <w:rPr/>
        <w:t>除另有约定外，本附加合同重大疾病保险金及特定重大疾病额外给付特别保险金的受益人为被保险人本人。</w:t>
      </w:r>
    </w:p>
    <w:p>
      <w:pPr>
        <w:spacing w:after="0" w:line="237" w:lineRule="auto"/>
        <w:sectPr>
          <w:type w:val="continuous"/>
          <w:pgSz w:w="11910" w:h="16840"/>
          <w:pgMar w:top="520" w:bottom="280" w:left="1080" w:right="940"/>
          <w:cols w:num="2" w:equalWidth="0">
            <w:col w:w="2551" w:space="40"/>
            <w:col w:w="7299"/>
          </w:cols>
        </w:sectPr>
      </w:pPr>
    </w:p>
    <w:p>
      <w:pPr>
        <w:pStyle w:val="BodyText"/>
        <w:spacing w:before="8"/>
        <w:rPr>
          <w:sz w:val="13"/>
        </w:rPr>
      </w:pPr>
    </w:p>
    <w:p>
      <w:pPr>
        <w:pStyle w:val="ListParagraph"/>
        <w:numPr>
          <w:ilvl w:val="1"/>
          <w:numId w:val="3"/>
        </w:numPr>
        <w:tabs>
          <w:tab w:pos="1075" w:val="left" w:leader="none"/>
          <w:tab w:pos="1076" w:val="left" w:leader="none"/>
          <w:tab w:pos="2775" w:val="left" w:leader="none"/>
        </w:tabs>
        <w:spacing w:line="220" w:lineRule="auto" w:before="56" w:after="0"/>
        <w:ind w:left="2775" w:right="212" w:hanging="2549"/>
        <w:jc w:val="left"/>
        <w:rPr>
          <w:sz w:val="21"/>
        </w:rPr>
      </w:pPr>
      <w:r>
        <w:rPr>
          <w:b/>
          <w:position w:val="-1"/>
          <w:sz w:val="21"/>
        </w:rPr>
        <w:t>保险事故的通知</w:t>
        <w:tab/>
      </w:r>
      <w:r>
        <w:rPr>
          <w:spacing w:val="5"/>
          <w:sz w:val="21"/>
        </w:rPr>
        <w:t>本合同的</w:t>
      </w:r>
      <w:r>
        <w:rPr>
          <w:spacing w:val="2"/>
          <w:sz w:val="21"/>
        </w:rPr>
        <w:t>投</w:t>
      </w:r>
      <w:r>
        <w:rPr>
          <w:spacing w:val="5"/>
          <w:sz w:val="21"/>
        </w:rPr>
        <w:t>保人，</w:t>
      </w:r>
      <w:r>
        <w:rPr>
          <w:spacing w:val="2"/>
          <w:sz w:val="21"/>
        </w:rPr>
        <w:t>被保</w:t>
      </w:r>
      <w:r>
        <w:rPr>
          <w:spacing w:val="5"/>
          <w:sz w:val="21"/>
        </w:rPr>
        <w:t>险人或</w:t>
      </w:r>
      <w:r>
        <w:rPr>
          <w:spacing w:val="2"/>
          <w:sz w:val="21"/>
        </w:rPr>
        <w:t>受益</w:t>
      </w:r>
      <w:r>
        <w:rPr>
          <w:spacing w:val="5"/>
          <w:sz w:val="21"/>
        </w:rPr>
        <w:t>人知道</w:t>
      </w:r>
      <w:r>
        <w:rPr>
          <w:spacing w:val="2"/>
          <w:sz w:val="21"/>
        </w:rPr>
        <w:t>保险</w:t>
      </w:r>
      <w:r>
        <w:rPr>
          <w:spacing w:val="5"/>
          <w:sz w:val="21"/>
        </w:rPr>
        <w:t>事故后</w:t>
      </w:r>
      <w:r>
        <w:rPr>
          <w:spacing w:val="2"/>
          <w:sz w:val="21"/>
        </w:rPr>
        <w:t>应当</w:t>
      </w:r>
      <w:r>
        <w:rPr>
          <w:spacing w:val="5"/>
          <w:sz w:val="21"/>
        </w:rPr>
        <w:t>在十日</w:t>
      </w:r>
      <w:r>
        <w:rPr>
          <w:spacing w:val="2"/>
          <w:sz w:val="21"/>
        </w:rPr>
        <w:t>内通</w:t>
      </w:r>
      <w:r>
        <w:rPr>
          <w:spacing w:val="5"/>
          <w:sz w:val="21"/>
        </w:rPr>
        <w:t>知</w:t>
      </w:r>
      <w:r>
        <w:rPr>
          <w:sz w:val="21"/>
        </w:rPr>
        <w:t>我 们。</w:t>
      </w:r>
    </w:p>
    <w:p>
      <w:pPr>
        <w:pStyle w:val="BodyText"/>
        <w:spacing w:line="273" w:lineRule="auto" w:before="18"/>
        <w:ind w:left="2775" w:right="176"/>
        <w:jc w:val="both"/>
      </w:pPr>
      <w:r>
        <w:rPr>
          <w:spacing w:val="-4"/>
        </w:rPr>
        <w:t>如果投保人，被保险人或受益人故意或者因重大过失未及时通知我们，致使保险事故的性质、原因、损失程度等难以确定的，我们对无法确定的部分， </w:t>
      </w:r>
      <w:r>
        <w:rPr>
          <w:spacing w:val="-7"/>
        </w:rPr>
        <w:t>不承担给付保险金的责任，但我们通过其他途径已经及时知道或者应当及时</w:t>
      </w:r>
      <w:r>
        <w:rPr>
          <w:spacing w:val="-8"/>
        </w:rPr>
        <w:t>知道保险事故发生或者虽未及时通知但不影响我们确定保险事故的性质、原因、损失程度的除外。</w:t>
      </w:r>
    </w:p>
    <w:p>
      <w:pPr>
        <w:pStyle w:val="BodyText"/>
        <w:spacing w:before="12"/>
        <w:rPr>
          <w:sz w:val="17"/>
        </w:rPr>
      </w:pPr>
    </w:p>
    <w:p>
      <w:pPr>
        <w:pStyle w:val="ListParagraph"/>
        <w:numPr>
          <w:ilvl w:val="1"/>
          <w:numId w:val="3"/>
        </w:numPr>
        <w:tabs>
          <w:tab w:pos="1074" w:val="left" w:leader="none"/>
          <w:tab w:pos="1075" w:val="left" w:leader="none"/>
          <w:tab w:pos="2775" w:val="left" w:leader="none"/>
        </w:tabs>
        <w:spacing w:line="273" w:lineRule="auto" w:before="0" w:after="0"/>
        <w:ind w:left="2775" w:right="211" w:hanging="2549"/>
        <w:jc w:val="left"/>
        <w:rPr>
          <w:sz w:val="21"/>
        </w:rPr>
      </w:pPr>
      <w:r>
        <w:rPr>
          <w:b/>
          <w:sz w:val="21"/>
        </w:rPr>
        <w:t>诉讼时效</w:t>
        <w:tab/>
      </w:r>
      <w:r>
        <w:rPr>
          <w:sz w:val="21"/>
        </w:rPr>
        <w:t>受益人对本附加合同请求给付保险金的诉讼时效期间为两年</w:t>
      </w:r>
      <w:r>
        <w:rPr>
          <w:spacing w:val="-35"/>
          <w:sz w:val="21"/>
        </w:rPr>
        <w:t>，</w:t>
      </w:r>
      <w:r>
        <w:rPr>
          <w:sz w:val="21"/>
        </w:rPr>
        <w:t>自其知道或者应当知道保险事故发生之日起计算。</w:t>
      </w:r>
    </w:p>
    <w:p>
      <w:pPr>
        <w:pStyle w:val="BodyText"/>
        <w:spacing w:before="2"/>
        <w:rPr>
          <w:sz w:val="15"/>
        </w:rPr>
      </w:pPr>
    </w:p>
    <w:p>
      <w:pPr>
        <w:spacing w:after="0"/>
        <w:rPr>
          <w:sz w:val="15"/>
        </w:rPr>
        <w:sectPr>
          <w:type w:val="continuous"/>
          <w:pgSz w:w="11910" w:h="16840"/>
          <w:pgMar w:top="520" w:bottom="280" w:left="1080" w:right="940"/>
        </w:sectPr>
      </w:pPr>
    </w:p>
    <w:p>
      <w:pPr>
        <w:pStyle w:val="Heading4"/>
        <w:numPr>
          <w:ilvl w:val="1"/>
          <w:numId w:val="3"/>
        </w:numPr>
        <w:tabs>
          <w:tab w:pos="1075" w:val="left" w:leader="none"/>
          <w:tab w:pos="1076" w:val="left" w:leader="none"/>
        </w:tabs>
        <w:spacing w:line="273" w:lineRule="auto" w:before="36" w:after="0"/>
        <w:ind w:left="1075" w:right="0" w:hanging="849"/>
        <w:jc w:val="left"/>
      </w:pPr>
      <w:r>
        <w:rPr>
          <w:w w:val="95"/>
        </w:rPr>
        <w:t>申请保险金应提供的材料</w:t>
      </w:r>
    </w:p>
    <w:p>
      <w:pPr>
        <w:pStyle w:val="BodyText"/>
        <w:spacing w:line="237" w:lineRule="auto" w:before="58"/>
        <w:ind w:left="185" w:right="157"/>
      </w:pPr>
      <w:r>
        <w:rPr/>
        <w:br w:type="column"/>
      </w:r>
      <w:r>
        <w:rPr/>
        <w:t>受益人申请各项保险金时，应提供下列证明文件和资料，如果有关证明资料不完整，我们将及时一次性通知申请人补充提供。</w:t>
      </w:r>
    </w:p>
    <w:p>
      <w:pPr>
        <w:pStyle w:val="BodyText"/>
        <w:spacing w:before="83"/>
        <w:ind w:left="185"/>
      </w:pPr>
      <w:r>
        <w:rPr/>
        <w:t>1、给付申请书；</w:t>
      </w:r>
    </w:p>
    <w:p>
      <w:pPr>
        <w:spacing w:after="0"/>
        <w:sectPr>
          <w:type w:val="continuous"/>
          <w:pgSz w:w="11910" w:h="16840"/>
          <w:pgMar w:top="520" w:bottom="280" w:left="1080" w:right="940"/>
          <w:cols w:num="2" w:equalWidth="0">
            <w:col w:w="2551" w:space="40"/>
            <w:col w:w="7299"/>
          </w:cols>
        </w:sectPr>
      </w:pPr>
    </w:p>
    <w:p>
      <w:pPr>
        <w:pStyle w:val="BodyText"/>
        <w:spacing w:before="8"/>
        <w:ind w:left="2775"/>
      </w:pPr>
      <w:r>
        <w:rPr/>
        <w:t>2、保险合同；</w:t>
      </w:r>
    </w:p>
    <w:p>
      <w:pPr>
        <w:pStyle w:val="BodyText"/>
        <w:spacing w:before="44"/>
        <w:ind w:left="2775"/>
      </w:pPr>
      <w:r>
        <w:rPr/>
        <w:t>3、受益人的户籍证明及身份证明；</w:t>
      </w:r>
    </w:p>
    <w:p>
      <w:pPr>
        <w:pStyle w:val="BodyText"/>
        <w:spacing w:line="230" w:lineRule="auto" w:before="11"/>
        <w:ind w:left="2775" w:right="210"/>
        <w:jc w:val="both"/>
      </w:pPr>
      <w:r>
        <w:rPr>
          <w:rFonts w:ascii="Times New Roman" w:eastAsia="Times New Roman"/>
        </w:rPr>
        <w:t>4</w:t>
      </w:r>
      <w:r>
        <w:rPr/>
        <w:t>、由我们指定或认可医院的专科医生出具的疾病诊断书及相关所必需的检</w:t>
      </w:r>
      <w:r>
        <w:rPr>
          <w:spacing w:val="-2"/>
        </w:rPr>
        <w:t>查结果证明</w:t>
      </w:r>
      <w:r>
        <w:rPr/>
        <w:t>（</w:t>
      </w:r>
      <w:r>
        <w:rPr>
          <w:spacing w:val="-4"/>
        </w:rPr>
        <w:t>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2775" w:right="76"/>
      </w:pPr>
      <w:r>
        <w:rPr/>
        <w:t>5、投保人、被保险人或者受益人所能提供的与确认保险事故的性质、原因、伤害程度等有关的证明文件和资料。</w:t>
      </w:r>
    </w:p>
    <w:p>
      <w:pPr>
        <w:pStyle w:val="BodyText"/>
        <w:spacing w:line="237" w:lineRule="auto"/>
        <w:ind w:left="2775" w:right="211"/>
        <w:jc w:val="both"/>
      </w:pPr>
      <w:r>
        <w:rPr>
          <w:spacing w:val="-3"/>
        </w:rPr>
        <w:t>若受益人委托他人代为申请保险金，被委托人还应提供受益人签字的授权委托书、被委托人的身份证明等相关证明文件。</w:t>
      </w:r>
    </w:p>
    <w:p>
      <w:pPr>
        <w:pStyle w:val="BodyText"/>
        <w:spacing w:before="9"/>
        <w:rPr>
          <w:sz w:val="18"/>
        </w:rPr>
      </w:pPr>
    </w:p>
    <w:p>
      <w:pPr>
        <w:pStyle w:val="ListParagraph"/>
        <w:numPr>
          <w:ilvl w:val="1"/>
          <w:numId w:val="3"/>
        </w:numPr>
        <w:tabs>
          <w:tab w:pos="1076" w:val="left" w:leader="none"/>
        </w:tabs>
        <w:spacing w:line="273" w:lineRule="auto" w:before="0" w:after="0"/>
        <w:ind w:left="2775" w:right="211" w:hanging="2549"/>
        <w:jc w:val="both"/>
        <w:rPr>
          <w:sz w:val="21"/>
        </w:rPr>
      </w:pPr>
      <w:r>
        <w:rPr>
          <w:b/>
          <w:sz w:val="21"/>
        </w:rPr>
        <w:t>保险金的给付   </w:t>
      </w:r>
      <w:r>
        <w:rPr>
          <w:spacing w:val="-2"/>
          <w:sz w:val="21"/>
        </w:rPr>
        <w:t>我们在收到保险金给付申请书及上述有关证明和资料后五日内作出核定，情</w:t>
      </w:r>
      <w:r>
        <w:rPr>
          <w:spacing w:val="-6"/>
          <w:sz w:val="21"/>
        </w:rPr>
        <w:t>形复杂的，在三十日内作出核定。对确定属于保险责任的，在与受益人达成</w:t>
      </w:r>
      <w:r>
        <w:rPr>
          <w:spacing w:val="-1"/>
          <w:sz w:val="21"/>
        </w:rPr>
        <w:t>有关给付保险金数额的协议后十日内，履行给付保险金的责任。</w:t>
      </w:r>
    </w:p>
    <w:p>
      <w:pPr>
        <w:pStyle w:val="BodyText"/>
        <w:spacing w:line="273" w:lineRule="auto" w:before="7"/>
        <w:ind w:left="2775" w:right="212"/>
        <w:jc w:val="both"/>
      </w:pPr>
      <w:r>
        <w:rPr>
          <w:spacing w:val="-3"/>
        </w:rPr>
        <w:t>本公司未及时履行前款规定义务的，除支付保险金外，应当赔偿受益人因此受到的损失。</w:t>
      </w:r>
    </w:p>
    <w:p>
      <w:pPr>
        <w:pStyle w:val="BodyText"/>
        <w:spacing w:line="273" w:lineRule="auto" w:before="7"/>
        <w:ind w:left="2775" w:right="212"/>
        <w:jc w:val="both"/>
      </w:pPr>
      <w:r>
        <w:rPr>
          <w:spacing w:val="-3"/>
        </w:rPr>
        <w:t>对不属于保险责任的，我们将在作出核定后三日内，向申请人发出拒绝给付保险金通知书，并说明理由。</w:t>
      </w:r>
    </w:p>
    <w:p>
      <w:pPr>
        <w:pStyle w:val="BodyText"/>
        <w:spacing w:line="237" w:lineRule="auto"/>
        <w:ind w:left="2775" w:right="211"/>
        <w:jc w:val="both"/>
      </w:pPr>
      <w:r>
        <w:rPr>
          <w:spacing w:val="-2"/>
        </w:rPr>
        <w:t>我们在收到保险金给付申请书及上述有关证明和资料之日起六十日内，对属</w:t>
      </w:r>
      <w:r>
        <w:rPr>
          <w:spacing w:val="-4"/>
        </w:rPr>
        <w:t>于保险责任而给付保险金的数额不能确定的，根据已有证明和资料，按可以</w:t>
      </w:r>
      <w:r>
        <w:rPr>
          <w:spacing w:val="-7"/>
        </w:rPr>
        <w:t>确定的数额先予以支付；我们最终确定给付保险金的数额后，给付相应的差额。</w:t>
      </w:r>
    </w:p>
    <w:p>
      <w:pPr>
        <w:pStyle w:val="BodyText"/>
        <w:spacing w:before="6"/>
        <w:rPr>
          <w:sz w:val="19"/>
        </w:rPr>
      </w:pPr>
    </w:p>
    <w:p>
      <w:pPr>
        <w:pStyle w:val="ListParagraph"/>
        <w:numPr>
          <w:ilvl w:val="1"/>
          <w:numId w:val="3"/>
        </w:numPr>
        <w:tabs>
          <w:tab w:pos="1075" w:val="left" w:leader="none"/>
        </w:tabs>
        <w:spacing w:line="273" w:lineRule="auto" w:before="0" w:after="0"/>
        <w:ind w:left="2775" w:right="211" w:hanging="2549"/>
        <w:jc w:val="both"/>
        <w:rPr>
          <w:sz w:val="21"/>
        </w:rPr>
      </w:pPr>
      <w:r>
        <w:rPr>
          <w:b/>
          <w:sz w:val="21"/>
        </w:rPr>
        <w:t>身体检查       </w:t>
      </w:r>
      <w:r>
        <w:rPr>
          <w:spacing w:val="-3"/>
          <w:sz w:val="21"/>
        </w:rPr>
        <w:t>申请本附加合同保险金时，我们有权根据实际情况要求被保险人到我们指定</w:t>
      </w:r>
      <w:r>
        <w:rPr>
          <w:spacing w:val="-5"/>
          <w:sz w:val="21"/>
        </w:rPr>
        <w:t>的医院进行身体检查或其他必要的检验以确认保险事故的发生，费用由我们</w:t>
      </w:r>
      <w:r>
        <w:rPr>
          <w:spacing w:val="-7"/>
          <w:sz w:val="21"/>
        </w:rPr>
        <w:t>承担。如果被保险人拒绝检查、检验或检查、检验结果不符合本附加合同关于保险事故的约定，我们有权不给付保险金。</w:t>
      </w:r>
    </w:p>
    <w:p>
      <w:pPr>
        <w:pStyle w:val="BodyText"/>
        <w:rPr>
          <w:sz w:val="20"/>
        </w:rPr>
      </w:pPr>
    </w:p>
    <w:p>
      <w:pPr>
        <w:pStyle w:val="BodyText"/>
        <w:spacing w:before="11"/>
        <w:rPr>
          <w:sz w:val="22"/>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保险费</w:t>
      </w:r>
    </w:p>
    <w:p>
      <w:pPr>
        <w:pStyle w:val="BodyText"/>
        <w:spacing w:before="2"/>
        <w:rPr>
          <w:b/>
          <w:sz w:val="10"/>
        </w:rPr>
      </w:pPr>
      <w:r>
        <w:rPr/>
        <w:pict>
          <v:group style="position:absolute;margin-left:59.939999pt;margin-top:8.64122pt;width:483.1pt;height:1.45pt;mso-position-horizontal-relative:page;mso-position-vertical-relative:paragraph;z-index:1288;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8001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1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8001pt" strokecolor="#000000">
              <v:stroke dashstyle="solid"/>
            </v:line>
            <w10:wrap type="topAndBottom"/>
          </v:group>
        </w:pict>
      </w:r>
    </w:p>
    <w:p>
      <w:pPr>
        <w:pStyle w:val="BodyText"/>
        <w:spacing w:before="6"/>
        <w:rPr>
          <w:b/>
          <w:sz w:val="7"/>
        </w:rPr>
      </w:pPr>
    </w:p>
    <w:p>
      <w:pPr>
        <w:spacing w:after="0"/>
        <w:rPr>
          <w:sz w:val="7"/>
        </w:rPr>
        <w:sectPr>
          <w:pgSz w:w="11910" w:h="16840"/>
          <w:pgMar w:header="0" w:footer="998" w:top="1500" w:bottom="1180" w:left="1080" w:right="940"/>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保险费的缴付、</w:t>
      </w:r>
      <w:r>
        <w:rPr/>
        <w:t>宽限期</w:t>
      </w:r>
    </w:p>
    <w:p>
      <w:pPr>
        <w:pStyle w:val="BodyText"/>
        <w:spacing w:line="274" w:lineRule="exact" w:before="36"/>
        <w:ind w:left="185"/>
      </w:pPr>
      <w:r>
        <w:rPr/>
        <w:br w:type="column"/>
      </w:r>
      <w:r>
        <w:rPr/>
        <w:t>投保人应向我们缴付保险费。</w:t>
      </w:r>
    </w:p>
    <w:p>
      <w:pPr>
        <w:pStyle w:val="BodyText"/>
        <w:spacing w:line="274" w:lineRule="exact"/>
        <w:ind w:left="185"/>
      </w:pPr>
      <w:r>
        <w:rPr>
          <w:spacing w:val="-9"/>
        </w:rPr>
        <w:t>本附加合同首期后的分期保险费，其缴付方式、宽限期的规定与主合同相同。</w:t>
      </w:r>
    </w:p>
    <w:p>
      <w:pPr>
        <w:spacing w:after="0" w:line="274" w:lineRule="exact"/>
        <w:sectPr>
          <w:type w:val="continuous"/>
          <w:pgSz w:w="11910" w:h="16840"/>
          <w:pgMar w:top="520" w:bottom="280" w:left="1080" w:right="940"/>
          <w:cols w:num="2" w:equalWidth="0">
            <w:col w:w="2551" w:space="40"/>
            <w:col w:w="7299"/>
          </w:cols>
        </w:sectPr>
      </w:pPr>
    </w:p>
    <w:p>
      <w:pPr>
        <w:pStyle w:val="BodyText"/>
        <w:spacing w:before="8"/>
        <w:rPr>
          <w:sz w:val="13"/>
        </w:rPr>
      </w:pPr>
    </w:p>
    <w:p>
      <w:pPr>
        <w:spacing w:after="0"/>
        <w:rPr>
          <w:sz w:val="13"/>
        </w:rPr>
        <w:sectPr>
          <w:type w:val="continuous"/>
          <w:pgSz w:w="11910" w:h="16840"/>
          <w:pgMar w:top="520" w:bottom="280" w:left="1080" w:right="940"/>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变更为减额付清保险</w:t>
      </w:r>
    </w:p>
    <w:p>
      <w:pPr>
        <w:pStyle w:val="BodyText"/>
        <w:spacing w:line="237" w:lineRule="auto" w:before="38"/>
        <w:ind w:left="185" w:right="211"/>
        <w:jc w:val="both"/>
      </w:pPr>
      <w:r>
        <w:rPr/>
        <w:br w:type="column"/>
      </w:r>
      <w:r>
        <w:rPr>
          <w:spacing w:val="-2"/>
        </w:rPr>
        <w:t>本附加合同生效一周年后且在累积有现金价值的情况下，投保人可与主合同</w:t>
      </w:r>
      <w:r>
        <w:rPr>
          <w:spacing w:val="1"/>
        </w:rPr>
        <w:t>一起在缴费期内的每个保险费到期日向我们书面申请将主合同及本附加合</w:t>
      </w:r>
      <w:r>
        <w:rPr>
          <w:spacing w:val="-1"/>
        </w:rPr>
        <w:t>同一并变更为减额付清保险。我们以变更当时本附加合同的现金价值作为一次性付清的保险费，计算本附加合同减额付清后的保险金额。</w:t>
      </w:r>
    </w:p>
    <w:p>
      <w:pPr>
        <w:pStyle w:val="BodyText"/>
        <w:spacing w:line="237" w:lineRule="auto"/>
        <w:ind w:left="185" w:right="212"/>
        <w:jc w:val="both"/>
      </w:pPr>
      <w:r>
        <w:rPr>
          <w:spacing w:val="-3"/>
        </w:rPr>
        <w:t>本附加合同变更为减额付清保险后，保险责任与变更前相同，但保险金额以变更后的为准。</w:t>
      </w:r>
    </w:p>
    <w:p>
      <w:pPr>
        <w:pStyle w:val="BodyText"/>
        <w:spacing w:line="273" w:lineRule="auto" w:before="18"/>
        <w:ind w:left="185" w:right="211"/>
        <w:jc w:val="both"/>
      </w:pPr>
      <w:r>
        <w:rPr>
          <w:spacing w:val="-2"/>
        </w:rPr>
        <w:t>投保人申请将主合同变更为减额付清保险时，视为本附加合同也申请变更为减额付清保险。但本附加合同不得单独变更。</w:t>
      </w:r>
    </w:p>
    <w:p>
      <w:pPr>
        <w:spacing w:after="0" w:line="273" w:lineRule="auto"/>
        <w:jc w:val="both"/>
        <w:sectPr>
          <w:type w:val="continuous"/>
          <w:pgSz w:w="11910" w:h="16840"/>
          <w:pgMar w:top="520" w:bottom="280" w:left="1080" w:right="940"/>
          <w:cols w:num="2" w:equalWidth="0">
            <w:col w:w="2551" w:space="40"/>
            <w:col w:w="7299"/>
          </w:cols>
        </w:sectPr>
      </w:pPr>
    </w:p>
    <w:p>
      <w:pPr>
        <w:pStyle w:val="BodyText"/>
        <w:rPr>
          <w:sz w:val="20"/>
        </w:rPr>
      </w:pPr>
    </w:p>
    <w:p>
      <w:pPr>
        <w:pStyle w:val="BodyText"/>
        <w:spacing w:before="11"/>
      </w:pPr>
    </w:p>
    <w:p>
      <w:pPr>
        <w:pStyle w:val="Heading2"/>
        <w:numPr>
          <w:ilvl w:val="0"/>
          <w:numId w:val="3"/>
        </w:numPr>
        <w:tabs>
          <w:tab w:pos="1075" w:val="left" w:leader="none"/>
          <w:tab w:pos="1076" w:val="left" w:leader="none"/>
        </w:tabs>
        <w:spacing w:line="240" w:lineRule="auto" w:before="13" w:after="0"/>
        <w:ind w:left="1075" w:right="0" w:hanging="849"/>
        <w:jc w:val="left"/>
      </w:pPr>
      <w:r>
        <w:rPr>
          <w:w w:val="95"/>
        </w:rPr>
        <w:t>投保人的特别权利及相应义务</w:t>
      </w:r>
    </w:p>
    <w:p>
      <w:pPr>
        <w:pStyle w:val="BodyText"/>
        <w:spacing w:before="2"/>
        <w:rPr>
          <w:b/>
          <w:sz w:val="10"/>
        </w:rPr>
      </w:pPr>
      <w:r>
        <w:rPr/>
        <w:pict>
          <v:group style="position:absolute;margin-left:59.939999pt;margin-top:8.638428pt;width:483.1pt;height:1.45pt;mso-position-horizontal-relative:page;mso-position-vertical-relative:paragraph;z-index:1312;mso-wrap-distance-left:0;mso-wrap-distance-right:0" coordorigin="1199,173" coordsize="9662,29">
            <v:line style="position:absolute" from="1199,178" to="2047,178" stroked="true" strokeweight=".48001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8" to="10860,178" stroked="true" strokeweight=".48001pt" strokecolor="#000000">
              <v:stroke dashstyle="solid"/>
            </v:line>
            <v:line style="position:absolute" from="3778,197" to="10860,197" stroked="true" strokeweight=".47998pt" strokecolor="#000000">
              <v:stroke dashstyle="solid"/>
            </v:line>
            <w10:wrap type="topAndBottom"/>
          </v:group>
        </w:pict>
      </w:r>
    </w:p>
    <w:p>
      <w:pPr>
        <w:pStyle w:val="BodyText"/>
        <w:spacing w:before="6"/>
        <w:rPr>
          <w:b/>
          <w:sz w:val="7"/>
        </w:rPr>
      </w:pPr>
    </w:p>
    <w:p>
      <w:pPr>
        <w:pStyle w:val="ListParagraph"/>
        <w:numPr>
          <w:ilvl w:val="1"/>
          <w:numId w:val="3"/>
        </w:numPr>
        <w:tabs>
          <w:tab w:pos="1075" w:val="left" w:leader="none"/>
          <w:tab w:pos="1076" w:val="left" w:leader="none"/>
          <w:tab w:pos="2775" w:val="left" w:leader="none"/>
        </w:tabs>
        <w:spacing w:line="220" w:lineRule="auto" w:before="56" w:after="0"/>
        <w:ind w:left="2775" w:right="211" w:hanging="2549"/>
        <w:jc w:val="left"/>
        <w:rPr>
          <w:sz w:val="21"/>
        </w:rPr>
      </w:pPr>
      <w:r>
        <w:rPr>
          <w:b/>
          <w:position w:val="-1"/>
          <w:sz w:val="21"/>
        </w:rPr>
        <w:t>变更保险金额</w:t>
        <w:tab/>
      </w:r>
      <w:r>
        <w:rPr>
          <w:sz w:val="21"/>
        </w:rPr>
        <w:t>在本附加合同有效期内主合同保险金额变更</w:t>
      </w:r>
      <w:r>
        <w:rPr>
          <w:spacing w:val="-35"/>
          <w:sz w:val="21"/>
        </w:rPr>
        <w:t>，</w:t>
      </w:r>
      <w:r>
        <w:rPr>
          <w:sz w:val="21"/>
        </w:rPr>
        <w:t>本附加保险合同保险金额随之变更，但本附加合同的保险金额不得单独变更。</w:t>
      </w:r>
    </w:p>
    <w:p>
      <w:pPr>
        <w:spacing w:after="0" w:line="220" w:lineRule="auto"/>
        <w:jc w:val="left"/>
        <w:rPr>
          <w:sz w:val="21"/>
        </w:rPr>
        <w:sectPr>
          <w:type w:val="continuous"/>
          <w:pgSz w:w="11910" w:h="16840"/>
          <w:pgMar w:top="520" w:bottom="280" w:left="1080" w:right="940"/>
        </w:sectPr>
      </w:pPr>
    </w:p>
    <w:p>
      <w:pPr>
        <w:pStyle w:val="ListParagraph"/>
        <w:numPr>
          <w:ilvl w:val="1"/>
          <w:numId w:val="3"/>
        </w:numPr>
        <w:tabs>
          <w:tab w:pos="1076" w:val="left" w:leader="none"/>
        </w:tabs>
        <w:spacing w:line="278" w:lineRule="auto" w:before="104" w:after="0"/>
        <w:ind w:left="2775" w:right="211" w:hanging="2549"/>
        <w:jc w:val="both"/>
        <w:rPr>
          <w:sz w:val="21"/>
        </w:rPr>
      </w:pPr>
      <w:r>
        <w:rPr>
          <w:b/>
          <w:position w:val="3"/>
          <w:sz w:val="21"/>
        </w:rPr>
        <w:t>保单借款       </w:t>
      </w:r>
      <w:r>
        <w:rPr>
          <w:spacing w:val="-2"/>
          <w:sz w:val="21"/>
        </w:rPr>
        <w:t>在本附加合同有效且累积有现金价值的情况下，投保人可以合并主合同向我</w:t>
      </w:r>
      <w:r>
        <w:rPr>
          <w:spacing w:val="-7"/>
          <w:sz w:val="21"/>
        </w:rPr>
        <w:t>们申请借款。借款比例、借款最低限额、借款期间、借款利息、偿还借款和借款利息等规定均与主合同相同。但本附加合同不得单独申请借款。</w:t>
      </w:r>
    </w:p>
    <w:p>
      <w:pPr>
        <w:pStyle w:val="BodyText"/>
        <w:spacing w:line="241" w:lineRule="exact"/>
        <w:ind w:left="2775"/>
      </w:pPr>
      <w:r>
        <w:rPr/>
        <w:t>本附加合同变更为减额付清保险后，我们不接受借款申请。</w:t>
      </w:r>
    </w:p>
    <w:p>
      <w:pPr>
        <w:pStyle w:val="BodyText"/>
        <w:spacing w:before="3"/>
        <w:rPr>
          <w:sz w:val="25"/>
        </w:rPr>
      </w:pPr>
    </w:p>
    <w:p>
      <w:pPr>
        <w:pStyle w:val="ListParagraph"/>
        <w:numPr>
          <w:ilvl w:val="1"/>
          <w:numId w:val="3"/>
        </w:numPr>
        <w:tabs>
          <w:tab w:pos="1076" w:val="left" w:leader="none"/>
        </w:tabs>
        <w:spacing w:line="220" w:lineRule="auto" w:before="0" w:after="0"/>
        <w:ind w:left="2775" w:right="211" w:hanging="2549"/>
        <w:jc w:val="both"/>
        <w:rPr>
          <w:sz w:val="21"/>
        </w:rPr>
      </w:pPr>
      <w:r>
        <w:rPr>
          <w:b/>
          <w:spacing w:val="-24"/>
          <w:position w:val="-1"/>
          <w:sz w:val="21"/>
        </w:rPr>
        <w:t>解除合同</w:t>
      </w:r>
      <w:r>
        <w:rPr>
          <w:b/>
          <w:position w:val="-1"/>
          <w:sz w:val="21"/>
        </w:rPr>
        <w:t>（退保）</w:t>
      </w:r>
      <w:r>
        <w:rPr>
          <w:b/>
          <w:spacing w:val="1"/>
          <w:position w:val="-1"/>
          <w:sz w:val="21"/>
        </w:rPr>
        <w:t> </w:t>
      </w:r>
      <w:r>
        <w:rPr>
          <w:spacing w:val="-4"/>
          <w:sz w:val="21"/>
        </w:rPr>
        <w:t>在本附加合同有效期内，投保人可以合并主合同书面通知我们要求解除本附加合同。申请退保时，投保人应提供下列证明文件和资料：</w:t>
      </w:r>
    </w:p>
    <w:p>
      <w:pPr>
        <w:pStyle w:val="BodyText"/>
        <w:spacing w:line="271" w:lineRule="exact"/>
        <w:ind w:left="2775"/>
      </w:pPr>
      <w:r>
        <w:rPr/>
        <w:t>1、解除合同申请书；</w:t>
      </w:r>
    </w:p>
    <w:p>
      <w:pPr>
        <w:pStyle w:val="BodyText"/>
        <w:spacing w:line="272" w:lineRule="exact"/>
        <w:ind w:left="2775"/>
      </w:pPr>
      <w:r>
        <w:rPr/>
        <w:t>2、保险合同；</w:t>
      </w:r>
    </w:p>
    <w:p>
      <w:pPr>
        <w:pStyle w:val="BodyText"/>
        <w:spacing w:line="272" w:lineRule="exact"/>
        <w:ind w:left="2775"/>
      </w:pPr>
      <w:r>
        <w:rPr/>
        <w:t>3、投保人户籍证明或身份证明。</w:t>
      </w:r>
    </w:p>
    <w:p>
      <w:pPr>
        <w:pStyle w:val="BodyText"/>
        <w:spacing w:line="237" w:lineRule="auto" w:before="2"/>
        <w:ind w:left="2775" w:right="210"/>
        <w:jc w:val="both"/>
      </w:pPr>
      <w:r>
        <w:rPr/>
        <w:t>自我们收到退保申请（若为邮寄，则以寄出邮戳为准）</w:t>
      </w:r>
      <w:r>
        <w:rPr>
          <w:spacing w:val="-5"/>
        </w:rPr>
        <w:t>的当日 </w:t>
      </w:r>
      <w:r>
        <w:rPr/>
        <w:t>24</w:t>
      </w:r>
      <w:r>
        <w:rPr>
          <w:spacing w:val="-4"/>
        </w:rPr>
        <w:t> 时起，本</w:t>
      </w:r>
      <w:r>
        <w:rPr>
          <w:spacing w:val="-8"/>
        </w:rPr>
        <w:t>附加合同的效力终止。我们将于收到上述证明文件和资料后三十日内退还本附加合同效力终止日的现金价值。</w:t>
      </w:r>
    </w:p>
    <w:p>
      <w:pPr>
        <w:pStyle w:val="BodyText"/>
        <w:rPr>
          <w:sz w:val="20"/>
        </w:rPr>
      </w:pPr>
    </w:p>
    <w:p>
      <w:pPr>
        <w:pStyle w:val="BodyText"/>
        <w:spacing w:before="9"/>
        <w:rPr>
          <w:sz w:val="23"/>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投保人需要关注的其他事项</w:t>
      </w:r>
    </w:p>
    <w:p>
      <w:pPr>
        <w:pStyle w:val="BodyText"/>
        <w:spacing w:before="2"/>
        <w:rPr>
          <w:b/>
          <w:sz w:val="10"/>
        </w:rPr>
      </w:pPr>
      <w:r>
        <w:rPr/>
        <w:pict>
          <v:group style="position:absolute;margin-left:59.939999pt;margin-top:8.629176pt;width:483.1pt;height:1.45pt;mso-position-horizontal-relative:page;mso-position-vertical-relative:paragraph;z-index:1336;mso-wrap-distance-left:0;mso-wrap-distance-right:0" coordorigin="1199,173" coordsize="9662,29">
            <v:line style="position:absolute" from="1199,177" to="2047,177"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rPr>
          <w:b/>
          <w:sz w:val="9"/>
        </w:rPr>
      </w:pPr>
    </w:p>
    <w:p>
      <w:pPr>
        <w:pStyle w:val="ListParagraph"/>
        <w:numPr>
          <w:ilvl w:val="1"/>
          <w:numId w:val="3"/>
        </w:numPr>
        <w:tabs>
          <w:tab w:pos="1075" w:val="left" w:leader="none"/>
        </w:tabs>
        <w:spacing w:line="273" w:lineRule="auto" w:before="36" w:after="0"/>
        <w:ind w:left="2775" w:right="210" w:hanging="2549"/>
        <w:jc w:val="both"/>
        <w:rPr>
          <w:sz w:val="21"/>
        </w:rPr>
      </w:pPr>
      <w:r>
        <w:rPr>
          <w:b/>
          <w:sz w:val="21"/>
        </w:rPr>
        <w:t>欠款扣除       </w:t>
      </w:r>
      <w:r>
        <w:rPr>
          <w:spacing w:val="-3"/>
          <w:sz w:val="21"/>
        </w:rPr>
        <w:t>我们在给付各项保险金或现金价值、办理终止合同时，若投保人有欠缴本附</w:t>
      </w:r>
      <w:r>
        <w:rPr>
          <w:spacing w:val="-4"/>
          <w:sz w:val="21"/>
        </w:rPr>
        <w:t>加合同的保险费</w:t>
      </w:r>
      <w:r>
        <w:rPr>
          <w:sz w:val="21"/>
        </w:rPr>
        <w:t>（包括自动垫缴的保险费</w:t>
      </w:r>
      <w:r>
        <w:rPr>
          <w:spacing w:val="-9"/>
          <w:sz w:val="21"/>
        </w:rPr>
        <w:t>）</w:t>
      </w:r>
      <w:r>
        <w:rPr>
          <w:spacing w:val="-4"/>
          <w:sz w:val="21"/>
        </w:rPr>
        <w:t>及利息、借款及借款利息，则所有的欠款和利息均需先归还我们或由我们在给付款中扣除。</w:t>
      </w:r>
    </w:p>
    <w:p>
      <w:pPr>
        <w:pStyle w:val="BodyText"/>
        <w:spacing w:before="4"/>
        <w:rPr>
          <w:sz w:val="16"/>
        </w:rPr>
      </w:pPr>
    </w:p>
    <w:p>
      <w:pPr>
        <w:pStyle w:val="ListParagraph"/>
        <w:numPr>
          <w:ilvl w:val="1"/>
          <w:numId w:val="3"/>
        </w:numPr>
        <w:tabs>
          <w:tab w:pos="1075" w:val="left" w:leader="none"/>
          <w:tab w:pos="1076" w:val="left" w:leader="none"/>
          <w:tab w:pos="2775" w:val="left" w:leader="none"/>
        </w:tabs>
        <w:spacing w:line="284" w:lineRule="exact" w:before="0" w:after="0"/>
        <w:ind w:left="1075" w:right="0" w:hanging="849"/>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2"/>
        <w:rPr>
          <w:sz w:val="17"/>
        </w:rPr>
      </w:pPr>
    </w:p>
    <w:p>
      <w:pPr>
        <w:pStyle w:val="ListParagraph"/>
        <w:numPr>
          <w:ilvl w:val="1"/>
          <w:numId w:val="3"/>
        </w:numPr>
        <w:tabs>
          <w:tab w:pos="1075" w:val="left" w:leader="none"/>
          <w:tab w:pos="1076" w:val="left" w:leader="none"/>
          <w:tab w:pos="2775" w:val="left" w:leader="none"/>
        </w:tabs>
        <w:spacing w:line="240" w:lineRule="auto" w:before="0" w:after="0"/>
        <w:ind w:left="1075" w:right="0" w:hanging="849"/>
        <w:jc w:val="left"/>
        <w:rPr>
          <w:sz w:val="21"/>
        </w:rPr>
      </w:pPr>
      <w:r>
        <w:rPr>
          <w:b/>
          <w:position w:val="-1"/>
          <w:sz w:val="21"/>
        </w:rPr>
        <w:t>合同效力的终止</w:t>
        <w:tab/>
      </w:r>
      <w:r>
        <w:rPr>
          <w:sz w:val="21"/>
        </w:rPr>
        <w:t>有下列情况之一时，本附加合同的效力终止：</w:t>
      </w:r>
    </w:p>
    <w:p>
      <w:pPr>
        <w:pStyle w:val="BodyText"/>
        <w:spacing w:before="22"/>
        <w:ind w:left="2775"/>
      </w:pPr>
      <w:r>
        <w:rPr/>
        <w:t>1、主合同撤销、解除、退保、满期、终止；</w:t>
      </w:r>
    </w:p>
    <w:p>
      <w:pPr>
        <w:pStyle w:val="BodyText"/>
        <w:spacing w:line="274" w:lineRule="exact"/>
        <w:ind w:left="2775"/>
      </w:pPr>
      <w:r>
        <w:rPr/>
        <w:t>2、主合同及本附加合同约定的其它效力终止情形。</w:t>
      </w:r>
    </w:p>
    <w:p>
      <w:pPr>
        <w:pStyle w:val="BodyText"/>
        <w:spacing w:line="237" w:lineRule="auto" w:before="2"/>
        <w:ind w:left="2775" w:right="158"/>
      </w:pPr>
      <w:r>
        <w:rPr/>
        <w:t>本附加合同效力终止后，除另有规定外，我们不退还本附加合同的现金价值或已缴的保险费。</w:t>
      </w:r>
    </w:p>
    <w:p>
      <w:pPr>
        <w:pStyle w:val="BodyText"/>
        <w:rPr>
          <w:sz w:val="20"/>
        </w:rPr>
      </w:pPr>
    </w:p>
    <w:p>
      <w:pPr>
        <w:pStyle w:val="BodyText"/>
        <w:spacing w:before="8"/>
        <w:rPr>
          <w:sz w:val="23"/>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释义</w:t>
      </w:r>
    </w:p>
    <w:p>
      <w:pPr>
        <w:pStyle w:val="BodyText"/>
        <w:spacing w:before="2"/>
        <w:rPr>
          <w:b/>
          <w:sz w:val="10"/>
        </w:rPr>
      </w:pPr>
      <w:r>
        <w:rPr/>
        <w:pict>
          <v:group style="position:absolute;margin-left:59.939999pt;margin-top:8.639236pt;width:483.1pt;height:1.45pt;mso-position-horizontal-relative:page;mso-position-vertical-relative:paragraph;z-index:1360;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8001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8001pt" strokecolor="#000000">
              <v:stroke dashstyle="solid"/>
            </v:line>
            <w10:wrap type="topAndBottom"/>
          </v:group>
        </w:pict>
      </w:r>
    </w:p>
    <w:p>
      <w:pPr>
        <w:pStyle w:val="BodyText"/>
        <w:rPr>
          <w:b/>
          <w:sz w:val="9"/>
        </w:rPr>
      </w:pPr>
    </w:p>
    <w:p>
      <w:pPr>
        <w:pStyle w:val="BodyText"/>
        <w:spacing w:before="36"/>
        <w:ind w:left="226"/>
      </w:pPr>
      <w:r>
        <w:rPr/>
        <w:t>本附加合同中具有特定含义的名词，除非本附加合同另有释义，适用主合同的释义。</w:t>
      </w:r>
    </w:p>
    <w:p>
      <w:pPr>
        <w:pStyle w:val="BodyText"/>
        <w:spacing w:before="3"/>
        <w:rPr>
          <w:sz w:val="14"/>
        </w:rPr>
      </w:pPr>
    </w:p>
    <w:p>
      <w:pPr>
        <w:pStyle w:val="ListParagraph"/>
        <w:numPr>
          <w:ilvl w:val="1"/>
          <w:numId w:val="3"/>
        </w:numPr>
        <w:tabs>
          <w:tab w:pos="1075" w:val="left" w:leader="none"/>
          <w:tab w:pos="1076" w:val="left" w:leader="none"/>
          <w:tab w:pos="2775" w:val="left" w:leader="none"/>
        </w:tabs>
        <w:spacing w:line="240" w:lineRule="auto" w:before="1" w:after="0"/>
        <w:ind w:left="2775" w:right="0" w:hanging="2549"/>
        <w:jc w:val="left"/>
        <w:rPr>
          <w:sz w:val="21"/>
        </w:rPr>
      </w:pPr>
      <w:r>
        <w:rPr>
          <w:b/>
          <w:position w:val="-1"/>
          <w:sz w:val="21"/>
        </w:rPr>
        <w:t>意外伤害事故</w:t>
        <w:tab/>
      </w:r>
      <w:r>
        <w:rPr>
          <w:sz w:val="21"/>
        </w:rPr>
        <w:t>指外来的、突发的、非本意的、非疾病的客观事件。</w:t>
      </w:r>
    </w:p>
    <w:p>
      <w:pPr>
        <w:pStyle w:val="BodyText"/>
        <w:spacing w:before="8"/>
        <w:rPr>
          <w:sz w:val="15"/>
        </w:rPr>
      </w:pPr>
    </w:p>
    <w:p>
      <w:pPr>
        <w:pStyle w:val="ListParagraph"/>
        <w:numPr>
          <w:ilvl w:val="1"/>
          <w:numId w:val="3"/>
        </w:numPr>
        <w:tabs>
          <w:tab w:pos="1074" w:val="left" w:leader="none"/>
          <w:tab w:pos="1075" w:val="left" w:leader="none"/>
          <w:tab w:pos="2775" w:val="left" w:leader="none"/>
        </w:tabs>
        <w:spacing w:line="240" w:lineRule="auto" w:before="0" w:after="0"/>
        <w:ind w:left="1074" w:right="0" w:hanging="848"/>
        <w:jc w:val="left"/>
        <w:rPr>
          <w:sz w:val="21"/>
        </w:rPr>
      </w:pPr>
      <w:r>
        <w:rPr>
          <w:b/>
          <w:position w:val="6"/>
          <w:sz w:val="21"/>
        </w:rPr>
        <w:t>意外伤害</w:t>
        <w:tab/>
      </w:r>
      <w:r>
        <w:rPr>
          <w:sz w:val="21"/>
        </w:rPr>
        <w:t>指以意外伤害事故为直接且单独的原因所导致身体受到的伤害。</w:t>
      </w:r>
    </w:p>
    <w:p>
      <w:pPr>
        <w:pStyle w:val="ListParagraph"/>
        <w:numPr>
          <w:ilvl w:val="1"/>
          <w:numId w:val="3"/>
        </w:numPr>
        <w:tabs>
          <w:tab w:pos="1075" w:val="left" w:leader="none"/>
          <w:tab w:pos="1076" w:val="left" w:leader="none"/>
          <w:tab w:pos="2775" w:val="left" w:leader="none"/>
        </w:tabs>
        <w:spacing w:line="314" w:lineRule="auto" w:before="195" w:after="0"/>
        <w:ind w:left="2775" w:right="211" w:hanging="2549"/>
        <w:jc w:val="left"/>
        <w:rPr>
          <w:sz w:val="21"/>
        </w:rPr>
      </w:pPr>
      <w:r>
        <w:rPr>
          <w:b/>
          <w:position w:val="6"/>
          <w:sz w:val="21"/>
        </w:rPr>
        <w:t>医院</w:t>
        <w:tab/>
      </w:r>
      <w:r>
        <w:rPr>
          <w:sz w:val="21"/>
        </w:rPr>
        <w:t>本公司指定的医院由本公司在保险合同中详细列明</w:t>
      </w:r>
      <w:r>
        <w:rPr>
          <w:spacing w:val="-35"/>
          <w:sz w:val="21"/>
        </w:rPr>
        <w:t>，</w:t>
      </w:r>
      <w:r>
        <w:rPr>
          <w:sz w:val="21"/>
        </w:rPr>
        <w:t>本公司将定期发布当年度指定医院并通知投保人。本公司认可的医院应符合以下所有条件：</w:t>
      </w:r>
    </w:p>
    <w:p>
      <w:pPr>
        <w:pStyle w:val="BodyText"/>
        <w:spacing w:before="19"/>
        <w:ind w:left="2775"/>
      </w:pPr>
      <w:r>
        <w:rPr/>
        <w:t>1、拥有合法经营执照；</w:t>
      </w:r>
    </w:p>
    <w:p>
      <w:pPr>
        <w:pStyle w:val="BodyText"/>
        <w:spacing w:before="84"/>
        <w:ind w:left="2775"/>
      </w:pPr>
      <w:r>
        <w:rPr/>
        <w:t>2、设立的主要目的为受伤者和患病者提供留院治疗和护理；</w:t>
      </w:r>
    </w:p>
    <w:p>
      <w:pPr>
        <w:pStyle w:val="BodyText"/>
        <w:spacing w:before="84"/>
        <w:ind w:left="2775"/>
      </w:pPr>
      <w:r>
        <w:rPr/>
        <w:t>3、有合法职称的专业医生和护士提供全日二十四小时的医疗和护理服务；</w:t>
      </w:r>
    </w:p>
    <w:p>
      <w:pPr>
        <w:pStyle w:val="BodyText"/>
        <w:spacing w:before="84"/>
        <w:ind w:left="2775"/>
      </w:pPr>
      <w:r>
        <w:rPr>
          <w:rFonts w:ascii="Times New Roman" w:eastAsia="Times New Roman"/>
        </w:rPr>
        <w:t>4</w:t>
      </w:r>
      <w:r>
        <w:rPr/>
        <w:t>、具有系统性诊疗等程序或手术设备的综合性医院和专科医院，但不包括</w:t>
      </w:r>
    </w:p>
    <w:p>
      <w:pPr>
        <w:spacing w:after="0"/>
        <w:sectPr>
          <w:pgSz w:w="11910" w:h="16840"/>
          <w:pgMar w:header="0" w:footer="998" w:top="1600" w:bottom="1180" w:left="1080" w:right="940"/>
        </w:sectPr>
      </w:pPr>
    </w:p>
    <w:p>
      <w:pPr>
        <w:pStyle w:val="BodyText"/>
        <w:spacing w:before="20"/>
        <w:ind w:left="2655"/>
      </w:pPr>
      <w:r>
        <w:rPr/>
        <w:t>观察室、联合病房、精神病院和康复病房；</w:t>
      </w:r>
    </w:p>
    <w:p>
      <w:pPr>
        <w:pStyle w:val="BodyText"/>
        <w:spacing w:line="297" w:lineRule="auto" w:before="85"/>
        <w:ind w:left="2655" w:right="210"/>
        <w:jc w:val="both"/>
      </w:pPr>
      <w:r>
        <w:rPr>
          <w:rFonts w:ascii="Times New Roman" w:eastAsia="Times New Roman"/>
        </w:rPr>
        <w:t>5</w:t>
      </w:r>
      <w:r>
        <w:rPr/>
        <w:t>、非主要作为康复医院、诊所、护理、疗养、戒酒、戒毒或类似的医疗机构。</w:t>
      </w:r>
    </w:p>
    <w:p>
      <w:pPr>
        <w:pStyle w:val="ListParagraph"/>
        <w:numPr>
          <w:ilvl w:val="1"/>
          <w:numId w:val="3"/>
        </w:numPr>
        <w:tabs>
          <w:tab w:pos="955" w:val="left" w:leader="none"/>
          <w:tab w:pos="956" w:val="left" w:leader="none"/>
          <w:tab w:pos="2655" w:val="left" w:leader="none"/>
        </w:tabs>
        <w:spacing w:line="240" w:lineRule="auto" w:before="146" w:after="0"/>
        <w:ind w:left="955" w:right="0" w:hanging="849"/>
        <w:jc w:val="left"/>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23"/>
          <w:sz w:val="21"/>
        </w:rPr>
        <w:t>：</w:t>
      </w:r>
      <w:r>
        <w:rPr>
          <w:sz w:val="21"/>
        </w:rPr>
        <w:t>（1</w:t>
      </w:r>
      <w:r>
        <w:rPr>
          <w:spacing w:val="-18"/>
          <w:sz w:val="21"/>
        </w:rPr>
        <w:t>）</w:t>
      </w:r>
      <w:r>
        <w:rPr>
          <w:sz w:val="21"/>
        </w:rPr>
        <w:t>具有有效的中华人民共和国</w:t>
      </w:r>
    </w:p>
    <w:p>
      <w:pPr>
        <w:pStyle w:val="BodyText"/>
        <w:spacing w:line="273" w:lineRule="auto" w:before="36"/>
        <w:ind w:left="2655" w:right="211"/>
        <w:jc w:val="both"/>
      </w:pPr>
      <w:r>
        <w:rPr>
          <w:spacing w:val="-23"/>
        </w:rPr>
        <w:t>《 医师资格证书》；</w:t>
      </w:r>
      <w:r>
        <w:rPr>
          <w:spacing w:val="-2"/>
        </w:rPr>
        <w:t>（</w:t>
      </w:r>
      <w:r>
        <w:rPr/>
        <w:t>2</w:t>
      </w:r>
      <w:r>
        <w:rPr>
          <w:spacing w:val="-10"/>
        </w:rPr>
        <w:t>）</w:t>
      </w:r>
      <w:r>
        <w:rPr>
          <w:spacing w:val="-9"/>
        </w:rPr>
        <w:t>具有有效的中华人民共和国《 医师执业证书》，并</w:t>
      </w:r>
      <w:r>
        <w:rPr/>
        <w:t>按期到相关部门登记注册</w:t>
      </w:r>
      <w:r>
        <w:rPr>
          <w:spacing w:val="-123"/>
        </w:rPr>
        <w:t>；</w:t>
      </w:r>
      <w:r>
        <w:rPr/>
        <w:t>（3</w:t>
      </w:r>
      <w:r>
        <w:rPr>
          <w:spacing w:val="-18"/>
        </w:rPr>
        <w:t>）</w:t>
      </w:r>
      <w:r>
        <w:rPr/>
        <w:t>具有有效的中华人民共和国主治医师或主治</w:t>
      </w:r>
      <w:r>
        <w:rPr>
          <w:spacing w:val="-16"/>
        </w:rPr>
        <w:t>医师以上职称的《 医师职称证书》；</w:t>
      </w:r>
      <w:r>
        <w:rPr/>
        <w:t>（4</w:t>
      </w:r>
      <w:r>
        <w:rPr>
          <w:spacing w:val="-12"/>
        </w:rPr>
        <w:t>）</w:t>
      </w:r>
      <w:r>
        <w:rPr/>
        <w:t>在二级或二级以上医院的相应科室从事临床工作三年以上。</w:t>
      </w:r>
    </w:p>
    <w:p>
      <w:pPr>
        <w:pStyle w:val="BodyText"/>
        <w:spacing w:before="11"/>
        <w:rPr>
          <w:sz w:val="10"/>
        </w:rPr>
      </w:pPr>
    </w:p>
    <w:p>
      <w:pPr>
        <w:spacing w:after="0"/>
        <w:rPr>
          <w:sz w:val="10"/>
        </w:rPr>
        <w:sectPr>
          <w:pgSz w:w="11910" w:h="16840"/>
          <w:pgMar w:header="0" w:footer="998" w:top="1520" w:bottom="1180" w:left="1200" w:right="940"/>
        </w:sectPr>
      </w:pPr>
    </w:p>
    <w:p>
      <w:pPr>
        <w:pStyle w:val="Heading4"/>
        <w:numPr>
          <w:ilvl w:val="1"/>
          <w:numId w:val="3"/>
        </w:numPr>
        <w:tabs>
          <w:tab w:pos="955" w:val="left" w:leader="none"/>
          <w:tab w:pos="956" w:val="left" w:leader="none"/>
        </w:tabs>
        <w:spacing w:line="273" w:lineRule="auto" w:before="35" w:after="0"/>
        <w:ind w:left="955" w:right="0" w:hanging="849"/>
        <w:jc w:val="left"/>
      </w:pPr>
      <w:r>
        <w:rPr/>
        <w:t>感染艾滋病病毒</w:t>
      </w:r>
      <w:r>
        <w:rPr>
          <w:w w:val="95"/>
        </w:rPr>
        <w:t>或患艾滋病</w:t>
      </w:r>
    </w:p>
    <w:p>
      <w:pPr>
        <w:pStyle w:val="BodyText"/>
        <w:spacing w:line="273" w:lineRule="auto" w:before="35"/>
        <w:ind w:left="106" w:right="158"/>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06" w:right="105"/>
      </w:pPr>
      <w:r>
        <w:rPr>
          <w:spacing w:val="-2"/>
        </w:rPr>
        <w:t>在人体血液或其他样本中检测到艾滋病病毒或其抗体呈阳性，没有出现临床</w:t>
      </w:r>
      <w:r>
        <w:rPr>
          <w:spacing w:val="-13"/>
        </w:rPr>
        <w:t>症状或体征的，为感染艾滋病病毒；如果同时出现了明显临床症状或体征的， 为患艾滋病。</w:t>
      </w:r>
    </w:p>
    <w:p>
      <w:pPr>
        <w:spacing w:after="0" w:line="273" w:lineRule="auto"/>
        <w:sectPr>
          <w:type w:val="continuous"/>
          <w:pgSz w:w="11910" w:h="16840"/>
          <w:pgMar w:top="520" w:bottom="280" w:left="1200" w:right="940"/>
          <w:cols w:num="2" w:equalWidth="0">
            <w:col w:w="2442" w:space="106"/>
            <w:col w:w="7222"/>
          </w:cols>
        </w:sectPr>
      </w:pPr>
    </w:p>
    <w:p>
      <w:pPr>
        <w:pStyle w:val="BodyText"/>
        <w:spacing w:before="2"/>
        <w:rPr>
          <w:sz w:val="15"/>
        </w:rPr>
      </w:pPr>
    </w:p>
    <w:p>
      <w:pPr>
        <w:pStyle w:val="ListParagraph"/>
        <w:numPr>
          <w:ilvl w:val="1"/>
          <w:numId w:val="3"/>
        </w:numPr>
        <w:tabs>
          <w:tab w:pos="955" w:val="left" w:leader="none"/>
          <w:tab w:pos="956" w:val="left" w:leader="none"/>
          <w:tab w:pos="2655" w:val="left" w:leader="none"/>
        </w:tabs>
        <w:spacing w:line="211" w:lineRule="auto" w:before="59" w:after="0"/>
        <w:ind w:left="2655" w:right="212" w:hanging="2549"/>
        <w:jc w:val="left"/>
        <w:rPr>
          <w:sz w:val="21"/>
        </w:rPr>
      </w:pPr>
      <w:r>
        <w:rPr>
          <w:b/>
          <w:position w:val="-7"/>
          <w:sz w:val="21"/>
        </w:rPr>
        <w:t>遗传性疾病</w:t>
        <w:tab/>
      </w:r>
      <w:r>
        <w:rPr>
          <w:sz w:val="21"/>
        </w:rPr>
        <w:t>指生殖细胞或受精卵的遗传物</w:t>
      </w:r>
      <w:r>
        <w:rPr>
          <w:spacing w:val="-18"/>
          <w:sz w:val="21"/>
        </w:rPr>
        <w:t>质</w:t>
      </w:r>
      <w:r>
        <w:rPr>
          <w:sz w:val="21"/>
        </w:rPr>
        <w:t>（染色体和基因</w:t>
      </w:r>
      <w:r>
        <w:rPr>
          <w:spacing w:val="-18"/>
          <w:sz w:val="21"/>
        </w:rPr>
        <w:t>）</w:t>
      </w:r>
      <w:r>
        <w:rPr>
          <w:sz w:val="21"/>
        </w:rPr>
        <w:t>发生突变或畸变所引起的疾病，通常具有由亲代传至后代的垂直传递的特征。</w:t>
      </w:r>
    </w:p>
    <w:p>
      <w:pPr>
        <w:pStyle w:val="BodyText"/>
        <w:rPr>
          <w:sz w:val="25"/>
        </w:rPr>
      </w:pPr>
    </w:p>
    <w:p>
      <w:pPr>
        <w:spacing w:after="0"/>
        <w:rPr>
          <w:sz w:val="25"/>
        </w:rPr>
        <w:sectPr>
          <w:type w:val="continuous"/>
          <w:pgSz w:w="11910" w:h="16840"/>
          <w:pgMar w:top="520" w:bottom="280" w:left="1200" w:right="940"/>
        </w:sectPr>
      </w:pPr>
    </w:p>
    <w:p>
      <w:pPr>
        <w:pStyle w:val="Heading4"/>
        <w:numPr>
          <w:ilvl w:val="1"/>
          <w:numId w:val="3"/>
        </w:numPr>
        <w:tabs>
          <w:tab w:pos="955" w:val="left" w:leader="none"/>
          <w:tab w:pos="956" w:val="left" w:leader="none"/>
        </w:tabs>
        <w:spacing w:line="273" w:lineRule="auto" w:before="36" w:after="0"/>
        <w:ind w:left="955" w:right="0" w:hanging="849"/>
        <w:jc w:val="left"/>
      </w:pPr>
      <w:r>
        <w:rPr>
          <w:w w:val="95"/>
        </w:rPr>
        <w:t>先天性畸形、变形或染色体异常</w:t>
      </w:r>
    </w:p>
    <w:p>
      <w:pPr>
        <w:pStyle w:val="BodyText"/>
        <w:spacing w:line="273" w:lineRule="auto" w:before="36"/>
        <w:ind w:left="106" w:right="107"/>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06"/>
      </w:pPr>
      <w:r>
        <w:rPr/>
        <w:t>（</w:t>
      </w:r>
      <w:r>
        <w:rPr>
          <w:rFonts w:ascii="Times New Roman" w:eastAsia="Times New Roman"/>
        </w:rPr>
        <w:t>ICD-10</w:t>
      </w:r>
      <w:r>
        <w:rPr/>
        <w:t>）确定。</w:t>
      </w:r>
    </w:p>
    <w:sectPr>
      <w:type w:val="continuous"/>
      <w:pgSz w:w="11910" w:h="16840"/>
      <w:pgMar w:top="520" w:bottom="280" w:left="1200" w:right="940"/>
      <w:cols w:num="2" w:equalWidth="0">
        <w:col w:w="2431" w:space="118"/>
        <w:col w:w="722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38368" type="#_x0000_t202" filled="false" stroked="false">
          <v:textbox inset="0,0,0,0">
            <w:txbxContent>
              <w:p>
                <w:pPr>
                  <w:spacing w:before="12"/>
                  <w:ind w:left="20" w:right="0" w:firstLine="0"/>
                  <w:jc w:val="left"/>
                  <w:rPr>
                    <w:rFonts w:ascii="Times New Roman"/>
                    <w:sz w:val="18"/>
                  </w:rPr>
                </w:pPr>
                <w:r>
                  <w:rPr>
                    <w:rFonts w:ascii="Times New Roman"/>
                    <w:sz w:val="18"/>
                  </w:rPr>
                  <w:t>13-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2970" w:hanging="316"/>
      </w:pPr>
      <w:rPr>
        <w:rFonts w:hint="default" w:ascii="宋体" w:hAnsi="宋体" w:eastAsia="宋体" w:cs="宋体"/>
        <w:spacing w:val="-2"/>
        <w:w w:val="100"/>
        <w:sz w:val="21"/>
        <w:szCs w:val="21"/>
      </w:rPr>
    </w:lvl>
    <w:lvl w:ilvl="1">
      <w:start w:val="0"/>
      <w:numFmt w:val="bullet"/>
      <w:lvlText w:val="•"/>
      <w:lvlJc w:val="left"/>
      <w:pPr>
        <w:ind w:left="3658" w:hanging="316"/>
      </w:pPr>
      <w:rPr>
        <w:rFonts w:hint="default"/>
      </w:rPr>
    </w:lvl>
    <w:lvl w:ilvl="2">
      <w:start w:val="0"/>
      <w:numFmt w:val="bullet"/>
      <w:lvlText w:val="•"/>
      <w:lvlJc w:val="left"/>
      <w:pPr>
        <w:ind w:left="4336" w:hanging="316"/>
      </w:pPr>
      <w:rPr>
        <w:rFonts w:hint="default"/>
      </w:rPr>
    </w:lvl>
    <w:lvl w:ilvl="3">
      <w:start w:val="0"/>
      <w:numFmt w:val="bullet"/>
      <w:lvlText w:val="•"/>
      <w:lvlJc w:val="left"/>
      <w:pPr>
        <w:ind w:left="5015" w:hanging="316"/>
      </w:pPr>
      <w:rPr>
        <w:rFonts w:hint="default"/>
      </w:rPr>
    </w:lvl>
    <w:lvl w:ilvl="4">
      <w:start w:val="0"/>
      <w:numFmt w:val="bullet"/>
      <w:lvlText w:val="•"/>
      <w:lvlJc w:val="left"/>
      <w:pPr>
        <w:ind w:left="5693" w:hanging="316"/>
      </w:pPr>
      <w:rPr>
        <w:rFonts w:hint="default"/>
      </w:rPr>
    </w:lvl>
    <w:lvl w:ilvl="5">
      <w:start w:val="0"/>
      <w:numFmt w:val="bullet"/>
      <w:lvlText w:val="•"/>
      <w:lvlJc w:val="left"/>
      <w:pPr>
        <w:ind w:left="6372" w:hanging="316"/>
      </w:pPr>
      <w:rPr>
        <w:rFonts w:hint="default"/>
      </w:rPr>
    </w:lvl>
    <w:lvl w:ilvl="6">
      <w:start w:val="0"/>
      <w:numFmt w:val="bullet"/>
      <w:lvlText w:val="•"/>
      <w:lvlJc w:val="left"/>
      <w:pPr>
        <w:ind w:left="7050" w:hanging="316"/>
      </w:pPr>
      <w:rPr>
        <w:rFonts w:hint="default"/>
      </w:rPr>
    </w:lvl>
    <w:lvl w:ilvl="7">
      <w:start w:val="0"/>
      <w:numFmt w:val="bullet"/>
      <w:lvlText w:val="•"/>
      <w:lvlJc w:val="left"/>
      <w:pPr>
        <w:ind w:left="7729" w:hanging="316"/>
      </w:pPr>
      <w:rPr>
        <w:rFonts w:hint="default"/>
      </w:rPr>
    </w:lvl>
    <w:lvl w:ilvl="8">
      <w:start w:val="0"/>
      <w:numFmt w:val="bullet"/>
      <w:lvlText w:val="•"/>
      <w:lvlJc w:val="left"/>
      <w:pPr>
        <w:ind w:left="8407" w:hanging="316"/>
      </w:pPr>
      <w:rPr>
        <w:rFonts w:hint="default"/>
      </w:rPr>
    </w:lvl>
  </w:abstractNum>
  <w:abstractNum w:abstractNumId="4">
    <w:multiLevelType w:val="hybridMultilevel"/>
    <w:lvl w:ilvl="0">
      <w:start w:val="3"/>
      <w:numFmt w:val="decimal"/>
      <w:lvlText w:val="%1"/>
      <w:lvlJc w:val="left"/>
      <w:pPr>
        <w:ind w:left="955" w:hanging="849"/>
        <w:jc w:val="left"/>
      </w:pPr>
      <w:rPr>
        <w:rFonts w:hint="default"/>
      </w:rPr>
    </w:lvl>
    <w:lvl w:ilvl="1">
      <w:start w:val="2"/>
      <w:numFmt w:val="decimal"/>
      <w:lvlText w:val="%1.%2"/>
      <w:lvlJc w:val="left"/>
      <w:pPr>
        <w:ind w:left="955" w:hanging="849"/>
        <w:jc w:val="left"/>
      </w:pPr>
      <w:rPr>
        <w:rFonts w:hint="default"/>
      </w:rPr>
    </w:lvl>
    <w:lvl w:ilvl="2">
      <w:start w:val="32"/>
      <w:numFmt w:val="decimal"/>
      <w:lvlText w:val="%1.%2.%3"/>
      <w:lvlJc w:val="left"/>
      <w:pPr>
        <w:ind w:left="2655" w:hanging="849"/>
        <w:jc w:val="left"/>
      </w:pPr>
      <w:rPr>
        <w:rFonts w:hint="default" w:ascii="宋体" w:hAnsi="宋体" w:eastAsia="宋体" w:cs="宋体"/>
        <w:i/>
        <w:w w:val="95"/>
        <w:sz w:val="22"/>
        <w:szCs w:val="22"/>
      </w:rPr>
    </w:lvl>
    <w:lvl w:ilvl="3">
      <w:start w:val="1"/>
      <w:numFmt w:val="upperRoman"/>
      <w:lvlText w:val="%4"/>
      <w:lvlJc w:val="left"/>
      <w:pPr>
        <w:ind w:left="391" w:hanging="159"/>
        <w:jc w:val="left"/>
      </w:pPr>
      <w:rPr>
        <w:rFonts w:hint="default" w:ascii="宋体" w:hAnsi="宋体" w:eastAsia="宋体" w:cs="宋体"/>
        <w:w w:val="100"/>
        <w:sz w:val="21"/>
        <w:szCs w:val="21"/>
      </w:rPr>
    </w:lvl>
    <w:lvl w:ilvl="4">
      <w:start w:val="0"/>
      <w:numFmt w:val="bullet"/>
      <w:lvlText w:val="•"/>
      <w:lvlJc w:val="left"/>
      <w:pPr>
        <w:ind w:left="1964" w:hanging="159"/>
      </w:pPr>
      <w:rPr>
        <w:rFonts w:hint="default"/>
      </w:rPr>
    </w:lvl>
    <w:lvl w:ilvl="5">
      <w:start w:val="0"/>
      <w:numFmt w:val="bullet"/>
      <w:lvlText w:val="•"/>
      <w:lvlJc w:val="left"/>
      <w:pPr>
        <w:ind w:left="1616" w:hanging="159"/>
      </w:pPr>
      <w:rPr>
        <w:rFonts w:hint="default"/>
      </w:rPr>
    </w:lvl>
    <w:lvl w:ilvl="6">
      <w:start w:val="0"/>
      <w:numFmt w:val="bullet"/>
      <w:lvlText w:val="•"/>
      <w:lvlJc w:val="left"/>
      <w:pPr>
        <w:ind w:left="1268" w:hanging="159"/>
      </w:pPr>
      <w:rPr>
        <w:rFonts w:hint="default"/>
      </w:rPr>
    </w:lvl>
    <w:lvl w:ilvl="7">
      <w:start w:val="0"/>
      <w:numFmt w:val="bullet"/>
      <w:lvlText w:val="•"/>
      <w:lvlJc w:val="left"/>
      <w:pPr>
        <w:ind w:left="920" w:hanging="159"/>
      </w:pPr>
      <w:rPr>
        <w:rFonts w:hint="default"/>
      </w:rPr>
    </w:lvl>
    <w:lvl w:ilvl="8">
      <w:start w:val="0"/>
      <w:numFmt w:val="bullet"/>
      <w:lvlText w:val="•"/>
      <w:lvlJc w:val="left"/>
      <w:pPr>
        <w:ind w:left="572" w:hanging="159"/>
      </w:pPr>
      <w:rPr>
        <w:rFonts w:hint="default"/>
      </w:rPr>
    </w:lvl>
  </w:abstractNum>
  <w:abstractNum w:abstractNumId="3">
    <w:multiLevelType w:val="hybridMultilevel"/>
    <w:lvl w:ilvl="0">
      <w:start w:val="3"/>
      <w:numFmt w:val="decimal"/>
      <w:lvlText w:val="%1"/>
      <w:lvlJc w:val="left"/>
      <w:pPr>
        <w:ind w:left="2655" w:hanging="849"/>
        <w:jc w:val="left"/>
      </w:pPr>
      <w:rPr>
        <w:rFonts w:hint="default"/>
      </w:rPr>
    </w:lvl>
    <w:lvl w:ilvl="1">
      <w:start w:val="2"/>
      <w:numFmt w:val="decimal"/>
      <w:lvlText w:val="%1.%2"/>
      <w:lvlJc w:val="left"/>
      <w:pPr>
        <w:ind w:left="2655" w:hanging="849"/>
        <w:jc w:val="left"/>
      </w:pPr>
      <w:rPr>
        <w:rFonts w:hint="default"/>
      </w:rPr>
    </w:lvl>
    <w:lvl w:ilvl="2">
      <w:start w:val="16"/>
      <w:numFmt w:val="decimal"/>
      <w:lvlText w:val="%1.%2.%3"/>
      <w:lvlJc w:val="left"/>
      <w:pPr>
        <w:ind w:left="2655" w:hanging="849"/>
        <w:jc w:val="left"/>
      </w:pPr>
      <w:rPr>
        <w:rFonts w:hint="default" w:ascii="宋体" w:hAnsi="宋体" w:eastAsia="宋体" w:cs="宋体"/>
        <w:i/>
        <w:spacing w:val="-1"/>
        <w:w w:val="95"/>
        <w:sz w:val="22"/>
        <w:szCs w:val="22"/>
      </w:rPr>
    </w:lvl>
    <w:lvl w:ilvl="3">
      <w:start w:val="0"/>
      <w:numFmt w:val="bullet"/>
      <w:lvlText w:val="•"/>
      <w:lvlJc w:val="left"/>
      <w:pPr>
        <w:ind w:left="4791" w:hanging="849"/>
      </w:pPr>
      <w:rPr>
        <w:rFonts w:hint="default"/>
      </w:rPr>
    </w:lvl>
    <w:lvl w:ilvl="4">
      <w:start w:val="0"/>
      <w:numFmt w:val="bullet"/>
      <w:lvlText w:val="•"/>
      <w:lvlJc w:val="left"/>
      <w:pPr>
        <w:ind w:left="5501" w:hanging="849"/>
      </w:pPr>
      <w:rPr>
        <w:rFonts w:hint="default"/>
      </w:rPr>
    </w:lvl>
    <w:lvl w:ilvl="5">
      <w:start w:val="0"/>
      <w:numFmt w:val="bullet"/>
      <w:lvlText w:val="•"/>
      <w:lvlJc w:val="left"/>
      <w:pPr>
        <w:ind w:left="6212" w:hanging="849"/>
      </w:pPr>
      <w:rPr>
        <w:rFonts w:hint="default"/>
      </w:rPr>
    </w:lvl>
    <w:lvl w:ilvl="6">
      <w:start w:val="0"/>
      <w:numFmt w:val="bullet"/>
      <w:lvlText w:val="•"/>
      <w:lvlJc w:val="left"/>
      <w:pPr>
        <w:ind w:left="6922" w:hanging="849"/>
      </w:pPr>
      <w:rPr>
        <w:rFonts w:hint="default"/>
      </w:rPr>
    </w:lvl>
    <w:lvl w:ilvl="7">
      <w:start w:val="0"/>
      <w:numFmt w:val="bullet"/>
      <w:lvlText w:val="•"/>
      <w:lvlJc w:val="left"/>
      <w:pPr>
        <w:ind w:left="7633" w:hanging="849"/>
      </w:pPr>
      <w:rPr>
        <w:rFonts w:hint="default"/>
      </w:rPr>
    </w:lvl>
    <w:lvl w:ilvl="8">
      <w:start w:val="0"/>
      <w:numFmt w:val="bullet"/>
      <w:lvlText w:val="•"/>
      <w:lvlJc w:val="left"/>
      <w:pPr>
        <w:ind w:left="8343" w:hanging="849"/>
      </w:pPr>
      <w:rPr>
        <w:rFonts w:hint="default"/>
      </w:rPr>
    </w:lvl>
  </w:abstractNum>
  <w:abstractNum w:abstractNumId="2">
    <w:multiLevelType w:val="hybridMultilevel"/>
    <w:lvl w:ilvl="0">
      <w:start w:val="1"/>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2775" w:hanging="848"/>
        <w:jc w:val="left"/>
      </w:pPr>
      <w:rPr>
        <w:rFonts w:hint="default" w:ascii="宋体" w:hAnsi="宋体" w:eastAsia="宋体" w:cs="宋体"/>
        <w:b/>
        <w:bCs/>
        <w:w w:val="99"/>
        <w:position w:val="-1"/>
        <w:sz w:val="21"/>
        <w:szCs w:val="21"/>
      </w:rPr>
    </w:lvl>
    <w:lvl w:ilvl="2">
      <w:start w:val="1"/>
      <w:numFmt w:val="decimal"/>
      <w:lvlText w:val="%1.%2.%3"/>
      <w:lvlJc w:val="left"/>
      <w:pPr>
        <w:ind w:left="2775" w:hanging="849"/>
        <w:jc w:val="left"/>
      </w:pPr>
      <w:rPr>
        <w:rFonts w:hint="default" w:ascii="宋体" w:hAnsi="宋体" w:eastAsia="宋体" w:cs="宋体"/>
        <w:i/>
        <w:spacing w:val="-1"/>
        <w:w w:val="95"/>
        <w:position w:val="3"/>
        <w:sz w:val="22"/>
        <w:szCs w:val="22"/>
      </w:rPr>
    </w:lvl>
    <w:lvl w:ilvl="3">
      <w:start w:val="0"/>
      <w:numFmt w:val="bullet"/>
      <w:lvlText w:val="•"/>
      <w:lvlJc w:val="left"/>
      <w:pPr>
        <w:ind w:left="3086" w:hanging="849"/>
      </w:pPr>
      <w:rPr>
        <w:rFonts w:hint="default"/>
      </w:rPr>
    </w:lvl>
    <w:lvl w:ilvl="4">
      <w:start w:val="0"/>
      <w:numFmt w:val="bullet"/>
      <w:lvlText w:val="•"/>
      <w:lvlJc w:val="left"/>
      <w:pPr>
        <w:ind w:left="2992" w:hanging="849"/>
      </w:pPr>
      <w:rPr>
        <w:rFonts w:hint="default"/>
      </w:rPr>
    </w:lvl>
    <w:lvl w:ilvl="5">
      <w:start w:val="0"/>
      <w:numFmt w:val="bullet"/>
      <w:lvlText w:val="•"/>
      <w:lvlJc w:val="left"/>
      <w:pPr>
        <w:ind w:left="2898" w:hanging="849"/>
      </w:pPr>
      <w:rPr>
        <w:rFonts w:hint="default"/>
      </w:rPr>
    </w:lvl>
    <w:lvl w:ilvl="6">
      <w:start w:val="0"/>
      <w:numFmt w:val="bullet"/>
      <w:lvlText w:val="•"/>
      <w:lvlJc w:val="left"/>
      <w:pPr>
        <w:ind w:left="2805" w:hanging="849"/>
      </w:pPr>
      <w:rPr>
        <w:rFonts w:hint="default"/>
      </w:rPr>
    </w:lvl>
    <w:lvl w:ilvl="7">
      <w:start w:val="0"/>
      <w:numFmt w:val="bullet"/>
      <w:lvlText w:val="•"/>
      <w:lvlJc w:val="left"/>
      <w:pPr>
        <w:ind w:left="2711" w:hanging="849"/>
      </w:pPr>
      <w:rPr>
        <w:rFonts w:hint="default"/>
      </w:rPr>
    </w:lvl>
    <w:lvl w:ilvl="8">
      <w:start w:val="0"/>
      <w:numFmt w:val="bullet"/>
      <w:lvlText w:val="•"/>
      <w:lvlJc w:val="left"/>
      <w:pPr>
        <w:ind w:left="2617" w:hanging="849"/>
      </w:pPr>
      <w:rPr>
        <w:rFonts w:hint="default"/>
      </w:rPr>
    </w:lvl>
  </w:abstractNum>
  <w:abstractNum w:abstractNumId="1">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080" w:hanging="421"/>
      </w:pPr>
      <w:rPr>
        <w:rFonts w:hint="default"/>
      </w:rPr>
    </w:lvl>
    <w:lvl w:ilvl="3">
      <w:start w:val="0"/>
      <w:numFmt w:val="bullet"/>
      <w:lvlText w:val="•"/>
      <w:lvlJc w:val="left"/>
      <w:pPr>
        <w:ind w:left="5641" w:hanging="421"/>
      </w:pPr>
      <w:rPr>
        <w:rFonts w:hint="default"/>
      </w:rPr>
    </w:lvl>
    <w:lvl w:ilvl="4">
      <w:start w:val="0"/>
      <w:numFmt w:val="bullet"/>
      <w:lvlText w:val="•"/>
      <w:lvlJc w:val="left"/>
      <w:pPr>
        <w:ind w:left="6201" w:hanging="421"/>
      </w:pPr>
      <w:rPr>
        <w:rFonts w:hint="default"/>
      </w:rPr>
    </w:lvl>
    <w:lvl w:ilvl="5">
      <w:start w:val="0"/>
      <w:numFmt w:val="bullet"/>
      <w:lvlText w:val="•"/>
      <w:lvlJc w:val="left"/>
      <w:pPr>
        <w:ind w:left="6762" w:hanging="421"/>
      </w:pPr>
      <w:rPr>
        <w:rFonts w:hint="default"/>
      </w:rPr>
    </w:lvl>
    <w:lvl w:ilvl="6">
      <w:start w:val="0"/>
      <w:numFmt w:val="bullet"/>
      <w:lvlText w:val="•"/>
      <w:lvlJc w:val="left"/>
      <w:pPr>
        <w:ind w:left="7322" w:hanging="421"/>
      </w:pPr>
      <w:rPr>
        <w:rFonts w:hint="default"/>
      </w:rPr>
    </w:lvl>
    <w:lvl w:ilvl="7">
      <w:start w:val="0"/>
      <w:numFmt w:val="bullet"/>
      <w:lvlText w:val="•"/>
      <w:lvlJc w:val="left"/>
      <w:pPr>
        <w:ind w:left="7883" w:hanging="421"/>
      </w:pPr>
      <w:rPr>
        <w:rFonts w:hint="default"/>
      </w:rPr>
    </w:lvl>
    <w:lvl w:ilvl="8">
      <w:start w:val="0"/>
      <w:numFmt w:val="bullet"/>
      <w:lvlText w:val="•"/>
      <w:lvlJc w:val="left"/>
      <w:pPr>
        <w:ind w:left="8443"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20" w:hanging="421"/>
      </w:pPr>
      <w:rPr>
        <w:rFonts w:hint="default"/>
      </w:rPr>
    </w:lvl>
    <w:lvl w:ilvl="3">
      <w:start w:val="0"/>
      <w:numFmt w:val="bullet"/>
      <w:lvlText w:val="•"/>
      <w:lvlJc w:val="left"/>
      <w:pPr>
        <w:ind w:left="2700" w:hanging="421"/>
      </w:pPr>
      <w:rPr>
        <w:rFonts w:hint="default"/>
      </w:rPr>
    </w:lvl>
    <w:lvl w:ilvl="4">
      <w:start w:val="0"/>
      <w:numFmt w:val="bullet"/>
      <w:lvlText w:val="•"/>
      <w:lvlJc w:val="left"/>
      <w:pPr>
        <w:ind w:left="3681" w:hanging="421"/>
      </w:pPr>
      <w:rPr>
        <w:rFonts w:hint="default"/>
      </w:rPr>
    </w:lvl>
    <w:lvl w:ilvl="5">
      <w:start w:val="0"/>
      <w:numFmt w:val="bullet"/>
      <w:lvlText w:val="•"/>
      <w:lvlJc w:val="left"/>
      <w:pPr>
        <w:ind w:left="4661" w:hanging="421"/>
      </w:pPr>
      <w:rPr>
        <w:rFonts w:hint="default"/>
      </w:rPr>
    </w:lvl>
    <w:lvl w:ilvl="6">
      <w:start w:val="0"/>
      <w:numFmt w:val="bullet"/>
      <w:lvlText w:val="•"/>
      <w:lvlJc w:val="left"/>
      <w:pPr>
        <w:ind w:left="5642" w:hanging="421"/>
      </w:pPr>
      <w:rPr>
        <w:rFonts w:hint="default"/>
      </w:rPr>
    </w:lvl>
    <w:lvl w:ilvl="7">
      <w:start w:val="0"/>
      <w:numFmt w:val="bullet"/>
      <w:lvlText w:val="•"/>
      <w:lvlJc w:val="left"/>
      <w:pPr>
        <w:ind w:left="6622" w:hanging="421"/>
      </w:pPr>
      <w:rPr>
        <w:rFonts w:hint="default"/>
      </w:rPr>
    </w:lvl>
    <w:lvl w:ilvl="8">
      <w:start w:val="0"/>
      <w:numFmt w:val="bullet"/>
      <w:lvlText w:val="•"/>
      <w:lvlJc w:val="left"/>
      <w:pPr>
        <w:ind w:left="7603" w:hanging="42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49"/>
      <w:outlineLvl w:val="2"/>
    </w:pPr>
    <w:rPr>
      <w:rFonts w:ascii="宋体" w:hAnsi="宋体" w:eastAsia="宋体" w:cs="宋体"/>
      <w:b/>
      <w:bCs/>
      <w:sz w:val="28"/>
      <w:szCs w:val="28"/>
    </w:rPr>
  </w:style>
  <w:style w:styleId="Heading3" w:type="paragraph">
    <w:name w:val="Heading 3"/>
    <w:basedOn w:val="Normal"/>
    <w:uiPriority w:val="1"/>
    <w:qFormat/>
    <w:pPr>
      <w:spacing w:before="34"/>
      <w:ind w:left="955"/>
      <w:outlineLvl w:val="3"/>
    </w:pPr>
    <w:rPr>
      <w:rFonts w:ascii="宋体" w:hAnsi="宋体" w:eastAsia="宋体" w:cs="宋体"/>
      <w:i/>
      <w:sz w:val="22"/>
      <w:szCs w:val="22"/>
    </w:rPr>
  </w:style>
  <w:style w:styleId="Heading4" w:type="paragraph">
    <w:name w:val="Heading 4"/>
    <w:basedOn w:val="Normal"/>
    <w:uiPriority w:val="1"/>
    <w:qFormat/>
    <w:pPr>
      <w:spacing w:before="56"/>
      <w:ind w:left="1075" w:hanging="849"/>
      <w:outlineLvl w:val="4"/>
    </w:pPr>
    <w:rPr>
      <w:rFonts w:ascii="宋体" w:hAnsi="宋体" w:eastAsia="宋体" w:cs="宋体"/>
      <w:b/>
      <w:bCs/>
      <w:sz w:val="21"/>
      <w:szCs w:val="21"/>
    </w:rPr>
  </w:style>
  <w:style w:styleId="ListParagraph" w:type="paragraph">
    <w:name w:val="List Paragraph"/>
    <w:basedOn w:val="Normal"/>
    <w:uiPriority w:val="1"/>
    <w:qFormat/>
    <w:pPr>
      <w:ind w:left="2655" w:hanging="25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HQST100721</dc:creator>
  <dc:title>&lt;4D6963726F736F667420576F7264202D2032303130303134444442D6D0BAC9C8CBCAD95B323031305DB5DA30303034BAC52D3133D6D0BAC9B8BDBCD3D2BBC9FAB9D8B0AEB6A8C6DAD6D8B4F3BCB2B2A1B1A3CFD55FCCF5BFEE&gt;</dc:title>
  <dcterms:created xsi:type="dcterms:W3CDTF">2018-10-20T11:47:18Z</dcterms:created>
  <dcterms:modified xsi:type="dcterms:W3CDTF">2018-10-20T11:47:18Z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vt:lpwstr>
  </property>
  <property fmtid="{D5CDD505-2E9C-101B-9397-08002B2CF9AE}" pid="4" name="LastSaved">
    <vt:filetime>2018-10-20T00:00:00Z</vt:filetime>
  </property>
</Properties>
</file>