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020 </w:t>
      </w:r>
      <w:r>
        <w:rPr/>
        <w:t>号</w:t>
      </w:r>
    </w:p>
    <w:p>
      <w:pPr>
        <w:pStyle w:val="BodyText"/>
        <w:ind w:left="5846"/>
      </w:pPr>
      <w:r>
        <w:rPr/>
        <w:t>请扫描以查询验证条款</w:t>
      </w:r>
    </w:p>
    <w:p>
      <w:pPr>
        <w:pStyle w:val="BodyText"/>
        <w:rPr>
          <w:sz w:val="20"/>
        </w:rPr>
      </w:pPr>
    </w:p>
    <w:p>
      <w:pPr>
        <w:pStyle w:val="Heading1"/>
      </w:pPr>
      <w:r>
        <w:rPr/>
        <w:t>中英人寿附加吉祥如意提前给付重大疾病保险（</w:t>
      </w:r>
      <w:r>
        <w:rPr>
          <w:rFonts w:ascii="Times New Roman" w:eastAsia="Times New Roman"/>
          <w:b/>
        </w:rPr>
        <w:t>A </w:t>
      </w:r>
      <w:r>
        <w:rPr/>
        <w:t>款）</w:t>
      </w:r>
    </w:p>
    <w:p>
      <w:pPr>
        <w:pStyle w:val="BodyText"/>
        <w:rPr>
          <w:sz w:val="30"/>
        </w:rPr>
      </w:pPr>
    </w:p>
    <w:p>
      <w:pPr>
        <w:pStyle w:val="BodyText"/>
        <w:spacing w:before="1"/>
        <w:rPr>
          <w:sz w:val="34"/>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8"/>
        <w:rPr>
          <w:sz w:val="16"/>
        </w:rPr>
      </w:pPr>
    </w:p>
    <w:p>
      <w:pPr>
        <w:pStyle w:val="BodyText"/>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398" w:right="4042"/>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2"/>
        <w:rPr>
          <w:sz w:val="32"/>
        </w:rPr>
      </w:pPr>
    </w:p>
    <w:p>
      <w:pPr>
        <w:pStyle w:val="ListParagraph"/>
        <w:numPr>
          <w:ilvl w:val="0"/>
          <w:numId w:val="1"/>
        </w:numPr>
        <w:tabs>
          <w:tab w:pos="351" w:val="left" w:leader="none"/>
          <w:tab w:pos="4528" w:val="left" w:leader="none"/>
        </w:tabs>
        <w:spacing w:line="240" w:lineRule="auto" w:before="1" w:after="0"/>
        <w:ind w:left="350" w:right="0" w:hanging="242"/>
        <w:jc w:val="left"/>
        <w:rPr>
          <w:sz w:val="24"/>
        </w:rPr>
      </w:pPr>
      <w:r>
        <w:rPr>
          <w:sz w:val="24"/>
        </w:rPr>
        <w:t>保险费</w:t>
        <w:tab/>
      </w:r>
      <w:r>
        <w:rPr>
          <w:rFonts w:ascii="Times New Roman" w:eastAsia="Times New Roman"/>
          <w:b/>
          <w:position w:val="5"/>
          <w:sz w:val="24"/>
        </w:rPr>
        <w:t>8 </w:t>
      </w:r>
      <w:r>
        <w:rPr>
          <w:rFonts w:ascii="Times New Roman" w:eastAsia="Times New Roman"/>
          <w:b/>
          <w:spacing w:val="0"/>
          <w:position w:val="5"/>
          <w:sz w:val="24"/>
        </w:rPr>
        <w:t> </w:t>
      </w:r>
      <w:r>
        <w:rPr>
          <w:position w:val="4"/>
          <w:sz w:val="24"/>
        </w:rPr>
        <w:t>附表</w:t>
      </w:r>
    </w:p>
    <w:p>
      <w:pPr>
        <w:spacing w:after="0" w:line="240" w:lineRule="auto"/>
        <w:jc w:val="left"/>
        <w:rPr>
          <w:sz w:val="24"/>
        </w:rPr>
        <w:sectPr>
          <w:pgSz w:w="11900" w:h="16840"/>
          <w:pgMar w:top="1600" w:bottom="280" w:left="1620" w:right="1680"/>
        </w:sectPr>
      </w:pPr>
    </w:p>
    <w:p>
      <w:pPr>
        <w:pStyle w:val="Heading1"/>
        <w:spacing w:before="9"/>
        <w:ind w:left="1473"/>
      </w:pPr>
      <w:r>
        <w:rPr/>
        <w:t>中英人寿附加吉祥如意提前给付重大疾病保险（</w:t>
      </w:r>
      <w:r>
        <w:rPr>
          <w:rFonts w:ascii="Times New Roman" w:eastAsia="Times New Roman"/>
          <w:b/>
        </w:rPr>
        <w:t>A </w:t>
      </w:r>
      <w:r>
        <w:rPr/>
        <w:t>款）</w:t>
      </w:r>
    </w:p>
    <w:p>
      <w:pPr>
        <w:pStyle w:val="BodyText"/>
        <w:spacing w:before="227"/>
        <w:ind w:left="1187"/>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0" w:val="left" w:leader="none"/>
        </w:tabs>
        <w:spacing w:before="180"/>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60" w:bottom="280" w:left="1320" w:right="980"/>
        </w:sectPr>
      </w:pPr>
    </w:p>
    <w:p>
      <w:pPr>
        <w:pStyle w:val="ListParagraph"/>
        <w:numPr>
          <w:ilvl w:val="1"/>
          <w:numId w:val="2"/>
        </w:numPr>
        <w:tabs>
          <w:tab w:pos="950" w:val="left" w:leader="none"/>
          <w:tab w:pos="951" w:val="left" w:leader="none"/>
        </w:tabs>
        <w:spacing w:line="240" w:lineRule="auto" w:before="63" w:after="0"/>
        <w:ind w:left="950" w:right="0" w:hanging="480"/>
        <w:jc w:val="left"/>
        <w:rPr>
          <w:sz w:val="21"/>
        </w:rPr>
      </w:pPr>
      <w:r>
        <w:rPr>
          <w:spacing w:val="-1"/>
          <w:sz w:val="21"/>
        </w:rPr>
        <w:t>保险合同的构成</w:t>
      </w:r>
    </w:p>
    <w:p>
      <w:pPr>
        <w:pStyle w:val="BodyText"/>
        <w:spacing w:line="225" w:lineRule="auto" w:before="78"/>
        <w:ind w:left="372" w:right="221"/>
        <w:jc w:val="both"/>
      </w:pPr>
      <w:r>
        <w:rPr/>
        <w:br w:type="column"/>
      </w:r>
      <w:r>
        <w:rPr>
          <w:spacing w:val="-5"/>
        </w:rPr>
        <w:t>《中英人寿附加吉祥如意提前给付重大疾病保险</w:t>
      </w:r>
      <w:r>
        <w:rPr/>
        <w:t>（</w:t>
      </w:r>
      <w:r>
        <w:rPr>
          <w:rFonts w:ascii="Times New Roman" w:eastAsia="Times New Roman"/>
        </w:rPr>
        <w:t>A </w:t>
      </w:r>
      <w:r>
        <w:rPr>
          <w:spacing w:val="-3"/>
        </w:rPr>
        <w:t>款</w:t>
      </w:r>
      <w:r>
        <w:rPr>
          <w:spacing w:val="-106"/>
        </w:rPr>
        <w:t>）</w:t>
      </w:r>
      <w:r>
        <w:rPr>
          <w:spacing w:val="-19"/>
        </w:rPr>
        <w:t>》合同</w:t>
      </w:r>
      <w:r>
        <w:rPr>
          <w:spacing w:val="-3"/>
        </w:rPr>
        <w:t>（</w:t>
      </w:r>
      <w:r>
        <w:rPr>
          <w:spacing w:val="-2"/>
        </w:rPr>
        <w:t>以下简称</w:t>
      </w:r>
      <w:r>
        <w:rPr>
          <w:spacing w:val="-3"/>
        </w:rPr>
        <w:t>本附加合同</w:t>
      </w:r>
      <w:r>
        <w:rPr>
          <w:spacing w:val="-17"/>
        </w:rPr>
        <w:t>）</w:t>
      </w:r>
      <w:r>
        <w:rPr>
          <w:spacing w:val="-6"/>
        </w:rPr>
        <w:t>由《中英人寿吉祥如意两全保险</w:t>
      </w:r>
      <w:r>
        <w:rPr/>
        <w:t>（</w:t>
      </w:r>
      <w:r>
        <w:rPr>
          <w:rFonts w:ascii="Times New Roman" w:eastAsia="Times New Roman"/>
        </w:rPr>
        <w:t>A </w:t>
      </w:r>
      <w:r>
        <w:rPr/>
        <w:t>款</w:t>
      </w:r>
      <w:r>
        <w:rPr>
          <w:spacing w:val="-106"/>
        </w:rPr>
        <w:t>）</w:t>
      </w:r>
      <w:r>
        <w:rPr>
          <w:spacing w:val="-12"/>
        </w:rPr>
        <w:t>》合同</w:t>
      </w:r>
      <w:r>
        <w:rPr>
          <w:spacing w:val="-3"/>
        </w:rPr>
        <w:t>（以下简称主合同）的投保人向我们提出申请，经我们审核同意后订立。</w:t>
      </w:r>
    </w:p>
    <w:p>
      <w:pPr>
        <w:pStyle w:val="BodyText"/>
        <w:spacing w:before="5"/>
        <w:rPr>
          <w:sz w:val="18"/>
        </w:rPr>
      </w:pPr>
    </w:p>
    <w:p>
      <w:pPr>
        <w:pStyle w:val="BodyText"/>
        <w:ind w:left="372" w:right="223"/>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ind w:left="372" w:right="223"/>
        <w:jc w:val="both"/>
      </w:pPr>
      <w:r>
        <w:rPr/>
        <w:t>主合同的条款适用于本附加合同。如果主合同的条款与本附加合同冲突， 则以本附加合同为准。</w:t>
      </w:r>
    </w:p>
    <w:p>
      <w:pPr>
        <w:spacing w:after="0"/>
        <w:jc w:val="both"/>
        <w:sectPr>
          <w:type w:val="continuous"/>
          <w:pgSz w:w="11900" w:h="16840"/>
          <w:pgMar w:top="1220" w:bottom="280" w:left="1320" w:right="980"/>
          <w:cols w:num="2" w:equalWidth="0">
            <w:col w:w="2216" w:space="40"/>
            <w:col w:w="7344"/>
          </w:cols>
        </w:sectPr>
      </w:pPr>
    </w:p>
    <w:p>
      <w:pPr>
        <w:pStyle w:val="BodyText"/>
        <w:spacing w:before="8"/>
        <w:rPr>
          <w:sz w:val="13"/>
        </w:rPr>
      </w:pPr>
    </w:p>
    <w:p>
      <w:pPr>
        <w:pStyle w:val="ListParagraph"/>
        <w:numPr>
          <w:ilvl w:val="1"/>
          <w:numId w:val="2"/>
        </w:numPr>
        <w:tabs>
          <w:tab w:pos="950" w:val="left" w:leader="none"/>
          <w:tab w:pos="951" w:val="left" w:leader="none"/>
          <w:tab w:pos="2627" w:val="left" w:leader="none"/>
        </w:tabs>
        <w:spacing w:line="281" w:lineRule="exact" w:before="62"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65</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1" w:lineRule="exact"/>
        <w:ind w:left="2627"/>
      </w:pPr>
      <w:r>
        <w:rPr>
          <w:rFonts w:ascii="Times New Roman" w:eastAsia="Times New Roman"/>
          <w:w w:val="100"/>
        </w:rPr>
        <w:t>7.1</w:t>
      </w:r>
      <w:r>
        <w:rPr>
          <w:spacing w:val="-106"/>
          <w:w w:val="100"/>
        </w:rPr>
        <w:t>）</w:t>
      </w:r>
      <w:r>
        <w:rPr>
          <w:w w:val="100"/>
        </w:rPr>
        <w:t>。</w:t>
      </w:r>
    </w:p>
    <w:p>
      <w:pPr>
        <w:pStyle w:val="BodyText"/>
        <w:spacing w:before="6"/>
        <w:rPr>
          <w:sz w:val="17"/>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7"/>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2"/>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1"/>
        <w:rPr>
          <w:sz w:val="16"/>
        </w:rPr>
      </w:pPr>
    </w:p>
    <w:p>
      <w:pPr>
        <w:pStyle w:val="BodyText"/>
        <w:tabs>
          <w:tab w:pos="950" w:val="left" w:leader="none"/>
        </w:tabs>
        <w:spacing w:before="1"/>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627" w:right="0" w:hanging="215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627"/>
      </w:pPr>
      <w:r>
        <w:rPr>
          <w:rFonts w:ascii="Times New Roman" w:eastAsia="Times New Roman"/>
        </w:rPr>
        <w:t>1</w:t>
      </w:r>
      <w:r>
        <w:rPr/>
        <w:t>、重大疾病保险金</w:t>
      </w:r>
    </w:p>
    <w:p>
      <w:pPr>
        <w:pStyle w:val="BodyText"/>
        <w:spacing w:before="9"/>
        <w:rPr>
          <w:sz w:val="18"/>
        </w:rPr>
      </w:pPr>
    </w:p>
    <w:p>
      <w:pPr>
        <w:pStyle w:val="BodyText"/>
        <w:spacing w:line="223" w:lineRule="auto"/>
        <w:ind w:left="2627" w:right="221"/>
        <w:jc w:val="both"/>
      </w:pPr>
      <w:r>
        <w:rPr>
          <w:spacing w:val="-3"/>
        </w:rPr>
        <w:t>如果被保险人因意外伤害事故（</w:t>
      </w:r>
      <w:r>
        <w:rPr>
          <w:spacing w:val="-19"/>
        </w:rPr>
        <w:t>见 </w:t>
      </w:r>
      <w:r>
        <w:rPr>
          <w:rFonts w:ascii="Times New Roman" w:eastAsia="Times New Roman"/>
        </w:rPr>
        <w:t>7.2</w:t>
      </w:r>
      <w:r>
        <w:rPr/>
        <w:t>）</w:t>
      </w:r>
      <w:r>
        <w:rPr>
          <w:spacing w:val="-3"/>
        </w:rPr>
        <w:t>或在本附加合同</w:t>
      </w:r>
      <w:r>
        <w:rPr/>
        <w:t>Th</w:t>
      </w:r>
      <w:r>
        <w:rPr>
          <w:spacing w:val="-11"/>
        </w:rPr>
        <w:t>效日起 </w:t>
      </w:r>
      <w:r>
        <w:rPr>
          <w:rFonts w:ascii="Times New Roman" w:eastAsia="Times New Roman"/>
        </w:rPr>
        <w:t>90 </w:t>
      </w:r>
      <w:r>
        <w:rPr>
          <w:spacing w:val="-2"/>
        </w:rPr>
        <w:t>天后</w:t>
      </w:r>
      <w:r>
        <w:rPr>
          <w:spacing w:val="-8"/>
        </w:rPr>
        <w:t>或最后复效日起 </w:t>
      </w:r>
      <w:r>
        <w:rPr>
          <w:rFonts w:ascii="Times New Roman" w:eastAsia="Times New Roman"/>
        </w:rPr>
        <w:t>90 </w:t>
      </w:r>
      <w:r>
        <w:rPr>
          <w:spacing w:val="-15"/>
        </w:rPr>
        <w:t>天后</w:t>
      </w:r>
      <w:r>
        <w:rPr>
          <w:spacing w:val="-3"/>
        </w:rPr>
        <w:t>（以较迟者为准</w:t>
      </w:r>
      <w:r>
        <w:rPr>
          <w:spacing w:val="-27"/>
        </w:rPr>
        <w:t>）</w:t>
      </w:r>
      <w:r>
        <w:rPr>
          <w:spacing w:val="-7"/>
        </w:rPr>
        <w:t>因疾病，初次发生并被专科医生</w:t>
      </w:r>
    </w:p>
    <w:p>
      <w:pPr>
        <w:pStyle w:val="BodyText"/>
        <w:spacing w:line="265" w:lineRule="exact"/>
        <w:ind w:left="2627"/>
      </w:pPr>
      <w:r>
        <w:rPr/>
        <w:t>（见 </w:t>
      </w:r>
      <w:r>
        <w:rPr>
          <w:rFonts w:ascii="Times New Roman" w:eastAsia="Times New Roman"/>
        </w:rPr>
        <w:t>7.3</w:t>
      </w:r>
      <w:r>
        <w:rPr/>
        <w:t>）确诊患本附加合同附表一或附表二所列任何一种重大疾病（见</w:t>
      </w:r>
    </w:p>
    <w:p>
      <w:pPr>
        <w:pStyle w:val="BodyText"/>
        <w:spacing w:line="230" w:lineRule="auto" w:before="4"/>
        <w:ind w:left="2627" w:right="223"/>
        <w:jc w:val="both"/>
      </w:pPr>
      <w:r>
        <w:rPr>
          <w:rFonts w:ascii="Times New Roman" w:eastAsia="Times New Roman"/>
          <w:w w:val="100"/>
        </w:rPr>
        <w:t>7.</w:t>
      </w:r>
      <w:r>
        <w:rPr>
          <w:rFonts w:ascii="Times New Roman" w:eastAsia="Times New Roman"/>
          <w:spacing w:val="1"/>
          <w:w w:val="100"/>
        </w:rPr>
        <w:t>4</w:t>
      </w:r>
      <w:r>
        <w:rPr>
          <w:spacing w:val="-104"/>
          <w:w w:val="100"/>
        </w:rPr>
        <w:t>）</w:t>
      </w:r>
      <w:r>
        <w:rPr>
          <w:w w:val="100"/>
        </w:rPr>
        <w:t>，我们将按保险金额给付重大疾病保险金，本项保险责任终止，同时</w:t>
      </w:r>
      <w:r>
        <w:rPr>
          <w:spacing w:val="-3"/>
        </w:rPr>
        <w:t>主合同的身故保险金、全残保险金和满期保险金按给付的重大疾病保险金等额减少。</w:t>
      </w:r>
    </w:p>
    <w:p>
      <w:pPr>
        <w:pStyle w:val="BodyText"/>
        <w:spacing w:before="1"/>
        <w:rPr>
          <w:sz w:val="19"/>
        </w:rPr>
      </w:pPr>
    </w:p>
    <w:p>
      <w:pPr>
        <w:pStyle w:val="BodyText"/>
        <w:spacing w:line="232" w:lineRule="auto"/>
        <w:ind w:left="2627" w:right="221" w:hanging="1"/>
        <w:jc w:val="both"/>
      </w:pPr>
      <w:r>
        <w:rPr>
          <w:spacing w:val="-7"/>
        </w:rPr>
        <w:t>自本附加合同生效日起 </w:t>
      </w:r>
      <w:r>
        <w:rPr>
          <w:rFonts w:ascii="Times New Roman" w:eastAsia="Times New Roman"/>
        </w:rPr>
        <w:t>90 </w:t>
      </w:r>
      <w:r>
        <w:rPr/>
        <w:t>天（</w:t>
      </w:r>
      <w:r>
        <w:rPr>
          <w:spacing w:val="-3"/>
        </w:rPr>
        <w:t>含</w:t>
      </w:r>
      <w:r>
        <w:rPr/>
        <w:t>）</w:t>
      </w:r>
      <w:r>
        <w:rPr>
          <w:spacing w:val="-8"/>
        </w:rPr>
        <w:t>内或最后复效日起 </w:t>
      </w:r>
      <w:r>
        <w:rPr>
          <w:rFonts w:ascii="Times New Roman" w:eastAsia="Times New Roman"/>
        </w:rPr>
        <w:t>90 </w:t>
      </w:r>
      <w:r>
        <w:rPr/>
        <w:t>天</w:t>
      </w:r>
      <w:r>
        <w:rPr>
          <w:spacing w:val="-3"/>
        </w:rPr>
        <w:t>（</w:t>
      </w:r>
      <w:r>
        <w:rPr/>
        <w:t>含）</w:t>
      </w:r>
      <w:r>
        <w:rPr>
          <w:spacing w:val="-3"/>
        </w:rPr>
        <w:t>内（</w:t>
      </w:r>
      <w:r>
        <w:rPr/>
        <w:t>以</w:t>
      </w:r>
      <w:r>
        <w:rPr>
          <w:spacing w:val="-2"/>
        </w:rPr>
        <w:t>较迟者为准</w:t>
      </w:r>
      <w:r>
        <w:rPr>
          <w:spacing w:val="-94"/>
        </w:rPr>
        <w:t>）</w:t>
      </w:r>
      <w:r>
        <w:rPr>
          <w:spacing w:val="-11"/>
        </w:rPr>
        <w:t>，如果被保险人因疾病患本附加合同附表一或附表二所列任何</w:t>
      </w:r>
      <w:r>
        <w:rPr>
          <w:spacing w:val="-10"/>
        </w:rPr>
        <w:t>一种重大疾病，我们将无息退回您已缴纳的本附加合同及其所依附的主合</w:t>
      </w:r>
      <w:r>
        <w:rPr>
          <w:spacing w:val="-5"/>
        </w:rPr>
        <w:t>同的保险费，同时本附加合同及其所依附的主合同终止。</w:t>
      </w:r>
    </w:p>
    <w:p>
      <w:pPr>
        <w:spacing w:after="0" w:line="232" w:lineRule="auto"/>
        <w:jc w:val="both"/>
        <w:sectPr>
          <w:type w:val="continuous"/>
          <w:pgSz w:w="11900" w:h="16840"/>
          <w:pgMar w:top="1220" w:bottom="280" w:left="1320" w:right="980"/>
        </w:sectPr>
      </w:pPr>
    </w:p>
    <w:p>
      <w:pPr>
        <w:pStyle w:val="BodyText"/>
        <w:spacing w:before="26"/>
        <w:ind w:left="2627"/>
      </w:pPr>
      <w:r>
        <w:rPr>
          <w:rFonts w:ascii="Times New Roman" w:eastAsia="Times New Roman"/>
        </w:rPr>
        <w:t>2</w:t>
      </w:r>
      <w:r>
        <w:rPr/>
        <w:t>、男性</w:t>
      </w:r>
      <w:r>
        <w:rPr>
          <w:rFonts w:ascii="Times New Roman" w:eastAsia="Times New Roman"/>
        </w:rPr>
        <w:t>/</w:t>
      </w:r>
      <w:r>
        <w:rPr/>
        <w:t>女性重大疾病特别保险金</w:t>
      </w:r>
    </w:p>
    <w:p>
      <w:pPr>
        <w:pStyle w:val="BodyText"/>
        <w:spacing w:before="11"/>
        <w:rPr>
          <w:sz w:val="17"/>
        </w:rPr>
      </w:pPr>
    </w:p>
    <w:p>
      <w:pPr>
        <w:pStyle w:val="BodyText"/>
        <w:spacing w:line="230" w:lineRule="auto"/>
        <w:ind w:left="2628" w:right="101" w:hanging="1"/>
        <w:jc w:val="both"/>
      </w:pPr>
      <w:r>
        <w:rPr>
          <w:spacing w:val="-3"/>
        </w:rPr>
        <w:t>如果被保险人在本附加合同</w:t>
      </w:r>
      <w:r>
        <w:rPr/>
        <w:t>Th</w:t>
      </w:r>
      <w:r>
        <w:rPr>
          <w:spacing w:val="-12"/>
        </w:rPr>
        <w:t>效日起 </w:t>
      </w:r>
      <w:r>
        <w:rPr>
          <w:rFonts w:ascii="Times New Roman" w:eastAsia="Times New Roman"/>
        </w:rPr>
        <w:t>90 </w:t>
      </w:r>
      <w:r>
        <w:rPr>
          <w:spacing w:val="-7"/>
        </w:rPr>
        <w:t>天后或最后复效日起 </w:t>
      </w:r>
      <w:r>
        <w:rPr>
          <w:rFonts w:ascii="Times New Roman" w:eastAsia="Times New Roman"/>
        </w:rPr>
        <w:t>90 </w:t>
      </w:r>
      <w:r>
        <w:rPr>
          <w:spacing w:val="-2"/>
        </w:rPr>
        <w:t>天后</w:t>
      </w:r>
      <w:r>
        <w:rPr>
          <w:spacing w:val="-3"/>
        </w:rPr>
        <w:t>（</w:t>
      </w:r>
      <w:r>
        <w:rPr/>
        <w:t>以较迟者为准）</w:t>
      </w:r>
      <w:r>
        <w:rPr>
          <w:spacing w:val="-3"/>
        </w:rPr>
        <w:t>因疾病，初次发生并被专科医生确诊患本附加合同附表二所</w:t>
      </w:r>
      <w:r>
        <w:rPr>
          <w:spacing w:val="-3"/>
          <w:w w:val="100"/>
        </w:rPr>
        <w:t>列任何一种男性</w:t>
      </w:r>
      <w:r>
        <w:rPr>
          <w:rFonts w:ascii="Times New Roman" w:eastAsia="Times New Roman"/>
          <w:spacing w:val="-4"/>
          <w:w w:val="100"/>
        </w:rPr>
        <w:t>/</w:t>
      </w:r>
      <w:r>
        <w:rPr>
          <w:spacing w:val="-7"/>
          <w:w w:val="100"/>
        </w:rPr>
        <w:t>女性重大疾病</w:t>
      </w:r>
      <w:r>
        <w:rPr>
          <w:spacing w:val="-3"/>
          <w:w w:val="100"/>
        </w:rPr>
        <w:t>（</w:t>
      </w:r>
      <w:r>
        <w:rPr>
          <w:w w:val="100"/>
        </w:rPr>
        <w:t>见</w:t>
      </w:r>
      <w:r>
        <w:rPr>
          <w:spacing w:val="-53"/>
        </w:rPr>
        <w:t> </w:t>
      </w:r>
      <w:r>
        <w:rPr>
          <w:rFonts w:ascii="Times New Roman" w:eastAsia="Times New Roman"/>
          <w:w w:val="100"/>
        </w:rPr>
        <w:t>7.</w:t>
      </w:r>
      <w:r>
        <w:rPr>
          <w:rFonts w:ascii="Times New Roman" w:eastAsia="Times New Roman"/>
          <w:spacing w:val="-3"/>
          <w:w w:val="100"/>
        </w:rPr>
        <w:t>5</w:t>
      </w:r>
      <w:r>
        <w:rPr>
          <w:spacing w:val="-106"/>
          <w:w w:val="100"/>
        </w:rPr>
        <w:t>）</w:t>
      </w:r>
      <w:r>
        <w:rPr>
          <w:spacing w:val="-6"/>
          <w:w w:val="100"/>
        </w:rPr>
        <w:t>，我们将按保险金额的</w:t>
      </w:r>
      <w:r>
        <w:rPr>
          <w:spacing w:val="-6"/>
        </w:rPr>
        <w:t> </w:t>
      </w:r>
      <w:r>
        <w:rPr>
          <w:rFonts w:ascii="Times New Roman" w:eastAsia="Times New Roman"/>
          <w:w w:val="100"/>
        </w:rPr>
        <w:t>50</w:t>
      </w:r>
      <w:r>
        <w:rPr>
          <w:rFonts w:ascii="Times New Roman" w:eastAsia="Times New Roman"/>
          <w:spacing w:val="-4"/>
          <w:w w:val="100"/>
        </w:rPr>
        <w:t>%</w:t>
      </w:r>
      <w:r>
        <w:rPr>
          <w:spacing w:val="-2"/>
          <w:w w:val="100"/>
        </w:rPr>
        <w:t>给付男</w:t>
      </w:r>
      <w:r>
        <w:rPr>
          <w:spacing w:val="-1"/>
        </w:rPr>
        <w:t>性</w:t>
      </w:r>
      <w:r>
        <w:rPr>
          <w:rFonts w:ascii="Times New Roman" w:eastAsia="Times New Roman"/>
          <w:spacing w:val="-1"/>
        </w:rPr>
        <w:t>/</w:t>
      </w:r>
      <w:r>
        <w:rPr>
          <w:spacing w:val="-3"/>
        </w:rPr>
        <w:t>女性重大疾病特别保险金，本附加合同终止。</w:t>
      </w:r>
    </w:p>
    <w:p>
      <w:pPr>
        <w:pStyle w:val="BodyText"/>
        <w:rPr>
          <w:sz w:val="17"/>
        </w:rPr>
      </w:pPr>
    </w:p>
    <w:p>
      <w:pPr>
        <w:pStyle w:val="BodyText"/>
        <w:spacing w:line="282" w:lineRule="exact"/>
        <w:ind w:left="2628"/>
      </w:pPr>
      <w:r>
        <w:rPr/>
        <w:t>自本附加合同生效日起 </w:t>
      </w:r>
      <w:r>
        <w:rPr>
          <w:rFonts w:ascii="Times New Roman" w:eastAsia="Times New Roman"/>
        </w:rPr>
        <w:t>90 </w:t>
      </w:r>
      <w:r>
        <w:rPr/>
        <w:t>天（含）内或最后复效日起 </w:t>
      </w:r>
      <w:r>
        <w:rPr>
          <w:rFonts w:ascii="Times New Roman" w:eastAsia="Times New Roman"/>
        </w:rPr>
        <w:t>90 </w:t>
      </w:r>
      <w:r>
        <w:rPr/>
        <w:t>天（含）内（含</w:t>
      </w:r>
    </w:p>
    <w:p>
      <w:pPr>
        <w:pStyle w:val="BodyText"/>
        <w:spacing w:line="225" w:lineRule="auto" w:before="8"/>
        <w:ind w:left="2628" w:right="101"/>
        <w:jc w:val="both"/>
      </w:pPr>
      <w:r>
        <w:rPr>
          <w:rFonts w:ascii="Times New Roman" w:eastAsia="Times New Roman"/>
          <w:w w:val="100"/>
        </w:rPr>
        <w:t>90</w:t>
      </w:r>
      <w:r>
        <w:rPr>
          <w:rFonts w:ascii="Times New Roman" w:eastAsia="Times New Roman"/>
        </w:rPr>
        <w:t>  </w:t>
      </w:r>
      <w:r>
        <w:rPr>
          <w:spacing w:val="-2"/>
          <w:w w:val="100"/>
        </w:rPr>
        <w:t>天，以较迟者为准</w:t>
      </w:r>
      <w:r>
        <w:rPr>
          <w:spacing w:val="-104"/>
          <w:w w:val="100"/>
        </w:rPr>
        <w:t>）</w:t>
      </w:r>
      <w:r>
        <w:rPr>
          <w:spacing w:val="-3"/>
          <w:w w:val="100"/>
        </w:rPr>
        <w:t>，如果被保险人因疾病患本附加合同附表二所列任</w:t>
      </w:r>
      <w:r>
        <w:rPr>
          <w:spacing w:val="-3"/>
        </w:rPr>
        <w:t>何一种男性</w:t>
      </w:r>
      <w:r>
        <w:rPr>
          <w:rFonts w:ascii="Times New Roman" w:eastAsia="Times New Roman"/>
          <w:spacing w:val="-4"/>
        </w:rPr>
        <w:t>/</w:t>
      </w:r>
      <w:r>
        <w:rPr>
          <w:spacing w:val="-7"/>
        </w:rPr>
        <w:t>女性重大疾病，我们将无息退回您已缴纳的本附加合同及其所</w:t>
      </w:r>
      <w:r>
        <w:rPr>
          <w:spacing w:val="-5"/>
        </w:rPr>
        <w:t>依附的主合同的保险费，同时本附加合同及其所依附的主合同终止。</w:t>
      </w:r>
    </w:p>
    <w:p>
      <w:pPr>
        <w:pStyle w:val="BodyText"/>
        <w:spacing w:before="4"/>
        <w:rPr>
          <w:sz w:val="18"/>
        </w:rPr>
      </w:pPr>
    </w:p>
    <w:p>
      <w:pPr>
        <w:pStyle w:val="BodyText"/>
        <w:spacing w:before="1"/>
        <w:ind w:left="2628"/>
      </w:pPr>
      <w:r>
        <w:rPr>
          <w:rFonts w:ascii="Times New Roman" w:eastAsia="Times New Roman"/>
        </w:rPr>
        <w:t>3</w:t>
      </w:r>
      <w:r>
        <w:rPr/>
        <w:t>、重大疾病豁免保费</w:t>
      </w:r>
    </w:p>
    <w:p>
      <w:pPr>
        <w:pStyle w:val="BodyText"/>
        <w:rPr>
          <w:sz w:val="17"/>
        </w:rPr>
      </w:pPr>
    </w:p>
    <w:p>
      <w:pPr>
        <w:pStyle w:val="BodyText"/>
        <w:spacing w:line="282" w:lineRule="exact"/>
        <w:ind w:left="2628"/>
      </w:pPr>
      <w:r>
        <w:rPr/>
        <w:t>如果被保险人因意外伤害事故或在本附加合同Th效日起 </w:t>
      </w:r>
      <w:r>
        <w:rPr>
          <w:rFonts w:ascii="Times New Roman" w:eastAsia="Times New Roman"/>
        </w:rPr>
        <w:t>90  </w:t>
      </w:r>
      <w:r>
        <w:rPr/>
        <w:t>天后或最后复</w:t>
      </w:r>
    </w:p>
    <w:p>
      <w:pPr>
        <w:pStyle w:val="BodyText"/>
        <w:spacing w:line="230" w:lineRule="auto" w:before="2"/>
        <w:ind w:left="2628" w:right="103"/>
        <w:jc w:val="both"/>
      </w:pPr>
      <w:r>
        <w:rPr>
          <w:spacing w:val="-11"/>
        </w:rPr>
        <w:t>效日起 </w:t>
      </w:r>
      <w:r>
        <w:rPr>
          <w:rFonts w:ascii="Times New Roman" w:eastAsia="Times New Roman"/>
        </w:rPr>
        <w:t>90 </w:t>
      </w:r>
      <w:r>
        <w:rPr>
          <w:spacing w:val="-15"/>
        </w:rPr>
        <w:t>天后</w:t>
      </w:r>
      <w:r>
        <w:rPr/>
        <w:t>（</w:t>
      </w:r>
      <w:r>
        <w:rPr>
          <w:spacing w:val="-3"/>
        </w:rPr>
        <w:t>以较迟者为准</w:t>
      </w:r>
      <w:r>
        <w:rPr>
          <w:spacing w:val="-27"/>
        </w:rPr>
        <w:t>）</w:t>
      </w:r>
      <w:r>
        <w:rPr>
          <w:spacing w:val="-7"/>
        </w:rPr>
        <w:t>因疾病，初次发生并被专科医生确诊患本附加合同附表一或附表二所列任何一种重大疾病，我们将豁免重大疾病确</w:t>
      </w:r>
      <w:r>
        <w:rPr>
          <w:spacing w:val="-5"/>
        </w:rPr>
        <w:t>诊日后本附加合同及其所依附的主合同的各期保险费。</w:t>
      </w:r>
    </w:p>
    <w:p>
      <w:pPr>
        <w:pStyle w:val="BodyText"/>
        <w:spacing w:before="8"/>
        <w:rPr>
          <w:sz w:val="18"/>
        </w:rPr>
      </w:pPr>
    </w:p>
    <w:p>
      <w:pPr>
        <w:pStyle w:val="ListParagraph"/>
        <w:numPr>
          <w:ilvl w:val="1"/>
          <w:numId w:val="3"/>
        </w:numPr>
        <w:tabs>
          <w:tab w:pos="951" w:val="left" w:leader="none"/>
        </w:tabs>
        <w:spacing w:line="237" w:lineRule="auto" w:before="0" w:after="0"/>
        <w:ind w:left="2627" w:right="103" w:hanging="2157"/>
        <w:jc w:val="both"/>
        <w:rPr>
          <w:sz w:val="21"/>
        </w:rPr>
      </w:pPr>
      <w:r>
        <w:rPr>
          <w:spacing w:val="-3"/>
          <w:sz w:val="21"/>
        </w:rPr>
        <w:t>责任免除       如果由于以下任何一种情形，导致被保险人患本附加合同附表一或附表二所列任何一种重大疾病，我们将不承担保险责任，本附加合同及其所依附的主合同同时终止：</w:t>
      </w:r>
    </w:p>
    <w:p>
      <w:pPr>
        <w:pStyle w:val="BodyText"/>
        <w:spacing w:before="3"/>
        <w:rPr>
          <w:sz w:val="18"/>
        </w:rPr>
      </w:pP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投保人对被保险人的故意杀害、故意伤害；</w:t>
      </w: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被保险人故意犯罪或抗拒依法采取的刑事强制措施；</w:t>
      </w:r>
    </w:p>
    <w:p>
      <w:pPr>
        <w:pStyle w:val="ListParagraph"/>
        <w:numPr>
          <w:ilvl w:val="2"/>
          <w:numId w:val="3"/>
        </w:numPr>
        <w:tabs>
          <w:tab w:pos="3048" w:val="left" w:leader="none"/>
        </w:tabs>
        <w:spacing w:line="272" w:lineRule="exact" w:before="0" w:after="0"/>
        <w:ind w:left="3048" w:right="0" w:hanging="421"/>
        <w:jc w:val="both"/>
        <w:rPr>
          <w:sz w:val="21"/>
        </w:rPr>
      </w:pPr>
      <w:r>
        <w:rPr>
          <w:spacing w:val="-2"/>
          <w:sz w:val="21"/>
        </w:rPr>
        <w:t>被保险人自伤；</w:t>
      </w:r>
    </w:p>
    <w:p>
      <w:pPr>
        <w:pStyle w:val="ListParagraph"/>
        <w:numPr>
          <w:ilvl w:val="2"/>
          <w:numId w:val="3"/>
        </w:numPr>
        <w:tabs>
          <w:tab w:pos="3048" w:val="left" w:leader="none"/>
        </w:tabs>
        <w:spacing w:line="280" w:lineRule="exact" w:before="0" w:after="0"/>
        <w:ind w:left="304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2"/>
          <w:numId w:val="3"/>
        </w:numPr>
        <w:tabs>
          <w:tab w:pos="3047" w:val="left" w:leader="none"/>
          <w:tab w:pos="3048" w:val="left" w:leader="none"/>
        </w:tabs>
        <w:spacing w:line="225" w:lineRule="auto" w:before="9" w:after="0"/>
        <w:ind w:left="3048" w:right="10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2"/>
          <w:numId w:val="3"/>
        </w:numPr>
        <w:tabs>
          <w:tab w:pos="3047" w:val="left" w:leader="none"/>
          <w:tab w:pos="3048" w:val="left" w:leader="none"/>
        </w:tabs>
        <w:spacing w:line="256" w:lineRule="exact" w:before="0" w:after="0"/>
        <w:ind w:left="3048" w:right="0" w:hanging="421"/>
        <w:jc w:val="left"/>
        <w:rPr>
          <w:sz w:val="21"/>
        </w:rPr>
      </w:pPr>
      <w:r>
        <w:rPr>
          <w:spacing w:val="-3"/>
          <w:sz w:val="21"/>
        </w:rPr>
        <w:t>战争、军事冲突、暴乱或武装叛乱；</w:t>
      </w:r>
    </w:p>
    <w:p>
      <w:pPr>
        <w:pStyle w:val="ListParagraph"/>
        <w:numPr>
          <w:ilvl w:val="2"/>
          <w:numId w:val="3"/>
        </w:numPr>
        <w:tabs>
          <w:tab w:pos="3047" w:val="left" w:leader="none"/>
          <w:tab w:pos="3048" w:val="left" w:leader="none"/>
        </w:tabs>
        <w:spacing w:line="272" w:lineRule="exact" w:before="0" w:after="0"/>
        <w:ind w:left="3048" w:right="0" w:hanging="421"/>
        <w:jc w:val="left"/>
        <w:rPr>
          <w:sz w:val="21"/>
        </w:rPr>
      </w:pPr>
      <w:r>
        <w:rPr>
          <w:spacing w:val="-3"/>
          <w:sz w:val="21"/>
        </w:rPr>
        <w:t>核爆炸、核辐射或核污染；</w:t>
      </w:r>
    </w:p>
    <w:p>
      <w:pPr>
        <w:pStyle w:val="ListParagraph"/>
        <w:numPr>
          <w:ilvl w:val="2"/>
          <w:numId w:val="3"/>
        </w:numPr>
        <w:tabs>
          <w:tab w:pos="3047" w:val="left" w:leader="none"/>
          <w:tab w:pos="3048" w:val="left" w:leader="none"/>
        </w:tabs>
        <w:spacing w:line="225" w:lineRule="auto" w:before="17" w:after="0"/>
        <w:ind w:left="3048" w:right="10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35</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6</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3047" w:val="left" w:leader="none"/>
          <w:tab w:pos="3048" w:val="left" w:leader="none"/>
        </w:tabs>
        <w:spacing w:line="274" w:lineRule="exact" w:before="0" w:after="0"/>
        <w:ind w:left="304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pStyle w:val="BodyText"/>
        <w:spacing w:before="4"/>
        <w:rPr>
          <w:sz w:val="18"/>
        </w:rPr>
      </w:pPr>
    </w:p>
    <w:p>
      <w:pPr>
        <w:pStyle w:val="BodyText"/>
        <w:spacing w:line="225" w:lineRule="auto"/>
        <w:ind w:left="2627" w:right="1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w:t>
      </w:r>
      <w:r>
        <w:rPr/>
        <w:t>（</w:t>
      </w:r>
      <w:r>
        <w:rPr>
          <w:spacing w:val="-3"/>
        </w:rPr>
        <w:t>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12"/>
        <w:rPr>
          <w:sz w:val="19"/>
        </w:rPr>
      </w:pPr>
    </w:p>
    <w:p>
      <w:pPr>
        <w:pStyle w:val="BodyText"/>
        <w:spacing w:line="223" w:lineRule="auto"/>
        <w:ind w:left="2627" w:right="50"/>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5"/>
        <w:rPr>
          <w:sz w:val="18"/>
        </w:rPr>
      </w:pPr>
    </w:p>
    <w:p>
      <w:pPr>
        <w:pStyle w:val="BodyText"/>
        <w:ind w:left="2627" w:right="103"/>
      </w:pPr>
      <w:r>
        <w:rPr/>
        <w:t>发生上述其它情形导致本附加合同终止的，我们将退还本附加合同终止时的现金价值给您。</w:t>
      </w:r>
    </w:p>
    <w:p>
      <w:pPr>
        <w:pStyle w:val="BodyText"/>
        <w:rPr>
          <w:sz w:val="20"/>
        </w:rPr>
      </w:pPr>
    </w:p>
    <w:p>
      <w:pPr>
        <w:pStyle w:val="BodyText"/>
        <w:spacing w:before="9"/>
        <w:rPr>
          <w:sz w:val="16"/>
        </w:rPr>
      </w:pPr>
    </w:p>
    <w:p>
      <w:pPr>
        <w:pStyle w:val="BodyText"/>
        <w:tabs>
          <w:tab w:pos="950" w:val="left" w:leader="none"/>
          <w:tab w:pos="2627" w:val="left" w:leader="none"/>
        </w:tabs>
        <w:spacing w:line="424" w:lineRule="auto"/>
        <w:ind w:left="2627" w:right="54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before="76"/>
        <w:ind w:left="2627" w:right="103"/>
      </w:pPr>
      <w:r>
        <w:rPr/>
        <w:t>本附加合同的保险费按照我们核定的费率计算，根据您与我们约定的保险金额确定。</w:t>
      </w:r>
    </w:p>
    <w:p>
      <w:pPr>
        <w:spacing w:after="0"/>
        <w:sectPr>
          <w:pgSz w:w="11900" w:h="16840"/>
          <w:pgMar w:top="1480" w:bottom="280" w:left="1320" w:right="1100"/>
        </w:sectPr>
      </w:pPr>
    </w:p>
    <w:p>
      <w:pPr>
        <w:pStyle w:val="BodyText"/>
        <w:spacing w:before="6"/>
        <w:ind w:left="2627"/>
      </w:pPr>
      <w:r>
        <w:rPr/>
        <w:t>您应于保险费到期日或之前向我们缴纳保险费。</w:t>
      </w:r>
    </w:p>
    <w:p>
      <w:pPr>
        <w:pStyle w:val="BodyText"/>
        <w:spacing w:before="5"/>
        <w:rPr>
          <w:sz w:val="18"/>
        </w:rPr>
      </w:pPr>
    </w:p>
    <w:p>
      <w:pPr>
        <w:pStyle w:val="BodyText"/>
        <w:spacing w:line="237" w:lineRule="auto"/>
        <w:ind w:left="2627" w:right="10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5"/>
        <w:rPr>
          <w:sz w:val="12"/>
        </w:rPr>
      </w:pPr>
    </w:p>
    <w:p>
      <w:pPr>
        <w:spacing w:after="0"/>
        <w:rPr>
          <w:sz w:val="12"/>
        </w:rPr>
        <w:sectPr>
          <w:pgSz w:w="11900" w:h="16840"/>
          <w:pgMar w:top="1500" w:bottom="280" w:left="1320" w:right="110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pacing w:val="-1"/>
          <w:sz w:val="21"/>
        </w:rPr>
        <w:t>请求给付保险</w:t>
      </w:r>
      <w:r>
        <w:rPr>
          <w:spacing w:val="-2"/>
          <w:sz w:val="21"/>
        </w:rPr>
        <w:t>金的诉讼时效</w:t>
      </w:r>
    </w:p>
    <w:p>
      <w:pPr>
        <w:pStyle w:val="BodyText"/>
        <w:spacing w:line="237" w:lineRule="auto" w:before="63"/>
        <w:ind w:left="372" w:right="103"/>
      </w:pPr>
      <w:r>
        <w:rPr/>
        <w:br w:type="column"/>
      </w:r>
      <w:r>
        <w:rPr/>
        <w:t>本附加合同受益人向我们请求给付保险金的诉讼时效期间为二年，自其知道或应当知道保险事故发生之日起计算。</w:t>
      </w:r>
    </w:p>
    <w:p>
      <w:pPr>
        <w:spacing w:after="0" w:line="237" w:lineRule="auto"/>
        <w:sectPr>
          <w:type w:val="continuous"/>
          <w:pgSz w:w="11900" w:h="16840"/>
          <w:pgMar w:top="1220" w:bottom="280" w:left="1320" w:right="1100"/>
          <w:cols w:num="2" w:equalWidth="0">
            <w:col w:w="2216" w:space="40"/>
            <w:col w:w="7224"/>
          </w:cols>
        </w:sectPr>
      </w:pPr>
    </w:p>
    <w:p>
      <w:pPr>
        <w:pStyle w:val="BodyText"/>
        <w:spacing w:before="8"/>
        <w:rPr>
          <w:sz w:val="13"/>
        </w:rPr>
      </w:pPr>
    </w:p>
    <w:p>
      <w:pPr>
        <w:spacing w:after="0"/>
        <w:rPr>
          <w:sz w:val="13"/>
        </w:rPr>
        <w:sectPr>
          <w:type w:val="continuous"/>
          <w:pgSz w:w="11900" w:h="16840"/>
          <w:pgMar w:top="1220" w:bottom="280" w:left="1320" w:right="110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pacing w:val="-1"/>
          <w:sz w:val="21"/>
        </w:rPr>
        <w:t>保险金受益人的指定</w:t>
      </w:r>
    </w:p>
    <w:p>
      <w:pPr>
        <w:pStyle w:val="BodyText"/>
        <w:spacing w:line="223" w:lineRule="auto" w:before="81"/>
        <w:ind w:left="372" w:right="47"/>
      </w:pPr>
      <w:r>
        <w:rPr/>
        <w:br w:type="column"/>
      </w:r>
      <w:r>
        <w:rPr/>
        <w:t>本附加合同重大疾病保险金、男性</w:t>
      </w:r>
      <w:r>
        <w:rPr>
          <w:rFonts w:ascii="Times New Roman" w:eastAsia="Times New Roman"/>
        </w:rPr>
        <w:t>/</w:t>
      </w:r>
      <w:r>
        <w:rPr/>
        <w:t>女性重大疾病特别保险金的受益人是被保险人本人。</w:t>
      </w:r>
    </w:p>
    <w:p>
      <w:pPr>
        <w:spacing w:after="0" w:line="223" w:lineRule="auto"/>
        <w:sectPr>
          <w:type w:val="continuous"/>
          <w:pgSz w:w="11900" w:h="16840"/>
          <w:pgMar w:top="1220" w:bottom="280" w:left="1320" w:right="1100"/>
          <w:cols w:num="2" w:equalWidth="0">
            <w:col w:w="2216" w:space="40"/>
            <w:col w:w="7224"/>
          </w:cols>
        </w:sectPr>
      </w:pPr>
    </w:p>
    <w:p>
      <w:pPr>
        <w:pStyle w:val="BodyText"/>
        <w:spacing w:before="8"/>
        <w:rPr>
          <w:sz w:val="13"/>
        </w:rPr>
      </w:pPr>
    </w:p>
    <w:p>
      <w:pPr>
        <w:spacing w:after="0"/>
        <w:rPr>
          <w:sz w:val="13"/>
        </w:rPr>
        <w:sectPr>
          <w:type w:val="continuous"/>
          <w:pgSz w:w="11900" w:h="16840"/>
          <w:pgMar w:top="1220" w:bottom="280" w:left="1320" w:right="110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pacing w:val="-1"/>
          <w:sz w:val="21"/>
        </w:rPr>
        <w:t>如何申请保险金</w:t>
      </w:r>
    </w:p>
    <w:p>
      <w:pPr>
        <w:pStyle w:val="BodyText"/>
        <w:spacing w:line="223" w:lineRule="auto" w:before="81"/>
        <w:ind w:left="372" w:right="101"/>
      </w:pPr>
      <w:r>
        <w:rPr/>
        <w:br w:type="column"/>
      </w:r>
      <w:r>
        <w:rPr>
          <w:rFonts w:ascii="Times New Roman" w:eastAsia="Times New Roman"/>
        </w:rPr>
        <w:t>1</w:t>
      </w:r>
      <w:r>
        <w:rPr/>
        <w:t>、申请重大疾病保险金、男性</w:t>
      </w:r>
      <w:r>
        <w:rPr>
          <w:rFonts w:ascii="Times New Roman" w:eastAsia="Times New Roman"/>
        </w:rPr>
        <w:t>/</w:t>
      </w:r>
      <w:r>
        <w:rPr/>
        <w:t>女性重大疾病特别保险金时，申请人须填写理赔申请书，并提供下列证明和资料原件：</w:t>
      </w:r>
    </w:p>
    <w:p>
      <w:pPr>
        <w:pStyle w:val="ListParagraph"/>
        <w:numPr>
          <w:ilvl w:val="0"/>
          <w:numId w:val="5"/>
        </w:numPr>
        <w:tabs>
          <w:tab w:pos="1104" w:val="left" w:leader="none"/>
          <w:tab w:pos="1105" w:val="left" w:leader="none"/>
        </w:tabs>
        <w:spacing w:line="281" w:lineRule="exact" w:before="0" w:after="0"/>
        <w:ind w:left="1104" w:right="0" w:hanging="732"/>
        <w:jc w:val="left"/>
        <w:rPr>
          <w:sz w:val="21"/>
        </w:rPr>
      </w:pPr>
      <w:r>
        <w:rPr>
          <w:spacing w:val="-1"/>
          <w:sz w:val="21"/>
        </w:rPr>
        <w:t>保险合同；</w:t>
      </w:r>
    </w:p>
    <w:p>
      <w:pPr>
        <w:pStyle w:val="ListParagraph"/>
        <w:numPr>
          <w:ilvl w:val="0"/>
          <w:numId w:val="5"/>
        </w:numPr>
        <w:tabs>
          <w:tab w:pos="1104" w:val="left" w:leader="none"/>
          <w:tab w:pos="1105" w:val="left" w:leader="none"/>
        </w:tabs>
        <w:spacing w:line="274" w:lineRule="exact" w:before="0" w:after="0"/>
        <w:ind w:left="1104" w:right="0" w:hanging="732"/>
        <w:jc w:val="left"/>
        <w:rPr>
          <w:sz w:val="21"/>
        </w:rPr>
      </w:pPr>
      <w:r>
        <w:rPr>
          <w:spacing w:val="-3"/>
          <w:sz w:val="21"/>
        </w:rPr>
        <w:t>被保险人的有效身份证件；</w:t>
      </w:r>
    </w:p>
    <w:p>
      <w:pPr>
        <w:pStyle w:val="ListParagraph"/>
        <w:numPr>
          <w:ilvl w:val="0"/>
          <w:numId w:val="5"/>
        </w:numPr>
        <w:tabs>
          <w:tab w:pos="1104" w:val="left" w:leader="none"/>
          <w:tab w:pos="1105" w:val="left" w:leader="none"/>
        </w:tabs>
        <w:spacing w:line="223" w:lineRule="auto" w:before="12" w:after="0"/>
        <w:ind w:left="1104" w:right="103" w:hanging="732"/>
        <w:jc w:val="left"/>
        <w:rPr>
          <w:sz w:val="21"/>
        </w:rPr>
      </w:pPr>
      <w:r>
        <w:rPr>
          <w:spacing w:val="-11"/>
          <w:sz w:val="21"/>
        </w:rPr>
        <w:t>医院</w:t>
      </w:r>
      <w:r>
        <w:rPr>
          <w:sz w:val="21"/>
        </w:rPr>
        <w:t>（</w:t>
      </w:r>
      <w:r>
        <w:rPr>
          <w:spacing w:val="-13"/>
          <w:sz w:val="21"/>
        </w:rPr>
        <w:t>见 </w:t>
      </w:r>
      <w:r>
        <w:rPr>
          <w:rFonts w:ascii="Times New Roman" w:eastAsia="Times New Roman"/>
          <w:spacing w:val="-6"/>
          <w:sz w:val="21"/>
        </w:rPr>
        <w:t>7.14</w:t>
      </w:r>
      <w:r>
        <w:rPr>
          <w:spacing w:val="-6"/>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104" w:val="left" w:leader="none"/>
          <w:tab w:pos="1105" w:val="left" w:leader="none"/>
        </w:tabs>
        <w:spacing w:line="281" w:lineRule="exact" w:before="0" w:after="0"/>
        <w:ind w:left="1104" w:right="0" w:hanging="732"/>
        <w:jc w:val="left"/>
        <w:rPr>
          <w:sz w:val="21"/>
        </w:rPr>
      </w:pPr>
      <w:r>
        <w:rPr>
          <w:spacing w:val="-3"/>
          <w:sz w:val="21"/>
        </w:rPr>
        <w:t>本附加合同附表所列相应重大疾病中明确要求的其它医疗证明；</w:t>
      </w:r>
    </w:p>
    <w:p>
      <w:pPr>
        <w:pStyle w:val="ListParagraph"/>
        <w:numPr>
          <w:ilvl w:val="0"/>
          <w:numId w:val="5"/>
        </w:numPr>
        <w:tabs>
          <w:tab w:pos="1104" w:val="left" w:leader="none"/>
          <w:tab w:pos="1105" w:val="left" w:leader="none"/>
        </w:tabs>
        <w:spacing w:line="225" w:lineRule="auto" w:before="8" w:after="0"/>
        <w:ind w:left="1104" w:right="103" w:hanging="732"/>
        <w:jc w:val="left"/>
        <w:rPr>
          <w:sz w:val="21"/>
        </w:rPr>
      </w:pPr>
      <w:r>
        <w:rPr>
          <w:sz w:val="21"/>
        </w:rPr>
        <w:t>所能提供的与确认保险事故的性质、原因等有关的其它证明和资料。</w:t>
      </w:r>
    </w:p>
    <w:p>
      <w:pPr>
        <w:pStyle w:val="BodyText"/>
        <w:spacing w:before="6"/>
        <w:rPr>
          <w:sz w:val="19"/>
        </w:rPr>
      </w:pPr>
    </w:p>
    <w:p>
      <w:pPr>
        <w:pStyle w:val="BodyText"/>
        <w:spacing w:line="225" w:lineRule="auto" w:before="1"/>
        <w:ind w:left="372" w:right="103"/>
      </w:pPr>
      <w:r>
        <w:rPr>
          <w:rFonts w:ascii="Times New Roman" w:eastAsia="Times New Roman"/>
        </w:rPr>
        <w:t>2</w:t>
      </w:r>
      <w:r>
        <w:rPr>
          <w:spacing w:val="-10"/>
        </w:rPr>
        <w:t>、申请重大疾病豁免保费时，申请人须填写理赔申请书，并提供下列证明</w:t>
      </w:r>
      <w:r>
        <w:rPr>
          <w:spacing w:val="-5"/>
        </w:rPr>
        <w:t>和资料原件：</w:t>
      </w:r>
    </w:p>
    <w:p>
      <w:pPr>
        <w:pStyle w:val="ListParagraph"/>
        <w:numPr>
          <w:ilvl w:val="0"/>
          <w:numId w:val="6"/>
        </w:numPr>
        <w:tabs>
          <w:tab w:pos="1093" w:val="left" w:leader="none"/>
        </w:tabs>
        <w:spacing w:line="279" w:lineRule="exact" w:before="0" w:after="0"/>
        <w:ind w:left="1092" w:right="0" w:hanging="720"/>
        <w:jc w:val="left"/>
        <w:rPr>
          <w:sz w:val="21"/>
        </w:rPr>
      </w:pPr>
      <w:r>
        <w:rPr>
          <w:spacing w:val="-1"/>
          <w:sz w:val="21"/>
        </w:rPr>
        <w:t>保险合同；</w:t>
      </w:r>
    </w:p>
    <w:p>
      <w:pPr>
        <w:pStyle w:val="ListParagraph"/>
        <w:numPr>
          <w:ilvl w:val="0"/>
          <w:numId w:val="6"/>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6"/>
        </w:numPr>
        <w:tabs>
          <w:tab w:pos="1093" w:val="left" w:leader="none"/>
        </w:tabs>
        <w:spacing w:line="274" w:lineRule="exact" w:before="0" w:after="0"/>
        <w:ind w:left="1092" w:right="0" w:hanging="720"/>
        <w:jc w:val="left"/>
        <w:rPr>
          <w:sz w:val="21"/>
        </w:rPr>
      </w:pPr>
      <w:r>
        <w:rPr>
          <w:spacing w:val="-3"/>
          <w:sz w:val="21"/>
        </w:rPr>
        <w:t>受益人的有效身份证件，与被保险人的关系证明；</w:t>
      </w:r>
    </w:p>
    <w:p>
      <w:pPr>
        <w:pStyle w:val="ListParagraph"/>
        <w:numPr>
          <w:ilvl w:val="0"/>
          <w:numId w:val="6"/>
        </w:numPr>
        <w:tabs>
          <w:tab w:pos="1093" w:val="left" w:leader="none"/>
        </w:tabs>
        <w:spacing w:line="223" w:lineRule="auto" w:before="11" w:after="0"/>
        <w:ind w:left="1092" w:right="101" w:hanging="720"/>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0"/>
          <w:numId w:val="6"/>
        </w:numPr>
        <w:tabs>
          <w:tab w:pos="1093" w:val="left" w:leader="none"/>
        </w:tabs>
        <w:spacing w:line="281" w:lineRule="exact" w:before="0" w:after="0"/>
        <w:ind w:left="1092" w:right="0" w:hanging="720"/>
        <w:jc w:val="left"/>
        <w:rPr>
          <w:sz w:val="21"/>
        </w:rPr>
      </w:pPr>
      <w:r>
        <w:rPr>
          <w:spacing w:val="-3"/>
          <w:sz w:val="21"/>
        </w:rPr>
        <w:t>本附加合同附表所列相应重大疾病中明确要求的其它医疗证明；</w:t>
      </w:r>
    </w:p>
    <w:p>
      <w:pPr>
        <w:pStyle w:val="ListParagraph"/>
        <w:numPr>
          <w:ilvl w:val="0"/>
          <w:numId w:val="6"/>
        </w:numPr>
        <w:tabs>
          <w:tab w:pos="1093" w:val="left" w:leader="none"/>
        </w:tabs>
        <w:spacing w:line="225" w:lineRule="auto" w:before="9" w:after="0"/>
        <w:ind w:left="1092" w:right="103" w:hanging="720"/>
        <w:jc w:val="left"/>
        <w:rPr>
          <w:sz w:val="21"/>
        </w:rPr>
      </w:pPr>
      <w:r>
        <w:rPr>
          <w:sz w:val="21"/>
        </w:rPr>
        <w:t>所能提供的与确认保险事故的性质、原因等有关的其它证明和资料。</w:t>
      </w:r>
    </w:p>
    <w:p>
      <w:pPr>
        <w:pStyle w:val="BodyText"/>
        <w:spacing w:before="2"/>
        <w:rPr>
          <w:sz w:val="18"/>
        </w:rPr>
      </w:pPr>
    </w:p>
    <w:p>
      <w:pPr>
        <w:pStyle w:val="BodyText"/>
        <w:ind w:left="372" w:right="103"/>
      </w:pPr>
      <w:r>
        <w:rPr/>
        <w:t>保险金作为被保险人遗产时，申请人必须提供可证明合法继承权的相关权利文件。</w:t>
      </w:r>
    </w:p>
    <w:p>
      <w:pPr>
        <w:pStyle w:val="BodyText"/>
        <w:spacing w:before="2"/>
        <w:rPr>
          <w:sz w:val="18"/>
        </w:rPr>
      </w:pPr>
    </w:p>
    <w:p>
      <w:pPr>
        <w:pStyle w:val="BodyText"/>
        <w:ind w:left="372" w:right="103"/>
      </w:pPr>
      <w:r>
        <w:rPr/>
        <w:t>以上证明和资料不完整的，我们将及时一次性通知申请人补充提供有关证明和资料。</w:t>
      </w:r>
    </w:p>
    <w:p>
      <w:pPr>
        <w:spacing w:after="0"/>
        <w:sectPr>
          <w:type w:val="continuous"/>
          <w:pgSz w:w="11900" w:h="16840"/>
          <w:pgMar w:top="1220" w:bottom="280" w:left="1320" w:right="1100"/>
          <w:cols w:num="2" w:equalWidth="0">
            <w:col w:w="2216" w:space="40"/>
            <w:col w:w="7224"/>
          </w:cols>
        </w:sectPr>
      </w:pPr>
    </w:p>
    <w:p>
      <w:pPr>
        <w:pStyle w:val="BodyText"/>
        <w:rPr>
          <w:sz w:val="20"/>
        </w:rPr>
      </w:pPr>
    </w:p>
    <w:p>
      <w:pPr>
        <w:pStyle w:val="BodyText"/>
        <w:spacing w:before="10"/>
        <w:rPr>
          <w:sz w:val="17"/>
        </w:rPr>
      </w:pPr>
    </w:p>
    <w:p>
      <w:pPr>
        <w:pStyle w:val="BodyText"/>
        <w:spacing w:line="230" w:lineRule="auto"/>
        <w:ind w:left="2627" w:right="10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20" w:right="1100"/>
        </w:sectPr>
      </w:pPr>
    </w:p>
    <w:p>
      <w:pPr>
        <w:pStyle w:val="BodyText"/>
        <w:spacing w:before="12"/>
        <w:rPr>
          <w:sz w:val="16"/>
        </w:rPr>
      </w:pPr>
    </w:p>
    <w:p>
      <w:pPr>
        <w:pStyle w:val="BodyText"/>
        <w:spacing w:line="282" w:lineRule="exact"/>
        <w:ind w:left="103"/>
      </w:pPr>
      <w:r>
        <w:rPr/>
        <w:t>第 </w:t>
      </w:r>
      <w:r>
        <w:rPr>
          <w:rFonts w:ascii="Times New Roman" w:eastAsia="Times New Roman"/>
          <w:b/>
        </w:rPr>
        <w:t>6 </w:t>
      </w:r>
      <w:r>
        <w:rPr/>
        <w:t>章 附加合同效力的</w:t>
      </w:r>
    </w:p>
    <w:p>
      <w:pPr>
        <w:pStyle w:val="BodyText"/>
        <w:spacing w:line="266" w:lineRule="exact"/>
        <w:ind w:left="842" w:right="1113"/>
        <w:jc w:val="center"/>
      </w:pPr>
      <w:r>
        <w:rPr/>
        <w:t>终止</w:t>
      </w:r>
    </w:p>
    <w:p>
      <w:pPr>
        <w:pStyle w:val="BodyText"/>
        <w:spacing w:before="9"/>
        <w:rPr>
          <w:sz w:val="16"/>
        </w:rPr>
      </w:pPr>
      <w:r>
        <w:rPr/>
        <w:br w:type="column"/>
      </w:r>
      <w:r>
        <w:rPr>
          <w:sz w:val="16"/>
        </w:rPr>
      </w:r>
    </w:p>
    <w:p>
      <w:pPr>
        <w:pStyle w:val="BodyText"/>
        <w:ind w:left="103"/>
      </w:pPr>
      <w:r>
        <w:rPr/>
        <w:t>发生下列任何一种情形时，本附加合同终止：</w:t>
      </w:r>
    </w:p>
    <w:p>
      <w:pPr>
        <w:spacing w:after="0"/>
        <w:sectPr>
          <w:type w:val="continuous"/>
          <w:pgSz w:w="11900" w:h="16840"/>
          <w:pgMar w:top="1220" w:bottom="280" w:left="1320" w:right="1100"/>
          <w:cols w:num="2" w:equalWidth="0">
            <w:col w:w="2415" w:space="57"/>
            <w:col w:w="7008"/>
          </w:cols>
        </w:sectPr>
      </w:pPr>
    </w:p>
    <w:p>
      <w:pPr>
        <w:pStyle w:val="BodyText"/>
        <w:spacing w:line="230" w:lineRule="auto" w:before="38"/>
        <w:ind w:left="2999"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30" w:lineRule="auto" w:before="10"/>
        <w:ind w:left="2999" w:right="223" w:hanging="372"/>
        <w:jc w:val="both"/>
      </w:pPr>
      <w:r>
        <w:rPr>
          <w:rFonts w:ascii="Times New Roman" w:eastAsia="Times New Roman"/>
        </w:rPr>
        <w:t>2</w:t>
      </w:r>
      <w:r>
        <w:rPr/>
        <w:t>、 当主合同的保险金额扣除本附加合同所有已给付的保险金后的余额， 再扣除任何您尚未偿清的保单借款、自动垫缴的保险费等款项的本金和利息以及您欠缴的保险费后为零时；</w:t>
      </w:r>
    </w:p>
    <w:p>
      <w:pPr>
        <w:pStyle w:val="BodyText"/>
        <w:spacing w:line="281" w:lineRule="exact"/>
        <w:ind w:left="2628"/>
      </w:pPr>
      <w:r>
        <w:rPr>
          <w:rFonts w:ascii="Times New Roman" w:eastAsia="Times New Roman"/>
        </w:rPr>
        <w:t>3</w:t>
      </w:r>
      <w:r>
        <w:rPr/>
        <w:t>、 主合同终止；</w:t>
      </w:r>
    </w:p>
    <w:p>
      <w:pPr>
        <w:pStyle w:val="BodyText"/>
        <w:spacing w:line="282" w:lineRule="exact"/>
        <w:ind w:left="2628"/>
      </w:pPr>
      <w:r>
        <w:rPr>
          <w:rFonts w:ascii="Times New Roman" w:eastAsia="Times New Roman"/>
        </w:rPr>
        <w:t>4</w:t>
      </w:r>
      <w:r>
        <w:rPr/>
        <w:t>、 因本附加合同其它条款或主合同条款所列情况而终止。</w:t>
      </w:r>
    </w:p>
    <w:p>
      <w:pPr>
        <w:pStyle w:val="BodyText"/>
        <w:rPr>
          <w:sz w:val="20"/>
        </w:rPr>
      </w:pPr>
    </w:p>
    <w:p>
      <w:pPr>
        <w:pStyle w:val="BodyText"/>
        <w:spacing w:before="7"/>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5"/>
        <w:rPr>
          <w:sz w:val="17"/>
        </w:rPr>
      </w:pPr>
    </w:p>
    <w:p>
      <w:pPr>
        <w:pStyle w:val="ListParagraph"/>
        <w:numPr>
          <w:ilvl w:val="1"/>
          <w:numId w:val="7"/>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7"/>
        </w:numPr>
        <w:tabs>
          <w:tab w:pos="951" w:val="left" w:leader="none"/>
        </w:tabs>
        <w:spacing w:line="237"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7"/>
        </w:numPr>
        <w:tabs>
          <w:tab w:pos="951" w:val="left" w:leader="none"/>
        </w:tabs>
        <w:spacing w:line="225" w:lineRule="auto" w:before="1" w:after="0"/>
        <w:ind w:left="2627" w:right="221" w:hanging="2157"/>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pStyle w:val="BodyText"/>
        <w:spacing w:before="10"/>
        <w:rPr>
          <w:sz w:val="19"/>
        </w:rPr>
      </w:pPr>
    </w:p>
    <w:p>
      <w:pPr>
        <w:pStyle w:val="ListParagraph"/>
        <w:numPr>
          <w:ilvl w:val="1"/>
          <w:numId w:val="7"/>
        </w:numPr>
        <w:tabs>
          <w:tab w:pos="951" w:val="left" w:leader="none"/>
        </w:tabs>
        <w:spacing w:line="225" w:lineRule="auto" w:before="0" w:after="0"/>
        <w:ind w:left="2639" w:right="221" w:hanging="2169"/>
        <w:jc w:val="both"/>
        <w:rPr>
          <w:sz w:val="21"/>
        </w:rPr>
      </w:pPr>
      <w:r>
        <w:rPr>
          <w:spacing w:val="-3"/>
          <w:sz w:val="21"/>
        </w:rPr>
        <w:t>重大疾病：     指被保险人因意外伤害事故或在本附加合同</w:t>
      </w:r>
      <w:r>
        <w:rPr>
          <w:sz w:val="21"/>
        </w:rPr>
        <w:t>Th</w:t>
      </w:r>
      <w:r>
        <w:rPr>
          <w:spacing w:val="-1"/>
          <w:sz w:val="21"/>
        </w:rPr>
        <w:t>效日起 </w:t>
      </w:r>
      <w:r>
        <w:rPr>
          <w:rFonts w:ascii="Times New Roman" w:eastAsia="Times New Roman"/>
          <w:sz w:val="21"/>
        </w:rPr>
        <w:t>90</w:t>
      </w:r>
      <w:r>
        <w:rPr>
          <w:rFonts w:ascii="Times New Roman" w:eastAsia="Times New Roman"/>
          <w:spacing w:val="0"/>
          <w:sz w:val="21"/>
        </w:rPr>
        <w:t>  </w:t>
      </w:r>
      <w:r>
        <w:rPr>
          <w:spacing w:val="-3"/>
          <w:sz w:val="21"/>
        </w:rPr>
        <w:t>天后或最后复效</w:t>
      </w:r>
      <w:r>
        <w:rPr>
          <w:spacing w:val="-17"/>
          <w:sz w:val="21"/>
        </w:rPr>
        <w:t>日起 </w:t>
      </w:r>
      <w:r>
        <w:rPr>
          <w:rFonts w:ascii="Times New Roman" w:eastAsia="Times New Roman"/>
          <w:sz w:val="21"/>
        </w:rPr>
        <w:t>90</w:t>
      </w:r>
      <w:r>
        <w:rPr>
          <w:rFonts w:ascii="Times New Roman" w:eastAsia="Times New Roman"/>
          <w:spacing w:val="10"/>
          <w:sz w:val="21"/>
        </w:rPr>
        <w:t> </w:t>
      </w:r>
      <w:r>
        <w:rPr>
          <w:spacing w:val="-18"/>
          <w:sz w:val="21"/>
        </w:rPr>
        <w:t>天后</w:t>
      </w:r>
      <w:r>
        <w:rPr>
          <w:sz w:val="21"/>
        </w:rPr>
        <w:t>（</w:t>
      </w:r>
      <w:r>
        <w:rPr>
          <w:spacing w:val="-3"/>
          <w:sz w:val="21"/>
        </w:rPr>
        <w:t>以较迟者为准</w:t>
      </w:r>
      <w:r>
        <w:rPr>
          <w:spacing w:val="-32"/>
          <w:sz w:val="21"/>
        </w:rPr>
        <w:t>）</w:t>
      </w:r>
      <w:r>
        <w:rPr>
          <w:spacing w:val="-7"/>
          <w:sz w:val="21"/>
        </w:rPr>
        <w:t>因疾病，初次发</w:t>
      </w:r>
      <w:r>
        <w:rPr>
          <w:sz w:val="21"/>
        </w:rPr>
        <w:t>Th</w:t>
      </w:r>
      <w:r>
        <w:rPr>
          <w:spacing w:val="-3"/>
          <w:sz w:val="21"/>
        </w:rPr>
        <w:t>并被专科医</w:t>
      </w:r>
      <w:r>
        <w:rPr>
          <w:sz w:val="21"/>
        </w:rPr>
        <w:t>Th</w:t>
      </w:r>
      <w:r>
        <w:rPr>
          <w:spacing w:val="-3"/>
          <w:sz w:val="21"/>
        </w:rPr>
        <w:t>明确诊断的</w:t>
      </w:r>
      <w:r>
        <w:rPr>
          <w:spacing w:val="-7"/>
          <w:sz w:val="21"/>
        </w:rPr>
        <w:t>符合本附加合同第 </w:t>
      </w:r>
      <w:r>
        <w:rPr>
          <w:rFonts w:ascii="Times New Roman" w:eastAsia="Times New Roman"/>
          <w:sz w:val="21"/>
        </w:rPr>
        <w:t>8</w:t>
      </w:r>
      <w:r>
        <w:rPr>
          <w:rFonts w:ascii="Times New Roman" w:eastAsia="Times New Roman"/>
          <w:spacing w:val="21"/>
          <w:sz w:val="21"/>
        </w:rPr>
        <w:t> </w:t>
      </w:r>
      <w:r>
        <w:rPr>
          <w:spacing w:val="-3"/>
          <w:sz w:val="21"/>
        </w:rPr>
        <w:t>章附表一或附表二中所列的任何一种疾病定义所述条件的疾病。</w:t>
      </w:r>
    </w:p>
    <w:p>
      <w:pPr>
        <w:pStyle w:val="BodyText"/>
        <w:spacing w:before="11"/>
        <w:rPr>
          <w:sz w:val="13"/>
        </w:rPr>
      </w:pPr>
    </w:p>
    <w:p>
      <w:pPr>
        <w:spacing w:after="0"/>
        <w:rPr>
          <w:sz w:val="13"/>
        </w:rPr>
        <w:sectPr>
          <w:pgSz w:w="11900" w:h="16840"/>
          <w:pgMar w:top="1240" w:bottom="280" w:left="1320" w:right="980"/>
        </w:sectPr>
      </w:pPr>
    </w:p>
    <w:p>
      <w:pPr>
        <w:pStyle w:val="ListParagraph"/>
        <w:numPr>
          <w:ilvl w:val="1"/>
          <w:numId w:val="7"/>
        </w:numPr>
        <w:tabs>
          <w:tab w:pos="950" w:val="left" w:leader="none"/>
          <w:tab w:pos="951" w:val="left" w:leader="none"/>
        </w:tabs>
        <w:spacing w:line="223" w:lineRule="auto" w:before="82" w:after="0"/>
        <w:ind w:left="950" w:right="0" w:hanging="480"/>
        <w:jc w:val="left"/>
        <w:rPr>
          <w:sz w:val="21"/>
        </w:rPr>
      </w:pPr>
      <w:r>
        <w:rPr>
          <w:spacing w:val="20"/>
          <w:sz w:val="21"/>
        </w:rPr>
        <w:t>男性</w:t>
      </w:r>
      <w:r>
        <w:rPr>
          <w:rFonts w:ascii="Times New Roman" w:eastAsia="Times New Roman"/>
          <w:b/>
          <w:sz w:val="21"/>
        </w:rPr>
        <w:t>/</w:t>
      </w:r>
      <w:r>
        <w:rPr>
          <w:rFonts w:ascii="Times New Roman" w:eastAsia="Times New Roman"/>
          <w:b/>
          <w:spacing w:val="-20"/>
          <w:sz w:val="21"/>
        </w:rPr>
        <w:t> </w:t>
      </w:r>
      <w:r>
        <w:rPr>
          <w:spacing w:val="16"/>
          <w:sz w:val="21"/>
        </w:rPr>
        <w:t>女性重大疾病：</w:t>
      </w:r>
    </w:p>
    <w:p>
      <w:pPr>
        <w:pStyle w:val="BodyText"/>
        <w:spacing w:line="223" w:lineRule="auto" w:before="80"/>
        <w:ind w:left="171" w:right="142"/>
      </w:pPr>
      <w:r>
        <w:rPr/>
        <w:br w:type="column"/>
      </w:r>
      <w:r>
        <w:rPr/>
        <w:t>指被保险人在本附加合同Th效日起 </w:t>
      </w:r>
      <w:r>
        <w:rPr>
          <w:rFonts w:ascii="Times New Roman" w:eastAsia="Times New Roman"/>
        </w:rPr>
        <w:t>90 </w:t>
      </w:r>
      <w:r>
        <w:rPr/>
        <w:t>天后或最后复效日起 </w:t>
      </w:r>
      <w:r>
        <w:rPr>
          <w:rFonts w:ascii="Times New Roman" w:eastAsia="Times New Roman"/>
        </w:rPr>
        <w:t>90 </w:t>
      </w:r>
      <w:r>
        <w:rPr/>
        <w:t>天后（以较迟者为准）因疾病，初次发Th并被专科医Th明确诊断的符合本附加合同第</w:t>
      </w:r>
    </w:p>
    <w:p>
      <w:pPr>
        <w:pStyle w:val="ListParagraph"/>
        <w:numPr>
          <w:ilvl w:val="0"/>
          <w:numId w:val="7"/>
        </w:numPr>
        <w:tabs>
          <w:tab w:pos="330" w:val="left" w:leader="none"/>
        </w:tabs>
        <w:spacing w:line="289" w:lineRule="exact" w:before="0" w:after="0"/>
        <w:ind w:left="329" w:right="0" w:hanging="158"/>
        <w:jc w:val="left"/>
        <w:rPr>
          <w:rFonts w:ascii="Times New Roman" w:eastAsia="Times New Roman"/>
          <w:sz w:val="21"/>
        </w:rPr>
      </w:pPr>
      <w:r>
        <w:rPr>
          <w:spacing w:val="-3"/>
          <w:sz w:val="21"/>
        </w:rPr>
        <w:t>章附表二中所列的任何一种疾病定义所述条件的疾病。</w:t>
      </w:r>
    </w:p>
    <w:p>
      <w:pPr>
        <w:spacing w:after="0" w:line="289" w:lineRule="exact"/>
        <w:jc w:val="left"/>
        <w:rPr>
          <w:rFonts w:ascii="Times New Roman" w:eastAsia="Times New Roman"/>
          <w:sz w:val="21"/>
        </w:rPr>
        <w:sectPr>
          <w:type w:val="continuous"/>
          <w:pgSz w:w="11900" w:h="16840"/>
          <w:pgMar w:top="1220" w:bottom="280" w:left="1320" w:right="980"/>
          <w:cols w:num="2" w:equalWidth="0">
            <w:col w:w="2417" w:space="40"/>
            <w:col w:w="7143"/>
          </w:cols>
        </w:sectPr>
      </w:pPr>
    </w:p>
    <w:p>
      <w:pPr>
        <w:pStyle w:val="BodyText"/>
        <w:spacing w:before="6"/>
        <w:rPr>
          <w:sz w:val="12"/>
        </w:rPr>
      </w:pPr>
    </w:p>
    <w:p>
      <w:pPr>
        <w:pStyle w:val="ListParagraph"/>
        <w:numPr>
          <w:ilvl w:val="1"/>
          <w:numId w:val="8"/>
        </w:numPr>
        <w:tabs>
          <w:tab w:pos="951" w:val="left" w:leader="none"/>
        </w:tabs>
        <w:spacing w:line="237" w:lineRule="auto" w:before="65" w:after="0"/>
        <w:ind w:left="262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7"/>
        <w:rPr>
          <w:sz w:val="18"/>
        </w:rPr>
      </w:pPr>
    </w:p>
    <w:p>
      <w:pPr>
        <w:pStyle w:val="ListParagraph"/>
        <w:numPr>
          <w:ilvl w:val="1"/>
          <w:numId w:val="8"/>
        </w:numPr>
        <w:tabs>
          <w:tab w:pos="951" w:val="left" w:leader="none"/>
        </w:tabs>
        <w:spacing w:line="237" w:lineRule="auto" w:before="1" w:after="0"/>
        <w:ind w:left="2627" w:right="223" w:hanging="2157"/>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11"/>
        <w:rPr>
          <w:sz w:val="13"/>
        </w:rPr>
      </w:pPr>
    </w:p>
    <w:p>
      <w:pPr>
        <w:spacing w:after="0"/>
        <w:rPr>
          <w:sz w:val="13"/>
        </w:rPr>
        <w:sectPr>
          <w:type w:val="continuous"/>
          <w:pgSz w:w="11900" w:h="16840"/>
          <w:pgMar w:top="1220" w:bottom="280" w:left="1320" w:right="980"/>
        </w:sectPr>
      </w:pPr>
    </w:p>
    <w:p>
      <w:pPr>
        <w:pStyle w:val="ListParagraph"/>
        <w:numPr>
          <w:ilvl w:val="1"/>
          <w:numId w:val="8"/>
        </w:numPr>
        <w:tabs>
          <w:tab w:pos="950" w:val="left" w:leader="none"/>
          <w:tab w:pos="951" w:val="left" w:leader="none"/>
        </w:tabs>
        <w:spacing w:line="240" w:lineRule="auto" w:before="62" w:after="0"/>
        <w:ind w:left="950" w:right="0" w:hanging="480"/>
        <w:jc w:val="left"/>
        <w:rPr>
          <w:sz w:val="21"/>
        </w:rPr>
      </w:pPr>
      <w:r>
        <w:rPr>
          <w:spacing w:val="-33"/>
          <w:sz w:val="21"/>
        </w:rPr>
        <w:t>无 合 法 有 效 驾</w:t>
      </w:r>
      <w:r>
        <w:rPr>
          <w:spacing w:val="-15"/>
          <w:sz w:val="21"/>
        </w:rPr>
        <w:t>驶证驾驶：</w:t>
      </w:r>
    </w:p>
    <w:p>
      <w:pPr>
        <w:pStyle w:val="BodyText"/>
        <w:spacing w:line="274" w:lineRule="exact" w:before="60"/>
        <w:ind w:left="171"/>
      </w:pPr>
      <w:r>
        <w:rPr/>
        <w:br w:type="column"/>
      </w:r>
      <w:r>
        <w:rPr/>
        <w:t>指下列情形之一：</w:t>
      </w:r>
    </w:p>
    <w:p>
      <w:pPr>
        <w:pStyle w:val="BodyText"/>
        <w:spacing w:line="280" w:lineRule="exact"/>
        <w:ind w:left="171"/>
      </w:pPr>
      <w:r>
        <w:rPr>
          <w:rFonts w:ascii="Times New Roman" w:eastAsia="Times New Roman"/>
        </w:rPr>
        <w:t>1</w:t>
      </w:r>
      <w:r>
        <w:rPr/>
        <w:t>、 没有取得驾驶资格；</w:t>
      </w:r>
    </w:p>
    <w:p>
      <w:pPr>
        <w:pStyle w:val="BodyText"/>
        <w:spacing w:line="272" w:lineRule="exact"/>
        <w:ind w:left="171"/>
      </w:pPr>
      <w:r>
        <w:rPr>
          <w:rFonts w:ascii="Times New Roman" w:eastAsia="Times New Roman"/>
        </w:rPr>
        <w:t>2</w:t>
      </w:r>
      <w:r>
        <w:rPr/>
        <w:t>、 驾驶与驾驶证准驾车型不相符合的车辆；</w:t>
      </w:r>
    </w:p>
    <w:p>
      <w:pPr>
        <w:pStyle w:val="BodyText"/>
        <w:spacing w:line="274" w:lineRule="exact"/>
        <w:ind w:left="171"/>
      </w:pPr>
      <w:r>
        <w:rPr>
          <w:rFonts w:ascii="Times New Roman" w:eastAsia="Times New Roman"/>
        </w:rPr>
        <w:t>3</w:t>
      </w:r>
      <w:r>
        <w:rPr/>
        <w:t>、 持审验不合格的驾驶证驾驶；</w:t>
      </w:r>
    </w:p>
    <w:p>
      <w:pPr>
        <w:pStyle w:val="BodyText"/>
        <w:spacing w:line="225" w:lineRule="auto" w:before="9"/>
        <w:ind w:left="543" w:right="223" w:hanging="372"/>
      </w:pPr>
      <w:r>
        <w:rPr>
          <w:rFonts w:ascii="Times New Roman" w:eastAsia="Times New Roman"/>
        </w:rPr>
        <w:t>4</w:t>
      </w:r>
      <w:r>
        <w:rPr/>
        <w:t>、 持学习驾驶证学习驾车时，无教练员随车指导，或不按指定时间、路线</w:t>
      </w:r>
    </w:p>
    <w:p>
      <w:pPr>
        <w:pStyle w:val="BodyText"/>
        <w:spacing w:line="287" w:lineRule="exact"/>
        <w:ind w:left="171"/>
      </w:pPr>
      <w:r>
        <w:rPr>
          <w:rFonts w:ascii="Times New Roman" w:eastAsia="Times New Roman"/>
        </w:rPr>
        <w:t>5</w:t>
      </w:r>
      <w:r>
        <w:rPr/>
        <w:t>、 学习驾车。</w:t>
      </w:r>
    </w:p>
    <w:p>
      <w:pPr>
        <w:spacing w:after="0" w:line="287" w:lineRule="exact"/>
        <w:sectPr>
          <w:type w:val="continuous"/>
          <w:pgSz w:w="11900" w:h="16840"/>
          <w:pgMar w:top="1220" w:bottom="280" w:left="1320" w:right="980"/>
          <w:cols w:num="2" w:equalWidth="0">
            <w:col w:w="2417" w:space="40"/>
            <w:col w:w="7143"/>
          </w:cols>
        </w:sectPr>
      </w:pPr>
    </w:p>
    <w:p>
      <w:pPr>
        <w:pStyle w:val="BodyText"/>
        <w:spacing w:before="8"/>
        <w:rPr>
          <w:sz w:val="12"/>
        </w:rPr>
      </w:pPr>
    </w:p>
    <w:p>
      <w:pPr>
        <w:pStyle w:val="ListParagraph"/>
        <w:numPr>
          <w:ilvl w:val="1"/>
          <w:numId w:val="8"/>
        </w:numPr>
        <w:tabs>
          <w:tab w:pos="950" w:val="left" w:leader="none"/>
          <w:tab w:pos="951" w:val="left" w:leader="none"/>
          <w:tab w:pos="2627" w:val="left" w:leader="none"/>
        </w:tabs>
        <w:spacing w:line="272" w:lineRule="exact" w:before="62" w:after="0"/>
        <w:ind w:left="2627" w:right="0" w:hanging="2157"/>
        <w:jc w:val="left"/>
        <w:rPr>
          <w:sz w:val="21"/>
        </w:rPr>
      </w:pPr>
      <w:r>
        <w:rPr>
          <w:sz w:val="21"/>
        </w:rPr>
        <w:t>无有</w:t>
      </w:r>
      <w:r>
        <w:rPr>
          <w:spacing w:val="-3"/>
          <w:sz w:val="21"/>
        </w:rPr>
        <w:t>效</w:t>
      </w:r>
      <w:r>
        <w:rPr>
          <w:sz w:val="21"/>
        </w:rPr>
        <w:t>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88" w:lineRule="exact"/>
        <w:ind w:left="2627"/>
      </w:pPr>
      <w:r>
        <w:rPr>
          <w:rFonts w:ascii="Times New Roman" w:eastAsia="Times New Roman"/>
        </w:rPr>
        <w:t>1</w:t>
      </w:r>
      <w:r>
        <w:rPr/>
        <w:t>、 机动车被依法注销登记的；</w:t>
      </w:r>
    </w:p>
    <w:p>
      <w:pPr>
        <w:spacing w:after="0" w:line="288" w:lineRule="exact"/>
        <w:sectPr>
          <w:type w:val="continuous"/>
          <w:pgSz w:w="11900" w:h="16840"/>
          <w:pgMar w:top="1220" w:bottom="280" w:left="1320" w:right="980"/>
        </w:sectPr>
      </w:pPr>
    </w:p>
    <w:p>
      <w:pPr>
        <w:pStyle w:val="BodyText"/>
        <w:spacing w:before="26"/>
        <w:ind w:left="2627"/>
      </w:pPr>
      <w:r>
        <w:rPr>
          <w:rFonts w:ascii="Times New Roman" w:eastAsia="Times New Roman"/>
        </w:rPr>
        <w:t>2</w:t>
      </w:r>
      <w:r>
        <w:rPr/>
        <w:t>、 未依法按时进行或通过机动车安全技术检验。</w:t>
      </w:r>
    </w:p>
    <w:p>
      <w:pPr>
        <w:pStyle w:val="BodyText"/>
        <w:spacing w:before="5"/>
        <w:rPr>
          <w:sz w:val="12"/>
        </w:rPr>
      </w:pPr>
    </w:p>
    <w:p>
      <w:pPr>
        <w:spacing w:after="0"/>
        <w:rPr>
          <w:sz w:val="12"/>
        </w:rPr>
        <w:sectPr>
          <w:pgSz w:w="11900" w:h="16840"/>
          <w:pgMar w:top="1240" w:bottom="280" w:left="1320" w:right="980"/>
        </w:sectPr>
      </w:pPr>
    </w:p>
    <w:p>
      <w:pPr>
        <w:pStyle w:val="ListParagraph"/>
        <w:numPr>
          <w:ilvl w:val="1"/>
          <w:numId w:val="8"/>
        </w:numPr>
        <w:tabs>
          <w:tab w:pos="860" w:val="left" w:leader="none"/>
        </w:tabs>
        <w:spacing w:line="274" w:lineRule="exact" w:before="62" w:after="0"/>
        <w:ind w:left="859" w:right="0" w:hanging="495"/>
        <w:jc w:val="left"/>
        <w:rPr>
          <w:sz w:val="21"/>
        </w:rPr>
      </w:pPr>
      <w:r>
        <w:rPr>
          <w:spacing w:val="8"/>
          <w:sz w:val="21"/>
        </w:rPr>
        <w:t>感染艾滋病病毒</w:t>
      </w:r>
    </w:p>
    <w:p>
      <w:pPr>
        <w:spacing w:line="223" w:lineRule="auto" w:before="19"/>
        <w:ind w:left="859" w:right="0" w:firstLine="0"/>
        <w:jc w:val="left"/>
        <w:rPr>
          <w:sz w:val="21"/>
        </w:rPr>
      </w:pPr>
      <w:r>
        <w:rPr>
          <w:w w:val="100"/>
          <w:sz w:val="21"/>
        </w:rPr>
        <w:t>（</w:t>
      </w:r>
      <w:r>
        <w:rPr>
          <w:rFonts w:ascii="Times New Roman" w:eastAsia="Times New Roman"/>
          <w:b/>
          <w:spacing w:val="-1"/>
          <w:w w:val="100"/>
          <w:sz w:val="21"/>
        </w:rPr>
        <w:t>HI</w:t>
      </w:r>
      <w:r>
        <w:rPr>
          <w:rFonts w:ascii="Times New Roman" w:eastAsia="Times New Roman"/>
          <w:b/>
          <w:spacing w:val="-2"/>
          <w:w w:val="100"/>
          <w:sz w:val="21"/>
        </w:rPr>
        <w:t>V</w:t>
      </w:r>
      <w:r>
        <w:rPr>
          <w:spacing w:val="-106"/>
          <w:w w:val="100"/>
          <w:sz w:val="21"/>
        </w:rPr>
        <w:t>）</w:t>
      </w:r>
      <w:r>
        <w:rPr>
          <w:spacing w:val="-1"/>
          <w:w w:val="100"/>
          <w:sz w:val="21"/>
        </w:rPr>
        <w:t>或患艾滋病</w:t>
      </w:r>
      <w:r>
        <w:rPr>
          <w:spacing w:val="-3"/>
          <w:w w:val="100"/>
          <w:sz w:val="21"/>
        </w:rPr>
        <w:t>（</w:t>
      </w:r>
      <w:r>
        <w:rPr>
          <w:rFonts w:ascii="Times New Roman" w:eastAsia="Times New Roman"/>
          <w:b/>
          <w:spacing w:val="-2"/>
          <w:w w:val="100"/>
          <w:sz w:val="21"/>
        </w:rPr>
        <w:t>A</w:t>
      </w:r>
      <w:r>
        <w:rPr>
          <w:rFonts w:ascii="Times New Roman" w:eastAsia="Times New Roman"/>
          <w:b/>
          <w:spacing w:val="-1"/>
          <w:w w:val="100"/>
          <w:sz w:val="21"/>
        </w:rPr>
        <w:t>I</w:t>
      </w:r>
      <w:r>
        <w:rPr>
          <w:rFonts w:ascii="Times New Roman" w:eastAsia="Times New Roman"/>
          <w:b/>
          <w:spacing w:val="-2"/>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71"/>
        <w:ind w:left="120" w:right="115"/>
      </w:pPr>
      <w:r>
        <w:rPr/>
        <w:br w:type="column"/>
      </w:r>
      <w:r>
        <w:rPr>
          <w:spacing w:val="-3"/>
        </w:rPr>
        <w:t>艾滋病病毒指人类免疫缺陷病毒，英文缩写为 </w:t>
      </w:r>
      <w:r>
        <w:rPr>
          <w:rFonts w:ascii="Times New Roman" w:eastAsia="Times New Roman"/>
        </w:rPr>
        <w:t>HIV</w:t>
      </w:r>
      <w:r>
        <w:rPr>
          <w:spacing w:val="-2"/>
        </w:rPr>
        <w:t>。艾滋病指人类免疫缺</w:t>
      </w:r>
      <w:r>
        <w:rPr>
          <w:spacing w:val="-7"/>
        </w:rPr>
        <w:t>陷病毒引起的获得性免疫缺陷综合征，英文缩写为 </w:t>
      </w:r>
      <w:r>
        <w:rPr>
          <w:rFonts w:ascii="Times New Roman" w:eastAsia="Times New Roman"/>
        </w:rPr>
        <w:t>AIDS</w:t>
      </w:r>
      <w:r>
        <w:rPr>
          <w:spacing w:val="-6"/>
        </w:rPr>
        <w:t>。在人体血液或其它样本中检测到艾滋病病毒或其抗体呈阳性，没有出现临床症状或体征的， </w:t>
      </w:r>
      <w:r>
        <w:rPr>
          <w:spacing w:val="-7"/>
        </w:rPr>
        <w:t>为感染艾滋病病毒；如果同时出现了明显临床症状或体征的，为患艾滋病。</w:t>
      </w:r>
    </w:p>
    <w:p>
      <w:pPr>
        <w:spacing w:after="0" w:line="230" w:lineRule="auto"/>
        <w:sectPr>
          <w:type w:val="continuous"/>
          <w:pgSz w:w="11900" w:h="16840"/>
          <w:pgMar w:top="1220" w:bottom="280" w:left="1320" w:right="980"/>
          <w:cols w:num="2" w:equalWidth="0">
            <w:col w:w="2415" w:space="40"/>
            <w:col w:w="7145"/>
          </w:cols>
        </w:sectPr>
      </w:pPr>
    </w:p>
    <w:p>
      <w:pPr>
        <w:pStyle w:val="BodyText"/>
        <w:spacing w:before="8"/>
        <w:rPr>
          <w:sz w:val="13"/>
        </w:rPr>
      </w:pPr>
    </w:p>
    <w:p>
      <w:pPr>
        <w:pStyle w:val="ListParagraph"/>
        <w:numPr>
          <w:ilvl w:val="1"/>
          <w:numId w:val="8"/>
        </w:numPr>
        <w:tabs>
          <w:tab w:pos="860" w:val="left" w:leader="none"/>
          <w:tab w:pos="2575" w:val="left" w:leader="none"/>
        </w:tabs>
        <w:spacing w:line="237" w:lineRule="auto" w:before="65" w:after="0"/>
        <w:ind w:left="25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0"/>
        <w:rPr>
          <w:sz w:val="13"/>
        </w:rPr>
      </w:pPr>
    </w:p>
    <w:p>
      <w:pPr>
        <w:spacing w:after="0"/>
        <w:rPr>
          <w:sz w:val="13"/>
        </w:rPr>
        <w:sectPr>
          <w:type w:val="continuous"/>
          <w:pgSz w:w="11900" w:h="16840"/>
          <w:pgMar w:top="1220" w:bottom="280" w:left="1320" w:right="980"/>
        </w:sectPr>
      </w:pPr>
    </w:p>
    <w:p>
      <w:pPr>
        <w:pStyle w:val="ListParagraph"/>
        <w:numPr>
          <w:ilvl w:val="1"/>
          <w:numId w:val="8"/>
        </w:numPr>
        <w:tabs>
          <w:tab w:pos="860" w:val="left" w:leader="none"/>
        </w:tabs>
        <w:spacing w:line="237" w:lineRule="auto" w:before="66" w:after="0"/>
        <w:ind w:left="859" w:right="0" w:hanging="495"/>
        <w:jc w:val="both"/>
        <w:rPr>
          <w:sz w:val="21"/>
        </w:rPr>
      </w:pPr>
      <w:r>
        <w:rPr>
          <w:spacing w:val="8"/>
          <w:sz w:val="21"/>
        </w:rPr>
        <w:t>先天性畸形、变</w:t>
      </w:r>
      <w:r>
        <w:rPr>
          <w:spacing w:val="-24"/>
          <w:sz w:val="21"/>
        </w:rPr>
        <w:t>形 或 染 色 体 异常：</w:t>
      </w:r>
    </w:p>
    <w:p>
      <w:pPr>
        <w:pStyle w:val="BodyText"/>
        <w:spacing w:line="237" w:lineRule="auto" w:before="63"/>
        <w:ind w:left="120" w:right="221"/>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20"/>
      </w:pPr>
      <w:r>
        <w:rPr>
          <w:w w:val="100"/>
        </w:rPr>
        <w:t>（</w:t>
      </w:r>
      <w:r>
        <w:rPr>
          <w:rFonts w:ascii="Times New Roman" w:eastAsia="Times New Roman"/>
          <w:spacing w:val="-4"/>
          <w:w w:val="100"/>
        </w:rPr>
        <w:t>I</w:t>
      </w:r>
      <w:r>
        <w:rPr>
          <w:rFonts w:ascii="Times New Roman" w:eastAsia="Times New Roman"/>
          <w:w w:val="100"/>
        </w:rPr>
        <w:t>C</w:t>
      </w:r>
      <w:r>
        <w:rPr>
          <w:rFonts w:ascii="Times New Roman" w:eastAsia="Times New Roman"/>
          <w:spacing w:val="0"/>
          <w:w w:val="100"/>
        </w:rPr>
        <w:t>D</w:t>
      </w:r>
      <w:r>
        <w:rPr>
          <w:rFonts w:ascii="Times New Roman" w:eastAsia="Times New Roman"/>
          <w:spacing w:val="-4"/>
          <w:w w:val="100"/>
        </w:rPr>
        <w:t>-</w:t>
      </w:r>
      <w:r>
        <w:rPr>
          <w:rFonts w:ascii="Times New Roman" w:eastAsia="Times New Roman"/>
          <w:w w:val="100"/>
        </w:rPr>
        <w:t>10</w:t>
      </w:r>
      <w:r>
        <w:rPr>
          <w:spacing w:val="-106"/>
          <w:w w:val="100"/>
        </w:rPr>
        <w:t>）</w:t>
      </w:r>
      <w:r>
        <w:rPr>
          <w:spacing w:val="-2"/>
          <w:w w:val="100"/>
        </w:rPr>
        <w:t>》确定。</w:t>
      </w:r>
    </w:p>
    <w:p>
      <w:pPr>
        <w:spacing w:after="0" w:line="289" w:lineRule="exact"/>
        <w:sectPr>
          <w:type w:val="continuous"/>
          <w:pgSz w:w="11900" w:h="16840"/>
          <w:pgMar w:top="1220" w:bottom="280" w:left="1320" w:right="980"/>
          <w:cols w:num="2" w:equalWidth="0">
            <w:col w:w="2415" w:space="40"/>
            <w:col w:w="7145"/>
          </w:cols>
        </w:sectPr>
      </w:pPr>
    </w:p>
    <w:p>
      <w:pPr>
        <w:pStyle w:val="BodyText"/>
        <w:spacing w:before="6"/>
        <w:rPr>
          <w:sz w:val="12"/>
        </w:rPr>
      </w:pPr>
    </w:p>
    <w:p>
      <w:pPr>
        <w:pStyle w:val="ListParagraph"/>
        <w:numPr>
          <w:ilvl w:val="1"/>
          <w:numId w:val="8"/>
        </w:numPr>
        <w:tabs>
          <w:tab w:pos="951" w:val="left" w:leader="none"/>
        </w:tabs>
        <w:spacing w:line="237" w:lineRule="auto" w:before="65" w:after="0"/>
        <w:ind w:left="262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7"/>
        <w:rPr>
          <w:sz w:val="18"/>
        </w:rPr>
      </w:pPr>
    </w:p>
    <w:p>
      <w:pPr>
        <w:pStyle w:val="ListParagraph"/>
        <w:numPr>
          <w:ilvl w:val="1"/>
          <w:numId w:val="8"/>
        </w:numPr>
        <w:tabs>
          <w:tab w:pos="951" w:val="left" w:leader="none"/>
        </w:tabs>
        <w:spacing w:line="237" w:lineRule="auto" w:before="1" w:after="0"/>
        <w:ind w:left="2627" w:right="223" w:hanging="2263"/>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受意外伤害事故须急救时不受此限，但经急救处理伤情稳定后，必须及时转入本附加合同所指医院治疗。</w:t>
      </w:r>
    </w:p>
    <w:p>
      <w:pPr>
        <w:pStyle w:val="BodyText"/>
        <w:spacing w:before="3"/>
        <w:rPr>
          <w:sz w:val="18"/>
        </w:rPr>
      </w:pPr>
    </w:p>
    <w:p>
      <w:pPr>
        <w:pStyle w:val="BodyText"/>
        <w:ind w:left="2627" w:right="223"/>
      </w:pPr>
      <w:r>
        <w:rPr/>
        <w:t>医生是指领有执业医师执照、在医院内行医并拥有处方权的医生，且非您或被保险人本人以及您或被保险人的配偶、父母、子女。</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8"/>
        </w:numPr>
        <w:tabs>
          <w:tab w:pos="950" w:val="left" w:leader="none"/>
          <w:tab w:pos="951" w:val="left" w:leader="none"/>
        </w:tabs>
        <w:spacing w:line="240" w:lineRule="auto" w:before="62" w:after="0"/>
        <w:ind w:left="950" w:right="0" w:hanging="586"/>
        <w:jc w:val="left"/>
        <w:rPr>
          <w:sz w:val="21"/>
        </w:rPr>
      </w:pPr>
      <w:r>
        <w:rPr>
          <w:spacing w:val="-33"/>
          <w:sz w:val="21"/>
        </w:rPr>
        <w:t>肢 体 机 能 完 全丧失：</w:t>
      </w:r>
    </w:p>
    <w:p>
      <w:pPr>
        <w:pStyle w:val="BodyText"/>
        <w:spacing w:before="60"/>
        <w:ind w:left="171"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320" w:right="980"/>
          <w:cols w:num="2" w:equalWidth="0">
            <w:col w:w="2417" w:space="40"/>
            <w:col w:w="7143"/>
          </w:cols>
        </w:sectPr>
      </w:pP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8"/>
        </w:numPr>
        <w:tabs>
          <w:tab w:pos="950" w:val="left" w:leader="none"/>
          <w:tab w:pos="951" w:val="left" w:leader="none"/>
        </w:tabs>
        <w:spacing w:line="240" w:lineRule="auto" w:before="63" w:after="0"/>
        <w:ind w:left="950" w:right="0" w:hanging="586"/>
        <w:jc w:val="left"/>
        <w:rPr>
          <w:sz w:val="21"/>
        </w:rPr>
      </w:pPr>
      <w:r>
        <w:rPr>
          <w:spacing w:val="-33"/>
          <w:sz w:val="21"/>
        </w:rPr>
        <w:t>语 言 能 力 完 全丧失：</w:t>
      </w:r>
    </w:p>
    <w:p>
      <w:pPr>
        <w:pStyle w:val="BodyText"/>
        <w:spacing w:before="60"/>
        <w:ind w:left="171"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320" w:right="980"/>
          <w:cols w:num="2" w:equalWidth="0">
            <w:col w:w="2417" w:space="40"/>
            <w:col w:w="7143"/>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8"/>
        </w:numPr>
        <w:tabs>
          <w:tab w:pos="950" w:val="left" w:leader="none"/>
          <w:tab w:pos="951" w:val="left" w:leader="none"/>
        </w:tabs>
        <w:spacing w:line="240" w:lineRule="auto" w:before="62" w:after="0"/>
        <w:ind w:left="950" w:right="0" w:hanging="586"/>
        <w:jc w:val="left"/>
        <w:rPr>
          <w:sz w:val="21"/>
        </w:rPr>
      </w:pPr>
      <w:r>
        <w:rPr>
          <w:spacing w:val="-33"/>
          <w:sz w:val="21"/>
        </w:rPr>
        <w:t>咀 嚼 吞 咽 能 力</w:t>
      </w:r>
      <w:r>
        <w:rPr>
          <w:spacing w:val="-15"/>
          <w:sz w:val="21"/>
        </w:rPr>
        <w:t>完全丧失：</w:t>
      </w:r>
    </w:p>
    <w:p>
      <w:pPr>
        <w:pStyle w:val="BodyText"/>
        <w:spacing w:before="60"/>
        <w:ind w:left="171"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320" w:right="980"/>
          <w:cols w:num="2" w:equalWidth="0">
            <w:col w:w="2417" w:space="40"/>
            <w:col w:w="7143"/>
          </w:cols>
        </w:sectPr>
      </w:pP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8"/>
        </w:numPr>
        <w:tabs>
          <w:tab w:pos="950" w:val="left" w:leader="none"/>
          <w:tab w:pos="951" w:val="left" w:leader="none"/>
        </w:tabs>
        <w:spacing w:line="240" w:lineRule="auto" w:before="63" w:after="0"/>
        <w:ind w:left="950" w:right="0" w:hanging="586"/>
        <w:jc w:val="left"/>
        <w:rPr>
          <w:sz w:val="21"/>
        </w:rPr>
      </w:pPr>
      <w:r>
        <w:rPr>
          <w:spacing w:val="-33"/>
          <w:sz w:val="21"/>
        </w:rPr>
        <w:t>六 项 基 本 日 常</w:t>
      </w:r>
      <w:r>
        <w:rPr>
          <w:spacing w:val="-15"/>
          <w:sz w:val="21"/>
        </w:rPr>
        <w:t>生活活动：</w:t>
      </w:r>
    </w:p>
    <w:p>
      <w:pPr>
        <w:pStyle w:val="BodyText"/>
        <w:spacing w:line="225" w:lineRule="auto" w:before="78"/>
        <w:ind w:left="171"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320" w:right="980"/>
          <w:cols w:num="2" w:equalWidth="0">
            <w:col w:w="2417" w:space="40"/>
            <w:col w:w="7143"/>
          </w:cols>
        </w:sectPr>
      </w:pPr>
    </w:p>
    <w:p>
      <w:pPr>
        <w:pStyle w:val="BodyText"/>
        <w:spacing w:before="6"/>
        <w:rPr>
          <w:sz w:val="12"/>
        </w:rPr>
      </w:pPr>
    </w:p>
    <w:p>
      <w:pPr>
        <w:pStyle w:val="ListParagraph"/>
        <w:numPr>
          <w:ilvl w:val="1"/>
          <w:numId w:val="8"/>
        </w:numPr>
        <w:tabs>
          <w:tab w:pos="950" w:val="left" w:leader="none"/>
          <w:tab w:pos="951" w:val="left" w:leader="none"/>
          <w:tab w:pos="2627" w:val="left" w:leader="none"/>
        </w:tabs>
        <w:spacing w:line="223" w:lineRule="auto" w:before="82" w:after="0"/>
        <w:ind w:left="262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9"/>
        <w:rPr>
          <w:sz w:val="16"/>
        </w:rPr>
      </w:pPr>
    </w:p>
    <w:p>
      <w:pPr>
        <w:pStyle w:val="BodyText"/>
        <w:tabs>
          <w:tab w:pos="2627" w:val="left" w:leader="none"/>
        </w:tabs>
        <w:spacing w:line="281" w:lineRule="exact"/>
        <w:ind w:left="103"/>
      </w:pPr>
      <w:r>
        <w:rPr/>
        <w:t>第 </w:t>
      </w:r>
      <w:r>
        <w:rPr>
          <w:rFonts w:ascii="Times New Roman" w:eastAsia="Times New Roman"/>
          <w:b/>
        </w:rPr>
        <w:t>8 </w:t>
      </w:r>
      <w:r>
        <w:rPr/>
        <w:t>章</w:t>
      </w:r>
      <w:r>
        <w:rPr>
          <w:spacing w:val="-34"/>
        </w:rPr>
        <w:t> </w:t>
      </w:r>
      <w:r>
        <w:rPr/>
        <w:t>附表</w:t>
        <w:tab/>
        <w:t>本附加合同所指重</w:t>
      </w:r>
      <w:r>
        <w:rPr>
          <w:spacing w:val="-3"/>
        </w:rPr>
        <w:t>大</w:t>
      </w:r>
      <w:r>
        <w:rPr/>
        <w:t>疾</w:t>
      </w:r>
      <w:r>
        <w:rPr>
          <w:spacing w:val="-3"/>
        </w:rPr>
        <w:t>病</w:t>
      </w:r>
      <w:r>
        <w:rPr/>
        <w:t>包括以下疾病、疾</w:t>
      </w:r>
      <w:r>
        <w:rPr>
          <w:spacing w:val="-3"/>
        </w:rPr>
        <w:t>病</w:t>
      </w:r>
      <w:r>
        <w:rPr/>
        <w:t>状</w:t>
      </w:r>
      <w:r>
        <w:rPr>
          <w:spacing w:val="-3"/>
        </w:rPr>
        <w:t>态</w:t>
      </w:r>
      <w:r>
        <w:rPr/>
        <w:t>或手术。其中附表</w:t>
      </w:r>
      <w:r>
        <w:rPr>
          <w:spacing w:val="-3"/>
        </w:rPr>
        <w:t>一</w:t>
      </w:r>
      <w:r>
        <w:rPr/>
        <w:t>第</w:t>
      </w:r>
    </w:p>
    <w:p>
      <w:pPr>
        <w:pStyle w:val="BodyText"/>
        <w:spacing w:line="272" w:lineRule="exact"/>
        <w:ind w:left="2627"/>
      </w:pPr>
      <w:r>
        <w:rPr>
          <w:rFonts w:ascii="Times New Roman" w:eastAsia="Times New Roman"/>
        </w:rPr>
        <w:t>1-24 </w:t>
      </w:r>
      <w:r>
        <w:rPr/>
        <w:t>项为中国保险行业协会与中国医师协会共同制定的疾病定义，附表一</w:t>
      </w:r>
    </w:p>
    <w:p>
      <w:pPr>
        <w:pStyle w:val="BodyText"/>
        <w:spacing w:line="282" w:lineRule="exact"/>
        <w:ind w:left="2627"/>
      </w:pPr>
      <w:r>
        <w:rPr/>
        <w:t>第 </w:t>
      </w:r>
      <w:r>
        <w:rPr>
          <w:rFonts w:ascii="Times New Roman" w:eastAsia="Times New Roman"/>
        </w:rPr>
        <w:t>25-38 </w:t>
      </w:r>
      <w:r>
        <w:rPr/>
        <w:t>项及附表二为我们增加的疾病种类并自行制定的疾病定义。</w:t>
      </w:r>
    </w:p>
    <w:p>
      <w:pPr>
        <w:pStyle w:val="BodyText"/>
        <w:rPr>
          <w:sz w:val="22"/>
        </w:rPr>
      </w:pPr>
    </w:p>
    <w:p>
      <w:pPr>
        <w:pStyle w:val="BodyText"/>
        <w:spacing w:before="179"/>
        <w:ind w:left="859"/>
      </w:pPr>
      <w:r>
        <w:rPr/>
        <w:t>附表一</w:t>
      </w:r>
    </w:p>
    <w:p>
      <w:pPr>
        <w:spacing w:after="0"/>
        <w:sectPr>
          <w:type w:val="continuous"/>
          <w:pgSz w:w="11900" w:h="16840"/>
          <w:pgMar w:top="1220" w:bottom="280" w:left="1320" w:right="980"/>
        </w:sectPr>
      </w:pPr>
    </w:p>
    <w:p>
      <w:pPr>
        <w:pStyle w:val="BodyText"/>
        <w:spacing w:line="232" w:lineRule="auto" w:before="38"/>
        <w:ind w:left="226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267"/>
      </w:pPr>
      <w:r>
        <w:rPr/>
        <w:t>下列疾病不在保障范围内：</w:t>
      </w:r>
    </w:p>
    <w:p>
      <w:pPr>
        <w:pStyle w:val="BodyText"/>
        <w:spacing w:line="282" w:lineRule="exact"/>
        <w:ind w:left="2270"/>
      </w:pPr>
      <w:r>
        <w:rPr/>
        <w:t>（</w:t>
      </w:r>
      <w:r>
        <w:rPr>
          <w:rFonts w:ascii="Times New Roman" w:eastAsia="Times New Roman"/>
        </w:rPr>
        <w:t>1</w:t>
      </w:r>
      <w:r>
        <w:rPr/>
        <w:t>） 原位癌；</w:t>
      </w:r>
    </w:p>
    <w:p>
      <w:pPr>
        <w:pStyle w:val="BodyText"/>
        <w:spacing w:line="272" w:lineRule="exact"/>
        <w:ind w:left="2270"/>
      </w:pPr>
      <w:r>
        <w:rPr/>
        <w:t>（</w:t>
      </w:r>
      <w:r>
        <w:rPr>
          <w:rFonts w:ascii="Times New Roman" w:eastAsia="Times New Roman"/>
        </w:rPr>
        <w:t>2</w:t>
      </w:r>
      <w:r>
        <w:rPr/>
        <w:t>） 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270"/>
      </w:pPr>
      <w:r>
        <w:rPr/>
        <w:t>（</w:t>
      </w:r>
      <w:r>
        <w:rPr>
          <w:rFonts w:ascii="Times New Roman" w:eastAsia="Times New Roman"/>
        </w:rPr>
        <w:t>3</w:t>
      </w:r>
      <w:r>
        <w:rPr/>
        <w:t>） 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4" w:lineRule="exact"/>
        <w:ind w:left="2270"/>
      </w:pPr>
      <w:r>
        <w:rPr/>
        <w:t>（</w:t>
      </w:r>
      <w:r>
        <w:rPr>
          <w:rFonts w:ascii="Times New Roman" w:eastAsia="Times New Roman"/>
        </w:rPr>
        <w:t>4</w:t>
      </w:r>
      <w:r>
        <w:rPr/>
        <w:t>） 皮肤癌（不包括恶性黑色素瘤及已发Th转移的皮肤癌）；</w:t>
      </w:r>
    </w:p>
    <w:p>
      <w:pPr>
        <w:pStyle w:val="BodyText"/>
        <w:spacing w:line="274" w:lineRule="exact"/>
        <w:ind w:left="2270"/>
      </w:pPr>
      <w:r>
        <w:rPr/>
        <w:t>（</w:t>
      </w:r>
      <w:r>
        <w:rPr>
          <w:rFonts w:ascii="Times New Roman" w:eastAsia="Times New Roman"/>
        </w:rPr>
        <w:t>5</w:t>
      </w:r>
      <w:r>
        <w:rPr/>
        <w:t>）</w:t>
      </w:r>
      <w:r>
        <w:rPr>
          <w:spacing w:val="-83"/>
        </w:rPr>
        <w:t> </w:t>
      </w:r>
      <w:r>
        <w:rPr>
          <w:rFonts w:ascii="Times New Roman" w:eastAsia="Times New Roman"/>
        </w:rPr>
        <w:t>TNM </w:t>
      </w:r>
      <w:r>
        <w:rPr>
          <w:spacing w:val="-15"/>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spacing w:val="-3"/>
          <w:vertAlign w:val="baseline"/>
        </w:rPr>
        <w:t>期或更轻分期的前列腺癌；</w:t>
      </w:r>
    </w:p>
    <w:p>
      <w:pPr>
        <w:pStyle w:val="BodyText"/>
        <w:spacing w:line="282" w:lineRule="exact"/>
        <w:ind w:left="2270"/>
      </w:pPr>
      <w:r>
        <w:rPr/>
        <w:t>（</w:t>
      </w:r>
      <w:r>
        <w:rPr>
          <w:rFonts w:ascii="Times New Roman" w:eastAsia="Times New Roman"/>
        </w:rPr>
        <w:t>6</w:t>
      </w:r>
      <w:r>
        <w:rPr/>
        <w:t>） 感染艾滋病病毒或患艾滋病期间所患恶性肿瘤。</w:t>
      </w:r>
    </w:p>
    <w:p>
      <w:pPr>
        <w:pStyle w:val="BodyText"/>
        <w:spacing w:before="9"/>
        <w:rPr>
          <w:sz w:val="18"/>
        </w:rPr>
      </w:pPr>
    </w:p>
    <w:p>
      <w:pPr>
        <w:pStyle w:val="BodyText"/>
        <w:spacing w:line="223" w:lineRule="auto"/>
        <w:ind w:left="226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270"/>
      </w:pPr>
      <w:r>
        <w:rPr/>
        <w:t>（</w:t>
      </w:r>
      <w:r>
        <w:rPr>
          <w:rFonts w:ascii="Times New Roman" w:eastAsia="Times New Roman"/>
        </w:rPr>
        <w:t>1</w:t>
      </w:r>
      <w:r>
        <w:rPr/>
        <w:t>） 典型临床表现，例如急性胸痛等；</w:t>
      </w:r>
    </w:p>
    <w:p>
      <w:pPr>
        <w:pStyle w:val="BodyText"/>
        <w:spacing w:line="274" w:lineRule="exact"/>
        <w:ind w:left="2270"/>
      </w:pPr>
      <w:r>
        <w:rPr/>
        <w:t>（</w:t>
      </w:r>
      <w:r>
        <w:rPr>
          <w:rFonts w:ascii="Times New Roman" w:eastAsia="Times New Roman"/>
        </w:rPr>
        <w:t>2</w:t>
      </w:r>
      <w:r>
        <w:rPr/>
        <w:t>） 新近的心电图改变提示急性心肌梗塞；</w:t>
      </w:r>
    </w:p>
    <w:p>
      <w:pPr>
        <w:pStyle w:val="BodyText"/>
        <w:spacing w:line="225" w:lineRule="auto" w:before="8"/>
        <w:ind w:left="2820" w:right="223" w:hanging="550"/>
      </w:pPr>
      <w:r>
        <w:rPr/>
        <w:t>（</w:t>
      </w:r>
      <w:r>
        <w:rPr>
          <w:rFonts w:ascii="Times New Roman" w:eastAsia="Times New Roman"/>
        </w:rPr>
        <w:t>3</w:t>
      </w:r>
      <w:r>
        <w:rPr/>
        <w:t>）</w:t>
      </w:r>
      <w:r>
        <w:rPr>
          <w:spacing w:val="-6"/>
        </w:rPr>
        <w:t> 心肌酶或肌钙蛋白有诊断意义的升高，或呈符合急性心肌梗塞的动</w:t>
      </w:r>
      <w:r>
        <w:rPr>
          <w:spacing w:val="-4"/>
        </w:rPr>
        <w:t>态性变化；</w:t>
      </w:r>
    </w:p>
    <w:p>
      <w:pPr>
        <w:pStyle w:val="BodyText"/>
        <w:spacing w:line="279" w:lineRule="exact"/>
        <w:ind w:left="2270"/>
      </w:pPr>
      <w:r>
        <w:rPr/>
        <w:t>（</w:t>
      </w:r>
      <w:r>
        <w:rPr>
          <w:rFonts w:ascii="Times New Roman" w:eastAsia="Times New Roman"/>
        </w:rPr>
        <w:t>4</w:t>
      </w:r>
      <w:r>
        <w:rPr/>
        <w:t>） 发病 </w:t>
      </w:r>
      <w:r>
        <w:rPr>
          <w:rFonts w:ascii="Times New Roman" w:eastAsia="Times New Roman"/>
        </w:rPr>
        <w:t>90 </w:t>
      </w:r>
      <w:r>
        <w:rPr/>
        <w:t>天后，经检查证实左心室功能降低，如左心室射血分数低于</w:t>
      </w:r>
    </w:p>
    <w:p>
      <w:pPr>
        <w:pStyle w:val="BodyText"/>
        <w:spacing w:line="282" w:lineRule="exact"/>
        <w:ind w:left="2820"/>
      </w:pPr>
      <w:r>
        <w:rPr>
          <w:rFonts w:ascii="Times New Roman" w:eastAsia="Times New Roman"/>
        </w:rPr>
        <w:t>50%</w:t>
      </w:r>
      <w:r>
        <w:rPr/>
        <w:t>。</w:t>
      </w:r>
    </w:p>
    <w:p>
      <w:pPr>
        <w:pStyle w:val="BodyText"/>
        <w:spacing w:before="12"/>
        <w:rPr>
          <w:sz w:val="18"/>
        </w:rPr>
      </w:pPr>
    </w:p>
    <w:p>
      <w:pPr>
        <w:pStyle w:val="BodyText"/>
        <w:spacing w:line="223" w:lineRule="auto"/>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70"/>
      </w:pPr>
      <w:r>
        <w:rPr/>
        <w:t>（</w:t>
      </w:r>
      <w:r>
        <w:rPr>
          <w:rFonts w:ascii="Times New Roman" w:eastAsia="Times New Roman"/>
        </w:rPr>
        <w:t>1</w:t>
      </w:r>
      <w:r>
        <w:rPr/>
        <w:t>） 一肢或一肢以上肢体机能完全丧失（见 </w:t>
      </w:r>
      <w:r>
        <w:rPr>
          <w:rFonts w:ascii="Times New Roman" w:eastAsia="Times New Roman"/>
        </w:rPr>
        <w:t>7.15</w:t>
      </w:r>
      <w:r>
        <w:rPr/>
        <w:t>）；</w:t>
      </w:r>
    </w:p>
    <w:p>
      <w:pPr>
        <w:pStyle w:val="BodyText"/>
        <w:spacing w:line="272" w:lineRule="exact"/>
        <w:ind w:left="2270"/>
      </w:pPr>
      <w:r>
        <w:rPr/>
        <w:t>（</w:t>
      </w:r>
      <w:r>
        <w:rPr>
          <w:rFonts w:ascii="Times New Roman" w:eastAsia="Times New Roman"/>
        </w:rPr>
        <w:t>2</w:t>
      </w:r>
      <w:r>
        <w:rPr/>
        <w:t>）</w:t>
      </w:r>
      <w:r>
        <w:rPr>
          <w:spacing w:val="-12"/>
        </w:rPr>
        <w:t> 语言能力完全丧失</w:t>
      </w:r>
      <w:r>
        <w:rPr/>
        <w:t>（</w:t>
      </w:r>
      <w:r>
        <w:rPr>
          <w:spacing w:val="-23"/>
        </w:rPr>
        <w:t>见 </w:t>
      </w:r>
      <w:r>
        <w:rPr>
          <w:rFonts w:ascii="Times New Roman" w:eastAsia="Times New Roman"/>
        </w:rPr>
        <w:t>7.16</w:t>
      </w:r>
      <w:r>
        <w:rPr/>
        <w:t>）</w:t>
      </w:r>
      <w:r>
        <w:rPr>
          <w:spacing w:val="-3"/>
        </w:rPr>
        <w:t>或咀嚼吞咽能力完全丧失（</w:t>
      </w:r>
      <w:r>
        <w:rPr>
          <w:spacing w:val="-22"/>
        </w:rPr>
        <w:t>见 </w:t>
      </w:r>
      <w:r>
        <w:rPr>
          <w:rFonts w:ascii="Times New Roman" w:eastAsia="Times New Roman"/>
        </w:rPr>
        <w:t>7.17</w:t>
      </w:r>
      <w:r>
        <w:rPr/>
        <w:t>）；</w:t>
      </w:r>
    </w:p>
    <w:p>
      <w:pPr>
        <w:pStyle w:val="BodyText"/>
        <w:spacing w:line="272" w:lineRule="exact"/>
        <w:ind w:left="2270"/>
      </w:pPr>
      <w:r>
        <w:rPr/>
        <w:t>（</w:t>
      </w:r>
      <w:r>
        <w:rPr>
          <w:rFonts w:ascii="Times New Roman" w:eastAsia="Times New Roman"/>
        </w:rPr>
        <w:t>3</w:t>
      </w:r>
      <w:r>
        <w:rPr/>
        <w:t>） 自主生活能力完全丧失，无法独立完成六项基本日常生活活动（见</w:t>
      </w:r>
    </w:p>
    <w:p>
      <w:pPr>
        <w:pStyle w:val="BodyText"/>
        <w:spacing w:line="282" w:lineRule="exact"/>
        <w:ind w:left="2819"/>
      </w:pPr>
      <w:r>
        <w:rPr>
          <w:rFonts w:ascii="Times New Roman" w:eastAsia="Times New Roman"/>
        </w:rPr>
        <w:t>7.18</w:t>
      </w:r>
      <w:r>
        <w:rPr/>
        <w:t>）中的三项或三项以上。</w:t>
      </w:r>
    </w:p>
    <w:p>
      <w:pPr>
        <w:pStyle w:val="BodyText"/>
        <w:spacing w:before="9"/>
        <w:rPr>
          <w:sz w:val="13"/>
        </w:rPr>
      </w:pPr>
    </w:p>
    <w:p>
      <w:pPr>
        <w:spacing w:after="0"/>
        <w:rPr>
          <w:sz w:val="13"/>
        </w:rPr>
        <w:sectPr>
          <w:pgSz w:w="11900" w:h="16840"/>
          <w:pgMar w:top="1240" w:bottom="280" w:left="1680" w:right="980"/>
        </w:sectPr>
      </w:pPr>
    </w:p>
    <w:p>
      <w:pPr>
        <w:pStyle w:val="BodyText"/>
        <w:spacing w:line="232" w:lineRule="auto" w:before="54"/>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2"/>
        <w:rPr>
          <w:sz w:val="18"/>
        </w:rPr>
      </w:pPr>
    </w:p>
    <w:p>
      <w:pPr>
        <w:pStyle w:val="BodyText"/>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57" w:space="40"/>
            <w:col w:w="7143"/>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2" w:lineRule="auto" w:before="54"/>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3"/>
        <w:rPr>
          <w:sz w:val="18"/>
        </w:rPr>
      </w:pPr>
    </w:p>
    <w:p>
      <w:pPr>
        <w:pStyle w:val="BodyText"/>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2"/>
        <w:rPr>
          <w:sz w:val="14"/>
        </w:rPr>
      </w:pPr>
    </w:p>
    <w:p>
      <w:pPr>
        <w:spacing w:after="0"/>
        <w:rPr>
          <w:sz w:val="14"/>
        </w:rPr>
        <w:sectPr>
          <w:type w:val="continuous"/>
          <w:pgSz w:w="11900" w:h="16840"/>
          <w:pgMar w:top="1220" w:bottom="280" w:left="1680" w:right="980"/>
        </w:sectPr>
      </w:pPr>
    </w:p>
    <w:p>
      <w:pPr>
        <w:spacing w:line="282" w:lineRule="exact" w:before="45"/>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6"/>
        <w:rPr>
          <w:sz w:val="15"/>
        </w:rPr>
      </w:pPr>
    </w:p>
    <w:p>
      <w:pPr>
        <w:pStyle w:val="BodyText"/>
        <w:tabs>
          <w:tab w:pos="2267" w:val="left" w:leader="none"/>
        </w:tabs>
        <w:spacing w:line="220" w:lineRule="auto" w:before="68"/>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
        <w:rPr>
          <w:sz w:val="15"/>
        </w:rPr>
      </w:pPr>
    </w:p>
    <w:p>
      <w:pPr>
        <w:spacing w:after="0"/>
        <w:rPr>
          <w:sz w:val="15"/>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3"/>
        <w:ind w:left="171" w:right="223"/>
      </w:pPr>
      <w:r>
        <w:rPr/>
        <w:br w:type="column"/>
      </w:r>
      <w:r>
        <w:rPr/>
        <w:t>指因肝炎病毒感染引起肝脏组织弥漫性坏死，导致急性肝功能衰竭，且经血清学或病毒学检查证实，并须满足下列全部条件：</w:t>
      </w:r>
    </w:p>
    <w:p>
      <w:pPr>
        <w:spacing w:after="0"/>
        <w:sectPr>
          <w:type w:val="continuous"/>
          <w:pgSz w:w="11900" w:h="16840"/>
          <w:pgMar w:top="1220" w:bottom="280" w:left="1680" w:right="980"/>
          <w:cols w:num="2" w:equalWidth="0">
            <w:col w:w="2057" w:space="40"/>
            <w:col w:w="7143"/>
          </w:cols>
        </w:sectPr>
      </w:pPr>
    </w:p>
    <w:p>
      <w:pPr>
        <w:pStyle w:val="BodyText"/>
        <w:spacing w:line="281" w:lineRule="exact" w:before="26"/>
        <w:ind w:left="2270"/>
      </w:pPr>
      <w:r>
        <w:rPr/>
        <w:t>（</w:t>
      </w:r>
      <w:r>
        <w:rPr>
          <w:rFonts w:ascii="Times New Roman" w:eastAsia="Times New Roman"/>
        </w:rPr>
        <w:t>1</w:t>
      </w:r>
      <w:r>
        <w:rPr/>
        <w:t>） 重度黄疸或黄疸迅速加重；</w:t>
      </w:r>
    </w:p>
    <w:p>
      <w:pPr>
        <w:pStyle w:val="BodyText"/>
        <w:spacing w:line="272" w:lineRule="exact"/>
        <w:ind w:left="2270"/>
      </w:pPr>
      <w:r>
        <w:rPr/>
        <w:t>（</w:t>
      </w:r>
      <w:r>
        <w:rPr>
          <w:rFonts w:ascii="Times New Roman" w:eastAsia="Times New Roman"/>
        </w:rPr>
        <w:t>2</w:t>
      </w:r>
      <w:r>
        <w:rPr/>
        <w:t>） 肝性脑病；</w:t>
      </w:r>
    </w:p>
    <w:p>
      <w:pPr>
        <w:pStyle w:val="BodyText"/>
        <w:spacing w:line="274" w:lineRule="exact"/>
        <w:ind w:left="2270"/>
      </w:pPr>
      <w:r>
        <w:rPr/>
        <w:t>（</w:t>
      </w:r>
      <w:r>
        <w:rPr>
          <w:rFonts w:ascii="Times New Roman" w:eastAsia="Times New Roman"/>
        </w:rPr>
        <w:t>3</w:t>
      </w:r>
      <w:r>
        <w:rPr/>
        <w:t>）</w:t>
      </w:r>
      <w:r>
        <w:rPr>
          <w:spacing w:val="-77"/>
        </w:rPr>
        <w:t> </w:t>
      </w:r>
      <w:r>
        <w:rPr>
          <w:rFonts w:ascii="Times New Roman" w:eastAsia="Times New Roman"/>
        </w:rPr>
        <w:t>B </w:t>
      </w:r>
      <w:r>
        <w:rPr>
          <w:spacing w:val="-3"/>
        </w:rPr>
        <w:t>超或其它影像学检查显示肝脏体积急速萎缩；</w:t>
      </w:r>
    </w:p>
    <w:p>
      <w:pPr>
        <w:pStyle w:val="BodyText"/>
        <w:spacing w:line="282" w:lineRule="exact"/>
        <w:ind w:left="2270"/>
      </w:pPr>
      <w:r>
        <w:rPr/>
        <w:t>（</w:t>
      </w:r>
      <w:r>
        <w:rPr>
          <w:rFonts w:ascii="Times New Roman" w:eastAsia="Times New Roman"/>
        </w:rPr>
        <w:t>4</w:t>
      </w:r>
      <w:r>
        <w:rPr/>
        <w:t>） 肝功能指标进行性恶化。</w:t>
      </w:r>
    </w:p>
    <w:p>
      <w:pPr>
        <w:pStyle w:val="BodyText"/>
        <w:spacing w:before="7"/>
        <w:rPr>
          <w:sz w:val="18"/>
        </w:rPr>
      </w:pPr>
    </w:p>
    <w:p>
      <w:pPr>
        <w:pStyle w:val="BodyText"/>
        <w:tabs>
          <w:tab w:pos="2267" w:val="left" w:leader="none"/>
        </w:tabs>
        <w:spacing w:line="225" w:lineRule="auto" w:before="1"/>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70"/>
      </w:pPr>
      <w:r>
        <w:rPr/>
        <w:t>（</w:t>
      </w:r>
      <w:r>
        <w:rPr>
          <w:rFonts w:ascii="Times New Roman" w:eastAsia="Times New Roman"/>
        </w:rPr>
        <w:t>1</w:t>
      </w:r>
      <w:r>
        <w:rPr/>
        <w:t>） 实际实施了开颅进行的脑肿瘤完全切除或部分切除的手术；</w:t>
      </w:r>
    </w:p>
    <w:p>
      <w:pPr>
        <w:pStyle w:val="BodyText"/>
        <w:spacing w:line="282" w:lineRule="exact"/>
        <w:ind w:left="2270"/>
      </w:pPr>
      <w:r>
        <w:rPr/>
        <w:t>（</w:t>
      </w:r>
      <w:r>
        <w:rPr>
          <w:rFonts w:ascii="Times New Roman" w:eastAsia="Times New Roman"/>
        </w:rPr>
        <w:t>2</w:t>
      </w:r>
      <w:r>
        <w:rPr/>
        <w:t>） 实际实施了对脑肿瘤进行的放射治疗。</w:t>
      </w:r>
    </w:p>
    <w:p>
      <w:pPr>
        <w:pStyle w:val="BodyText"/>
        <w:rPr>
          <w:sz w:val="17"/>
        </w:rPr>
      </w:pPr>
    </w:p>
    <w:p>
      <w:pPr>
        <w:pStyle w:val="BodyText"/>
        <w:ind w:left="2268"/>
      </w:pPr>
      <w:r>
        <w:rPr/>
        <w:t>脑垂体瘤、脑囊肿、脑血管性疾病不在保障范围内。</w:t>
      </w:r>
    </w:p>
    <w:p>
      <w:pPr>
        <w:pStyle w:val="BodyText"/>
        <w:spacing w:before="1"/>
        <w:rPr>
          <w:sz w:val="15"/>
        </w:rPr>
      </w:pPr>
    </w:p>
    <w:p>
      <w:pPr>
        <w:spacing w:after="0"/>
        <w:rPr>
          <w:sz w:val="15"/>
        </w:rPr>
        <w:sectPr>
          <w:pgSz w:w="11900" w:h="16840"/>
          <w:pgMar w:top="1240" w:bottom="280" w:left="1680" w:right="98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慢性肝功能</w:t>
      </w:r>
      <w:r>
        <w:rPr>
          <w:spacing w:val="5"/>
          <w:sz w:val="21"/>
        </w:rPr>
        <w:t>衰竭失代偿期</w:t>
      </w:r>
    </w:p>
    <w:p>
      <w:pPr>
        <w:pStyle w:val="BodyText"/>
        <w:spacing w:line="273" w:lineRule="exact" w:before="43"/>
        <w:ind w:left="173"/>
      </w:pPr>
      <w:r>
        <w:rPr/>
        <w:br w:type="column"/>
      </w:r>
      <w:r>
        <w:rPr/>
        <w:t>指因慢性肝脏疾病导致肝功能衰竭，须满足下列全部条件：</w:t>
      </w:r>
    </w:p>
    <w:p>
      <w:pPr>
        <w:pStyle w:val="BodyText"/>
        <w:spacing w:line="280" w:lineRule="exact"/>
        <w:ind w:left="176"/>
      </w:pPr>
      <w:r>
        <w:rPr/>
        <w:t>（</w:t>
      </w:r>
      <w:r>
        <w:rPr>
          <w:rFonts w:ascii="Times New Roman" w:eastAsia="Times New Roman"/>
        </w:rPr>
        <w:t>1</w:t>
      </w:r>
      <w:r>
        <w:rPr/>
        <w:t>） 持续性黄疸；</w:t>
      </w:r>
    </w:p>
    <w:p>
      <w:pPr>
        <w:pStyle w:val="BodyText"/>
        <w:spacing w:line="274" w:lineRule="exact"/>
        <w:ind w:left="176"/>
      </w:pPr>
      <w:r>
        <w:rPr/>
        <w:t>（</w:t>
      </w:r>
      <w:r>
        <w:rPr>
          <w:rFonts w:ascii="Times New Roman" w:eastAsia="Times New Roman"/>
        </w:rPr>
        <w:t>2</w:t>
      </w:r>
      <w:r>
        <w:rPr/>
        <w:t>） 腹水；</w:t>
      </w:r>
    </w:p>
    <w:p>
      <w:pPr>
        <w:pStyle w:val="BodyText"/>
        <w:spacing w:line="274" w:lineRule="exact"/>
        <w:ind w:left="176"/>
      </w:pPr>
      <w:r>
        <w:rPr/>
        <w:t>（</w:t>
      </w:r>
      <w:r>
        <w:rPr>
          <w:rFonts w:ascii="Times New Roman" w:eastAsia="Times New Roman"/>
        </w:rPr>
        <w:t>3</w:t>
      </w:r>
      <w:r>
        <w:rPr/>
        <w:t>） 肝性脑病；</w:t>
      </w:r>
    </w:p>
    <w:p>
      <w:pPr>
        <w:pStyle w:val="BodyText"/>
        <w:spacing w:line="282" w:lineRule="exact"/>
        <w:ind w:left="176"/>
      </w:pPr>
      <w:r>
        <w:rPr/>
        <w:t>（</w:t>
      </w:r>
      <w:r>
        <w:rPr>
          <w:rFonts w:ascii="Times New Roman" w:eastAsia="Times New Roman"/>
        </w:rPr>
        <w:t>4</w:t>
      </w:r>
      <w:r>
        <w:rPr/>
        <w:t>） 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9"/>
        </w:numPr>
        <w:tabs>
          <w:tab w:pos="874" w:val="left" w:leader="none"/>
        </w:tabs>
        <w:spacing w:line="232" w:lineRule="auto" w:before="54"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73"/>
      </w:pPr>
      <w:r>
        <w:rPr/>
        <w:t>（</w:t>
      </w:r>
      <w:r>
        <w:rPr>
          <w:rFonts w:ascii="Times New Roman" w:eastAsia="Times New Roman"/>
        </w:rPr>
        <w:t>1</w:t>
      </w:r>
      <w:r>
        <w:rPr/>
        <w:t>） 一肢或一肢以上肢体机能完全丧失；</w:t>
      </w:r>
    </w:p>
    <w:p>
      <w:pPr>
        <w:pStyle w:val="BodyText"/>
        <w:spacing w:line="272" w:lineRule="exact"/>
        <w:ind w:left="173"/>
      </w:pPr>
      <w:r>
        <w:rPr/>
        <w:t>（</w:t>
      </w:r>
      <w:r>
        <w:rPr>
          <w:rFonts w:ascii="Times New Roman" w:eastAsia="Times New Roman"/>
        </w:rPr>
        <w:t>2</w:t>
      </w:r>
      <w:r>
        <w:rPr/>
        <w:t>） 语言能力或咀嚼吞咽能力完全丧失；</w:t>
      </w:r>
    </w:p>
    <w:p>
      <w:pPr>
        <w:pStyle w:val="BodyText"/>
        <w:spacing w:line="225" w:lineRule="auto" w:before="8"/>
        <w:ind w:left="723" w:right="223" w:hanging="550"/>
      </w:pPr>
      <w:r>
        <w:rPr/>
        <w:t>（</w:t>
      </w:r>
      <w:r>
        <w:rPr>
          <w:rFonts w:ascii="Times New Roman" w:eastAsia="Times New Roman"/>
        </w:rPr>
        <w:t>3</w:t>
      </w:r>
      <w:r>
        <w:rPr/>
        <w:t>）</w:t>
      </w:r>
      <w:r>
        <w:rPr>
          <w:spacing w:val="-6"/>
        </w:rPr>
        <w:t> 自主生活能力完全丧失，无法独立完成六项基本日常生活活动中的</w:t>
      </w:r>
      <w:r>
        <w:rPr>
          <w:spacing w:val="-4"/>
        </w:rPr>
        <w:t>三项或三项以上。</w:t>
      </w:r>
    </w:p>
    <w:p>
      <w:pPr>
        <w:spacing w:after="0" w:line="225" w:lineRule="auto"/>
        <w:sectPr>
          <w:type w:val="continuous"/>
          <w:pgSz w:w="11900" w:h="16840"/>
          <w:pgMar w:top="1220" w:bottom="280" w:left="1680" w:right="980"/>
          <w:cols w:num="2" w:equalWidth="0">
            <w:col w:w="2057" w:space="40"/>
            <w:col w:w="7143"/>
          </w:cols>
        </w:sectPr>
      </w:pPr>
    </w:p>
    <w:p>
      <w:pPr>
        <w:pStyle w:val="BodyText"/>
        <w:spacing w:before="12"/>
        <w:rPr>
          <w:sz w:val="14"/>
        </w:rPr>
      </w:pPr>
    </w:p>
    <w:p>
      <w:pPr>
        <w:pStyle w:val="BodyText"/>
        <w:spacing w:line="225" w:lineRule="auto" w:before="63"/>
        <w:ind w:left="2267" w:right="22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7" w:right="22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2"/>
        <w:rPr>
          <w:sz w:val="19"/>
        </w:rPr>
      </w:pPr>
    </w:p>
    <w:p>
      <w:pPr>
        <w:pStyle w:val="BodyText"/>
        <w:spacing w:line="223" w:lineRule="auto"/>
        <w:ind w:left="2267" w:right="22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70"/>
      </w:pPr>
      <w:r>
        <w:rPr/>
        <w:t>（</w:t>
      </w:r>
      <w:r>
        <w:rPr>
          <w:rFonts w:ascii="Times New Roman" w:eastAsia="Times New Roman"/>
        </w:rPr>
        <w:t>1</w:t>
      </w:r>
      <w:r>
        <w:rPr/>
        <w:t>） 眼球缺失或摘除；</w:t>
      </w:r>
    </w:p>
    <w:p>
      <w:pPr>
        <w:pStyle w:val="BodyText"/>
        <w:spacing w:line="225" w:lineRule="auto" w:before="9"/>
        <w:ind w:left="2819" w:right="170" w:hanging="550"/>
      </w:pPr>
      <w:r>
        <w:rPr/>
        <w:t>（</w:t>
      </w:r>
      <w:r>
        <w:rPr>
          <w:rFonts w:ascii="Times New Roman" w:eastAsia="Times New Roman"/>
        </w:rPr>
        <w:t>2</w:t>
      </w:r>
      <w:r>
        <w:rPr/>
        <w:t>） 矫正视力低于 </w:t>
      </w:r>
      <w:r>
        <w:rPr>
          <w:rFonts w:ascii="Times New Roman" w:eastAsia="Times New Roman"/>
        </w:rPr>
        <w:t>0.02</w:t>
      </w:r>
      <w:r>
        <w:rPr/>
        <w:t>（采用国际标准视力表，如果使用其它视力表应进行换算）；</w:t>
      </w:r>
    </w:p>
    <w:p>
      <w:pPr>
        <w:pStyle w:val="BodyText"/>
        <w:spacing w:line="289" w:lineRule="exact"/>
        <w:ind w:left="2270"/>
      </w:pPr>
      <w:r>
        <w:rPr/>
        <w:t>（</w:t>
      </w:r>
      <w:r>
        <w:rPr>
          <w:rFonts w:ascii="Times New Roman" w:eastAsia="Times New Roman"/>
        </w:rPr>
        <w:t>3</w:t>
      </w:r>
      <w:r>
        <w:rPr/>
        <w:t>） 视野半径小于 </w:t>
      </w:r>
      <w:r>
        <w:rPr>
          <w:rFonts w:ascii="Times New Roman" w:eastAsia="Times New Roman"/>
        </w:rPr>
        <w:t>5 </w:t>
      </w:r>
      <w:r>
        <w:rPr/>
        <w:t>度。</w:t>
      </w:r>
    </w:p>
    <w:p>
      <w:pPr>
        <w:pStyle w:val="BodyText"/>
        <w:spacing w:before="7"/>
        <w:rPr>
          <w:sz w:val="18"/>
        </w:rPr>
      </w:pPr>
    </w:p>
    <w:p>
      <w:pPr>
        <w:pStyle w:val="BodyText"/>
        <w:spacing w:line="225" w:lineRule="auto"/>
        <w:ind w:left="2267" w:right="22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223"/>
      </w:pPr>
      <w:r>
        <w:rPr/>
        <w:br w:type="column"/>
      </w:r>
      <w:r>
        <w:rPr/>
        <w:t>指为治疗心脏瓣膜疾病，实际实施了开胸进行的心脏瓣膜置换或修复的手术。</w:t>
      </w:r>
    </w:p>
    <w:p>
      <w:pPr>
        <w:spacing w:after="0"/>
        <w:sectPr>
          <w:type w:val="continuous"/>
          <w:pgSz w:w="11900" w:h="16840"/>
          <w:pgMar w:top="1220" w:bottom="280" w:left="1680" w:right="980"/>
          <w:cols w:num="2" w:equalWidth="0">
            <w:col w:w="2055" w:space="40"/>
            <w:col w:w="7145"/>
          </w:cols>
        </w:sectPr>
      </w:pPr>
    </w:p>
    <w:p>
      <w:pPr>
        <w:pStyle w:val="ListParagraph"/>
        <w:numPr>
          <w:ilvl w:val="0"/>
          <w:numId w:val="10"/>
        </w:numPr>
        <w:tabs>
          <w:tab w:pos="884" w:val="left" w:leader="none"/>
        </w:tabs>
        <w:spacing w:line="223" w:lineRule="auto" w:before="49" w:after="0"/>
        <w:ind w:left="590" w:right="0" w:hanging="2"/>
        <w:jc w:val="left"/>
        <w:rPr>
          <w:sz w:val="21"/>
        </w:rPr>
      </w:pPr>
      <w:r>
        <w:rPr>
          <w:spacing w:val="20"/>
          <w:sz w:val="21"/>
        </w:rPr>
        <w:t>严重阿尔茨海默病</w:t>
      </w:r>
    </w:p>
    <w:p>
      <w:pPr>
        <w:pStyle w:val="BodyText"/>
        <w:spacing w:line="232" w:lineRule="auto" w:before="35"/>
        <w:ind w:left="173" w:right="2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pgSz w:w="11900" w:h="16840"/>
          <w:pgMar w:top="1240" w:bottom="280" w:left="1680" w:right="1000"/>
          <w:cols w:num="2" w:equalWidth="0">
            <w:col w:w="2055" w:space="40"/>
            <w:col w:w="712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203"/>
      </w:pPr>
      <w:r>
        <w:rPr/>
        <w:br w:type="column"/>
      </w:r>
      <w:r>
        <w:rPr/>
        <w:t>是一种中枢神经系统的退行性疾病，临床表现为震颤麻痹、共济失调等。须满足下列全部条件：</w:t>
      </w:r>
    </w:p>
    <w:p>
      <w:pPr>
        <w:pStyle w:val="BodyText"/>
        <w:spacing w:line="280" w:lineRule="exact"/>
        <w:ind w:left="176"/>
      </w:pPr>
      <w:r>
        <w:rPr/>
        <w:t>（</w:t>
      </w:r>
      <w:r>
        <w:rPr>
          <w:rFonts w:ascii="Times New Roman" w:eastAsia="Times New Roman"/>
        </w:rPr>
        <w:t>1</w:t>
      </w:r>
      <w:r>
        <w:rPr/>
        <w:t>） 药物治疗无法控制病情；</w:t>
      </w:r>
    </w:p>
    <w:p>
      <w:pPr>
        <w:pStyle w:val="BodyText"/>
        <w:spacing w:line="225" w:lineRule="auto" w:before="8"/>
        <w:ind w:left="725" w:right="203" w:hanging="550"/>
      </w:pPr>
      <w:r>
        <w:rPr/>
        <w:t>（</w:t>
      </w:r>
      <w:r>
        <w:rPr>
          <w:rFonts w:ascii="Times New Roman" w:eastAsia="Times New Roman"/>
        </w:rPr>
        <w:t>2</w:t>
      </w:r>
      <w:r>
        <w:rPr/>
        <w:t>）</w:t>
      </w:r>
      <w:r>
        <w:rPr>
          <w:spacing w:val="-6"/>
        </w:rPr>
        <w:t> 自主生活能力完全丧失，无法独立完成六项基本日常生活活动中的</w:t>
      </w:r>
      <w:r>
        <w:rPr>
          <w:spacing w:val="-4"/>
        </w:rPr>
        <w:t>三项或三项以上。</w:t>
      </w:r>
    </w:p>
    <w:p>
      <w:pPr>
        <w:pStyle w:val="BodyText"/>
        <w:spacing w:before="5"/>
        <w:rPr>
          <w:sz w:val="18"/>
        </w:rPr>
      </w:pPr>
    </w:p>
    <w:p>
      <w:pPr>
        <w:pStyle w:val="BodyText"/>
        <w:ind w:left="173"/>
      </w:pPr>
      <w:r>
        <w:rPr/>
        <w:t>继发性帕金森综合症不在保障范围内。</w:t>
      </w:r>
    </w:p>
    <w:p>
      <w:pPr>
        <w:spacing w:after="0"/>
        <w:sectPr>
          <w:type w:val="continuous"/>
          <w:pgSz w:w="11900" w:h="16840"/>
          <w:pgMar w:top="1220" w:bottom="280" w:left="1680" w:right="1000"/>
          <w:cols w:num="2" w:equalWidth="0">
            <w:col w:w="2055" w:space="40"/>
            <w:col w:w="712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0"/>
        </w:numPr>
        <w:tabs>
          <w:tab w:pos="884" w:val="left" w:leader="none"/>
        </w:tabs>
        <w:spacing w:line="225" w:lineRule="auto" w:before="62" w:after="0"/>
        <w:ind w:left="590" w:right="0" w:hanging="2"/>
        <w:jc w:val="left"/>
        <w:rPr>
          <w:sz w:val="21"/>
        </w:rPr>
      </w:pPr>
      <w:r>
        <w:rPr>
          <w:sz w:val="21"/>
        </w:rPr>
        <w:t>严重Ⅲ 度烧伤</w:t>
      </w:r>
    </w:p>
    <w:p>
      <w:pPr>
        <w:pStyle w:val="BodyText"/>
        <w:spacing w:line="225" w:lineRule="auto" w:before="60"/>
        <w:ind w:left="173" w:right="2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000"/>
          <w:cols w:num="2" w:equalWidth="0">
            <w:col w:w="2055" w:space="40"/>
            <w:col w:w="7125"/>
          </w:cols>
        </w:sectPr>
      </w:pPr>
    </w:p>
    <w:p>
      <w:pPr>
        <w:pStyle w:val="BodyText"/>
        <w:spacing w:before="9"/>
        <w:rPr>
          <w:sz w:val="14"/>
        </w:rPr>
      </w:pPr>
    </w:p>
    <w:p>
      <w:pPr>
        <w:spacing w:after="0"/>
        <w:rPr>
          <w:sz w:val="14"/>
        </w:rPr>
        <w:sectPr>
          <w:type w:val="continuous"/>
          <w:pgSz w:w="11900" w:h="16840"/>
          <w:pgMar w:top="1220" w:bottom="280" w:left="1680" w:right="1000"/>
        </w:sectPr>
      </w:pPr>
    </w:p>
    <w:p>
      <w:pPr>
        <w:pStyle w:val="ListParagraph"/>
        <w:numPr>
          <w:ilvl w:val="0"/>
          <w:numId w:val="10"/>
        </w:numPr>
        <w:tabs>
          <w:tab w:pos="968" w:val="left" w:leader="none"/>
        </w:tabs>
        <w:spacing w:line="225" w:lineRule="auto" w:before="63" w:after="0"/>
        <w:ind w:left="590" w:right="0" w:hanging="2"/>
        <w:jc w:val="left"/>
        <w:rPr>
          <w:sz w:val="21"/>
        </w:rPr>
      </w:pPr>
      <w:r>
        <w:rPr>
          <w:spacing w:val="3"/>
          <w:sz w:val="21"/>
        </w:rPr>
        <w:t>严重原发性</w:t>
      </w:r>
      <w:r>
        <w:rPr>
          <w:sz w:val="21"/>
        </w:rPr>
        <w:t>肺动脉高压</w:t>
      </w:r>
    </w:p>
    <w:p>
      <w:pPr>
        <w:pStyle w:val="BodyText"/>
        <w:spacing w:line="237" w:lineRule="auto" w:before="46"/>
        <w:ind w:left="171" w:right="2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1000"/>
          <w:cols w:num="2" w:equalWidth="0">
            <w:col w:w="2057" w:space="40"/>
            <w:col w:w="7123"/>
          </w:cols>
        </w:sectPr>
      </w:pPr>
    </w:p>
    <w:p>
      <w:pPr>
        <w:pStyle w:val="BodyText"/>
        <w:spacing w:before="12"/>
        <w:rPr>
          <w:sz w:val="13"/>
        </w:rPr>
      </w:pPr>
    </w:p>
    <w:p>
      <w:pPr>
        <w:spacing w:after="0"/>
        <w:rPr>
          <w:sz w:val="13"/>
        </w:rPr>
        <w:sectPr>
          <w:type w:val="continuous"/>
          <w:pgSz w:w="11900" w:h="16840"/>
          <w:pgMar w:top="1220" w:bottom="280" w:left="1680" w:right="1000"/>
        </w:sectPr>
      </w:pPr>
    </w:p>
    <w:p>
      <w:pPr>
        <w:pStyle w:val="ListParagraph"/>
        <w:numPr>
          <w:ilvl w:val="0"/>
          <w:numId w:val="10"/>
        </w:numPr>
        <w:tabs>
          <w:tab w:pos="884" w:val="left" w:leader="none"/>
        </w:tabs>
        <w:spacing w:line="223" w:lineRule="auto" w:before="65" w:after="0"/>
        <w:ind w:left="590" w:right="0" w:hanging="2"/>
        <w:jc w:val="left"/>
        <w:rPr>
          <w:sz w:val="21"/>
        </w:rPr>
      </w:pPr>
      <w:r>
        <w:rPr>
          <w:spacing w:val="20"/>
          <w:sz w:val="21"/>
        </w:rPr>
        <w:t>严重运动神经元病</w:t>
      </w:r>
    </w:p>
    <w:p>
      <w:pPr>
        <w:pStyle w:val="BodyText"/>
        <w:spacing w:line="237" w:lineRule="auto" w:before="45"/>
        <w:ind w:left="173" w:right="2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00"/>
          <w:cols w:num="2" w:equalWidth="0">
            <w:col w:w="2055" w:space="40"/>
            <w:col w:w="7125"/>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4"/>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ind w:left="173"/>
      </w:pPr>
      <w:r>
        <w:rPr/>
        <w:t>精神心理因素所致的语言能力丧失不在保障范围内。</w:t>
      </w:r>
    </w:p>
    <w:p>
      <w:pPr>
        <w:spacing w:after="0"/>
        <w:sectPr>
          <w:type w:val="continuous"/>
          <w:pgSz w:w="11900" w:h="16840"/>
          <w:pgMar w:top="1220" w:bottom="280" w:left="1680" w:right="1000"/>
          <w:cols w:num="2" w:equalWidth="0">
            <w:col w:w="2055" w:space="40"/>
            <w:col w:w="712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203"/>
      </w:pPr>
      <w:r>
        <w:rPr/>
        <w:br w:type="column"/>
      </w:r>
      <w:r>
        <w:rPr/>
        <w:t>指因骨髓造血功能慢性持续性衰竭导致的贫血、中性粒细胞减少及血小板减少。须满足以下全部条件：</w:t>
      </w:r>
    </w:p>
    <w:p>
      <w:pPr>
        <w:pStyle w:val="BodyText"/>
        <w:spacing w:line="281" w:lineRule="exact"/>
        <w:ind w:left="176"/>
      </w:pPr>
      <w:r>
        <w:rPr/>
        <w:t>（</w:t>
      </w:r>
      <w:r>
        <w:rPr>
          <w:rFonts w:ascii="Times New Roman" w:eastAsia="Times New Roman"/>
        </w:rPr>
        <w:t>1</w:t>
      </w:r>
      <w:r>
        <w:rPr/>
        <w:t>） 骨髓穿刺检查或骨髓活检结果支持诊断；</w:t>
      </w:r>
    </w:p>
    <w:p>
      <w:pPr>
        <w:pStyle w:val="BodyText"/>
        <w:spacing w:line="272" w:lineRule="exact"/>
        <w:ind w:left="176"/>
      </w:pPr>
      <w:r>
        <w:rPr/>
        <w:t>（</w:t>
      </w:r>
      <w:r>
        <w:rPr>
          <w:rFonts w:ascii="Times New Roman" w:eastAsia="Times New Roman"/>
        </w:rPr>
        <w:t>2</w:t>
      </w:r>
      <w:r>
        <w:rPr/>
        <w:t>） 外周血象必须具备以下三项条件：</w:t>
      </w:r>
    </w:p>
    <w:p>
      <w:pPr>
        <w:pStyle w:val="BodyText"/>
        <w:spacing w:line="272"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9"/>
      </w:pPr>
      <w:r>
        <w:rPr/>
        <w:t>② 网织红细胞＜</w:t>
      </w:r>
      <w:r>
        <w:rPr>
          <w:rFonts w:ascii="Times New Roman" w:hAnsi="Times New Roman" w:eastAsia="Times New Roman"/>
        </w:rPr>
        <w:t>1%</w:t>
      </w:r>
      <w:r>
        <w:rPr/>
        <w:t>；</w:t>
      </w:r>
    </w:p>
    <w:p>
      <w:pPr>
        <w:pStyle w:val="BodyText"/>
        <w:spacing w:line="282"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2055" w:space="40"/>
            <w:col w:w="7125"/>
          </w:cols>
        </w:sectPr>
      </w:pPr>
    </w:p>
    <w:p>
      <w:pPr>
        <w:pStyle w:val="BodyText"/>
        <w:spacing w:before="10"/>
        <w:rPr>
          <w:sz w:val="13"/>
        </w:rPr>
      </w:pPr>
    </w:p>
    <w:p>
      <w:pPr>
        <w:pStyle w:val="BodyText"/>
        <w:spacing w:line="230" w:lineRule="auto" w:before="57"/>
        <w:ind w:left="2267" w:right="203" w:hanging="1680"/>
        <w:jc w:val="both"/>
      </w:pPr>
      <w:r>
        <w:rPr>
          <w:rFonts w:ascii="Times New Roman" w:eastAsia="Times New Roman"/>
          <w:b/>
        </w:rPr>
        <w:t>24.</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2" w:lineRule="auto" w:before="52"/>
        <w:ind w:left="173" w:right="98"/>
      </w:pPr>
      <w:r>
        <w:rPr/>
        <w:br w:type="column"/>
      </w:r>
      <w:r>
        <w:rPr>
          <w:spacing w:val="-3"/>
        </w:rPr>
        <w:t>指因中枢神经系统脱髓鞘而导致的不可逆的身体部位的功能障碍，需由神</w:t>
      </w:r>
      <w:r>
        <w:rPr>
          <w:spacing w:val="-8"/>
        </w:rPr>
        <w:t>经专科医生提供明确诊断，并有计算机断层扫描</w:t>
      </w:r>
      <w:r>
        <w:rPr>
          <w:spacing w:val="-10"/>
        </w:rPr>
        <w:t>（</w:t>
      </w:r>
      <w:r>
        <w:rPr>
          <w:rFonts w:ascii="Times New Roman" w:eastAsia="Times New Roman"/>
          <w:spacing w:val="-10"/>
        </w:rPr>
        <w:t>CT</w:t>
      </w:r>
      <w:r>
        <w:rPr>
          <w:spacing w:val="-10"/>
        </w:rPr>
        <w:t>）</w:t>
      </w:r>
      <w:r>
        <w:rPr>
          <w:spacing w:val="-8"/>
        </w:rPr>
        <w:t>或核磁共振</w:t>
      </w:r>
      <w:r>
        <w:rPr/>
        <w:t>（</w:t>
      </w:r>
      <w:r>
        <w:rPr>
          <w:rFonts w:ascii="Times New Roman" w:eastAsia="Times New Roman"/>
        </w:rPr>
        <w:t>MRI</w:t>
      </w:r>
      <w:r>
        <w:rPr/>
        <w:t>） </w:t>
      </w:r>
      <w:r>
        <w:rPr>
          <w:spacing w:val="-5"/>
        </w:rPr>
        <w:t>结果报告支持本诊断。此不可逆的身体部位功能障碍需持续 </w:t>
      </w:r>
      <w:r>
        <w:rPr>
          <w:rFonts w:ascii="Times New Roman" w:eastAsia="Times New Roman"/>
        </w:rPr>
        <w:t>180 </w:t>
      </w:r>
      <w:r>
        <w:rPr>
          <w:spacing w:val="-3"/>
        </w:rPr>
        <w:t>天以上。</w:t>
      </w:r>
    </w:p>
    <w:p>
      <w:pPr>
        <w:pStyle w:val="BodyText"/>
        <w:rPr>
          <w:sz w:val="17"/>
        </w:rPr>
      </w:pPr>
    </w:p>
    <w:p>
      <w:pPr>
        <w:pStyle w:val="BodyText"/>
        <w:spacing w:line="274" w:lineRule="exact"/>
        <w:ind w:left="173"/>
      </w:pPr>
      <w:r>
        <w:rPr/>
        <w:t>由神经科专家提供明确诊断必须包含下列内容：</w:t>
      </w:r>
    </w:p>
    <w:p>
      <w:pPr>
        <w:pStyle w:val="BodyText"/>
        <w:spacing w:line="290" w:lineRule="exact"/>
        <w:ind w:left="176"/>
      </w:pPr>
      <w:r>
        <w:rPr/>
        <w:t>（</w:t>
      </w:r>
      <w:r>
        <w:rPr>
          <w:rFonts w:ascii="Times New Roman" w:eastAsia="Times New Roman"/>
        </w:rPr>
        <w:t>1</w:t>
      </w:r>
      <w:r>
        <w:rPr/>
        <w:t>） 明确出现因视神经、脑干或脊髓损伤而导致的临床表现；</w:t>
      </w:r>
    </w:p>
    <w:p>
      <w:pPr>
        <w:spacing w:after="0" w:line="290" w:lineRule="exact"/>
        <w:sectPr>
          <w:type w:val="continuous"/>
          <w:pgSz w:w="11900" w:h="16840"/>
          <w:pgMar w:top="1220" w:bottom="280" w:left="1680" w:right="1000"/>
          <w:cols w:num="2" w:equalWidth="0">
            <w:col w:w="2055" w:space="40"/>
            <w:col w:w="7125"/>
          </w:cols>
        </w:sectPr>
      </w:pPr>
    </w:p>
    <w:p>
      <w:pPr>
        <w:pStyle w:val="BodyText"/>
        <w:spacing w:line="281" w:lineRule="exact" w:before="26"/>
        <w:ind w:left="2270"/>
      </w:pPr>
      <w:r>
        <w:rPr/>
        <w:t>（</w:t>
      </w:r>
      <w:r>
        <w:rPr>
          <w:rFonts w:ascii="Times New Roman" w:eastAsia="Times New Roman"/>
        </w:rPr>
        <w:t>2</w:t>
      </w:r>
      <w:r>
        <w:rPr/>
        <w:t>） 散在的身体损伤的多样性；</w:t>
      </w:r>
    </w:p>
    <w:p>
      <w:pPr>
        <w:pStyle w:val="BodyText"/>
        <w:spacing w:line="281" w:lineRule="exact"/>
        <w:ind w:left="2270"/>
      </w:pPr>
      <w:r>
        <w:rPr/>
        <w:t>（</w:t>
      </w:r>
      <w:r>
        <w:rPr>
          <w:rFonts w:ascii="Times New Roman" w:eastAsia="Times New Roman"/>
        </w:rPr>
        <w:t>3</w:t>
      </w:r>
      <w:r>
        <w:rPr/>
        <w:t>） 有明确的上述症状及神经损伤反复恶化与减轻的病史记录。</w:t>
      </w:r>
    </w:p>
    <w:p>
      <w:pPr>
        <w:pStyle w:val="BodyText"/>
        <w:spacing w:before="12"/>
        <w:rPr>
          <w:sz w:val="13"/>
        </w:rPr>
      </w:pPr>
    </w:p>
    <w:p>
      <w:pPr>
        <w:spacing w:after="0"/>
        <w:rPr>
          <w:sz w:val="13"/>
        </w:rPr>
        <w:sectPr>
          <w:pgSz w:w="11900" w:h="16840"/>
          <w:pgMar w:top="1240" w:bottom="280" w:left="1680" w:right="1100"/>
        </w:sectPr>
      </w:pPr>
    </w:p>
    <w:p>
      <w:pPr>
        <w:pStyle w:val="ListParagraph"/>
        <w:numPr>
          <w:ilvl w:val="0"/>
          <w:numId w:val="11"/>
        </w:numPr>
        <w:tabs>
          <w:tab w:pos="884" w:val="left" w:leader="none"/>
        </w:tabs>
        <w:spacing w:line="230" w:lineRule="auto" w:before="58" w:after="0"/>
        <w:ind w:left="590" w:right="0" w:hanging="2"/>
        <w:jc w:val="both"/>
        <w:rPr>
          <w:sz w:val="21"/>
        </w:rPr>
      </w:pPr>
      <w:r>
        <w:rPr>
          <w:spacing w:val="20"/>
          <w:sz w:val="21"/>
        </w:rPr>
        <w:t>胰岛素依赖</w:t>
      </w:r>
      <w:r>
        <w:rPr>
          <w:spacing w:val="6"/>
          <w:sz w:val="21"/>
        </w:rPr>
        <w:t>型糖尿病</w:t>
      </w:r>
      <w:r>
        <w:rPr>
          <w:sz w:val="21"/>
        </w:rPr>
        <w:t>（Ⅰ型</w:t>
      </w:r>
      <w:r>
        <w:rPr>
          <w:spacing w:val="-1"/>
          <w:sz w:val="21"/>
        </w:rPr>
        <w:t>糖尿病</w:t>
      </w:r>
      <w:r>
        <w:rPr>
          <w:sz w:val="21"/>
        </w:rPr>
        <w:t>）</w:t>
      </w:r>
    </w:p>
    <w:p>
      <w:pPr>
        <w:pStyle w:val="BodyText"/>
        <w:spacing w:line="232" w:lineRule="auto" w:before="52"/>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0" w:lineRule="exact"/>
        <w:ind w:left="173"/>
        <w:jc w:val="both"/>
      </w:pPr>
      <w:r>
        <w:rPr/>
        <w:t>（</w:t>
      </w:r>
      <w:r>
        <w:rPr>
          <w:rFonts w:ascii="Times New Roman" w:eastAsia="Times New Roman"/>
        </w:rPr>
        <w:t>1</w:t>
      </w:r>
      <w:r>
        <w:rPr/>
        <w:t>） 已出现增殖性视网膜病变；</w:t>
      </w:r>
    </w:p>
    <w:p>
      <w:pPr>
        <w:pStyle w:val="BodyText"/>
        <w:spacing w:line="272" w:lineRule="exact"/>
        <w:ind w:left="173"/>
        <w:jc w:val="both"/>
      </w:pPr>
      <w:r>
        <w:rPr/>
        <w:t>（</w:t>
      </w:r>
      <w:r>
        <w:rPr>
          <w:rFonts w:ascii="Times New Roman" w:eastAsia="Times New Roman"/>
        </w:rPr>
        <w:t>2</w:t>
      </w:r>
      <w:r>
        <w:rPr/>
        <w:t>） 须植入心脏起搏器治疗心脏病；</w:t>
      </w:r>
    </w:p>
    <w:p>
      <w:pPr>
        <w:pStyle w:val="BodyText"/>
        <w:spacing w:line="282" w:lineRule="exact"/>
        <w:ind w:left="173"/>
        <w:jc w:val="both"/>
      </w:pPr>
      <w:r>
        <w:rPr/>
        <w:t>（</w:t>
      </w:r>
      <w:r>
        <w:rPr>
          <w:rFonts w:ascii="Times New Roman" w:eastAsia="Times New Roman"/>
        </w:rPr>
        <w:t>3</w:t>
      </w:r>
      <w:r>
        <w:rPr/>
        <w:t>） 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2"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2" w:lineRule="exact"/>
        <w:ind w:left="176"/>
      </w:pPr>
      <w:r>
        <w:rPr/>
        <w:t>（</w:t>
      </w:r>
      <w:r>
        <w:rPr>
          <w:rFonts w:ascii="Times New Roman" w:eastAsia="Times New Roman"/>
        </w:rPr>
        <w:t>1</w:t>
      </w:r>
      <w:r>
        <w:rPr/>
        <w:t>） 左心房压力增高（不低于 </w:t>
      </w:r>
      <w:r>
        <w:rPr>
          <w:rFonts w:ascii="Times New Roman" w:eastAsia="Times New Roman"/>
        </w:rPr>
        <w:t>20 </w:t>
      </w:r>
      <w:r>
        <w:rPr/>
        <w:t>个单位）；</w:t>
      </w:r>
    </w:p>
    <w:p>
      <w:pPr>
        <w:pStyle w:val="BodyText"/>
        <w:spacing w:line="274" w:lineRule="exact"/>
        <w:ind w:left="176"/>
      </w:pPr>
      <w:r>
        <w:rPr/>
        <w:t>（</w:t>
      </w:r>
      <w:r>
        <w:rPr>
          <w:rFonts w:ascii="Times New Roman" w:eastAsia="Times New Roman"/>
        </w:rPr>
        <w:t>2</w:t>
      </w:r>
      <w:r>
        <w:rPr/>
        <w:t>） 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2" w:lineRule="exact"/>
        <w:ind w:left="176"/>
      </w:pPr>
      <w:r>
        <w:rPr/>
        <w:t>（</w:t>
      </w:r>
      <w:r>
        <w:rPr>
          <w:rFonts w:ascii="Times New Roman" w:eastAsia="Times New Roman"/>
        </w:rPr>
        <w:t>3</w:t>
      </w:r>
      <w:r>
        <w:rPr/>
        <w:t>） 肺动脉血压不低于 </w:t>
      </w:r>
      <w:r>
        <w:rPr>
          <w:rFonts w:ascii="Times New Roman" w:eastAsia="Times New Roman"/>
        </w:rPr>
        <w:t>40 </w:t>
      </w:r>
      <w:r>
        <w:rPr/>
        <w:t>毫米汞柱；</w:t>
      </w:r>
    </w:p>
    <w:p>
      <w:pPr>
        <w:pStyle w:val="BodyText"/>
        <w:spacing w:line="272" w:lineRule="exact"/>
        <w:ind w:left="176"/>
      </w:pPr>
      <w:r>
        <w:rPr/>
        <w:t>（</w:t>
      </w:r>
      <w:r>
        <w:rPr>
          <w:rFonts w:ascii="Times New Roman" w:eastAsia="Times New Roman"/>
        </w:rPr>
        <w:t>4</w:t>
      </w:r>
      <w:r>
        <w:rPr/>
        <w:t>） 肺动脉楔压不低于 </w:t>
      </w:r>
      <w:r>
        <w:rPr>
          <w:rFonts w:ascii="Times New Roman" w:eastAsia="Times New Roman"/>
        </w:rPr>
        <w:t>6 </w:t>
      </w:r>
      <w:r>
        <w:rPr/>
        <w:t>毫米汞柱；</w:t>
      </w:r>
    </w:p>
    <w:p>
      <w:pPr>
        <w:pStyle w:val="BodyText"/>
        <w:spacing w:line="274" w:lineRule="exact"/>
        <w:ind w:left="176"/>
      </w:pPr>
      <w:r>
        <w:rPr/>
        <w:t>（</w:t>
      </w:r>
      <w:r>
        <w:rPr>
          <w:rFonts w:ascii="Times New Roman" w:eastAsia="Times New Roman"/>
        </w:rPr>
        <w:t>5</w:t>
      </w:r>
      <w:r>
        <w:rPr/>
        <w:t>） 右心室心脏舒张期末压力不低于 </w:t>
      </w:r>
      <w:r>
        <w:rPr>
          <w:rFonts w:ascii="Times New Roman" w:eastAsia="Times New Roman"/>
        </w:rPr>
        <w:t>8 </w:t>
      </w:r>
      <w:r>
        <w:rPr/>
        <w:t>毫米汞柱；</w:t>
      </w:r>
    </w:p>
    <w:p>
      <w:pPr>
        <w:pStyle w:val="BodyText"/>
        <w:spacing w:line="282" w:lineRule="exact"/>
        <w:ind w:left="176"/>
      </w:pPr>
      <w:r>
        <w:rPr/>
        <w:t>（</w:t>
      </w:r>
      <w:r>
        <w:rPr>
          <w:rFonts w:ascii="Times New Roman" w:eastAsia="Times New Roman"/>
        </w:rPr>
        <w:t>6</w:t>
      </w:r>
      <w:r>
        <w:rPr/>
        <w:t>） 右心室过度肥大、扩张，出现右心衰竭和呼吸困难。</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2" w:lineRule="auto" w:before="55"/>
        <w:ind w:left="2267" w:right="134" w:hanging="1680"/>
        <w:jc w:val="both"/>
      </w:pPr>
      <w:r>
        <w:rPr>
          <w:rFonts w:ascii="Times New Roman" w:eastAsia="Times New Roman"/>
          <w:b/>
        </w:rPr>
        <w:t>28.</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生明确诊断为急性脊髓灰质炎病毒感染导致瘫痪，此种瘫痪必须有明显运</w:t>
      </w:r>
      <w:r>
        <w:rPr>
          <w:spacing w:val="-4"/>
        </w:rPr>
        <w:t>动功能损害或呼吸衰弱瘫痪，并且至少持续 </w:t>
      </w:r>
      <w:r>
        <w:rPr>
          <w:rFonts w:ascii="Times New Roman" w:eastAsia="Times New Roman"/>
        </w:rPr>
        <w:t>90 </w:t>
      </w:r>
      <w:r>
        <w:rPr>
          <w:spacing w:val="-3"/>
        </w:rPr>
        <w:t>天。必须有明确证据证明</w:t>
      </w:r>
      <w:r>
        <w:rPr>
          <w:spacing w:val="1"/>
        </w:rPr>
        <w:t>脊髓灰质炎病毒为病因。未引起瘫痪者保险公司不承担给付保险金的责任。</w:t>
      </w:r>
    </w:p>
    <w:p>
      <w:pPr>
        <w:pStyle w:val="BodyText"/>
        <w:spacing w:before="12"/>
        <w:rPr>
          <w:sz w:val="19"/>
        </w:rPr>
      </w:pPr>
    </w:p>
    <w:p>
      <w:pPr>
        <w:pStyle w:val="BodyText"/>
        <w:spacing w:line="223" w:lineRule="auto" w:before="1"/>
        <w:ind w:left="2267" w:right="103" w:hanging="1680"/>
        <w:jc w:val="both"/>
      </w:pPr>
      <w:r>
        <w:rPr>
          <w:rFonts w:ascii="Times New Roman" w:eastAsia="Times New Roman"/>
          <w:b/>
        </w:rPr>
        <w:t>29.</w:t>
      </w:r>
      <w:r>
        <w:rPr>
          <w:spacing w:val="-3"/>
        </w:rPr>
        <w:t>终末期肺病  因终末期肺病而出现的慢性呼吸功能衰竭，其诊断须由呼吸科医生确认并同时符合以下标准：</w:t>
      </w:r>
    </w:p>
    <w:p>
      <w:pPr>
        <w:pStyle w:val="BodyText"/>
        <w:spacing w:line="280" w:lineRule="exact"/>
        <w:ind w:left="2270"/>
      </w:pPr>
      <w:r>
        <w:rPr/>
        <w:t>（</w:t>
      </w:r>
      <w:r>
        <w:rPr>
          <w:rFonts w:ascii="Times New Roman" w:eastAsia="Times New Roman"/>
        </w:rPr>
        <w:t>1</w:t>
      </w:r>
      <w:r>
        <w:rPr/>
        <w:t>） 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2" w:lineRule="exact"/>
        <w:ind w:left="2270"/>
      </w:pPr>
      <w:r>
        <w:rPr/>
        <w:t>（</w:t>
      </w:r>
      <w:r>
        <w:rPr>
          <w:rFonts w:ascii="Times New Roman" w:eastAsia="Times New Roman"/>
        </w:rPr>
        <w:t>2</w:t>
      </w:r>
      <w:r>
        <w:rPr/>
        <w:t>） 病人缺氧必须持续地进行输氧治疗；</w:t>
      </w:r>
    </w:p>
    <w:p>
      <w:pPr>
        <w:pStyle w:val="BodyText"/>
        <w:spacing w:line="282" w:lineRule="exact"/>
        <w:ind w:left="2270"/>
      </w:pPr>
      <w:r>
        <w:rPr/>
        <w:t>（</w:t>
      </w:r>
      <w:r>
        <w:rPr>
          <w:rFonts w:ascii="Times New Roman" w:eastAsia="Times New Roman"/>
        </w:rPr>
        <w:t>3</w:t>
      </w:r>
      <w:r>
        <w:rPr/>
        <w:t>） 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101" w:hanging="1680"/>
        <w:jc w:val="both"/>
      </w:pPr>
      <w:r>
        <w:rPr>
          <w:rFonts w:ascii="Times New Roman" w:eastAsia="Times New Roman"/>
          <w:b/>
        </w:rPr>
        <w:t>30.</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5"/>
        <w:rPr>
          <w:sz w:val="18"/>
        </w:rPr>
      </w:pPr>
    </w:p>
    <w:p>
      <w:pPr>
        <w:pStyle w:val="BodyText"/>
        <w:ind w:left="2268"/>
      </w:pPr>
      <w:r>
        <w:rPr/>
        <w:t>由于酗酒或滥用药物所致的植物人状态除外。</w:t>
      </w:r>
    </w:p>
    <w:p>
      <w:pPr>
        <w:pStyle w:val="BodyText"/>
        <w:spacing w:before="3"/>
        <w:rPr>
          <w:sz w:val="19"/>
        </w:rPr>
      </w:pPr>
    </w:p>
    <w:p>
      <w:pPr>
        <w:pStyle w:val="BodyText"/>
        <w:spacing w:line="230" w:lineRule="auto" w:before="1"/>
        <w:ind w:left="2267" w:right="103" w:hanging="1680"/>
        <w:jc w:val="both"/>
      </w:pPr>
      <w:r>
        <w:rPr>
          <w:rFonts w:ascii="Times New Roman" w:eastAsia="Times New Roman"/>
          <w:b/>
        </w:rPr>
        <w:t>31.</w:t>
      </w:r>
      <w:r>
        <w:rPr>
          <w:spacing w:val="-3"/>
        </w:rPr>
        <w:t>象皮病      指末期丝虫病，按国际淋巴学会分级为三度淋巴液肿，其临床表现为肢体非凹陷性水肿伴畸形增大、硬皮症和疣状增生。此病症须经专科医生根据临床表现和微丝蚴的化验结果确诊。</w:t>
      </w:r>
    </w:p>
    <w:p>
      <w:pPr>
        <w:pStyle w:val="BodyText"/>
        <w:spacing w:before="2"/>
        <w:rPr>
          <w:sz w:val="15"/>
        </w:rPr>
      </w:pPr>
    </w:p>
    <w:p>
      <w:pPr>
        <w:spacing w:after="0"/>
        <w:rPr>
          <w:sz w:val="15"/>
        </w:rPr>
        <w:sectPr>
          <w:type w:val="continuous"/>
          <w:pgSz w:w="11900" w:h="16840"/>
          <w:pgMar w:top="1220" w:bottom="280" w:left="1680" w:right="1100"/>
        </w:sectPr>
      </w:pPr>
    </w:p>
    <w:p>
      <w:pPr>
        <w:pStyle w:val="ListParagraph"/>
        <w:numPr>
          <w:ilvl w:val="0"/>
          <w:numId w:val="12"/>
        </w:numPr>
        <w:tabs>
          <w:tab w:pos="924" w:val="left" w:leader="none"/>
        </w:tabs>
        <w:spacing w:line="223" w:lineRule="auto" w:before="65" w:after="0"/>
        <w:ind w:left="537" w:right="0" w:hanging="2"/>
        <w:jc w:val="left"/>
        <w:rPr>
          <w:sz w:val="21"/>
        </w:rPr>
      </w:pPr>
      <w:r>
        <w:rPr>
          <w:spacing w:val="13"/>
          <w:sz w:val="21"/>
        </w:rPr>
        <w:t>埃博拉病毒感染</w:t>
      </w:r>
    </w:p>
    <w:p>
      <w:pPr>
        <w:pStyle w:val="BodyText"/>
        <w:spacing w:line="273" w:lineRule="exact" w:before="43"/>
        <w:ind w:left="171"/>
      </w:pPr>
      <w:r>
        <w:rPr/>
        <w:br w:type="column"/>
      </w:r>
      <w:r>
        <w:rPr/>
        <w:t>埃博拉病毒感染的诊断须同时符合下列要求：</w:t>
      </w:r>
    </w:p>
    <w:p>
      <w:pPr>
        <w:pStyle w:val="BodyText"/>
        <w:spacing w:line="280" w:lineRule="exact"/>
        <w:ind w:left="173"/>
      </w:pPr>
      <w:r>
        <w:rPr/>
        <w:t>（</w:t>
      </w:r>
      <w:r>
        <w:rPr>
          <w:rFonts w:ascii="Times New Roman" w:eastAsia="Times New Roman"/>
        </w:rPr>
        <w:t>1</w:t>
      </w:r>
      <w:r>
        <w:rPr/>
        <w:t>） 实验室检查证实埃博拉病毒的存在；</w:t>
      </w:r>
    </w:p>
    <w:p>
      <w:pPr>
        <w:pStyle w:val="BodyText"/>
        <w:spacing w:line="282" w:lineRule="exact"/>
        <w:ind w:left="173"/>
      </w:pPr>
      <w:r>
        <w:rPr/>
        <w:t>（</w:t>
      </w:r>
      <w:r>
        <w:rPr>
          <w:rFonts w:ascii="Times New Roman" w:eastAsia="Times New Roman"/>
        </w:rPr>
        <w:t>2</w:t>
      </w:r>
      <w:r>
        <w:rPr/>
        <w:t>） 从发病开始有超过 </w:t>
      </w:r>
      <w:r>
        <w:rPr>
          <w:rFonts w:ascii="Times New Roman" w:eastAsia="Times New Roman"/>
        </w:rPr>
        <w:t>30 </w:t>
      </w:r>
      <w:r>
        <w:rPr/>
        <w:t>天的进行性感染症状。</w:t>
      </w:r>
    </w:p>
    <w:p>
      <w:pPr>
        <w:spacing w:after="0" w:line="282" w:lineRule="exact"/>
        <w:sectPr>
          <w:type w:val="continuous"/>
          <w:pgSz w:w="11900" w:h="16840"/>
          <w:pgMar w:top="1220" w:bottom="280" w:left="1680" w:right="1100"/>
          <w:cols w:num="2" w:equalWidth="0">
            <w:col w:w="2057" w:space="40"/>
            <w:col w:w="7023"/>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2"/>
        </w:numPr>
        <w:tabs>
          <w:tab w:pos="840" w:val="left" w:leader="none"/>
        </w:tabs>
        <w:spacing w:line="225" w:lineRule="auto" w:before="63" w:after="0"/>
        <w:ind w:left="537" w:right="0" w:hanging="2"/>
        <w:jc w:val="left"/>
        <w:rPr>
          <w:sz w:val="21"/>
        </w:rPr>
      </w:pPr>
      <w:r>
        <w:rPr>
          <w:spacing w:val="-32"/>
          <w:sz w:val="21"/>
        </w:rPr>
        <w:t>坏 死 性 筋 膜炎</w:t>
      </w:r>
    </w:p>
    <w:p>
      <w:pPr>
        <w:pStyle w:val="BodyText"/>
        <w:spacing w:line="274" w:lineRule="exact" w:before="43"/>
        <w:ind w:left="171"/>
      </w:pPr>
      <w:r>
        <w:rPr/>
        <w:br w:type="column"/>
      </w:r>
      <w:r>
        <w:rPr/>
        <w:t>坏死性筋膜炎的诊断须同时符合下列要求：</w:t>
      </w:r>
    </w:p>
    <w:p>
      <w:pPr>
        <w:pStyle w:val="BodyText"/>
        <w:spacing w:line="282" w:lineRule="exact"/>
        <w:ind w:left="173"/>
      </w:pPr>
      <w:r>
        <w:rPr/>
        <w:t>（</w:t>
      </w:r>
      <w:r>
        <w:rPr>
          <w:rFonts w:ascii="Times New Roman" w:eastAsia="Times New Roman"/>
        </w:rPr>
        <w:t>1</w:t>
      </w:r>
      <w:r>
        <w:rPr/>
        <w:t>） 符合坏死性筋膜炎的一般临床表现；</w:t>
      </w:r>
    </w:p>
    <w:p>
      <w:pPr>
        <w:pStyle w:val="BodyText"/>
        <w:spacing w:line="274" w:lineRule="exact"/>
        <w:ind w:left="173"/>
      </w:pPr>
      <w:r>
        <w:rPr/>
        <w:t>（</w:t>
      </w:r>
      <w:r>
        <w:rPr>
          <w:rFonts w:ascii="Times New Roman" w:eastAsia="Times New Roman"/>
        </w:rPr>
        <w:t>2</w:t>
      </w:r>
      <w:r>
        <w:rPr/>
        <w:t>） 细菌培养检出致病菌；</w:t>
      </w:r>
    </w:p>
    <w:p>
      <w:pPr>
        <w:pStyle w:val="BodyText"/>
        <w:spacing w:line="282" w:lineRule="exact"/>
        <w:ind w:left="173"/>
      </w:pPr>
      <w:r>
        <w:rPr/>
        <w:t>（</w:t>
      </w:r>
      <w:r>
        <w:rPr>
          <w:rFonts w:ascii="Times New Roman" w:eastAsia="Times New Roman"/>
        </w:rPr>
        <w:t>3</w:t>
      </w:r>
      <w:r>
        <w:rPr/>
        <w:t>） 出现广泛性肌肉及软组织坏死，并导致身体受影响部位永久完全失</w:t>
      </w:r>
    </w:p>
    <w:p>
      <w:pPr>
        <w:spacing w:after="0" w:line="282" w:lineRule="exact"/>
        <w:sectPr>
          <w:type w:val="continuous"/>
          <w:pgSz w:w="11900" w:h="16840"/>
          <w:pgMar w:top="1220" w:bottom="280" w:left="1680" w:right="1100"/>
          <w:cols w:num="2" w:equalWidth="0">
            <w:col w:w="2057" w:space="40"/>
            <w:col w:w="7023"/>
          </w:cols>
        </w:sectPr>
      </w:pPr>
    </w:p>
    <w:p>
      <w:pPr>
        <w:pStyle w:val="BodyText"/>
        <w:spacing w:line="281" w:lineRule="exact" w:before="26"/>
        <w:ind w:left="2819"/>
        <w:rPr>
          <w:rFonts w:ascii="Times New Roman" w:eastAsia="Times New Roman"/>
        </w:rPr>
      </w:pPr>
      <w:r>
        <w:rPr/>
        <w:t>去功能。所谓永久完全失去功能是指受影响部位的功能丧失超过 </w:t>
      </w:r>
      <w:r>
        <w:rPr>
          <w:rFonts w:ascii="Times New Roman" w:eastAsia="Times New Roman"/>
        </w:rPr>
        <w:t>6</w:t>
      </w:r>
    </w:p>
    <w:p>
      <w:pPr>
        <w:pStyle w:val="BodyText"/>
        <w:spacing w:line="265" w:lineRule="exact"/>
        <w:ind w:left="2819"/>
      </w:pPr>
      <w:r>
        <w:rPr/>
        <w:t>个月者。</w:t>
      </w:r>
    </w:p>
    <w:p>
      <w:pPr>
        <w:pStyle w:val="BodyText"/>
        <w:spacing w:before="4"/>
        <w:rPr>
          <w:sz w:val="19"/>
        </w:rPr>
      </w:pPr>
    </w:p>
    <w:p>
      <w:pPr>
        <w:pStyle w:val="BodyText"/>
        <w:spacing w:line="232" w:lineRule="auto"/>
        <w:ind w:left="2267" w:right="20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80" w:lineRule="exact"/>
        <w:ind w:left="2270"/>
      </w:pPr>
      <w:r>
        <w:rPr/>
        <w:t>（</w:t>
      </w:r>
      <w:r>
        <w:rPr>
          <w:rFonts w:ascii="Times New Roman" w:eastAsia="Times New Roman"/>
        </w:rPr>
        <w:t>1</w:t>
      </w:r>
      <w:r>
        <w:rPr/>
        <w:t>） 经药物、胸腺手术治疗一年以上无法控制病情，丧失正常工作能力；</w:t>
      </w:r>
    </w:p>
    <w:p>
      <w:pPr>
        <w:pStyle w:val="BodyText"/>
        <w:spacing w:line="232" w:lineRule="auto"/>
        <w:ind w:left="2819" w:right="203" w:hanging="550"/>
        <w:jc w:val="both"/>
      </w:pPr>
      <w:r>
        <w:rPr/>
        <w:t>（</w:t>
      </w:r>
      <w:r>
        <w:rPr>
          <w:rFonts w:ascii="Times New Roman" w:eastAsia="Times New Roman"/>
        </w:rPr>
        <w:t>2</w:t>
      </w:r>
      <w:r>
        <w:rPr/>
        <w:t>）</w:t>
      </w:r>
      <w:r>
        <w:rPr>
          <w:spacing w:val="-7"/>
        </w:rPr>
        <w:t> 出现眼睑下垂，或延髓肌受累引起的构音困难、进食呛咳，或由于肌无力累及延髓肌、呼吸肌而致机体呼吸功能不正常的危急状态即</w:t>
      </w:r>
      <w:r>
        <w:rPr>
          <w:spacing w:val="-5"/>
        </w:rPr>
        <w:t>肌无力危象；</w:t>
      </w:r>
    </w:p>
    <w:p>
      <w:pPr>
        <w:pStyle w:val="BodyText"/>
        <w:spacing w:line="223" w:lineRule="auto" w:before="19"/>
        <w:ind w:left="2819" w:right="203" w:hanging="550"/>
        <w:jc w:val="both"/>
      </w:pPr>
      <w:r>
        <w:rPr/>
        <w:t>（</w:t>
      </w:r>
      <w:r>
        <w:rPr>
          <w:rFonts w:ascii="Times New Roman" w:eastAsia="Times New Roman"/>
        </w:rPr>
        <w:t>3</w:t>
      </w:r>
      <w:r>
        <w:rPr/>
        <w:t>）</w:t>
      </w:r>
      <w:r>
        <w:rPr>
          <w:spacing w:val="-7"/>
        </w:rPr>
        <w:t> 症状缓解、复发及恶化交替出现，临床接受新斯的明等抗胆碱酯酶</w:t>
      </w:r>
      <w:r>
        <w:rPr>
          <w:spacing w:val="-5"/>
        </w:rPr>
        <w:t>药物治疗的病史。</w:t>
      </w:r>
    </w:p>
    <w:p>
      <w:pPr>
        <w:pStyle w:val="BodyText"/>
        <w:spacing w:before="1"/>
        <w:rPr>
          <w:sz w:val="15"/>
        </w:rPr>
      </w:pPr>
    </w:p>
    <w:p>
      <w:pPr>
        <w:spacing w:after="0"/>
        <w:rPr>
          <w:sz w:val="15"/>
        </w:rPr>
        <w:sectPr>
          <w:pgSz w:w="11900" w:h="16840"/>
          <w:pgMar w:top="1240" w:bottom="280" w:left="1680" w:right="100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9"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20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723" w:right="203" w:hanging="550"/>
      </w:pPr>
      <w:r>
        <w:rPr/>
        <w:t>（</w:t>
      </w:r>
      <w:r>
        <w:rPr>
          <w:rFonts w:ascii="Times New Roman" w:eastAsia="Times New Roman"/>
        </w:rPr>
        <w:t>1</w:t>
      </w:r>
      <w:r>
        <w:rPr/>
        <w:t>）</w:t>
      </w:r>
      <w:r>
        <w:rPr>
          <w:spacing w:val="-6"/>
        </w:rPr>
        <w:t> 感染必须是在被保险人正在从事其职业工作中发生，该职业必须属</w:t>
      </w:r>
      <w:r>
        <w:rPr>
          <w:spacing w:val="-4"/>
        </w:rPr>
        <w:t>于下列限定职业范围内的职业；</w:t>
      </w:r>
    </w:p>
    <w:p>
      <w:pPr>
        <w:pStyle w:val="BodyText"/>
        <w:spacing w:line="280" w:lineRule="exact"/>
        <w:ind w:left="173"/>
      </w:pPr>
      <w:r>
        <w:rPr/>
        <w:t>（</w:t>
      </w:r>
      <w:r>
        <w:rPr>
          <w:rFonts w:ascii="Times New Roman" w:eastAsia="Times New Roman"/>
        </w:rPr>
        <w:t>2</w:t>
      </w:r>
      <w:r>
        <w:rPr/>
        <w:t>） 血清转化必须出现在事故发生后的 </w:t>
      </w:r>
      <w:r>
        <w:rPr>
          <w:rFonts w:ascii="Times New Roman" w:eastAsia="Times New Roman"/>
        </w:rPr>
        <w:t>6  </w:t>
      </w:r>
      <w:r>
        <w:rPr/>
        <w:t>个月以内；</w:t>
      </w:r>
    </w:p>
    <w:p>
      <w:pPr>
        <w:pStyle w:val="BodyText"/>
        <w:spacing w:line="225" w:lineRule="auto" w:before="8"/>
        <w:ind w:left="723" w:right="201" w:hanging="550"/>
        <w:jc w:val="both"/>
      </w:pPr>
      <w:r>
        <w:rPr/>
        <w:t>（</w:t>
      </w:r>
      <w:r>
        <w:rPr>
          <w:rFonts w:ascii="Times New Roman" w:eastAsia="Times New Roman"/>
        </w:rPr>
        <w:t>3</w:t>
      </w:r>
      <w:r>
        <w:rPr/>
        <w:t>）</w:t>
      </w:r>
      <w:r>
        <w:rPr>
          <w:spacing w:val="-10"/>
        </w:rPr>
        <w:t> 必须提供被保险人在所报事故发生后的 </w:t>
      </w:r>
      <w:r>
        <w:rPr>
          <w:rFonts w:ascii="Times New Roman" w:eastAsia="Times New Roman"/>
        </w:rPr>
        <w:t>5 </w:t>
      </w:r>
      <w:r>
        <w:rPr>
          <w:spacing w:val="-3"/>
        </w:rPr>
        <w:t>天以内进行的检查报告， 该报告必须显示被保险人血液人类免疫缺陷病毒（</w:t>
      </w:r>
      <w:r>
        <w:rPr>
          <w:rFonts w:ascii="Times New Roman" w:eastAsia="Times New Roman"/>
          <w:spacing w:val="-3"/>
        </w:rPr>
        <w:t>HIV</w:t>
      </w:r>
      <w:r>
        <w:rPr>
          <w:spacing w:val="-3"/>
        </w:rPr>
        <w:t>）阴性和</w:t>
      </w:r>
      <w:r>
        <w:rPr>
          <w:rFonts w:ascii="Times New Roman" w:eastAsia="Times New Roman"/>
          <w:spacing w:val="-3"/>
        </w:rPr>
        <w:t>/</w:t>
      </w:r>
      <w:r>
        <w:rPr>
          <w:spacing w:val="-3"/>
        </w:rPr>
        <w:t>或人类免疫缺陷病毒</w:t>
      </w:r>
      <w:r>
        <w:rPr/>
        <w:t>（</w:t>
      </w:r>
      <w:r>
        <w:rPr>
          <w:rFonts w:ascii="Times New Roman" w:eastAsia="Times New Roman"/>
        </w:rPr>
        <w:t>HIV</w:t>
      </w:r>
      <w:r>
        <w:rPr>
          <w:rFonts w:ascii="Times New Roman" w:eastAsia="Times New Roman"/>
          <w:spacing w:val="5"/>
        </w:rPr>
        <w:t>  </w:t>
      </w:r>
      <w:r>
        <w:rPr/>
        <w:t>）</w:t>
      </w:r>
      <w:r>
        <w:rPr>
          <w:spacing w:val="-3"/>
        </w:rPr>
        <w:t>抗体阴性；</w:t>
      </w:r>
    </w:p>
    <w:p>
      <w:pPr>
        <w:pStyle w:val="BodyText"/>
        <w:spacing w:line="223" w:lineRule="auto" w:before="3"/>
        <w:ind w:left="723" w:right="203" w:hanging="550"/>
      </w:pPr>
      <w:r>
        <w:rPr/>
        <w:t>（</w:t>
      </w:r>
      <w:r>
        <w:rPr>
          <w:rFonts w:ascii="Times New Roman" w:eastAsia="Times New Roman"/>
        </w:rPr>
        <w:t>4</w:t>
      </w:r>
      <w:r>
        <w:rPr/>
        <w:t>） 必须在事故发生后的 </w:t>
      </w:r>
      <w:r>
        <w:rPr>
          <w:rFonts w:ascii="Times New Roman" w:eastAsia="Times New Roman"/>
        </w:rPr>
        <w:t>12 </w:t>
      </w:r>
      <w:r>
        <w:rPr/>
        <w:t>个月内证实被保险人体内存在人类免疫缺陷病毒（</w:t>
      </w:r>
      <w:r>
        <w:rPr>
          <w:rFonts w:ascii="Times New Roman" w:eastAsia="Times New Roman"/>
        </w:rPr>
        <w:t>HIV  </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171"/>
      </w:pPr>
      <w:r>
        <w:rPr/>
        <w:t>限定职业：</w:t>
      </w:r>
    </w:p>
    <w:p>
      <w:pPr>
        <w:pStyle w:val="BodyText"/>
        <w:spacing w:line="237" w:lineRule="auto" w:before="1"/>
        <w:ind w:left="171" w:right="203"/>
      </w:pPr>
      <w:r>
        <w:rPr/>
        <w:t>医Th和牙科医Th、护士、实验室工作人员、医院护工、医Th助理和牙医助理、 救护车工作人员、助产士、消防队员、警察、狱警。</w:t>
      </w:r>
    </w:p>
    <w:p>
      <w:pPr>
        <w:spacing w:after="0" w:line="237" w:lineRule="auto"/>
        <w:sectPr>
          <w:type w:val="continuous"/>
          <w:pgSz w:w="11900" w:h="16840"/>
          <w:pgMar w:top="1220" w:bottom="280" w:left="1680" w:right="1000"/>
          <w:cols w:num="2" w:equalWidth="0">
            <w:col w:w="2057" w:space="40"/>
            <w:col w:w="7123"/>
          </w:cols>
        </w:sectPr>
      </w:pPr>
    </w:p>
    <w:p>
      <w:pPr>
        <w:pStyle w:val="BodyText"/>
        <w:spacing w:before="1"/>
        <w:rPr>
          <w:sz w:val="15"/>
        </w:rPr>
      </w:pPr>
    </w:p>
    <w:p>
      <w:pPr>
        <w:spacing w:after="0"/>
        <w:rPr>
          <w:sz w:val="15"/>
        </w:rPr>
        <w:sectPr>
          <w:type w:val="continuous"/>
          <w:pgSz w:w="11900" w:h="16840"/>
          <w:pgMar w:top="1220" w:bottom="280" w:left="1680" w:right="100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1"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3"/>
      </w:pPr>
      <w:r>
        <w:rPr/>
        <w:t>（</w:t>
      </w:r>
      <w:r>
        <w:rPr>
          <w:rFonts w:ascii="Times New Roman" w:eastAsia="Times New Roman"/>
        </w:rPr>
        <w:t>1</w:t>
      </w:r>
      <w:r>
        <w:rPr/>
        <w:t>） 被保险人因疾病接受输血治疗而感染人类免疫缺陷病毒（</w:t>
      </w:r>
      <w:r>
        <w:rPr>
          <w:rFonts w:ascii="Times New Roman" w:eastAsia="Times New Roman"/>
        </w:rPr>
        <w:t>HIV</w:t>
      </w:r>
      <w:r>
        <w:rPr/>
        <w:t>）；</w:t>
      </w:r>
    </w:p>
    <w:p>
      <w:pPr>
        <w:pStyle w:val="BodyText"/>
        <w:spacing w:line="225" w:lineRule="auto" w:before="9"/>
        <w:ind w:left="723" w:right="203" w:hanging="550"/>
      </w:pPr>
      <w:r>
        <w:rPr/>
        <w:t>（</w:t>
      </w:r>
      <w:r>
        <w:rPr>
          <w:rFonts w:ascii="Times New Roman" w:eastAsia="Times New Roman"/>
        </w:rPr>
        <w:t>2</w:t>
      </w:r>
      <w:r>
        <w:rPr/>
        <w:t>）</w:t>
      </w:r>
      <w:r>
        <w:rPr>
          <w:spacing w:val="-6"/>
        </w:rPr>
        <w:t> 提供输血治疗的输血中心或医院出具该项输血感染属医疗责任事故</w:t>
      </w:r>
      <w:r>
        <w:rPr>
          <w:spacing w:val="-4"/>
        </w:rPr>
        <w:t>的报告，或经法院终审判决为医疗责任；</w:t>
      </w:r>
    </w:p>
    <w:p>
      <w:pPr>
        <w:pStyle w:val="BodyText"/>
        <w:spacing w:line="289" w:lineRule="exact"/>
        <w:ind w:left="173"/>
      </w:pPr>
      <w:r>
        <w:rPr/>
        <w:t>（</w:t>
      </w:r>
      <w:r>
        <w:rPr>
          <w:rFonts w:ascii="Times New Roman" w:eastAsia="Times New Roman"/>
        </w:rPr>
        <w:t>3</w:t>
      </w:r>
      <w:r>
        <w:rPr/>
        <w:t>） 受感染的被保险人不是血友病患者。</w:t>
      </w:r>
    </w:p>
    <w:p>
      <w:pPr>
        <w:pStyle w:val="BodyText"/>
        <w:spacing w:before="5"/>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spacing w:before="8"/>
        <w:rPr>
          <w:sz w:val="18"/>
        </w:rPr>
      </w:pPr>
    </w:p>
    <w:p>
      <w:pPr>
        <w:pStyle w:val="BodyText"/>
        <w:spacing w:line="237" w:lineRule="auto"/>
        <w:ind w:left="171" w:right="203"/>
        <w:jc w:val="both"/>
      </w:pPr>
      <w:r>
        <w:rPr>
          <w:spacing w:val="-1"/>
        </w:rPr>
        <w:t>任何因其它传播方式</w:t>
      </w:r>
      <w:r>
        <w:rPr/>
        <w:t>（</w:t>
      </w:r>
      <w:r>
        <w:rPr>
          <w:spacing w:val="-3"/>
        </w:rPr>
        <w:t>包括：性传播或静脉注射毒品</w:t>
      </w:r>
      <w:r>
        <w:rPr/>
        <w:t>）</w:t>
      </w:r>
      <w:r>
        <w:rPr>
          <w:spacing w:val="-1"/>
        </w:rPr>
        <w:t>导致的人类免疫缺</w:t>
      </w:r>
      <w:r>
        <w:rPr>
          <w:spacing w:val="-11"/>
        </w:rPr>
        <w:t>陷病毒</w:t>
      </w:r>
      <w:r>
        <w:rPr>
          <w:spacing w:val="-7"/>
        </w:rPr>
        <w:t>（HIV）</w:t>
      </w:r>
      <w:r>
        <w:rPr>
          <w:spacing w:val="-5"/>
        </w:rPr>
        <w:t>感染不在本附加合同保障范围内。我们必须拥有获得使用被</w:t>
      </w:r>
      <w:r>
        <w:rPr>
          <w:spacing w:val="-4"/>
        </w:rPr>
        <w:t>保险人的所有血液样本的权利和能够对这些样本进行独立检验的权利。</w:t>
      </w:r>
    </w:p>
    <w:p>
      <w:pPr>
        <w:spacing w:after="0" w:line="237" w:lineRule="auto"/>
        <w:jc w:val="both"/>
        <w:sectPr>
          <w:type w:val="continuous"/>
          <w:pgSz w:w="11900" w:h="16840"/>
          <w:pgMar w:top="1220" w:bottom="280" w:left="1680" w:right="1000"/>
          <w:cols w:num="2" w:equalWidth="0">
            <w:col w:w="2057" w:space="40"/>
            <w:col w:w="7123"/>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慢性复发性胰腺炎</w:t>
      </w:r>
    </w:p>
    <w:p>
      <w:pPr>
        <w:pStyle w:val="BodyText"/>
        <w:spacing w:before="43"/>
        <w:ind w:left="173" w:right="98"/>
      </w:pPr>
      <w:r>
        <w:rPr/>
        <w:br w:type="column"/>
      </w:r>
      <w:r>
        <w:rPr>
          <w:spacing w:val="-7"/>
        </w:rPr>
        <w:t>胰腺炎反复发作超过三次以上并导致胰腺功能紊乱，需要接受酶替代治疗。</w:t>
      </w:r>
      <w:r>
        <w:rPr>
          <w:spacing w:val="-5"/>
        </w:rPr>
        <w:t>诊断必须有消化科专科医生确认并且有内窥镜逆行胰胆管造影所证实。</w:t>
      </w:r>
    </w:p>
    <w:p>
      <w:pPr>
        <w:pStyle w:val="BodyText"/>
        <w:spacing w:before="2"/>
        <w:rPr>
          <w:sz w:val="18"/>
        </w:rPr>
      </w:pPr>
    </w:p>
    <w:p>
      <w:pPr>
        <w:pStyle w:val="BodyText"/>
        <w:spacing w:before="1"/>
        <w:ind w:left="173"/>
      </w:pPr>
      <w:r>
        <w:rPr/>
        <w:t>酒精导致的慢性复发性胰腺炎除外。</w:t>
      </w:r>
    </w:p>
    <w:p>
      <w:pPr>
        <w:spacing w:after="0"/>
        <w:sectPr>
          <w:type w:val="continuous"/>
          <w:pgSz w:w="11900" w:h="16840"/>
          <w:pgMar w:top="1220" w:bottom="280" w:left="1680" w:right="1000"/>
          <w:cols w:num="2" w:equalWidth="0">
            <w:col w:w="2055" w:space="40"/>
            <w:col w:w="7125"/>
          </w:cols>
        </w:sectPr>
      </w:pPr>
    </w:p>
    <w:p>
      <w:pPr>
        <w:pStyle w:val="BodyText"/>
        <w:spacing w:before="2"/>
        <w:rPr>
          <w:sz w:val="15"/>
        </w:rPr>
      </w:pPr>
    </w:p>
    <w:p>
      <w:pPr>
        <w:pStyle w:val="BodyText"/>
        <w:spacing w:line="230" w:lineRule="auto" w:before="57"/>
        <w:ind w:left="2267" w:right="20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spacing w:after="0" w:line="230" w:lineRule="auto"/>
        <w:jc w:val="both"/>
        <w:sectPr>
          <w:type w:val="continuous"/>
          <w:pgSz w:w="11900" w:h="16840"/>
          <w:pgMar w:top="1220" w:bottom="280" w:left="1680" w:right="1000"/>
        </w:sectPr>
      </w:pPr>
    </w:p>
    <w:p>
      <w:pPr>
        <w:pStyle w:val="BodyText"/>
        <w:spacing w:before="9"/>
        <w:ind w:left="590"/>
      </w:pPr>
      <w:r>
        <w:rPr/>
        <w:t>附表二</w:t>
      </w:r>
    </w:p>
    <w:p>
      <w:pPr>
        <w:pStyle w:val="BodyText"/>
        <w:spacing w:before="1"/>
        <w:rPr>
          <w:sz w:val="14"/>
        </w:rPr>
      </w:pPr>
    </w:p>
    <w:p>
      <w:pPr>
        <w:pStyle w:val="BodyText"/>
        <w:spacing w:line="223" w:lineRule="auto"/>
        <w:ind w:left="2819" w:right="103" w:hanging="2230"/>
        <w:jc w:val="both"/>
      </w:pPr>
      <w:r>
        <w:rPr>
          <w:spacing w:val="6"/>
        </w:rPr>
        <w:t>男性重大疾病   </w:t>
      </w:r>
      <w:r>
        <w:rPr/>
        <w:t>（</w:t>
      </w:r>
      <w:r>
        <w:rPr>
          <w:rFonts w:ascii="Times New Roman" w:hAnsi="Times New Roman" w:eastAsia="Times New Roman"/>
        </w:rPr>
        <w:t>1</w:t>
      </w:r>
      <w:r>
        <w:rPr/>
        <w:t>）</w:t>
      </w:r>
      <w:r>
        <w:rPr>
          <w:spacing w:val="-9"/>
        </w:rPr>
        <w:t> 睾丸癌：是指睾丸的不可控制的恶性细胞生长或扩散，以及组织浸</w:t>
      </w:r>
      <w:r>
        <w:rPr>
          <w:spacing w:val="-12"/>
        </w:rPr>
        <w:t>润为特征，经病理检验确定符合国家卫生部公布的</w:t>
      </w:r>
      <w:r>
        <w:rPr>
          <w:rFonts w:ascii="Times New Roman" w:hAnsi="Times New Roman" w:eastAsia="Times New Roman"/>
          <w:spacing w:val="-3"/>
        </w:rPr>
        <w:t>“</w:t>
      </w:r>
      <w:r>
        <w:rPr>
          <w:spacing w:val="-3"/>
        </w:rPr>
        <w:t>疾病和死因分类</w:t>
      </w:r>
      <w:r>
        <w:rPr>
          <w:rFonts w:ascii="Times New Roman" w:hAnsi="Times New Roman" w:eastAsia="Times New Roman"/>
        </w:rPr>
        <w:t>” </w:t>
      </w:r>
      <w:r>
        <w:rPr>
          <w:spacing w:val="-3"/>
        </w:rPr>
        <w:t>标准归属恶性肿瘤的。</w:t>
      </w:r>
    </w:p>
    <w:p>
      <w:pPr>
        <w:pStyle w:val="BodyText"/>
        <w:spacing w:line="225" w:lineRule="auto" w:before="18"/>
        <w:ind w:left="2819" w:right="103" w:hanging="550"/>
        <w:jc w:val="both"/>
      </w:pPr>
      <w:r>
        <w:rPr/>
        <w:t>（</w:t>
      </w:r>
      <w:r>
        <w:rPr>
          <w:rFonts w:ascii="Times New Roman" w:hAnsi="Times New Roman" w:eastAsia="Times New Roman"/>
        </w:rPr>
        <w:t>2</w:t>
      </w:r>
      <w:r>
        <w:rPr/>
        <w:t>） 阴茎癌：是指阴茎的不可控制的恶性细胞生长或扩散以及组织浸润为特征，经病理检验确定符合国家卫生部公布的</w:t>
      </w:r>
      <w:r>
        <w:rPr>
          <w:rFonts w:ascii="Times New Roman" w:hAnsi="Times New Roman" w:eastAsia="Times New Roman"/>
        </w:rPr>
        <w:t>“</w:t>
      </w:r>
      <w:r>
        <w:rPr/>
        <w:t>疾病和死因分类</w:t>
      </w:r>
      <w:r>
        <w:rPr>
          <w:rFonts w:ascii="Times New Roman" w:hAnsi="Times New Roman" w:eastAsia="Times New Roman"/>
        </w:rPr>
        <w:t>” </w:t>
      </w:r>
      <w:r>
        <w:rPr/>
        <w:t>标准归属恶性肿瘤的。</w:t>
      </w:r>
    </w:p>
    <w:p>
      <w:pPr>
        <w:pStyle w:val="BodyText"/>
        <w:spacing w:line="225" w:lineRule="auto" w:before="16"/>
        <w:ind w:left="2819" w:right="101" w:hanging="550"/>
        <w:jc w:val="both"/>
      </w:pPr>
      <w:r>
        <w:rPr/>
        <w:t>（</w:t>
      </w:r>
      <w:r>
        <w:rPr>
          <w:rFonts w:ascii="Times New Roman" w:hAnsi="Times New Roman" w:eastAsia="Times New Roman"/>
        </w:rPr>
        <w:t>3</w:t>
      </w:r>
      <w:r>
        <w:rPr/>
        <w:t>）</w:t>
      </w:r>
      <w:r>
        <w:rPr>
          <w:spacing w:val="-6"/>
        </w:rPr>
        <w:t> 前列腺癌：是指前列腺的不可控制的恶性细胞生长或扩散以及组织</w:t>
      </w:r>
      <w:r>
        <w:rPr>
          <w:spacing w:val="-5"/>
        </w:rPr>
        <w:t>浸润为特征，经病理检验确定符合国家卫生部公布的</w:t>
      </w:r>
      <w:r>
        <w:rPr>
          <w:rFonts w:ascii="Times New Roman" w:hAnsi="Times New Roman" w:eastAsia="Times New Roman"/>
        </w:rPr>
        <w:t>“</w:t>
      </w:r>
      <w:r>
        <w:rPr>
          <w:spacing w:val="-2"/>
        </w:rPr>
        <w:t>疾病和死因分</w:t>
      </w:r>
      <w:r>
        <w:rPr>
          <w:spacing w:val="-1"/>
        </w:rPr>
        <w:t>类</w:t>
      </w:r>
      <w:r>
        <w:rPr>
          <w:rFonts w:ascii="Times New Roman" w:hAnsi="Times New Roman" w:eastAsia="Times New Roman"/>
        </w:rPr>
        <w:t>”</w:t>
      </w:r>
      <w:r>
        <w:rPr>
          <w:spacing w:val="-3"/>
        </w:rPr>
        <w:t>标准归属恶性肿瘤。</w:t>
      </w:r>
    </w:p>
    <w:p>
      <w:pPr>
        <w:pStyle w:val="BodyText"/>
        <w:rPr>
          <w:sz w:val="17"/>
        </w:rPr>
      </w:pPr>
    </w:p>
    <w:p>
      <w:pPr>
        <w:pStyle w:val="BodyText"/>
        <w:ind w:left="2267"/>
      </w:pPr>
      <w:r>
        <w:rPr/>
        <w:t>以上疾病必须同时符合附表一中所列恶性肿瘤的定义。</w:t>
      </w:r>
    </w:p>
    <w:p>
      <w:pPr>
        <w:pStyle w:val="BodyText"/>
        <w:spacing w:before="7"/>
        <w:rPr>
          <w:sz w:val="18"/>
        </w:rPr>
      </w:pPr>
    </w:p>
    <w:p>
      <w:pPr>
        <w:pStyle w:val="BodyText"/>
        <w:spacing w:line="237" w:lineRule="auto" w:before="1"/>
        <w:ind w:left="2267" w:right="103"/>
        <w:jc w:val="both"/>
      </w:pPr>
      <w:r>
        <w:rPr/>
        <w:t>理赔时，必须提供明确的病理证明证实组织被侵入或有组织学上可证明的恶性增生。任何组织涂片检查、穿刺活检结果和临床诊断不能作为理赔标准。</w:t>
      </w:r>
    </w:p>
    <w:p>
      <w:pPr>
        <w:pStyle w:val="BodyText"/>
        <w:spacing w:before="8"/>
        <w:rPr>
          <w:sz w:val="18"/>
        </w:rPr>
      </w:pPr>
    </w:p>
    <w:p>
      <w:pPr>
        <w:pStyle w:val="BodyText"/>
        <w:spacing w:line="237" w:lineRule="auto"/>
        <w:ind w:left="2267" w:right="139" w:hanging="1678"/>
        <w:jc w:val="both"/>
      </w:pPr>
      <w:r>
        <w:rPr>
          <w:spacing w:val="-5"/>
        </w:rPr>
        <w:t>女性重大疾病   系统性红斑狼疮：是一种自身免疫性结缔组织病，于体内有大量致病性自</w:t>
      </w:r>
      <w:r>
        <w:rPr>
          <w:spacing w:val="-6"/>
        </w:rPr>
        <w:t>身抗体和免疫复合物，造成组织损伤，且理赔须经专科医生确认并同时具</w:t>
      </w:r>
      <w:r>
        <w:rPr>
          <w:spacing w:val="-4"/>
        </w:rPr>
        <w:t>备下列情况：</w:t>
      </w:r>
    </w:p>
    <w:p>
      <w:pPr>
        <w:pStyle w:val="BodyText"/>
        <w:spacing w:before="11"/>
        <w:rPr>
          <w:sz w:val="18"/>
        </w:rPr>
      </w:pPr>
    </w:p>
    <w:p>
      <w:pPr>
        <w:pStyle w:val="BodyText"/>
        <w:spacing w:line="232" w:lineRule="auto"/>
        <w:ind w:left="2819" w:right="101" w:hanging="550"/>
        <w:jc w:val="both"/>
      </w:pPr>
      <w:r>
        <w:rPr/>
        <w:t>（</w:t>
      </w:r>
      <w:r>
        <w:rPr>
          <w:rFonts w:ascii="Times New Roman" w:hAnsi="Times New Roman" w:eastAsia="Times New Roman"/>
        </w:rPr>
        <w:t>1</w:t>
      </w:r>
      <w:r>
        <w:rPr/>
        <w:t>）</w:t>
      </w:r>
      <w:r>
        <w:rPr>
          <w:spacing w:val="-9"/>
        </w:rPr>
        <w:t> 临床表现至少具备如下条件的四个： ①蝶形红斑或盘形红斑；②光敏感；③口腔溃疡；④非畸形关节炎或关节痛；⑤浆膜炎、胸膜炎</w:t>
      </w:r>
      <w:r>
        <w:rPr>
          <w:spacing w:val="-2"/>
        </w:rPr>
        <w:t>或心包炎； ⑥ 神经系统损伤</w:t>
      </w:r>
      <w:r>
        <w:rPr/>
        <w:t>（</w:t>
      </w:r>
      <w:r>
        <w:rPr>
          <w:spacing w:val="3"/>
        </w:rPr>
        <w:t> 抽搐或精神症状</w:t>
      </w:r>
      <w:r>
        <w:rPr/>
        <w:t>）</w:t>
      </w:r>
      <w:r>
        <w:rPr>
          <w:spacing w:val="-22"/>
        </w:rPr>
        <w:t> ； ⑦ 血象异常</w:t>
      </w:r>
    </w:p>
    <w:p>
      <w:pPr>
        <w:pStyle w:val="BodyText"/>
        <w:spacing w:line="279" w:lineRule="exact"/>
        <w:ind w:left="2819"/>
      </w:pPr>
      <w:r>
        <w:rPr/>
        <w:t>（</w:t>
      </w:r>
      <w:r>
        <w:rPr>
          <w:rFonts w:ascii="Times New Roman" w:hAnsi="Times New Roman" w:eastAsia="Times New Roman"/>
        </w:rPr>
        <w:t>WBC&lt;4000/µl </w:t>
      </w:r>
      <w:r>
        <w:rPr/>
        <w:t>或血小板</w:t>
      </w:r>
      <w:r>
        <w:rPr>
          <w:rFonts w:ascii="Times New Roman" w:hAnsi="Times New Roman" w:eastAsia="Times New Roman"/>
        </w:rPr>
        <w:t>&lt;100000/µl </w:t>
      </w:r>
      <w:r>
        <w:rPr/>
        <w:t>或溶血性贫血）。</w:t>
      </w:r>
    </w:p>
    <w:p>
      <w:pPr>
        <w:pStyle w:val="BodyText"/>
        <w:spacing w:line="225" w:lineRule="auto" w:before="9"/>
        <w:ind w:left="2819" w:right="101" w:hanging="550"/>
        <w:jc w:val="both"/>
      </w:pPr>
      <w:r>
        <w:rPr/>
        <w:t>（</w:t>
      </w:r>
      <w:r>
        <w:rPr>
          <w:rFonts w:ascii="Times New Roman" w:hAnsi="Times New Roman" w:eastAsia="Times New Roman"/>
        </w:rPr>
        <w:t>2</w:t>
      </w:r>
      <w:r>
        <w:rPr/>
        <w:t>）</w:t>
      </w:r>
      <w:r>
        <w:rPr>
          <w:spacing w:val="-14"/>
        </w:rPr>
        <w:t> 检测结果至少具备如下条件的两个：①狼疮细胞或抗双 链 </w:t>
      </w:r>
      <w:r>
        <w:rPr>
          <w:rFonts w:ascii="Times New Roman" w:hAnsi="Times New Roman" w:eastAsia="Times New Roman"/>
        </w:rPr>
        <w:t>DNA </w:t>
      </w:r>
      <w:r>
        <w:rPr/>
        <w:t>抗</w:t>
      </w:r>
      <w:r>
        <w:rPr>
          <w:spacing w:val="-20"/>
          <w:w w:val="100"/>
        </w:rPr>
        <w:t>体阳性；②抗</w:t>
      </w:r>
      <w:r>
        <w:rPr>
          <w:spacing w:val="-20"/>
        </w:rPr>
        <w:t> </w:t>
      </w:r>
      <w:r>
        <w:rPr>
          <w:rFonts w:ascii="Times New Roman" w:hAnsi="Times New Roman" w:eastAsia="Times New Roman"/>
          <w:w w:val="100"/>
        </w:rPr>
        <w:t>Sm</w:t>
      </w:r>
      <w:r>
        <w:rPr>
          <w:rFonts w:ascii="Times New Roman" w:hAnsi="Times New Roman" w:eastAsia="Times New Roman"/>
        </w:rPr>
        <w:t> </w:t>
      </w:r>
      <w:r>
        <w:rPr>
          <w:spacing w:val="-17"/>
          <w:w w:val="100"/>
        </w:rPr>
        <w:t>抗体阳性；③抗核抗体阳性④狼疮带试验阳性；⑤</w:t>
      </w:r>
      <w:r>
        <w:rPr>
          <w:rFonts w:ascii="Times New Roman" w:hAnsi="Times New Roman" w:eastAsia="Times New Roman"/>
          <w:spacing w:val="-2"/>
          <w:w w:val="100"/>
        </w:rPr>
        <w:t>C</w:t>
      </w:r>
      <w:r>
        <w:rPr>
          <w:rFonts w:ascii="Times New Roman" w:hAnsi="Times New Roman" w:eastAsia="Times New Roman"/>
          <w:w w:val="100"/>
        </w:rPr>
        <w:t>3</w:t>
      </w:r>
      <w:r>
        <w:rPr>
          <w:spacing w:val="-2"/>
        </w:rPr>
        <w:t>补体低于正常。</w:t>
      </w:r>
    </w:p>
    <w:p>
      <w:pPr>
        <w:pStyle w:val="BodyText"/>
        <w:spacing w:line="287" w:lineRule="exact"/>
        <w:ind w:left="2270"/>
        <w:jc w:val="both"/>
      </w:pPr>
      <w:r>
        <w:rPr/>
        <w:t>（</w:t>
      </w:r>
      <w:r>
        <w:rPr>
          <w:rFonts w:ascii="Times New Roman" w:eastAsia="Times New Roman"/>
        </w:rPr>
        <w:t>3</w:t>
      </w:r>
      <w:r>
        <w:rPr/>
        <w:t>） 狼疮肾炎致使肾功能减弱，血肌酐的清除率低于每分钟 </w:t>
      </w:r>
      <w:r>
        <w:rPr>
          <w:rFonts w:ascii="Times New Roman" w:eastAsia="Times New Roman"/>
        </w:rPr>
        <w:t>30ml</w:t>
      </w:r>
      <w:r>
        <w:rPr/>
        <w:t>。</w:t>
      </w:r>
    </w:p>
    <w:sectPr>
      <w:pgSz w:w="11900" w:h="16840"/>
      <w:pgMar w:top="1260" w:bottom="280" w:left="16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1">
    <w:multiLevelType w:val="hybridMultilevel"/>
    <w:lvl w:ilvl="0">
      <w:start w:val="32"/>
      <w:numFmt w:val="decimal"/>
      <w:lvlText w:val="%1."/>
      <w:lvlJc w:val="left"/>
      <w:pPr>
        <w:ind w:left="537" w:hanging="389"/>
        <w:jc w:val="left"/>
      </w:pPr>
      <w:rPr>
        <w:rFonts w:hint="default" w:ascii="Times New Roman" w:hAnsi="Times New Roman" w:eastAsia="Times New Roman" w:cs="Times New Roman"/>
        <w:b/>
        <w:bCs/>
        <w:w w:val="100"/>
        <w:sz w:val="21"/>
        <w:szCs w:val="21"/>
      </w:rPr>
    </w:lvl>
    <w:lvl w:ilvl="1">
      <w:start w:val="0"/>
      <w:numFmt w:val="bullet"/>
      <w:lvlText w:val="•"/>
      <w:lvlJc w:val="left"/>
      <w:pPr>
        <w:ind w:left="691" w:hanging="389"/>
      </w:pPr>
      <w:rPr>
        <w:rFonts w:hint="default"/>
      </w:rPr>
    </w:lvl>
    <w:lvl w:ilvl="2">
      <w:start w:val="0"/>
      <w:numFmt w:val="bullet"/>
      <w:lvlText w:val="•"/>
      <w:lvlJc w:val="left"/>
      <w:pPr>
        <w:ind w:left="843" w:hanging="389"/>
      </w:pPr>
      <w:rPr>
        <w:rFonts w:hint="default"/>
      </w:rPr>
    </w:lvl>
    <w:lvl w:ilvl="3">
      <w:start w:val="0"/>
      <w:numFmt w:val="bullet"/>
      <w:lvlText w:val="•"/>
      <w:lvlJc w:val="left"/>
      <w:pPr>
        <w:ind w:left="995" w:hanging="389"/>
      </w:pPr>
      <w:rPr>
        <w:rFonts w:hint="default"/>
      </w:rPr>
    </w:lvl>
    <w:lvl w:ilvl="4">
      <w:start w:val="0"/>
      <w:numFmt w:val="bullet"/>
      <w:lvlText w:val="•"/>
      <w:lvlJc w:val="left"/>
      <w:pPr>
        <w:ind w:left="1146" w:hanging="389"/>
      </w:pPr>
      <w:rPr>
        <w:rFonts w:hint="default"/>
      </w:rPr>
    </w:lvl>
    <w:lvl w:ilvl="5">
      <w:start w:val="0"/>
      <w:numFmt w:val="bullet"/>
      <w:lvlText w:val="•"/>
      <w:lvlJc w:val="left"/>
      <w:pPr>
        <w:ind w:left="1298" w:hanging="389"/>
      </w:pPr>
      <w:rPr>
        <w:rFonts w:hint="default"/>
      </w:rPr>
    </w:lvl>
    <w:lvl w:ilvl="6">
      <w:start w:val="0"/>
      <w:numFmt w:val="bullet"/>
      <w:lvlText w:val="•"/>
      <w:lvlJc w:val="left"/>
      <w:pPr>
        <w:ind w:left="1450" w:hanging="389"/>
      </w:pPr>
      <w:rPr>
        <w:rFonts w:hint="default"/>
      </w:rPr>
    </w:lvl>
    <w:lvl w:ilvl="7">
      <w:start w:val="0"/>
      <w:numFmt w:val="bullet"/>
      <w:lvlText w:val="•"/>
      <w:lvlJc w:val="left"/>
      <w:pPr>
        <w:ind w:left="1601" w:hanging="389"/>
      </w:pPr>
      <w:rPr>
        <w:rFonts w:hint="default"/>
      </w:rPr>
    </w:lvl>
    <w:lvl w:ilvl="8">
      <w:start w:val="0"/>
      <w:numFmt w:val="bullet"/>
      <w:lvlText w:val="•"/>
      <w:lvlJc w:val="left"/>
      <w:pPr>
        <w:ind w:left="1753" w:hanging="389"/>
      </w:pPr>
      <w:rPr>
        <w:rFonts w:hint="default"/>
      </w:rPr>
    </w:lvl>
  </w:abstractNum>
  <w:abstractNum w:abstractNumId="10">
    <w:multiLevelType w:val="hybridMultilevel"/>
    <w:lvl w:ilvl="0">
      <w:start w:val="2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7"/>
      <w:numFmt w:val="decimal"/>
      <w:lvlText w:val="%1"/>
      <w:lvlJc w:val="left"/>
      <w:pPr>
        <w:ind w:left="2627" w:hanging="481"/>
        <w:jc w:val="left"/>
      </w:pPr>
      <w:rPr>
        <w:rFonts w:hint="default"/>
      </w:rPr>
    </w:lvl>
    <w:lvl w:ilvl="1">
      <w:start w:val="6"/>
      <w:numFmt w:val="decimal"/>
      <w:lvlText w:val="%1.%2"/>
      <w:lvlJc w:val="left"/>
      <w:pPr>
        <w:ind w:left="2627" w:hanging="481"/>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6">
    <w:multiLevelType w:val="hybridMultilevel"/>
    <w:lvl w:ilvl="0">
      <w:start w:val="7"/>
      <w:numFmt w:val="decimal"/>
      <w:lvlText w:val="%1"/>
      <w:lvlJc w:val="left"/>
      <w:pPr>
        <w:ind w:left="2627" w:hanging="481"/>
        <w:jc w:val="righ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5">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2820" w:hanging="720"/>
      </w:pPr>
      <w:rPr>
        <w:rFonts w:hint="default"/>
      </w:rPr>
    </w:lvl>
    <w:lvl w:ilvl="2">
      <w:start w:val="0"/>
      <w:numFmt w:val="bullet"/>
      <w:lvlText w:val="•"/>
      <w:lvlJc w:val="left"/>
      <w:pPr>
        <w:ind w:left="3309" w:hanging="720"/>
      </w:pPr>
      <w:rPr>
        <w:rFonts w:hint="default"/>
      </w:rPr>
    </w:lvl>
    <w:lvl w:ilvl="3">
      <w:start w:val="0"/>
      <w:numFmt w:val="bullet"/>
      <w:lvlText w:val="•"/>
      <w:lvlJc w:val="left"/>
      <w:pPr>
        <w:ind w:left="3798" w:hanging="720"/>
      </w:pPr>
      <w:rPr>
        <w:rFonts w:hint="default"/>
      </w:rPr>
    </w:lvl>
    <w:lvl w:ilvl="4">
      <w:start w:val="0"/>
      <w:numFmt w:val="bullet"/>
      <w:lvlText w:val="•"/>
      <w:lvlJc w:val="left"/>
      <w:pPr>
        <w:ind w:left="4288" w:hanging="720"/>
      </w:pPr>
      <w:rPr>
        <w:rFonts w:hint="default"/>
      </w:rPr>
    </w:lvl>
    <w:lvl w:ilvl="5">
      <w:start w:val="0"/>
      <w:numFmt w:val="bullet"/>
      <w:lvlText w:val="•"/>
      <w:lvlJc w:val="left"/>
      <w:pPr>
        <w:ind w:left="4777" w:hanging="720"/>
      </w:pPr>
      <w:rPr>
        <w:rFonts w:hint="default"/>
      </w:rPr>
    </w:lvl>
    <w:lvl w:ilvl="6">
      <w:start w:val="0"/>
      <w:numFmt w:val="bullet"/>
      <w:lvlText w:val="•"/>
      <w:lvlJc w:val="left"/>
      <w:pPr>
        <w:ind w:left="5267" w:hanging="720"/>
      </w:pPr>
      <w:rPr>
        <w:rFonts w:hint="default"/>
      </w:rPr>
    </w:lvl>
    <w:lvl w:ilvl="7">
      <w:start w:val="0"/>
      <w:numFmt w:val="bullet"/>
      <w:lvlText w:val="•"/>
      <w:lvlJc w:val="left"/>
      <w:pPr>
        <w:ind w:left="5756" w:hanging="720"/>
      </w:pPr>
      <w:rPr>
        <w:rFonts w:hint="default"/>
      </w:rPr>
    </w:lvl>
    <w:lvl w:ilvl="8">
      <w:start w:val="0"/>
      <w:numFmt w:val="bullet"/>
      <w:lvlText w:val="•"/>
      <w:lvlJc w:val="left"/>
      <w:pPr>
        <w:ind w:left="6246" w:hanging="720"/>
      </w:pPr>
      <w:rPr>
        <w:rFonts w:hint="default"/>
      </w:rPr>
    </w:lvl>
  </w:abstractNum>
  <w:abstractNum w:abstractNumId="4">
    <w:multiLevelType w:val="hybridMultilevel"/>
    <w:lvl w:ilvl="0">
      <w:start w:val="1"/>
      <w:numFmt w:val="decimal"/>
      <w:lvlText w:val="（%1）"/>
      <w:lvlJc w:val="left"/>
      <w:pPr>
        <w:ind w:left="1104" w:hanging="732"/>
        <w:jc w:val="left"/>
      </w:pPr>
      <w:rPr>
        <w:rFonts w:hint="default" w:ascii="宋体" w:hAnsi="宋体" w:eastAsia="宋体" w:cs="宋体"/>
        <w:w w:val="100"/>
        <w:sz w:val="21"/>
        <w:szCs w:val="21"/>
      </w:rPr>
    </w:lvl>
    <w:lvl w:ilvl="1">
      <w:start w:val="0"/>
      <w:numFmt w:val="bullet"/>
      <w:lvlText w:val="•"/>
      <w:lvlJc w:val="left"/>
      <w:pPr>
        <w:ind w:left="1712" w:hanging="732"/>
      </w:pPr>
      <w:rPr>
        <w:rFonts w:hint="default"/>
      </w:rPr>
    </w:lvl>
    <w:lvl w:ilvl="2">
      <w:start w:val="0"/>
      <w:numFmt w:val="bullet"/>
      <w:lvlText w:val="•"/>
      <w:lvlJc w:val="left"/>
      <w:pPr>
        <w:ind w:left="2324" w:hanging="732"/>
      </w:pPr>
      <w:rPr>
        <w:rFonts w:hint="default"/>
      </w:rPr>
    </w:lvl>
    <w:lvl w:ilvl="3">
      <w:start w:val="0"/>
      <w:numFmt w:val="bullet"/>
      <w:lvlText w:val="•"/>
      <w:lvlJc w:val="left"/>
      <w:pPr>
        <w:ind w:left="2937" w:hanging="732"/>
      </w:pPr>
      <w:rPr>
        <w:rFonts w:hint="default"/>
      </w:rPr>
    </w:lvl>
    <w:lvl w:ilvl="4">
      <w:start w:val="0"/>
      <w:numFmt w:val="bullet"/>
      <w:lvlText w:val="•"/>
      <w:lvlJc w:val="left"/>
      <w:pPr>
        <w:ind w:left="3549" w:hanging="732"/>
      </w:pPr>
      <w:rPr>
        <w:rFonts w:hint="default"/>
      </w:rPr>
    </w:lvl>
    <w:lvl w:ilvl="5">
      <w:start w:val="0"/>
      <w:numFmt w:val="bullet"/>
      <w:lvlText w:val="•"/>
      <w:lvlJc w:val="left"/>
      <w:pPr>
        <w:ind w:left="4162" w:hanging="732"/>
      </w:pPr>
      <w:rPr>
        <w:rFonts w:hint="default"/>
      </w:rPr>
    </w:lvl>
    <w:lvl w:ilvl="6">
      <w:start w:val="0"/>
      <w:numFmt w:val="bullet"/>
      <w:lvlText w:val="•"/>
      <w:lvlJc w:val="left"/>
      <w:pPr>
        <w:ind w:left="4774" w:hanging="732"/>
      </w:pPr>
      <w:rPr>
        <w:rFonts w:hint="default"/>
      </w:rPr>
    </w:lvl>
    <w:lvl w:ilvl="7">
      <w:start w:val="0"/>
      <w:numFmt w:val="bullet"/>
      <w:lvlText w:val="•"/>
      <w:lvlJc w:val="left"/>
      <w:pPr>
        <w:ind w:left="5387" w:hanging="732"/>
      </w:pPr>
      <w:rPr>
        <w:rFonts w:hint="default"/>
      </w:rPr>
    </w:lvl>
    <w:lvl w:ilvl="8">
      <w:start w:val="0"/>
      <w:numFmt w:val="bullet"/>
      <w:lvlText w:val="•"/>
      <w:lvlJc w:val="left"/>
      <w:pPr>
        <w:ind w:left="5999" w:hanging="732"/>
      </w:pPr>
      <w:rPr>
        <w:rFonts w:hint="default"/>
      </w:rPr>
    </w:lvl>
  </w:abstractNum>
  <w:abstractNum w:abstractNumId="3">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2">
    <w:multiLevelType w:val="hybridMultilevel"/>
    <w:lvl w:ilvl="0">
      <w:start w:val="2"/>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48" w:hanging="420"/>
        <w:jc w:val="left"/>
      </w:pPr>
      <w:rPr>
        <w:rFonts w:hint="default" w:ascii="宋体" w:hAnsi="宋体" w:eastAsia="宋体" w:cs="宋体"/>
        <w:w w:val="100"/>
        <w:sz w:val="21"/>
        <w:szCs w:val="21"/>
      </w:rPr>
    </w:lvl>
    <w:lvl w:ilvl="3">
      <w:start w:val="0"/>
      <w:numFmt w:val="bullet"/>
      <w:lvlText w:val="•"/>
      <w:lvlJc w:val="left"/>
      <w:pPr>
        <w:ind w:left="4471" w:hanging="420"/>
      </w:pPr>
      <w:rPr>
        <w:rFonts w:hint="default"/>
      </w:rPr>
    </w:lvl>
    <w:lvl w:ilvl="4">
      <w:start w:val="0"/>
      <w:numFmt w:val="bullet"/>
      <w:lvlText w:val="•"/>
      <w:lvlJc w:val="left"/>
      <w:pPr>
        <w:ind w:left="5186" w:hanging="420"/>
      </w:pPr>
      <w:rPr>
        <w:rFonts w:hint="default"/>
      </w:rPr>
    </w:lvl>
    <w:lvl w:ilvl="5">
      <w:start w:val="0"/>
      <w:numFmt w:val="bullet"/>
      <w:lvlText w:val="•"/>
      <w:lvlJc w:val="left"/>
      <w:pPr>
        <w:ind w:left="5902" w:hanging="420"/>
      </w:pPr>
      <w:rPr>
        <w:rFonts w:hint="default"/>
      </w:rPr>
    </w:lvl>
    <w:lvl w:ilvl="6">
      <w:start w:val="0"/>
      <w:numFmt w:val="bullet"/>
      <w:lvlText w:val="•"/>
      <w:lvlJc w:val="left"/>
      <w:pPr>
        <w:ind w:left="6617" w:hanging="420"/>
      </w:pPr>
      <w:rPr>
        <w:rFonts w:hint="default"/>
      </w:rPr>
    </w:lvl>
    <w:lvl w:ilvl="7">
      <w:start w:val="0"/>
      <w:numFmt w:val="bullet"/>
      <w:lvlText w:val="•"/>
      <w:lvlJc w:val="left"/>
      <w:pPr>
        <w:ind w:left="7333" w:hanging="420"/>
      </w:pPr>
      <w:rPr>
        <w:rFonts w:hint="default"/>
      </w:rPr>
    </w:lvl>
    <w:lvl w:ilvl="8">
      <w:start w:val="0"/>
      <w:numFmt w:val="bullet"/>
      <w:lvlText w:val="•"/>
      <w:lvlJc w:val="left"/>
      <w:pPr>
        <w:ind w:left="8048" w:hanging="4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125"/>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CCRA20091001</dc:title>
  <dcterms:created xsi:type="dcterms:W3CDTF">2018-10-20T01:50:14Z</dcterms:created>
  <dcterms:modified xsi:type="dcterms:W3CDTF">2018-10-20T01:50:14Z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2018-10-19T00:00:00Z</vt:filetime>
  </property>
</Properties>
</file>