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8"/>
        <w:ind w:left="0" w:right="114" w:firstLine="0"/>
        <w:jc w:val="right"/>
        <w:rPr>
          <w:sz w:val="18"/>
        </w:rPr>
      </w:pPr>
      <w:r>
        <w:rPr>
          <w:sz w:val="18"/>
        </w:rPr>
        <w:t>北大方正人寿[2014]疾病保险 020 号</w:t>
      </w:r>
    </w:p>
    <w:p>
      <w:pPr>
        <w:pStyle w:val="BodyText"/>
        <w:spacing w:before="10"/>
        <w:rPr>
          <w:sz w:val="7"/>
        </w:rPr>
      </w:pPr>
    </w:p>
    <w:p>
      <w:pPr>
        <w:pStyle w:val="BodyText"/>
        <w:ind w:left="7500"/>
      </w:pPr>
      <w:r>
        <w:rPr/>
        <w:drawing>
          <wp:inline distT="0" distB="0" distL="0" distR="0">
            <wp:extent cx="723872"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72" cy="723900"/>
                    </a:xfrm>
                    <a:prstGeom prst="rect">
                      <a:avLst/>
                    </a:prstGeom>
                  </pic:spPr>
                </pic:pic>
              </a:graphicData>
            </a:graphic>
          </wp:inline>
        </w:drawing>
      </w:r>
      <w:r>
        <w:rPr/>
      </w:r>
    </w:p>
    <w:p>
      <w:pPr>
        <w:spacing w:after="0"/>
        <w:sectPr>
          <w:footerReference w:type="default" r:id="rId5"/>
          <w:type w:val="continuous"/>
          <w:pgSz w:w="11960" w:h="16850"/>
          <w:pgMar w:footer="1001" w:top="280" w:bottom="1200" w:left="1600" w:right="760"/>
          <w:pgNumType w:start="1"/>
        </w:sectPr>
      </w:pPr>
    </w:p>
    <w:p>
      <w:pPr>
        <w:spacing w:line="378" w:lineRule="exact" w:before="0"/>
        <w:ind w:left="2614" w:right="70" w:firstLine="0"/>
        <w:jc w:val="center"/>
        <w:rPr>
          <w:b/>
          <w:sz w:val="30"/>
        </w:rPr>
      </w:pPr>
      <w:r>
        <w:rPr>
          <w:b/>
          <w:w w:val="95"/>
          <w:sz w:val="30"/>
        </w:rPr>
        <w:t>北大方正人寿保险有限公司</w:t>
      </w:r>
    </w:p>
    <w:p>
      <w:pPr>
        <w:spacing w:before="231"/>
        <w:ind w:left="2614" w:right="70" w:firstLine="0"/>
        <w:jc w:val="center"/>
        <w:rPr>
          <w:b/>
          <w:sz w:val="30"/>
        </w:rPr>
      </w:pPr>
      <w:r>
        <w:rPr>
          <w:b/>
          <w:w w:val="95"/>
          <w:sz w:val="30"/>
        </w:rPr>
        <w:t>附加瑞禧重大疾病保险条款</w:t>
      </w:r>
    </w:p>
    <w:p>
      <w:pPr>
        <w:spacing w:before="231"/>
        <w:ind w:left="2614" w:right="66" w:firstLine="0"/>
        <w:jc w:val="center"/>
        <w:rPr>
          <w:b/>
          <w:sz w:val="30"/>
        </w:rPr>
      </w:pPr>
      <w:r>
        <w:rPr>
          <w:b/>
          <w:sz w:val="30"/>
        </w:rPr>
        <w:t>（</w:t>
      </w:r>
      <w:r>
        <w:rPr>
          <w:rFonts w:ascii="Times New Roman" w:eastAsia="Times New Roman"/>
          <w:b/>
          <w:sz w:val="30"/>
        </w:rPr>
        <w:t>2014 </w:t>
      </w:r>
      <w:r>
        <w:rPr>
          <w:b/>
          <w:sz w:val="30"/>
        </w:rPr>
        <w:t>年 </w:t>
      </w:r>
      <w:r>
        <w:rPr>
          <w:rFonts w:ascii="Times New Roman" w:eastAsia="Times New Roman"/>
          <w:b/>
          <w:sz w:val="30"/>
        </w:rPr>
        <w:t>10 </w:t>
      </w:r>
      <w:r>
        <w:rPr>
          <w:b/>
          <w:sz w:val="30"/>
        </w:rPr>
        <w:t>月）</w:t>
      </w:r>
    </w:p>
    <w:p>
      <w:pPr>
        <w:spacing w:before="25"/>
        <w:ind w:left="938" w:right="0" w:firstLine="0"/>
        <w:jc w:val="left"/>
        <w:rPr>
          <w:sz w:val="18"/>
        </w:rPr>
      </w:pPr>
      <w:r>
        <w:rPr/>
        <w:br w:type="column"/>
      </w:r>
      <w:r>
        <w:rPr>
          <w:sz w:val="18"/>
        </w:rPr>
        <w:t>请扫描以查询验证条款</w:t>
      </w:r>
    </w:p>
    <w:p>
      <w:pPr>
        <w:spacing w:after="0"/>
        <w:jc w:val="left"/>
        <w:rPr>
          <w:sz w:val="18"/>
        </w:rPr>
        <w:sectPr>
          <w:type w:val="continuous"/>
          <w:pgSz w:w="11960" w:h="16850"/>
          <w:pgMar w:top="280" w:bottom="1200" w:left="1600" w:right="760"/>
          <w:cols w:num="2" w:equalWidth="0">
            <w:col w:w="6158" w:space="40"/>
            <w:col w:w="3402"/>
          </w:cols>
        </w:sectPr>
      </w:pPr>
    </w:p>
    <w:p>
      <w:pPr>
        <w:pStyle w:val="BodyText"/>
      </w:pPr>
    </w:p>
    <w:p>
      <w:pPr>
        <w:pStyle w:val="BodyText"/>
        <w:spacing w:before="3"/>
        <w:rPr>
          <w:sz w:val="29"/>
        </w:rPr>
      </w:pPr>
    </w:p>
    <w:p>
      <w:pPr>
        <w:spacing w:before="36"/>
        <w:ind w:left="0" w:right="882" w:firstLine="0"/>
        <w:jc w:val="center"/>
        <w:rPr>
          <w:sz w:val="21"/>
        </w:rPr>
      </w:pPr>
      <w:r>
        <w:rPr>
          <w:sz w:val="21"/>
        </w:rPr>
        <w:t>目录</w:t>
      </w:r>
    </w:p>
    <w:sdt>
      <w:sdtPr>
        <w:docPartObj>
          <w:docPartGallery w:val="Table of Contents"/>
          <w:docPartUnique/>
        </w:docPartObj>
      </w:sdtPr>
      <w:sdtEndPr/>
      <w:sdtContent>
        <w:p>
          <w:pPr>
            <w:pStyle w:val="TOC1"/>
            <w:tabs>
              <w:tab w:pos="8387" w:val="left" w:leader="middleDot"/>
            </w:tabs>
            <w:spacing w:before="156"/>
            <w:ind w:right="541"/>
            <w:rPr>
              <w:rFonts w:ascii="Times New Roman" w:hAnsi="Times New Roman" w:eastAsia="Times New Roman"/>
            </w:rPr>
          </w:pPr>
          <w:r>
            <w:rPr/>
            <w:t>第一</w:t>
          </w:r>
          <w:r>
            <w:rPr>
              <w:spacing w:val="-3"/>
            </w:rPr>
            <w:t>部</w:t>
          </w:r>
          <w:r>
            <w:rPr/>
            <w:t>分</w:t>
          </w:r>
          <w:r>
            <w:rPr>
              <w:spacing w:val="-54"/>
            </w:rPr>
            <w:t> </w:t>
          </w:r>
          <w:r>
            <w:rPr>
              <w:rFonts w:ascii="Calibri" w:hAnsi="Calibri" w:eastAsia="Calibri"/>
            </w:rPr>
            <w:t>···</w:t>
          </w:r>
          <w:r>
            <w:rPr/>
            <w:t>您（</w:t>
          </w:r>
          <w:r>
            <w:rPr>
              <w:spacing w:val="-3"/>
            </w:rPr>
            <w:t>投</w:t>
          </w:r>
          <w:r>
            <w:rPr/>
            <w:t>保</w:t>
          </w:r>
          <w:r>
            <w:rPr>
              <w:spacing w:val="-3"/>
            </w:rPr>
            <w:t>人</w:t>
          </w:r>
          <w:r>
            <w:rPr/>
            <w:t>）</w:t>
          </w:r>
          <w:r>
            <w:rPr>
              <w:spacing w:val="-3"/>
            </w:rPr>
            <w:t>与</w:t>
          </w:r>
          <w:r>
            <w:rPr/>
            <w:t>我</w:t>
          </w:r>
          <w:r>
            <w:rPr>
              <w:spacing w:val="-3"/>
            </w:rPr>
            <w:t>们</w:t>
          </w:r>
          <w:r>
            <w:rPr/>
            <w:t>（</w:t>
          </w:r>
          <w:r>
            <w:rPr>
              <w:spacing w:val="-3"/>
            </w:rPr>
            <w:t>北</w:t>
          </w:r>
          <w:r>
            <w:rPr/>
            <w:t>大方</w:t>
          </w:r>
          <w:r>
            <w:rPr>
              <w:spacing w:val="-3"/>
            </w:rPr>
            <w:t>正</w:t>
          </w:r>
          <w:r>
            <w:rPr/>
            <w:t>人</w:t>
          </w:r>
          <w:r>
            <w:rPr>
              <w:spacing w:val="-3"/>
            </w:rPr>
            <w:t>寿</w:t>
          </w:r>
          <w:r>
            <w:rPr/>
            <w:t>保</w:t>
          </w:r>
          <w:r>
            <w:rPr>
              <w:spacing w:val="-3"/>
            </w:rPr>
            <w:t>险</w:t>
          </w:r>
          <w:r>
            <w:rPr/>
            <w:t>有</w:t>
          </w:r>
          <w:r>
            <w:rPr>
              <w:spacing w:val="-3"/>
            </w:rPr>
            <w:t>限</w:t>
          </w:r>
          <w:r>
            <w:rPr/>
            <w:t>公</w:t>
          </w:r>
          <w:r>
            <w:rPr>
              <w:spacing w:val="-3"/>
            </w:rPr>
            <w:t>司</w:t>
          </w:r>
          <w:r>
            <w:rPr/>
            <w:t>）的</w:t>
          </w:r>
          <w:r>
            <w:rPr>
              <w:spacing w:val="-3"/>
            </w:rPr>
            <w:t>合</w:t>
          </w:r>
          <w:r>
            <w:rPr/>
            <w:t>同</w:t>
            <w:tab/>
          </w:r>
          <w:r>
            <w:rPr>
              <w:rFonts w:ascii="Times New Roman" w:hAnsi="Times New Roman" w:eastAsia="Times New Roman"/>
              <w:spacing w:val="-11"/>
            </w:rPr>
            <w:t>3······</w:t>
          </w:r>
        </w:p>
        <w:p>
          <w:pPr>
            <w:pStyle w:val="TOC1"/>
            <w:tabs>
              <w:tab w:pos="1207" w:val="left" w:leader="none"/>
              <w:tab w:pos="8176" w:val="left" w:leader="dot"/>
            </w:tabs>
            <w:spacing w:before="130"/>
            <w:rPr>
              <w:rFonts w:ascii="Times New Roman" w:eastAsia="Times New Roman"/>
            </w:rPr>
          </w:pPr>
          <w:hyperlink w:history="true" w:anchor="_TOC_250024">
            <w:r>
              <w:rPr/>
              <w:t>第一条</w:t>
              <w:tab/>
              <w:t>合同</w:t>
            </w:r>
            <w:r>
              <w:rPr>
                <w:spacing w:val="-3"/>
              </w:rPr>
              <w:t>的</w:t>
            </w:r>
            <w:r>
              <w:rPr/>
              <w:t>构成</w:t>
              <w:tab/>
            </w:r>
            <w:r>
              <w:rPr>
                <w:rFonts w:ascii="Times New Roman" w:eastAsia="Times New Roman"/>
              </w:rPr>
              <w:t>3</w:t>
            </w:r>
          </w:hyperlink>
        </w:p>
        <w:p>
          <w:pPr>
            <w:pStyle w:val="TOC1"/>
            <w:tabs>
              <w:tab w:pos="1207" w:val="left" w:leader="none"/>
              <w:tab w:pos="8176" w:val="left" w:leader="dot"/>
            </w:tabs>
            <w:rPr>
              <w:rFonts w:ascii="Times New Roman" w:eastAsia="Times New Roman"/>
            </w:rPr>
          </w:pPr>
          <w:r>
            <w:rPr/>
            <w:t>第二条</w:t>
            <w:tab/>
            <w:t>投保</w:t>
          </w:r>
          <w:r>
            <w:rPr>
              <w:spacing w:val="-3"/>
            </w:rPr>
            <w:t>范</w:t>
          </w:r>
          <w:r>
            <w:rPr/>
            <w:t>围</w:t>
            <w:tab/>
          </w:r>
          <w:r>
            <w:rPr>
              <w:rFonts w:ascii="Times New Roman" w:eastAsia="Times New Roman"/>
            </w:rPr>
            <w:t>3</w:t>
          </w:r>
        </w:p>
        <w:p>
          <w:pPr>
            <w:pStyle w:val="TOC1"/>
            <w:tabs>
              <w:tab w:pos="1207" w:val="left" w:leader="none"/>
              <w:tab w:pos="8176" w:val="left" w:leader="dot"/>
            </w:tabs>
            <w:rPr>
              <w:rFonts w:ascii="Times New Roman" w:eastAsia="Times New Roman"/>
            </w:rPr>
          </w:pPr>
          <w:hyperlink w:history="true" w:anchor="_TOC_250023">
            <w:r>
              <w:rPr/>
              <w:t>第三条</w:t>
              <w:tab/>
              <w:t>保险</w:t>
            </w:r>
            <w:r>
              <w:rPr>
                <w:spacing w:val="-3"/>
              </w:rPr>
              <w:t>期</w:t>
            </w:r>
            <w:r>
              <w:rPr/>
              <w:t>间</w:t>
              <w:tab/>
            </w:r>
            <w:r>
              <w:rPr>
                <w:rFonts w:ascii="Times New Roman" w:eastAsia="Times New Roman"/>
              </w:rPr>
              <w:t>3</w:t>
            </w:r>
          </w:hyperlink>
        </w:p>
        <w:p>
          <w:pPr>
            <w:pStyle w:val="TOC1"/>
            <w:tabs>
              <w:tab w:pos="1207" w:val="left" w:leader="none"/>
              <w:tab w:pos="8176" w:val="left" w:leader="dot"/>
            </w:tabs>
            <w:rPr>
              <w:rFonts w:ascii="Times New Roman" w:eastAsia="Times New Roman"/>
            </w:rPr>
          </w:pPr>
          <w:hyperlink w:history="true" w:anchor="_TOC_250022">
            <w:r>
              <w:rPr/>
              <w:t>第四条</w:t>
              <w:tab/>
              <w:t>保险</w:t>
            </w:r>
            <w:r>
              <w:rPr>
                <w:spacing w:val="-3"/>
              </w:rPr>
              <w:t>责</w:t>
            </w:r>
            <w:r>
              <w:rPr/>
              <w:t>任</w:t>
            </w:r>
            <w:r>
              <w:rPr>
                <w:spacing w:val="-3"/>
              </w:rPr>
              <w:t>的</w:t>
            </w:r>
            <w:r>
              <w:rPr/>
              <w:t>开始</w:t>
              <w:tab/>
            </w:r>
            <w:r>
              <w:rPr>
                <w:rFonts w:ascii="Times New Roman" w:eastAsia="Times New Roman"/>
              </w:rPr>
              <w:t>3</w:t>
            </w:r>
          </w:hyperlink>
        </w:p>
        <w:p>
          <w:pPr>
            <w:pStyle w:val="TOC1"/>
            <w:tabs>
              <w:tab w:pos="1207" w:val="left" w:leader="none"/>
              <w:tab w:pos="8176" w:val="left" w:leader="dot"/>
            </w:tabs>
            <w:rPr>
              <w:rFonts w:ascii="Times New Roman" w:eastAsia="Times New Roman"/>
            </w:rPr>
          </w:pPr>
          <w:hyperlink w:history="true" w:anchor="_TOC_250021">
            <w:r>
              <w:rPr/>
              <w:t>第五条</w:t>
              <w:tab/>
              <w:t>犹豫期</w:t>
              <w:tab/>
            </w:r>
            <w:r>
              <w:rPr>
                <w:rFonts w:ascii="Times New Roman" w:eastAsia="Times New Roman"/>
              </w:rPr>
              <w:t>3</w:t>
            </w:r>
          </w:hyperlink>
        </w:p>
        <w:p>
          <w:pPr>
            <w:pStyle w:val="TOC2"/>
            <w:tabs>
              <w:tab w:pos="8488" w:val="left" w:leader="middleDot"/>
            </w:tabs>
            <w:rPr>
              <w:rFonts w:ascii="Times New Roman" w:hAnsi="Times New Roman" w:eastAsia="Times New Roman"/>
            </w:rPr>
          </w:pPr>
          <w:hyperlink w:history="true" w:anchor="_TOC_250020">
            <w:r>
              <w:rPr/>
              <w:t>第二</w:t>
            </w:r>
            <w:r>
              <w:rPr>
                <w:spacing w:val="-3"/>
              </w:rPr>
              <w:t>部</w:t>
            </w:r>
            <w:r>
              <w:rPr/>
              <w:t>分</w:t>
            </w:r>
            <w:r>
              <w:rPr>
                <w:spacing w:val="-58"/>
              </w:rPr>
              <w:t> </w:t>
            </w:r>
            <w:r>
              <w:rPr>
                <w:rFonts w:ascii="Calibri" w:hAnsi="Calibri" w:eastAsia="Calibri"/>
              </w:rPr>
              <w:t>···</w:t>
            </w:r>
            <w:r>
              <w:rPr/>
              <w:t>我们</w:t>
            </w:r>
            <w:r>
              <w:rPr>
                <w:spacing w:val="-3"/>
              </w:rPr>
              <w:t>提</w:t>
            </w:r>
            <w:r>
              <w:rPr/>
              <w:t>供</w:t>
            </w:r>
            <w:r>
              <w:rPr>
                <w:spacing w:val="-3"/>
              </w:rPr>
              <w:t>的</w:t>
            </w:r>
            <w:r>
              <w:rPr/>
              <w:t>保障</w:t>
              <w:tab/>
            </w:r>
            <w:r>
              <w:rPr>
                <w:rFonts w:ascii="Times New Roman" w:hAnsi="Times New Roman" w:eastAsia="Times New Roman"/>
                <w:spacing w:val="-33"/>
              </w:rPr>
              <w:t>4·</w:t>
            </w:r>
          </w:hyperlink>
        </w:p>
        <w:p>
          <w:pPr>
            <w:pStyle w:val="TOC1"/>
            <w:tabs>
              <w:tab w:pos="1207" w:val="left" w:leader="none"/>
              <w:tab w:pos="8176" w:val="left" w:leader="dot"/>
            </w:tabs>
            <w:spacing w:before="130"/>
            <w:rPr>
              <w:rFonts w:ascii="Times New Roman" w:eastAsia="Times New Roman"/>
            </w:rPr>
          </w:pPr>
          <w:hyperlink w:history="true" w:anchor="_TOC_250019">
            <w:r>
              <w:rPr/>
              <w:t>第六条</w:t>
              <w:tab/>
              <w:t>基本</w:t>
            </w:r>
            <w:r>
              <w:rPr>
                <w:spacing w:val="-3"/>
              </w:rPr>
              <w:t>保</w:t>
            </w:r>
            <w:r>
              <w:rPr/>
              <w:t>险</w:t>
            </w:r>
            <w:r>
              <w:rPr>
                <w:spacing w:val="-3"/>
              </w:rPr>
              <w:t>金</w:t>
            </w:r>
            <w:r>
              <w:rPr/>
              <w:t>额</w:t>
              <w:tab/>
            </w:r>
            <w:r>
              <w:rPr>
                <w:rFonts w:ascii="Times New Roman" w:eastAsia="Times New Roman"/>
              </w:rPr>
              <w:t>4</w:t>
            </w:r>
          </w:hyperlink>
        </w:p>
        <w:p>
          <w:pPr>
            <w:pStyle w:val="TOC1"/>
            <w:tabs>
              <w:tab w:pos="1207" w:val="left" w:leader="none"/>
              <w:tab w:pos="8176" w:val="left" w:leader="dot"/>
            </w:tabs>
            <w:rPr>
              <w:rFonts w:ascii="Times New Roman" w:eastAsia="Times New Roman"/>
            </w:rPr>
          </w:pPr>
          <w:hyperlink w:history="true" w:anchor="_TOC_250018">
            <w:r>
              <w:rPr/>
              <w:t>第七条</w:t>
              <w:tab/>
              <w:t>保险</w:t>
            </w:r>
            <w:r>
              <w:rPr>
                <w:spacing w:val="-3"/>
              </w:rPr>
              <w:t>责</w:t>
            </w:r>
            <w:r>
              <w:rPr/>
              <w:t>任</w:t>
              <w:tab/>
            </w:r>
            <w:r>
              <w:rPr>
                <w:rFonts w:ascii="Times New Roman" w:eastAsia="Times New Roman"/>
              </w:rPr>
              <w:t>4</w:t>
            </w:r>
          </w:hyperlink>
        </w:p>
        <w:p>
          <w:pPr>
            <w:pStyle w:val="TOC1"/>
            <w:tabs>
              <w:tab w:pos="1207" w:val="left" w:leader="none"/>
              <w:tab w:pos="8176" w:val="left" w:leader="dot"/>
            </w:tabs>
            <w:rPr>
              <w:rFonts w:ascii="Times New Roman" w:eastAsia="Times New Roman"/>
            </w:rPr>
          </w:pPr>
          <w:hyperlink w:history="true" w:anchor="_TOC_250017">
            <w:r>
              <w:rPr/>
              <w:t>第八条</w:t>
              <w:tab/>
              <w:t>责任</w:t>
            </w:r>
            <w:r>
              <w:rPr>
                <w:spacing w:val="-3"/>
              </w:rPr>
              <w:t>免</w:t>
            </w:r>
            <w:r>
              <w:rPr/>
              <w:t>除</w:t>
              <w:tab/>
            </w:r>
            <w:r>
              <w:rPr>
                <w:rFonts w:ascii="Times New Roman" w:eastAsia="Times New Roman"/>
              </w:rPr>
              <w:t>5</w:t>
            </w:r>
          </w:hyperlink>
        </w:p>
        <w:p>
          <w:pPr>
            <w:pStyle w:val="TOC1"/>
            <w:tabs>
              <w:tab w:pos="8387" w:val="left" w:leader="middleDot"/>
            </w:tabs>
            <w:spacing w:before="141"/>
            <w:ind w:right="541"/>
            <w:rPr>
              <w:rFonts w:ascii="Times New Roman" w:hAnsi="Times New Roman" w:eastAsia="Times New Roman"/>
            </w:rPr>
          </w:pPr>
          <w:hyperlink w:history="true" w:anchor="_TOC_250016">
            <w:r>
              <w:rPr/>
              <w:t>第三</w:t>
            </w:r>
            <w:r>
              <w:rPr>
                <w:spacing w:val="-3"/>
              </w:rPr>
              <w:t>部</w:t>
            </w:r>
            <w:r>
              <w:rPr/>
              <w:t>分</w:t>
            </w:r>
            <w:r>
              <w:rPr>
                <w:spacing w:val="-58"/>
              </w:rPr>
              <w:t> </w:t>
            </w:r>
            <w:r>
              <w:rPr>
                <w:rFonts w:ascii="Calibri" w:hAnsi="Calibri" w:eastAsia="Calibri"/>
              </w:rPr>
              <w:t>···</w:t>
            </w:r>
            <w:r>
              <w:rPr/>
              <w:t>如何</w:t>
            </w:r>
            <w:r>
              <w:rPr>
                <w:spacing w:val="-3"/>
              </w:rPr>
              <w:t>申</w:t>
            </w:r>
            <w:r>
              <w:rPr/>
              <w:t>请</w:t>
            </w:r>
            <w:r>
              <w:rPr>
                <w:spacing w:val="-3"/>
              </w:rPr>
              <w:t>领</w:t>
            </w:r>
            <w:r>
              <w:rPr/>
              <w:t>取</w:t>
            </w:r>
            <w:r>
              <w:rPr>
                <w:spacing w:val="-3"/>
              </w:rPr>
              <w:t>保</w:t>
            </w:r>
            <w:r>
              <w:rPr/>
              <w:t>险金</w:t>
              <w:tab/>
            </w:r>
            <w:r>
              <w:rPr>
                <w:rFonts w:ascii="Times New Roman" w:hAnsi="Times New Roman" w:eastAsia="Times New Roman"/>
                <w:spacing w:val="-11"/>
              </w:rPr>
              <w:t>6······</w:t>
            </w:r>
          </w:hyperlink>
        </w:p>
        <w:p>
          <w:pPr>
            <w:pStyle w:val="TOC1"/>
            <w:tabs>
              <w:tab w:pos="1207" w:val="left" w:leader="none"/>
              <w:tab w:pos="8176" w:val="left" w:leader="dot"/>
            </w:tabs>
            <w:spacing w:before="130"/>
            <w:rPr>
              <w:rFonts w:ascii="Times New Roman" w:eastAsia="Times New Roman"/>
            </w:rPr>
          </w:pPr>
          <w:hyperlink w:history="true" w:anchor="_TOC_250015">
            <w:r>
              <w:rPr/>
              <w:t>第九条</w:t>
              <w:tab/>
              <w:t>受益</w:t>
            </w:r>
            <w:r>
              <w:rPr>
                <w:spacing w:val="-3"/>
              </w:rPr>
              <w:t>人</w:t>
            </w:r>
            <w:r>
              <w:rPr/>
              <w:t>的</w:t>
            </w:r>
            <w:r>
              <w:rPr>
                <w:spacing w:val="-3"/>
              </w:rPr>
              <w:t>指</w:t>
            </w:r>
            <w:r>
              <w:rPr/>
              <w:t>定</w:t>
            </w:r>
            <w:r>
              <w:rPr>
                <w:spacing w:val="-3"/>
              </w:rPr>
              <w:t>和</w:t>
            </w:r>
            <w:r>
              <w:rPr/>
              <w:t>变更</w:t>
              <w:tab/>
            </w:r>
            <w:r>
              <w:rPr>
                <w:rFonts w:ascii="Times New Roman" w:eastAsia="Times New Roman"/>
              </w:rPr>
              <w:t>6</w:t>
            </w:r>
          </w:hyperlink>
        </w:p>
        <w:p>
          <w:pPr>
            <w:pStyle w:val="TOC1"/>
            <w:tabs>
              <w:tab w:pos="1207" w:val="left" w:leader="none"/>
              <w:tab w:pos="8176" w:val="left" w:leader="dot"/>
            </w:tabs>
            <w:rPr>
              <w:rFonts w:ascii="Times New Roman" w:eastAsia="Times New Roman"/>
            </w:rPr>
          </w:pPr>
          <w:hyperlink w:history="true" w:anchor="_TOC_250014">
            <w:r>
              <w:rPr/>
              <w:t>第十条</w:t>
              <w:tab/>
              <w:t>申请</w:t>
            </w:r>
            <w:r>
              <w:rPr>
                <w:spacing w:val="-3"/>
              </w:rPr>
              <w:t>资</w:t>
            </w:r>
            <w:r>
              <w:rPr/>
              <w:t>料</w:t>
              <w:tab/>
            </w:r>
            <w:r>
              <w:rPr>
                <w:rFonts w:ascii="Times New Roman" w:eastAsia="Times New Roman"/>
              </w:rPr>
              <w:t>6</w:t>
            </w:r>
          </w:hyperlink>
        </w:p>
        <w:p>
          <w:pPr>
            <w:pStyle w:val="TOC1"/>
            <w:tabs>
              <w:tab w:pos="1207" w:val="left" w:leader="none"/>
              <w:tab w:pos="8176" w:val="left" w:leader="dot"/>
            </w:tabs>
            <w:rPr>
              <w:rFonts w:ascii="Times New Roman" w:eastAsia="Times New Roman"/>
            </w:rPr>
          </w:pPr>
          <w:hyperlink w:history="true" w:anchor="_TOC_250013">
            <w:r>
              <w:rPr/>
              <w:t>第十</w:t>
            </w:r>
            <w:r>
              <w:rPr>
                <w:spacing w:val="-3"/>
              </w:rPr>
              <w:t>一</w:t>
            </w:r>
            <w:r>
              <w:rPr/>
              <w:t>条</w:t>
              <w:tab/>
              <w:t>诉讼</w:t>
            </w:r>
            <w:r>
              <w:rPr>
                <w:spacing w:val="-3"/>
              </w:rPr>
              <w:t>时</w:t>
            </w:r>
            <w:r>
              <w:rPr/>
              <w:t>效</w:t>
              <w:tab/>
            </w:r>
            <w:r>
              <w:rPr>
                <w:rFonts w:ascii="Times New Roman" w:eastAsia="Times New Roman"/>
              </w:rPr>
              <w:t>6</w:t>
            </w:r>
          </w:hyperlink>
        </w:p>
        <w:p>
          <w:pPr>
            <w:pStyle w:val="TOC2"/>
            <w:tabs>
              <w:tab w:pos="8488" w:val="left" w:leader="middleDot"/>
            </w:tabs>
            <w:rPr>
              <w:rFonts w:ascii="Times New Roman" w:hAnsi="Times New Roman" w:eastAsia="Times New Roman"/>
            </w:rPr>
          </w:pPr>
          <w:hyperlink w:history="true" w:anchor="_TOC_250012">
            <w:r>
              <w:rPr/>
              <w:t>第四</w:t>
            </w:r>
            <w:r>
              <w:rPr>
                <w:spacing w:val="-3"/>
              </w:rPr>
              <w:t>部</w:t>
            </w:r>
            <w:r>
              <w:rPr/>
              <w:t>分</w:t>
            </w:r>
            <w:r>
              <w:rPr>
                <w:spacing w:val="-58"/>
              </w:rPr>
              <w:t> </w:t>
            </w:r>
            <w:r>
              <w:rPr>
                <w:rFonts w:ascii="Calibri" w:hAnsi="Calibri" w:eastAsia="Calibri"/>
              </w:rPr>
              <w:t>···</w:t>
            </w:r>
            <w:r>
              <w:rPr/>
              <w:t>如何</w:t>
            </w:r>
            <w:r>
              <w:rPr>
                <w:spacing w:val="-3"/>
              </w:rPr>
              <w:t>交</w:t>
            </w:r>
            <w:r>
              <w:rPr/>
              <w:t>纳</w:t>
            </w:r>
            <w:r>
              <w:rPr>
                <w:spacing w:val="-3"/>
              </w:rPr>
              <w:t>保</w:t>
            </w:r>
            <w:r>
              <w:rPr/>
              <w:t>险费</w:t>
              <w:tab/>
            </w:r>
            <w:r>
              <w:rPr>
                <w:rFonts w:ascii="Times New Roman" w:hAnsi="Times New Roman" w:eastAsia="Times New Roman"/>
                <w:spacing w:val="-33"/>
              </w:rPr>
              <w:t>6·</w:t>
            </w:r>
          </w:hyperlink>
        </w:p>
        <w:p>
          <w:pPr>
            <w:pStyle w:val="TOC1"/>
            <w:tabs>
              <w:tab w:pos="1207" w:val="left" w:leader="none"/>
              <w:tab w:pos="8176" w:val="left" w:leader="dot"/>
            </w:tabs>
            <w:spacing w:before="130"/>
            <w:rPr>
              <w:rFonts w:ascii="Times New Roman" w:eastAsia="Times New Roman"/>
            </w:rPr>
          </w:pPr>
          <w:hyperlink w:history="true" w:anchor="_TOC_250011">
            <w:r>
              <w:rPr/>
              <w:t>第十</w:t>
            </w:r>
            <w:r>
              <w:rPr>
                <w:spacing w:val="-3"/>
              </w:rPr>
              <w:t>二</w:t>
            </w:r>
            <w:r>
              <w:rPr/>
              <w:t>条</w:t>
              <w:tab/>
              <w:t>保险</w:t>
            </w:r>
            <w:r>
              <w:rPr>
                <w:spacing w:val="-3"/>
              </w:rPr>
              <w:t>费</w:t>
            </w:r>
            <w:r>
              <w:rPr/>
              <w:t>的</w:t>
            </w:r>
            <w:r>
              <w:rPr>
                <w:spacing w:val="-3"/>
              </w:rPr>
              <w:t>交</w:t>
            </w:r>
            <w:r>
              <w:rPr/>
              <w:t>纳</w:t>
              <w:tab/>
            </w:r>
            <w:r>
              <w:rPr>
                <w:rFonts w:ascii="Times New Roman" w:eastAsia="Times New Roman"/>
              </w:rPr>
              <w:t>7</w:t>
            </w:r>
          </w:hyperlink>
        </w:p>
        <w:p>
          <w:pPr>
            <w:pStyle w:val="TOC1"/>
            <w:tabs>
              <w:tab w:pos="8387" w:val="left" w:leader="middleDot"/>
            </w:tabs>
            <w:spacing w:before="141"/>
            <w:ind w:right="818"/>
            <w:rPr>
              <w:rFonts w:ascii="Times New Roman" w:hAnsi="Times New Roman" w:eastAsia="Times New Roman"/>
            </w:rPr>
          </w:pPr>
          <w:hyperlink w:history="true" w:anchor="_TOC_250010">
            <w:r>
              <w:rPr/>
              <w:t>第五</w:t>
            </w:r>
            <w:r>
              <w:rPr>
                <w:spacing w:val="-3"/>
              </w:rPr>
              <w:t>部</w:t>
            </w:r>
            <w:r>
              <w:rPr/>
              <w:t>分</w:t>
            </w:r>
            <w:r>
              <w:rPr>
                <w:spacing w:val="-59"/>
              </w:rPr>
              <w:t> </w:t>
            </w:r>
            <w:r>
              <w:rPr>
                <w:rFonts w:ascii="Calibri" w:hAnsi="Calibri" w:eastAsia="Calibri"/>
              </w:rPr>
              <w:t>···</w:t>
            </w:r>
            <w:r>
              <w:rPr/>
              <w:t>现金</w:t>
            </w:r>
            <w:r>
              <w:rPr>
                <w:spacing w:val="-3"/>
              </w:rPr>
              <w:t>价</w:t>
            </w:r>
            <w:r>
              <w:rPr/>
              <w:t>值</w:t>
            </w:r>
            <w:r>
              <w:rPr>
                <w:spacing w:val="-3"/>
              </w:rPr>
              <w:t>权</w:t>
            </w:r>
            <w:r>
              <w:rPr/>
              <w:t>益</w:t>
              <w:tab/>
            </w:r>
            <w:r>
              <w:rPr>
                <w:rFonts w:ascii="Times New Roman" w:hAnsi="Times New Roman" w:eastAsia="Times New Roman"/>
                <w:spacing w:val="-23"/>
              </w:rPr>
              <w:t>7··</w:t>
            </w:r>
          </w:hyperlink>
        </w:p>
        <w:p>
          <w:pPr>
            <w:pStyle w:val="TOC1"/>
            <w:tabs>
              <w:tab w:pos="1207" w:val="left" w:leader="none"/>
              <w:tab w:pos="8176" w:val="left" w:leader="dot"/>
            </w:tabs>
            <w:spacing w:before="130"/>
            <w:rPr>
              <w:rFonts w:ascii="Times New Roman" w:eastAsia="Times New Roman"/>
            </w:rPr>
          </w:pPr>
          <w:hyperlink w:history="true" w:anchor="_TOC_250009">
            <w:r>
              <w:rPr/>
              <w:t>第十</w:t>
            </w:r>
            <w:r>
              <w:rPr>
                <w:spacing w:val="-3"/>
              </w:rPr>
              <w:t>三</w:t>
            </w:r>
            <w:r>
              <w:rPr/>
              <w:t>条</w:t>
              <w:tab/>
              <w:t>现金</w:t>
            </w:r>
            <w:r>
              <w:rPr>
                <w:spacing w:val="-3"/>
              </w:rPr>
              <w:t>价</w:t>
            </w:r>
            <w:r>
              <w:rPr/>
              <w:t>值</w:t>
              <w:tab/>
            </w:r>
            <w:r>
              <w:rPr>
                <w:rFonts w:ascii="Times New Roman" w:eastAsia="Times New Roman"/>
              </w:rPr>
              <w:t>7</w:t>
            </w:r>
          </w:hyperlink>
        </w:p>
        <w:p>
          <w:pPr>
            <w:pStyle w:val="TOC1"/>
            <w:tabs>
              <w:tab w:pos="1207" w:val="left" w:leader="none"/>
              <w:tab w:pos="8176" w:val="left" w:leader="dot"/>
            </w:tabs>
            <w:rPr>
              <w:rFonts w:ascii="Times New Roman" w:eastAsia="Times New Roman"/>
            </w:rPr>
          </w:pPr>
          <w:hyperlink w:history="true" w:anchor="_TOC_250008">
            <w:r>
              <w:rPr/>
              <w:t>第十</w:t>
            </w:r>
            <w:r>
              <w:rPr>
                <w:spacing w:val="-3"/>
              </w:rPr>
              <w:t>四</w:t>
            </w:r>
            <w:r>
              <w:rPr/>
              <w:t>条</w:t>
              <w:tab/>
              <w:t>减额</w:t>
            </w:r>
            <w:r>
              <w:rPr>
                <w:spacing w:val="-3"/>
              </w:rPr>
              <w:t>交</w:t>
            </w:r>
            <w:r>
              <w:rPr/>
              <w:t>清</w:t>
              <w:tab/>
            </w:r>
            <w:r>
              <w:rPr>
                <w:rFonts w:ascii="Times New Roman" w:eastAsia="Times New Roman"/>
              </w:rPr>
              <w:t>7</w:t>
            </w:r>
          </w:hyperlink>
        </w:p>
        <w:p>
          <w:pPr>
            <w:pStyle w:val="TOC2"/>
            <w:tabs>
              <w:tab w:pos="8488" w:val="left" w:leader="middleDot"/>
            </w:tabs>
            <w:rPr>
              <w:rFonts w:ascii="Times New Roman" w:hAnsi="Times New Roman" w:eastAsia="Times New Roman"/>
            </w:rPr>
          </w:pPr>
          <w:hyperlink w:history="true" w:anchor="_TOC_250007">
            <w:r>
              <w:rPr/>
              <w:t>第六</w:t>
            </w:r>
            <w:r>
              <w:rPr>
                <w:spacing w:val="-3"/>
              </w:rPr>
              <w:t>部</w:t>
            </w:r>
            <w:r>
              <w:rPr/>
              <w:t>分</w:t>
            </w:r>
            <w:r>
              <w:rPr>
                <w:spacing w:val="-58"/>
              </w:rPr>
              <w:t> </w:t>
            </w:r>
            <w:r>
              <w:rPr>
                <w:rFonts w:ascii="Calibri" w:hAnsi="Calibri" w:eastAsia="Calibri"/>
              </w:rPr>
              <w:t>···</w:t>
            </w:r>
            <w:r>
              <w:rPr/>
              <w:t>合同</w:t>
            </w:r>
            <w:r>
              <w:rPr>
                <w:spacing w:val="-3"/>
              </w:rPr>
              <w:t>效</w:t>
            </w:r>
            <w:r>
              <w:rPr/>
              <w:t>力</w:t>
            </w:r>
            <w:r>
              <w:rPr>
                <w:spacing w:val="-3"/>
              </w:rPr>
              <w:t>的</w:t>
            </w:r>
            <w:r>
              <w:rPr/>
              <w:t>终止</w:t>
              <w:tab/>
            </w:r>
            <w:r>
              <w:rPr>
                <w:rFonts w:ascii="Times New Roman" w:hAnsi="Times New Roman" w:eastAsia="Times New Roman"/>
                <w:spacing w:val="-33"/>
              </w:rPr>
              <w:t>7·</w:t>
            </w:r>
          </w:hyperlink>
        </w:p>
        <w:p>
          <w:pPr>
            <w:pStyle w:val="TOC1"/>
            <w:tabs>
              <w:tab w:pos="1207" w:val="left" w:leader="none"/>
              <w:tab w:pos="8176" w:val="left" w:leader="dot"/>
            </w:tabs>
            <w:spacing w:before="130"/>
            <w:rPr>
              <w:rFonts w:ascii="Times New Roman" w:eastAsia="Times New Roman"/>
            </w:rPr>
          </w:pPr>
          <w:hyperlink w:history="true" w:anchor="_TOC_250006">
            <w:r>
              <w:rPr/>
              <w:t>第十</w:t>
            </w:r>
            <w:r>
              <w:rPr>
                <w:spacing w:val="-3"/>
              </w:rPr>
              <w:t>五</w:t>
            </w:r>
            <w:r>
              <w:rPr/>
              <w:t>条</w:t>
              <w:tab/>
              <w:t>您主</w:t>
            </w:r>
            <w:r>
              <w:rPr>
                <w:spacing w:val="-3"/>
              </w:rPr>
              <w:t>动</w:t>
            </w:r>
            <w:r>
              <w:rPr/>
              <w:t>解</w:t>
            </w:r>
            <w:r>
              <w:rPr>
                <w:spacing w:val="-3"/>
              </w:rPr>
              <w:t>除</w:t>
            </w:r>
            <w:r>
              <w:rPr/>
              <w:t>合</w:t>
            </w:r>
            <w:r>
              <w:rPr>
                <w:spacing w:val="-3"/>
              </w:rPr>
              <w:t>同</w:t>
            </w:r>
            <w:r>
              <w:rPr/>
              <w:t>的</w:t>
            </w:r>
            <w:r>
              <w:rPr>
                <w:spacing w:val="-3"/>
              </w:rPr>
              <w:t>权</w:t>
            </w:r>
            <w:r>
              <w:rPr/>
              <w:t>利</w:t>
              <w:tab/>
            </w:r>
            <w:r>
              <w:rPr>
                <w:rFonts w:ascii="Times New Roman" w:eastAsia="Times New Roman"/>
              </w:rPr>
              <w:t>7</w:t>
            </w:r>
          </w:hyperlink>
        </w:p>
        <w:p>
          <w:pPr>
            <w:pStyle w:val="TOC1"/>
            <w:tabs>
              <w:tab w:pos="1207" w:val="left" w:leader="none"/>
              <w:tab w:pos="8176" w:val="left" w:leader="dot"/>
            </w:tabs>
            <w:rPr>
              <w:rFonts w:ascii="Times New Roman" w:eastAsia="Times New Roman"/>
            </w:rPr>
          </w:pPr>
          <w:hyperlink w:history="true" w:anchor="_TOC_250005">
            <w:r>
              <w:rPr/>
              <w:t>第十</w:t>
            </w:r>
            <w:r>
              <w:rPr>
                <w:spacing w:val="-3"/>
              </w:rPr>
              <w:t>六</w:t>
            </w:r>
            <w:r>
              <w:rPr/>
              <w:t>条</w:t>
              <w:tab/>
              <w:t>合同</w:t>
            </w:r>
            <w:r>
              <w:rPr>
                <w:spacing w:val="-3"/>
              </w:rPr>
              <w:t>效</w:t>
            </w:r>
            <w:r>
              <w:rPr/>
              <w:t>力</w:t>
            </w:r>
            <w:r>
              <w:rPr>
                <w:spacing w:val="-3"/>
              </w:rPr>
              <w:t>的</w:t>
            </w:r>
            <w:r>
              <w:rPr/>
              <w:t>终止</w:t>
              <w:tab/>
            </w:r>
            <w:r>
              <w:rPr>
                <w:rFonts w:ascii="Times New Roman" w:eastAsia="Times New Roman"/>
              </w:rPr>
              <w:t>8</w:t>
            </w:r>
          </w:hyperlink>
        </w:p>
        <w:p>
          <w:pPr>
            <w:pStyle w:val="TOC1"/>
            <w:tabs>
              <w:tab w:pos="8387" w:val="left" w:leader="middleDot"/>
            </w:tabs>
            <w:spacing w:before="141"/>
            <w:ind w:right="521"/>
            <w:rPr>
              <w:rFonts w:ascii="Times New Roman" w:hAnsi="Times New Roman" w:eastAsia="Times New Roman"/>
            </w:rPr>
          </w:pPr>
          <w:hyperlink w:history="true" w:anchor="_TOC_250004">
            <w:r>
              <w:rPr/>
              <w:t>第七</w:t>
            </w:r>
            <w:r>
              <w:rPr>
                <w:spacing w:val="-3"/>
              </w:rPr>
              <w:t>部</w:t>
            </w:r>
            <w:r>
              <w:rPr/>
              <w:t>分</w:t>
            </w:r>
            <w:r>
              <w:rPr>
                <w:spacing w:val="-58"/>
              </w:rPr>
              <w:t> </w:t>
            </w:r>
            <w:r>
              <w:rPr>
                <w:rFonts w:ascii="Calibri" w:hAnsi="Calibri" w:eastAsia="Calibri"/>
              </w:rPr>
              <w:t>···</w:t>
            </w:r>
            <w:r>
              <w:rPr/>
              <w:t>您必</w:t>
            </w:r>
            <w:r>
              <w:rPr>
                <w:spacing w:val="-3"/>
              </w:rPr>
              <w:t>须</w:t>
            </w:r>
            <w:r>
              <w:rPr/>
              <w:t>了</w:t>
            </w:r>
            <w:r>
              <w:rPr>
                <w:spacing w:val="-3"/>
              </w:rPr>
              <w:t>解</w:t>
            </w:r>
            <w:r>
              <w:rPr/>
              <w:t>的</w:t>
            </w:r>
            <w:r>
              <w:rPr>
                <w:spacing w:val="-3"/>
              </w:rPr>
              <w:t>其</w:t>
            </w:r>
            <w:r>
              <w:rPr/>
              <w:t>他</w:t>
            </w:r>
            <w:r>
              <w:rPr>
                <w:spacing w:val="-3"/>
              </w:rPr>
              <w:t>事</w:t>
            </w:r>
            <w:r>
              <w:rPr/>
              <w:t>项</w:t>
              <w:tab/>
            </w:r>
            <w:r>
              <w:rPr>
                <w:rFonts w:ascii="Times New Roman" w:hAnsi="Times New Roman" w:eastAsia="Times New Roman"/>
                <w:spacing w:val="-8"/>
              </w:rPr>
              <w:t>8······</w:t>
            </w:r>
          </w:hyperlink>
        </w:p>
        <w:p>
          <w:pPr>
            <w:pStyle w:val="TOC1"/>
            <w:tabs>
              <w:tab w:pos="1207" w:val="left" w:leader="none"/>
              <w:tab w:pos="8176" w:val="left" w:leader="dot"/>
            </w:tabs>
            <w:spacing w:before="130"/>
            <w:rPr>
              <w:rFonts w:ascii="Times New Roman" w:eastAsia="Times New Roman"/>
            </w:rPr>
          </w:pPr>
          <w:hyperlink w:history="true" w:anchor="_TOC_250003">
            <w:r>
              <w:rPr/>
              <w:t>第十</w:t>
            </w:r>
            <w:r>
              <w:rPr>
                <w:spacing w:val="-3"/>
              </w:rPr>
              <w:t>七</w:t>
            </w:r>
            <w:r>
              <w:rPr/>
              <w:t>条</w:t>
              <w:tab/>
              <w:t>明确</w:t>
            </w:r>
            <w:r>
              <w:rPr>
                <w:spacing w:val="-3"/>
              </w:rPr>
              <w:t>说</w:t>
            </w:r>
            <w:r>
              <w:rPr/>
              <w:t>明</w:t>
            </w:r>
            <w:r>
              <w:rPr>
                <w:spacing w:val="-3"/>
              </w:rPr>
              <w:t>与</w:t>
            </w:r>
            <w:r>
              <w:rPr/>
              <w:t>如</w:t>
            </w:r>
            <w:r>
              <w:rPr>
                <w:spacing w:val="-3"/>
              </w:rPr>
              <w:t>实</w:t>
            </w:r>
            <w:r>
              <w:rPr/>
              <w:t>告知</w:t>
              <w:tab/>
            </w:r>
            <w:r>
              <w:rPr>
                <w:rFonts w:ascii="Times New Roman" w:eastAsia="Times New Roman"/>
              </w:rPr>
              <w:t>8</w:t>
            </w:r>
          </w:hyperlink>
        </w:p>
        <w:p>
          <w:pPr>
            <w:pStyle w:val="TOC1"/>
            <w:tabs>
              <w:tab w:pos="1207" w:val="left" w:leader="none"/>
              <w:tab w:pos="8176" w:val="left" w:leader="dot"/>
            </w:tabs>
            <w:rPr>
              <w:rFonts w:ascii="Times New Roman" w:eastAsia="Times New Roman"/>
            </w:rPr>
          </w:pPr>
          <w:hyperlink w:history="true" w:anchor="_TOC_250002">
            <w:r>
              <w:rPr/>
              <w:t>第十</w:t>
            </w:r>
            <w:r>
              <w:rPr>
                <w:spacing w:val="-3"/>
              </w:rPr>
              <w:t>八</w:t>
            </w:r>
            <w:r>
              <w:rPr/>
              <w:t>条</w:t>
              <w:tab/>
              <w:t>本公</w:t>
            </w:r>
            <w:r>
              <w:rPr>
                <w:spacing w:val="-3"/>
              </w:rPr>
              <w:t>司</w:t>
            </w:r>
            <w:r>
              <w:rPr/>
              <w:t>合</w:t>
            </w:r>
            <w:r>
              <w:rPr>
                <w:spacing w:val="-3"/>
              </w:rPr>
              <w:t>同</w:t>
            </w:r>
            <w:r>
              <w:rPr/>
              <w:t>解</w:t>
            </w:r>
            <w:r>
              <w:rPr>
                <w:spacing w:val="-3"/>
              </w:rPr>
              <w:t>除</w:t>
            </w:r>
            <w:r>
              <w:rPr/>
              <w:t>权</w:t>
            </w:r>
            <w:r>
              <w:rPr>
                <w:spacing w:val="-3"/>
              </w:rPr>
              <w:t>的</w:t>
            </w:r>
            <w:r>
              <w:rPr/>
              <w:t>限制</w:t>
              <w:tab/>
            </w:r>
            <w:r>
              <w:rPr>
                <w:rFonts w:ascii="Times New Roman" w:eastAsia="Times New Roman"/>
              </w:rPr>
              <w:t>8</w:t>
            </w:r>
          </w:hyperlink>
        </w:p>
        <w:p>
          <w:pPr>
            <w:pStyle w:val="TOC1"/>
            <w:tabs>
              <w:tab w:pos="1207" w:val="left" w:leader="none"/>
              <w:tab w:pos="8176" w:val="left" w:leader="dot"/>
            </w:tabs>
            <w:rPr>
              <w:rFonts w:ascii="Times New Roman" w:eastAsia="Times New Roman"/>
            </w:rPr>
          </w:pPr>
          <w:hyperlink w:history="true" w:anchor="_TOC_250001">
            <w:r>
              <w:rPr/>
              <w:t>第十</w:t>
            </w:r>
            <w:r>
              <w:rPr>
                <w:spacing w:val="-3"/>
              </w:rPr>
              <w:t>九</w:t>
            </w:r>
            <w:r>
              <w:rPr/>
              <w:t>条</w:t>
              <w:tab/>
              <w:t>年龄</w:t>
            </w:r>
            <w:r>
              <w:rPr>
                <w:spacing w:val="-3"/>
              </w:rPr>
              <w:t>、</w:t>
            </w:r>
            <w:r>
              <w:rPr/>
              <w:t>性</w:t>
            </w:r>
            <w:r>
              <w:rPr>
                <w:spacing w:val="-3"/>
              </w:rPr>
              <w:t>别</w:t>
            </w:r>
            <w:r>
              <w:rPr/>
              <w:t>的</w:t>
            </w:r>
            <w:r>
              <w:rPr>
                <w:spacing w:val="-3"/>
              </w:rPr>
              <w:t>确</w:t>
            </w:r>
            <w:r>
              <w:rPr/>
              <w:t>定</w:t>
            </w:r>
            <w:r>
              <w:rPr>
                <w:spacing w:val="-3"/>
              </w:rPr>
              <w:t>和</w:t>
            </w:r>
            <w:r>
              <w:rPr/>
              <w:t>错</w:t>
            </w:r>
            <w:r>
              <w:rPr>
                <w:spacing w:val="-3"/>
              </w:rPr>
              <w:t>误</w:t>
            </w:r>
            <w:r>
              <w:rPr/>
              <w:t>处理</w:t>
              <w:tab/>
            </w:r>
            <w:r>
              <w:rPr>
                <w:rFonts w:ascii="Times New Roman" w:eastAsia="Times New Roman"/>
              </w:rPr>
              <w:t>9</w:t>
            </w:r>
          </w:hyperlink>
        </w:p>
        <w:p>
          <w:pPr>
            <w:pStyle w:val="TOC1"/>
            <w:tabs>
              <w:tab w:pos="1207" w:val="left" w:leader="none"/>
              <w:tab w:pos="8176" w:val="left" w:leader="dot"/>
            </w:tabs>
            <w:rPr>
              <w:rFonts w:ascii="Times New Roman" w:eastAsia="Times New Roman"/>
            </w:rPr>
          </w:pPr>
          <w:hyperlink w:history="true" w:anchor="_TOC_250000">
            <w:r>
              <w:rPr/>
              <w:t>第二</w:t>
            </w:r>
            <w:r>
              <w:rPr>
                <w:spacing w:val="-3"/>
              </w:rPr>
              <w:t>十</w:t>
            </w:r>
            <w:r>
              <w:rPr/>
              <w:t>条</w:t>
              <w:tab/>
              <w:t>未还</w:t>
            </w:r>
            <w:r>
              <w:rPr>
                <w:spacing w:val="-3"/>
              </w:rPr>
              <w:t>款</w:t>
            </w:r>
            <w:r>
              <w:rPr/>
              <w:t>项</w:t>
              <w:tab/>
            </w:r>
            <w:r>
              <w:rPr>
                <w:rFonts w:ascii="Times New Roman" w:eastAsia="Times New Roman"/>
              </w:rPr>
              <w:t>9</w:t>
            </w:r>
          </w:hyperlink>
        </w:p>
      </w:sdtContent>
    </w:sdt>
    <w:p>
      <w:pPr>
        <w:spacing w:after="0"/>
        <w:rPr>
          <w:rFonts w:ascii="Times New Roman" w:eastAsia="Times New Roman"/>
        </w:rPr>
        <w:sectPr>
          <w:type w:val="continuous"/>
          <w:pgSz w:w="11960" w:h="16850"/>
          <w:pgMar w:top="280" w:bottom="1200" w:left="1600" w:right="760"/>
        </w:sectPr>
      </w:pPr>
    </w:p>
    <w:p>
      <w:pPr>
        <w:tabs>
          <w:tab w:pos="8932" w:val="right" w:leader="middleDot"/>
        </w:tabs>
        <w:spacing w:before="91"/>
        <w:ind w:left="101" w:right="0" w:firstLine="0"/>
        <w:jc w:val="left"/>
        <w:rPr>
          <w:rFonts w:ascii="Times New Roman" w:hAnsi="Times New Roman" w:eastAsia="Times New Roman"/>
          <w:sz w:val="21"/>
        </w:rPr>
      </w:pPr>
      <w:r>
        <w:rPr>
          <w:w w:val="100"/>
          <w:sz w:val="21"/>
        </w:rPr>
        <w:t>第八</w:t>
      </w:r>
      <w:r>
        <w:rPr>
          <w:spacing w:val="-3"/>
          <w:w w:val="100"/>
          <w:sz w:val="21"/>
        </w:rPr>
        <w:t>部</w:t>
      </w:r>
      <w:r>
        <w:rPr>
          <w:w w:val="100"/>
          <w:sz w:val="21"/>
        </w:rPr>
        <w:t>分</w:t>
      </w:r>
      <w:r>
        <w:rPr>
          <w:spacing w:val="-62"/>
          <w:sz w:val="21"/>
        </w:rPr>
        <w:t> </w:t>
      </w:r>
      <w:r>
        <w:rPr>
          <w:rFonts w:ascii="Calibri" w:hAnsi="Calibri" w:eastAsia="Calibri"/>
          <w:spacing w:val="-1"/>
          <w:w w:val="100"/>
          <w:sz w:val="21"/>
        </w:rPr>
        <w:t>··</w:t>
      </w:r>
      <w:r>
        <w:rPr>
          <w:rFonts w:ascii="Calibri" w:hAnsi="Calibri" w:eastAsia="Calibri"/>
          <w:spacing w:val="5"/>
          <w:w w:val="100"/>
          <w:sz w:val="21"/>
        </w:rPr>
        <w:t>·</w:t>
      </w:r>
      <w:r>
        <w:rPr>
          <w:w w:val="100"/>
          <w:sz w:val="21"/>
        </w:rPr>
        <w:t>释义</w:t>
      </w:r>
      <w:r>
        <w:rPr>
          <w:rFonts w:ascii="Times New Roman" w:hAnsi="Times New Roman" w:eastAsia="Times New Roman"/>
          <w:w w:val="100"/>
          <w:sz w:val="21"/>
        </w:rPr>
        <w:t> </w:t>
      </w:r>
      <w:r>
        <w:rPr>
          <w:rFonts w:ascii="Times New Roman" w:hAnsi="Times New Roman" w:eastAsia="Times New Roman"/>
          <w:sz w:val="21"/>
        </w:rPr>
        <w:tab/>
      </w:r>
      <w:r>
        <w:rPr>
          <w:rFonts w:ascii="Times New Roman" w:hAnsi="Times New Roman" w:eastAsia="Times New Roman"/>
          <w:spacing w:val="-96"/>
          <w:w w:val="100"/>
          <w:sz w:val="21"/>
        </w:rPr>
        <w:t>9</w:t>
      </w:r>
      <w:r>
        <w:rPr>
          <w:rFonts w:ascii="Times New Roman" w:hAnsi="Times New Roman" w:eastAsia="Times New Roman"/>
          <w:spacing w:val="1"/>
          <w:w w:val="100"/>
          <w:sz w:val="21"/>
        </w:rPr>
        <w:t>·····</w:t>
      </w:r>
      <w:r>
        <w:rPr>
          <w:rFonts w:ascii="Times New Roman" w:hAnsi="Times New Roman" w:eastAsia="Times New Roman"/>
          <w:w w:val="100"/>
          <w:sz w:val="21"/>
        </w:rPr>
        <w:t>·</w:t>
      </w:r>
    </w:p>
    <w:p>
      <w:pPr>
        <w:spacing w:after="0"/>
        <w:jc w:val="left"/>
        <w:rPr>
          <w:rFonts w:ascii="Times New Roman" w:hAnsi="Times New Roman" w:eastAsia="Times New Roman"/>
          <w:sz w:val="21"/>
        </w:rPr>
        <w:sectPr>
          <w:pgSz w:w="11960" w:h="16850"/>
          <w:pgMar w:header="0" w:footer="1001" w:top="1600" w:bottom="1200" w:left="1600" w:right="1300"/>
        </w:sectPr>
      </w:pPr>
    </w:p>
    <w:p>
      <w:pPr>
        <w:spacing w:before="189"/>
        <w:ind w:left="101" w:right="0" w:firstLine="0"/>
        <w:jc w:val="both"/>
        <w:rPr>
          <w:b/>
          <w:sz w:val="28"/>
        </w:rPr>
      </w:pPr>
      <w:r>
        <w:rPr>
          <w:b/>
          <w:sz w:val="28"/>
        </w:rPr>
        <w:t>第一部分    您（投保人）与我们（北大方正人寿保险有限公司）的</w:t>
      </w:r>
    </w:p>
    <w:p>
      <w:pPr>
        <w:pStyle w:val="BodyText"/>
        <w:spacing w:before="8"/>
        <w:rPr>
          <w:b/>
          <w:sz w:val="19"/>
        </w:rPr>
      </w:pPr>
    </w:p>
    <w:p>
      <w:pPr>
        <w:spacing w:before="0"/>
        <w:ind w:left="419" w:right="6" w:firstLine="0"/>
        <w:jc w:val="center"/>
        <w:rPr>
          <w:b/>
          <w:sz w:val="28"/>
        </w:rPr>
      </w:pPr>
      <w:r>
        <w:rPr>
          <w:b/>
          <w:w w:val="95"/>
          <w:sz w:val="28"/>
        </w:rPr>
        <w:t>合同</w:t>
      </w:r>
    </w:p>
    <w:p>
      <w:pPr>
        <w:pStyle w:val="BodyText"/>
        <w:rPr>
          <w:b/>
          <w:sz w:val="28"/>
        </w:rPr>
      </w:pPr>
    </w:p>
    <w:p>
      <w:pPr>
        <w:pStyle w:val="BodyText"/>
        <w:spacing w:before="11"/>
        <w:rPr>
          <w:b/>
          <w:sz w:val="26"/>
        </w:rPr>
      </w:pPr>
    </w:p>
    <w:p>
      <w:pPr>
        <w:pStyle w:val="Heading2"/>
        <w:jc w:val="both"/>
      </w:pPr>
      <w:bookmarkStart w:name="_TOC_250024" w:id="1"/>
      <w:bookmarkEnd w:id="1"/>
      <w:r>
        <w:rPr/>
        <w:t>第一条     合同的构成</w:t>
      </w:r>
    </w:p>
    <w:p>
      <w:pPr>
        <w:pStyle w:val="BodyText"/>
        <w:rPr>
          <w:b/>
        </w:rPr>
      </w:pPr>
    </w:p>
    <w:p>
      <w:pPr>
        <w:pStyle w:val="BodyText"/>
        <w:spacing w:before="10"/>
        <w:rPr>
          <w:b/>
          <w:sz w:val="24"/>
        </w:rPr>
      </w:pPr>
    </w:p>
    <w:p>
      <w:pPr>
        <w:spacing w:before="0"/>
        <w:ind w:left="101" w:right="0" w:firstLine="0"/>
        <w:jc w:val="both"/>
        <w:rPr>
          <w:sz w:val="21"/>
        </w:rPr>
      </w:pPr>
      <w:r>
        <w:rPr>
          <w:spacing w:val="-3"/>
          <w:w w:val="100"/>
          <w:sz w:val="21"/>
        </w:rPr>
        <w:t>本附加保险合同</w:t>
      </w:r>
      <w:r>
        <w:rPr>
          <w:spacing w:val="-1"/>
          <w:w w:val="100"/>
          <w:sz w:val="21"/>
        </w:rPr>
        <w:t>（</w:t>
      </w:r>
      <w:r>
        <w:rPr>
          <w:spacing w:val="-13"/>
          <w:w w:val="100"/>
          <w:sz w:val="21"/>
        </w:rPr>
        <w:t>以下简称“本附加合同”</w:t>
      </w:r>
      <w:r>
        <w:rPr>
          <w:spacing w:val="-3"/>
          <w:w w:val="100"/>
          <w:sz w:val="21"/>
        </w:rPr>
        <w:t>）须经我们在保险单或批注中注明始为有效。</w:t>
      </w:r>
    </w:p>
    <w:p>
      <w:pPr>
        <w:pStyle w:val="BodyText"/>
        <w:spacing w:before="8"/>
        <w:rPr>
          <w:sz w:val="26"/>
        </w:rPr>
      </w:pPr>
    </w:p>
    <w:p>
      <w:pPr>
        <w:spacing w:line="273" w:lineRule="auto" w:before="0"/>
        <w:ind w:left="101" w:right="101" w:firstLine="0"/>
        <w:jc w:val="both"/>
        <w:rPr>
          <w:sz w:val="21"/>
        </w:rPr>
      </w:pPr>
      <w:r>
        <w:rPr>
          <w:sz w:val="21"/>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pStyle w:val="BodyText"/>
        <w:spacing w:before="5"/>
        <w:rPr>
          <w:sz w:val="24"/>
        </w:rPr>
      </w:pPr>
    </w:p>
    <w:p>
      <w:pPr>
        <w:tabs>
          <w:tab w:pos="1361" w:val="left" w:leader="none"/>
        </w:tabs>
        <w:spacing w:line="720" w:lineRule="auto" w:before="0"/>
        <w:ind w:left="101" w:right="5368" w:firstLine="0"/>
        <w:jc w:val="left"/>
        <w:rPr>
          <w:b/>
          <w:sz w:val="21"/>
        </w:rPr>
      </w:pPr>
      <w:r>
        <w:rPr>
          <w:sz w:val="21"/>
        </w:rPr>
        <w:t>本附</w:t>
      </w:r>
      <w:r>
        <w:rPr>
          <w:spacing w:val="-3"/>
          <w:sz w:val="21"/>
        </w:rPr>
        <w:t>加</w:t>
      </w:r>
      <w:r>
        <w:rPr>
          <w:sz w:val="21"/>
        </w:rPr>
        <w:t>合</w:t>
      </w:r>
      <w:r>
        <w:rPr>
          <w:spacing w:val="-3"/>
          <w:sz w:val="21"/>
        </w:rPr>
        <w:t>同</w:t>
      </w:r>
      <w:r>
        <w:rPr>
          <w:sz w:val="21"/>
        </w:rPr>
        <w:t>的</w:t>
      </w:r>
      <w:r>
        <w:rPr>
          <w:spacing w:val="-3"/>
          <w:sz w:val="21"/>
        </w:rPr>
        <w:t>英</w:t>
      </w:r>
      <w:r>
        <w:rPr>
          <w:sz w:val="21"/>
        </w:rPr>
        <w:t>文</w:t>
      </w:r>
      <w:r>
        <w:rPr>
          <w:spacing w:val="-3"/>
          <w:sz w:val="21"/>
        </w:rPr>
        <w:t>简称</w:t>
      </w:r>
      <w:r>
        <w:rPr>
          <w:sz w:val="21"/>
        </w:rPr>
        <w:t>为</w:t>
      </w:r>
      <w:r>
        <w:rPr>
          <w:spacing w:val="-47"/>
          <w:sz w:val="21"/>
        </w:rPr>
        <w:t> </w:t>
      </w:r>
      <w:r>
        <w:rPr>
          <w:rFonts w:ascii="Times New Roman" w:eastAsia="Times New Roman"/>
          <w:sz w:val="21"/>
        </w:rPr>
        <w:t>BRR_B</w:t>
      </w:r>
      <w:r>
        <w:rPr>
          <w:sz w:val="21"/>
        </w:rPr>
        <w:t>。</w:t>
      </w:r>
      <w:r>
        <w:rPr>
          <w:b/>
          <w:sz w:val="21"/>
        </w:rPr>
        <w:t>第二条</w:t>
        <w:tab/>
        <w:t>投保范围</w:t>
      </w:r>
    </w:p>
    <w:p>
      <w:pPr>
        <w:spacing w:before="158"/>
        <w:ind w:left="101" w:right="0" w:firstLine="0"/>
        <w:jc w:val="both"/>
        <w:rPr>
          <w:sz w:val="21"/>
        </w:rPr>
      </w:pPr>
      <w:r>
        <w:rPr>
          <w:sz w:val="21"/>
        </w:rPr>
        <w:t>本附加合同接受的被保险人的投保年龄为十八</w:t>
      </w:r>
      <w:r>
        <w:rPr>
          <w:b/>
          <w:sz w:val="21"/>
        </w:rPr>
        <w:t>周岁</w:t>
      </w:r>
      <w:r>
        <w:rPr>
          <w:b/>
          <w:position w:val="12"/>
          <w:sz w:val="12"/>
        </w:rPr>
        <w:t>释义 1 </w:t>
      </w:r>
      <w:r>
        <w:rPr>
          <w:sz w:val="21"/>
        </w:rPr>
        <w:t>至五十周岁。</w:t>
      </w:r>
    </w:p>
    <w:p>
      <w:pPr>
        <w:pStyle w:val="BodyText"/>
        <w:rPr>
          <w:sz w:val="24"/>
        </w:rPr>
      </w:pPr>
    </w:p>
    <w:p>
      <w:pPr>
        <w:pStyle w:val="BodyText"/>
        <w:spacing w:before="12"/>
      </w:pPr>
    </w:p>
    <w:p>
      <w:pPr>
        <w:pStyle w:val="Heading2"/>
        <w:jc w:val="both"/>
      </w:pPr>
      <w:bookmarkStart w:name="_TOC_250023" w:id="2"/>
      <w:bookmarkEnd w:id="2"/>
      <w:r>
        <w:rPr/>
        <w:t>第三条     保险期间</w:t>
      </w:r>
    </w:p>
    <w:p>
      <w:pPr>
        <w:pStyle w:val="BodyText"/>
        <w:rPr>
          <w:b/>
        </w:rPr>
      </w:pPr>
    </w:p>
    <w:p>
      <w:pPr>
        <w:pStyle w:val="BodyText"/>
        <w:spacing w:before="10"/>
        <w:rPr>
          <w:b/>
          <w:sz w:val="24"/>
        </w:rPr>
      </w:pPr>
    </w:p>
    <w:p>
      <w:pPr>
        <w:spacing w:before="0"/>
        <w:ind w:left="101" w:right="0" w:firstLine="0"/>
        <w:jc w:val="both"/>
        <w:rPr>
          <w:sz w:val="21"/>
        </w:rPr>
      </w:pPr>
      <w:r>
        <w:rPr>
          <w:sz w:val="21"/>
        </w:rPr>
        <w:t>本附加合同的保险期间由您与我们约定，并在保险单上载明。</w:t>
      </w:r>
    </w:p>
    <w:p>
      <w:pPr>
        <w:pStyle w:val="BodyText"/>
      </w:pPr>
    </w:p>
    <w:p>
      <w:pPr>
        <w:pStyle w:val="BodyText"/>
        <w:spacing w:before="7"/>
        <w:rPr>
          <w:sz w:val="25"/>
        </w:rPr>
      </w:pPr>
    </w:p>
    <w:p>
      <w:pPr>
        <w:pStyle w:val="Heading2"/>
        <w:jc w:val="both"/>
      </w:pPr>
      <w:bookmarkStart w:name="_TOC_250022" w:id="3"/>
      <w:bookmarkEnd w:id="3"/>
      <w:r>
        <w:rPr/>
        <w:t>第四条     保险责任的开始</w:t>
      </w:r>
    </w:p>
    <w:p>
      <w:pPr>
        <w:pStyle w:val="BodyText"/>
        <w:rPr>
          <w:b/>
        </w:rPr>
      </w:pPr>
    </w:p>
    <w:p>
      <w:pPr>
        <w:pStyle w:val="BodyText"/>
        <w:rPr>
          <w:b/>
          <w:sz w:val="25"/>
        </w:rPr>
      </w:pPr>
    </w:p>
    <w:p>
      <w:pPr>
        <w:spacing w:line="268" w:lineRule="auto" w:before="0"/>
        <w:ind w:left="101" w:right="101" w:firstLine="0"/>
        <w:jc w:val="both"/>
        <w:rPr>
          <w:sz w:val="21"/>
        </w:rPr>
      </w:pPr>
      <w:r>
        <w:rPr>
          <w:sz w:val="21"/>
        </w:rPr>
        <w:t>在我们同意承保、签发正式保险合同并收到您交付的首期保险费的条件下，我们所承担的保</w:t>
      </w:r>
      <w:r>
        <w:rPr>
          <w:spacing w:val="-2"/>
          <w:sz w:val="21"/>
        </w:rPr>
        <w:t>险责任自</w:t>
      </w:r>
      <w:r>
        <w:rPr>
          <w:b/>
          <w:spacing w:val="-1"/>
          <w:sz w:val="21"/>
        </w:rPr>
        <w:t>本附加合同生效日</w:t>
      </w:r>
      <w:r>
        <w:rPr>
          <w:b/>
          <w:spacing w:val="-6"/>
          <w:position w:val="12"/>
          <w:sz w:val="12"/>
        </w:rPr>
        <w:t>释义 </w:t>
      </w:r>
      <w:r>
        <w:rPr>
          <w:b/>
          <w:position w:val="12"/>
          <w:sz w:val="12"/>
        </w:rPr>
        <w:t>2 </w:t>
      </w:r>
      <w:r>
        <w:rPr>
          <w:spacing w:val="-7"/>
          <w:sz w:val="21"/>
        </w:rPr>
        <w:t>的次日零时开始，至本附加合同约定情形发生时终止。如果我们已经同意承保并签发保险合同，但因为您的原因导致我们未能在和您约定的时间内收到首期保险费的，本附加合同自始不生效，我们自始不承担保险责任，您应当将我们签发的保险</w:t>
      </w:r>
      <w:r>
        <w:rPr>
          <w:spacing w:val="-5"/>
          <w:sz w:val="21"/>
        </w:rPr>
        <w:t>合同返还给我们。</w:t>
      </w:r>
    </w:p>
    <w:p>
      <w:pPr>
        <w:pStyle w:val="BodyText"/>
      </w:pPr>
    </w:p>
    <w:p>
      <w:pPr>
        <w:pStyle w:val="BodyText"/>
        <w:spacing w:before="8"/>
        <w:rPr>
          <w:sz w:val="23"/>
        </w:rPr>
      </w:pPr>
    </w:p>
    <w:p>
      <w:pPr>
        <w:pStyle w:val="Heading2"/>
        <w:jc w:val="both"/>
      </w:pPr>
      <w:bookmarkStart w:name="_TOC_250021" w:id="4"/>
      <w:bookmarkEnd w:id="4"/>
      <w:r>
        <w:rPr/>
        <w:t>第 五 条 犹 豫 期</w:t>
      </w:r>
    </w:p>
    <w:p>
      <w:pPr>
        <w:pStyle w:val="BodyText"/>
        <w:rPr>
          <w:b/>
        </w:rPr>
      </w:pPr>
    </w:p>
    <w:p>
      <w:pPr>
        <w:pStyle w:val="BodyText"/>
        <w:spacing w:before="10"/>
        <w:rPr>
          <w:b/>
          <w:sz w:val="24"/>
        </w:rPr>
      </w:pPr>
    </w:p>
    <w:p>
      <w:pPr>
        <w:spacing w:before="0"/>
        <w:ind w:left="101" w:right="0" w:firstLine="0"/>
        <w:jc w:val="both"/>
        <w:rPr>
          <w:sz w:val="21"/>
        </w:rPr>
      </w:pPr>
      <w:r>
        <w:rPr>
          <w:sz w:val="21"/>
        </w:rPr>
        <w:t>您收到本附加合同并书面签收之日起，我们给予您十五日的犹豫期，以便您在此期间浏览本</w:t>
      </w:r>
    </w:p>
    <w:p>
      <w:pPr>
        <w:spacing w:after="0"/>
        <w:jc w:val="both"/>
        <w:rPr>
          <w:sz w:val="21"/>
        </w:rPr>
        <w:sectPr>
          <w:pgSz w:w="11960" w:h="16850"/>
          <w:pgMar w:header="0" w:footer="1001" w:top="1600" w:bottom="1200" w:left="1600" w:right="1640"/>
        </w:sectPr>
      </w:pPr>
    </w:p>
    <w:p>
      <w:pPr>
        <w:spacing w:before="91"/>
        <w:ind w:left="101" w:right="0" w:firstLine="0"/>
        <w:jc w:val="left"/>
        <w:rPr>
          <w:sz w:val="21"/>
        </w:rPr>
      </w:pPr>
      <w:r>
        <w:rPr>
          <w:sz w:val="21"/>
        </w:rPr>
        <w:t>附加合同。</w:t>
      </w:r>
    </w:p>
    <w:p>
      <w:pPr>
        <w:pStyle w:val="BodyText"/>
        <w:spacing w:before="8"/>
        <w:rPr>
          <w:sz w:val="26"/>
        </w:rPr>
      </w:pPr>
    </w:p>
    <w:p>
      <w:pPr>
        <w:spacing w:line="273" w:lineRule="auto" w:before="0"/>
        <w:ind w:left="101" w:right="103" w:firstLine="0"/>
        <w:jc w:val="left"/>
        <w:rPr>
          <w:sz w:val="21"/>
        </w:rPr>
      </w:pPr>
      <w:r>
        <w:rPr>
          <w:sz w:val="21"/>
        </w:rPr>
        <w:t>如果您确定本附加合同与您的需求不相符，您可以在犹豫期内以书面形式向我们提出解除本</w:t>
      </w:r>
      <w:r>
        <w:rPr>
          <w:spacing w:val="-12"/>
          <w:sz w:val="21"/>
        </w:rPr>
        <w:t>附加合同的申请，同时提供您的身份证明复印件，并退还本附加合同及首期保险费发票原件。</w:t>
      </w:r>
    </w:p>
    <w:p>
      <w:pPr>
        <w:pStyle w:val="BodyText"/>
        <w:spacing w:before="5"/>
        <w:rPr>
          <w:sz w:val="24"/>
        </w:rPr>
      </w:pPr>
    </w:p>
    <w:p>
      <w:pPr>
        <w:spacing w:line="273" w:lineRule="auto" w:before="0"/>
        <w:ind w:left="101" w:right="101" w:firstLine="0"/>
        <w:jc w:val="both"/>
        <w:rPr>
          <w:sz w:val="21"/>
        </w:rPr>
      </w:pPr>
      <w:r>
        <w:rPr>
          <w:sz w:val="21"/>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pPr>
    </w:p>
    <w:p>
      <w:pPr>
        <w:pStyle w:val="Heading1"/>
        <w:tabs>
          <w:tab w:pos="4267" w:val="left" w:leader="none"/>
        </w:tabs>
        <w:spacing w:before="156"/>
        <w:ind w:left="2467"/>
        <w:jc w:val="left"/>
      </w:pPr>
      <w:bookmarkStart w:name="_TOC_250020" w:id="5"/>
      <w:r>
        <w:rPr/>
        <w:t>第二部分</w:t>
        <w:tab/>
      </w:r>
      <w:bookmarkEnd w:id="5"/>
      <w:r>
        <w:rPr>
          <w:w w:val="95"/>
        </w:rPr>
        <w:t>我们提供的保障</w:t>
      </w:r>
    </w:p>
    <w:p>
      <w:pPr>
        <w:pStyle w:val="BodyText"/>
        <w:rPr>
          <w:b/>
          <w:sz w:val="28"/>
        </w:rPr>
      </w:pPr>
    </w:p>
    <w:p>
      <w:pPr>
        <w:pStyle w:val="BodyText"/>
        <w:spacing w:before="11"/>
        <w:rPr>
          <w:b/>
          <w:sz w:val="26"/>
        </w:rPr>
      </w:pPr>
    </w:p>
    <w:p>
      <w:pPr>
        <w:pStyle w:val="Heading2"/>
        <w:tabs>
          <w:tab w:pos="1361" w:val="left" w:leader="none"/>
        </w:tabs>
      </w:pPr>
      <w:bookmarkStart w:name="_TOC_250019" w:id="6"/>
      <w:bookmarkEnd w:id="6"/>
      <w:r>
        <w:rPr/>
        <w:t>第六条</w:t>
        <w:tab/>
        <w:t>基本保险金额</w:t>
      </w:r>
    </w:p>
    <w:p>
      <w:pPr>
        <w:pStyle w:val="BodyText"/>
        <w:rPr>
          <w:b/>
        </w:rPr>
      </w:pPr>
    </w:p>
    <w:p>
      <w:pPr>
        <w:pStyle w:val="BodyText"/>
        <w:spacing w:before="10"/>
        <w:rPr>
          <w:b/>
          <w:sz w:val="24"/>
        </w:rPr>
      </w:pPr>
    </w:p>
    <w:p>
      <w:pPr>
        <w:spacing w:line="271" w:lineRule="auto" w:before="0"/>
        <w:ind w:left="101" w:right="101" w:firstLine="0"/>
        <w:jc w:val="both"/>
        <w:rPr>
          <w:sz w:val="21"/>
        </w:rPr>
      </w:pPr>
      <w:r>
        <w:rPr>
          <w:sz w:val="21"/>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在发生本附加合同规定的</w:t>
      </w:r>
      <w:r>
        <w:rPr>
          <w:b/>
          <w:sz w:val="21"/>
        </w:rPr>
        <w:t>保险事故</w:t>
      </w:r>
      <w:r>
        <w:rPr>
          <w:b/>
          <w:position w:val="12"/>
          <w:sz w:val="12"/>
        </w:rPr>
        <w:t>释义 3 </w:t>
      </w:r>
      <w:r>
        <w:rPr>
          <w:sz w:val="21"/>
        </w:rPr>
        <w:t>后，我们将不受理任何关于变更本附加合同及其主合同基本保险金额的要求。</w:t>
      </w:r>
    </w:p>
    <w:p>
      <w:pPr>
        <w:pStyle w:val="BodyText"/>
        <w:rPr>
          <w:sz w:val="24"/>
        </w:rPr>
      </w:pPr>
    </w:p>
    <w:p>
      <w:pPr>
        <w:pStyle w:val="BodyText"/>
        <w:spacing w:before="6"/>
        <w:rPr>
          <w:sz w:val="18"/>
        </w:rPr>
      </w:pPr>
    </w:p>
    <w:p>
      <w:pPr>
        <w:pStyle w:val="Heading2"/>
        <w:tabs>
          <w:tab w:pos="1361" w:val="left" w:leader="none"/>
        </w:tabs>
      </w:pPr>
      <w:bookmarkStart w:name="_TOC_250018" w:id="7"/>
      <w:bookmarkEnd w:id="7"/>
      <w:r>
        <w:rPr/>
        <w:t>第七条</w:t>
        <w:tab/>
        <w:t>保险责任</w:t>
      </w:r>
    </w:p>
    <w:p>
      <w:pPr>
        <w:pStyle w:val="BodyText"/>
        <w:rPr>
          <w:b/>
        </w:rPr>
      </w:pPr>
    </w:p>
    <w:p>
      <w:pPr>
        <w:pStyle w:val="BodyText"/>
        <w:spacing w:before="10"/>
        <w:rPr>
          <w:b/>
          <w:sz w:val="24"/>
        </w:rPr>
      </w:pPr>
    </w:p>
    <w:p>
      <w:pPr>
        <w:spacing w:before="0"/>
        <w:ind w:left="101" w:right="0" w:firstLine="0"/>
        <w:jc w:val="left"/>
        <w:rPr>
          <w:sz w:val="21"/>
        </w:rPr>
      </w:pPr>
      <w:r>
        <w:rPr>
          <w:sz w:val="21"/>
        </w:rPr>
        <w:t>在本附加合同的有效保险期间内，我们将承担下列保险责任：</w:t>
      </w:r>
    </w:p>
    <w:p>
      <w:pPr>
        <w:pStyle w:val="BodyText"/>
        <w:spacing w:before="8"/>
        <w:rPr>
          <w:sz w:val="26"/>
        </w:rPr>
      </w:pPr>
    </w:p>
    <w:p>
      <w:pPr>
        <w:spacing w:line="256" w:lineRule="auto" w:before="0"/>
        <w:ind w:left="101" w:right="33" w:firstLine="0"/>
        <w:jc w:val="left"/>
        <w:rPr>
          <w:b/>
          <w:sz w:val="21"/>
        </w:rPr>
      </w:pPr>
      <w:r>
        <w:rPr>
          <w:b/>
          <w:sz w:val="21"/>
        </w:rPr>
        <w:t>等待期：本附加合同生效日或最后复效日（以较迟者为准）起一百八十天内</w:t>
      </w:r>
      <w:r>
        <w:rPr>
          <w:rFonts w:ascii="Times New Roman" w:eastAsia="Times New Roman"/>
          <w:b/>
          <w:sz w:val="21"/>
        </w:rPr>
        <w:t>(</w:t>
      </w:r>
      <w:r>
        <w:rPr>
          <w:b/>
          <w:sz w:val="21"/>
        </w:rPr>
        <w:t>含第一百八十天</w:t>
      </w:r>
      <w:r>
        <w:rPr>
          <w:rFonts w:ascii="Times New Roman" w:eastAsia="Times New Roman"/>
          <w:b/>
          <w:sz w:val="21"/>
        </w:rPr>
        <w:t>) </w:t>
      </w:r>
      <w:r>
        <w:rPr>
          <w:b/>
          <w:sz w:val="21"/>
        </w:rPr>
        <w:t>为等待期。</w:t>
      </w:r>
    </w:p>
    <w:p>
      <w:pPr>
        <w:pStyle w:val="BodyText"/>
        <w:spacing w:before="7"/>
        <w:rPr>
          <w:b/>
          <w:sz w:val="25"/>
        </w:rPr>
      </w:pPr>
    </w:p>
    <w:p>
      <w:pPr>
        <w:spacing w:before="0"/>
        <w:ind w:left="101" w:right="0" w:firstLine="0"/>
        <w:jc w:val="left"/>
        <w:rPr>
          <w:sz w:val="21"/>
        </w:rPr>
      </w:pPr>
      <w:r>
        <w:rPr>
          <w:sz w:val="21"/>
        </w:rPr>
        <w:t>一、轻症疾病保险金</w:t>
      </w:r>
    </w:p>
    <w:p>
      <w:pPr>
        <w:pStyle w:val="BodyText"/>
        <w:spacing w:before="1"/>
        <w:rPr>
          <w:sz w:val="26"/>
        </w:rPr>
      </w:pPr>
    </w:p>
    <w:p>
      <w:pPr>
        <w:spacing w:line="259" w:lineRule="auto" w:before="0"/>
        <w:ind w:left="101" w:right="100" w:firstLine="0"/>
        <w:jc w:val="left"/>
        <w:rPr>
          <w:b/>
          <w:sz w:val="12"/>
        </w:rPr>
      </w:pPr>
      <w:r>
        <w:rPr>
          <w:spacing w:val="-4"/>
          <w:sz w:val="21"/>
        </w:rPr>
        <w:t>如果被保险人在等待期内，首次</w:t>
      </w:r>
      <w:r>
        <w:rPr>
          <w:b/>
          <w:sz w:val="21"/>
        </w:rPr>
        <w:t>发病</w:t>
      </w:r>
      <w:r>
        <w:rPr>
          <w:b/>
          <w:spacing w:val="-8"/>
          <w:position w:val="12"/>
          <w:sz w:val="12"/>
        </w:rPr>
        <w:t>释义 </w:t>
      </w:r>
      <w:r>
        <w:rPr>
          <w:b/>
          <w:position w:val="12"/>
          <w:sz w:val="12"/>
        </w:rPr>
        <w:t>4 </w:t>
      </w:r>
      <w:r>
        <w:rPr>
          <w:spacing w:val="-3"/>
          <w:sz w:val="21"/>
        </w:rPr>
        <w:t>并经</w:t>
      </w:r>
      <w:r>
        <w:rPr>
          <w:b/>
          <w:sz w:val="21"/>
        </w:rPr>
        <w:t>医生</w:t>
      </w:r>
      <w:r>
        <w:rPr>
          <w:b/>
          <w:spacing w:val="-7"/>
          <w:position w:val="12"/>
          <w:sz w:val="12"/>
        </w:rPr>
        <w:t>释义 </w:t>
      </w:r>
      <w:r>
        <w:rPr>
          <w:b/>
          <w:position w:val="12"/>
          <w:sz w:val="12"/>
        </w:rPr>
        <w:t>5 </w:t>
      </w:r>
      <w:r>
        <w:rPr>
          <w:spacing w:val="-3"/>
          <w:sz w:val="21"/>
        </w:rPr>
        <w:t>确诊初次患有本附加合同附表一中所界</w:t>
      </w:r>
      <w:r>
        <w:rPr>
          <w:spacing w:val="-6"/>
          <w:sz w:val="21"/>
        </w:rPr>
        <w:t>定的轻症疾病中的任何一种疾病，我们将无息返还本附加合同及其主合同</w:t>
      </w:r>
      <w:r>
        <w:rPr>
          <w:b/>
          <w:sz w:val="21"/>
        </w:rPr>
        <w:t>所有已交的保险费</w:t>
      </w:r>
      <w:r>
        <w:rPr>
          <w:b/>
          <w:position w:val="12"/>
          <w:sz w:val="12"/>
        </w:rPr>
        <w:t>释</w:t>
      </w:r>
    </w:p>
    <w:p>
      <w:pPr>
        <w:spacing w:before="2"/>
        <w:ind w:left="101" w:right="0" w:firstLine="0"/>
        <w:jc w:val="left"/>
        <w:rPr>
          <w:sz w:val="21"/>
        </w:rPr>
      </w:pPr>
      <w:r>
        <w:rPr>
          <w:b/>
          <w:position w:val="12"/>
          <w:sz w:val="12"/>
        </w:rPr>
        <w:t>义 6</w:t>
      </w:r>
      <w:r>
        <w:rPr>
          <w:sz w:val="21"/>
        </w:rPr>
        <w:t>，同时本附加合同及其主合同终止。</w:t>
      </w:r>
    </w:p>
    <w:p>
      <w:pPr>
        <w:pStyle w:val="BodyText"/>
        <w:spacing w:before="1"/>
        <w:rPr>
          <w:sz w:val="26"/>
        </w:rPr>
      </w:pPr>
    </w:p>
    <w:p>
      <w:pPr>
        <w:spacing w:line="268" w:lineRule="auto" w:before="1"/>
        <w:ind w:left="101" w:right="101" w:firstLine="0"/>
        <w:jc w:val="both"/>
        <w:rPr>
          <w:sz w:val="21"/>
        </w:rPr>
      </w:pPr>
      <w:r>
        <w:rPr>
          <w:sz w:val="21"/>
        </w:rPr>
        <w:t>如果被保险人在等待期后，首次发病并经医生确诊初次患有本附加合同附表一中所界定的轻</w:t>
      </w:r>
      <w:r>
        <w:rPr>
          <w:spacing w:val="-6"/>
          <w:sz w:val="21"/>
        </w:rPr>
        <w:t>症疾病中的任何一种疾病，且在该轻症疾病确诊前未达到其</w:t>
      </w:r>
      <w:r>
        <w:rPr>
          <w:b/>
          <w:sz w:val="21"/>
        </w:rPr>
        <w:t>对应重大疾病</w:t>
      </w:r>
      <w:r>
        <w:rPr>
          <w:b/>
          <w:spacing w:val="-7"/>
          <w:position w:val="12"/>
          <w:sz w:val="12"/>
        </w:rPr>
        <w:t>释义 </w:t>
      </w:r>
      <w:r>
        <w:rPr>
          <w:b/>
          <w:position w:val="12"/>
          <w:sz w:val="12"/>
        </w:rPr>
        <w:t>7 </w:t>
      </w:r>
      <w:r>
        <w:rPr>
          <w:spacing w:val="-7"/>
          <w:sz w:val="21"/>
        </w:rPr>
        <w:t>的赔付标准，我</w:t>
      </w:r>
      <w:r>
        <w:rPr>
          <w:spacing w:val="-1"/>
          <w:sz w:val="21"/>
        </w:rPr>
        <w:t>们将按本附加合同生效时被保险人年龄所对应的保险金给付倍数乘以 </w:t>
      </w:r>
      <w:r>
        <w:rPr>
          <w:sz w:val="21"/>
        </w:rPr>
        <w:t>20%的基本保险金额给付轻症疾病保险金（被保险人若同时符合一种以上本附加合同内所界定的轻症疾病，该给付</w:t>
      </w:r>
      <w:r>
        <w:rPr>
          <w:spacing w:val="-2"/>
          <w:w w:val="100"/>
          <w:sz w:val="21"/>
        </w:rPr>
        <w:t>以一次为限</w:t>
      </w:r>
      <w:r>
        <w:rPr>
          <w:spacing w:val="-106"/>
          <w:w w:val="100"/>
          <w:sz w:val="21"/>
        </w:rPr>
        <w:t>）</w:t>
      </w:r>
      <w:r>
        <w:rPr>
          <w:spacing w:val="-3"/>
          <w:w w:val="100"/>
          <w:sz w:val="21"/>
        </w:rPr>
        <w:t>，同时本项保险责任终止。</w:t>
      </w:r>
    </w:p>
    <w:p>
      <w:pPr>
        <w:spacing w:after="0" w:line="268" w:lineRule="auto"/>
        <w:jc w:val="both"/>
        <w:rPr>
          <w:sz w:val="21"/>
        </w:rPr>
        <w:sectPr>
          <w:pgSz w:w="11960" w:h="16850"/>
          <w:pgMar w:header="0" w:footer="1001" w:top="1600" w:bottom="1200" w:left="1600" w:right="1640"/>
        </w:sectPr>
      </w:pPr>
    </w:p>
    <w:p>
      <w:pPr>
        <w:spacing w:line="537" w:lineRule="auto" w:before="83"/>
        <w:ind w:left="101" w:right="403" w:firstLine="0"/>
        <w:jc w:val="left"/>
        <w:rPr>
          <w:sz w:val="21"/>
        </w:rPr>
      </w:pPr>
      <w:r>
        <w:rPr>
          <w:sz w:val="21"/>
        </w:rPr>
        <w:t>如果该轻症疾病是由于被保险人遭受</w:t>
      </w:r>
      <w:r>
        <w:rPr>
          <w:b/>
          <w:sz w:val="21"/>
        </w:rPr>
        <w:t>意外伤害事故</w:t>
      </w:r>
      <w:r>
        <w:rPr>
          <w:b/>
          <w:position w:val="12"/>
          <w:sz w:val="12"/>
        </w:rPr>
        <w:t>释义 8 </w:t>
      </w:r>
      <w:r>
        <w:rPr>
          <w:sz w:val="21"/>
        </w:rPr>
        <w:t>引起的，则无须受等待期的限制。二、重大疾病保险金</w:t>
      </w:r>
    </w:p>
    <w:p>
      <w:pPr>
        <w:spacing w:line="273" w:lineRule="auto" w:before="88"/>
        <w:ind w:left="101" w:right="101" w:firstLine="0"/>
        <w:jc w:val="both"/>
        <w:rPr>
          <w:sz w:val="21"/>
        </w:rPr>
      </w:pPr>
      <w:r>
        <w:rPr>
          <w:sz w:val="21"/>
        </w:rPr>
        <w:t>如果被保险人在等待期内，首次发病并经医生确诊初次患有本附加合同附表二中所界定的重大疾病中的任何一种疾病，我们将无息返还本附加合同及其主合同所有已交的保险费，同时本附加合同及其主合同终止。</w:t>
      </w:r>
    </w:p>
    <w:p>
      <w:pPr>
        <w:pStyle w:val="BodyText"/>
        <w:spacing w:before="5"/>
        <w:rPr>
          <w:sz w:val="24"/>
        </w:rPr>
      </w:pPr>
    </w:p>
    <w:p>
      <w:pPr>
        <w:spacing w:line="273" w:lineRule="auto" w:before="0"/>
        <w:ind w:left="101" w:right="101" w:firstLine="0"/>
        <w:jc w:val="both"/>
        <w:rPr>
          <w:sz w:val="21"/>
        </w:rPr>
      </w:pPr>
      <w:r>
        <w:rPr>
          <w:sz w:val="21"/>
        </w:rPr>
        <w:t>如果被保险人在等待期后，首次发病并经医生确诊初次患有本附加合同附表二中所界定的重大疾病中的任何一种疾病，我们将按本附加合同生效时的被保险人年龄所对应的保险金给付倍数乘以基本保险金额给付重大疾病保险金，同时本附加合同及其主合同终止。</w:t>
      </w:r>
    </w:p>
    <w:p>
      <w:pPr>
        <w:pStyle w:val="BodyText"/>
        <w:spacing w:before="5"/>
        <w:rPr>
          <w:sz w:val="24"/>
        </w:rPr>
      </w:pPr>
    </w:p>
    <w:p>
      <w:pPr>
        <w:spacing w:line="544" w:lineRule="auto" w:before="0"/>
        <w:ind w:left="101" w:right="833" w:firstLine="0"/>
        <w:jc w:val="left"/>
        <w:rPr>
          <w:sz w:val="21"/>
        </w:rPr>
      </w:pPr>
      <w:r>
        <w:rPr/>
        <w:pict>
          <v:shape style="position:absolute;margin-left:92.15313pt;margin-top:47.42247pt;width:411.25pt;height:133.950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2"/>
                    <w:gridCol w:w="1497"/>
                    <w:gridCol w:w="1497"/>
                    <w:gridCol w:w="1495"/>
                    <w:gridCol w:w="1497"/>
                  </w:tblGrid>
                  <w:tr>
                    <w:trPr>
                      <w:trHeight w:val="297" w:hRule="atLeast"/>
                    </w:trPr>
                    <w:tc>
                      <w:tcPr>
                        <w:tcW w:w="2222" w:type="dxa"/>
                        <w:vMerge w:val="restart"/>
                      </w:tcPr>
                      <w:p>
                        <w:pPr>
                          <w:pStyle w:val="TableParagraph"/>
                          <w:spacing w:line="240" w:lineRule="auto"/>
                          <w:ind w:left="479" w:right="151" w:hanging="315"/>
                          <w:jc w:val="left"/>
                          <w:rPr>
                            <w:sz w:val="21"/>
                          </w:rPr>
                        </w:pPr>
                        <w:r>
                          <w:rPr>
                            <w:sz w:val="21"/>
                          </w:rPr>
                          <w:t>本附加合同生效时的被保险人年龄</w:t>
                        </w:r>
                      </w:p>
                    </w:tc>
                    <w:tc>
                      <w:tcPr>
                        <w:tcW w:w="2994" w:type="dxa"/>
                        <w:gridSpan w:val="2"/>
                      </w:tcPr>
                      <w:p>
                        <w:pPr>
                          <w:pStyle w:val="TableParagraph"/>
                          <w:spacing w:line="253" w:lineRule="exact"/>
                          <w:ind w:left="813"/>
                          <w:jc w:val="left"/>
                          <w:rPr>
                            <w:sz w:val="21"/>
                          </w:rPr>
                        </w:pPr>
                        <w:r>
                          <w:rPr>
                            <w:sz w:val="21"/>
                          </w:rPr>
                          <w:t>保险期间 15 年</w:t>
                        </w:r>
                      </w:p>
                    </w:tc>
                    <w:tc>
                      <w:tcPr>
                        <w:tcW w:w="2992" w:type="dxa"/>
                        <w:gridSpan w:val="2"/>
                      </w:tcPr>
                      <w:p>
                        <w:pPr>
                          <w:pStyle w:val="TableParagraph"/>
                          <w:spacing w:line="253" w:lineRule="exact"/>
                          <w:ind w:left="812"/>
                          <w:jc w:val="left"/>
                          <w:rPr>
                            <w:sz w:val="21"/>
                          </w:rPr>
                        </w:pPr>
                        <w:r>
                          <w:rPr>
                            <w:sz w:val="21"/>
                          </w:rPr>
                          <w:t>保险期间 20 年</w:t>
                        </w:r>
                      </w:p>
                    </w:tc>
                  </w:tr>
                  <w:tr>
                    <w:trPr>
                      <w:trHeight w:val="299" w:hRule="atLeast"/>
                    </w:trPr>
                    <w:tc>
                      <w:tcPr>
                        <w:tcW w:w="2222" w:type="dxa"/>
                        <w:vMerge/>
                        <w:tcBorders>
                          <w:top w:val="nil"/>
                        </w:tcBorders>
                      </w:tcPr>
                      <w:p>
                        <w:pPr>
                          <w:rPr>
                            <w:sz w:val="2"/>
                            <w:szCs w:val="2"/>
                          </w:rPr>
                        </w:pPr>
                      </w:p>
                    </w:tc>
                    <w:tc>
                      <w:tcPr>
                        <w:tcW w:w="1497" w:type="dxa"/>
                      </w:tcPr>
                      <w:p>
                        <w:pPr>
                          <w:pStyle w:val="TableParagraph"/>
                          <w:spacing w:line="255" w:lineRule="exact"/>
                          <w:ind w:left="45" w:right="35"/>
                          <w:rPr>
                            <w:sz w:val="21"/>
                          </w:rPr>
                        </w:pPr>
                        <w:r>
                          <w:rPr>
                            <w:sz w:val="21"/>
                          </w:rPr>
                          <w:t>交费期限 3 年</w:t>
                        </w:r>
                      </w:p>
                    </w:tc>
                    <w:tc>
                      <w:tcPr>
                        <w:tcW w:w="1497" w:type="dxa"/>
                      </w:tcPr>
                      <w:p>
                        <w:pPr>
                          <w:pStyle w:val="TableParagraph"/>
                          <w:spacing w:line="255" w:lineRule="exact"/>
                          <w:ind w:right="35"/>
                          <w:rPr>
                            <w:sz w:val="21"/>
                          </w:rPr>
                        </w:pPr>
                        <w:r>
                          <w:rPr>
                            <w:sz w:val="21"/>
                          </w:rPr>
                          <w:t>交费期限 6 年</w:t>
                        </w:r>
                      </w:p>
                    </w:tc>
                    <w:tc>
                      <w:tcPr>
                        <w:tcW w:w="1495" w:type="dxa"/>
                      </w:tcPr>
                      <w:p>
                        <w:pPr>
                          <w:pStyle w:val="TableParagraph"/>
                          <w:spacing w:line="255" w:lineRule="exact"/>
                          <w:ind w:left="44" w:right="35"/>
                          <w:rPr>
                            <w:sz w:val="21"/>
                          </w:rPr>
                        </w:pPr>
                        <w:r>
                          <w:rPr>
                            <w:sz w:val="21"/>
                          </w:rPr>
                          <w:t>交费期限 3 年</w:t>
                        </w:r>
                      </w:p>
                    </w:tc>
                    <w:tc>
                      <w:tcPr>
                        <w:tcW w:w="1497" w:type="dxa"/>
                      </w:tcPr>
                      <w:p>
                        <w:pPr>
                          <w:pStyle w:val="TableParagraph"/>
                          <w:spacing w:line="255" w:lineRule="exact"/>
                          <w:ind w:right="34"/>
                          <w:rPr>
                            <w:sz w:val="21"/>
                          </w:rPr>
                        </w:pPr>
                        <w:r>
                          <w:rPr>
                            <w:sz w:val="21"/>
                          </w:rPr>
                          <w:t>交费期限 6 年</w:t>
                        </w:r>
                      </w:p>
                    </w:tc>
                  </w:tr>
                  <w:tr>
                    <w:trPr>
                      <w:trHeight w:val="282" w:hRule="atLeast"/>
                    </w:trPr>
                    <w:tc>
                      <w:tcPr>
                        <w:tcW w:w="2222" w:type="dxa"/>
                      </w:tcPr>
                      <w:p>
                        <w:pPr>
                          <w:pStyle w:val="TableParagraph"/>
                          <w:ind w:left="303" w:right="294"/>
                          <w:rPr>
                            <w:sz w:val="21"/>
                          </w:rPr>
                        </w:pPr>
                        <w:r>
                          <w:rPr>
                            <w:sz w:val="21"/>
                          </w:rPr>
                          <w:t>18 周岁-20 周岁</w:t>
                        </w:r>
                      </w:p>
                    </w:tc>
                    <w:tc>
                      <w:tcPr>
                        <w:tcW w:w="1497" w:type="dxa"/>
                      </w:tcPr>
                      <w:p>
                        <w:pPr>
                          <w:pStyle w:val="TableParagraph"/>
                          <w:ind w:left="45" w:right="35"/>
                          <w:rPr>
                            <w:sz w:val="21"/>
                          </w:rPr>
                        </w:pPr>
                        <w:r>
                          <w:rPr>
                            <w:sz w:val="21"/>
                          </w:rPr>
                          <w:t>90</w:t>
                        </w:r>
                      </w:p>
                    </w:tc>
                    <w:tc>
                      <w:tcPr>
                        <w:tcW w:w="1497" w:type="dxa"/>
                      </w:tcPr>
                      <w:p>
                        <w:pPr>
                          <w:pStyle w:val="TableParagraph"/>
                          <w:ind w:right="35"/>
                          <w:rPr>
                            <w:sz w:val="21"/>
                          </w:rPr>
                        </w:pPr>
                        <w:r>
                          <w:rPr>
                            <w:sz w:val="21"/>
                          </w:rPr>
                          <w:t>145</w:t>
                        </w:r>
                      </w:p>
                    </w:tc>
                    <w:tc>
                      <w:tcPr>
                        <w:tcW w:w="1495" w:type="dxa"/>
                      </w:tcPr>
                      <w:p>
                        <w:pPr>
                          <w:pStyle w:val="TableParagraph"/>
                          <w:ind w:left="44" w:right="35"/>
                          <w:rPr>
                            <w:sz w:val="21"/>
                          </w:rPr>
                        </w:pPr>
                        <w:r>
                          <w:rPr>
                            <w:sz w:val="21"/>
                          </w:rPr>
                          <w:t>80</w:t>
                        </w:r>
                      </w:p>
                    </w:tc>
                    <w:tc>
                      <w:tcPr>
                        <w:tcW w:w="1497" w:type="dxa"/>
                      </w:tcPr>
                      <w:p>
                        <w:pPr>
                          <w:pStyle w:val="TableParagraph"/>
                          <w:ind w:right="34"/>
                          <w:rPr>
                            <w:sz w:val="21"/>
                          </w:rPr>
                        </w:pPr>
                        <w:r>
                          <w:rPr>
                            <w:sz w:val="21"/>
                          </w:rPr>
                          <w:t>135</w:t>
                        </w:r>
                      </w:p>
                    </w:tc>
                  </w:tr>
                  <w:tr>
                    <w:trPr>
                      <w:trHeight w:val="282" w:hRule="atLeast"/>
                    </w:trPr>
                    <w:tc>
                      <w:tcPr>
                        <w:tcW w:w="2222" w:type="dxa"/>
                      </w:tcPr>
                      <w:p>
                        <w:pPr>
                          <w:pStyle w:val="TableParagraph"/>
                          <w:ind w:left="303" w:right="294"/>
                          <w:rPr>
                            <w:sz w:val="21"/>
                          </w:rPr>
                        </w:pPr>
                        <w:r>
                          <w:rPr>
                            <w:sz w:val="21"/>
                          </w:rPr>
                          <w:t>21 周岁-25 周岁</w:t>
                        </w:r>
                      </w:p>
                    </w:tc>
                    <w:tc>
                      <w:tcPr>
                        <w:tcW w:w="1497" w:type="dxa"/>
                      </w:tcPr>
                      <w:p>
                        <w:pPr>
                          <w:pStyle w:val="TableParagraph"/>
                          <w:ind w:left="45" w:right="35"/>
                          <w:rPr>
                            <w:sz w:val="21"/>
                          </w:rPr>
                        </w:pPr>
                        <w:r>
                          <w:rPr>
                            <w:sz w:val="21"/>
                          </w:rPr>
                          <w:t>75</w:t>
                        </w:r>
                      </w:p>
                    </w:tc>
                    <w:tc>
                      <w:tcPr>
                        <w:tcW w:w="1497" w:type="dxa"/>
                      </w:tcPr>
                      <w:p>
                        <w:pPr>
                          <w:pStyle w:val="TableParagraph"/>
                          <w:ind w:right="35"/>
                          <w:rPr>
                            <w:sz w:val="21"/>
                          </w:rPr>
                        </w:pPr>
                        <w:r>
                          <w:rPr>
                            <w:sz w:val="21"/>
                          </w:rPr>
                          <w:t>120</w:t>
                        </w:r>
                      </w:p>
                    </w:tc>
                    <w:tc>
                      <w:tcPr>
                        <w:tcW w:w="1495" w:type="dxa"/>
                      </w:tcPr>
                      <w:p>
                        <w:pPr>
                          <w:pStyle w:val="TableParagraph"/>
                          <w:ind w:left="44" w:right="35"/>
                          <w:rPr>
                            <w:sz w:val="21"/>
                          </w:rPr>
                        </w:pPr>
                        <w:r>
                          <w:rPr>
                            <w:sz w:val="21"/>
                          </w:rPr>
                          <w:t>65</w:t>
                        </w:r>
                      </w:p>
                    </w:tc>
                    <w:tc>
                      <w:tcPr>
                        <w:tcW w:w="1497" w:type="dxa"/>
                      </w:tcPr>
                      <w:p>
                        <w:pPr>
                          <w:pStyle w:val="TableParagraph"/>
                          <w:ind w:right="34"/>
                          <w:rPr>
                            <w:sz w:val="21"/>
                          </w:rPr>
                        </w:pPr>
                        <w:r>
                          <w:rPr>
                            <w:sz w:val="21"/>
                          </w:rPr>
                          <w:t>110</w:t>
                        </w:r>
                      </w:p>
                    </w:tc>
                  </w:tr>
                  <w:tr>
                    <w:trPr>
                      <w:trHeight w:val="282" w:hRule="atLeast"/>
                    </w:trPr>
                    <w:tc>
                      <w:tcPr>
                        <w:tcW w:w="2222" w:type="dxa"/>
                      </w:tcPr>
                      <w:p>
                        <w:pPr>
                          <w:pStyle w:val="TableParagraph"/>
                          <w:ind w:left="303" w:right="294"/>
                          <w:rPr>
                            <w:sz w:val="21"/>
                          </w:rPr>
                        </w:pPr>
                        <w:r>
                          <w:rPr>
                            <w:sz w:val="21"/>
                          </w:rPr>
                          <w:t>26 周岁-30 周岁</w:t>
                        </w:r>
                      </w:p>
                    </w:tc>
                    <w:tc>
                      <w:tcPr>
                        <w:tcW w:w="1497" w:type="dxa"/>
                      </w:tcPr>
                      <w:p>
                        <w:pPr>
                          <w:pStyle w:val="TableParagraph"/>
                          <w:ind w:left="45" w:right="35"/>
                          <w:rPr>
                            <w:sz w:val="21"/>
                          </w:rPr>
                        </w:pPr>
                        <w:r>
                          <w:rPr>
                            <w:sz w:val="21"/>
                          </w:rPr>
                          <w:t>55</w:t>
                        </w:r>
                      </w:p>
                    </w:tc>
                    <w:tc>
                      <w:tcPr>
                        <w:tcW w:w="1497" w:type="dxa"/>
                      </w:tcPr>
                      <w:p>
                        <w:pPr>
                          <w:pStyle w:val="TableParagraph"/>
                          <w:ind w:right="35"/>
                          <w:rPr>
                            <w:sz w:val="21"/>
                          </w:rPr>
                        </w:pPr>
                        <w:r>
                          <w:rPr>
                            <w:sz w:val="21"/>
                          </w:rPr>
                          <w:t>90</w:t>
                        </w:r>
                      </w:p>
                    </w:tc>
                    <w:tc>
                      <w:tcPr>
                        <w:tcW w:w="1495" w:type="dxa"/>
                      </w:tcPr>
                      <w:p>
                        <w:pPr>
                          <w:pStyle w:val="TableParagraph"/>
                          <w:ind w:left="44" w:right="35"/>
                          <w:rPr>
                            <w:sz w:val="21"/>
                          </w:rPr>
                        </w:pPr>
                        <w:r>
                          <w:rPr>
                            <w:sz w:val="21"/>
                          </w:rPr>
                          <w:t>46</w:t>
                        </w:r>
                      </w:p>
                    </w:tc>
                    <w:tc>
                      <w:tcPr>
                        <w:tcW w:w="1497" w:type="dxa"/>
                      </w:tcPr>
                      <w:p>
                        <w:pPr>
                          <w:pStyle w:val="TableParagraph"/>
                          <w:ind w:right="34"/>
                          <w:rPr>
                            <w:sz w:val="21"/>
                          </w:rPr>
                        </w:pPr>
                        <w:r>
                          <w:rPr>
                            <w:sz w:val="21"/>
                          </w:rPr>
                          <w:t>80</w:t>
                        </w:r>
                      </w:p>
                    </w:tc>
                  </w:tr>
                  <w:tr>
                    <w:trPr>
                      <w:trHeight w:val="285" w:hRule="atLeast"/>
                    </w:trPr>
                    <w:tc>
                      <w:tcPr>
                        <w:tcW w:w="2222" w:type="dxa"/>
                      </w:tcPr>
                      <w:p>
                        <w:pPr>
                          <w:pStyle w:val="TableParagraph"/>
                          <w:ind w:left="303" w:right="294"/>
                          <w:rPr>
                            <w:sz w:val="21"/>
                          </w:rPr>
                        </w:pPr>
                        <w:r>
                          <w:rPr>
                            <w:sz w:val="21"/>
                          </w:rPr>
                          <w:t>31 周岁-35 周岁</w:t>
                        </w:r>
                      </w:p>
                    </w:tc>
                    <w:tc>
                      <w:tcPr>
                        <w:tcW w:w="1497" w:type="dxa"/>
                      </w:tcPr>
                      <w:p>
                        <w:pPr>
                          <w:pStyle w:val="TableParagraph"/>
                          <w:ind w:left="45" w:right="35"/>
                          <w:rPr>
                            <w:sz w:val="21"/>
                          </w:rPr>
                        </w:pPr>
                        <w:r>
                          <w:rPr>
                            <w:sz w:val="21"/>
                          </w:rPr>
                          <w:t>35</w:t>
                        </w:r>
                      </w:p>
                    </w:tc>
                    <w:tc>
                      <w:tcPr>
                        <w:tcW w:w="1497" w:type="dxa"/>
                      </w:tcPr>
                      <w:p>
                        <w:pPr>
                          <w:pStyle w:val="TableParagraph"/>
                          <w:ind w:right="35"/>
                          <w:rPr>
                            <w:sz w:val="21"/>
                          </w:rPr>
                        </w:pPr>
                        <w:r>
                          <w:rPr>
                            <w:sz w:val="21"/>
                          </w:rPr>
                          <w:t>60</w:t>
                        </w:r>
                      </w:p>
                    </w:tc>
                    <w:tc>
                      <w:tcPr>
                        <w:tcW w:w="1495" w:type="dxa"/>
                      </w:tcPr>
                      <w:p>
                        <w:pPr>
                          <w:pStyle w:val="TableParagraph"/>
                          <w:ind w:left="44" w:right="35"/>
                          <w:rPr>
                            <w:sz w:val="21"/>
                          </w:rPr>
                        </w:pPr>
                        <w:r>
                          <w:rPr>
                            <w:sz w:val="21"/>
                          </w:rPr>
                          <w:t>30</w:t>
                        </w:r>
                      </w:p>
                    </w:tc>
                    <w:tc>
                      <w:tcPr>
                        <w:tcW w:w="1497" w:type="dxa"/>
                      </w:tcPr>
                      <w:p>
                        <w:pPr>
                          <w:pStyle w:val="TableParagraph"/>
                          <w:ind w:right="34"/>
                          <w:rPr>
                            <w:sz w:val="21"/>
                          </w:rPr>
                        </w:pPr>
                        <w:r>
                          <w:rPr>
                            <w:sz w:val="21"/>
                          </w:rPr>
                          <w:t>55</w:t>
                        </w:r>
                      </w:p>
                    </w:tc>
                  </w:tr>
                  <w:tr>
                    <w:trPr>
                      <w:trHeight w:val="282" w:hRule="atLeast"/>
                    </w:trPr>
                    <w:tc>
                      <w:tcPr>
                        <w:tcW w:w="2222" w:type="dxa"/>
                      </w:tcPr>
                      <w:p>
                        <w:pPr>
                          <w:pStyle w:val="TableParagraph"/>
                          <w:spacing w:line="245" w:lineRule="exact"/>
                          <w:ind w:left="303" w:right="294"/>
                          <w:rPr>
                            <w:sz w:val="21"/>
                          </w:rPr>
                        </w:pPr>
                        <w:r>
                          <w:rPr>
                            <w:sz w:val="21"/>
                          </w:rPr>
                          <w:t>36 周岁-40 周岁</w:t>
                        </w:r>
                      </w:p>
                    </w:tc>
                    <w:tc>
                      <w:tcPr>
                        <w:tcW w:w="1497" w:type="dxa"/>
                      </w:tcPr>
                      <w:p>
                        <w:pPr>
                          <w:pStyle w:val="TableParagraph"/>
                          <w:spacing w:line="245" w:lineRule="exact"/>
                          <w:ind w:left="45" w:right="35"/>
                          <w:rPr>
                            <w:sz w:val="21"/>
                          </w:rPr>
                        </w:pPr>
                        <w:r>
                          <w:rPr>
                            <w:sz w:val="21"/>
                          </w:rPr>
                          <w:t>23</w:t>
                        </w:r>
                      </w:p>
                    </w:tc>
                    <w:tc>
                      <w:tcPr>
                        <w:tcW w:w="1497" w:type="dxa"/>
                      </w:tcPr>
                      <w:p>
                        <w:pPr>
                          <w:pStyle w:val="TableParagraph"/>
                          <w:spacing w:line="245" w:lineRule="exact"/>
                          <w:ind w:right="35"/>
                          <w:rPr>
                            <w:sz w:val="21"/>
                          </w:rPr>
                        </w:pPr>
                        <w:r>
                          <w:rPr>
                            <w:sz w:val="21"/>
                          </w:rPr>
                          <w:t>40</w:t>
                        </w:r>
                      </w:p>
                    </w:tc>
                    <w:tc>
                      <w:tcPr>
                        <w:tcW w:w="1495" w:type="dxa"/>
                      </w:tcPr>
                      <w:p>
                        <w:pPr>
                          <w:pStyle w:val="TableParagraph"/>
                          <w:spacing w:line="245" w:lineRule="exact"/>
                          <w:ind w:left="44" w:right="35"/>
                          <w:rPr>
                            <w:sz w:val="21"/>
                          </w:rPr>
                        </w:pPr>
                        <w:r>
                          <w:rPr>
                            <w:sz w:val="21"/>
                          </w:rPr>
                          <w:t>20</w:t>
                        </w:r>
                      </w:p>
                    </w:tc>
                    <w:tc>
                      <w:tcPr>
                        <w:tcW w:w="1497" w:type="dxa"/>
                      </w:tcPr>
                      <w:p>
                        <w:pPr>
                          <w:pStyle w:val="TableParagraph"/>
                          <w:spacing w:line="245" w:lineRule="exact"/>
                          <w:ind w:right="34"/>
                          <w:rPr>
                            <w:sz w:val="21"/>
                          </w:rPr>
                        </w:pPr>
                        <w:r>
                          <w:rPr>
                            <w:sz w:val="21"/>
                          </w:rPr>
                          <w:t>35</w:t>
                        </w:r>
                      </w:p>
                    </w:tc>
                  </w:tr>
                  <w:tr>
                    <w:trPr>
                      <w:trHeight w:val="282" w:hRule="atLeast"/>
                    </w:trPr>
                    <w:tc>
                      <w:tcPr>
                        <w:tcW w:w="2222" w:type="dxa"/>
                      </w:tcPr>
                      <w:p>
                        <w:pPr>
                          <w:pStyle w:val="TableParagraph"/>
                          <w:spacing w:line="245" w:lineRule="exact"/>
                          <w:ind w:left="303" w:right="294"/>
                          <w:rPr>
                            <w:sz w:val="21"/>
                          </w:rPr>
                        </w:pPr>
                        <w:r>
                          <w:rPr>
                            <w:sz w:val="21"/>
                          </w:rPr>
                          <w:t>41 周岁-45 周岁</w:t>
                        </w:r>
                      </w:p>
                    </w:tc>
                    <w:tc>
                      <w:tcPr>
                        <w:tcW w:w="1497" w:type="dxa"/>
                      </w:tcPr>
                      <w:p>
                        <w:pPr>
                          <w:pStyle w:val="TableParagraph"/>
                          <w:spacing w:line="245" w:lineRule="exact"/>
                          <w:ind w:left="45" w:right="35"/>
                          <w:rPr>
                            <w:sz w:val="21"/>
                          </w:rPr>
                        </w:pPr>
                        <w:r>
                          <w:rPr>
                            <w:sz w:val="21"/>
                          </w:rPr>
                          <w:t>16</w:t>
                        </w:r>
                      </w:p>
                    </w:tc>
                    <w:tc>
                      <w:tcPr>
                        <w:tcW w:w="1497" w:type="dxa"/>
                      </w:tcPr>
                      <w:p>
                        <w:pPr>
                          <w:pStyle w:val="TableParagraph"/>
                          <w:spacing w:line="245" w:lineRule="exact"/>
                          <w:ind w:right="35"/>
                          <w:rPr>
                            <w:sz w:val="21"/>
                          </w:rPr>
                        </w:pPr>
                        <w:r>
                          <w:rPr>
                            <w:sz w:val="21"/>
                          </w:rPr>
                          <w:t>27</w:t>
                        </w:r>
                      </w:p>
                    </w:tc>
                    <w:tc>
                      <w:tcPr>
                        <w:tcW w:w="1495" w:type="dxa"/>
                      </w:tcPr>
                      <w:p>
                        <w:pPr>
                          <w:pStyle w:val="TableParagraph"/>
                          <w:spacing w:line="245" w:lineRule="exact"/>
                          <w:ind w:left="44" w:right="35"/>
                          <w:rPr>
                            <w:sz w:val="21"/>
                          </w:rPr>
                        </w:pPr>
                        <w:r>
                          <w:rPr>
                            <w:sz w:val="21"/>
                          </w:rPr>
                          <w:t>15</w:t>
                        </w:r>
                      </w:p>
                    </w:tc>
                    <w:tc>
                      <w:tcPr>
                        <w:tcW w:w="1497" w:type="dxa"/>
                      </w:tcPr>
                      <w:p>
                        <w:pPr>
                          <w:pStyle w:val="TableParagraph"/>
                          <w:spacing w:line="245" w:lineRule="exact"/>
                          <w:ind w:right="34"/>
                          <w:rPr>
                            <w:sz w:val="21"/>
                          </w:rPr>
                        </w:pPr>
                        <w:r>
                          <w:rPr>
                            <w:sz w:val="21"/>
                          </w:rPr>
                          <w:t>25</w:t>
                        </w:r>
                      </w:p>
                    </w:tc>
                  </w:tr>
                  <w:tr>
                    <w:trPr>
                      <w:trHeight w:val="282" w:hRule="atLeast"/>
                    </w:trPr>
                    <w:tc>
                      <w:tcPr>
                        <w:tcW w:w="2222" w:type="dxa"/>
                      </w:tcPr>
                      <w:p>
                        <w:pPr>
                          <w:pStyle w:val="TableParagraph"/>
                          <w:spacing w:line="245" w:lineRule="exact"/>
                          <w:ind w:left="303" w:right="294"/>
                          <w:rPr>
                            <w:sz w:val="21"/>
                          </w:rPr>
                        </w:pPr>
                        <w:r>
                          <w:rPr>
                            <w:sz w:val="21"/>
                          </w:rPr>
                          <w:t>46 周岁-50 周岁</w:t>
                        </w:r>
                      </w:p>
                    </w:tc>
                    <w:tc>
                      <w:tcPr>
                        <w:tcW w:w="1497" w:type="dxa"/>
                      </w:tcPr>
                      <w:p>
                        <w:pPr>
                          <w:pStyle w:val="TableParagraph"/>
                          <w:spacing w:line="245" w:lineRule="exact"/>
                          <w:ind w:left="45" w:right="35"/>
                          <w:rPr>
                            <w:sz w:val="21"/>
                          </w:rPr>
                        </w:pPr>
                        <w:r>
                          <w:rPr>
                            <w:sz w:val="21"/>
                          </w:rPr>
                          <w:t>12</w:t>
                        </w:r>
                      </w:p>
                    </w:tc>
                    <w:tc>
                      <w:tcPr>
                        <w:tcW w:w="1497" w:type="dxa"/>
                      </w:tcPr>
                      <w:p>
                        <w:pPr>
                          <w:pStyle w:val="TableParagraph"/>
                          <w:spacing w:line="245" w:lineRule="exact"/>
                          <w:ind w:right="35"/>
                          <w:rPr>
                            <w:sz w:val="21"/>
                          </w:rPr>
                        </w:pPr>
                        <w:r>
                          <w:rPr>
                            <w:sz w:val="21"/>
                          </w:rPr>
                          <w:t>20</w:t>
                        </w:r>
                      </w:p>
                    </w:tc>
                    <w:tc>
                      <w:tcPr>
                        <w:tcW w:w="1495" w:type="dxa"/>
                      </w:tcPr>
                      <w:p>
                        <w:pPr>
                          <w:pStyle w:val="TableParagraph"/>
                          <w:spacing w:line="245" w:lineRule="exact"/>
                          <w:ind w:left="44" w:right="35"/>
                          <w:rPr>
                            <w:sz w:val="21"/>
                          </w:rPr>
                        </w:pPr>
                        <w:r>
                          <w:rPr>
                            <w:sz w:val="21"/>
                          </w:rPr>
                          <w:t>10</w:t>
                        </w:r>
                      </w:p>
                    </w:tc>
                    <w:tc>
                      <w:tcPr>
                        <w:tcW w:w="1497" w:type="dxa"/>
                      </w:tcPr>
                      <w:p>
                        <w:pPr>
                          <w:pStyle w:val="TableParagraph"/>
                          <w:spacing w:line="245" w:lineRule="exact"/>
                          <w:ind w:right="34"/>
                          <w:rPr>
                            <w:sz w:val="21"/>
                          </w:rPr>
                        </w:pPr>
                        <w:r>
                          <w:rPr>
                            <w:sz w:val="21"/>
                          </w:rPr>
                          <w:t>18</w:t>
                        </w:r>
                      </w:p>
                    </w:tc>
                  </w:tr>
                </w:tbl>
                <w:p>
                  <w:pPr>
                    <w:pStyle w:val="BodyText"/>
                  </w:pPr>
                </w:p>
              </w:txbxContent>
            </v:textbox>
            <w10:wrap type="none"/>
          </v:shape>
        </w:pict>
      </w:r>
      <w:r>
        <w:rPr>
          <w:sz w:val="21"/>
        </w:rPr>
        <w:t>如果该重大疾病是由于被保险人遭受意外伤害事故引起的，则无须受等待期的限制。本附加合同生效时的被保险人年龄所对应的保险金给付倍数如下表：</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9"/>
        </w:rPr>
      </w:pPr>
    </w:p>
    <w:p>
      <w:pPr>
        <w:pStyle w:val="Heading2"/>
        <w:tabs>
          <w:tab w:pos="1361" w:val="left" w:leader="none"/>
        </w:tabs>
      </w:pPr>
      <w:bookmarkStart w:name="_TOC_250017" w:id="8"/>
      <w:bookmarkEnd w:id="8"/>
      <w:r>
        <w:rPr/>
        <w:t>第八条</w:t>
        <w:tab/>
        <w:t>责任免除</w:t>
      </w:r>
    </w:p>
    <w:p>
      <w:pPr>
        <w:pStyle w:val="BodyText"/>
        <w:rPr>
          <w:b/>
        </w:rPr>
      </w:pPr>
    </w:p>
    <w:p>
      <w:pPr>
        <w:pStyle w:val="BodyText"/>
        <w:spacing w:before="10"/>
        <w:rPr>
          <w:b/>
          <w:sz w:val="24"/>
        </w:rPr>
      </w:pPr>
    </w:p>
    <w:p>
      <w:pPr>
        <w:spacing w:line="273" w:lineRule="auto" w:before="1"/>
        <w:ind w:left="101" w:right="101" w:firstLine="0"/>
        <w:jc w:val="left"/>
        <w:rPr>
          <w:b/>
          <w:sz w:val="21"/>
        </w:rPr>
      </w:pPr>
      <w:r>
        <w:rPr>
          <w:b/>
          <w:sz w:val="21"/>
        </w:rPr>
        <w:t>因下列情形之一导致被保险人初次患有本附加合同内所界定的轻症疾病或重大疾病的，我们不承担给付相应保险金的责任：</w:t>
      </w:r>
    </w:p>
    <w:p>
      <w:pPr>
        <w:pStyle w:val="BodyText"/>
        <w:spacing w:before="5"/>
        <w:rPr>
          <w:b/>
          <w:sz w:val="24"/>
        </w:rPr>
      </w:pPr>
    </w:p>
    <w:p>
      <w:pPr>
        <w:spacing w:before="1"/>
        <w:ind w:left="101"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21"/>
        <w:ind w:left="101" w:right="0" w:firstLine="0"/>
        <w:jc w:val="left"/>
        <w:rPr>
          <w:b/>
          <w:sz w:val="21"/>
        </w:rPr>
      </w:pPr>
      <w:r>
        <w:rPr>
          <w:b/>
          <w:sz w:val="21"/>
        </w:rPr>
        <w:t>（</w:t>
      </w:r>
      <w:r>
        <w:rPr>
          <w:rFonts w:ascii="Times New Roman" w:eastAsia="Times New Roman"/>
          <w:b/>
          <w:sz w:val="21"/>
        </w:rPr>
        <w:t>2</w:t>
      </w:r>
      <w:r>
        <w:rPr>
          <w:b/>
          <w:sz w:val="21"/>
        </w:rPr>
        <w:t>）被保险人故意自伤、故意犯罪或者抗拒依法采取的刑事强制措施的；</w:t>
      </w:r>
    </w:p>
    <w:p>
      <w:pPr>
        <w:spacing w:before="13"/>
        <w:ind w:left="101" w:right="0" w:firstLine="0"/>
        <w:jc w:val="left"/>
        <w:rPr>
          <w:b/>
          <w:sz w:val="21"/>
        </w:rPr>
      </w:pPr>
      <w:r>
        <w:rPr>
          <w:b/>
          <w:sz w:val="21"/>
        </w:rPr>
        <w:t>（</w:t>
      </w:r>
      <w:r>
        <w:rPr>
          <w:rFonts w:ascii="Times New Roman" w:eastAsia="Times New Roman"/>
          <w:b/>
          <w:sz w:val="21"/>
        </w:rPr>
        <w:t>3</w:t>
      </w:r>
      <w:r>
        <w:rPr>
          <w:b/>
          <w:sz w:val="21"/>
        </w:rPr>
        <w:t>）被保险人主动吸食或注射毒品</w:t>
      </w:r>
      <w:r>
        <w:rPr>
          <w:b/>
          <w:position w:val="12"/>
          <w:sz w:val="12"/>
        </w:rPr>
        <w:t>释义 9</w:t>
      </w:r>
      <w:r>
        <w:rPr>
          <w:b/>
          <w:sz w:val="21"/>
        </w:rPr>
        <w:t>；</w:t>
      </w:r>
    </w:p>
    <w:p>
      <w:pPr>
        <w:spacing w:line="244" w:lineRule="auto" w:before="6"/>
        <w:ind w:left="101" w:right="101" w:firstLine="0"/>
        <w:jc w:val="left"/>
        <w:rPr>
          <w:b/>
          <w:sz w:val="21"/>
        </w:rPr>
      </w:pPr>
      <w:r>
        <w:rPr>
          <w:b/>
          <w:sz w:val="21"/>
        </w:rPr>
        <w:t>（</w:t>
      </w:r>
      <w:r>
        <w:rPr>
          <w:rFonts w:ascii="Times New Roman" w:eastAsia="Times New Roman"/>
          <w:b/>
          <w:sz w:val="21"/>
        </w:rPr>
        <w:t>4</w:t>
      </w:r>
      <w:r>
        <w:rPr>
          <w:b/>
          <w:sz w:val="21"/>
        </w:rPr>
        <w:t>）</w:t>
      </w:r>
      <w:r>
        <w:rPr>
          <w:b/>
          <w:spacing w:val="-1"/>
          <w:sz w:val="21"/>
        </w:rPr>
        <w:t>被保险人酒后驾驶</w:t>
      </w:r>
      <w:r>
        <w:rPr>
          <w:b/>
          <w:spacing w:val="-12"/>
          <w:position w:val="12"/>
          <w:sz w:val="12"/>
        </w:rPr>
        <w:t>释义 </w:t>
      </w:r>
      <w:r>
        <w:rPr>
          <w:b/>
          <w:position w:val="12"/>
          <w:sz w:val="12"/>
        </w:rPr>
        <w:t>10</w:t>
      </w:r>
      <w:r>
        <w:rPr>
          <w:b/>
          <w:spacing w:val="-3"/>
          <w:sz w:val="21"/>
        </w:rPr>
        <w:t>、无合法有效驾驶证驾驶</w:t>
      </w:r>
      <w:r>
        <w:rPr>
          <w:b/>
          <w:spacing w:val="-11"/>
          <w:position w:val="12"/>
          <w:sz w:val="12"/>
        </w:rPr>
        <w:t>释义 </w:t>
      </w:r>
      <w:r>
        <w:rPr>
          <w:b/>
          <w:position w:val="12"/>
          <w:sz w:val="12"/>
        </w:rPr>
        <w:t>11 </w:t>
      </w:r>
      <w:r>
        <w:rPr>
          <w:b/>
          <w:spacing w:val="-1"/>
          <w:sz w:val="21"/>
        </w:rPr>
        <w:t>或驾驶无有效行驶证</w:t>
      </w:r>
      <w:r>
        <w:rPr>
          <w:b/>
          <w:spacing w:val="-11"/>
          <w:position w:val="12"/>
          <w:sz w:val="12"/>
        </w:rPr>
        <w:t>释义 </w:t>
      </w:r>
      <w:r>
        <w:rPr>
          <w:b/>
          <w:position w:val="12"/>
          <w:sz w:val="12"/>
        </w:rPr>
        <w:t>12 </w:t>
      </w:r>
      <w:r>
        <w:rPr>
          <w:b/>
          <w:sz w:val="21"/>
        </w:rPr>
        <w:t>的机动车</w:t>
      </w:r>
      <w:r>
        <w:rPr>
          <w:b/>
          <w:spacing w:val="-12"/>
          <w:sz w:val="12"/>
        </w:rPr>
        <w:t>释义 </w:t>
      </w:r>
      <w:r>
        <w:rPr>
          <w:b/>
          <w:sz w:val="12"/>
        </w:rPr>
        <w:t>13</w:t>
      </w:r>
      <w:r>
        <w:rPr>
          <w:b/>
          <w:position w:val="-11"/>
          <w:sz w:val="21"/>
        </w:rPr>
        <w:t>；</w:t>
      </w:r>
    </w:p>
    <w:p>
      <w:pPr>
        <w:spacing w:before="17"/>
        <w:ind w:left="101" w:right="0" w:firstLine="0"/>
        <w:jc w:val="both"/>
        <w:rPr>
          <w:b/>
          <w:sz w:val="21"/>
        </w:rPr>
      </w:pPr>
      <w:r>
        <w:rPr>
          <w:b/>
          <w:spacing w:val="1"/>
          <w:w w:val="100"/>
          <w:sz w:val="21"/>
        </w:rPr>
        <w:t>（</w:t>
      </w:r>
      <w:r>
        <w:rPr>
          <w:rFonts w:ascii="Times New Roman" w:eastAsia="Times New Roman"/>
          <w:b/>
          <w:spacing w:val="-3"/>
          <w:w w:val="100"/>
          <w:sz w:val="21"/>
        </w:rPr>
        <w:t>5</w:t>
      </w:r>
      <w:r>
        <w:rPr>
          <w:b/>
          <w:spacing w:val="-1"/>
          <w:w w:val="100"/>
          <w:sz w:val="21"/>
        </w:rPr>
        <w:t>）被保险人患艾滋病</w:t>
      </w:r>
      <w:r>
        <w:rPr>
          <w:b/>
          <w:spacing w:val="-2"/>
          <w:w w:val="99"/>
          <w:position w:val="12"/>
          <w:sz w:val="12"/>
        </w:rPr>
        <w:t>释义</w:t>
      </w:r>
      <w:r>
        <w:rPr>
          <w:b/>
          <w:spacing w:val="-30"/>
          <w:position w:val="12"/>
          <w:sz w:val="12"/>
        </w:rPr>
        <w:t> </w:t>
      </w:r>
      <w:r>
        <w:rPr>
          <w:b/>
          <w:spacing w:val="-1"/>
          <w:w w:val="99"/>
          <w:position w:val="12"/>
          <w:sz w:val="12"/>
        </w:rPr>
        <w:t>14</w:t>
      </w:r>
      <w:r>
        <w:rPr>
          <w:b/>
          <w:spacing w:val="-1"/>
          <w:w w:val="100"/>
          <w:sz w:val="21"/>
        </w:rPr>
        <w:t>（</w:t>
      </w:r>
      <w:r>
        <w:rPr>
          <w:rFonts w:ascii="Times New Roman" w:eastAsia="Times New Roman"/>
          <w:b/>
          <w:spacing w:val="0"/>
          <w:w w:val="100"/>
          <w:sz w:val="21"/>
        </w:rPr>
        <w:t>A</w:t>
      </w:r>
      <w:r>
        <w:rPr>
          <w:rFonts w:ascii="Times New Roman" w:eastAsia="Times New Roman"/>
          <w:b/>
          <w:spacing w:val="-3"/>
          <w:w w:val="100"/>
          <w:sz w:val="21"/>
        </w:rPr>
        <w:t>I</w:t>
      </w:r>
      <w:r>
        <w:rPr>
          <w:rFonts w:ascii="Times New Roman" w:eastAsia="Times New Roman"/>
          <w:b/>
          <w:spacing w:val="0"/>
          <w:w w:val="100"/>
          <w:sz w:val="21"/>
        </w:rPr>
        <w:t>D</w:t>
      </w:r>
      <w:r>
        <w:rPr>
          <w:rFonts w:ascii="Times New Roman" w:eastAsia="Times New Roman"/>
          <w:b/>
          <w:spacing w:val="-3"/>
          <w:w w:val="100"/>
          <w:sz w:val="21"/>
        </w:rPr>
        <w:t>S</w:t>
      </w:r>
      <w:r>
        <w:rPr>
          <w:b/>
          <w:spacing w:val="-1"/>
          <w:w w:val="100"/>
          <w:sz w:val="21"/>
        </w:rPr>
        <w:t>）或感染艾滋病病毒</w:t>
      </w:r>
      <w:r>
        <w:rPr>
          <w:b/>
          <w:w w:val="99"/>
          <w:position w:val="12"/>
          <w:sz w:val="12"/>
        </w:rPr>
        <w:t>释义</w:t>
      </w:r>
      <w:r>
        <w:rPr>
          <w:b/>
          <w:spacing w:val="-30"/>
          <w:position w:val="12"/>
          <w:sz w:val="12"/>
        </w:rPr>
        <w:t> </w:t>
      </w:r>
      <w:r>
        <w:rPr>
          <w:b/>
          <w:spacing w:val="-1"/>
          <w:w w:val="99"/>
          <w:position w:val="12"/>
          <w:sz w:val="12"/>
        </w:rPr>
        <w:t>15</w:t>
      </w:r>
      <w:r>
        <w:rPr>
          <w:b/>
          <w:spacing w:val="1"/>
          <w:w w:val="100"/>
          <w:sz w:val="21"/>
        </w:rPr>
        <w:t>（</w:t>
      </w:r>
      <w:r>
        <w:rPr>
          <w:rFonts w:ascii="Times New Roman" w:eastAsia="Times New Roman"/>
          <w:b/>
          <w:spacing w:val="-2"/>
          <w:w w:val="100"/>
          <w:sz w:val="21"/>
        </w:rPr>
        <w:t>H</w:t>
      </w:r>
      <w:r>
        <w:rPr>
          <w:rFonts w:ascii="Times New Roman" w:eastAsia="Times New Roman"/>
          <w:b/>
          <w:spacing w:val="-1"/>
          <w:w w:val="100"/>
          <w:sz w:val="21"/>
        </w:rPr>
        <w:t>I</w:t>
      </w:r>
      <w:r>
        <w:rPr>
          <w:rFonts w:ascii="Times New Roman" w:eastAsia="Times New Roman"/>
          <w:b/>
          <w:w w:val="100"/>
          <w:sz w:val="21"/>
        </w:rPr>
        <w:t>V</w:t>
      </w:r>
      <w:r>
        <w:rPr>
          <w:rFonts w:ascii="Times New Roman" w:eastAsia="Times New Roman"/>
          <w:b/>
          <w:spacing w:val="-4"/>
          <w:sz w:val="21"/>
        </w:rPr>
        <w:t> </w:t>
      </w:r>
      <w:r>
        <w:rPr>
          <w:b/>
          <w:spacing w:val="-1"/>
          <w:w w:val="100"/>
          <w:sz w:val="21"/>
        </w:rPr>
        <w:t>呈阳性</w:t>
      </w:r>
      <w:r>
        <w:rPr>
          <w:b/>
          <w:spacing w:val="-108"/>
          <w:w w:val="100"/>
          <w:sz w:val="21"/>
        </w:rPr>
        <w:t>）</w:t>
      </w:r>
      <w:r>
        <w:rPr>
          <w:b/>
          <w:w w:val="100"/>
          <w:sz w:val="21"/>
        </w:rPr>
        <w:t>；</w:t>
      </w:r>
    </w:p>
    <w:p>
      <w:pPr>
        <w:pStyle w:val="Heading2"/>
        <w:spacing w:before="14"/>
        <w:jc w:val="both"/>
      </w:pPr>
      <w:r>
        <w:rPr/>
        <w:t>（</w:t>
      </w:r>
      <w:r>
        <w:rPr>
          <w:rFonts w:ascii="Times New Roman" w:eastAsia="Times New Roman"/>
        </w:rPr>
        <w:t>6</w:t>
      </w:r>
      <w:r>
        <w:rPr/>
        <w:t>）战争、军事冲突、暴乱或武装叛乱；</w:t>
      </w:r>
    </w:p>
    <w:p>
      <w:pPr>
        <w:spacing w:before="21"/>
        <w:ind w:left="101" w:right="0" w:firstLine="0"/>
        <w:jc w:val="both"/>
        <w:rPr>
          <w:b/>
          <w:sz w:val="21"/>
        </w:rPr>
      </w:pPr>
      <w:r>
        <w:rPr>
          <w:b/>
          <w:sz w:val="21"/>
        </w:rPr>
        <w:t>（</w:t>
      </w:r>
      <w:r>
        <w:rPr>
          <w:rFonts w:ascii="Times New Roman" w:eastAsia="Times New Roman"/>
          <w:b/>
          <w:sz w:val="21"/>
        </w:rPr>
        <w:t>7</w:t>
      </w:r>
      <w:r>
        <w:rPr>
          <w:b/>
          <w:sz w:val="21"/>
        </w:rPr>
        <w:t>）核爆炸、核辐射或核污染；</w:t>
      </w:r>
    </w:p>
    <w:p>
      <w:pPr>
        <w:spacing w:before="13"/>
        <w:ind w:left="101" w:right="0" w:firstLine="0"/>
        <w:jc w:val="both"/>
        <w:rPr>
          <w:b/>
          <w:sz w:val="21"/>
        </w:rPr>
      </w:pPr>
      <w:r>
        <w:rPr>
          <w:b/>
          <w:sz w:val="21"/>
        </w:rPr>
        <w:t>（</w:t>
      </w:r>
      <w:r>
        <w:rPr>
          <w:rFonts w:ascii="Times New Roman" w:eastAsia="Times New Roman"/>
          <w:b/>
          <w:sz w:val="21"/>
        </w:rPr>
        <w:t>8</w:t>
      </w:r>
      <w:r>
        <w:rPr>
          <w:b/>
          <w:sz w:val="21"/>
        </w:rPr>
        <w:t>）遗传性疾病</w:t>
      </w:r>
      <w:r>
        <w:rPr>
          <w:b/>
          <w:position w:val="12"/>
          <w:sz w:val="12"/>
        </w:rPr>
        <w:t>释义 16</w:t>
      </w:r>
      <w:r>
        <w:rPr>
          <w:b/>
          <w:sz w:val="21"/>
        </w:rPr>
        <w:t>，先天性畸形、变形或染色体异常</w:t>
      </w:r>
      <w:r>
        <w:rPr>
          <w:b/>
          <w:position w:val="12"/>
          <w:sz w:val="12"/>
        </w:rPr>
        <w:t>释义 17</w:t>
      </w:r>
      <w:r>
        <w:rPr>
          <w:b/>
          <w:sz w:val="21"/>
        </w:rPr>
        <w:t>。</w:t>
      </w:r>
    </w:p>
    <w:p>
      <w:pPr>
        <w:pStyle w:val="Heading2"/>
        <w:spacing w:before="13"/>
        <w:jc w:val="both"/>
      </w:pPr>
      <w:r>
        <w:rPr/>
        <w:t>发生上述（</w:t>
      </w:r>
      <w:r>
        <w:rPr>
          <w:rFonts w:ascii="Times New Roman" w:eastAsia="Times New Roman"/>
        </w:rPr>
        <w:t>1</w:t>
      </w:r>
      <w:r>
        <w:rPr/>
        <w:t>）至（</w:t>
      </w:r>
      <w:r>
        <w:rPr>
          <w:rFonts w:ascii="Times New Roman" w:eastAsia="Times New Roman"/>
        </w:rPr>
        <w:t>8</w:t>
      </w:r>
      <w:r>
        <w:rPr/>
        <w:t>）情形之一，导致被保险人初次患有本附加合同内所界定的轻症疾病或</w:t>
      </w:r>
    </w:p>
    <w:p>
      <w:pPr>
        <w:spacing w:after="0"/>
        <w:jc w:val="both"/>
        <w:sectPr>
          <w:pgSz w:w="11960" w:h="16850"/>
          <w:pgMar w:header="0" w:footer="1001" w:top="1600" w:bottom="1200" w:left="1600" w:right="1640"/>
        </w:sectPr>
      </w:pPr>
    </w:p>
    <w:p>
      <w:pPr>
        <w:spacing w:line="264" w:lineRule="auto" w:before="91"/>
        <w:ind w:left="101" w:right="101" w:firstLine="0"/>
        <w:jc w:val="both"/>
        <w:rPr>
          <w:b/>
          <w:sz w:val="21"/>
        </w:rPr>
      </w:pPr>
      <w:r>
        <w:rPr>
          <w:b/>
          <w:sz w:val="21"/>
        </w:rPr>
        <w:t>重大疾病中的任何一种疾病的，我们不承担相应的保险金给付责任。但符合本附加合同内重</w:t>
      </w:r>
      <w:r>
        <w:rPr>
          <w:b/>
          <w:spacing w:val="-5"/>
          <w:sz w:val="21"/>
        </w:rPr>
        <w:t>大疾病释义中所界定的“经输血导致的艾滋病病毒感染”不受上述情形</w:t>
      </w:r>
      <w:r>
        <w:rPr>
          <w:b/>
          <w:spacing w:val="-4"/>
          <w:sz w:val="21"/>
        </w:rPr>
        <w:t>（</w:t>
      </w:r>
      <w:r>
        <w:rPr>
          <w:rFonts w:ascii="Times New Roman" w:hAnsi="Times New Roman" w:eastAsia="Times New Roman"/>
          <w:b/>
          <w:spacing w:val="-4"/>
          <w:sz w:val="21"/>
        </w:rPr>
        <w:t>5</w:t>
      </w:r>
      <w:r>
        <w:rPr>
          <w:b/>
          <w:spacing w:val="-4"/>
          <w:sz w:val="21"/>
        </w:rPr>
        <w:t>）</w:t>
      </w:r>
      <w:r>
        <w:rPr>
          <w:b/>
          <w:spacing w:val="-2"/>
          <w:sz w:val="21"/>
        </w:rPr>
        <w:t>的限制；符合本</w:t>
      </w:r>
      <w:r>
        <w:rPr>
          <w:b/>
          <w:spacing w:val="-3"/>
          <w:sz w:val="21"/>
        </w:rPr>
        <w:t>附加合同内重大疾病释义中所界定的“肌营养不良症”不受上述情形</w:t>
      </w:r>
      <w:r>
        <w:rPr>
          <w:b/>
          <w:sz w:val="21"/>
        </w:rPr>
        <w:t>（</w:t>
      </w:r>
      <w:r>
        <w:rPr>
          <w:rFonts w:ascii="Times New Roman" w:hAnsi="Times New Roman" w:eastAsia="Times New Roman"/>
          <w:b/>
          <w:sz w:val="21"/>
        </w:rPr>
        <w:t>8</w:t>
      </w:r>
      <w:r>
        <w:rPr>
          <w:b/>
          <w:sz w:val="21"/>
        </w:rPr>
        <w:t>）</w:t>
      </w:r>
      <w:r>
        <w:rPr>
          <w:b/>
          <w:spacing w:val="-2"/>
          <w:sz w:val="21"/>
        </w:rPr>
        <w:t>的限制。</w:t>
      </w:r>
    </w:p>
    <w:p>
      <w:pPr>
        <w:pStyle w:val="BodyText"/>
        <w:spacing w:before="2"/>
        <w:rPr>
          <w:b/>
          <w:sz w:val="31"/>
        </w:rPr>
      </w:pPr>
    </w:p>
    <w:p>
      <w:pPr>
        <w:tabs>
          <w:tab w:pos="1799" w:val="left" w:leader="none"/>
        </w:tabs>
        <w:spacing w:before="0"/>
        <w:ind w:left="0" w:right="6" w:firstLine="0"/>
        <w:jc w:val="center"/>
        <w:rPr>
          <w:b/>
          <w:sz w:val="28"/>
        </w:rPr>
      </w:pPr>
      <w:bookmarkStart w:name="_TOC_250016" w:id="9"/>
      <w:r>
        <w:rPr>
          <w:b/>
          <w:sz w:val="28"/>
        </w:rPr>
        <w:t>第三部分</w:t>
        <w:tab/>
      </w:r>
      <w:bookmarkEnd w:id="9"/>
      <w:r>
        <w:rPr>
          <w:b/>
          <w:w w:val="95"/>
          <w:sz w:val="28"/>
        </w:rPr>
        <w:t>如何申请领取保险金</w:t>
      </w:r>
    </w:p>
    <w:p>
      <w:pPr>
        <w:pStyle w:val="BodyText"/>
        <w:rPr>
          <w:b/>
          <w:sz w:val="28"/>
        </w:rPr>
      </w:pPr>
    </w:p>
    <w:p>
      <w:pPr>
        <w:pStyle w:val="BodyText"/>
        <w:spacing w:before="11"/>
        <w:rPr>
          <w:b/>
          <w:sz w:val="26"/>
        </w:rPr>
      </w:pPr>
    </w:p>
    <w:p>
      <w:pPr>
        <w:pStyle w:val="Heading2"/>
        <w:tabs>
          <w:tab w:pos="1361" w:val="left" w:leader="none"/>
        </w:tabs>
      </w:pPr>
      <w:bookmarkStart w:name="_TOC_250015" w:id="10"/>
      <w:bookmarkEnd w:id="10"/>
      <w:r>
        <w:rPr/>
        <w:t>第九条</w:t>
        <w:tab/>
        <w:t>受益人的指定和变更</w:t>
      </w:r>
    </w:p>
    <w:p>
      <w:pPr>
        <w:pStyle w:val="BodyText"/>
        <w:rPr>
          <w:b/>
        </w:rPr>
      </w:pPr>
    </w:p>
    <w:p>
      <w:pPr>
        <w:pStyle w:val="BodyText"/>
        <w:spacing w:before="10"/>
        <w:rPr>
          <w:b/>
          <w:sz w:val="24"/>
        </w:rPr>
      </w:pPr>
    </w:p>
    <w:p>
      <w:pPr>
        <w:spacing w:before="0"/>
        <w:ind w:left="101" w:right="0" w:firstLine="0"/>
        <w:jc w:val="left"/>
        <w:rPr>
          <w:sz w:val="21"/>
        </w:rPr>
      </w:pPr>
      <w:r>
        <w:rPr>
          <w:sz w:val="21"/>
        </w:rPr>
        <w:t>本附加合同各项保险金的受益人为被保险人本人。</w:t>
      </w:r>
    </w:p>
    <w:p>
      <w:pPr>
        <w:pStyle w:val="BodyText"/>
      </w:pPr>
    </w:p>
    <w:p>
      <w:pPr>
        <w:pStyle w:val="BodyText"/>
        <w:spacing w:before="7"/>
        <w:rPr>
          <w:sz w:val="25"/>
        </w:rPr>
      </w:pPr>
    </w:p>
    <w:p>
      <w:pPr>
        <w:pStyle w:val="Heading2"/>
        <w:tabs>
          <w:tab w:pos="1361" w:val="left" w:leader="none"/>
        </w:tabs>
      </w:pPr>
      <w:bookmarkStart w:name="_TOC_250014" w:id="11"/>
      <w:bookmarkEnd w:id="11"/>
      <w:r>
        <w:rPr/>
        <w:t>第十条</w:t>
        <w:tab/>
        <w:t>申请资料</w:t>
      </w:r>
    </w:p>
    <w:p>
      <w:pPr>
        <w:pStyle w:val="BodyText"/>
        <w:rPr>
          <w:b/>
        </w:rPr>
      </w:pPr>
    </w:p>
    <w:p>
      <w:pPr>
        <w:pStyle w:val="BodyText"/>
        <w:spacing w:before="10"/>
        <w:rPr>
          <w:b/>
          <w:sz w:val="24"/>
        </w:rPr>
      </w:pPr>
    </w:p>
    <w:p>
      <w:pPr>
        <w:spacing w:line="273" w:lineRule="auto" w:before="1"/>
        <w:ind w:left="101" w:right="101" w:firstLine="0"/>
        <w:jc w:val="left"/>
        <w:rPr>
          <w:sz w:val="21"/>
        </w:rPr>
      </w:pPr>
      <w:r>
        <w:rPr>
          <w:sz w:val="21"/>
        </w:rPr>
        <w:t>在符合保险责任有关规定的条件下，由受益人作为申请人填写申请书，并凭下列证明、资料的原件向我们申请给付保险金：</w:t>
      </w:r>
    </w:p>
    <w:p>
      <w:pPr>
        <w:pStyle w:val="BodyText"/>
        <w:spacing w:before="5"/>
        <w:rPr>
          <w:sz w:val="24"/>
        </w:rPr>
      </w:pPr>
    </w:p>
    <w:p>
      <w:pPr>
        <w:spacing w:before="0"/>
        <w:ind w:left="101" w:right="0" w:firstLine="0"/>
        <w:jc w:val="left"/>
        <w:rPr>
          <w:sz w:val="21"/>
        </w:rPr>
      </w:pPr>
      <w:r>
        <w:rPr>
          <w:sz w:val="21"/>
        </w:rPr>
        <w:t>（</w:t>
      </w:r>
      <w:r>
        <w:rPr>
          <w:rFonts w:ascii="Times New Roman" w:eastAsia="Times New Roman"/>
          <w:sz w:val="21"/>
        </w:rPr>
        <w:t>1</w:t>
      </w:r>
      <w:r>
        <w:rPr>
          <w:sz w:val="21"/>
        </w:rPr>
        <w:t>）申请书；</w:t>
      </w:r>
    </w:p>
    <w:p>
      <w:pPr>
        <w:spacing w:before="20"/>
        <w:ind w:left="101" w:right="0" w:firstLine="0"/>
        <w:jc w:val="left"/>
        <w:rPr>
          <w:sz w:val="21"/>
        </w:rPr>
      </w:pPr>
      <w:r>
        <w:rPr>
          <w:sz w:val="21"/>
        </w:rPr>
        <w:t>（</w:t>
      </w:r>
      <w:r>
        <w:rPr>
          <w:rFonts w:ascii="Times New Roman" w:eastAsia="Times New Roman"/>
          <w:sz w:val="21"/>
        </w:rPr>
        <w:t>2</w:t>
      </w:r>
      <w:r>
        <w:rPr>
          <w:sz w:val="21"/>
        </w:rPr>
        <w:t>）保险合同；</w:t>
      </w:r>
    </w:p>
    <w:p>
      <w:pPr>
        <w:spacing w:before="20"/>
        <w:ind w:left="101" w:right="0" w:firstLine="0"/>
        <w:jc w:val="left"/>
        <w:rPr>
          <w:sz w:val="21"/>
        </w:rPr>
      </w:pPr>
      <w:r>
        <w:rPr>
          <w:sz w:val="21"/>
        </w:rPr>
        <w:t>（</w:t>
      </w:r>
      <w:r>
        <w:rPr>
          <w:rFonts w:ascii="Times New Roman" w:eastAsia="Times New Roman"/>
          <w:sz w:val="21"/>
        </w:rPr>
        <w:t>3</w:t>
      </w:r>
      <w:r>
        <w:rPr>
          <w:sz w:val="21"/>
        </w:rPr>
        <w:t>）受益人户籍证明及身份证明；</w:t>
      </w:r>
    </w:p>
    <w:p>
      <w:pPr>
        <w:spacing w:line="252" w:lineRule="auto" w:before="13"/>
        <w:ind w:left="101" w:right="33" w:firstLine="0"/>
        <w:jc w:val="left"/>
        <w:rPr>
          <w:sz w:val="21"/>
        </w:rPr>
      </w:pPr>
      <w:r>
        <w:rPr>
          <w:sz w:val="21"/>
        </w:rPr>
        <w:t>（</w:t>
      </w:r>
      <w:r>
        <w:rPr>
          <w:rFonts w:ascii="Times New Roman" w:eastAsia="Times New Roman"/>
          <w:sz w:val="21"/>
        </w:rPr>
        <w:t>4</w:t>
      </w:r>
      <w:r>
        <w:rPr>
          <w:sz w:val="21"/>
        </w:rPr>
        <w:t>）</w:t>
      </w:r>
      <w:r>
        <w:rPr>
          <w:b/>
          <w:sz w:val="21"/>
        </w:rPr>
        <w:t>我们指定或认可的医院</w:t>
      </w:r>
      <w:r>
        <w:rPr>
          <w:b/>
          <w:position w:val="12"/>
          <w:sz w:val="12"/>
        </w:rPr>
        <w:t>释义 18 </w:t>
      </w:r>
      <w:r>
        <w:rPr>
          <w:sz w:val="21"/>
        </w:rPr>
        <w:t>出具的附有被保险人完整病历、病理、血液及其它科学方法检验报告的诊断证明文件；</w:t>
      </w:r>
    </w:p>
    <w:p>
      <w:pPr>
        <w:spacing w:before="27"/>
        <w:ind w:left="101" w:right="0" w:firstLine="0"/>
        <w:jc w:val="left"/>
        <w:rPr>
          <w:sz w:val="21"/>
        </w:rPr>
      </w:pPr>
      <w:r>
        <w:rPr>
          <w:sz w:val="21"/>
        </w:rPr>
        <w:t>（</w:t>
      </w:r>
      <w:r>
        <w:rPr>
          <w:rFonts w:ascii="Times New Roman" w:eastAsia="Times New Roman"/>
          <w:sz w:val="21"/>
        </w:rPr>
        <w:t>5</w:t>
      </w:r>
      <w:r>
        <w:rPr>
          <w:sz w:val="21"/>
        </w:rPr>
        <w:t>）所能提供的与确认保险事故的性质、原因等有关的其他证明和资料。</w:t>
      </w:r>
    </w:p>
    <w:p>
      <w:pPr>
        <w:pStyle w:val="BodyText"/>
        <w:spacing w:before="6"/>
        <w:rPr>
          <w:sz w:val="25"/>
        </w:rPr>
      </w:pPr>
    </w:p>
    <w:p>
      <w:pPr>
        <w:spacing w:before="0"/>
        <w:ind w:left="101" w:right="0" w:firstLine="0"/>
        <w:jc w:val="left"/>
        <w:rPr>
          <w:sz w:val="21"/>
        </w:rPr>
      </w:pPr>
      <w:r>
        <w:rPr>
          <w:sz w:val="21"/>
        </w:rPr>
        <w:t>以上证明和资料不完整的，我们将及时一次性以书面形式向您告知需要补充的有关材料。</w:t>
      </w:r>
    </w:p>
    <w:p>
      <w:pPr>
        <w:pStyle w:val="BodyText"/>
      </w:pPr>
    </w:p>
    <w:p>
      <w:pPr>
        <w:pStyle w:val="BodyText"/>
        <w:spacing w:before="7"/>
        <w:rPr>
          <w:sz w:val="25"/>
        </w:rPr>
      </w:pPr>
    </w:p>
    <w:p>
      <w:pPr>
        <w:pStyle w:val="Heading2"/>
        <w:tabs>
          <w:tab w:pos="1361" w:val="left" w:leader="none"/>
        </w:tabs>
      </w:pPr>
      <w:bookmarkStart w:name="_TOC_250013" w:id="12"/>
      <w:bookmarkEnd w:id="12"/>
      <w:r>
        <w:rPr/>
        <w:t>第十一条</w:t>
        <w:tab/>
        <w:t>诉讼时效</w:t>
      </w:r>
    </w:p>
    <w:p>
      <w:pPr>
        <w:pStyle w:val="BodyText"/>
        <w:rPr>
          <w:b/>
        </w:rPr>
      </w:pPr>
    </w:p>
    <w:p>
      <w:pPr>
        <w:pStyle w:val="BodyText"/>
        <w:spacing w:before="10"/>
        <w:rPr>
          <w:b/>
          <w:sz w:val="24"/>
        </w:rPr>
      </w:pPr>
    </w:p>
    <w:p>
      <w:pPr>
        <w:spacing w:line="273" w:lineRule="auto" w:before="0"/>
        <w:ind w:left="101" w:right="101" w:firstLine="0"/>
        <w:jc w:val="left"/>
        <w:rPr>
          <w:sz w:val="21"/>
        </w:rPr>
      </w:pPr>
      <w:r>
        <w:rPr>
          <w:sz w:val="21"/>
        </w:rPr>
        <w:t>被保险人或受益人向我们请求给付保险金的诉讼时效期间为二年，自其知道或者应当知道保险事故发生之日起计算。</w:t>
      </w:r>
    </w:p>
    <w:p>
      <w:pPr>
        <w:pStyle w:val="BodyText"/>
      </w:pPr>
    </w:p>
    <w:p>
      <w:pPr>
        <w:pStyle w:val="Heading1"/>
        <w:tabs>
          <w:tab w:pos="1799" w:val="left" w:leader="none"/>
        </w:tabs>
        <w:spacing w:before="155"/>
        <w:ind w:right="6"/>
      </w:pPr>
      <w:bookmarkStart w:name="_TOC_250012" w:id="13"/>
      <w:r>
        <w:rPr/>
        <w:t>第四部分</w:t>
        <w:tab/>
      </w:r>
      <w:bookmarkEnd w:id="13"/>
      <w:r>
        <w:rPr>
          <w:w w:val="95"/>
        </w:rPr>
        <w:t>如何交纳保险费</w:t>
      </w:r>
    </w:p>
    <w:p>
      <w:pPr>
        <w:spacing w:after="0"/>
        <w:sectPr>
          <w:pgSz w:w="11960" w:h="16850"/>
          <w:pgMar w:header="0" w:footer="1001" w:top="1600" w:bottom="1200" w:left="1600" w:right="1640"/>
        </w:sectPr>
      </w:pPr>
    </w:p>
    <w:p>
      <w:pPr>
        <w:pStyle w:val="BodyText"/>
        <w:spacing w:before="11"/>
        <w:rPr>
          <w:b/>
        </w:rPr>
      </w:pPr>
    </w:p>
    <w:p>
      <w:pPr>
        <w:pStyle w:val="Heading2"/>
        <w:tabs>
          <w:tab w:pos="1361" w:val="left" w:leader="none"/>
        </w:tabs>
        <w:spacing w:before="37"/>
      </w:pPr>
      <w:bookmarkStart w:name="_TOC_250011" w:id="14"/>
      <w:bookmarkEnd w:id="14"/>
      <w:r>
        <w:rPr/>
        <w:t>第十二条</w:t>
        <w:tab/>
        <w:t>保险费的交纳</w:t>
      </w:r>
    </w:p>
    <w:p>
      <w:pPr>
        <w:pStyle w:val="BodyText"/>
        <w:rPr>
          <w:b/>
        </w:rPr>
      </w:pPr>
    </w:p>
    <w:p>
      <w:pPr>
        <w:pStyle w:val="BodyText"/>
        <w:spacing w:before="11"/>
        <w:rPr>
          <w:b/>
          <w:sz w:val="24"/>
        </w:rPr>
      </w:pPr>
    </w:p>
    <w:p>
      <w:pPr>
        <w:spacing w:line="273" w:lineRule="auto" w:before="0"/>
        <w:ind w:left="101" w:right="101" w:firstLine="0"/>
        <w:jc w:val="left"/>
        <w:rPr>
          <w:sz w:val="21"/>
        </w:rPr>
      </w:pPr>
      <w:r>
        <w:rPr>
          <w:sz w:val="21"/>
        </w:rPr>
        <w:t>本附加合同的交费方式与主合同相同。在主合同的交费期间内，本附加合同的保险费必须随主合同保险费一同支付，不能单独交纳。</w:t>
      </w:r>
    </w:p>
    <w:p>
      <w:pPr>
        <w:pStyle w:val="BodyText"/>
      </w:pPr>
    </w:p>
    <w:p>
      <w:pPr>
        <w:tabs>
          <w:tab w:pos="1799" w:val="left" w:leader="none"/>
        </w:tabs>
        <w:spacing w:before="156"/>
        <w:ind w:left="0" w:right="4" w:firstLine="0"/>
        <w:jc w:val="center"/>
        <w:rPr>
          <w:b/>
          <w:sz w:val="28"/>
        </w:rPr>
      </w:pPr>
      <w:bookmarkStart w:name="_TOC_250010" w:id="15"/>
      <w:bookmarkEnd w:id="15"/>
      <w:r>
        <w:rPr>
          <w:b/>
          <w:sz w:val="28"/>
        </w:rPr>
        <w:t>第五部分</w:t>
        <w:tab/>
        <w:t>现金价值权益</w:t>
      </w:r>
    </w:p>
    <w:p>
      <w:pPr>
        <w:pStyle w:val="BodyText"/>
        <w:rPr>
          <w:b/>
          <w:sz w:val="28"/>
        </w:rPr>
      </w:pPr>
    </w:p>
    <w:p>
      <w:pPr>
        <w:pStyle w:val="BodyText"/>
        <w:spacing w:before="11"/>
        <w:rPr>
          <w:b/>
          <w:sz w:val="26"/>
        </w:rPr>
      </w:pPr>
    </w:p>
    <w:p>
      <w:pPr>
        <w:pStyle w:val="Heading2"/>
        <w:tabs>
          <w:tab w:pos="1361" w:val="left" w:leader="none"/>
        </w:tabs>
      </w:pPr>
      <w:bookmarkStart w:name="_TOC_250009" w:id="16"/>
      <w:bookmarkEnd w:id="16"/>
      <w:r>
        <w:rPr/>
        <w:t>第十三条</w:t>
        <w:tab/>
        <w:t>现金价值</w:t>
      </w:r>
    </w:p>
    <w:p>
      <w:pPr>
        <w:pStyle w:val="BodyText"/>
        <w:rPr>
          <w:b/>
        </w:rPr>
      </w:pPr>
    </w:p>
    <w:p>
      <w:pPr>
        <w:pStyle w:val="BodyText"/>
        <w:spacing w:before="5"/>
        <w:rPr>
          <w:b/>
          <w:sz w:val="24"/>
        </w:rPr>
      </w:pPr>
    </w:p>
    <w:p>
      <w:pPr>
        <w:spacing w:line="266" w:lineRule="auto" w:before="0"/>
        <w:ind w:left="101" w:right="100" w:firstLine="0"/>
        <w:jc w:val="left"/>
        <w:rPr>
          <w:sz w:val="21"/>
        </w:rPr>
      </w:pPr>
      <w:r>
        <w:rPr>
          <w:spacing w:val="-4"/>
          <w:sz w:val="21"/>
        </w:rPr>
        <w:t>我们会在保险单或批注上载明本附加合同保单年度末的</w:t>
      </w:r>
      <w:r>
        <w:rPr>
          <w:b/>
          <w:sz w:val="21"/>
        </w:rPr>
        <w:t>现金价值</w:t>
      </w:r>
      <w:r>
        <w:rPr>
          <w:b/>
          <w:spacing w:val="-3"/>
          <w:position w:val="12"/>
          <w:sz w:val="12"/>
        </w:rPr>
        <w:t>释义 </w:t>
      </w:r>
      <w:r>
        <w:rPr>
          <w:b/>
          <w:position w:val="12"/>
          <w:sz w:val="12"/>
        </w:rPr>
        <w:t>20</w:t>
      </w:r>
      <w:r>
        <w:rPr>
          <w:spacing w:val="-11"/>
          <w:sz w:val="21"/>
        </w:rPr>
        <w:t>。现金价值可能因为其他</w:t>
      </w:r>
      <w:r>
        <w:rPr>
          <w:spacing w:val="-4"/>
          <w:sz w:val="21"/>
        </w:rPr>
        <w:t>条款的约定发生变更。如果您需要了解保单年度内的现金价值，可向我们查询。</w:t>
      </w:r>
    </w:p>
    <w:p>
      <w:pPr>
        <w:pStyle w:val="BodyText"/>
      </w:pPr>
    </w:p>
    <w:p>
      <w:pPr>
        <w:pStyle w:val="BodyText"/>
        <w:spacing w:before="10"/>
        <w:rPr>
          <w:sz w:val="23"/>
        </w:rPr>
      </w:pPr>
    </w:p>
    <w:p>
      <w:pPr>
        <w:pStyle w:val="Heading2"/>
        <w:tabs>
          <w:tab w:pos="1361" w:val="left" w:leader="none"/>
        </w:tabs>
      </w:pPr>
      <w:bookmarkStart w:name="_TOC_250008" w:id="17"/>
      <w:bookmarkEnd w:id="17"/>
      <w:r>
        <w:rPr/>
        <w:t>第十四条</w:t>
        <w:tab/>
        <w:t>减额交清</w:t>
      </w:r>
    </w:p>
    <w:p>
      <w:pPr>
        <w:pStyle w:val="BodyText"/>
        <w:rPr>
          <w:b/>
        </w:rPr>
      </w:pPr>
    </w:p>
    <w:p>
      <w:pPr>
        <w:pStyle w:val="BodyText"/>
        <w:spacing w:before="10"/>
        <w:rPr>
          <w:b/>
          <w:sz w:val="24"/>
        </w:rPr>
      </w:pPr>
    </w:p>
    <w:p>
      <w:pPr>
        <w:spacing w:before="0"/>
        <w:ind w:left="101" w:right="0" w:firstLine="0"/>
        <w:jc w:val="left"/>
        <w:rPr>
          <w:sz w:val="21"/>
        </w:rPr>
      </w:pPr>
      <w:r>
        <w:rPr>
          <w:sz w:val="21"/>
        </w:rPr>
        <w:t>减额交清保险不适用于本附加合同。</w:t>
      </w:r>
    </w:p>
    <w:p>
      <w:pPr>
        <w:pStyle w:val="BodyText"/>
      </w:pPr>
    </w:p>
    <w:p>
      <w:pPr>
        <w:pStyle w:val="BodyText"/>
        <w:spacing w:before="2"/>
        <w:rPr>
          <w:sz w:val="14"/>
        </w:rPr>
      </w:pPr>
    </w:p>
    <w:p>
      <w:pPr>
        <w:pStyle w:val="Heading1"/>
        <w:tabs>
          <w:tab w:pos="1799" w:val="left" w:leader="none"/>
        </w:tabs>
        <w:ind w:right="6"/>
      </w:pPr>
      <w:bookmarkStart w:name="_TOC_250007" w:id="18"/>
      <w:r>
        <w:rPr/>
        <w:t>第六部分</w:t>
        <w:tab/>
      </w:r>
      <w:bookmarkEnd w:id="18"/>
      <w:r>
        <w:rPr>
          <w:w w:val="95"/>
        </w:rPr>
        <w:t>合同效力的终止</w:t>
      </w:r>
    </w:p>
    <w:p>
      <w:pPr>
        <w:pStyle w:val="BodyText"/>
        <w:rPr>
          <w:b/>
          <w:sz w:val="28"/>
        </w:rPr>
      </w:pPr>
    </w:p>
    <w:p>
      <w:pPr>
        <w:pStyle w:val="BodyText"/>
        <w:spacing w:before="11"/>
        <w:rPr>
          <w:b/>
          <w:sz w:val="26"/>
        </w:rPr>
      </w:pPr>
    </w:p>
    <w:p>
      <w:pPr>
        <w:pStyle w:val="Heading2"/>
        <w:tabs>
          <w:tab w:pos="1361" w:val="left" w:leader="none"/>
        </w:tabs>
        <w:spacing w:before="1"/>
      </w:pPr>
      <w:bookmarkStart w:name="_TOC_250006" w:id="19"/>
      <w:r>
        <w:rPr/>
        <w:t>第十五条</w:t>
        <w:tab/>
        <w:t>您主动解除合同的</w:t>
      </w:r>
      <w:r>
        <w:rPr>
          <w:spacing w:val="-3"/>
        </w:rPr>
        <w:t>权</w:t>
      </w:r>
      <w:bookmarkEnd w:id="19"/>
      <w:r>
        <w:rPr/>
        <w:t>利</w:t>
      </w:r>
    </w:p>
    <w:p>
      <w:pPr>
        <w:pStyle w:val="BodyText"/>
        <w:rPr>
          <w:b/>
        </w:rPr>
      </w:pPr>
    </w:p>
    <w:p>
      <w:pPr>
        <w:pStyle w:val="BodyText"/>
        <w:spacing w:before="11"/>
        <w:rPr>
          <w:b/>
          <w:sz w:val="24"/>
        </w:rPr>
      </w:pPr>
    </w:p>
    <w:p>
      <w:pPr>
        <w:spacing w:line="273" w:lineRule="auto" w:before="0"/>
        <w:ind w:left="101" w:right="101" w:firstLine="0"/>
        <w:jc w:val="left"/>
        <w:rPr>
          <w:sz w:val="21"/>
        </w:rPr>
      </w:pPr>
      <w:r>
        <w:rPr>
          <w:sz w:val="21"/>
        </w:rPr>
        <w:t>本附加合同犹豫期过后，您可以书面通知我们要求解除本附加合同，并应提供下列证明和资料：</w:t>
      </w:r>
    </w:p>
    <w:p>
      <w:pPr>
        <w:pStyle w:val="BodyText"/>
        <w:spacing w:before="5"/>
        <w:rPr>
          <w:sz w:val="24"/>
        </w:rPr>
      </w:pPr>
    </w:p>
    <w:p>
      <w:pPr>
        <w:spacing w:before="0"/>
        <w:ind w:left="101" w:right="0" w:firstLine="0"/>
        <w:jc w:val="left"/>
        <w:rPr>
          <w:sz w:val="21"/>
        </w:rPr>
      </w:pPr>
      <w:r>
        <w:rPr>
          <w:sz w:val="21"/>
        </w:rPr>
        <w:t>（</w:t>
      </w:r>
      <w:r>
        <w:rPr>
          <w:rFonts w:ascii="Times New Roman" w:eastAsia="Times New Roman"/>
          <w:sz w:val="21"/>
        </w:rPr>
        <w:t>1</w:t>
      </w:r>
      <w:r>
        <w:rPr>
          <w:sz w:val="21"/>
        </w:rPr>
        <w:t>）保险合同终止申请书；</w:t>
      </w:r>
    </w:p>
    <w:p>
      <w:pPr>
        <w:spacing w:before="20"/>
        <w:ind w:left="101" w:right="0" w:firstLine="0"/>
        <w:jc w:val="left"/>
        <w:rPr>
          <w:sz w:val="21"/>
        </w:rPr>
      </w:pPr>
      <w:r>
        <w:rPr>
          <w:sz w:val="21"/>
        </w:rPr>
        <w:t>（</w:t>
      </w:r>
      <w:r>
        <w:rPr>
          <w:rFonts w:ascii="Times New Roman" w:eastAsia="Times New Roman"/>
          <w:sz w:val="21"/>
        </w:rPr>
        <w:t>2</w:t>
      </w:r>
      <w:r>
        <w:rPr>
          <w:sz w:val="21"/>
        </w:rPr>
        <w:t>）保险合同原件；</w:t>
      </w:r>
    </w:p>
    <w:p>
      <w:pPr>
        <w:spacing w:before="20"/>
        <w:ind w:left="101" w:right="0" w:firstLine="0"/>
        <w:jc w:val="left"/>
        <w:rPr>
          <w:sz w:val="21"/>
        </w:rPr>
      </w:pPr>
      <w:r>
        <w:rPr>
          <w:sz w:val="21"/>
        </w:rPr>
        <w:t>（</w:t>
      </w:r>
      <w:r>
        <w:rPr>
          <w:rFonts w:ascii="Times New Roman" w:eastAsia="Times New Roman"/>
          <w:sz w:val="21"/>
        </w:rPr>
        <w:t>3</w:t>
      </w:r>
      <w:r>
        <w:rPr>
          <w:sz w:val="21"/>
        </w:rPr>
        <w:t>）您的身份证明复印件。</w:t>
      </w:r>
    </w:p>
    <w:p>
      <w:pPr>
        <w:pStyle w:val="BodyText"/>
        <w:spacing w:before="5"/>
        <w:rPr>
          <w:sz w:val="25"/>
        </w:rPr>
      </w:pPr>
    </w:p>
    <w:p>
      <w:pPr>
        <w:spacing w:line="273" w:lineRule="auto" w:before="0"/>
        <w:ind w:left="101" w:right="101" w:firstLine="0"/>
        <w:jc w:val="both"/>
        <w:rPr>
          <w:sz w:val="21"/>
        </w:rPr>
      </w:pPr>
      <w:r>
        <w:rPr>
          <w:sz w:val="21"/>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pStyle w:val="BodyText"/>
        <w:spacing w:before="5"/>
        <w:rPr>
          <w:sz w:val="24"/>
        </w:rPr>
      </w:pPr>
    </w:p>
    <w:p>
      <w:pPr>
        <w:spacing w:before="0"/>
        <w:ind w:left="101" w:right="0" w:firstLine="0"/>
        <w:jc w:val="left"/>
        <w:rPr>
          <w:sz w:val="21"/>
        </w:rPr>
      </w:pPr>
      <w:r>
        <w:rPr>
          <w:sz w:val="21"/>
        </w:rPr>
        <w:t>您犹豫期后解除合同会遭受一定损失。</w:t>
      </w:r>
    </w:p>
    <w:p>
      <w:pPr>
        <w:spacing w:after="0"/>
        <w:jc w:val="left"/>
        <w:rPr>
          <w:sz w:val="21"/>
        </w:rPr>
        <w:sectPr>
          <w:pgSz w:w="11960" w:h="16850"/>
          <w:pgMar w:header="0" w:footer="1001" w:top="1600" w:bottom="1200" w:left="1600" w:right="1640"/>
        </w:sectPr>
      </w:pPr>
    </w:p>
    <w:p>
      <w:pPr>
        <w:pStyle w:val="BodyText"/>
        <w:spacing w:before="11"/>
      </w:pPr>
    </w:p>
    <w:p>
      <w:pPr>
        <w:pStyle w:val="Heading2"/>
        <w:spacing w:before="37"/>
        <w:jc w:val="both"/>
      </w:pPr>
      <w:bookmarkStart w:name="_TOC_250005" w:id="20"/>
      <w:bookmarkEnd w:id="20"/>
      <w:r>
        <w:rPr/>
        <w:t>第十六条   合同效力的终止</w:t>
      </w:r>
    </w:p>
    <w:p>
      <w:pPr>
        <w:pStyle w:val="BodyText"/>
        <w:rPr>
          <w:b/>
        </w:rPr>
      </w:pPr>
    </w:p>
    <w:p>
      <w:pPr>
        <w:pStyle w:val="BodyText"/>
        <w:spacing w:before="11"/>
        <w:rPr>
          <w:b/>
          <w:sz w:val="24"/>
        </w:rPr>
      </w:pPr>
    </w:p>
    <w:p>
      <w:pPr>
        <w:spacing w:before="0"/>
        <w:ind w:left="101" w:right="0" w:firstLine="0"/>
        <w:jc w:val="both"/>
        <w:rPr>
          <w:sz w:val="21"/>
        </w:rPr>
      </w:pPr>
      <w:r>
        <w:rPr>
          <w:sz w:val="21"/>
        </w:rPr>
        <w:t>本附加合同发生下列情况之一时将会自动终止：</w:t>
      </w:r>
    </w:p>
    <w:p>
      <w:pPr>
        <w:pStyle w:val="BodyText"/>
        <w:spacing w:before="8"/>
        <w:rPr>
          <w:sz w:val="26"/>
        </w:rPr>
      </w:pPr>
    </w:p>
    <w:p>
      <w:pPr>
        <w:spacing w:before="1"/>
        <w:ind w:left="101" w:right="0" w:firstLine="0"/>
        <w:jc w:val="both"/>
        <w:rPr>
          <w:sz w:val="21"/>
        </w:rPr>
      </w:pPr>
      <w:r>
        <w:rPr>
          <w:sz w:val="21"/>
        </w:rPr>
        <w:t>（</w:t>
      </w:r>
      <w:r>
        <w:rPr>
          <w:rFonts w:ascii="Times New Roman" w:eastAsia="Times New Roman"/>
          <w:sz w:val="21"/>
        </w:rPr>
        <w:t>1</w:t>
      </w:r>
      <w:r>
        <w:rPr>
          <w:sz w:val="21"/>
        </w:rPr>
        <w:t>）主合同被撤销、解除，或发生其他效力终止的情况；</w:t>
      </w:r>
    </w:p>
    <w:p>
      <w:pPr>
        <w:spacing w:before="21"/>
        <w:ind w:left="101" w:right="0" w:firstLine="0"/>
        <w:jc w:val="both"/>
        <w:rPr>
          <w:sz w:val="21"/>
        </w:rPr>
      </w:pPr>
      <w:r>
        <w:rPr>
          <w:sz w:val="21"/>
        </w:rPr>
        <w:t>（</w:t>
      </w:r>
      <w:r>
        <w:rPr>
          <w:rFonts w:ascii="Times New Roman" w:eastAsia="Times New Roman"/>
          <w:sz w:val="21"/>
        </w:rPr>
        <w:t>2</w:t>
      </w:r>
      <w:r>
        <w:rPr>
          <w:sz w:val="21"/>
        </w:rPr>
        <w:t>）因出现本附加合同其他条款所列情况而终止。</w:t>
      </w:r>
    </w:p>
    <w:p>
      <w:pPr>
        <w:pStyle w:val="BodyText"/>
        <w:spacing w:before="12"/>
        <w:rPr>
          <w:sz w:val="32"/>
        </w:rPr>
      </w:pPr>
    </w:p>
    <w:p>
      <w:pPr>
        <w:tabs>
          <w:tab w:pos="3847" w:val="left" w:leader="none"/>
        </w:tabs>
        <w:spacing w:before="0"/>
        <w:ind w:left="2047" w:right="0" w:firstLine="0"/>
        <w:jc w:val="left"/>
        <w:rPr>
          <w:b/>
          <w:sz w:val="28"/>
        </w:rPr>
      </w:pPr>
      <w:bookmarkStart w:name="_TOC_250004" w:id="21"/>
      <w:r>
        <w:rPr>
          <w:b/>
          <w:sz w:val="28"/>
        </w:rPr>
        <w:t>第七部分</w:t>
        <w:tab/>
      </w:r>
      <w:bookmarkEnd w:id="21"/>
      <w:r>
        <w:rPr>
          <w:b/>
          <w:w w:val="95"/>
          <w:sz w:val="28"/>
        </w:rPr>
        <w:t>您必须了解的其他事项</w:t>
      </w:r>
    </w:p>
    <w:p>
      <w:pPr>
        <w:pStyle w:val="BodyText"/>
        <w:rPr>
          <w:b/>
          <w:sz w:val="28"/>
        </w:rPr>
      </w:pPr>
    </w:p>
    <w:p>
      <w:pPr>
        <w:pStyle w:val="BodyText"/>
        <w:spacing w:before="11"/>
        <w:rPr>
          <w:b/>
          <w:sz w:val="26"/>
        </w:rPr>
      </w:pPr>
    </w:p>
    <w:p>
      <w:pPr>
        <w:pStyle w:val="Heading2"/>
        <w:jc w:val="both"/>
      </w:pPr>
      <w:bookmarkStart w:name="_TOC_250003" w:id="22"/>
      <w:bookmarkEnd w:id="22"/>
      <w:r>
        <w:rPr/>
        <w:t>第十七条   明确说明与如实告知</w:t>
      </w:r>
    </w:p>
    <w:p>
      <w:pPr>
        <w:pStyle w:val="BodyText"/>
        <w:rPr>
          <w:b/>
        </w:rPr>
      </w:pPr>
    </w:p>
    <w:p>
      <w:pPr>
        <w:pStyle w:val="BodyText"/>
        <w:spacing w:before="12"/>
        <w:rPr>
          <w:b/>
          <w:sz w:val="24"/>
        </w:rPr>
      </w:pPr>
    </w:p>
    <w:p>
      <w:pPr>
        <w:spacing w:line="273" w:lineRule="auto" w:before="1"/>
        <w:ind w:left="101" w:right="101" w:firstLine="0"/>
        <w:jc w:val="both"/>
        <w:rPr>
          <w:sz w:val="21"/>
        </w:rPr>
      </w:pPr>
      <w:r>
        <w:rPr>
          <w:sz w:val="21"/>
        </w:rPr>
        <w:t>订立本附加合同时，我们应向您明确说明本附加合同的条款内容。对本附加合同条款中免除我们责任的条款，我们在订立本附加合同时应当在投保单、保险单或者其他保险凭证上做出足以引起您注意的提示，并对该条款的内容以书面或者口头形式向您做出明确说明，未作提示或者明确说明的，该条款不产生效力。</w:t>
      </w:r>
    </w:p>
    <w:p>
      <w:pPr>
        <w:pStyle w:val="BodyText"/>
        <w:spacing w:before="5"/>
        <w:rPr>
          <w:sz w:val="24"/>
        </w:rPr>
      </w:pPr>
    </w:p>
    <w:p>
      <w:pPr>
        <w:spacing w:before="1"/>
        <w:ind w:left="101" w:right="0" w:firstLine="0"/>
        <w:jc w:val="left"/>
        <w:rPr>
          <w:sz w:val="21"/>
        </w:rPr>
      </w:pPr>
      <w:r>
        <w:rPr>
          <w:sz w:val="21"/>
        </w:rPr>
        <w:t>我们可以就您和被保险人的有关情况向您提出书面询问，您应当以书面方式如实告知。</w:t>
      </w:r>
    </w:p>
    <w:p>
      <w:pPr>
        <w:pStyle w:val="BodyText"/>
        <w:spacing w:before="9"/>
        <w:rPr>
          <w:sz w:val="26"/>
        </w:rPr>
      </w:pPr>
    </w:p>
    <w:p>
      <w:pPr>
        <w:spacing w:line="273" w:lineRule="auto" w:before="0"/>
        <w:ind w:left="101" w:right="101" w:firstLine="0"/>
        <w:jc w:val="left"/>
        <w:rPr>
          <w:sz w:val="21"/>
        </w:rPr>
      </w:pPr>
      <w:r>
        <w:rPr>
          <w:sz w:val="21"/>
        </w:rPr>
        <w:t>您故意或者因重大过失未履行前款规定的如实告知义务，足以影响我们决定是否同意承保或者提高保险费率的，我们有权解除本附加合同。</w:t>
      </w:r>
    </w:p>
    <w:p>
      <w:pPr>
        <w:pStyle w:val="BodyText"/>
        <w:spacing w:before="5"/>
        <w:rPr>
          <w:sz w:val="24"/>
        </w:rPr>
      </w:pPr>
    </w:p>
    <w:p>
      <w:pPr>
        <w:spacing w:line="273" w:lineRule="auto" w:before="0"/>
        <w:ind w:left="101" w:right="103" w:firstLine="0"/>
        <w:jc w:val="left"/>
        <w:rPr>
          <w:sz w:val="21"/>
        </w:rPr>
      </w:pPr>
      <w:r>
        <w:rPr>
          <w:sz w:val="21"/>
        </w:rPr>
        <w:t>您故意不履行如实告知义务，我们对于本附加合同解除前发生的保险事故，不承担赔偿或者给付保险金的责任，并不退还保险费。</w:t>
      </w:r>
    </w:p>
    <w:p>
      <w:pPr>
        <w:pStyle w:val="BodyText"/>
        <w:spacing w:before="5"/>
        <w:rPr>
          <w:sz w:val="24"/>
        </w:rPr>
      </w:pPr>
    </w:p>
    <w:p>
      <w:pPr>
        <w:spacing w:line="273" w:lineRule="auto" w:before="0"/>
        <w:ind w:left="101" w:right="101" w:firstLine="0"/>
        <w:jc w:val="left"/>
        <w:rPr>
          <w:sz w:val="21"/>
        </w:rPr>
      </w:pPr>
      <w:r>
        <w:rPr>
          <w:sz w:val="21"/>
        </w:rPr>
        <w:t>您因重大过失没能履行如实告知义务，对保险事故的发生有严重影响的，我们对解除本附加合同前发生的保险事故，不承担赔偿或给付保险金的责任，但应当退还保险费。</w:t>
      </w:r>
    </w:p>
    <w:p>
      <w:pPr>
        <w:pStyle w:val="BodyText"/>
      </w:pPr>
    </w:p>
    <w:p>
      <w:pPr>
        <w:pStyle w:val="BodyText"/>
        <w:spacing w:before="4"/>
        <w:rPr>
          <w:sz w:val="23"/>
        </w:rPr>
      </w:pPr>
    </w:p>
    <w:p>
      <w:pPr>
        <w:pStyle w:val="Heading2"/>
        <w:tabs>
          <w:tab w:pos="1361" w:val="left" w:leader="none"/>
        </w:tabs>
      </w:pPr>
      <w:bookmarkStart w:name="_TOC_250002" w:id="23"/>
      <w:r>
        <w:rPr/>
        <w:t>第十八条</w:t>
        <w:tab/>
        <w:t>本公司合同解除权</w:t>
      </w:r>
      <w:r>
        <w:rPr>
          <w:spacing w:val="-3"/>
        </w:rPr>
        <w:t>的</w:t>
      </w:r>
      <w:bookmarkEnd w:id="23"/>
      <w:r>
        <w:rPr/>
        <w:t>限制</w:t>
      </w:r>
    </w:p>
    <w:p>
      <w:pPr>
        <w:pStyle w:val="BodyText"/>
        <w:rPr>
          <w:b/>
        </w:rPr>
      </w:pPr>
    </w:p>
    <w:p>
      <w:pPr>
        <w:pStyle w:val="BodyText"/>
        <w:spacing w:before="10"/>
        <w:rPr>
          <w:b/>
          <w:sz w:val="24"/>
        </w:rPr>
      </w:pPr>
    </w:p>
    <w:p>
      <w:pPr>
        <w:spacing w:line="264" w:lineRule="auto" w:before="1"/>
        <w:ind w:left="101" w:right="101" w:firstLine="0"/>
        <w:jc w:val="both"/>
        <w:rPr>
          <w:sz w:val="21"/>
        </w:rPr>
      </w:pPr>
      <w:r>
        <w:rPr>
          <w:spacing w:val="-5"/>
          <w:sz w:val="21"/>
        </w:rPr>
        <w:t>前条规定的合同解除权，自我们知道有解除事由之日起，超过 </w:t>
      </w:r>
      <w:r>
        <w:rPr>
          <w:rFonts w:ascii="Times New Roman" w:eastAsia="Times New Roman"/>
          <w:sz w:val="21"/>
        </w:rPr>
        <w:t>30 </w:t>
      </w:r>
      <w:r>
        <w:rPr>
          <w:spacing w:val="-3"/>
          <w:sz w:val="21"/>
        </w:rPr>
        <w:t>日不行使而消灭。自本附加合同成立之日起超过两年的，我们不得解除合同；发生保险事故的，我们承担给付保险金的</w:t>
      </w:r>
      <w:r>
        <w:rPr>
          <w:spacing w:val="-1"/>
          <w:sz w:val="21"/>
        </w:rPr>
        <w:t>责任。</w:t>
      </w:r>
    </w:p>
    <w:p>
      <w:pPr>
        <w:pStyle w:val="BodyText"/>
        <w:spacing w:before="1"/>
        <w:rPr>
          <w:sz w:val="25"/>
        </w:rPr>
      </w:pPr>
    </w:p>
    <w:p>
      <w:pPr>
        <w:spacing w:line="273" w:lineRule="auto" w:before="0"/>
        <w:ind w:left="101" w:right="101" w:firstLine="0"/>
        <w:jc w:val="left"/>
        <w:rPr>
          <w:sz w:val="21"/>
        </w:rPr>
      </w:pPr>
      <w:r>
        <w:rPr>
          <w:sz w:val="21"/>
        </w:rPr>
        <w:t>我们在合同订立时已经知道您未如实告知的情况的，我们不得解除合同；发生保险事故的， 我们承担给付保险金的责任。</w:t>
      </w:r>
    </w:p>
    <w:p>
      <w:pPr>
        <w:spacing w:after="0" w:line="273" w:lineRule="auto"/>
        <w:jc w:val="left"/>
        <w:rPr>
          <w:sz w:val="21"/>
        </w:rPr>
        <w:sectPr>
          <w:pgSz w:w="11960" w:h="16850"/>
          <w:pgMar w:header="0" w:footer="1001" w:top="1600" w:bottom="1200" w:left="1600" w:right="1640"/>
        </w:sectPr>
      </w:pPr>
    </w:p>
    <w:p>
      <w:pPr>
        <w:pStyle w:val="BodyText"/>
        <w:spacing w:before="11"/>
      </w:pPr>
    </w:p>
    <w:p>
      <w:pPr>
        <w:pStyle w:val="Heading2"/>
        <w:tabs>
          <w:tab w:pos="1381" w:val="left" w:leader="none"/>
        </w:tabs>
        <w:spacing w:before="37"/>
        <w:ind w:left="121"/>
      </w:pPr>
      <w:bookmarkStart w:name="_TOC_250001" w:id="24"/>
      <w:r>
        <w:rPr/>
        <w:t>第十九条</w:t>
        <w:tab/>
      </w:r>
      <w:r>
        <w:rPr>
          <w:spacing w:val="-1"/>
        </w:rPr>
        <w:t>年龄</w:t>
      </w:r>
      <w:r>
        <w:rPr/>
        <w:t>、性别的确定</w:t>
      </w:r>
      <w:r>
        <w:rPr>
          <w:spacing w:val="-3"/>
        </w:rPr>
        <w:t>和</w:t>
      </w:r>
      <w:r>
        <w:rPr/>
        <w:t>错</w:t>
      </w:r>
      <w:r>
        <w:rPr>
          <w:spacing w:val="-3"/>
        </w:rPr>
        <w:t>误</w:t>
      </w:r>
      <w:bookmarkEnd w:id="24"/>
      <w:r>
        <w:rPr/>
        <w:t>处理</w:t>
      </w:r>
    </w:p>
    <w:p>
      <w:pPr>
        <w:pStyle w:val="BodyText"/>
        <w:rPr>
          <w:b/>
        </w:rPr>
      </w:pPr>
    </w:p>
    <w:p>
      <w:pPr>
        <w:pStyle w:val="BodyText"/>
        <w:spacing w:before="11"/>
        <w:rPr>
          <w:b/>
          <w:sz w:val="24"/>
        </w:rPr>
      </w:pPr>
    </w:p>
    <w:p>
      <w:pPr>
        <w:spacing w:line="273" w:lineRule="auto" w:before="0"/>
        <w:ind w:left="121" w:right="121" w:firstLine="0"/>
        <w:jc w:val="both"/>
        <w:rPr>
          <w:sz w:val="21"/>
        </w:rPr>
      </w:pPr>
      <w:r>
        <w:rPr>
          <w:sz w:val="21"/>
        </w:rPr>
        <w:t>被保险人的投保年龄以法定身份证明文件中记载的周岁年龄计算。您在申请投保时，应在投保单上填明被保险人的真实年龄及性别，如果发生错误我们会按照下列规定办理：</w:t>
      </w:r>
    </w:p>
    <w:p>
      <w:pPr>
        <w:pStyle w:val="BodyText"/>
        <w:spacing w:before="5"/>
        <w:rPr>
          <w:sz w:val="24"/>
        </w:rPr>
      </w:pPr>
    </w:p>
    <w:p>
      <w:pPr>
        <w:spacing w:line="268" w:lineRule="auto" w:before="0"/>
        <w:ind w:left="121" w:right="117" w:firstLine="0"/>
        <w:jc w:val="both"/>
        <w:rPr>
          <w:sz w:val="21"/>
        </w:rPr>
      </w:pPr>
      <w:r>
        <w:rPr>
          <w:spacing w:val="-4"/>
          <w:sz w:val="21"/>
        </w:rPr>
        <w:t>一、 如果您申报的被保险人年龄或性别不真实，并且其真实年龄不符合本附加合同约定的年</w:t>
      </w:r>
      <w:r>
        <w:rPr>
          <w:spacing w:val="-12"/>
          <w:sz w:val="21"/>
        </w:rPr>
        <w:t>龄限制，在保险事故发生之前我们有权解除本附加合同，并向您退还本附加合同的现金价值。</w:t>
      </w:r>
      <w:r>
        <w:rPr>
          <w:spacing w:val="-6"/>
          <w:sz w:val="21"/>
        </w:rPr>
        <w:t>我们行使合同解除权适用“</w:t>
      </w:r>
      <w:r>
        <w:rPr>
          <w:b/>
          <w:sz w:val="21"/>
        </w:rPr>
        <w:t>本公司</w:t>
      </w:r>
      <w:r>
        <w:rPr>
          <w:b/>
          <w:spacing w:val="-6"/>
          <w:position w:val="12"/>
          <w:sz w:val="12"/>
        </w:rPr>
        <w:t>释义 </w:t>
      </w:r>
      <w:r>
        <w:rPr>
          <w:b/>
          <w:position w:val="12"/>
          <w:sz w:val="12"/>
        </w:rPr>
        <w:t>21 </w:t>
      </w:r>
      <w:r>
        <w:rPr>
          <w:spacing w:val="-3"/>
          <w:sz w:val="21"/>
        </w:rPr>
        <w:t>合同解除权的限制”的规定。</w:t>
      </w:r>
    </w:p>
    <w:p>
      <w:pPr>
        <w:pStyle w:val="BodyText"/>
        <w:spacing w:before="10"/>
        <w:rPr>
          <w:sz w:val="23"/>
        </w:rPr>
      </w:pPr>
    </w:p>
    <w:p>
      <w:pPr>
        <w:spacing w:line="273" w:lineRule="auto" w:before="0"/>
        <w:ind w:left="121" w:right="120" w:firstLine="0"/>
        <w:jc w:val="both"/>
        <w:rPr>
          <w:sz w:val="21"/>
        </w:rPr>
      </w:pPr>
      <w:r>
        <w:rPr>
          <w:sz w:val="21"/>
        </w:rPr>
        <w:t>二、 如果您申报的被保险人年龄或性别不真实，致使实际领取的保险金金额高于应领取保险金金额，我们有权要求受益人退还多领取部分。</w:t>
      </w:r>
    </w:p>
    <w:p>
      <w:pPr>
        <w:pStyle w:val="BodyText"/>
        <w:spacing w:before="5"/>
        <w:rPr>
          <w:sz w:val="24"/>
        </w:rPr>
      </w:pPr>
    </w:p>
    <w:p>
      <w:pPr>
        <w:spacing w:line="273" w:lineRule="auto" w:before="0"/>
        <w:ind w:left="121" w:right="120" w:firstLine="0"/>
        <w:jc w:val="both"/>
        <w:rPr>
          <w:sz w:val="21"/>
        </w:rPr>
      </w:pPr>
      <w:r>
        <w:rPr>
          <w:sz w:val="21"/>
        </w:rPr>
        <w:t>三、 如果您申报的被保险人年龄或性别不真实，致使实际领取的保险金金额少于应领取保险金金额，我们将无息补足受益人少领取部分。</w:t>
      </w:r>
    </w:p>
    <w:p>
      <w:pPr>
        <w:pStyle w:val="BodyText"/>
      </w:pPr>
    </w:p>
    <w:p>
      <w:pPr>
        <w:pStyle w:val="BodyText"/>
        <w:spacing w:before="3"/>
        <w:rPr>
          <w:sz w:val="23"/>
        </w:rPr>
      </w:pPr>
    </w:p>
    <w:p>
      <w:pPr>
        <w:pStyle w:val="Heading2"/>
        <w:tabs>
          <w:tab w:pos="1381" w:val="left" w:leader="none"/>
        </w:tabs>
        <w:ind w:left="121"/>
      </w:pPr>
      <w:bookmarkStart w:name="_TOC_250000" w:id="25"/>
      <w:bookmarkEnd w:id="25"/>
      <w:r>
        <w:rPr/>
        <w:t>第二十条</w:t>
        <w:tab/>
        <w:t>未还款项</w:t>
      </w:r>
    </w:p>
    <w:p>
      <w:pPr>
        <w:pStyle w:val="BodyText"/>
        <w:rPr>
          <w:b/>
        </w:rPr>
      </w:pPr>
    </w:p>
    <w:p>
      <w:pPr>
        <w:pStyle w:val="BodyText"/>
        <w:spacing w:before="12"/>
        <w:rPr>
          <w:b/>
          <w:sz w:val="24"/>
        </w:rPr>
      </w:pPr>
    </w:p>
    <w:p>
      <w:pPr>
        <w:spacing w:line="273" w:lineRule="auto" w:before="1"/>
        <w:ind w:left="121" w:right="123" w:firstLine="0"/>
        <w:jc w:val="both"/>
        <w:rPr>
          <w:sz w:val="21"/>
        </w:rPr>
      </w:pPr>
      <w:r>
        <w:rPr>
          <w:spacing w:val="-3"/>
          <w:sz w:val="21"/>
        </w:rPr>
        <w:t>我们在给付各项保险金、红利</w:t>
      </w:r>
      <w:r>
        <w:rPr>
          <w:sz w:val="21"/>
        </w:rPr>
        <w:t>（</w:t>
      </w:r>
      <w:r>
        <w:rPr>
          <w:spacing w:val="-3"/>
          <w:sz w:val="21"/>
        </w:rPr>
        <w:t>如适用者</w:t>
      </w:r>
      <w:r>
        <w:rPr>
          <w:spacing w:val="-106"/>
          <w:sz w:val="21"/>
        </w:rPr>
        <w:t>）</w:t>
      </w:r>
      <w:r>
        <w:rPr>
          <w:spacing w:val="-3"/>
          <w:sz w:val="21"/>
        </w:rPr>
        <w:t>、退还现金价值（如适用者</w:t>
      </w:r>
      <w:r>
        <w:rPr>
          <w:sz w:val="21"/>
        </w:rPr>
        <w:t>）</w:t>
      </w:r>
      <w:r>
        <w:rPr>
          <w:spacing w:val="-3"/>
          <w:sz w:val="21"/>
        </w:rPr>
        <w:t>或返还保险费</w:t>
      </w:r>
      <w:r>
        <w:rPr>
          <w:sz w:val="21"/>
        </w:rPr>
        <w:t>（</w:t>
      </w:r>
      <w:r>
        <w:rPr>
          <w:spacing w:val="-2"/>
          <w:sz w:val="21"/>
        </w:rPr>
        <w:t>如适</w:t>
      </w:r>
      <w:r>
        <w:rPr>
          <w:sz w:val="21"/>
        </w:rPr>
        <w:t>用者）时，如果您有欠交的保险费或其他未还清款项，我们会在扣除上述款项及累积利息后</w:t>
      </w:r>
      <w:r>
        <w:rPr>
          <w:spacing w:val="-1"/>
          <w:sz w:val="21"/>
        </w:rPr>
        <w:t>给付。</w:t>
      </w:r>
    </w:p>
    <w:p>
      <w:pPr>
        <w:pStyle w:val="BodyText"/>
      </w:pPr>
    </w:p>
    <w:p>
      <w:pPr>
        <w:tabs>
          <w:tab w:pos="4990" w:val="left" w:leader="none"/>
        </w:tabs>
        <w:spacing w:before="156"/>
        <w:ind w:left="3190" w:right="0" w:firstLine="0"/>
        <w:jc w:val="left"/>
        <w:rPr>
          <w:b/>
          <w:sz w:val="28"/>
        </w:rPr>
      </w:pPr>
      <w:r>
        <w:rPr>
          <w:b/>
          <w:sz w:val="28"/>
        </w:rPr>
        <w:t>第八部分</w:t>
        <w:tab/>
      </w:r>
      <w:r>
        <w:rPr>
          <w:b/>
          <w:w w:val="95"/>
          <w:sz w:val="28"/>
        </w:rPr>
        <w:t>释义</w:t>
      </w:r>
    </w:p>
    <w:p>
      <w:pPr>
        <w:pStyle w:val="BodyText"/>
        <w:spacing w:before="9"/>
        <w:rPr>
          <w:b/>
          <w:sz w:val="35"/>
        </w:rPr>
      </w:pPr>
    </w:p>
    <w:p>
      <w:pPr>
        <w:pStyle w:val="BodyText"/>
        <w:tabs>
          <w:tab w:pos="2259" w:val="left" w:leader="none"/>
        </w:tabs>
        <w:spacing w:line="225" w:lineRule="auto" w:before="1"/>
        <w:ind w:left="111" w:right="428"/>
      </w:pPr>
      <w:r>
        <w:rPr/>
        <w:t>释义</w:t>
      </w:r>
      <w:r>
        <w:rPr>
          <w:spacing w:val="-52"/>
        </w:rPr>
        <w:t> </w:t>
      </w:r>
      <w:r>
        <w:rPr>
          <w:rFonts w:ascii="Times New Roman" w:eastAsia="Times New Roman"/>
        </w:rPr>
        <w:t>1</w:t>
      </w:r>
      <w:r>
        <w:rPr/>
        <w:t>、周岁</w:t>
        <w:tab/>
      </w:r>
      <w:r>
        <w:rPr>
          <w:rFonts w:ascii="Times New Roman" w:eastAsia="Times New Roman"/>
          <w:position w:val="2"/>
        </w:rPr>
        <w:t>: </w:t>
      </w:r>
      <w:r>
        <w:rPr>
          <w:rFonts w:ascii="Times New Roman" w:eastAsia="Times New Roman"/>
          <w:spacing w:val="36"/>
          <w:position w:val="2"/>
        </w:rPr>
        <w:t> </w:t>
      </w:r>
      <w:r>
        <w:rPr/>
        <w:t>以法定身份证明文件中记载的出生日期为计算基础计算的年龄。</w:t>
      </w:r>
      <w:r>
        <w:rPr>
          <w:w w:val="99"/>
        </w:rPr>
        <w:t> </w:t>
      </w:r>
      <w:r>
        <w:rPr/>
        <w:t>释义</w:t>
      </w:r>
      <w:r>
        <w:rPr>
          <w:spacing w:val="-47"/>
        </w:rPr>
        <w:t> </w:t>
      </w:r>
      <w:r>
        <w:rPr>
          <w:rFonts w:ascii="Times New Roman" w:eastAsia="Times New Roman"/>
        </w:rPr>
        <w:t>2</w:t>
      </w:r>
      <w:r>
        <w:rPr/>
        <w:t>、本附加合同生效</w:t>
      </w:r>
      <w:r>
        <w:rPr>
          <w:rFonts w:ascii="Times New Roman" w:eastAsia="Times New Roman"/>
          <w:position w:val="2"/>
        </w:rPr>
        <w:t>:  </w:t>
      </w:r>
      <w:r>
        <w:rPr>
          <w:rFonts w:ascii="Times New Roman" w:eastAsia="Times New Roman"/>
          <w:spacing w:val="3"/>
          <w:position w:val="2"/>
        </w:rPr>
        <w:t> </w:t>
      </w:r>
      <w:r>
        <w:rPr/>
        <w:t>指在我</w:t>
      </w:r>
      <w:r>
        <w:rPr>
          <w:spacing w:val="2"/>
        </w:rPr>
        <w:t>们</w:t>
      </w:r>
      <w:r>
        <w:rPr/>
        <w:t>同意</w:t>
      </w:r>
      <w:r>
        <w:rPr>
          <w:spacing w:val="2"/>
        </w:rPr>
        <w:t>承</w:t>
      </w:r>
      <w:r>
        <w:rPr>
          <w:spacing w:val="5"/>
        </w:rPr>
        <w:t>保</w:t>
      </w:r>
      <w:r>
        <w:rPr/>
        <w:t>、</w:t>
      </w:r>
      <w:r>
        <w:rPr>
          <w:spacing w:val="2"/>
        </w:rPr>
        <w:t>签</w:t>
      </w:r>
      <w:r>
        <w:rPr/>
        <w:t>发</w:t>
      </w:r>
      <w:r>
        <w:rPr>
          <w:spacing w:val="2"/>
        </w:rPr>
        <w:t>保</w:t>
      </w:r>
      <w:r>
        <w:rPr/>
        <w:t>险合同</w:t>
      </w:r>
      <w:r>
        <w:rPr>
          <w:spacing w:val="2"/>
        </w:rPr>
        <w:t>并</w:t>
      </w:r>
      <w:r>
        <w:rPr/>
        <w:t>收到</w:t>
      </w:r>
      <w:r>
        <w:rPr>
          <w:spacing w:val="2"/>
        </w:rPr>
        <w:t>您</w:t>
      </w:r>
      <w:r>
        <w:rPr/>
        <w:t>交付</w:t>
      </w:r>
      <w:r>
        <w:rPr>
          <w:spacing w:val="2"/>
        </w:rPr>
        <w:t>的</w:t>
      </w:r>
      <w:r>
        <w:rPr/>
        <w:t>首</w:t>
      </w:r>
      <w:r>
        <w:rPr>
          <w:spacing w:val="2"/>
        </w:rPr>
        <w:t>期</w:t>
      </w:r>
      <w:r>
        <w:rPr/>
        <w:t>保险费</w:t>
      </w:r>
      <w:r>
        <w:rPr>
          <w:spacing w:val="2"/>
        </w:rPr>
        <w:t>的</w:t>
      </w:r>
      <w:r>
        <w:rPr/>
        <w:t>条</w:t>
      </w:r>
    </w:p>
    <w:p>
      <w:pPr>
        <w:pStyle w:val="BodyText"/>
        <w:tabs>
          <w:tab w:pos="2458" w:val="left" w:leader="none"/>
        </w:tabs>
        <w:spacing w:line="244" w:lineRule="exact"/>
        <w:ind w:left="111"/>
      </w:pPr>
      <w:r>
        <w:rPr/>
        <w:t>日</w:t>
        <w:tab/>
      </w:r>
      <w:r>
        <w:rPr>
          <w:w w:val="95"/>
        </w:rPr>
        <w:t>件下</w:t>
      </w:r>
      <w:r>
        <w:rPr>
          <w:spacing w:val="-17"/>
          <w:w w:val="95"/>
        </w:rPr>
        <w:t>，</w:t>
      </w:r>
      <w:r>
        <w:rPr>
          <w:w w:val="95"/>
        </w:rPr>
        <w:t>本附加合同开始生效的日期</w:t>
      </w:r>
      <w:r>
        <w:rPr>
          <w:spacing w:val="-15"/>
          <w:w w:val="95"/>
        </w:rPr>
        <w:t>。</w:t>
      </w:r>
      <w:r>
        <w:rPr>
          <w:w w:val="95"/>
        </w:rPr>
        <w:t>此日期载明于保险合同首页上。</w:t>
      </w:r>
    </w:p>
    <w:p>
      <w:pPr>
        <w:pStyle w:val="BodyText"/>
        <w:tabs>
          <w:tab w:pos="2259" w:val="left" w:leader="none"/>
        </w:tabs>
        <w:spacing w:line="265" w:lineRule="exact"/>
        <w:ind w:left="111"/>
      </w:pPr>
      <w:r>
        <w:rPr/>
        <w:t>释义</w:t>
      </w:r>
      <w:r>
        <w:rPr>
          <w:spacing w:val="-52"/>
        </w:rPr>
        <w:t> </w:t>
      </w:r>
      <w:r>
        <w:rPr>
          <w:rFonts w:ascii="Times New Roman" w:eastAsia="Times New Roman"/>
        </w:rPr>
        <w:t>3</w:t>
      </w:r>
      <w:r>
        <w:rPr/>
        <w:t>、保险事故</w:t>
        <w:tab/>
      </w:r>
      <w:r>
        <w:rPr>
          <w:rFonts w:ascii="Times New Roman" w:eastAsia="Times New Roman"/>
          <w:position w:val="2"/>
        </w:rPr>
        <w:t>: </w:t>
      </w:r>
      <w:r>
        <w:rPr>
          <w:rFonts w:ascii="Times New Roman" w:eastAsia="Times New Roman"/>
          <w:spacing w:val="38"/>
          <w:position w:val="2"/>
        </w:rPr>
        <w:t> </w:t>
      </w:r>
      <w:r>
        <w:rPr/>
        <w:t>指本附加合同约定的保险责任范围内的事故。</w:t>
      </w:r>
    </w:p>
    <w:p>
      <w:pPr>
        <w:pStyle w:val="BodyText"/>
        <w:spacing w:line="230" w:lineRule="auto" w:before="2"/>
        <w:ind w:left="2458" w:right="425" w:hanging="2348"/>
        <w:jc w:val="both"/>
      </w:pPr>
      <w:r>
        <w:rPr/>
        <w:t>释义 </w:t>
      </w:r>
      <w:r>
        <w:rPr>
          <w:rFonts w:ascii="Times New Roman" w:eastAsia="Times New Roman"/>
        </w:rPr>
        <w:t>4</w:t>
      </w:r>
      <w:r>
        <w:rPr/>
        <w:t>、发病         </w:t>
      </w:r>
      <w:r>
        <w:rPr>
          <w:rFonts w:ascii="Times New Roman" w:eastAsia="Times New Roman"/>
          <w:position w:val="2"/>
        </w:rPr>
        <w:t>:  </w:t>
      </w:r>
      <w:r>
        <w:rPr/>
        <w:t>指被保险人出现本附加合同所界定疾病的前兆或异常的身体状况， 或已经显现足以使一般人士引起注意并寻求诊断、治疗或护理的病</w:t>
      </w:r>
      <w:r>
        <w:rPr>
          <w:w w:val="95"/>
        </w:rPr>
        <w:t>症。</w:t>
      </w:r>
    </w:p>
    <w:p>
      <w:pPr>
        <w:pStyle w:val="BodyText"/>
        <w:spacing w:line="230" w:lineRule="auto" w:before="8"/>
        <w:ind w:left="2458" w:right="426" w:hanging="2348"/>
        <w:jc w:val="both"/>
      </w:pPr>
      <w:r>
        <w:rPr/>
        <w:t>释义 </w:t>
      </w:r>
      <w:r>
        <w:rPr>
          <w:rFonts w:ascii="Times New Roman" w:eastAsia="Times New Roman"/>
        </w:rPr>
        <w:t>5</w:t>
      </w:r>
      <w:r>
        <w:rPr/>
        <w:t>、医生         </w:t>
      </w:r>
      <w:r>
        <w:rPr>
          <w:rFonts w:ascii="Times New Roman" w:eastAsia="Times New Roman"/>
          <w:position w:val="2"/>
        </w:rPr>
        <w:t>:  </w:t>
      </w:r>
      <w:r>
        <w:rPr/>
        <w:t>指接受过高等医学教育和长期从事医疗卫生工作，且为本附加合同所界定的医院之正式注册医生，但不包括被保险人本人及其直系亲</w:t>
      </w:r>
      <w:r>
        <w:rPr>
          <w:w w:val="95"/>
        </w:rPr>
        <w:t>属。</w:t>
      </w:r>
    </w:p>
    <w:p>
      <w:pPr>
        <w:pStyle w:val="BodyText"/>
        <w:spacing w:line="274" w:lineRule="exact"/>
        <w:ind w:left="111"/>
      </w:pPr>
      <w:r>
        <w:rPr/>
        <w:t>释义 </w:t>
      </w:r>
      <w:r>
        <w:rPr>
          <w:rFonts w:ascii="Times New Roman" w:eastAsia="Times New Roman"/>
        </w:rPr>
        <w:t>6</w:t>
      </w:r>
      <w:r>
        <w:rPr/>
        <w:t>、所有已交的保险</w:t>
      </w:r>
      <w:r>
        <w:rPr>
          <w:rFonts w:ascii="Times New Roman" w:eastAsia="Times New Roman"/>
          <w:position w:val="2"/>
        </w:rPr>
        <w:t>:   </w:t>
      </w:r>
      <w:r>
        <w:rPr/>
        <w:t>指以基本保险金额为基础计算的，截至我们给付保险金时，所有应</w:t>
      </w:r>
    </w:p>
    <w:p>
      <w:pPr>
        <w:pStyle w:val="BodyText"/>
        <w:tabs>
          <w:tab w:pos="2458" w:val="left" w:leader="none"/>
        </w:tabs>
        <w:spacing w:line="244" w:lineRule="exact"/>
        <w:ind w:left="111"/>
      </w:pPr>
      <w:r>
        <w:rPr/>
        <w:t>费</w:t>
        <w:tab/>
      </w:r>
      <w:r>
        <w:rPr>
          <w:w w:val="95"/>
        </w:rPr>
        <w:t>交已交的保险费总额。</w:t>
      </w:r>
    </w:p>
    <w:p>
      <w:pPr>
        <w:pStyle w:val="BodyText"/>
        <w:spacing w:line="274" w:lineRule="exact" w:after="17"/>
        <w:ind w:left="111"/>
      </w:pPr>
      <w:r>
        <w:rPr/>
        <w:t>释义 </w:t>
      </w:r>
      <w:r>
        <w:rPr>
          <w:rFonts w:ascii="Times New Roman" w:eastAsia="Times New Roman"/>
        </w:rPr>
        <w:t>7</w:t>
      </w:r>
      <w:r>
        <w:rPr/>
        <w:t>、对应重大疾病 </w:t>
      </w:r>
      <w:r>
        <w:rPr>
          <w:rFonts w:ascii="Times New Roman" w:eastAsia="Times New Roman"/>
          <w:position w:val="2"/>
        </w:rPr>
        <w:t>:  </w:t>
      </w:r>
      <w:r>
        <w:rPr/>
        <w:t>轻症疾病所对应的重大疾病如下表。</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3069"/>
        <w:gridCol w:w="3254"/>
      </w:tblGrid>
      <w:tr>
        <w:trPr>
          <w:trHeight w:val="354" w:hRule="atLeast"/>
        </w:trPr>
        <w:tc>
          <w:tcPr>
            <w:tcW w:w="1891" w:type="dxa"/>
            <w:vMerge w:val="restart"/>
          </w:tcPr>
          <w:p>
            <w:pPr>
              <w:pStyle w:val="TableParagraph"/>
              <w:spacing w:line="240" w:lineRule="auto"/>
              <w:ind w:left="0"/>
              <w:jc w:val="left"/>
              <w:rPr>
                <w:rFonts w:ascii="Times New Roman"/>
                <w:sz w:val="20"/>
              </w:rPr>
            </w:pPr>
          </w:p>
        </w:tc>
        <w:tc>
          <w:tcPr>
            <w:tcW w:w="6323" w:type="dxa"/>
            <w:gridSpan w:val="2"/>
          </w:tcPr>
          <w:p>
            <w:pPr>
              <w:pStyle w:val="TableParagraph"/>
              <w:spacing w:line="240" w:lineRule="auto" w:before="63"/>
              <w:ind w:left="1960"/>
              <w:jc w:val="left"/>
              <w:rPr>
                <w:sz w:val="20"/>
              </w:rPr>
            </w:pPr>
            <w:r>
              <w:rPr>
                <w:w w:val="95"/>
                <w:sz w:val="20"/>
              </w:rPr>
              <w:t>轻症疾病与重大疾病对应表</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63"/>
              <w:ind w:left="734"/>
              <w:jc w:val="left"/>
              <w:rPr>
                <w:sz w:val="20"/>
              </w:rPr>
            </w:pPr>
            <w:r>
              <w:rPr>
                <w:w w:val="95"/>
                <w:sz w:val="20"/>
              </w:rPr>
              <w:t>轻症疾病病种名称</w:t>
            </w:r>
          </w:p>
        </w:tc>
        <w:tc>
          <w:tcPr>
            <w:tcW w:w="3254" w:type="dxa"/>
          </w:tcPr>
          <w:p>
            <w:pPr>
              <w:pStyle w:val="TableParagraph"/>
              <w:spacing w:line="240" w:lineRule="auto" w:before="63"/>
              <w:ind w:left="125"/>
              <w:jc w:val="left"/>
              <w:rPr>
                <w:sz w:val="20"/>
              </w:rPr>
            </w:pPr>
            <w:r>
              <w:rPr>
                <w:w w:val="95"/>
                <w:sz w:val="20"/>
              </w:rPr>
              <w:t>各轻症疾病对应重大疾病病种名称</w:t>
            </w:r>
          </w:p>
        </w:tc>
      </w:tr>
      <w:tr>
        <w:trPr>
          <w:trHeight w:val="299" w:hRule="atLeast"/>
        </w:trPr>
        <w:tc>
          <w:tcPr>
            <w:tcW w:w="1891" w:type="dxa"/>
          </w:tcPr>
          <w:p>
            <w:pPr>
              <w:pStyle w:val="TableParagraph"/>
              <w:spacing w:line="251" w:lineRule="exact"/>
              <w:ind w:left="143"/>
              <w:jc w:val="left"/>
              <w:rPr>
                <w:sz w:val="20"/>
              </w:rPr>
            </w:pPr>
            <w:r>
              <w:rPr>
                <w:w w:val="95"/>
                <w:sz w:val="20"/>
              </w:rPr>
              <w:t>轻症疾病对应的重</w:t>
            </w:r>
          </w:p>
        </w:tc>
        <w:tc>
          <w:tcPr>
            <w:tcW w:w="3069" w:type="dxa"/>
          </w:tcPr>
          <w:p>
            <w:pPr>
              <w:pStyle w:val="TableParagraph"/>
              <w:spacing w:line="251" w:lineRule="exact"/>
              <w:ind w:left="107"/>
              <w:jc w:val="left"/>
              <w:rPr>
                <w:sz w:val="20"/>
              </w:rPr>
            </w:pPr>
            <w:r>
              <w:rPr>
                <w:w w:val="95"/>
                <w:sz w:val="20"/>
              </w:rPr>
              <w:t>非危及生命的恶性病变</w:t>
            </w:r>
          </w:p>
        </w:tc>
        <w:tc>
          <w:tcPr>
            <w:tcW w:w="3254" w:type="dxa"/>
          </w:tcPr>
          <w:p>
            <w:pPr>
              <w:pStyle w:val="TableParagraph"/>
              <w:spacing w:line="251" w:lineRule="exact"/>
              <w:ind w:left="105"/>
              <w:jc w:val="left"/>
              <w:rPr>
                <w:sz w:val="20"/>
              </w:rPr>
            </w:pPr>
            <w:r>
              <w:rPr>
                <w:w w:val="95"/>
                <w:sz w:val="20"/>
              </w:rPr>
              <w:t>恶性肿瘤</w:t>
            </w:r>
          </w:p>
        </w:tc>
      </w:tr>
    </w:tbl>
    <w:p>
      <w:pPr>
        <w:spacing w:after="0" w:line="251" w:lineRule="exact"/>
        <w:jc w:val="left"/>
        <w:rPr>
          <w:sz w:val="20"/>
        </w:rPr>
        <w:sectPr>
          <w:pgSz w:w="11960" w:h="16850"/>
          <w:pgMar w:header="0" w:footer="1001" w:top="1600" w:bottom="1200" w:left="1580" w:right="1620"/>
        </w:sectPr>
      </w:pPr>
    </w:p>
    <w:p>
      <w:pPr>
        <w:pStyle w:val="BodyText"/>
        <w:spacing w:before="12"/>
        <w:rPr>
          <w:sz w:val="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1"/>
        <w:gridCol w:w="3069"/>
        <w:gridCol w:w="3254"/>
      </w:tblGrid>
      <w:tr>
        <w:trPr>
          <w:trHeight w:val="517" w:hRule="atLeast"/>
        </w:trPr>
        <w:tc>
          <w:tcPr>
            <w:tcW w:w="1891" w:type="dxa"/>
            <w:vMerge w:val="restart"/>
          </w:tcPr>
          <w:p>
            <w:pPr>
              <w:pStyle w:val="TableParagraph"/>
              <w:spacing w:line="228" w:lineRule="exact"/>
              <w:ind w:left="139" w:right="137"/>
              <w:rPr>
                <w:sz w:val="20"/>
              </w:rPr>
            </w:pPr>
            <w:r>
              <w:rPr>
                <w:w w:val="95"/>
                <w:sz w:val="20"/>
              </w:rPr>
              <w:t>大疾病</w:t>
            </w:r>
          </w:p>
          <w:p>
            <w:pPr>
              <w:pStyle w:val="TableParagraph"/>
              <w:spacing w:line="237" w:lineRule="auto" w:before="1"/>
              <w:ind w:left="143" w:right="137"/>
              <w:rPr>
                <w:sz w:val="20"/>
              </w:rPr>
            </w:pPr>
            <w:r>
              <w:rPr>
                <w:sz w:val="20"/>
              </w:rPr>
              <w:t>(各重大疾病病种</w:t>
            </w:r>
            <w:r>
              <w:rPr>
                <w:w w:val="95"/>
                <w:sz w:val="20"/>
              </w:rPr>
              <w:t>释义详见本附加合同中相同名称重大疾病的释义)</w:t>
            </w:r>
          </w:p>
        </w:tc>
        <w:tc>
          <w:tcPr>
            <w:tcW w:w="3069" w:type="dxa"/>
          </w:tcPr>
          <w:p>
            <w:pPr>
              <w:pStyle w:val="TableParagraph"/>
              <w:spacing w:line="228" w:lineRule="exact"/>
              <w:ind w:left="107"/>
              <w:jc w:val="left"/>
              <w:rPr>
                <w:sz w:val="20"/>
              </w:rPr>
            </w:pPr>
            <w:r>
              <w:rPr>
                <w:w w:val="95"/>
                <w:sz w:val="20"/>
              </w:rPr>
              <w:t>微创冠状动脉搭桥手术（或称微</w:t>
            </w:r>
          </w:p>
          <w:p>
            <w:pPr>
              <w:pStyle w:val="TableParagraph"/>
              <w:spacing w:line="260" w:lineRule="exact"/>
              <w:ind w:left="107"/>
              <w:jc w:val="left"/>
              <w:rPr>
                <w:sz w:val="20"/>
              </w:rPr>
            </w:pPr>
            <w:r>
              <w:rPr>
                <w:w w:val="95"/>
                <w:sz w:val="20"/>
              </w:rPr>
              <w:t>创冠状动脉旁路移植术）</w:t>
            </w:r>
          </w:p>
        </w:tc>
        <w:tc>
          <w:tcPr>
            <w:tcW w:w="3254" w:type="dxa"/>
          </w:tcPr>
          <w:p>
            <w:pPr>
              <w:pStyle w:val="TableParagraph"/>
              <w:spacing w:line="228" w:lineRule="exact"/>
              <w:ind w:left="105"/>
              <w:jc w:val="left"/>
              <w:rPr>
                <w:sz w:val="20"/>
              </w:rPr>
            </w:pPr>
            <w:r>
              <w:rPr>
                <w:w w:val="95"/>
                <w:sz w:val="20"/>
              </w:rPr>
              <w:t>冠状动脉搭桥术（或称冠状动脉旁</w:t>
            </w:r>
          </w:p>
          <w:p>
            <w:pPr>
              <w:pStyle w:val="TableParagraph"/>
              <w:spacing w:line="260" w:lineRule="exact"/>
              <w:ind w:left="105"/>
              <w:jc w:val="left"/>
              <w:rPr>
                <w:sz w:val="20"/>
              </w:rPr>
            </w:pPr>
            <w:r>
              <w:rPr>
                <w:w w:val="95"/>
                <w:sz w:val="20"/>
              </w:rPr>
              <w:t>路移植术）</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15"/>
              <w:ind w:left="107"/>
              <w:jc w:val="left"/>
              <w:rPr>
                <w:sz w:val="20"/>
              </w:rPr>
            </w:pPr>
            <w:r>
              <w:rPr>
                <w:w w:val="95"/>
                <w:sz w:val="20"/>
              </w:rPr>
              <w:t>一肢缺失</w:t>
            </w:r>
          </w:p>
        </w:tc>
        <w:tc>
          <w:tcPr>
            <w:tcW w:w="3254" w:type="dxa"/>
          </w:tcPr>
          <w:p>
            <w:pPr>
              <w:pStyle w:val="TableParagraph"/>
              <w:spacing w:line="240" w:lineRule="auto" w:before="15"/>
              <w:ind w:left="105"/>
              <w:jc w:val="left"/>
              <w:rPr>
                <w:sz w:val="20"/>
              </w:rPr>
            </w:pPr>
            <w:r>
              <w:rPr>
                <w:w w:val="95"/>
                <w:sz w:val="20"/>
              </w:rPr>
              <w:t>多个肢体缺失</w:t>
            </w:r>
          </w:p>
        </w:tc>
      </w:tr>
      <w:tr>
        <w:trPr>
          <w:trHeight w:val="517" w:hRule="atLeast"/>
        </w:trPr>
        <w:tc>
          <w:tcPr>
            <w:tcW w:w="1891" w:type="dxa"/>
            <w:vMerge/>
            <w:tcBorders>
              <w:top w:val="nil"/>
            </w:tcBorders>
          </w:tcPr>
          <w:p>
            <w:pPr>
              <w:rPr>
                <w:sz w:val="2"/>
                <w:szCs w:val="2"/>
              </w:rPr>
            </w:pPr>
          </w:p>
        </w:tc>
        <w:tc>
          <w:tcPr>
            <w:tcW w:w="3069" w:type="dxa"/>
          </w:tcPr>
          <w:p>
            <w:pPr>
              <w:pStyle w:val="TableParagraph"/>
              <w:spacing w:line="228" w:lineRule="exact"/>
              <w:ind w:left="107"/>
              <w:jc w:val="left"/>
              <w:rPr>
                <w:sz w:val="20"/>
              </w:rPr>
            </w:pPr>
            <w:r>
              <w:rPr>
                <w:w w:val="95"/>
                <w:sz w:val="20"/>
              </w:rPr>
              <w:t>脑垂体瘤、脑囊肿、脑动脉瘤及</w:t>
            </w:r>
          </w:p>
          <w:p>
            <w:pPr>
              <w:pStyle w:val="TableParagraph"/>
              <w:spacing w:line="260" w:lineRule="exact"/>
              <w:ind w:left="107"/>
              <w:jc w:val="left"/>
              <w:rPr>
                <w:sz w:val="20"/>
              </w:rPr>
            </w:pPr>
            <w:r>
              <w:rPr>
                <w:w w:val="95"/>
                <w:sz w:val="20"/>
              </w:rPr>
              <w:t>脑血管瘤</w:t>
            </w:r>
          </w:p>
        </w:tc>
        <w:tc>
          <w:tcPr>
            <w:tcW w:w="3254" w:type="dxa"/>
          </w:tcPr>
          <w:p>
            <w:pPr>
              <w:pStyle w:val="TableParagraph"/>
              <w:spacing w:line="240" w:lineRule="auto" w:before="97"/>
              <w:ind w:left="105"/>
              <w:jc w:val="left"/>
              <w:rPr>
                <w:sz w:val="20"/>
              </w:rPr>
            </w:pPr>
            <w:r>
              <w:rPr>
                <w:w w:val="95"/>
                <w:sz w:val="20"/>
              </w:rPr>
              <w:t>良性脑肿瘤</w:t>
            </w:r>
          </w:p>
        </w:tc>
      </w:tr>
      <w:tr>
        <w:trPr>
          <w:trHeight w:val="357" w:hRule="atLeast"/>
        </w:trPr>
        <w:tc>
          <w:tcPr>
            <w:tcW w:w="1891" w:type="dxa"/>
            <w:vMerge/>
            <w:tcBorders>
              <w:top w:val="nil"/>
            </w:tcBorders>
          </w:tcPr>
          <w:p>
            <w:pPr>
              <w:rPr>
                <w:sz w:val="2"/>
                <w:szCs w:val="2"/>
              </w:rPr>
            </w:pPr>
          </w:p>
        </w:tc>
        <w:tc>
          <w:tcPr>
            <w:tcW w:w="3069" w:type="dxa"/>
          </w:tcPr>
          <w:p>
            <w:pPr>
              <w:pStyle w:val="TableParagraph"/>
              <w:spacing w:line="240" w:lineRule="auto" w:before="18"/>
              <w:ind w:left="107"/>
              <w:jc w:val="left"/>
              <w:rPr>
                <w:sz w:val="20"/>
              </w:rPr>
            </w:pPr>
            <w:r>
              <w:rPr>
                <w:w w:val="95"/>
                <w:sz w:val="20"/>
              </w:rPr>
              <w:t>心脏瓣膜经皮导管介入手术</w:t>
            </w:r>
          </w:p>
        </w:tc>
        <w:tc>
          <w:tcPr>
            <w:tcW w:w="3254" w:type="dxa"/>
          </w:tcPr>
          <w:p>
            <w:pPr>
              <w:pStyle w:val="TableParagraph"/>
              <w:spacing w:line="240" w:lineRule="auto" w:before="18"/>
              <w:ind w:left="105"/>
              <w:jc w:val="left"/>
              <w:rPr>
                <w:sz w:val="20"/>
              </w:rPr>
            </w:pPr>
            <w:r>
              <w:rPr>
                <w:w w:val="95"/>
                <w:sz w:val="20"/>
              </w:rPr>
              <w:t>心脏瓣膜手术</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15"/>
              <w:ind w:left="107"/>
              <w:jc w:val="left"/>
              <w:rPr>
                <w:sz w:val="20"/>
              </w:rPr>
            </w:pPr>
            <w:r>
              <w:rPr>
                <w:w w:val="95"/>
                <w:sz w:val="20"/>
              </w:rPr>
              <w:t>轻度头颅外伤</w:t>
            </w:r>
          </w:p>
        </w:tc>
        <w:tc>
          <w:tcPr>
            <w:tcW w:w="3254" w:type="dxa"/>
          </w:tcPr>
          <w:p>
            <w:pPr>
              <w:pStyle w:val="TableParagraph"/>
              <w:spacing w:line="240" w:lineRule="auto" w:before="15"/>
              <w:ind w:left="105"/>
              <w:jc w:val="left"/>
              <w:rPr>
                <w:sz w:val="20"/>
              </w:rPr>
            </w:pPr>
            <w:r>
              <w:rPr>
                <w:w w:val="95"/>
                <w:sz w:val="20"/>
              </w:rPr>
              <w:t>严重脑损伤</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15"/>
              <w:ind w:left="107"/>
              <w:jc w:val="left"/>
              <w:rPr>
                <w:sz w:val="20"/>
              </w:rPr>
            </w:pPr>
            <w:r>
              <w:rPr>
                <w:sz w:val="20"/>
              </w:rPr>
              <w:t>较小面积 III 度烧伤</w:t>
            </w:r>
          </w:p>
        </w:tc>
        <w:tc>
          <w:tcPr>
            <w:tcW w:w="3254" w:type="dxa"/>
          </w:tcPr>
          <w:p>
            <w:pPr>
              <w:pStyle w:val="TableParagraph"/>
              <w:spacing w:line="240" w:lineRule="auto" w:before="15"/>
              <w:ind w:left="105"/>
              <w:jc w:val="left"/>
              <w:rPr>
                <w:sz w:val="20"/>
              </w:rPr>
            </w:pPr>
            <w:r>
              <w:rPr>
                <w:w w:val="95"/>
                <w:sz w:val="20"/>
              </w:rPr>
              <w:t>严重Ⅲ度烧伤</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15"/>
              <w:ind w:left="107"/>
              <w:jc w:val="left"/>
              <w:rPr>
                <w:sz w:val="20"/>
              </w:rPr>
            </w:pPr>
            <w:r>
              <w:rPr>
                <w:w w:val="95"/>
                <w:sz w:val="20"/>
              </w:rPr>
              <w:t>主动脉内手术</w:t>
            </w:r>
          </w:p>
        </w:tc>
        <w:tc>
          <w:tcPr>
            <w:tcW w:w="3254" w:type="dxa"/>
          </w:tcPr>
          <w:p>
            <w:pPr>
              <w:pStyle w:val="TableParagraph"/>
              <w:spacing w:line="240" w:lineRule="auto" w:before="15"/>
              <w:ind w:left="105"/>
              <w:jc w:val="left"/>
              <w:rPr>
                <w:sz w:val="20"/>
              </w:rPr>
            </w:pPr>
            <w:r>
              <w:rPr>
                <w:w w:val="95"/>
                <w:sz w:val="20"/>
              </w:rPr>
              <w:t>主动脉手术</w:t>
            </w:r>
          </w:p>
        </w:tc>
      </w:tr>
      <w:tr>
        <w:trPr>
          <w:trHeight w:val="354" w:hRule="atLeast"/>
        </w:trPr>
        <w:tc>
          <w:tcPr>
            <w:tcW w:w="1891" w:type="dxa"/>
            <w:vMerge/>
            <w:tcBorders>
              <w:top w:val="nil"/>
            </w:tcBorders>
          </w:tcPr>
          <w:p>
            <w:pPr>
              <w:rPr>
                <w:sz w:val="2"/>
                <w:szCs w:val="2"/>
              </w:rPr>
            </w:pPr>
          </w:p>
        </w:tc>
        <w:tc>
          <w:tcPr>
            <w:tcW w:w="3069" w:type="dxa"/>
          </w:tcPr>
          <w:p>
            <w:pPr>
              <w:pStyle w:val="TableParagraph"/>
              <w:spacing w:line="240" w:lineRule="auto" w:before="15"/>
              <w:ind w:left="107"/>
              <w:jc w:val="left"/>
              <w:rPr>
                <w:sz w:val="20"/>
              </w:rPr>
            </w:pPr>
            <w:r>
              <w:rPr>
                <w:w w:val="95"/>
                <w:sz w:val="20"/>
              </w:rPr>
              <w:t>轻度原发性肺动脉高压</w:t>
            </w:r>
          </w:p>
        </w:tc>
        <w:tc>
          <w:tcPr>
            <w:tcW w:w="3254" w:type="dxa"/>
          </w:tcPr>
          <w:p>
            <w:pPr>
              <w:pStyle w:val="TableParagraph"/>
              <w:spacing w:line="240" w:lineRule="auto" w:before="15"/>
              <w:ind w:left="105"/>
              <w:jc w:val="left"/>
              <w:rPr>
                <w:sz w:val="20"/>
              </w:rPr>
            </w:pPr>
            <w:r>
              <w:rPr>
                <w:w w:val="95"/>
                <w:sz w:val="20"/>
              </w:rPr>
              <w:t>严重原发性肺动脉高压</w:t>
            </w:r>
          </w:p>
        </w:tc>
      </w:tr>
    </w:tbl>
    <w:p>
      <w:pPr>
        <w:pStyle w:val="BodyText"/>
        <w:tabs>
          <w:tab w:pos="2343" w:val="left" w:leader="none"/>
        </w:tabs>
        <w:spacing w:line="236" w:lineRule="exact"/>
        <w:ind w:left="111"/>
      </w:pPr>
      <w:r>
        <w:rPr/>
        <w:t>释义</w:t>
      </w:r>
      <w:r>
        <w:rPr>
          <w:spacing w:val="-51"/>
        </w:rPr>
        <w:t> </w:t>
      </w:r>
      <w:r>
        <w:rPr>
          <w:rFonts w:ascii="Times New Roman" w:eastAsia="Times New Roman"/>
        </w:rPr>
        <w:t>8</w:t>
      </w:r>
      <w:r>
        <w:rPr/>
        <w:t>、意外伤害事故</w:t>
        <w:tab/>
      </w:r>
      <w:r>
        <w:rPr>
          <w:rFonts w:ascii="Times New Roman" w:eastAsia="Times New Roman"/>
          <w:position w:val="2"/>
        </w:rPr>
        <w:t>: </w:t>
      </w:r>
      <w:r>
        <w:rPr>
          <w:rFonts w:ascii="Times New Roman" w:eastAsia="Times New Roman"/>
          <w:spacing w:val="48"/>
          <w:position w:val="2"/>
        </w:rPr>
        <w:t> </w:t>
      </w:r>
      <w:r>
        <w:rPr/>
        <w:t>指外来的</w:t>
      </w:r>
      <w:r>
        <w:rPr>
          <w:spacing w:val="-8"/>
        </w:rPr>
        <w:t>、</w:t>
      </w:r>
      <w:r>
        <w:rPr/>
        <w:t>突发的</w:t>
      </w:r>
      <w:r>
        <w:rPr>
          <w:spacing w:val="-8"/>
        </w:rPr>
        <w:t>、</w:t>
      </w:r>
      <w:r>
        <w:rPr/>
        <w:t>非本意的</w:t>
      </w:r>
      <w:r>
        <w:rPr>
          <w:spacing w:val="-8"/>
        </w:rPr>
        <w:t>、</w:t>
      </w:r>
      <w:r>
        <w:rPr/>
        <w:t>非疾病引起的</w:t>
      </w:r>
      <w:r>
        <w:rPr>
          <w:spacing w:val="-8"/>
        </w:rPr>
        <w:t>，</w:t>
      </w:r>
      <w:r>
        <w:rPr/>
        <w:t>并以此为直接且单</w:t>
      </w:r>
    </w:p>
    <w:p>
      <w:pPr>
        <w:pStyle w:val="BodyText"/>
        <w:spacing w:line="252" w:lineRule="exact"/>
        <w:ind w:left="2554"/>
      </w:pPr>
      <w:r>
        <w:rPr>
          <w:w w:val="95"/>
        </w:rPr>
        <w:t>独的原因使身体受到伤害的客观事件。</w:t>
      </w:r>
    </w:p>
    <w:p>
      <w:pPr>
        <w:pStyle w:val="BodyText"/>
        <w:tabs>
          <w:tab w:pos="2343" w:val="left" w:leader="none"/>
        </w:tabs>
        <w:spacing w:line="232" w:lineRule="auto" w:before="7"/>
        <w:ind w:left="2554" w:right="265" w:hanging="2444"/>
      </w:pPr>
      <w:r>
        <w:rPr/>
        <w:t>释义</w:t>
      </w:r>
      <w:r>
        <w:rPr>
          <w:spacing w:val="-52"/>
        </w:rPr>
        <w:t> </w:t>
      </w:r>
      <w:r>
        <w:rPr>
          <w:rFonts w:ascii="Times New Roman" w:eastAsia="Times New Roman"/>
        </w:rPr>
        <w:t>9</w:t>
      </w:r>
      <w:r>
        <w:rPr/>
        <w:t>、毒品</w:t>
        <w:tab/>
      </w:r>
      <w:r>
        <w:rPr>
          <w:rFonts w:ascii="Times New Roman" w:eastAsia="Times New Roman"/>
          <w:position w:val="2"/>
        </w:rPr>
        <w:t>: </w:t>
      </w:r>
      <w:r>
        <w:rPr>
          <w:rFonts w:ascii="Times New Roman" w:eastAsia="Times New Roman"/>
          <w:spacing w:val="45"/>
          <w:position w:val="2"/>
        </w:rPr>
        <w:t> </w:t>
      </w:r>
      <w:r>
        <w:rPr/>
        <w:t>指中华人民共和国刑法规定的鸦片</w:t>
      </w:r>
      <w:r>
        <w:rPr>
          <w:spacing w:val="-8"/>
        </w:rPr>
        <w:t>、</w:t>
      </w:r>
      <w:r>
        <w:rPr/>
        <w:t>海洛因</w:t>
      </w:r>
      <w:r>
        <w:rPr>
          <w:spacing w:val="-10"/>
        </w:rPr>
        <w:t>、</w:t>
      </w:r>
      <w:r>
        <w:rPr/>
        <w:t>甲基苯丙</w:t>
      </w:r>
      <w:r>
        <w:rPr>
          <w:spacing w:val="-10"/>
        </w:rPr>
        <w:t>胺</w:t>
      </w:r>
      <w:r>
        <w:rPr/>
        <w:t>（冰毒</w:t>
      </w:r>
      <w:r>
        <w:rPr>
          <w:spacing w:val="-99"/>
        </w:rPr>
        <w:t>）</w:t>
      </w:r>
      <w:r>
        <w:rPr/>
        <w:t>、吗啡</w:t>
      </w:r>
      <w:r>
        <w:rPr>
          <w:spacing w:val="-15"/>
        </w:rPr>
        <w:t>、</w:t>
      </w:r>
      <w:r>
        <w:rPr/>
        <w:t>大麻</w:t>
      </w:r>
      <w:r>
        <w:rPr>
          <w:spacing w:val="-15"/>
        </w:rPr>
        <w:t>、</w:t>
      </w:r>
      <w:r>
        <w:rPr/>
        <w:t>可卡因以及国家规定管制的其他能够使人形成瘾癖的麻醉药品和精神药品</w:t>
      </w:r>
      <w:r>
        <w:rPr>
          <w:spacing w:val="-27"/>
        </w:rPr>
        <w:t>，</w:t>
      </w:r>
      <w:r>
        <w:rPr/>
        <w:t>但不包括由医生开具并遵医嘱使用的用于治</w:t>
      </w:r>
      <w:r>
        <w:rPr>
          <w:w w:val="95"/>
        </w:rPr>
        <w:t>疗疾病的含有毒品成分的处方药品。</w:t>
      </w:r>
    </w:p>
    <w:p>
      <w:pPr>
        <w:pStyle w:val="BodyText"/>
        <w:spacing w:line="232" w:lineRule="auto" w:before="5"/>
        <w:ind w:left="2554" w:right="365" w:hanging="2444"/>
        <w:jc w:val="both"/>
      </w:pPr>
      <w:r>
        <w:rPr>
          <w:spacing w:val="-17"/>
        </w:rPr>
        <w:t>释义 </w:t>
      </w:r>
      <w:r>
        <w:rPr>
          <w:rFonts w:ascii="Times New Roman" w:eastAsia="Times New Roman"/>
        </w:rPr>
        <w:t>10</w:t>
      </w:r>
      <w:r>
        <w:rPr>
          <w:spacing w:val="7"/>
        </w:rPr>
        <w:t>、酒后驾驶    </w:t>
      </w:r>
      <w:r>
        <w:rPr>
          <w:rFonts w:ascii="Times New Roman" w:eastAsia="Times New Roman"/>
          <w:position w:val="2"/>
        </w:rPr>
        <w:t>:   </w:t>
      </w:r>
      <w:r>
        <w:rPr>
          <w:spacing w:val="-4"/>
        </w:rPr>
        <w:t>指经检测或鉴定，发生保险事故时车辆驾驶人员每百毫升血液中的</w:t>
      </w:r>
      <w:r>
        <w:rPr>
          <w:spacing w:val="-6"/>
        </w:rPr>
        <w:t>酒精含量达到或超过一定的标准，公安机关交通管理部门依据《道</w:t>
      </w:r>
      <w:r>
        <w:rPr>
          <w:spacing w:val="-6"/>
          <w:w w:val="95"/>
        </w:rPr>
        <w:t>路交通安全法》的规定认定为饮酒后驾驶或醉酒后驾驶。</w:t>
      </w:r>
    </w:p>
    <w:p>
      <w:pPr>
        <w:pStyle w:val="BodyText"/>
        <w:spacing w:line="274" w:lineRule="exact"/>
        <w:ind w:left="111"/>
      </w:pPr>
      <w:r>
        <w:rPr/>
        <w:t>释义 </w:t>
      </w:r>
      <w:r>
        <w:rPr>
          <w:rFonts w:ascii="Times New Roman" w:eastAsia="Times New Roman"/>
        </w:rPr>
        <w:t>11</w:t>
      </w:r>
      <w:r>
        <w:rPr/>
        <w:t>、无合法有效驾驶</w:t>
      </w:r>
      <w:r>
        <w:rPr>
          <w:rFonts w:ascii="Times New Roman" w:eastAsia="Times New Roman"/>
          <w:position w:val="2"/>
        </w:rPr>
        <w:t>:   </w:t>
      </w:r>
      <w:r>
        <w:rPr/>
        <w:t>指下列情形之一：</w:t>
      </w:r>
    </w:p>
    <w:p>
      <w:pPr>
        <w:spacing w:after="0" w:line="274" w:lineRule="exact"/>
        <w:sectPr>
          <w:footerReference w:type="default" r:id="rId7"/>
          <w:pgSz w:w="11960" w:h="16850"/>
          <w:pgMar w:footer="1001" w:header="0" w:top="1600" w:bottom="1200" w:left="1580" w:right="1680"/>
          <w:pgNumType w:start="10"/>
        </w:sectPr>
      </w:pPr>
    </w:p>
    <w:p>
      <w:pPr>
        <w:pStyle w:val="BodyText"/>
        <w:spacing w:line="245" w:lineRule="exact"/>
        <w:ind w:left="111"/>
      </w:pPr>
      <w:r>
        <w:rPr>
          <w:w w:val="95"/>
        </w:rPr>
        <w:t>证驾驶</w:t>
      </w:r>
    </w:p>
    <w:p>
      <w:pPr>
        <w:pStyle w:val="BodyText"/>
        <w:spacing w:line="251" w:lineRule="exact"/>
        <w:ind w:left="111"/>
      </w:pPr>
      <w:r>
        <w:rPr/>
        <w:br w:type="column"/>
      </w:r>
      <w:r>
        <w:rPr>
          <w:w w:val="95"/>
        </w:rPr>
        <w:t>（</w:t>
      </w:r>
      <w:r>
        <w:rPr>
          <w:rFonts w:ascii="Times New Roman" w:eastAsia="Times New Roman"/>
          <w:w w:val="95"/>
        </w:rPr>
        <w:t>1</w:t>
      </w:r>
      <w:r>
        <w:rPr>
          <w:w w:val="95"/>
        </w:rPr>
        <w:t>）没有驾驶证驾驶；</w:t>
      </w:r>
    </w:p>
    <w:p>
      <w:pPr>
        <w:pStyle w:val="BodyText"/>
        <w:spacing w:line="259" w:lineRule="exact"/>
        <w:ind w:left="111"/>
      </w:pPr>
      <w:r>
        <w:rPr>
          <w:w w:val="95"/>
        </w:rPr>
        <w:t>（</w:t>
      </w:r>
      <w:r>
        <w:rPr>
          <w:rFonts w:ascii="Times New Roman" w:eastAsia="Times New Roman"/>
          <w:w w:val="95"/>
        </w:rPr>
        <w:t>2</w:t>
      </w:r>
      <w:r>
        <w:rPr>
          <w:w w:val="95"/>
        </w:rPr>
        <w:t>）驾驶与驾驶证准驾车型不相符合的车辆；</w:t>
      </w:r>
    </w:p>
    <w:p>
      <w:pPr>
        <w:pStyle w:val="BodyText"/>
        <w:spacing w:line="259" w:lineRule="exact"/>
        <w:ind w:left="111"/>
      </w:pPr>
      <w:r>
        <w:rPr>
          <w:w w:val="95"/>
        </w:rPr>
        <w:t>（</w:t>
      </w:r>
      <w:r>
        <w:rPr>
          <w:rFonts w:ascii="Times New Roman" w:eastAsia="Times New Roman"/>
          <w:w w:val="95"/>
        </w:rPr>
        <w:t>3</w:t>
      </w:r>
      <w:r>
        <w:rPr>
          <w:w w:val="95"/>
        </w:rPr>
        <w:t>）驾驶员持审验不合格的驾驶证驾驶；</w:t>
      </w:r>
    </w:p>
    <w:p>
      <w:pPr>
        <w:pStyle w:val="BodyText"/>
        <w:spacing w:line="259" w:lineRule="exact"/>
        <w:ind w:left="111"/>
      </w:pPr>
      <w:r>
        <w:rPr>
          <w:w w:val="95"/>
        </w:rPr>
        <w:t>（</w:t>
      </w:r>
      <w:r>
        <w:rPr>
          <w:rFonts w:ascii="Times New Roman" w:eastAsia="Times New Roman"/>
          <w:w w:val="95"/>
        </w:rPr>
        <w:t>4</w:t>
      </w:r>
      <w:r>
        <w:rPr>
          <w:w w:val="95"/>
        </w:rPr>
        <w:t>）未经公安交通管理部门同意，持未审验的驾驶证驾驶；</w:t>
      </w:r>
    </w:p>
    <w:p>
      <w:pPr>
        <w:pStyle w:val="BodyText"/>
        <w:spacing w:line="225" w:lineRule="auto" w:before="7"/>
        <w:ind w:left="111" w:right="368"/>
      </w:pPr>
      <w:r>
        <w:rPr/>
        <w:t>（</w:t>
      </w:r>
      <w:r>
        <w:rPr>
          <w:rFonts w:ascii="Times New Roman" w:eastAsia="Times New Roman"/>
        </w:rPr>
        <w:t>5</w:t>
      </w:r>
      <w:r>
        <w:rPr/>
        <w:t>）持学习驾驶证学习驾车时，无教练员随车指导，或不按指定</w:t>
      </w:r>
      <w:r>
        <w:rPr>
          <w:w w:val="95"/>
        </w:rPr>
        <w:t>时间、路线学习驾车；</w:t>
      </w:r>
    </w:p>
    <w:p>
      <w:pPr>
        <w:pStyle w:val="BodyText"/>
        <w:spacing w:line="274" w:lineRule="exact"/>
        <w:ind w:left="111"/>
      </w:pPr>
      <w:r>
        <w:rPr>
          <w:w w:val="95"/>
        </w:rPr>
        <w:t>（</w:t>
      </w:r>
      <w:r>
        <w:rPr>
          <w:rFonts w:ascii="Times New Roman" w:eastAsia="Times New Roman"/>
          <w:w w:val="95"/>
        </w:rPr>
        <w:t>6</w:t>
      </w:r>
      <w:r>
        <w:rPr>
          <w:w w:val="95"/>
        </w:rPr>
        <w:t>）公安交通管理部门规定的其他无有效驾驶证驾驶的情况。</w:t>
      </w:r>
    </w:p>
    <w:p>
      <w:pPr>
        <w:spacing w:after="0" w:line="274" w:lineRule="exact"/>
        <w:sectPr>
          <w:type w:val="continuous"/>
          <w:pgSz w:w="11960" w:h="16850"/>
          <w:pgMar w:top="280" w:bottom="1200" w:left="1580" w:right="1680"/>
          <w:cols w:num="2" w:equalWidth="0">
            <w:col w:w="710" w:space="1733"/>
            <w:col w:w="6257"/>
          </w:cols>
        </w:sectPr>
      </w:pPr>
    </w:p>
    <w:p>
      <w:pPr>
        <w:pStyle w:val="BodyText"/>
        <w:spacing w:line="251" w:lineRule="exact"/>
        <w:ind w:left="111"/>
      </w:pPr>
      <w:r>
        <w:rPr/>
        <w:t>释义 </w:t>
      </w:r>
      <w:r>
        <w:rPr>
          <w:rFonts w:ascii="Times New Roman" w:eastAsia="Times New Roman"/>
        </w:rPr>
        <w:t>12</w:t>
      </w:r>
      <w:r>
        <w:rPr/>
        <w:t>、无有效行驶证 </w:t>
      </w:r>
      <w:r>
        <w:rPr>
          <w:rFonts w:ascii="Times New Roman" w:eastAsia="Times New Roman"/>
          <w:position w:val="2"/>
        </w:rPr>
        <w:t>:   </w:t>
      </w:r>
      <w:r>
        <w:rPr/>
        <w:t>指下列情形之一：</w:t>
      </w:r>
    </w:p>
    <w:p>
      <w:pPr>
        <w:pStyle w:val="BodyText"/>
        <w:spacing w:line="259" w:lineRule="exact"/>
        <w:ind w:left="2554"/>
      </w:pPr>
      <w:r>
        <w:rPr>
          <w:w w:val="95"/>
        </w:rPr>
        <w:t>（</w:t>
      </w:r>
      <w:r>
        <w:rPr>
          <w:rFonts w:ascii="Times New Roman" w:eastAsia="Times New Roman"/>
          <w:w w:val="95"/>
        </w:rPr>
        <w:t>1</w:t>
      </w:r>
      <w:r>
        <w:rPr>
          <w:w w:val="95"/>
        </w:rPr>
        <w:t>）机动车被依法注销登记的；</w:t>
      </w:r>
    </w:p>
    <w:p>
      <w:pPr>
        <w:pStyle w:val="BodyText"/>
        <w:spacing w:line="260" w:lineRule="exact"/>
        <w:ind w:left="2554"/>
      </w:pPr>
      <w:r>
        <w:rPr>
          <w:w w:val="95"/>
        </w:rPr>
        <w:t>（</w:t>
      </w:r>
      <w:r>
        <w:rPr>
          <w:rFonts w:ascii="Times New Roman" w:eastAsia="Times New Roman"/>
          <w:w w:val="95"/>
        </w:rPr>
        <w:t>2</w:t>
      </w:r>
      <w:r>
        <w:rPr>
          <w:w w:val="95"/>
        </w:rPr>
        <w:t>）未依法按时进行或通过机动车安全技术检验。</w:t>
      </w:r>
    </w:p>
    <w:p>
      <w:pPr>
        <w:pStyle w:val="BodyText"/>
        <w:tabs>
          <w:tab w:pos="2343" w:val="left" w:leader="none"/>
        </w:tabs>
        <w:spacing w:line="225" w:lineRule="auto" w:before="9"/>
        <w:ind w:left="2554" w:right="366" w:hanging="2444"/>
      </w:pPr>
      <w:r>
        <w:rPr/>
        <w:t>释义</w:t>
      </w:r>
      <w:r>
        <w:rPr>
          <w:spacing w:val="-52"/>
        </w:rPr>
        <w:t> </w:t>
      </w:r>
      <w:r>
        <w:rPr>
          <w:rFonts w:ascii="Times New Roman" w:eastAsia="Times New Roman"/>
        </w:rPr>
        <w:t>13</w:t>
      </w:r>
      <w:r>
        <w:rPr/>
        <w:t>、机动车</w:t>
        <w:tab/>
      </w:r>
      <w:r>
        <w:rPr>
          <w:rFonts w:ascii="Times New Roman" w:eastAsia="Times New Roman"/>
          <w:position w:val="2"/>
        </w:rPr>
        <w:t>: </w:t>
      </w:r>
      <w:r>
        <w:rPr>
          <w:rFonts w:ascii="Times New Roman" w:eastAsia="Times New Roman"/>
          <w:spacing w:val="48"/>
          <w:position w:val="2"/>
        </w:rPr>
        <w:t> </w:t>
      </w:r>
      <w:r>
        <w:rPr/>
        <w:t>指以动力装置驱动或者牵引</w:t>
      </w:r>
      <w:r>
        <w:rPr>
          <w:spacing w:val="-29"/>
        </w:rPr>
        <w:t>，</w:t>
      </w:r>
      <w:r>
        <w:rPr/>
        <w:t>供人员乘用或者用于运送物品以及进</w:t>
      </w:r>
      <w:r>
        <w:rPr>
          <w:w w:val="95"/>
        </w:rPr>
        <w:t>行工程专项作业的轮式车辆。</w:t>
      </w:r>
    </w:p>
    <w:p>
      <w:pPr>
        <w:pStyle w:val="BodyText"/>
        <w:tabs>
          <w:tab w:pos="2343" w:val="left" w:leader="none"/>
        </w:tabs>
        <w:spacing w:line="225" w:lineRule="auto" w:before="14"/>
        <w:ind w:left="2554" w:right="368" w:hanging="2444"/>
      </w:pPr>
      <w:r>
        <w:rPr/>
        <w:t>释义</w:t>
      </w:r>
      <w:r>
        <w:rPr>
          <w:spacing w:val="-52"/>
        </w:rPr>
        <w:t> </w:t>
      </w:r>
      <w:r>
        <w:rPr>
          <w:rFonts w:ascii="Times New Roman" w:eastAsia="Times New Roman"/>
        </w:rPr>
        <w:t>14</w:t>
      </w:r>
      <w:r>
        <w:rPr/>
        <w:t>、艾滋病</w:t>
        <w:tab/>
      </w:r>
      <w:r>
        <w:rPr>
          <w:rFonts w:ascii="Times New Roman" w:eastAsia="Times New Roman"/>
          <w:position w:val="2"/>
        </w:rPr>
        <w:t>: </w:t>
      </w:r>
      <w:r>
        <w:rPr>
          <w:rFonts w:ascii="Times New Roman" w:eastAsia="Times New Roman"/>
          <w:spacing w:val="47"/>
          <w:position w:val="2"/>
        </w:rPr>
        <w:t> </w:t>
      </w:r>
      <w:r>
        <w:rPr/>
        <w:t>指人类免疫缺陷病毒引起的获得性免疫缺陷综合征简称</w:t>
      </w:r>
      <w:r>
        <w:rPr>
          <w:spacing w:val="-29"/>
        </w:rPr>
        <w:t>，</w:t>
      </w:r>
      <w:r>
        <w:rPr/>
        <w:t>英文缩写为</w:t>
      </w:r>
      <w:r>
        <w:rPr>
          <w:spacing w:val="-56"/>
        </w:rPr>
        <w:t> </w:t>
      </w:r>
      <w:r>
        <w:rPr>
          <w:rFonts w:ascii="Times New Roman" w:eastAsia="Times New Roman"/>
        </w:rPr>
        <w:t>AIDS</w:t>
      </w:r>
      <w:r>
        <w:rPr/>
        <w:t>。</w:t>
      </w:r>
    </w:p>
    <w:p>
      <w:pPr>
        <w:pStyle w:val="BodyText"/>
        <w:tabs>
          <w:tab w:pos="2343" w:val="left" w:leader="none"/>
        </w:tabs>
        <w:spacing w:line="250" w:lineRule="exact"/>
        <w:ind w:left="111"/>
      </w:pPr>
      <w:r>
        <w:rPr/>
        <w:t>释义</w:t>
      </w:r>
      <w:r>
        <w:rPr>
          <w:spacing w:val="-52"/>
        </w:rPr>
        <w:t> </w:t>
      </w:r>
      <w:r>
        <w:rPr>
          <w:rFonts w:ascii="Times New Roman" w:eastAsia="Times New Roman"/>
        </w:rPr>
        <w:t>15</w:t>
      </w:r>
      <w:r>
        <w:rPr/>
        <w:t>、艾滋病病毒</w:t>
        <w:tab/>
      </w:r>
      <w:r>
        <w:rPr>
          <w:rFonts w:ascii="Times New Roman" w:eastAsia="Times New Roman"/>
          <w:position w:val="2"/>
        </w:rPr>
        <w:t>: </w:t>
      </w:r>
      <w:r>
        <w:rPr>
          <w:rFonts w:ascii="Times New Roman" w:eastAsia="Times New Roman"/>
          <w:spacing w:val="48"/>
          <w:position w:val="2"/>
        </w:rPr>
        <w:t> </w:t>
      </w:r>
      <w:r>
        <w:rPr/>
        <w:t>指人类免疫缺陷病毒</w:t>
      </w:r>
      <w:r>
        <w:rPr>
          <w:rFonts w:ascii="Times New Roman" w:eastAsia="Times New Roman"/>
        </w:rPr>
        <w:t>,</w:t>
      </w:r>
      <w:r>
        <w:rPr/>
        <w:t>英文缩写为</w:t>
      </w:r>
      <w:r>
        <w:rPr>
          <w:spacing w:val="-50"/>
        </w:rPr>
        <w:t> </w:t>
      </w:r>
      <w:r>
        <w:rPr>
          <w:rFonts w:ascii="Times New Roman" w:eastAsia="Times New Roman"/>
        </w:rPr>
        <w:t>HIV</w:t>
      </w:r>
      <w:r>
        <w:rPr/>
        <w:t>。</w:t>
      </w:r>
    </w:p>
    <w:p>
      <w:pPr>
        <w:pStyle w:val="BodyText"/>
        <w:tabs>
          <w:tab w:pos="2343" w:val="left" w:leader="none"/>
        </w:tabs>
        <w:spacing w:line="225" w:lineRule="auto" w:before="8"/>
        <w:ind w:left="2554" w:right="366" w:hanging="2444"/>
      </w:pPr>
      <w:r>
        <w:rPr/>
        <w:t>释义</w:t>
      </w:r>
      <w:r>
        <w:rPr>
          <w:spacing w:val="-52"/>
        </w:rPr>
        <w:t> </w:t>
      </w:r>
      <w:r>
        <w:rPr>
          <w:rFonts w:ascii="Times New Roman" w:eastAsia="Times New Roman"/>
        </w:rPr>
        <w:t>16</w:t>
      </w:r>
      <w:r>
        <w:rPr/>
        <w:t>、遗传性疾病</w:t>
        <w:tab/>
      </w:r>
      <w:r>
        <w:rPr>
          <w:rFonts w:ascii="Times New Roman" w:eastAsia="Times New Roman"/>
          <w:position w:val="2"/>
        </w:rPr>
        <w:t>: </w:t>
      </w:r>
      <w:r>
        <w:rPr>
          <w:rFonts w:ascii="Times New Roman" w:eastAsia="Times New Roman"/>
          <w:spacing w:val="45"/>
          <w:position w:val="2"/>
        </w:rPr>
        <w:t> </w:t>
      </w:r>
      <w:r>
        <w:rPr/>
        <w:t>指生殖细胞或受精卵的遗传物</w:t>
      </w:r>
      <w:r>
        <w:rPr>
          <w:spacing w:val="-14"/>
        </w:rPr>
        <w:t>质</w:t>
      </w:r>
      <w:r>
        <w:rPr/>
        <w:t>（染色体和基因</w:t>
      </w:r>
      <w:r>
        <w:rPr>
          <w:spacing w:val="-13"/>
        </w:rPr>
        <w:t>）</w:t>
      </w:r>
      <w:r>
        <w:rPr/>
        <w:t>发生突变或畸变</w:t>
      </w:r>
      <w:r>
        <w:rPr>
          <w:w w:val="95"/>
        </w:rPr>
        <w:t>所引起的疾病，通常具有由亲代传至后代的垂直传递的特征。</w:t>
      </w:r>
    </w:p>
    <w:p>
      <w:pPr>
        <w:pStyle w:val="BodyText"/>
        <w:spacing w:line="274" w:lineRule="exact"/>
        <w:ind w:left="111"/>
      </w:pPr>
      <w:r>
        <w:rPr/>
        <w:t>释义 </w:t>
      </w:r>
      <w:r>
        <w:rPr>
          <w:rFonts w:ascii="Times New Roman" w:eastAsia="Times New Roman"/>
        </w:rPr>
        <w:t>17</w:t>
      </w:r>
      <w:r>
        <w:rPr/>
        <w:t>、先天性畸形、变</w:t>
      </w:r>
      <w:r>
        <w:rPr>
          <w:rFonts w:ascii="Times New Roman" w:eastAsia="Times New Roman"/>
          <w:position w:val="2"/>
        </w:rPr>
        <w:t>:  </w:t>
      </w:r>
      <w:r>
        <w:rPr/>
        <w:t>指被保险人出生时就具有的畸形、变形或染色体异常。先天性畸形、</w:t>
      </w:r>
    </w:p>
    <w:p>
      <w:pPr>
        <w:spacing w:after="0" w:line="274" w:lineRule="exact"/>
        <w:sectPr>
          <w:type w:val="continuous"/>
          <w:pgSz w:w="11960" w:h="16850"/>
          <w:pgMar w:top="280" w:bottom="1200" w:left="1580" w:right="1680"/>
        </w:sectPr>
      </w:pPr>
    </w:p>
    <w:p>
      <w:pPr>
        <w:pStyle w:val="BodyText"/>
        <w:spacing w:line="244" w:lineRule="exact"/>
        <w:ind w:left="111"/>
      </w:pPr>
      <w:r>
        <w:rPr>
          <w:w w:val="95"/>
        </w:rPr>
        <w:t>形或染色体异常</w:t>
      </w:r>
    </w:p>
    <w:p>
      <w:pPr>
        <w:pStyle w:val="BodyText"/>
        <w:spacing w:line="260" w:lineRule="exact" w:before="8"/>
        <w:ind w:left="111" w:right="315"/>
      </w:pPr>
      <w:r>
        <w:rPr/>
        <w:br w:type="column"/>
      </w:r>
      <w:r>
        <w:rPr/>
        <w:t>变形和染色体异常依照世界卫生组织《疾病和有关健康问题的国际</w:t>
      </w:r>
      <w:r>
        <w:rPr>
          <w:w w:val="95"/>
        </w:rPr>
        <w:t>统计分类》（</w:t>
      </w:r>
      <w:r>
        <w:rPr>
          <w:rFonts w:ascii="Times New Roman" w:eastAsia="Times New Roman"/>
          <w:w w:val="95"/>
        </w:rPr>
        <w:t>ICD-10</w:t>
      </w:r>
      <w:r>
        <w:rPr>
          <w:w w:val="95"/>
        </w:rPr>
        <w:t>）确定。</w:t>
      </w:r>
    </w:p>
    <w:p>
      <w:pPr>
        <w:spacing w:after="0" w:line="260" w:lineRule="exact"/>
        <w:sectPr>
          <w:type w:val="continuous"/>
          <w:pgSz w:w="11960" w:h="16850"/>
          <w:pgMar w:top="280" w:bottom="1200" w:left="1580" w:right="1680"/>
          <w:cols w:num="2" w:equalWidth="0">
            <w:col w:w="1509" w:space="934"/>
            <w:col w:w="6257"/>
          </w:cols>
        </w:sectPr>
      </w:pPr>
    </w:p>
    <w:p>
      <w:pPr>
        <w:pStyle w:val="BodyText"/>
        <w:spacing w:line="251" w:lineRule="exact"/>
        <w:ind w:left="111"/>
      </w:pPr>
      <w:r>
        <w:rPr/>
        <w:t>释义 </w:t>
      </w:r>
      <w:r>
        <w:rPr>
          <w:rFonts w:ascii="Times New Roman" w:eastAsia="Times New Roman"/>
        </w:rPr>
        <w:t>18</w:t>
      </w:r>
      <w:r>
        <w:rPr/>
        <w:t>、我们指定或认可</w:t>
      </w:r>
      <w:r>
        <w:rPr>
          <w:rFonts w:ascii="Times New Roman" w:eastAsia="Times New Roman"/>
          <w:position w:val="2"/>
        </w:rPr>
        <w:t>:   </w:t>
      </w:r>
      <w:r>
        <w:rPr/>
        <w:t>（</w:t>
      </w:r>
      <w:r>
        <w:rPr>
          <w:rFonts w:ascii="Times New Roman" w:eastAsia="Times New Roman"/>
        </w:rPr>
        <w:t>1</w:t>
      </w:r>
      <w:r>
        <w:rPr/>
        <w:t>）我们将在批注中列明指定的医院名单，并保留对上述医院名</w:t>
      </w:r>
    </w:p>
    <w:p>
      <w:pPr>
        <w:spacing w:after="0" w:line="251" w:lineRule="exact"/>
        <w:sectPr>
          <w:type w:val="continuous"/>
          <w:pgSz w:w="11960" w:h="16850"/>
          <w:pgMar w:top="280" w:bottom="1200" w:left="1580" w:right="1680"/>
        </w:sectPr>
      </w:pPr>
    </w:p>
    <w:p>
      <w:pPr>
        <w:pStyle w:val="BodyText"/>
        <w:spacing w:line="244" w:lineRule="exact"/>
        <w:ind w:left="111"/>
      </w:pPr>
      <w:r>
        <w:rPr>
          <w:w w:val="95"/>
        </w:rPr>
        <w:t>的医院</w:t>
      </w:r>
    </w:p>
    <w:p>
      <w:pPr>
        <w:pStyle w:val="BodyText"/>
        <w:spacing w:line="260" w:lineRule="exact" w:before="8"/>
        <w:ind w:left="111" w:right="371"/>
      </w:pPr>
      <w:r>
        <w:rPr/>
        <w:br w:type="column"/>
      </w:r>
      <w:r>
        <w:rPr>
          <w:spacing w:val="-4"/>
          <w:w w:val="95"/>
        </w:rPr>
        <w:t>单做出调整的权利。我们指定的医院范围将以最新调整的医院名单  范围为准，该名单可通过本公司网站和客户服务电话查询。</w:t>
      </w:r>
    </w:p>
    <w:p>
      <w:pPr>
        <w:pStyle w:val="BodyText"/>
        <w:spacing w:line="225" w:lineRule="auto"/>
        <w:ind w:left="111" w:right="374"/>
      </w:pPr>
      <w:r>
        <w:rPr/>
        <w:t>（</w:t>
      </w:r>
      <w:r>
        <w:rPr>
          <w:rFonts w:ascii="Times New Roman" w:eastAsia="Times New Roman"/>
        </w:rPr>
        <w:t>2</w:t>
      </w:r>
      <w:r>
        <w:rPr/>
        <w:t>）我们指定的医院均指医院本院，不包括所属的指导或教学医</w:t>
      </w:r>
      <w:r>
        <w:rPr>
          <w:w w:val="95"/>
        </w:rPr>
        <w:t>院分院、社区医疗服务点、外设门诊部及合作医院。</w:t>
      </w:r>
    </w:p>
    <w:p>
      <w:pPr>
        <w:pStyle w:val="BodyText"/>
        <w:spacing w:line="225" w:lineRule="auto" w:before="24"/>
        <w:ind w:left="111" w:right="371"/>
      </w:pPr>
      <w:r>
        <w:rPr/>
        <w:t>（</w:t>
      </w:r>
      <w:r>
        <w:rPr>
          <w:rFonts w:ascii="Times New Roman" w:eastAsia="Times New Roman"/>
        </w:rPr>
        <w:t>3</w:t>
      </w:r>
      <w:r>
        <w:rPr/>
        <w:t>）如果被保险人因紧急情况需要就近抢救，可不受我们指定医</w:t>
      </w:r>
      <w:r>
        <w:rPr>
          <w:w w:val="95"/>
        </w:rPr>
        <w:t>院的限制，但病情稳定后应转入我们指定的医院。</w:t>
      </w:r>
    </w:p>
    <w:p>
      <w:pPr>
        <w:spacing w:after="0" w:line="225" w:lineRule="auto"/>
        <w:sectPr>
          <w:type w:val="continuous"/>
          <w:pgSz w:w="11960" w:h="16850"/>
          <w:pgMar w:top="280" w:bottom="1200" w:left="1580" w:right="1680"/>
          <w:cols w:num="2" w:equalWidth="0">
            <w:col w:w="710" w:space="1733"/>
            <w:col w:w="6257"/>
          </w:cols>
        </w:sectPr>
      </w:pPr>
    </w:p>
    <w:p>
      <w:pPr>
        <w:pStyle w:val="BodyText"/>
        <w:spacing w:line="230" w:lineRule="auto" w:before="83"/>
        <w:ind w:left="2554" w:right="405"/>
        <w:jc w:val="both"/>
      </w:pPr>
      <w:r>
        <w:rPr/>
        <w:t>（</w:t>
      </w:r>
      <w:r>
        <w:rPr>
          <w:rFonts w:ascii="Times New Roman" w:hAnsi="Times New Roman" w:eastAsia="Times New Roman"/>
        </w:rPr>
        <w:t>4</w:t>
      </w:r>
      <w:r>
        <w:rPr/>
        <w:t>）如果被保险人在批注中列明医院所在地以外的地区就诊，须</w:t>
      </w:r>
      <w:r>
        <w:rPr>
          <w:spacing w:val="-3"/>
        </w:rPr>
        <w:t>选择我们认可的医院。其标准须符合本附加合同中对“医院”的释</w:t>
      </w:r>
      <w:r>
        <w:rPr>
          <w:spacing w:val="-1"/>
          <w:w w:val="95"/>
        </w:rPr>
        <w:t>义。</w:t>
      </w:r>
    </w:p>
    <w:p>
      <w:pPr>
        <w:pStyle w:val="BodyText"/>
        <w:spacing w:line="225" w:lineRule="auto" w:before="14"/>
        <w:ind w:left="2554" w:right="307"/>
        <w:jc w:val="both"/>
      </w:pPr>
      <w:r>
        <w:rPr/>
        <w:t>（</w:t>
      </w:r>
      <w:r>
        <w:rPr>
          <w:rFonts w:ascii="Times New Roman" w:hAnsi="Times New Roman" w:eastAsia="Times New Roman"/>
        </w:rPr>
        <w:t>5</w:t>
      </w:r>
      <w:r>
        <w:rPr/>
        <w:t>）如果本保险合同中无指定医院名单批注，被保险人就诊须选</w:t>
      </w:r>
      <w:r>
        <w:rPr>
          <w:w w:val="95"/>
        </w:rPr>
        <w:t>择我们认可的医院。其标准须符合本附加合同中对“医院”的释义。</w:t>
      </w:r>
    </w:p>
    <w:p>
      <w:pPr>
        <w:pStyle w:val="BodyText"/>
        <w:tabs>
          <w:tab w:pos="2343" w:val="left" w:leader="none"/>
        </w:tabs>
        <w:spacing w:line="235" w:lineRule="auto" w:before="2"/>
        <w:ind w:left="2554" w:right="305" w:hanging="2444"/>
      </w:pPr>
      <w:r>
        <w:rPr/>
        <w:t>释义</w:t>
      </w:r>
      <w:r>
        <w:rPr>
          <w:spacing w:val="-52"/>
        </w:rPr>
        <w:t> </w:t>
      </w:r>
      <w:r>
        <w:rPr>
          <w:rFonts w:ascii="Times New Roman" w:eastAsia="Times New Roman"/>
        </w:rPr>
        <w:t>19</w:t>
      </w:r>
      <w:r>
        <w:rPr/>
        <w:t>、医院</w:t>
        <w:tab/>
      </w:r>
      <w:r>
        <w:rPr>
          <w:rFonts w:ascii="Times New Roman" w:eastAsia="Times New Roman"/>
          <w:position w:val="2"/>
        </w:rPr>
        <w:t>:  </w:t>
      </w:r>
      <w:r>
        <w:rPr>
          <w:rFonts w:ascii="Times New Roman" w:eastAsia="Times New Roman"/>
          <w:spacing w:val="7"/>
          <w:position w:val="2"/>
        </w:rPr>
        <w:t> </w:t>
      </w:r>
      <w:r>
        <w:rPr>
          <w:spacing w:val="5"/>
        </w:rPr>
        <w:t>指经中华人民共和国卫生部门正式评定的二级或二级以</w:t>
      </w:r>
      <w:r>
        <w:rPr/>
        <w:t>上</w:t>
      </w:r>
      <w:r>
        <w:rPr>
          <w:spacing w:val="5"/>
        </w:rPr>
        <w:t>的综</w:t>
      </w:r>
      <w:r>
        <w:rPr/>
        <w:t>合性医院或专科医院</w:t>
      </w:r>
      <w:r>
        <w:rPr>
          <w:spacing w:val="-25"/>
        </w:rPr>
        <w:t>，</w:t>
      </w:r>
      <w:r>
        <w:rPr/>
        <w:t>但不包括专供康复</w:t>
      </w:r>
      <w:r>
        <w:rPr>
          <w:spacing w:val="-25"/>
        </w:rPr>
        <w:t>、</w:t>
      </w:r>
      <w:r>
        <w:rPr/>
        <w:t>休养</w:t>
      </w:r>
      <w:r>
        <w:rPr>
          <w:spacing w:val="-27"/>
        </w:rPr>
        <w:t>、</w:t>
      </w:r>
      <w:r>
        <w:rPr/>
        <w:t>戒毒</w:t>
      </w:r>
      <w:r>
        <w:rPr>
          <w:spacing w:val="-25"/>
        </w:rPr>
        <w:t>、</w:t>
      </w:r>
      <w:r>
        <w:rPr/>
        <w:t>戒酒</w:t>
      </w:r>
      <w:r>
        <w:rPr>
          <w:spacing w:val="-25"/>
        </w:rPr>
        <w:t>、</w:t>
      </w:r>
      <w:r>
        <w:rPr/>
        <w:t>护理、养老等非以直接诊治病人为目的的医疗机构</w:t>
      </w:r>
      <w:r>
        <w:rPr>
          <w:spacing w:val="-29"/>
        </w:rPr>
        <w:t>。</w:t>
      </w:r>
      <w:r>
        <w:rPr/>
        <w:t>该医院必须符合国家有关医院管理规则设置标准的医疗设备</w:t>
      </w:r>
      <w:r>
        <w:rPr>
          <w:spacing w:val="-29"/>
        </w:rPr>
        <w:t>，</w:t>
      </w:r>
      <w:r>
        <w:rPr/>
        <w:t>且全天二十四小时有合格</w:t>
      </w:r>
      <w:r>
        <w:rPr>
          <w:w w:val="95"/>
        </w:rPr>
        <w:t>医师及护士驻院提供医疗和护理服务。</w:t>
      </w:r>
    </w:p>
    <w:p>
      <w:pPr>
        <w:pStyle w:val="BodyText"/>
        <w:ind w:left="2554" w:right="406"/>
        <w:jc w:val="both"/>
      </w:pPr>
      <w:r>
        <w:rPr>
          <w:spacing w:val="-2"/>
        </w:rPr>
        <w:t>若国家有关部门对于医院的评级标准有更改或取消，我们保留调整</w:t>
      </w:r>
      <w:r>
        <w:rPr>
          <w:spacing w:val="-2"/>
          <w:w w:val="95"/>
        </w:rPr>
        <w:t>医院定义的权利。</w:t>
      </w:r>
    </w:p>
    <w:p>
      <w:pPr>
        <w:pStyle w:val="BodyText"/>
        <w:tabs>
          <w:tab w:pos="2343" w:val="left" w:leader="none"/>
        </w:tabs>
        <w:spacing w:line="225" w:lineRule="auto" w:before="17"/>
        <w:ind w:left="2554" w:right="406" w:hanging="2444"/>
      </w:pPr>
      <w:r>
        <w:rPr/>
        <w:t>释义</w:t>
      </w:r>
      <w:r>
        <w:rPr>
          <w:spacing w:val="-52"/>
        </w:rPr>
        <w:t> </w:t>
      </w:r>
      <w:r>
        <w:rPr>
          <w:rFonts w:ascii="Times New Roman" w:eastAsia="Times New Roman"/>
        </w:rPr>
        <w:t>20</w:t>
      </w:r>
      <w:r>
        <w:rPr/>
        <w:t>、现金价值</w:t>
        <w:tab/>
      </w:r>
      <w:r>
        <w:rPr>
          <w:rFonts w:ascii="Times New Roman" w:eastAsia="Times New Roman"/>
          <w:position w:val="2"/>
        </w:rPr>
        <w:t>: </w:t>
      </w:r>
      <w:r>
        <w:rPr>
          <w:rFonts w:ascii="Times New Roman" w:eastAsia="Times New Roman"/>
          <w:spacing w:val="46"/>
          <w:position w:val="2"/>
        </w:rPr>
        <w:t> </w:t>
      </w:r>
      <w:r>
        <w:rPr/>
        <w:t>指保险单所具有的价值</w:t>
      </w:r>
      <w:r>
        <w:rPr>
          <w:spacing w:val="-15"/>
        </w:rPr>
        <w:t>，</w:t>
      </w:r>
      <w:r>
        <w:rPr/>
        <w:t>通常体现为解除合同时</w:t>
      </w:r>
      <w:r>
        <w:rPr>
          <w:spacing w:val="-13"/>
        </w:rPr>
        <w:t>，</w:t>
      </w:r>
      <w:r>
        <w:rPr/>
        <w:t>根据精算原理计</w:t>
      </w:r>
      <w:r>
        <w:rPr>
          <w:w w:val="95"/>
        </w:rPr>
        <w:t>算的，由本公司退还的那部分金额。</w:t>
      </w:r>
    </w:p>
    <w:p>
      <w:pPr>
        <w:pStyle w:val="BodyText"/>
        <w:tabs>
          <w:tab w:pos="2343" w:val="left" w:leader="none"/>
        </w:tabs>
        <w:spacing w:line="274" w:lineRule="exact"/>
        <w:ind w:left="111"/>
      </w:pPr>
      <w:r>
        <w:rPr/>
        <w:t>释义</w:t>
      </w:r>
      <w:r>
        <w:rPr>
          <w:spacing w:val="-52"/>
        </w:rPr>
        <w:t> </w:t>
      </w:r>
      <w:r>
        <w:rPr>
          <w:rFonts w:ascii="Times New Roman" w:eastAsia="Times New Roman"/>
        </w:rPr>
        <w:t>21</w:t>
      </w:r>
      <w:r>
        <w:rPr/>
        <w:t>、本公司</w:t>
        <w:tab/>
      </w:r>
      <w:r>
        <w:rPr>
          <w:rFonts w:ascii="Times New Roman" w:eastAsia="Times New Roman"/>
          <w:position w:val="2"/>
        </w:rPr>
        <w:t>:  </w:t>
      </w:r>
      <w:r>
        <w:rPr>
          <w:rFonts w:ascii="Times New Roman" w:eastAsia="Times New Roman"/>
          <w:spacing w:val="0"/>
          <w:position w:val="2"/>
        </w:rPr>
        <w:t> </w:t>
      </w:r>
      <w:r>
        <w:rPr/>
        <w:t>指北大方正人寿保险有限公司。</w:t>
      </w:r>
    </w:p>
    <w:p>
      <w:pPr>
        <w:pStyle w:val="BodyText"/>
        <w:spacing w:before="4"/>
        <w:rPr>
          <w:sz w:val="24"/>
        </w:rPr>
      </w:pPr>
    </w:p>
    <w:p>
      <w:pPr>
        <w:pStyle w:val="Heading3"/>
      </w:pPr>
      <w:r>
        <w:rPr>
          <w:w w:val="95"/>
        </w:rPr>
        <w:t>附表一：轻症疾病列表</w:t>
      </w:r>
    </w:p>
    <w:p>
      <w:pPr>
        <w:pStyle w:val="BodyText"/>
        <w:spacing w:line="285" w:lineRule="auto" w:before="49"/>
        <w:ind w:left="121" w:right="108"/>
      </w:pPr>
      <w:r>
        <w:rPr>
          <w:spacing w:val="-6"/>
        </w:rPr>
        <w:t>轻症疾病是指下列任何一种疾病，被保险人发生符合以下疾病定义所述条件的疾病，应当由专科医</w:t>
      </w:r>
      <w:r>
        <w:rPr>
          <w:spacing w:val="-6"/>
          <w:w w:val="95"/>
        </w:rPr>
        <w:t>生明确诊断。</w:t>
      </w:r>
    </w:p>
    <w:p>
      <w:pPr>
        <w:pStyle w:val="BodyText"/>
        <w:spacing w:line="225" w:lineRule="auto" w:before="4"/>
        <w:ind w:left="2566" w:right="364" w:hanging="2456"/>
      </w:pPr>
      <w:r>
        <w:rPr>
          <w:rFonts w:ascii="Times New Roman" w:eastAsia="Times New Roman"/>
        </w:rPr>
        <w:t>1</w:t>
      </w:r>
      <w:r>
        <w:rPr/>
        <w:t>、非危及生命的恶性病变</w:t>
      </w:r>
      <w:r>
        <w:rPr>
          <w:rFonts w:ascii="Times New Roman" w:eastAsia="Times New Roman"/>
          <w:position w:val="2"/>
        </w:rPr>
        <w:t>: </w:t>
      </w:r>
      <w:r>
        <w:rPr/>
        <w:t>指经组织病理学检查以及专科医生确认被明确诊断为下列恶性病</w:t>
      </w:r>
      <w:r>
        <w:rPr>
          <w:w w:val="95"/>
        </w:rPr>
        <w:t>变，并且接受了相应的治疗。</w:t>
      </w:r>
    </w:p>
    <w:p>
      <w:pPr>
        <w:pStyle w:val="ListParagraph"/>
        <w:numPr>
          <w:ilvl w:val="0"/>
          <w:numId w:val="1"/>
        </w:numPr>
        <w:tabs>
          <w:tab w:pos="2903" w:val="left" w:leader="none"/>
        </w:tabs>
        <w:spacing w:line="265" w:lineRule="exact" w:before="0" w:after="0"/>
        <w:ind w:left="2902" w:right="0" w:hanging="336"/>
        <w:jc w:val="both"/>
        <w:rPr>
          <w:sz w:val="20"/>
        </w:rPr>
      </w:pPr>
      <w:r>
        <w:rPr>
          <w:spacing w:val="-1"/>
          <w:w w:val="95"/>
          <w:sz w:val="20"/>
        </w:rPr>
        <w:t>原位癌；</w:t>
      </w:r>
    </w:p>
    <w:p>
      <w:pPr>
        <w:pStyle w:val="ListParagraph"/>
        <w:numPr>
          <w:ilvl w:val="0"/>
          <w:numId w:val="1"/>
        </w:numPr>
        <w:tabs>
          <w:tab w:pos="2903" w:val="left" w:leader="none"/>
        </w:tabs>
        <w:spacing w:line="259" w:lineRule="exact" w:before="0" w:after="0"/>
        <w:ind w:left="2902" w:right="0" w:hanging="336"/>
        <w:jc w:val="both"/>
        <w:rPr>
          <w:sz w:val="20"/>
        </w:rPr>
      </w:pPr>
      <w:r>
        <w:rPr>
          <w:spacing w:val="-14"/>
          <w:sz w:val="20"/>
        </w:rPr>
        <w:t>相当于 </w:t>
      </w:r>
      <w:r>
        <w:rPr>
          <w:rFonts w:ascii="Times New Roman" w:eastAsia="Times New Roman"/>
          <w:sz w:val="20"/>
        </w:rPr>
        <w:t>Binet</w:t>
      </w:r>
      <w:r>
        <w:rPr>
          <w:rFonts w:ascii="Times New Roman" w:eastAsia="Times New Roman"/>
          <w:spacing w:val="-3"/>
          <w:sz w:val="20"/>
        </w:rPr>
        <w:t> </w:t>
      </w:r>
      <w:r>
        <w:rPr>
          <w:spacing w:val="-11"/>
          <w:sz w:val="20"/>
        </w:rPr>
        <w:t>分期方案 </w:t>
      </w:r>
      <w:r>
        <w:rPr>
          <w:rFonts w:ascii="Times New Roman" w:eastAsia="Times New Roman"/>
          <w:sz w:val="20"/>
        </w:rPr>
        <w:t>A</w:t>
      </w:r>
      <w:r>
        <w:rPr>
          <w:rFonts w:ascii="Times New Roman" w:eastAsia="Times New Roman"/>
          <w:spacing w:val="-5"/>
          <w:sz w:val="20"/>
        </w:rPr>
        <w:t> </w:t>
      </w:r>
      <w:r>
        <w:rPr>
          <w:sz w:val="20"/>
        </w:rPr>
        <w:t>期程度的慢性淋巴细胞白血病；</w:t>
      </w:r>
    </w:p>
    <w:p>
      <w:pPr>
        <w:pStyle w:val="ListParagraph"/>
        <w:numPr>
          <w:ilvl w:val="0"/>
          <w:numId w:val="1"/>
        </w:numPr>
        <w:tabs>
          <w:tab w:pos="2903" w:val="left" w:leader="none"/>
        </w:tabs>
        <w:spacing w:line="259" w:lineRule="exact" w:before="0" w:after="0"/>
        <w:ind w:left="2902" w:right="0" w:hanging="336"/>
        <w:jc w:val="both"/>
        <w:rPr>
          <w:sz w:val="20"/>
        </w:rPr>
      </w:pPr>
      <w:r>
        <w:rPr>
          <w:spacing w:val="-14"/>
          <w:sz w:val="20"/>
        </w:rPr>
        <w:t>相当于 </w:t>
      </w:r>
      <w:r>
        <w:rPr>
          <w:rFonts w:ascii="Times New Roman" w:eastAsia="Times New Roman"/>
          <w:sz w:val="20"/>
        </w:rPr>
        <w:t>Ann</w:t>
      </w:r>
      <w:r>
        <w:rPr>
          <w:rFonts w:ascii="Times New Roman" w:eastAsia="Times New Roman"/>
          <w:spacing w:val="-14"/>
          <w:sz w:val="20"/>
        </w:rPr>
        <w:t> </w:t>
      </w:r>
      <w:r>
        <w:rPr>
          <w:rFonts w:ascii="Times New Roman" w:eastAsia="Times New Roman"/>
          <w:sz w:val="20"/>
        </w:rPr>
        <w:t>Arbor</w:t>
      </w:r>
      <w:r>
        <w:rPr>
          <w:rFonts w:ascii="Times New Roman" w:eastAsia="Times New Roman"/>
          <w:spacing w:val="-3"/>
          <w:sz w:val="20"/>
        </w:rPr>
        <w:t> </w:t>
      </w:r>
      <w:r>
        <w:rPr>
          <w:spacing w:val="-11"/>
          <w:sz w:val="20"/>
        </w:rPr>
        <w:t>分期方案 </w:t>
      </w:r>
      <w:r>
        <w:rPr>
          <w:rFonts w:ascii="Times New Roman" w:eastAsia="Times New Roman"/>
          <w:sz w:val="20"/>
        </w:rPr>
        <w:t>I</w:t>
      </w:r>
      <w:r>
        <w:rPr>
          <w:rFonts w:ascii="Times New Roman" w:eastAsia="Times New Roman"/>
          <w:spacing w:val="-3"/>
          <w:sz w:val="20"/>
        </w:rPr>
        <w:t> </w:t>
      </w:r>
      <w:r>
        <w:rPr>
          <w:sz w:val="20"/>
        </w:rPr>
        <w:t>期程度的何杰金氏病；</w:t>
      </w:r>
    </w:p>
    <w:p>
      <w:pPr>
        <w:pStyle w:val="ListParagraph"/>
        <w:numPr>
          <w:ilvl w:val="0"/>
          <w:numId w:val="1"/>
        </w:numPr>
        <w:tabs>
          <w:tab w:pos="2903" w:val="left" w:leader="none"/>
        </w:tabs>
        <w:spacing w:line="259" w:lineRule="exact" w:before="0" w:after="0"/>
        <w:ind w:left="2902" w:right="0" w:hanging="336"/>
        <w:jc w:val="both"/>
        <w:rPr>
          <w:sz w:val="20"/>
        </w:rPr>
      </w:pPr>
      <w:r>
        <w:rPr>
          <w:spacing w:val="-1"/>
          <w:w w:val="99"/>
          <w:sz w:val="20"/>
        </w:rPr>
        <w:t>皮肤癌</w:t>
      </w:r>
      <w:r>
        <w:rPr>
          <w:rFonts w:ascii="Times New Roman" w:eastAsia="Times New Roman"/>
          <w:w w:val="99"/>
          <w:sz w:val="20"/>
        </w:rPr>
        <w:t>(</w:t>
      </w:r>
      <w:r>
        <w:rPr>
          <w:w w:val="99"/>
          <w:sz w:val="20"/>
        </w:rPr>
        <w:t>不包括恶性黑色素瘤及已经发生转移的皮肤癌</w:t>
      </w:r>
      <w:r>
        <w:rPr>
          <w:spacing w:val="-101"/>
          <w:w w:val="99"/>
          <w:sz w:val="20"/>
        </w:rPr>
        <w:t>）</w:t>
      </w:r>
      <w:r>
        <w:rPr>
          <w:w w:val="99"/>
          <w:sz w:val="20"/>
        </w:rPr>
        <w:t>；</w:t>
      </w:r>
    </w:p>
    <w:p>
      <w:pPr>
        <w:pStyle w:val="ListParagraph"/>
        <w:numPr>
          <w:ilvl w:val="0"/>
          <w:numId w:val="1"/>
        </w:numPr>
        <w:tabs>
          <w:tab w:pos="2844" w:val="left" w:leader="none"/>
        </w:tabs>
        <w:spacing w:line="259" w:lineRule="exact" w:before="0" w:after="0"/>
        <w:ind w:left="2843" w:right="0" w:hanging="277"/>
        <w:jc w:val="both"/>
        <w:rPr>
          <w:sz w:val="20"/>
        </w:rPr>
      </w:pPr>
      <w:r>
        <w:rPr>
          <w:rFonts w:ascii="Times New Roman" w:eastAsia="Times New Roman"/>
          <w:sz w:val="20"/>
        </w:rPr>
        <w:t>TNM</w:t>
      </w:r>
      <w:r>
        <w:rPr>
          <w:rFonts w:ascii="Times New Roman" w:eastAsia="Times New Roman"/>
          <w:spacing w:val="-1"/>
          <w:sz w:val="20"/>
        </w:rPr>
        <w:t> </w:t>
      </w:r>
      <w:r>
        <w:rPr>
          <w:spacing w:val="-14"/>
          <w:sz w:val="20"/>
        </w:rPr>
        <w:t>分期为 </w:t>
      </w:r>
      <w:r>
        <w:rPr>
          <w:rFonts w:ascii="Times New Roman" w:eastAsia="Times New Roman"/>
          <w:sz w:val="20"/>
        </w:rPr>
        <w:t>T1N0M0</w:t>
      </w:r>
      <w:r>
        <w:rPr>
          <w:rFonts w:ascii="Times New Roman" w:eastAsia="Times New Roman"/>
          <w:spacing w:val="-1"/>
          <w:sz w:val="20"/>
        </w:rPr>
        <w:t> </w:t>
      </w:r>
      <w:r>
        <w:rPr>
          <w:sz w:val="20"/>
        </w:rPr>
        <w:t>期或更轻分期的前列腺癌。</w:t>
      </w:r>
    </w:p>
    <w:p>
      <w:pPr>
        <w:pStyle w:val="BodyText"/>
        <w:spacing w:line="237" w:lineRule="auto"/>
        <w:ind w:left="2566" w:right="365"/>
        <w:jc w:val="both"/>
      </w:pPr>
      <w:r>
        <w:rPr/>
        <w:t>原位癌指恶性细胞局限于上皮内但尚未穿破基底膜浸润周围正常组织的癌细胞新生物。在索赔以上恶性病变时必须提交由病理科专科医生签署的固定活组织病理学检查报告和由专科医生签署的临</w:t>
      </w:r>
      <w:r>
        <w:rPr>
          <w:w w:val="95"/>
        </w:rPr>
        <w:t>床诊断及治疗报告。仅凭细胞学检查结果的临床诊断将不被接受。 </w:t>
      </w:r>
      <w:r>
        <w:rPr/>
        <w:t>原位癌必须在生前诊断。被保险人所患癌症在被诊断时已经超越原</w:t>
      </w:r>
      <w:r>
        <w:rPr>
          <w:w w:val="95"/>
        </w:rPr>
        <w:t>位癌阶段者不在本保障范围内。</w:t>
      </w:r>
    </w:p>
    <w:p>
      <w:pPr>
        <w:pStyle w:val="BodyText"/>
        <w:spacing w:line="225" w:lineRule="auto" w:before="20"/>
        <w:ind w:left="2566" w:right="406"/>
        <w:jc w:val="both"/>
      </w:pPr>
      <w:r>
        <w:rPr/>
        <w:t>癌前病变（包括宫颈上皮内瘤样病变 </w:t>
      </w:r>
      <w:r>
        <w:rPr>
          <w:rFonts w:ascii="Times New Roman" w:eastAsia="Times New Roman"/>
        </w:rPr>
        <w:t>CIN-1</w:t>
      </w:r>
      <w:r>
        <w:rPr/>
        <w:t>，</w:t>
      </w:r>
      <w:r>
        <w:rPr>
          <w:rFonts w:ascii="Times New Roman" w:eastAsia="Times New Roman"/>
        </w:rPr>
        <w:t>CIN-2</w:t>
      </w:r>
      <w:r>
        <w:rPr/>
        <w:t>，重度不典型</w:t>
      </w:r>
      <w:r>
        <w:rPr>
          <w:w w:val="95"/>
        </w:rPr>
        <w:t>增生但非原位癌）不在本保障范围之内。</w:t>
      </w:r>
    </w:p>
    <w:p>
      <w:pPr>
        <w:pStyle w:val="BodyText"/>
        <w:spacing w:line="274" w:lineRule="exact"/>
        <w:ind w:left="111"/>
      </w:pPr>
      <w:r>
        <w:rPr>
          <w:rFonts w:ascii="Times New Roman" w:eastAsia="Times New Roman"/>
        </w:rPr>
        <w:t>2</w:t>
      </w:r>
      <w:r>
        <w:rPr/>
        <w:t>、微创冠状动脉搭桥手术</w:t>
      </w:r>
      <w:r>
        <w:rPr>
          <w:rFonts w:ascii="Times New Roman" w:eastAsia="Times New Roman"/>
          <w:position w:val="2"/>
        </w:rPr>
        <w:t>:   </w:t>
      </w:r>
      <w:r>
        <w:rPr/>
        <w:t>为纠正冠状动脉的狭窄或堵塞，而实际实施的冠状动脉旁路移植手</w:t>
      </w:r>
    </w:p>
    <w:p>
      <w:pPr>
        <w:spacing w:after="0" w:line="274" w:lineRule="exact"/>
        <w:sectPr>
          <w:pgSz w:w="11960" w:h="16850"/>
          <w:pgMar w:header="0" w:footer="1001" w:top="1600" w:bottom="1200" w:left="1580" w:right="1640"/>
        </w:sectPr>
      </w:pPr>
    </w:p>
    <w:p>
      <w:pPr>
        <w:pStyle w:val="BodyText"/>
        <w:spacing w:line="260" w:lineRule="exact" w:before="8"/>
        <w:ind w:left="111"/>
      </w:pPr>
      <w:r>
        <w:rPr/>
        <w:t>（或称微创冠状动脉旁路</w:t>
      </w:r>
      <w:r>
        <w:rPr>
          <w:w w:val="95"/>
        </w:rPr>
        <w:t>移植术）</w:t>
      </w:r>
    </w:p>
    <w:p>
      <w:pPr>
        <w:pStyle w:val="BodyText"/>
        <w:spacing w:line="260" w:lineRule="exact" w:before="8"/>
        <w:ind w:left="111" w:right="404"/>
        <w:jc w:val="both"/>
      </w:pPr>
      <w:r>
        <w:rPr/>
        <w:br w:type="column"/>
      </w:r>
      <w:r>
        <w:rPr>
          <w:spacing w:val="-4"/>
        </w:rPr>
        <w:t>术。手术通过微创开胸术</w:t>
      </w:r>
      <w:r>
        <w:rPr/>
        <w:t>（肋骨间小切口</w:t>
      </w:r>
      <w:r>
        <w:rPr>
          <w:spacing w:val="-10"/>
        </w:rPr>
        <w:t>）</w:t>
      </w:r>
      <w:r>
        <w:rPr>
          <w:spacing w:val="-3"/>
        </w:rPr>
        <w:t>进行，且诊断须由冠状</w:t>
      </w:r>
      <w:r>
        <w:rPr>
          <w:spacing w:val="-6"/>
        </w:rPr>
        <w:t>动脉血管造影检查确诊狭窄或堵塞。微创冠状动脉绕道也包括“锁</w:t>
      </w:r>
      <w:r>
        <w:rPr>
          <w:spacing w:val="-6"/>
          <w:w w:val="95"/>
        </w:rPr>
        <w:t>孔”冠脉搭桥手术。</w:t>
      </w:r>
    </w:p>
    <w:p>
      <w:pPr>
        <w:pStyle w:val="BodyText"/>
        <w:spacing w:line="234" w:lineRule="exact"/>
        <w:ind w:left="111"/>
      </w:pPr>
      <w:r>
        <w:rPr>
          <w:w w:val="95"/>
        </w:rPr>
        <w:t>必须满足下列全部条件：</w:t>
      </w:r>
    </w:p>
    <w:p>
      <w:pPr>
        <w:pStyle w:val="ListParagraph"/>
        <w:numPr>
          <w:ilvl w:val="0"/>
          <w:numId w:val="2"/>
        </w:numPr>
        <w:tabs>
          <w:tab w:pos="448" w:val="left" w:leader="none"/>
        </w:tabs>
        <w:spacing w:line="225" w:lineRule="auto" w:before="15" w:after="0"/>
        <w:ind w:left="111" w:right="406" w:firstLine="0"/>
        <w:jc w:val="left"/>
        <w:rPr>
          <w:sz w:val="20"/>
        </w:rPr>
      </w:pPr>
      <w:r>
        <w:rPr>
          <w:spacing w:val="-3"/>
          <w:sz w:val="20"/>
        </w:rPr>
        <w:t>血管造影显示至少两支冠状动脉狭窄超过 </w:t>
      </w:r>
      <w:r>
        <w:rPr>
          <w:rFonts w:ascii="Times New Roman" w:eastAsia="Times New Roman"/>
          <w:sz w:val="20"/>
        </w:rPr>
        <w:t>50%</w:t>
      </w:r>
      <w:r>
        <w:rPr>
          <w:sz w:val="20"/>
        </w:rPr>
        <w:t>或一支冠状动脉</w:t>
      </w:r>
      <w:r>
        <w:rPr>
          <w:spacing w:val="-19"/>
          <w:sz w:val="20"/>
        </w:rPr>
        <w:t>狭窄 </w:t>
      </w:r>
      <w:r>
        <w:rPr>
          <w:rFonts w:ascii="Times New Roman" w:eastAsia="Times New Roman"/>
          <w:sz w:val="20"/>
        </w:rPr>
        <w:t>70%</w:t>
      </w:r>
      <w:r>
        <w:rPr>
          <w:sz w:val="20"/>
        </w:rPr>
        <w:t>或更高；</w:t>
      </w:r>
    </w:p>
    <w:p>
      <w:pPr>
        <w:pStyle w:val="ListParagraph"/>
        <w:numPr>
          <w:ilvl w:val="0"/>
          <w:numId w:val="2"/>
        </w:numPr>
        <w:tabs>
          <w:tab w:pos="448" w:val="left" w:leader="none"/>
        </w:tabs>
        <w:spacing w:line="259" w:lineRule="exact" w:before="0" w:after="0"/>
        <w:ind w:left="111" w:right="0" w:firstLine="0"/>
        <w:jc w:val="both"/>
        <w:rPr>
          <w:sz w:val="20"/>
        </w:rPr>
      </w:pPr>
      <w:r>
        <w:rPr>
          <w:w w:val="95"/>
          <w:sz w:val="20"/>
        </w:rPr>
        <w:t>手术须由心脏专科医师进行，并确认该手术是必要的。</w:t>
      </w:r>
    </w:p>
    <w:p>
      <w:pPr>
        <w:spacing w:after="0" w:line="259" w:lineRule="exact"/>
        <w:jc w:val="both"/>
        <w:rPr>
          <w:sz w:val="20"/>
        </w:rPr>
        <w:sectPr>
          <w:type w:val="continuous"/>
          <w:pgSz w:w="11960" w:h="16850"/>
          <w:pgMar w:top="280" w:bottom="1200" w:left="1580" w:right="1640"/>
          <w:cols w:num="2" w:equalWidth="0">
            <w:col w:w="2339" w:space="116"/>
            <w:col w:w="6285"/>
          </w:cols>
        </w:sectPr>
      </w:pPr>
    </w:p>
    <w:p>
      <w:pPr>
        <w:pStyle w:val="BodyText"/>
        <w:tabs>
          <w:tab w:pos="2341" w:val="left" w:leader="none"/>
        </w:tabs>
        <w:spacing w:line="225" w:lineRule="auto" w:before="16"/>
        <w:ind w:left="2566" w:right="406" w:hanging="2456"/>
      </w:pPr>
      <w:r>
        <w:rPr>
          <w:rFonts w:ascii="Times New Roman" w:eastAsia="Times New Roman"/>
        </w:rPr>
        <w:t>3</w:t>
      </w:r>
      <w:r>
        <w:rPr/>
        <w:t>、一肢缺失</w:t>
        <w:tab/>
      </w:r>
      <w:r>
        <w:rPr>
          <w:rFonts w:ascii="Times New Roman" w:eastAsia="Times New Roman"/>
          <w:position w:val="2"/>
        </w:rPr>
        <w:t>:  </w:t>
      </w:r>
      <w:r>
        <w:rPr>
          <w:rFonts w:ascii="Times New Roman" w:eastAsia="Times New Roman"/>
          <w:spacing w:val="12"/>
          <w:position w:val="2"/>
        </w:rPr>
        <w:t> </w:t>
      </w:r>
      <w:r>
        <w:rPr/>
        <w:t>指因疾病或者意外伤害导致一个肢体自腕关节或踝关节近</w:t>
      </w:r>
      <w:r>
        <w:rPr>
          <w:spacing w:val="-40"/>
        </w:rPr>
        <w:t>端</w:t>
      </w:r>
      <w:r>
        <w:rPr/>
        <w:t>（靠近</w:t>
      </w:r>
      <w:r>
        <w:rPr>
          <w:w w:val="95"/>
        </w:rPr>
        <w:t>躯干端）以上完全断离。</w:t>
      </w:r>
    </w:p>
    <w:p>
      <w:pPr>
        <w:spacing w:after="0" w:line="225" w:lineRule="auto"/>
        <w:sectPr>
          <w:type w:val="continuous"/>
          <w:pgSz w:w="11960" w:h="16850"/>
          <w:pgMar w:top="280" w:bottom="1200" w:left="1580" w:right="1640"/>
        </w:sectPr>
      </w:pPr>
    </w:p>
    <w:p>
      <w:pPr>
        <w:pStyle w:val="BodyText"/>
        <w:spacing w:before="71"/>
        <w:ind w:left="111"/>
      </w:pPr>
      <w:r>
        <w:rPr>
          <w:rFonts w:ascii="Times New Roman" w:eastAsia="Times New Roman"/>
        </w:rPr>
        <w:t>4</w:t>
      </w:r>
      <w:r>
        <w:rPr/>
        <w:t>、脑垂体瘤、脑囊肿、脑</w:t>
      </w:r>
      <w:r>
        <w:rPr>
          <w:rFonts w:ascii="Times New Roman" w:eastAsia="Times New Roman"/>
          <w:position w:val="2"/>
        </w:rPr>
        <w:t>:   </w:t>
      </w:r>
      <w:r>
        <w:rPr/>
        <w:t>指实际实施的垂体瘤、脑囊肿、脑动脉瘤及脑血管瘤的切除手术。</w:t>
      </w:r>
    </w:p>
    <w:p>
      <w:pPr>
        <w:spacing w:after="0"/>
        <w:sectPr>
          <w:pgSz w:w="11960" w:h="16850"/>
          <w:pgMar w:header="0" w:footer="1001" w:top="1600" w:bottom="1200" w:left="1580" w:right="1640"/>
        </w:sectPr>
      </w:pPr>
    </w:p>
    <w:p>
      <w:pPr>
        <w:pStyle w:val="BodyText"/>
        <w:spacing w:line="243" w:lineRule="exact"/>
        <w:ind w:left="111"/>
      </w:pPr>
      <w:r>
        <w:rPr>
          <w:w w:val="95"/>
        </w:rPr>
        <w:t>动脉瘤及脑血管瘤</w:t>
      </w:r>
    </w:p>
    <w:p>
      <w:pPr>
        <w:pStyle w:val="BodyText"/>
        <w:spacing w:line="232" w:lineRule="auto"/>
        <w:ind w:left="111" w:right="406"/>
        <w:jc w:val="both"/>
      </w:pPr>
      <w:r>
        <w:rPr/>
        <w:br w:type="column"/>
      </w:r>
      <w:r>
        <w:rPr>
          <w:spacing w:val="-2"/>
        </w:rPr>
        <w:t>诊断需经头颅断层扫描</w:t>
      </w:r>
      <w:r>
        <w:rPr>
          <w:spacing w:val="-4"/>
        </w:rPr>
        <w:t>（</w:t>
      </w:r>
      <w:r>
        <w:rPr>
          <w:rFonts w:ascii="Times New Roman" w:eastAsia="Times New Roman"/>
          <w:spacing w:val="-4"/>
        </w:rPr>
        <w:t>CT</w:t>
      </w:r>
      <w:r>
        <w:rPr>
          <w:spacing w:val="-4"/>
        </w:rPr>
        <w:t>）</w:t>
      </w:r>
      <w:r>
        <w:rPr>
          <w:spacing w:val="-3"/>
        </w:rPr>
        <w:t>或核磁共振</w:t>
      </w:r>
      <w:r>
        <w:rPr>
          <w:spacing w:val="-4"/>
        </w:rPr>
        <w:t>（</w:t>
      </w:r>
      <w:r>
        <w:rPr>
          <w:rFonts w:ascii="Times New Roman" w:eastAsia="Times New Roman"/>
          <w:spacing w:val="-4"/>
        </w:rPr>
        <w:t>MRI</w:t>
      </w:r>
      <w:r>
        <w:rPr>
          <w:spacing w:val="-4"/>
        </w:rPr>
        <w:t>）确诊，并由专科</w:t>
      </w:r>
      <w:r>
        <w:rPr>
          <w:spacing w:val="-7"/>
        </w:rPr>
        <w:t>医师确认是在医学上是必要的。在索赔时必须提交由病理科专科医</w:t>
      </w:r>
      <w:r>
        <w:rPr>
          <w:spacing w:val="1"/>
        </w:rPr>
        <w:t>生签署的固定活组织病理学检查报告和由专科医生签署的临床诊</w:t>
      </w:r>
      <w:r>
        <w:rPr>
          <w:spacing w:val="1"/>
          <w:w w:val="95"/>
        </w:rPr>
        <w:t>断及治疗报告。</w:t>
      </w:r>
    </w:p>
    <w:p>
      <w:pPr>
        <w:pStyle w:val="BodyText"/>
        <w:spacing w:line="274" w:lineRule="exact" w:before="10"/>
        <w:ind w:left="111"/>
        <w:jc w:val="both"/>
      </w:pPr>
      <w:r>
        <w:rPr/>
        <w:t>直径小于 </w:t>
      </w:r>
      <w:r>
        <w:rPr>
          <w:rFonts w:ascii="Times New Roman" w:eastAsia="Times New Roman"/>
        </w:rPr>
        <w:t>1cm </w:t>
      </w:r>
      <w:r>
        <w:rPr/>
        <w:t>的垂体微腺瘤不在本保障范围内。</w:t>
      </w:r>
    </w:p>
    <w:p>
      <w:pPr>
        <w:spacing w:after="0" w:line="274" w:lineRule="exact"/>
        <w:jc w:val="both"/>
        <w:sectPr>
          <w:type w:val="continuous"/>
          <w:pgSz w:w="11960" w:h="16850"/>
          <w:pgMar w:top="280" w:bottom="1200" w:left="1580" w:right="1640"/>
          <w:cols w:num="2" w:equalWidth="0">
            <w:col w:w="1710" w:space="745"/>
            <w:col w:w="6285"/>
          </w:cols>
        </w:sectPr>
      </w:pPr>
    </w:p>
    <w:p>
      <w:pPr>
        <w:pStyle w:val="BodyText"/>
        <w:spacing w:before="16"/>
        <w:ind w:left="111"/>
      </w:pPr>
      <w:r>
        <w:rPr>
          <w:rFonts w:ascii="Times New Roman" w:eastAsia="Times New Roman"/>
        </w:rPr>
        <w:t>5</w:t>
      </w:r>
      <w:r>
        <w:rPr/>
        <w:t>、心脏瓣膜经皮导管介入</w:t>
      </w:r>
      <w:r>
        <w:rPr>
          <w:rFonts w:ascii="Times New Roman" w:eastAsia="Times New Roman"/>
          <w:position w:val="2"/>
        </w:rPr>
        <w:t>:   </w:t>
      </w:r>
      <w:r>
        <w:rPr/>
        <w:t>指为治疗心脏瓣膜疾病，实际实施了或经皮导管介入手术进行心脏</w:t>
      </w:r>
    </w:p>
    <w:p>
      <w:pPr>
        <w:pStyle w:val="BodyText"/>
        <w:tabs>
          <w:tab w:pos="2566" w:val="left" w:leader="none"/>
        </w:tabs>
        <w:spacing w:line="260" w:lineRule="exact" w:before="8"/>
        <w:ind w:left="2566" w:right="404" w:hanging="2456"/>
      </w:pPr>
      <w:r>
        <w:rPr/>
        <w:t>手术</w:t>
        <w:tab/>
      </w:r>
      <w:r>
        <w:rPr>
          <w:w w:val="95"/>
        </w:rPr>
        <w:t>瓣膜置换或者修复手术</w:t>
      </w:r>
      <w:r>
        <w:rPr>
          <w:spacing w:val="-20"/>
          <w:w w:val="95"/>
        </w:rPr>
        <w:t>，</w:t>
      </w:r>
      <w:r>
        <w:rPr>
          <w:w w:val="95"/>
        </w:rPr>
        <w:t>含经皮瓣膜成形术</w:t>
      </w:r>
      <w:r>
        <w:rPr>
          <w:spacing w:val="-20"/>
          <w:w w:val="95"/>
        </w:rPr>
        <w:t>、</w:t>
      </w:r>
      <w:r>
        <w:rPr>
          <w:w w:val="95"/>
        </w:rPr>
        <w:t>经皮瓣膜扩张术和经   皮瓣膜置换术。</w:t>
      </w:r>
    </w:p>
    <w:p>
      <w:pPr>
        <w:pStyle w:val="BodyText"/>
        <w:spacing w:line="235" w:lineRule="exact"/>
        <w:ind w:left="2566"/>
      </w:pPr>
      <w:r>
        <w:rPr>
          <w:w w:val="95"/>
        </w:rPr>
        <w:t>手术过程必须是经皮血管内导管技术，任何经开胸术打开或进入胸</w:t>
      </w:r>
    </w:p>
    <w:p>
      <w:pPr>
        <w:pStyle w:val="BodyText"/>
        <w:ind w:left="2566"/>
      </w:pPr>
      <w:r>
        <w:rPr>
          <w:w w:val="95"/>
        </w:rPr>
        <w:t>部的手术均不在保障责任范围。</w:t>
      </w:r>
    </w:p>
    <w:p>
      <w:pPr>
        <w:pStyle w:val="BodyText"/>
        <w:tabs>
          <w:tab w:pos="2341" w:val="left" w:leader="none"/>
        </w:tabs>
        <w:spacing w:line="225" w:lineRule="auto" w:before="14"/>
        <w:ind w:left="2566" w:right="307" w:hanging="2456"/>
      </w:pPr>
      <w:r>
        <w:rPr>
          <w:rFonts w:ascii="Times New Roman" w:eastAsia="Times New Roman"/>
        </w:rPr>
        <w:t>6</w:t>
      </w:r>
      <w:r>
        <w:rPr/>
        <w:t>、轻度头颅外伤</w:t>
        <w:tab/>
      </w:r>
      <w:r>
        <w:rPr>
          <w:rFonts w:ascii="Times New Roman" w:eastAsia="Times New Roman"/>
          <w:position w:val="2"/>
        </w:rPr>
        <w:t>:  </w:t>
      </w:r>
      <w:r>
        <w:rPr>
          <w:rFonts w:ascii="Times New Roman" w:eastAsia="Times New Roman"/>
          <w:spacing w:val="15"/>
          <w:position w:val="2"/>
        </w:rPr>
        <w:t> </w:t>
      </w:r>
      <w:r>
        <w:rPr/>
        <w:t>指因头部遭受机械性外力</w:t>
      </w:r>
      <w:r>
        <w:rPr>
          <w:spacing w:val="-20"/>
        </w:rPr>
        <w:t>，</w:t>
      </w:r>
      <w:r>
        <w:rPr/>
        <w:t>引起脑重要部位损伤</w:t>
      </w:r>
      <w:r>
        <w:rPr>
          <w:spacing w:val="-22"/>
        </w:rPr>
        <w:t>，</w:t>
      </w:r>
      <w:r>
        <w:rPr/>
        <w:t>导致神经系统永</w:t>
      </w:r>
      <w:r>
        <w:rPr>
          <w:w w:val="99"/>
        </w:rPr>
        <w:t>久性的</w:t>
      </w:r>
      <w:r>
        <w:rPr>
          <w:spacing w:val="1"/>
          <w:w w:val="99"/>
        </w:rPr>
        <w:t>功</w:t>
      </w:r>
      <w:r>
        <w:rPr>
          <w:w w:val="99"/>
        </w:rPr>
        <w:t>能障</w:t>
      </w:r>
      <w:r>
        <w:rPr>
          <w:spacing w:val="1"/>
          <w:w w:val="99"/>
        </w:rPr>
        <w:t>碍</w:t>
      </w:r>
      <w:r>
        <w:rPr>
          <w:spacing w:val="-20"/>
          <w:w w:val="99"/>
        </w:rPr>
        <w:t>。</w:t>
      </w:r>
      <w:r>
        <w:rPr>
          <w:spacing w:val="1"/>
          <w:w w:val="99"/>
        </w:rPr>
        <w:t>须</w:t>
      </w:r>
      <w:r>
        <w:rPr>
          <w:w w:val="99"/>
        </w:rPr>
        <w:t>由头</w:t>
      </w:r>
      <w:r>
        <w:rPr>
          <w:spacing w:val="1"/>
          <w:w w:val="99"/>
        </w:rPr>
        <w:t>颅</w:t>
      </w:r>
      <w:r>
        <w:rPr>
          <w:w w:val="99"/>
        </w:rPr>
        <w:t>断层扫</w:t>
      </w:r>
      <w:r>
        <w:rPr>
          <w:spacing w:val="-17"/>
          <w:w w:val="99"/>
        </w:rPr>
        <w:t>描</w:t>
      </w:r>
      <w:r>
        <w:rPr>
          <w:spacing w:val="1"/>
          <w:w w:val="99"/>
        </w:rPr>
        <w:t>（</w:t>
      </w:r>
      <w:r>
        <w:rPr>
          <w:rFonts w:ascii="Times New Roman" w:eastAsia="Times New Roman"/>
          <w:spacing w:val="-1"/>
          <w:w w:val="99"/>
        </w:rPr>
        <w:t>C</w:t>
      </w:r>
      <w:r>
        <w:rPr>
          <w:rFonts w:ascii="Times New Roman" w:eastAsia="Times New Roman"/>
          <w:spacing w:val="2"/>
          <w:w w:val="99"/>
        </w:rPr>
        <w:t>T</w:t>
      </w:r>
      <w:r>
        <w:rPr>
          <w:spacing w:val="-101"/>
          <w:w w:val="99"/>
        </w:rPr>
        <w:t>）</w:t>
      </w:r>
      <w:r>
        <w:rPr>
          <w:spacing w:val="-20"/>
          <w:w w:val="99"/>
        </w:rPr>
        <w:t>、</w:t>
      </w:r>
      <w:r>
        <w:rPr>
          <w:w w:val="99"/>
        </w:rPr>
        <w:t>核</w:t>
      </w:r>
      <w:r>
        <w:rPr>
          <w:spacing w:val="1"/>
          <w:w w:val="99"/>
        </w:rPr>
        <w:t>磁</w:t>
      </w:r>
      <w:r>
        <w:rPr>
          <w:w w:val="99"/>
        </w:rPr>
        <w:t>共</w:t>
      </w:r>
      <w:r>
        <w:rPr>
          <w:spacing w:val="1"/>
          <w:w w:val="99"/>
        </w:rPr>
        <w:t>振</w:t>
      </w:r>
      <w:r>
        <w:rPr>
          <w:w w:val="99"/>
        </w:rPr>
        <w:t>检</w:t>
      </w:r>
      <w:r>
        <w:rPr>
          <w:spacing w:val="-19"/>
          <w:w w:val="99"/>
        </w:rPr>
        <w:t>查</w:t>
      </w:r>
      <w:r>
        <w:rPr>
          <w:spacing w:val="-1"/>
          <w:w w:val="99"/>
        </w:rPr>
        <w:t>（</w:t>
      </w:r>
      <w:r>
        <w:rPr>
          <w:rFonts w:ascii="Times New Roman" w:eastAsia="Times New Roman"/>
          <w:spacing w:val="1"/>
          <w:w w:val="99"/>
        </w:rPr>
        <w:t>M</w:t>
      </w:r>
      <w:r>
        <w:rPr>
          <w:rFonts w:ascii="Times New Roman" w:eastAsia="Times New Roman"/>
          <w:spacing w:val="-1"/>
          <w:w w:val="99"/>
        </w:rPr>
        <w:t>R</w:t>
      </w:r>
      <w:r>
        <w:rPr>
          <w:rFonts w:ascii="Times New Roman" w:eastAsia="Times New Roman"/>
          <w:w w:val="99"/>
        </w:rPr>
        <w:t>I</w:t>
      </w:r>
      <w:r>
        <w:rPr>
          <w:w w:val="99"/>
        </w:rPr>
        <w:t>）</w:t>
      </w:r>
      <w:r>
        <w:rPr/>
        <w:t>或正电子发射断层扫</w:t>
      </w:r>
      <w:r>
        <w:rPr>
          <w:spacing w:val="2"/>
        </w:rPr>
        <w:t>描</w:t>
      </w:r>
      <w:r>
        <w:rPr/>
        <w:t>（</w:t>
      </w:r>
      <w:r>
        <w:rPr>
          <w:rFonts w:ascii="Times New Roman" w:eastAsia="Times New Roman"/>
        </w:rPr>
        <w:t>PET</w:t>
      </w:r>
      <w:r>
        <w:rPr/>
        <w:t>）等影像学检查证实。神经系统永久性的功能障碍，指脑损伤</w:t>
      </w:r>
      <w:r>
        <w:rPr>
          <w:spacing w:val="-23"/>
        </w:rPr>
        <w:t> </w:t>
      </w:r>
      <w:r>
        <w:rPr>
          <w:rFonts w:ascii="Times New Roman" w:eastAsia="Times New Roman"/>
        </w:rPr>
        <w:t>90</w:t>
      </w:r>
      <w:r>
        <w:rPr>
          <w:rFonts w:ascii="Times New Roman" w:eastAsia="Times New Roman"/>
          <w:spacing w:val="27"/>
        </w:rPr>
        <w:t> </w:t>
      </w:r>
      <w:r>
        <w:rPr/>
        <w:t>天后，仍完全丧失自主生活能力，无</w:t>
      </w:r>
      <w:r>
        <w:rPr>
          <w:w w:val="95"/>
        </w:rPr>
        <w:t>法独立进行六项日常基本生活活动中的二项。</w:t>
      </w:r>
    </w:p>
    <w:p>
      <w:pPr>
        <w:pStyle w:val="BodyText"/>
        <w:tabs>
          <w:tab w:pos="2341" w:val="left" w:leader="none"/>
        </w:tabs>
        <w:spacing w:line="225" w:lineRule="auto" w:before="14"/>
        <w:ind w:left="2566" w:right="331" w:hanging="2456"/>
      </w:pPr>
      <w:r>
        <w:rPr>
          <w:rFonts w:ascii="Times New Roman" w:hAnsi="Times New Roman" w:eastAsia="Times New Roman"/>
        </w:rPr>
        <w:t>7</w:t>
      </w:r>
      <w:r>
        <w:rPr/>
        <w:t>、较小面积</w:t>
      </w:r>
      <w:r>
        <w:rPr>
          <w:spacing w:val="-52"/>
        </w:rPr>
        <w:t> </w:t>
      </w:r>
      <w:r>
        <w:rPr>
          <w:rFonts w:ascii="Times New Roman" w:hAnsi="Times New Roman" w:eastAsia="Times New Roman"/>
        </w:rPr>
        <w:t>III</w:t>
      </w:r>
      <w:r>
        <w:rPr>
          <w:rFonts w:ascii="Times New Roman" w:hAnsi="Times New Roman" w:eastAsia="Times New Roman"/>
          <w:spacing w:val="-1"/>
        </w:rPr>
        <w:t> </w:t>
      </w:r>
      <w:r>
        <w:rPr/>
        <w:t>度烧伤</w:t>
        <w:tab/>
      </w:r>
      <w:r>
        <w:rPr>
          <w:rFonts w:ascii="Times New Roman" w:hAnsi="Times New Roman" w:eastAsia="Times New Roman"/>
          <w:position w:val="2"/>
        </w:rPr>
        <w:t>:  </w:t>
      </w:r>
      <w:r>
        <w:rPr>
          <w:rFonts w:ascii="Times New Roman" w:hAnsi="Times New Roman" w:eastAsia="Times New Roman"/>
          <w:spacing w:val="11"/>
          <w:position w:val="2"/>
        </w:rPr>
        <w:t> </w:t>
      </w:r>
      <w:r>
        <w:rPr/>
        <w:t>指烧伤程度为Ⅲ度</w:t>
      </w:r>
      <w:r>
        <w:rPr>
          <w:spacing w:val="-58"/>
        </w:rPr>
        <w:t>，</w:t>
      </w:r>
      <w:r>
        <w:rPr/>
        <w:t>且Ⅲ度烧伤面积达到全身体表面积的</w:t>
      </w:r>
      <w:r>
        <w:rPr>
          <w:spacing w:val="-52"/>
        </w:rPr>
        <w:t> </w:t>
      </w:r>
      <w:r>
        <w:rPr>
          <w:rFonts w:ascii="Times New Roman" w:hAnsi="Times New Roman" w:eastAsia="Times New Roman"/>
        </w:rPr>
        <w:t>10%</w:t>
      </w:r>
      <w:r>
        <w:rPr/>
        <w:t>但少于</w:t>
      </w:r>
      <w:r>
        <w:rPr>
          <w:spacing w:val="-55"/>
        </w:rPr>
        <w:t> </w:t>
      </w:r>
      <w:r>
        <w:rPr>
          <w:rFonts w:ascii="Times New Roman" w:hAnsi="Times New Roman" w:eastAsia="Times New Roman"/>
        </w:rPr>
        <w:t>20%</w:t>
      </w:r>
      <w:r>
        <w:rPr/>
        <w:t>，或者超过</w:t>
      </w:r>
      <w:r>
        <w:rPr>
          <w:spacing w:val="-55"/>
        </w:rPr>
        <w:t> </w:t>
      </w:r>
      <w:r>
        <w:rPr>
          <w:rFonts w:ascii="Times New Roman" w:hAnsi="Times New Roman" w:eastAsia="Times New Roman"/>
        </w:rPr>
        <w:t>50%</w:t>
      </w:r>
      <w:r>
        <w:rPr/>
        <w:t>脸部面积。体表面积根据《中国新九分法》</w:t>
      </w:r>
      <w:r>
        <w:rPr>
          <w:spacing w:val="-1"/>
          <w:w w:val="95"/>
        </w:rPr>
        <w:t>计</w:t>
      </w:r>
      <w:r>
        <w:rPr>
          <w:w w:val="95"/>
        </w:rPr>
        <w:t>算。</w:t>
      </w:r>
    </w:p>
    <w:p>
      <w:pPr>
        <w:pStyle w:val="BodyText"/>
        <w:spacing w:line="230" w:lineRule="auto" w:before="8"/>
        <w:ind w:left="2566" w:right="405" w:hanging="2456"/>
        <w:jc w:val="both"/>
      </w:pPr>
      <w:r>
        <w:rPr>
          <w:rFonts w:ascii="Times New Roman" w:eastAsia="Times New Roman"/>
        </w:rPr>
        <w:t>8</w:t>
      </w:r>
      <w:r>
        <w:rPr>
          <w:spacing w:val="0"/>
        </w:rPr>
        <w:t>、主动脉内手术      </w:t>
      </w:r>
      <w:r>
        <w:rPr>
          <w:rFonts w:ascii="Times New Roman" w:eastAsia="Times New Roman"/>
          <w:spacing w:val="3"/>
          <w:position w:val="2"/>
        </w:rPr>
        <w:t>:   </w:t>
      </w:r>
      <w:r>
        <w:rPr>
          <w:spacing w:val="-2"/>
        </w:rPr>
        <w:t>为了治疗主动脉疾病实际实施了经皮经导管进行的动脉内手术，诊</w:t>
      </w:r>
      <w:r>
        <w:rPr>
          <w:spacing w:val="-5"/>
        </w:rPr>
        <w:t>断需经心脏血管超声检查确诊，并由专科医师确认是在医学上是必</w:t>
      </w:r>
      <w:r>
        <w:rPr>
          <w:spacing w:val="-1"/>
          <w:w w:val="95"/>
        </w:rPr>
        <w:t>要的。</w:t>
      </w:r>
    </w:p>
    <w:p>
      <w:pPr>
        <w:pStyle w:val="BodyText"/>
        <w:spacing w:line="237" w:lineRule="auto"/>
        <w:ind w:left="2566" w:right="349"/>
      </w:pPr>
      <w:r>
        <w:rPr/>
        <w:t>主动脉指胸主动脉和腹主动脉，不包括胸主动脉和腹主动脉的分支</w:t>
      </w:r>
      <w:r>
        <w:rPr>
          <w:w w:val="95"/>
        </w:rPr>
        <w:t>血管。</w:t>
      </w:r>
    </w:p>
    <w:p>
      <w:pPr>
        <w:pStyle w:val="BodyText"/>
        <w:spacing w:line="230" w:lineRule="auto" w:before="11"/>
        <w:ind w:left="2566" w:right="406" w:hanging="2456"/>
        <w:jc w:val="both"/>
      </w:pPr>
      <w:r>
        <w:rPr>
          <w:rFonts w:ascii="Times New Roman" w:eastAsia="Times New Roman"/>
        </w:rPr>
        <w:t>9</w:t>
      </w:r>
      <w:r>
        <w:rPr>
          <w:spacing w:val="-9"/>
        </w:rPr>
        <w:t>、轻度原发性肺动脉高压</w:t>
      </w:r>
      <w:r>
        <w:rPr>
          <w:rFonts w:ascii="Times New Roman" w:eastAsia="Times New Roman"/>
          <w:spacing w:val="5"/>
          <w:position w:val="2"/>
        </w:rPr>
        <w:t>: </w:t>
      </w:r>
      <w:r>
        <w:rPr>
          <w:spacing w:val="-2"/>
        </w:rPr>
        <w:t>指由于原发性肺动脉高压进行性发展而导致右心室肥厚，已经造成</w:t>
      </w:r>
      <w:r>
        <w:rPr>
          <w:spacing w:val="-5"/>
        </w:rPr>
        <w:t>永久不可逆性的体力活动能力受限，达到美国纽约心脏病学会心功</w:t>
      </w:r>
      <w:r>
        <w:rPr>
          <w:spacing w:val="-14"/>
        </w:rPr>
        <w:t>能状态分级 </w:t>
      </w:r>
      <w:r>
        <w:rPr>
          <w:rFonts w:ascii="Times New Roman" w:eastAsia="Times New Roman"/>
        </w:rPr>
        <w:t>III </w:t>
      </w:r>
      <w:r>
        <w:rPr>
          <w:spacing w:val="-4"/>
        </w:rPr>
        <w:t>级，且静息状态下肺动脉平均压超过 </w:t>
      </w:r>
      <w:r>
        <w:rPr>
          <w:rFonts w:ascii="Times New Roman" w:eastAsia="Times New Roman"/>
        </w:rPr>
        <w:t>25mmHg</w:t>
      </w:r>
      <w:r>
        <w:rPr/>
        <w:t>。</w:t>
      </w:r>
    </w:p>
    <w:p>
      <w:pPr>
        <w:pStyle w:val="BodyText"/>
        <w:spacing w:before="3"/>
        <w:rPr>
          <w:sz w:val="24"/>
        </w:rPr>
      </w:pPr>
    </w:p>
    <w:p>
      <w:pPr>
        <w:pStyle w:val="Heading3"/>
        <w:spacing w:before="1"/>
      </w:pPr>
      <w:r>
        <w:rPr>
          <w:w w:val="95"/>
        </w:rPr>
        <w:t>附表二：重大疾病列表</w:t>
      </w:r>
    </w:p>
    <w:p>
      <w:pPr>
        <w:pStyle w:val="BodyText"/>
        <w:spacing w:line="285" w:lineRule="auto" w:before="50"/>
        <w:ind w:left="121" w:right="108"/>
      </w:pPr>
      <w:r>
        <w:rPr>
          <w:spacing w:val="-6"/>
        </w:rPr>
        <w:t>重大疾病是指下列任何一种疾病，被保险人发生符合以下疾病定义所述条件的疾病，应当由专科医</w:t>
      </w:r>
      <w:r>
        <w:rPr>
          <w:spacing w:val="-6"/>
          <w:w w:val="95"/>
        </w:rPr>
        <w:t>生明确诊断。</w:t>
      </w:r>
    </w:p>
    <w:p>
      <w:pPr>
        <w:pStyle w:val="BodyText"/>
        <w:tabs>
          <w:tab w:pos="2343" w:val="left" w:leader="none"/>
        </w:tabs>
        <w:spacing w:line="232" w:lineRule="auto"/>
        <w:ind w:left="2554" w:right="377" w:hanging="2444"/>
        <w:jc w:val="both"/>
      </w:pPr>
      <w:r>
        <w:rPr>
          <w:rFonts w:ascii="Times New Roman" w:eastAsia="Times New Roman"/>
        </w:rPr>
        <w:t>1</w:t>
      </w:r>
      <w:r>
        <w:rPr/>
        <w:t>、恶性肿瘤</w:t>
        <w:tab/>
      </w:r>
      <w:r>
        <w:rPr>
          <w:rFonts w:ascii="Times New Roman" w:eastAsia="Times New Roman"/>
          <w:position w:val="2"/>
        </w:rPr>
        <w:t>: </w:t>
      </w:r>
      <w:r>
        <w:rPr>
          <w:rFonts w:ascii="Times New Roman" w:eastAsia="Times New Roman"/>
          <w:spacing w:val="46"/>
          <w:position w:val="2"/>
        </w:rPr>
        <w:t> </w:t>
      </w:r>
      <w:r>
        <w:rPr/>
        <w:t>指恶性细胞不受控制的进行性增长和扩散</w:t>
      </w:r>
      <w:r>
        <w:rPr>
          <w:spacing w:val="-27"/>
        </w:rPr>
        <w:t>，</w:t>
      </w:r>
      <w:r>
        <w:rPr/>
        <w:t>浸润和破坏周围正常组织，可以经血管、淋巴管和体腔扩散转移到身体其它部位的疾病。经病理学检查结果明确诊断</w:t>
      </w:r>
      <w:r>
        <w:rPr>
          <w:spacing w:val="-15"/>
        </w:rPr>
        <w:t>，</w:t>
      </w:r>
      <w:r>
        <w:rPr/>
        <w:t>临床诊断属于世界卫生组</w:t>
      </w:r>
      <w:r>
        <w:rPr>
          <w:spacing w:val="-14"/>
        </w:rPr>
        <w:t>织</w:t>
      </w:r>
      <w:r>
        <w:rPr/>
        <w:t>《疾病和</w:t>
      </w:r>
      <w:r>
        <w:rPr>
          <w:w w:val="95"/>
        </w:rPr>
        <w:t>有关健康问题的国际统计分类</w:t>
      </w:r>
      <w:r>
        <w:rPr>
          <w:spacing w:val="-101"/>
          <w:w w:val="95"/>
        </w:rPr>
        <w:t>》</w:t>
      </w:r>
      <w:r>
        <w:rPr>
          <w:w w:val="95"/>
        </w:rPr>
        <w:t>（</w:t>
      </w:r>
      <w:r>
        <w:rPr>
          <w:rFonts w:ascii="Times New Roman" w:eastAsia="Times New Roman"/>
          <w:w w:val="95"/>
        </w:rPr>
        <w:t>ICD-10</w:t>
      </w:r>
      <w:r>
        <w:rPr>
          <w:w w:val="95"/>
        </w:rPr>
        <w:t>）的恶性肿瘤范畴。</w:t>
      </w:r>
    </w:p>
    <w:p>
      <w:pPr>
        <w:pStyle w:val="BodyText"/>
        <w:spacing w:line="243" w:lineRule="exact" w:before="4"/>
        <w:ind w:left="2554"/>
      </w:pPr>
      <w:r>
        <w:rPr>
          <w:w w:val="95"/>
        </w:rPr>
        <w:t>下列疾病不在保障范围内：</w:t>
      </w:r>
    </w:p>
    <w:p>
      <w:pPr>
        <w:pStyle w:val="BodyText"/>
        <w:spacing w:line="267" w:lineRule="exact"/>
        <w:ind w:left="2554"/>
      </w:pPr>
      <w:r>
        <w:rPr>
          <w:w w:val="95"/>
        </w:rPr>
        <w:t>（</w:t>
      </w:r>
      <w:r>
        <w:rPr>
          <w:rFonts w:ascii="Times New Roman" w:eastAsia="Times New Roman"/>
          <w:w w:val="95"/>
        </w:rPr>
        <w:t>1</w:t>
      </w:r>
      <w:r>
        <w:rPr>
          <w:w w:val="95"/>
        </w:rPr>
        <w:t>）原位癌；</w:t>
      </w:r>
    </w:p>
    <w:p>
      <w:pPr>
        <w:pStyle w:val="BodyText"/>
        <w:spacing w:line="259" w:lineRule="exact"/>
        <w:ind w:left="2554"/>
      </w:pPr>
      <w:r>
        <w:rPr/>
        <w:t>（</w:t>
      </w:r>
      <w:r>
        <w:rPr>
          <w:rFonts w:ascii="Times New Roman" w:eastAsia="Times New Roman"/>
        </w:rPr>
        <w:t>2</w:t>
      </w:r>
      <w:r>
        <w:rPr/>
        <w:t>）</w:t>
      </w:r>
      <w:r>
        <w:rPr>
          <w:spacing w:val="-13"/>
        </w:rPr>
        <w:t>相当于 </w:t>
      </w:r>
      <w:r>
        <w:rPr>
          <w:rFonts w:ascii="Times New Roman" w:eastAsia="Times New Roman"/>
        </w:rPr>
        <w:t>Binet </w:t>
      </w:r>
      <w:r>
        <w:rPr>
          <w:spacing w:val="-10"/>
        </w:rPr>
        <w:t>分期方案 </w:t>
      </w:r>
      <w:r>
        <w:rPr>
          <w:rFonts w:ascii="Times New Roman" w:eastAsia="Times New Roman"/>
        </w:rPr>
        <w:t>A </w:t>
      </w:r>
      <w:r>
        <w:rPr/>
        <w:t>期程度的慢性淋巴细胞白血病；</w:t>
      </w:r>
    </w:p>
    <w:p>
      <w:pPr>
        <w:pStyle w:val="BodyText"/>
        <w:spacing w:line="259" w:lineRule="exact"/>
        <w:ind w:left="2554"/>
      </w:pPr>
      <w:r>
        <w:rPr/>
        <w:t>（</w:t>
      </w:r>
      <w:r>
        <w:rPr>
          <w:rFonts w:ascii="Times New Roman" w:eastAsia="Times New Roman"/>
        </w:rPr>
        <w:t>3</w:t>
      </w:r>
      <w:r>
        <w:rPr/>
        <w:t>）</w:t>
      </w:r>
      <w:r>
        <w:rPr>
          <w:spacing w:val="-13"/>
        </w:rPr>
        <w:t>相当于 </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spacing w:line="259" w:lineRule="exact"/>
        <w:ind w:left="2554"/>
      </w:pPr>
      <w:r>
        <w:rPr>
          <w:spacing w:val="-1"/>
          <w:w w:val="99"/>
        </w:rPr>
        <w:t>（</w:t>
      </w:r>
      <w:r>
        <w:rPr>
          <w:rFonts w:ascii="Times New Roman" w:eastAsia="Times New Roman"/>
          <w:spacing w:val="0"/>
          <w:w w:val="99"/>
        </w:rPr>
        <w:t>4</w:t>
      </w:r>
      <w:r>
        <w:rPr>
          <w:spacing w:val="-1"/>
          <w:w w:val="99"/>
        </w:rPr>
        <w:t>）</w:t>
      </w:r>
      <w:r>
        <w:rPr>
          <w:w w:val="99"/>
        </w:rPr>
        <w:t>皮肤癌</w:t>
      </w:r>
      <w:r>
        <w:rPr>
          <w:spacing w:val="-1"/>
          <w:w w:val="99"/>
        </w:rPr>
        <w:t>（</w:t>
      </w:r>
      <w:r>
        <w:rPr>
          <w:w w:val="99"/>
        </w:rPr>
        <w:t>不包括恶性黑色素瘤及已发生转移的皮肤癌</w:t>
      </w:r>
      <w:r>
        <w:rPr>
          <w:spacing w:val="-99"/>
          <w:w w:val="99"/>
        </w:rPr>
        <w:t>）</w:t>
      </w:r>
      <w:r>
        <w:rPr>
          <w:w w:val="99"/>
        </w:rPr>
        <w:t>；</w:t>
      </w:r>
    </w:p>
    <w:p>
      <w:pPr>
        <w:pStyle w:val="BodyText"/>
        <w:spacing w:line="260" w:lineRule="exact"/>
        <w:ind w:left="2554"/>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T1N0M0 </w:t>
      </w:r>
      <w:r>
        <w:rPr/>
        <w:t>期或更轻分期的前列腺癌；</w:t>
      </w:r>
    </w:p>
    <w:p>
      <w:pPr>
        <w:pStyle w:val="BodyText"/>
        <w:spacing w:line="260" w:lineRule="exact"/>
        <w:ind w:left="2554"/>
      </w:pPr>
      <w:r>
        <w:rPr>
          <w:w w:val="95"/>
        </w:rPr>
        <w:t>（</w:t>
      </w:r>
      <w:r>
        <w:rPr>
          <w:rFonts w:ascii="Times New Roman" w:eastAsia="Times New Roman"/>
          <w:w w:val="95"/>
        </w:rPr>
        <w:t>6</w:t>
      </w:r>
      <w:r>
        <w:rPr>
          <w:w w:val="95"/>
        </w:rPr>
        <w:t>）感染艾滋病病毒或患艾滋病期间所患恶性肿瘤。</w:t>
      </w:r>
    </w:p>
    <w:p>
      <w:pPr>
        <w:pStyle w:val="BodyText"/>
        <w:spacing w:line="225" w:lineRule="auto" w:before="8"/>
        <w:ind w:left="2554" w:right="405" w:hanging="2444"/>
        <w:jc w:val="both"/>
      </w:pPr>
      <w:r>
        <w:rPr>
          <w:rFonts w:ascii="Times New Roman" w:eastAsia="Times New Roman"/>
        </w:rPr>
        <w:t>2</w:t>
      </w:r>
      <w:r>
        <w:rPr/>
        <w:t>、急性心肌梗塞      </w:t>
      </w:r>
      <w:r>
        <w:rPr>
          <w:rFonts w:ascii="Times New Roman" w:eastAsia="Times New Roman"/>
          <w:position w:val="2"/>
        </w:rPr>
        <w:t>:   </w:t>
      </w:r>
      <w:r>
        <w:rPr/>
        <w:t>指因冠状动脉阻塞导致的相应区域供血不足造成部分心肌坏死。须</w:t>
      </w:r>
      <w:r>
        <w:rPr>
          <w:w w:val="95"/>
        </w:rPr>
        <w:t>满足下列至少三项条件：</w:t>
      </w:r>
    </w:p>
    <w:p>
      <w:pPr>
        <w:pStyle w:val="BodyText"/>
        <w:spacing w:line="265" w:lineRule="exact"/>
        <w:ind w:left="2554"/>
      </w:pPr>
      <w:r>
        <w:rPr>
          <w:w w:val="95"/>
        </w:rPr>
        <w:t>（</w:t>
      </w:r>
      <w:r>
        <w:rPr>
          <w:rFonts w:ascii="Times New Roman" w:eastAsia="Times New Roman"/>
          <w:w w:val="95"/>
        </w:rPr>
        <w:t>1</w:t>
      </w:r>
      <w:r>
        <w:rPr>
          <w:w w:val="95"/>
        </w:rPr>
        <w:t>）典型临床表现，例如急性胸痛等；</w:t>
      </w:r>
    </w:p>
    <w:p>
      <w:pPr>
        <w:pStyle w:val="BodyText"/>
        <w:spacing w:line="259" w:lineRule="exact"/>
        <w:ind w:left="2554"/>
      </w:pPr>
      <w:r>
        <w:rPr>
          <w:w w:val="95"/>
        </w:rPr>
        <w:t>（</w:t>
      </w:r>
      <w:r>
        <w:rPr>
          <w:rFonts w:ascii="Times New Roman" w:eastAsia="Times New Roman"/>
          <w:w w:val="95"/>
        </w:rPr>
        <w:t>2</w:t>
      </w:r>
      <w:r>
        <w:rPr>
          <w:w w:val="95"/>
        </w:rPr>
        <w:t>）新近的心电图改变提示急性心肌梗塞；</w:t>
      </w:r>
    </w:p>
    <w:p>
      <w:pPr>
        <w:pStyle w:val="BodyText"/>
        <w:spacing w:line="225" w:lineRule="auto" w:before="8"/>
        <w:ind w:left="2554" w:right="406"/>
      </w:pPr>
      <w:r>
        <w:rPr/>
        <w:t>（</w:t>
      </w:r>
      <w:r>
        <w:rPr>
          <w:rFonts w:ascii="Times New Roman" w:eastAsia="Times New Roman"/>
        </w:rPr>
        <w:t>3</w:t>
      </w:r>
      <w:r>
        <w:rPr/>
        <w:t>）心肌酶或肌钙蛋白有诊断意义的升高，或呈符合急性心肌梗</w:t>
      </w:r>
      <w:r>
        <w:rPr>
          <w:w w:val="95"/>
        </w:rPr>
        <w:t>塞的动态性变化；</w:t>
      </w:r>
    </w:p>
    <w:p>
      <w:pPr>
        <w:pStyle w:val="BodyText"/>
        <w:spacing w:line="274" w:lineRule="exact"/>
        <w:ind w:left="2554"/>
      </w:pPr>
      <w:r>
        <w:rPr/>
        <w:t>（</w:t>
      </w:r>
      <w:r>
        <w:rPr>
          <w:rFonts w:ascii="Times New Roman" w:eastAsia="Times New Roman"/>
        </w:rPr>
        <w:t>4</w:t>
      </w:r>
      <w:r>
        <w:rPr/>
        <w:t>）发病 </w:t>
      </w:r>
      <w:r>
        <w:rPr>
          <w:rFonts w:ascii="Times New Roman" w:eastAsia="Times New Roman"/>
        </w:rPr>
        <w:t>90 </w:t>
      </w:r>
      <w:r>
        <w:rPr/>
        <w:t>天后，经检查证实左心室功能降低，如左心室射血分</w:t>
      </w:r>
    </w:p>
    <w:p>
      <w:pPr>
        <w:spacing w:after="0" w:line="274" w:lineRule="exact"/>
        <w:sectPr>
          <w:type w:val="continuous"/>
          <w:pgSz w:w="11960" w:h="16850"/>
          <w:pgMar w:top="280" w:bottom="1200" w:left="1580" w:right="1640"/>
        </w:sectPr>
      </w:pPr>
    </w:p>
    <w:p>
      <w:pPr>
        <w:pStyle w:val="BodyText"/>
        <w:spacing w:line="275" w:lineRule="exact" w:before="71"/>
        <w:ind w:left="2554"/>
      </w:pPr>
      <w:r>
        <w:rPr/>
        <w:t>数低于 </w:t>
      </w:r>
      <w:r>
        <w:rPr>
          <w:rFonts w:ascii="Times New Roman" w:eastAsia="Times New Roman"/>
        </w:rPr>
        <w:t>50%</w:t>
      </w:r>
      <w:r>
        <w:rPr/>
        <w:t>。</w:t>
      </w:r>
    </w:p>
    <w:p>
      <w:pPr>
        <w:pStyle w:val="BodyText"/>
        <w:tabs>
          <w:tab w:pos="2343" w:val="left" w:leader="none"/>
        </w:tabs>
        <w:spacing w:line="225" w:lineRule="auto" w:before="14"/>
        <w:ind w:left="2554" w:right="366" w:hanging="2444"/>
      </w:pPr>
      <w:r>
        <w:rPr>
          <w:rFonts w:ascii="Times New Roman" w:eastAsia="Times New Roman"/>
        </w:rPr>
        <w:t>3</w:t>
      </w:r>
      <w:r>
        <w:rPr/>
        <w:t>、脑中风后遗症</w:t>
        <w:tab/>
      </w:r>
      <w:r>
        <w:rPr>
          <w:rFonts w:ascii="Times New Roman" w:eastAsia="Times New Roman"/>
          <w:position w:val="2"/>
        </w:rPr>
        <w:t>: </w:t>
      </w:r>
      <w:r>
        <w:rPr>
          <w:rFonts w:ascii="Times New Roman" w:eastAsia="Times New Roman"/>
          <w:spacing w:val="46"/>
          <w:position w:val="2"/>
        </w:rPr>
        <w:t> </w:t>
      </w:r>
      <w:r>
        <w:rPr/>
        <w:t>指因脑血管的突发病变引起脑血管出血</w:t>
      </w:r>
      <w:r>
        <w:rPr>
          <w:spacing w:val="-15"/>
        </w:rPr>
        <w:t>、</w:t>
      </w:r>
      <w:r>
        <w:rPr/>
        <w:t>栓塞或梗塞</w:t>
      </w:r>
      <w:r>
        <w:rPr>
          <w:spacing w:val="-13"/>
        </w:rPr>
        <w:t>，</w:t>
      </w:r>
      <w:r>
        <w:rPr/>
        <w:t>并导致神经</w:t>
      </w:r>
      <w:r>
        <w:rPr>
          <w:w w:val="95"/>
        </w:rPr>
        <w:t>系统永久性的功能障碍</w:t>
      </w:r>
      <w:r>
        <w:rPr>
          <w:spacing w:val="-15"/>
          <w:w w:val="95"/>
        </w:rPr>
        <w:t>。</w:t>
      </w:r>
      <w:r>
        <w:rPr>
          <w:w w:val="95"/>
        </w:rPr>
        <w:t>神经系统永久性的功能障碍</w:t>
      </w:r>
      <w:r>
        <w:rPr>
          <w:spacing w:val="-13"/>
          <w:w w:val="95"/>
        </w:rPr>
        <w:t>，</w:t>
      </w:r>
      <w:r>
        <w:rPr>
          <w:w w:val="95"/>
        </w:rPr>
        <w:t>指疾病确诊</w:t>
      </w:r>
    </w:p>
    <w:p>
      <w:pPr>
        <w:pStyle w:val="BodyText"/>
        <w:spacing w:line="265" w:lineRule="exact"/>
        <w:ind w:left="2554"/>
      </w:pPr>
      <w:r>
        <w:rPr>
          <w:rFonts w:ascii="Times New Roman" w:eastAsia="Times New Roman"/>
        </w:rPr>
        <w:t>180 </w:t>
      </w:r>
      <w:r>
        <w:rPr/>
        <w:t>天后，仍遗留下列一种或一种以上障碍：</w:t>
      </w:r>
    </w:p>
    <w:p>
      <w:pPr>
        <w:pStyle w:val="BodyText"/>
        <w:spacing w:line="259" w:lineRule="exact"/>
        <w:ind w:left="2554"/>
      </w:pPr>
      <w:r>
        <w:rPr>
          <w:w w:val="95"/>
        </w:rPr>
        <w:t>（</w:t>
      </w:r>
      <w:r>
        <w:rPr>
          <w:rFonts w:ascii="Times New Roman" w:eastAsia="Times New Roman"/>
          <w:w w:val="95"/>
        </w:rPr>
        <w:t>1</w:t>
      </w:r>
      <w:r>
        <w:rPr>
          <w:w w:val="95"/>
        </w:rPr>
        <w:t>）一肢或一肢以上肢体机能完全丧失；</w:t>
      </w:r>
    </w:p>
    <w:p>
      <w:pPr>
        <w:pStyle w:val="BodyText"/>
        <w:spacing w:line="259" w:lineRule="exact"/>
        <w:ind w:left="2554"/>
      </w:pPr>
      <w:r>
        <w:rPr>
          <w:w w:val="95"/>
        </w:rPr>
        <w:t>（</w:t>
      </w:r>
      <w:r>
        <w:rPr>
          <w:rFonts w:ascii="Times New Roman" w:eastAsia="Times New Roman"/>
          <w:w w:val="95"/>
        </w:rPr>
        <w:t>2</w:t>
      </w:r>
      <w:r>
        <w:rPr>
          <w:w w:val="95"/>
        </w:rPr>
        <w:t>）语言能力或咀嚼吞咽能力完全丧失；</w:t>
      </w:r>
    </w:p>
    <w:p>
      <w:pPr>
        <w:pStyle w:val="BodyText"/>
        <w:spacing w:line="225" w:lineRule="auto" w:before="8"/>
        <w:ind w:left="2554" w:right="367"/>
      </w:pPr>
      <w:r>
        <w:rPr/>
        <w:t>（</w:t>
      </w:r>
      <w:r>
        <w:rPr>
          <w:rFonts w:ascii="Times New Roman" w:eastAsia="Times New Roman"/>
        </w:rPr>
        <w:t>3</w:t>
      </w:r>
      <w:r>
        <w:rPr/>
        <w:t>）自主生活能力完全丧失，无法独立完成六项基本日常生活活</w:t>
      </w:r>
      <w:r>
        <w:rPr>
          <w:w w:val="95"/>
        </w:rPr>
        <w:t>动中的三项或三项以上。</w:t>
      </w:r>
    </w:p>
    <w:p>
      <w:pPr>
        <w:pStyle w:val="BodyText"/>
        <w:spacing w:line="274" w:lineRule="exact"/>
        <w:ind w:left="111"/>
      </w:pPr>
      <w:r>
        <w:rPr>
          <w:rFonts w:ascii="Times New Roman" w:eastAsia="Times New Roman"/>
        </w:rPr>
        <w:t>4</w:t>
      </w:r>
      <w:r>
        <w:rPr/>
        <w:t>、重大器官移植术或造血</w:t>
      </w:r>
      <w:r>
        <w:rPr>
          <w:rFonts w:ascii="Times New Roman" w:eastAsia="Times New Roman"/>
          <w:position w:val="2"/>
        </w:rPr>
        <w:t>:  </w:t>
      </w:r>
      <w:r>
        <w:rPr/>
        <w:t>重大器官移植术，指因相应器官功能衰竭，已经实施了肾脏、肝脏、</w:t>
      </w:r>
    </w:p>
    <w:p>
      <w:pPr>
        <w:spacing w:after="0" w:line="274" w:lineRule="exact"/>
        <w:sectPr>
          <w:pgSz w:w="11960" w:h="16850"/>
          <w:pgMar w:header="0" w:footer="1001" w:top="1600" w:bottom="1200" w:left="1580" w:right="1680"/>
        </w:sectPr>
      </w:pPr>
    </w:p>
    <w:p>
      <w:pPr>
        <w:pStyle w:val="BodyText"/>
        <w:spacing w:line="246" w:lineRule="exact"/>
        <w:ind w:left="111"/>
      </w:pPr>
      <w:r>
        <w:rPr>
          <w:w w:val="95"/>
        </w:rPr>
        <w:t>干细胞移植术</w:t>
      </w:r>
    </w:p>
    <w:p>
      <w:pPr>
        <w:pStyle w:val="BodyText"/>
        <w:spacing w:line="245" w:lineRule="exact"/>
        <w:ind w:left="111"/>
      </w:pPr>
      <w:r>
        <w:rPr/>
        <w:br w:type="column"/>
      </w:r>
      <w:r>
        <w:rPr>
          <w:w w:val="95"/>
        </w:rPr>
        <w:t>心脏或肺脏的异体移植手术。</w:t>
      </w:r>
    </w:p>
    <w:p>
      <w:pPr>
        <w:pStyle w:val="BodyText"/>
        <w:spacing w:line="237" w:lineRule="auto" w:before="1"/>
        <w:ind w:left="111" w:right="366"/>
        <w:jc w:val="both"/>
      </w:pPr>
      <w:r>
        <w:rPr>
          <w:spacing w:val="-3"/>
        </w:rPr>
        <w:t>造血干细胞移植术，指因造血功能损害或造血系统恶性肿瘤，已经</w:t>
      </w:r>
      <w:r>
        <w:rPr>
          <w:spacing w:val="-5"/>
        </w:rPr>
        <w:t>实施了造血干细胞</w:t>
      </w:r>
      <w:r>
        <w:rPr/>
        <w:t>（</w:t>
      </w:r>
      <w:r>
        <w:rPr>
          <w:spacing w:val="-2"/>
        </w:rPr>
        <w:t>包括骨髓造血干细胞、外周血造血干细胞和脐</w:t>
      </w:r>
      <w:r>
        <w:rPr>
          <w:spacing w:val="-2"/>
          <w:w w:val="95"/>
        </w:rPr>
        <w:t>血造血干细胞）的异体移植手术。</w:t>
      </w:r>
    </w:p>
    <w:p>
      <w:pPr>
        <w:spacing w:after="0" w:line="237" w:lineRule="auto"/>
        <w:jc w:val="both"/>
        <w:sectPr>
          <w:type w:val="continuous"/>
          <w:pgSz w:w="11960" w:h="16850"/>
          <w:pgMar w:top="280" w:bottom="1200" w:left="1580" w:right="1680"/>
          <w:cols w:num="2" w:equalWidth="0">
            <w:col w:w="1310" w:space="1133"/>
            <w:col w:w="6257"/>
          </w:cols>
        </w:sectPr>
      </w:pPr>
    </w:p>
    <w:p>
      <w:pPr>
        <w:pStyle w:val="BodyText"/>
        <w:spacing w:before="6"/>
        <w:ind w:left="111"/>
      </w:pPr>
      <w:r>
        <w:rPr>
          <w:rFonts w:ascii="Times New Roman" w:eastAsia="Times New Roman"/>
        </w:rPr>
        <w:t>5</w:t>
      </w:r>
      <w:r>
        <w:rPr/>
        <w:t>、冠状动脉搭桥术（或称</w:t>
      </w:r>
      <w:r>
        <w:rPr>
          <w:rFonts w:ascii="Times New Roman" w:eastAsia="Times New Roman"/>
          <w:position w:val="2"/>
        </w:rPr>
        <w:t>:  </w:t>
      </w:r>
      <w:r>
        <w:rPr/>
        <w:t>指为治疗严重的冠心病，实际实施了开胸进行的冠状动脉血管旁路</w:t>
      </w:r>
    </w:p>
    <w:p>
      <w:pPr>
        <w:spacing w:after="0"/>
        <w:sectPr>
          <w:type w:val="continuous"/>
          <w:pgSz w:w="11960" w:h="16850"/>
          <w:pgMar w:top="280" w:bottom="1200" w:left="1580" w:right="1680"/>
        </w:sectPr>
      </w:pPr>
    </w:p>
    <w:p>
      <w:pPr>
        <w:pStyle w:val="BodyText"/>
        <w:spacing w:line="243" w:lineRule="exact"/>
        <w:ind w:left="111"/>
      </w:pPr>
      <w:r>
        <w:rPr>
          <w:w w:val="95"/>
        </w:rPr>
        <w:t>冠状动脉旁路移植术）</w:t>
      </w:r>
    </w:p>
    <w:p>
      <w:pPr>
        <w:pStyle w:val="BodyText"/>
        <w:spacing w:line="242" w:lineRule="exact"/>
        <w:ind w:left="111"/>
      </w:pPr>
      <w:r>
        <w:rPr/>
        <w:br w:type="column"/>
      </w:r>
      <w:r>
        <w:rPr>
          <w:w w:val="95"/>
        </w:rPr>
        <w:t>移植的手术。</w:t>
      </w:r>
    </w:p>
    <w:p>
      <w:pPr>
        <w:pStyle w:val="BodyText"/>
        <w:spacing w:line="237" w:lineRule="auto" w:before="1"/>
        <w:ind w:left="111" w:right="368"/>
      </w:pPr>
      <w:r>
        <w:rPr>
          <w:spacing w:val="-3"/>
          <w:w w:val="95"/>
        </w:rPr>
        <w:t>冠状动脉支架植入术、心导管球囊扩张术、激光射频技术及其它非  开胸的介入手术、腔镜手术不在保障范围内。</w:t>
      </w:r>
    </w:p>
    <w:p>
      <w:pPr>
        <w:spacing w:after="0" w:line="237" w:lineRule="auto"/>
        <w:sectPr>
          <w:type w:val="continuous"/>
          <w:pgSz w:w="11960" w:h="16850"/>
          <w:pgMar w:top="280" w:bottom="1200" w:left="1580" w:right="1680"/>
          <w:cols w:num="2" w:equalWidth="0">
            <w:col w:w="2109" w:space="334"/>
            <w:col w:w="6257"/>
          </w:cols>
        </w:sectPr>
      </w:pPr>
    </w:p>
    <w:p>
      <w:pPr>
        <w:pStyle w:val="BodyText"/>
        <w:spacing w:line="274" w:lineRule="exact"/>
        <w:ind w:left="111"/>
      </w:pPr>
      <w:r>
        <w:rPr>
          <w:rFonts w:ascii="Times New Roman" w:eastAsia="Times New Roman"/>
        </w:rPr>
        <w:t>6</w:t>
      </w:r>
      <w:r>
        <w:rPr/>
        <w:t>、终末期肾病（或称慢性</w:t>
      </w:r>
      <w:r>
        <w:rPr>
          <w:rFonts w:ascii="Times New Roman" w:eastAsia="Times New Roman"/>
          <w:position w:val="2"/>
        </w:rPr>
        <w:t>:  </w:t>
      </w:r>
      <w:r>
        <w:rPr/>
        <w:t>指双肾功能慢性不可逆性衰竭，达到尿毒症期，经诊断后已经进行</w:t>
      </w:r>
    </w:p>
    <w:p>
      <w:pPr>
        <w:spacing w:after="0" w:line="274" w:lineRule="exact"/>
        <w:sectPr>
          <w:type w:val="continuous"/>
          <w:pgSz w:w="11960" w:h="16850"/>
          <w:pgMar w:top="280" w:bottom="1200" w:left="1580" w:right="1680"/>
        </w:sectPr>
      </w:pPr>
    </w:p>
    <w:p>
      <w:pPr>
        <w:pStyle w:val="BodyText"/>
        <w:spacing w:line="244" w:lineRule="exact"/>
        <w:ind w:left="111"/>
      </w:pPr>
      <w:r>
        <w:rPr>
          <w:w w:val="95"/>
        </w:rPr>
        <w:t>肾功能衰竭尿毒症期）</w:t>
      </w:r>
    </w:p>
    <w:p>
      <w:pPr>
        <w:pStyle w:val="BodyText"/>
        <w:spacing w:line="259" w:lineRule="exact"/>
        <w:ind w:left="111"/>
      </w:pPr>
      <w:r>
        <w:rPr/>
        <w:br w:type="column"/>
      </w:r>
      <w:r>
        <w:rPr/>
        <w:t>了至少 </w:t>
      </w:r>
      <w:r>
        <w:rPr>
          <w:rFonts w:ascii="Times New Roman" w:eastAsia="Times New Roman"/>
        </w:rPr>
        <w:t>90 </w:t>
      </w:r>
      <w:r>
        <w:rPr/>
        <w:t>天的规律性透析治疗或实施了肾脏移植手术。</w:t>
      </w:r>
    </w:p>
    <w:p>
      <w:pPr>
        <w:spacing w:after="0" w:line="259" w:lineRule="exact"/>
        <w:sectPr>
          <w:type w:val="continuous"/>
          <w:pgSz w:w="11960" w:h="16850"/>
          <w:pgMar w:top="280" w:bottom="1200" w:left="1580" w:right="1680"/>
          <w:cols w:num="2" w:equalWidth="0">
            <w:col w:w="2109" w:space="334"/>
            <w:col w:w="6257"/>
          </w:cols>
        </w:sectPr>
      </w:pPr>
    </w:p>
    <w:p>
      <w:pPr>
        <w:pStyle w:val="BodyText"/>
        <w:tabs>
          <w:tab w:pos="2343" w:val="left" w:leader="none"/>
        </w:tabs>
        <w:spacing w:line="225" w:lineRule="auto"/>
        <w:ind w:left="2554" w:right="371" w:hanging="2444"/>
      </w:pPr>
      <w:r>
        <w:rPr>
          <w:rFonts w:ascii="Times New Roman" w:eastAsia="Times New Roman"/>
        </w:rPr>
        <w:t>7</w:t>
      </w:r>
      <w:r>
        <w:rPr/>
        <w:t>、多个肢体缺失</w:t>
        <w:tab/>
      </w:r>
      <w:r>
        <w:rPr>
          <w:rFonts w:ascii="Times New Roman" w:eastAsia="Times New Roman"/>
          <w:position w:val="2"/>
        </w:rPr>
        <w:t>:  </w:t>
      </w:r>
      <w:r>
        <w:rPr>
          <w:rFonts w:ascii="Times New Roman" w:eastAsia="Times New Roman"/>
          <w:spacing w:val="7"/>
          <w:position w:val="2"/>
        </w:rPr>
        <w:t> </w:t>
      </w:r>
      <w:r>
        <w:rPr>
          <w:spacing w:val="5"/>
        </w:rPr>
        <w:t>指因疾病或意外伤害导致两个或两个以</w:t>
      </w:r>
      <w:r>
        <w:rPr/>
        <w:t>上</w:t>
      </w:r>
      <w:r>
        <w:rPr>
          <w:spacing w:val="5"/>
        </w:rPr>
        <w:t>肢体自腕关节或踝关</w:t>
      </w:r>
      <w:r>
        <w:rPr/>
        <w:t>节</w:t>
      </w:r>
      <w:r>
        <w:rPr>
          <w:w w:val="95"/>
        </w:rPr>
        <w:t>近端（靠近躯干端）以上完全性断离。</w:t>
      </w:r>
    </w:p>
    <w:p>
      <w:pPr>
        <w:pStyle w:val="BodyText"/>
        <w:spacing w:line="225" w:lineRule="auto" w:before="58"/>
        <w:ind w:left="2554" w:right="363" w:hanging="2444"/>
      </w:pPr>
      <w:r>
        <w:rPr>
          <w:rFonts w:ascii="Times New Roman" w:eastAsia="Times New Roman"/>
        </w:rPr>
        <w:t>8</w:t>
      </w:r>
      <w:r>
        <w:rPr/>
        <w:t>、急性或亚急性重症肝炎</w:t>
      </w:r>
      <w:r>
        <w:rPr>
          <w:rFonts w:ascii="Times New Roman" w:eastAsia="Times New Roman"/>
          <w:position w:val="2"/>
        </w:rPr>
        <w:t>: </w:t>
      </w:r>
      <w:r>
        <w:rPr/>
        <w:t>指因肝炎病毒感染引起肝脏组织弥漫性坏死，导致急性肝功能衰</w:t>
      </w:r>
      <w:r>
        <w:rPr>
          <w:w w:val="95"/>
        </w:rPr>
        <w:t>竭，且经血清学或病毒学检查证实，并须满足下列全部条件：</w:t>
      </w:r>
    </w:p>
    <w:p>
      <w:pPr>
        <w:pStyle w:val="BodyText"/>
        <w:spacing w:line="265" w:lineRule="exact"/>
        <w:ind w:left="2554"/>
      </w:pPr>
      <w:r>
        <w:rPr>
          <w:w w:val="95"/>
        </w:rPr>
        <w:t>（</w:t>
      </w:r>
      <w:r>
        <w:rPr>
          <w:rFonts w:ascii="Times New Roman" w:eastAsia="Times New Roman"/>
          <w:w w:val="95"/>
        </w:rPr>
        <w:t>1</w:t>
      </w:r>
      <w:r>
        <w:rPr>
          <w:w w:val="95"/>
        </w:rPr>
        <w:t>）重度黄疸或黄疸迅速加重；</w:t>
      </w:r>
    </w:p>
    <w:p>
      <w:pPr>
        <w:pStyle w:val="BodyText"/>
        <w:spacing w:line="259" w:lineRule="exact"/>
        <w:ind w:left="2554"/>
      </w:pPr>
      <w:r>
        <w:rPr>
          <w:w w:val="95"/>
        </w:rPr>
        <w:t>（</w:t>
      </w:r>
      <w:r>
        <w:rPr>
          <w:rFonts w:ascii="Times New Roman" w:eastAsia="Times New Roman"/>
          <w:w w:val="95"/>
        </w:rPr>
        <w:t>2</w:t>
      </w:r>
      <w:r>
        <w:rPr>
          <w:w w:val="95"/>
        </w:rPr>
        <w:t>）肝性脑病；</w:t>
      </w:r>
    </w:p>
    <w:p>
      <w:pPr>
        <w:pStyle w:val="BodyText"/>
        <w:spacing w:line="259" w:lineRule="exact"/>
        <w:ind w:left="2554"/>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59" w:lineRule="exact"/>
        <w:ind w:left="2554"/>
      </w:pPr>
      <w:r>
        <w:rPr>
          <w:w w:val="95"/>
        </w:rPr>
        <w:t>（</w:t>
      </w:r>
      <w:r>
        <w:rPr>
          <w:rFonts w:ascii="Times New Roman" w:eastAsia="Times New Roman"/>
          <w:w w:val="95"/>
        </w:rPr>
        <w:t>4</w:t>
      </w:r>
      <w:r>
        <w:rPr>
          <w:w w:val="95"/>
        </w:rPr>
        <w:t>）肝功能指标进行性恶化。</w:t>
      </w:r>
    </w:p>
    <w:p>
      <w:pPr>
        <w:pStyle w:val="BodyText"/>
        <w:tabs>
          <w:tab w:pos="2343" w:val="left" w:leader="none"/>
        </w:tabs>
        <w:spacing w:line="228" w:lineRule="auto" w:before="4"/>
        <w:ind w:left="2554" w:right="366" w:hanging="2444"/>
      </w:pPr>
      <w:r>
        <w:rPr>
          <w:rFonts w:ascii="Times New Roman" w:eastAsia="Times New Roman"/>
        </w:rPr>
        <w:t>9</w:t>
      </w:r>
      <w:r>
        <w:rPr/>
        <w:t>、良性脑肿瘤</w:t>
        <w:tab/>
      </w:r>
      <w:r>
        <w:rPr>
          <w:rFonts w:ascii="Times New Roman" w:eastAsia="Times New Roman"/>
          <w:position w:val="2"/>
        </w:rPr>
        <w:t>: </w:t>
      </w:r>
      <w:r>
        <w:rPr>
          <w:rFonts w:ascii="Times New Roman" w:eastAsia="Times New Roman"/>
          <w:spacing w:val="48"/>
          <w:position w:val="2"/>
        </w:rPr>
        <w:t> </w:t>
      </w:r>
      <w:r>
        <w:rPr/>
        <w:t>指脑的良性肿瘤</w:t>
      </w:r>
      <w:r>
        <w:rPr>
          <w:spacing w:val="-15"/>
        </w:rPr>
        <w:t>，</w:t>
      </w:r>
      <w:r>
        <w:rPr/>
        <w:t>已经引起颅内压增高</w:t>
      </w:r>
      <w:r>
        <w:rPr>
          <w:spacing w:val="-15"/>
        </w:rPr>
        <w:t>，</w:t>
      </w:r>
      <w:r>
        <w:rPr/>
        <w:t>临床表现为视神经乳头水肿</w:t>
      </w:r>
      <w:r>
        <w:rPr>
          <w:spacing w:val="-8"/>
        </w:rPr>
        <w:t>、</w:t>
      </w:r>
      <w:r>
        <w:rPr/>
        <w:t>精神症状</w:t>
      </w:r>
      <w:r>
        <w:rPr>
          <w:spacing w:val="-5"/>
        </w:rPr>
        <w:t>、</w:t>
      </w:r>
      <w:r>
        <w:rPr/>
        <w:t>癫痫及运动感觉障碍等</w:t>
      </w:r>
      <w:r>
        <w:rPr>
          <w:spacing w:val="-8"/>
        </w:rPr>
        <w:t>，</w:t>
      </w:r>
      <w:r>
        <w:rPr/>
        <w:t>并危及生命</w:t>
      </w:r>
      <w:r>
        <w:rPr>
          <w:spacing w:val="-5"/>
        </w:rPr>
        <w:t>。</w:t>
      </w:r>
      <w:r>
        <w:rPr/>
        <w:t>须由头颅断</w:t>
      </w:r>
      <w:r>
        <w:rPr>
          <w:w w:val="99"/>
        </w:rPr>
        <w:t>层扫</w:t>
      </w:r>
      <w:r>
        <w:rPr>
          <w:spacing w:val="-44"/>
          <w:w w:val="99"/>
        </w:rPr>
        <w:t>描</w:t>
      </w:r>
      <w:r>
        <w:rPr>
          <w:spacing w:val="1"/>
          <w:w w:val="99"/>
        </w:rPr>
        <w:t>（</w:t>
      </w:r>
      <w:r>
        <w:rPr>
          <w:rFonts w:ascii="Times New Roman" w:eastAsia="Times New Roman"/>
          <w:spacing w:val="-1"/>
          <w:w w:val="99"/>
        </w:rPr>
        <w:t>C</w:t>
      </w:r>
      <w:r>
        <w:rPr>
          <w:rFonts w:ascii="Times New Roman" w:eastAsia="Times New Roman"/>
          <w:spacing w:val="2"/>
          <w:w w:val="99"/>
        </w:rPr>
        <w:t>T</w:t>
      </w:r>
      <w:r>
        <w:rPr>
          <w:spacing w:val="-101"/>
          <w:w w:val="99"/>
        </w:rPr>
        <w:t>）</w:t>
      </w:r>
      <w:r>
        <w:rPr>
          <w:spacing w:val="-44"/>
          <w:w w:val="99"/>
        </w:rPr>
        <w:t>、</w:t>
      </w:r>
      <w:r>
        <w:rPr>
          <w:w w:val="99"/>
        </w:rPr>
        <w:t>核</w:t>
      </w:r>
      <w:r>
        <w:rPr>
          <w:spacing w:val="1"/>
          <w:w w:val="99"/>
        </w:rPr>
        <w:t>磁</w:t>
      </w:r>
      <w:r>
        <w:rPr>
          <w:w w:val="99"/>
        </w:rPr>
        <w:t>共振</w:t>
      </w:r>
      <w:r>
        <w:rPr>
          <w:spacing w:val="1"/>
          <w:w w:val="99"/>
        </w:rPr>
        <w:t>检</w:t>
      </w:r>
      <w:r>
        <w:rPr>
          <w:spacing w:val="-43"/>
          <w:w w:val="99"/>
        </w:rPr>
        <w:t>查</w:t>
      </w:r>
      <w:r>
        <w:rPr>
          <w:spacing w:val="-1"/>
          <w:w w:val="99"/>
        </w:rPr>
        <w:t>（</w:t>
      </w:r>
      <w:r>
        <w:rPr>
          <w:rFonts w:ascii="Times New Roman" w:eastAsia="Times New Roman"/>
          <w:w w:val="99"/>
        </w:rPr>
        <w:t>M</w:t>
      </w:r>
      <w:r>
        <w:rPr>
          <w:rFonts w:ascii="Times New Roman" w:eastAsia="Times New Roman"/>
          <w:spacing w:val="-1"/>
          <w:w w:val="99"/>
        </w:rPr>
        <w:t>R</w:t>
      </w:r>
      <w:r>
        <w:rPr>
          <w:rFonts w:ascii="Times New Roman" w:eastAsia="Times New Roman"/>
          <w:w w:val="99"/>
        </w:rPr>
        <w:t>I</w:t>
      </w:r>
      <w:r>
        <w:rPr>
          <w:spacing w:val="-44"/>
          <w:w w:val="99"/>
        </w:rPr>
        <w:t>）</w:t>
      </w:r>
      <w:r>
        <w:rPr>
          <w:spacing w:val="1"/>
          <w:w w:val="99"/>
        </w:rPr>
        <w:t>或</w:t>
      </w:r>
      <w:r>
        <w:rPr>
          <w:w w:val="99"/>
        </w:rPr>
        <w:t>正电</w:t>
      </w:r>
      <w:r>
        <w:rPr>
          <w:spacing w:val="1"/>
          <w:w w:val="99"/>
        </w:rPr>
        <w:t>子</w:t>
      </w:r>
      <w:r>
        <w:rPr>
          <w:w w:val="99"/>
        </w:rPr>
        <w:t>发射</w:t>
      </w:r>
      <w:r>
        <w:rPr>
          <w:spacing w:val="1"/>
          <w:w w:val="99"/>
        </w:rPr>
        <w:t>断</w:t>
      </w:r>
      <w:r>
        <w:rPr>
          <w:w w:val="99"/>
        </w:rPr>
        <w:t>层扫</w:t>
      </w:r>
      <w:r>
        <w:rPr>
          <w:spacing w:val="-41"/>
          <w:w w:val="99"/>
        </w:rPr>
        <w:t>描</w:t>
      </w:r>
      <w:r>
        <w:rPr>
          <w:spacing w:val="-1"/>
          <w:w w:val="99"/>
        </w:rPr>
        <w:t>（</w:t>
      </w:r>
      <w:r>
        <w:rPr>
          <w:rFonts w:ascii="Times New Roman" w:eastAsia="Times New Roman"/>
          <w:spacing w:val="0"/>
          <w:w w:val="99"/>
        </w:rPr>
        <w:t>P</w:t>
      </w:r>
      <w:r>
        <w:rPr>
          <w:rFonts w:ascii="Times New Roman" w:eastAsia="Times New Roman"/>
          <w:w w:val="99"/>
        </w:rPr>
        <w:t>ET</w:t>
      </w:r>
      <w:r>
        <w:rPr>
          <w:w w:val="95"/>
        </w:rPr>
        <w:t>等影像学检查证实，并须满足下列至少一项条件：</w:t>
      </w:r>
    </w:p>
    <w:p>
      <w:pPr>
        <w:pStyle w:val="BodyText"/>
        <w:spacing w:line="265" w:lineRule="exact"/>
        <w:ind w:left="2554"/>
      </w:pPr>
      <w:r>
        <w:rPr>
          <w:w w:val="95"/>
        </w:rPr>
        <w:t>（</w:t>
      </w:r>
      <w:r>
        <w:rPr>
          <w:rFonts w:ascii="Times New Roman" w:eastAsia="Times New Roman"/>
          <w:w w:val="95"/>
        </w:rPr>
        <w:t>1</w:t>
      </w:r>
      <w:r>
        <w:rPr>
          <w:w w:val="95"/>
        </w:rPr>
        <w:t>）实际实施了开颅进行的脑肿瘤完全切除或部分切除的手术；</w:t>
      </w:r>
    </w:p>
    <w:p>
      <w:pPr>
        <w:pStyle w:val="BodyText"/>
        <w:spacing w:line="259" w:lineRule="exact"/>
        <w:ind w:left="2554"/>
      </w:pPr>
      <w:r>
        <w:rPr>
          <w:w w:val="95"/>
        </w:rPr>
        <w:t>（</w:t>
      </w:r>
      <w:r>
        <w:rPr>
          <w:rFonts w:ascii="Times New Roman" w:eastAsia="Times New Roman"/>
          <w:w w:val="95"/>
        </w:rPr>
        <w:t>2</w:t>
      </w:r>
      <w:r>
        <w:rPr>
          <w:w w:val="95"/>
        </w:rPr>
        <w:t>）实际实施了对脑肿瘤进行的放射治疗。</w:t>
      </w:r>
    </w:p>
    <w:p>
      <w:pPr>
        <w:pStyle w:val="BodyText"/>
        <w:spacing w:line="253" w:lineRule="exact"/>
        <w:ind w:left="2554"/>
      </w:pPr>
      <w:r>
        <w:rPr>
          <w:w w:val="95"/>
        </w:rPr>
        <w:t>脑垂体瘤、脑囊肿、脑血管性疾病不在保障范围内。</w:t>
      </w:r>
    </w:p>
    <w:p>
      <w:pPr>
        <w:pStyle w:val="BodyText"/>
        <w:spacing w:before="3"/>
        <w:ind w:left="111"/>
      </w:pPr>
      <w:r>
        <w:rPr>
          <w:rFonts w:ascii="Times New Roman" w:eastAsia="Times New Roman"/>
        </w:rPr>
        <w:t>10</w:t>
      </w:r>
      <w:r>
        <w:rPr/>
        <w:t>、慢性肝功能衰竭失代</w:t>
      </w:r>
      <w:r>
        <w:rPr>
          <w:rFonts w:ascii="Times New Roman" w:eastAsia="Times New Roman"/>
          <w:position w:val="2"/>
        </w:rPr>
        <w:t>:   </w:t>
      </w:r>
      <w:r>
        <w:rPr/>
        <w:t>指因慢性肝脏疾病导致肝功能衰竭。须满足下列全部条件：</w:t>
      </w:r>
    </w:p>
    <w:p>
      <w:pPr>
        <w:pStyle w:val="BodyText"/>
        <w:tabs>
          <w:tab w:pos="2554" w:val="left" w:leader="none"/>
        </w:tabs>
        <w:spacing w:line="250" w:lineRule="exact"/>
        <w:ind w:left="111"/>
      </w:pPr>
      <w:r>
        <w:rPr/>
        <w:t>偿期</w:t>
        <w:tab/>
      </w:r>
      <w:r>
        <w:rPr>
          <w:w w:val="95"/>
        </w:rPr>
        <w:t>（</w:t>
      </w:r>
      <w:r>
        <w:rPr>
          <w:rFonts w:ascii="Times New Roman" w:eastAsia="Times New Roman"/>
          <w:w w:val="95"/>
        </w:rPr>
        <w:t>1</w:t>
      </w:r>
      <w:r>
        <w:rPr>
          <w:w w:val="95"/>
        </w:rPr>
        <w:t>）持续性黄疸；</w:t>
      </w:r>
    </w:p>
    <w:p>
      <w:pPr>
        <w:pStyle w:val="BodyText"/>
        <w:spacing w:line="259" w:lineRule="exact"/>
        <w:ind w:left="2554"/>
      </w:pPr>
      <w:r>
        <w:rPr>
          <w:w w:val="95"/>
        </w:rPr>
        <w:t>（</w:t>
      </w:r>
      <w:r>
        <w:rPr>
          <w:rFonts w:ascii="Times New Roman" w:eastAsia="Times New Roman"/>
          <w:w w:val="95"/>
        </w:rPr>
        <w:t>2</w:t>
      </w:r>
      <w:r>
        <w:rPr>
          <w:w w:val="95"/>
        </w:rPr>
        <w:t>）腹水；</w:t>
      </w:r>
    </w:p>
    <w:p>
      <w:pPr>
        <w:pStyle w:val="BodyText"/>
        <w:spacing w:line="259" w:lineRule="exact"/>
        <w:ind w:left="2554"/>
      </w:pPr>
      <w:r>
        <w:rPr>
          <w:w w:val="95"/>
        </w:rPr>
        <w:t>（</w:t>
      </w:r>
      <w:r>
        <w:rPr>
          <w:rFonts w:ascii="Times New Roman" w:eastAsia="Times New Roman"/>
          <w:w w:val="95"/>
        </w:rPr>
        <w:t>3</w:t>
      </w:r>
      <w:r>
        <w:rPr>
          <w:w w:val="95"/>
        </w:rPr>
        <w:t>）肝性脑病；</w:t>
      </w:r>
    </w:p>
    <w:p>
      <w:pPr>
        <w:pStyle w:val="BodyText"/>
        <w:spacing w:line="225" w:lineRule="auto" w:before="7"/>
        <w:ind w:left="2554" w:right="1237"/>
      </w:pPr>
      <w:r>
        <w:rPr/>
        <w:t>（</w:t>
      </w:r>
      <w:r>
        <w:rPr>
          <w:rFonts w:ascii="Times New Roman" w:eastAsia="Times New Roman"/>
        </w:rPr>
        <w:t>4</w:t>
      </w:r>
      <w:r>
        <w:rPr/>
        <w:t>）充血性脾肿大伴脾功能亢进或食管胃底静脉曲张。</w:t>
      </w:r>
      <w:r>
        <w:rPr>
          <w:w w:val="95"/>
        </w:rPr>
        <w:t>因酗酒或药物滥用导致的肝功能衰竭不在保障范围内。</w:t>
      </w:r>
    </w:p>
    <w:p>
      <w:pPr>
        <w:pStyle w:val="BodyText"/>
        <w:spacing w:line="274" w:lineRule="exact"/>
        <w:ind w:left="111"/>
      </w:pPr>
      <w:r>
        <w:rPr>
          <w:rFonts w:ascii="Times New Roman" w:eastAsia="Times New Roman"/>
        </w:rPr>
        <w:t>11</w:t>
      </w:r>
      <w:r>
        <w:rPr/>
        <w:t>、脑炎后遗症或脑膜炎</w:t>
      </w:r>
      <w:r>
        <w:rPr>
          <w:rFonts w:ascii="Times New Roman" w:eastAsia="Times New Roman"/>
          <w:position w:val="2"/>
        </w:rPr>
        <w:t>:  </w:t>
      </w:r>
      <w:r>
        <w:rPr/>
        <w:t>指因患脑炎或脑膜炎导致的神经系统永久性的功能障碍。神经系统</w:t>
      </w:r>
    </w:p>
    <w:p>
      <w:pPr>
        <w:spacing w:after="0" w:line="274" w:lineRule="exact"/>
        <w:sectPr>
          <w:type w:val="continuous"/>
          <w:pgSz w:w="11960" w:h="16850"/>
          <w:pgMar w:top="280" w:bottom="1200" w:left="1580" w:right="1680"/>
        </w:sectPr>
      </w:pPr>
    </w:p>
    <w:p>
      <w:pPr>
        <w:pStyle w:val="BodyText"/>
        <w:spacing w:line="244" w:lineRule="exact"/>
        <w:ind w:left="111"/>
      </w:pPr>
      <w:r>
        <w:rPr>
          <w:w w:val="95"/>
        </w:rPr>
        <w:t>后遗症</w:t>
      </w:r>
    </w:p>
    <w:p>
      <w:pPr>
        <w:pStyle w:val="BodyText"/>
        <w:spacing w:line="225" w:lineRule="auto"/>
        <w:ind w:left="111" w:right="290"/>
      </w:pPr>
      <w:r>
        <w:rPr/>
        <w:br w:type="column"/>
      </w:r>
      <w:r>
        <w:rPr/>
        <w:t>永久性的功能障碍，指疾病确诊 </w:t>
      </w:r>
      <w:r>
        <w:rPr>
          <w:rFonts w:ascii="Times New Roman" w:eastAsia="Times New Roman"/>
        </w:rPr>
        <w:t>180 </w:t>
      </w:r>
      <w:r>
        <w:rPr/>
        <w:t>天后，仍遗留下列一种或一种</w:t>
      </w:r>
      <w:r>
        <w:rPr>
          <w:w w:val="95"/>
        </w:rPr>
        <w:t>以上障碍：</w:t>
      </w:r>
    </w:p>
    <w:p>
      <w:pPr>
        <w:pStyle w:val="BodyText"/>
        <w:spacing w:line="265" w:lineRule="exact" w:before="1"/>
        <w:ind w:left="111"/>
      </w:pPr>
      <w:r>
        <w:rPr>
          <w:w w:val="95"/>
        </w:rPr>
        <w:t>（</w:t>
      </w:r>
      <w:r>
        <w:rPr>
          <w:rFonts w:ascii="Times New Roman" w:eastAsia="Times New Roman"/>
          <w:w w:val="95"/>
        </w:rPr>
        <w:t>1</w:t>
      </w:r>
      <w:r>
        <w:rPr>
          <w:w w:val="95"/>
        </w:rPr>
        <w:t>）一肢或一肢以上肢体机能完全丧失；</w:t>
      </w:r>
    </w:p>
    <w:p>
      <w:pPr>
        <w:pStyle w:val="BodyText"/>
        <w:spacing w:line="259" w:lineRule="exact"/>
        <w:ind w:left="111"/>
      </w:pPr>
      <w:r>
        <w:rPr>
          <w:w w:val="95"/>
        </w:rPr>
        <w:t>（</w:t>
      </w:r>
      <w:r>
        <w:rPr>
          <w:rFonts w:ascii="Times New Roman" w:eastAsia="Times New Roman"/>
          <w:w w:val="95"/>
        </w:rPr>
        <w:t>2</w:t>
      </w:r>
      <w:r>
        <w:rPr>
          <w:w w:val="95"/>
        </w:rPr>
        <w:t>）语言能力或咀嚼吞咽能力完全丧失；</w:t>
      </w:r>
    </w:p>
    <w:p>
      <w:pPr>
        <w:pStyle w:val="BodyText"/>
        <w:spacing w:line="225" w:lineRule="auto" w:before="8"/>
        <w:ind w:left="111" w:right="367"/>
      </w:pPr>
      <w:r>
        <w:rPr/>
        <w:t>（</w:t>
      </w:r>
      <w:r>
        <w:rPr>
          <w:rFonts w:ascii="Times New Roman" w:eastAsia="Times New Roman"/>
        </w:rPr>
        <w:t>3</w:t>
      </w:r>
      <w:r>
        <w:rPr/>
        <w:t>）自主生活能力完全丧失，无法独立完成六项基本日常生活活</w:t>
      </w:r>
      <w:r>
        <w:rPr>
          <w:w w:val="95"/>
        </w:rPr>
        <w:t>动中的三项或三项以上。</w:t>
      </w:r>
    </w:p>
    <w:p>
      <w:pPr>
        <w:spacing w:after="0" w:line="225" w:lineRule="auto"/>
        <w:sectPr>
          <w:type w:val="continuous"/>
          <w:pgSz w:w="11960" w:h="16850"/>
          <w:pgMar w:top="280" w:bottom="1200" w:left="1580" w:right="1680"/>
          <w:cols w:num="2" w:equalWidth="0">
            <w:col w:w="710" w:space="1733"/>
            <w:col w:w="6257"/>
          </w:cols>
        </w:sectPr>
      </w:pPr>
    </w:p>
    <w:p>
      <w:pPr>
        <w:pStyle w:val="BodyText"/>
        <w:spacing w:line="225" w:lineRule="auto" w:before="88"/>
        <w:ind w:left="2554" w:right="365" w:hanging="2444"/>
        <w:jc w:val="both"/>
      </w:pPr>
      <w:r>
        <w:rPr>
          <w:rFonts w:ascii="Times New Roman" w:eastAsia="Times New Roman"/>
        </w:rPr>
        <w:t>12</w:t>
      </w:r>
      <w:r>
        <w:rPr>
          <w:spacing w:val="1"/>
        </w:rPr>
        <w:t>、深度昏迷         </w:t>
      </w:r>
      <w:r>
        <w:rPr>
          <w:rFonts w:ascii="Times New Roman" w:eastAsia="Times New Roman"/>
          <w:position w:val="2"/>
        </w:rPr>
        <w:t>:   </w:t>
      </w:r>
      <w:r>
        <w:rPr>
          <w:spacing w:val="2"/>
        </w:rPr>
        <w:t>指因疾病或意外伤害导致意识丧失</w:t>
      </w:r>
      <w:r>
        <w:rPr>
          <w:rFonts w:ascii="Times New Roman" w:eastAsia="Times New Roman"/>
          <w:spacing w:val="5"/>
        </w:rPr>
        <w:t>,</w:t>
      </w:r>
      <w:r>
        <w:rPr>
          <w:spacing w:val="1"/>
        </w:rPr>
        <w:t>对外界刺激和体内需求均无反应</w:t>
      </w:r>
      <w:r>
        <w:rPr>
          <w:rFonts w:ascii="Times New Roman" w:eastAsia="Times New Roman"/>
          <w:spacing w:val="1"/>
        </w:rPr>
        <w:t>,</w:t>
      </w:r>
      <w:r>
        <w:rPr>
          <w:spacing w:val="-1"/>
        </w:rPr>
        <w:t>昏迷程度按照格拉斯哥昏迷分级</w:t>
      </w:r>
      <w:r>
        <w:rPr/>
        <w:t>（</w:t>
      </w:r>
      <w:r>
        <w:rPr>
          <w:rFonts w:ascii="Times New Roman" w:eastAsia="Times New Roman"/>
        </w:rPr>
        <w:t>Glasgow</w:t>
      </w:r>
      <w:r>
        <w:rPr>
          <w:rFonts w:ascii="Times New Roman" w:eastAsia="Times New Roman"/>
          <w:spacing w:val="-8"/>
        </w:rPr>
        <w:t> </w:t>
      </w:r>
      <w:r>
        <w:rPr>
          <w:rFonts w:ascii="Times New Roman" w:eastAsia="Times New Roman"/>
        </w:rPr>
        <w:t>coma</w:t>
      </w:r>
      <w:r>
        <w:rPr>
          <w:rFonts w:ascii="Times New Roman" w:eastAsia="Times New Roman"/>
          <w:spacing w:val="-4"/>
        </w:rPr>
        <w:t> </w:t>
      </w:r>
      <w:r>
        <w:rPr>
          <w:rFonts w:ascii="Times New Roman" w:eastAsia="Times New Roman"/>
          <w:spacing w:val="-6"/>
        </w:rPr>
        <w:t>scale</w:t>
      </w:r>
      <w:r>
        <w:rPr>
          <w:spacing w:val="-6"/>
        </w:rPr>
        <w:t>）</w:t>
      </w:r>
      <w:r>
        <w:rPr>
          <w:spacing w:val="-14"/>
        </w:rPr>
        <w:t>结果为 </w:t>
      </w:r>
      <w:r>
        <w:rPr>
          <w:rFonts w:ascii="Times New Roman" w:eastAsia="Times New Roman"/>
        </w:rPr>
        <w:t>5 </w:t>
      </w:r>
      <w:r>
        <w:rPr>
          <w:spacing w:val="-16"/>
        </w:rPr>
        <w:t>分或 </w:t>
      </w:r>
      <w:r>
        <w:rPr>
          <w:rFonts w:ascii="Times New Roman" w:eastAsia="Times New Roman"/>
        </w:rPr>
        <w:t>5</w:t>
      </w:r>
      <w:r>
        <w:rPr>
          <w:rFonts w:ascii="Times New Roman" w:eastAsia="Times New Roman"/>
          <w:spacing w:val="45"/>
        </w:rPr>
        <w:t> </w:t>
      </w:r>
      <w:r>
        <w:rPr>
          <w:spacing w:val="-2"/>
        </w:rPr>
        <w:t>分以下，且已经持续使用呼吸机及其它生命维持系统 </w:t>
      </w:r>
      <w:r>
        <w:rPr>
          <w:rFonts w:ascii="Times New Roman" w:eastAsia="Times New Roman"/>
        </w:rPr>
        <w:t>96</w:t>
      </w:r>
      <w:r>
        <w:rPr>
          <w:rFonts w:ascii="Times New Roman" w:eastAsia="Times New Roman"/>
          <w:spacing w:val="5"/>
        </w:rPr>
        <w:t> </w:t>
      </w:r>
      <w:r>
        <w:rPr/>
        <w:t>小</w:t>
      </w:r>
      <w:r>
        <w:rPr>
          <w:spacing w:val="-1"/>
          <w:w w:val="95"/>
        </w:rPr>
        <w:t>时以上。</w:t>
      </w:r>
    </w:p>
    <w:p>
      <w:pPr>
        <w:pStyle w:val="BodyText"/>
        <w:spacing w:line="258" w:lineRule="exact"/>
        <w:ind w:left="2554"/>
      </w:pPr>
      <w:r>
        <w:rPr>
          <w:w w:val="95"/>
        </w:rPr>
        <w:t>因酗酒或药物滥用导致的深度昏迷不在保障范围内。</w:t>
      </w:r>
    </w:p>
    <w:p>
      <w:pPr>
        <w:pStyle w:val="BodyText"/>
        <w:spacing w:line="225" w:lineRule="auto" w:before="15"/>
        <w:ind w:left="2554" w:right="334" w:hanging="2444"/>
        <w:jc w:val="both"/>
      </w:pPr>
      <w:r>
        <w:rPr>
          <w:rFonts w:ascii="Times New Roman" w:eastAsia="Times New Roman"/>
        </w:rPr>
        <w:t>13</w:t>
      </w:r>
      <w:r>
        <w:rPr>
          <w:spacing w:val="1"/>
        </w:rPr>
        <w:t>、双耳失聪         </w:t>
      </w:r>
      <w:r>
        <w:rPr>
          <w:rFonts w:ascii="Times New Roman" w:eastAsia="Times New Roman"/>
          <w:spacing w:val="0"/>
          <w:position w:val="2"/>
        </w:rPr>
        <w:t>:   </w:t>
      </w:r>
      <w:r>
        <w:rPr/>
        <w:t>指因疾病或意外伤害导致双耳听力永久不可逆性丧失，在 </w:t>
      </w:r>
      <w:r>
        <w:rPr>
          <w:rFonts w:ascii="Times New Roman" w:eastAsia="Times New Roman"/>
        </w:rPr>
        <w:t>500</w:t>
      </w:r>
      <w:r>
        <w:rPr>
          <w:rFonts w:ascii="Times New Roman" w:eastAsia="Times New Roman"/>
          <w:spacing w:val="0"/>
        </w:rPr>
        <w:t>  </w:t>
      </w:r>
      <w:r>
        <w:rPr/>
        <w:t>赫兹、</w:t>
      </w:r>
      <w:r>
        <w:rPr>
          <w:rFonts w:ascii="Times New Roman" w:eastAsia="Times New Roman"/>
        </w:rPr>
        <w:t>1000</w:t>
      </w:r>
      <w:r>
        <w:rPr>
          <w:rFonts w:ascii="Times New Roman" w:eastAsia="Times New Roman"/>
          <w:spacing w:val="46"/>
        </w:rPr>
        <w:t> </w:t>
      </w:r>
      <w:r>
        <w:rPr>
          <w:spacing w:val="-14"/>
        </w:rPr>
        <w:t>赫兹和 </w:t>
      </w:r>
      <w:r>
        <w:rPr>
          <w:rFonts w:ascii="Times New Roman" w:eastAsia="Times New Roman"/>
        </w:rPr>
        <w:t>2000</w:t>
      </w:r>
      <w:r>
        <w:rPr>
          <w:rFonts w:ascii="Times New Roman" w:eastAsia="Times New Roman"/>
          <w:spacing w:val="45"/>
        </w:rPr>
        <w:t> </w:t>
      </w:r>
      <w:r>
        <w:rPr>
          <w:spacing w:val="-4"/>
        </w:rPr>
        <w:t>赫兹语音频率下，平均听阈大于 </w:t>
      </w:r>
      <w:r>
        <w:rPr>
          <w:rFonts w:ascii="Times New Roman" w:eastAsia="Times New Roman"/>
        </w:rPr>
        <w:t>90</w:t>
      </w:r>
      <w:r>
        <w:rPr>
          <w:rFonts w:ascii="Times New Roman" w:eastAsia="Times New Roman"/>
          <w:spacing w:val="46"/>
        </w:rPr>
        <w:t> </w:t>
      </w:r>
      <w:r>
        <w:rPr/>
        <w:t>分贝， </w:t>
      </w:r>
      <w:r>
        <w:rPr>
          <w:w w:val="95"/>
        </w:rPr>
        <w:t>且经纯音听力测试、声导抗检测或听觉诱发电位检测等证实。</w:t>
      </w:r>
    </w:p>
    <w:p>
      <w:pPr>
        <w:pStyle w:val="BodyText"/>
        <w:spacing w:line="225" w:lineRule="auto" w:before="13"/>
        <w:ind w:left="2554" w:right="366" w:hanging="2444"/>
        <w:jc w:val="both"/>
      </w:pPr>
      <w:r>
        <w:rPr>
          <w:rFonts w:ascii="Times New Roman" w:eastAsia="Times New Roman"/>
        </w:rPr>
        <w:t>14</w:t>
      </w:r>
      <w:r>
        <w:rPr/>
        <w:t>、双目失明         </w:t>
      </w:r>
      <w:r>
        <w:rPr>
          <w:rFonts w:ascii="Times New Roman" w:eastAsia="Times New Roman"/>
          <w:position w:val="2"/>
        </w:rPr>
        <w:t>:   </w:t>
      </w:r>
      <w:r>
        <w:rPr/>
        <w:t>指因疾病或意外伤害导致双眼视力永久不可逆性丧失，双眼中较好</w:t>
      </w:r>
      <w:r>
        <w:rPr>
          <w:w w:val="95"/>
        </w:rPr>
        <w:t>眼须满足下列至少一项条件：</w:t>
      </w:r>
    </w:p>
    <w:p>
      <w:pPr>
        <w:pStyle w:val="BodyText"/>
        <w:spacing w:line="267" w:lineRule="exact"/>
        <w:ind w:left="2554"/>
      </w:pPr>
      <w:r>
        <w:rPr>
          <w:w w:val="95"/>
        </w:rPr>
        <w:t>（</w:t>
      </w:r>
      <w:r>
        <w:rPr>
          <w:rFonts w:ascii="Times New Roman" w:eastAsia="Times New Roman"/>
          <w:w w:val="95"/>
        </w:rPr>
        <w:t>1</w:t>
      </w:r>
      <w:r>
        <w:rPr>
          <w:w w:val="95"/>
        </w:rPr>
        <w:t>）眼球缺失或摘除；</w:t>
      </w:r>
    </w:p>
    <w:p>
      <w:pPr>
        <w:pStyle w:val="BodyText"/>
        <w:spacing w:line="225" w:lineRule="auto" w:before="9"/>
        <w:ind w:left="2554" w:right="368"/>
      </w:pPr>
      <w:r>
        <w:rPr/>
        <w:t>（</w:t>
      </w:r>
      <w:r>
        <w:rPr>
          <w:rFonts w:ascii="Times New Roman" w:eastAsia="Times New Roman"/>
        </w:rPr>
        <w:t>2</w:t>
      </w:r>
      <w:r>
        <w:rPr/>
        <w:t>）矫正视力低于 </w:t>
      </w:r>
      <w:r>
        <w:rPr>
          <w:rFonts w:ascii="Times New Roman" w:eastAsia="Times New Roman"/>
        </w:rPr>
        <w:t>0.02</w:t>
      </w:r>
      <w:r>
        <w:rPr/>
        <w:t>（采用国际标准视力表，如果使用其它视</w:t>
      </w:r>
      <w:r>
        <w:rPr>
          <w:w w:val="99"/>
        </w:rPr>
        <w:t>力表应进行换算</w:t>
      </w:r>
      <w:r>
        <w:rPr>
          <w:spacing w:val="-101"/>
          <w:w w:val="99"/>
        </w:rPr>
        <w:t>）</w:t>
      </w:r>
      <w:r>
        <w:rPr>
          <w:w w:val="99"/>
        </w:rPr>
        <w:t>；</w:t>
      </w:r>
    </w:p>
    <w:p>
      <w:pPr>
        <w:pStyle w:val="BodyText"/>
        <w:spacing w:line="265" w:lineRule="exact"/>
        <w:ind w:left="2554"/>
      </w:pPr>
      <w:r>
        <w:rPr/>
        <w:t>（</w:t>
      </w:r>
      <w:r>
        <w:rPr>
          <w:rFonts w:ascii="Times New Roman" w:eastAsia="Times New Roman"/>
        </w:rPr>
        <w:t>3</w:t>
      </w:r>
      <w:r>
        <w:rPr/>
        <w:t>）视野半径小于 </w:t>
      </w:r>
      <w:r>
        <w:rPr>
          <w:rFonts w:ascii="Times New Roman" w:eastAsia="Times New Roman"/>
        </w:rPr>
        <w:t>5 </w:t>
      </w:r>
      <w:r>
        <w:rPr/>
        <w:t>度。</w:t>
      </w:r>
    </w:p>
    <w:p>
      <w:pPr>
        <w:pStyle w:val="BodyText"/>
        <w:tabs>
          <w:tab w:pos="2343" w:val="left" w:leader="none"/>
        </w:tabs>
        <w:spacing w:line="228" w:lineRule="auto" w:before="5"/>
        <w:ind w:left="2554" w:right="337" w:hanging="2444"/>
        <w:jc w:val="both"/>
      </w:pPr>
      <w:r>
        <w:rPr>
          <w:rFonts w:ascii="Times New Roman" w:eastAsia="Times New Roman"/>
        </w:rPr>
        <w:t>15</w:t>
      </w:r>
      <w:r>
        <w:rPr/>
        <w:t>、瘫痪</w:t>
        <w:tab/>
      </w:r>
      <w:r>
        <w:rPr>
          <w:rFonts w:ascii="Times New Roman" w:eastAsia="Times New Roman"/>
          <w:position w:val="2"/>
        </w:rPr>
        <w:t>: </w:t>
      </w:r>
      <w:r>
        <w:rPr>
          <w:rFonts w:ascii="Times New Roman" w:eastAsia="Times New Roman"/>
          <w:spacing w:val="48"/>
          <w:position w:val="2"/>
        </w:rPr>
        <w:t> </w:t>
      </w:r>
      <w:r>
        <w:rPr/>
        <w:t>指因疾病或意外伤害导致两肢或两肢以上肢体机能永久完全丧失。肢体机能永久完全丧失</w:t>
      </w:r>
      <w:r>
        <w:rPr>
          <w:spacing w:val="-29"/>
        </w:rPr>
        <w:t>，</w:t>
      </w:r>
      <w:r>
        <w:rPr/>
        <w:t>指疾病确诊</w:t>
      </w:r>
      <w:r>
        <w:rPr>
          <w:spacing w:val="-53"/>
        </w:rPr>
        <w:t> </w:t>
      </w:r>
      <w:r>
        <w:rPr>
          <w:rFonts w:ascii="Times New Roman" w:eastAsia="Times New Roman"/>
        </w:rPr>
        <w:t>180</w:t>
      </w:r>
      <w:r>
        <w:rPr>
          <w:rFonts w:ascii="Times New Roman" w:eastAsia="Times New Roman"/>
          <w:spacing w:val="46"/>
        </w:rPr>
        <w:t> </w:t>
      </w:r>
      <w:r>
        <w:rPr/>
        <w:t>天后或意外伤害发生</w:t>
      </w:r>
      <w:r>
        <w:rPr>
          <w:spacing w:val="-53"/>
        </w:rPr>
        <w:t> </w:t>
      </w:r>
      <w:r>
        <w:rPr>
          <w:rFonts w:ascii="Times New Roman" w:eastAsia="Times New Roman"/>
        </w:rPr>
        <w:t>180 </w:t>
      </w:r>
      <w:r>
        <w:rPr/>
        <w:t>天后</w:t>
      </w:r>
      <w:r>
        <w:rPr>
          <w:spacing w:val="-15"/>
        </w:rPr>
        <w:t>，</w:t>
      </w:r>
      <w:r>
        <w:rPr/>
        <w:t>每肢三大关节中的两大关节仍然完全僵硬</w:t>
      </w:r>
      <w:r>
        <w:rPr>
          <w:spacing w:val="-13"/>
        </w:rPr>
        <w:t>，</w:t>
      </w:r>
      <w:r>
        <w:rPr/>
        <w:t>或不能随意识活</w:t>
      </w:r>
      <w:r>
        <w:rPr>
          <w:spacing w:val="-1"/>
          <w:w w:val="95"/>
        </w:rPr>
        <w:t>动</w:t>
      </w:r>
      <w:r>
        <w:rPr>
          <w:w w:val="95"/>
        </w:rPr>
        <w:t>。</w:t>
      </w:r>
    </w:p>
    <w:p>
      <w:pPr>
        <w:pStyle w:val="BodyText"/>
        <w:spacing w:line="225" w:lineRule="auto" w:before="13"/>
        <w:ind w:left="2554" w:right="366" w:hanging="2444"/>
        <w:jc w:val="both"/>
      </w:pPr>
      <w:r>
        <w:rPr>
          <w:rFonts w:ascii="Times New Roman" w:eastAsia="Times New Roman"/>
        </w:rPr>
        <w:t>16</w:t>
      </w:r>
      <w:r>
        <w:rPr/>
        <w:t>、心脏瓣膜手术     </w:t>
      </w:r>
      <w:r>
        <w:rPr>
          <w:rFonts w:ascii="Times New Roman" w:eastAsia="Times New Roman"/>
          <w:position w:val="2"/>
        </w:rPr>
        <w:t>:   </w:t>
      </w:r>
      <w:r>
        <w:rPr/>
        <w:t>指为治疗心脏瓣膜疾病，实际实施了开胸进行的心脏瓣膜置换或修</w:t>
      </w:r>
      <w:r>
        <w:rPr>
          <w:w w:val="95"/>
        </w:rPr>
        <w:t>复的手术。</w:t>
      </w:r>
    </w:p>
    <w:p>
      <w:pPr>
        <w:pStyle w:val="BodyText"/>
        <w:spacing w:line="230" w:lineRule="auto" w:before="8"/>
        <w:ind w:left="2554" w:right="366" w:hanging="2444"/>
        <w:jc w:val="both"/>
      </w:pPr>
      <w:r>
        <w:rPr>
          <w:rFonts w:ascii="Times New Roman" w:eastAsia="Times New Roman"/>
        </w:rPr>
        <w:t>17</w:t>
      </w:r>
      <w:r>
        <w:rPr>
          <w:spacing w:val="1"/>
        </w:rPr>
        <w:t>、严重阿尔茨海默病 </w:t>
      </w:r>
      <w:r>
        <w:rPr>
          <w:rFonts w:ascii="Times New Roman" w:eastAsia="Times New Roman"/>
          <w:spacing w:val="23"/>
          <w:position w:val="2"/>
        </w:rPr>
        <w:t>: </w:t>
      </w:r>
      <w:r>
        <w:rPr>
          <w:spacing w:val="-3"/>
        </w:rPr>
        <w:t>指因大脑进行性、不可逆性改变导致智能严重衰退或丧失，临床表</w:t>
      </w:r>
      <w:r>
        <w:rPr>
          <w:spacing w:val="-5"/>
        </w:rPr>
        <w:t>现为明显的认知能力障碍、行为异常和社交能力减退，其日常生活</w:t>
      </w:r>
      <w:r>
        <w:rPr>
          <w:spacing w:val="-1"/>
          <w:w w:val="99"/>
        </w:rPr>
        <w:t>必须持续受到他人监护。须由头颅断层扫描（</w:t>
      </w:r>
      <w:r>
        <w:rPr>
          <w:rFonts w:ascii="Times New Roman" w:eastAsia="Times New Roman"/>
          <w:spacing w:val="-1"/>
          <w:w w:val="99"/>
        </w:rPr>
        <w:t>C</w:t>
      </w:r>
      <w:r>
        <w:rPr>
          <w:rFonts w:ascii="Times New Roman" w:eastAsia="Times New Roman"/>
          <w:spacing w:val="2"/>
          <w:w w:val="99"/>
        </w:rPr>
        <w:t>T</w:t>
      </w:r>
      <w:r>
        <w:rPr>
          <w:spacing w:val="-99"/>
          <w:w w:val="99"/>
        </w:rPr>
        <w:t>）</w:t>
      </w:r>
      <w:r>
        <w:rPr>
          <w:w w:val="99"/>
        </w:rPr>
        <w:t>、核磁共振检查</w:t>
      </w:r>
    </w:p>
    <w:p>
      <w:pPr>
        <w:pStyle w:val="BodyText"/>
        <w:spacing w:line="232" w:lineRule="auto"/>
        <w:ind w:left="2554" w:right="366"/>
        <w:jc w:val="both"/>
      </w:pPr>
      <w:r>
        <w:rPr/>
        <w:t>（</w:t>
      </w:r>
      <w:r>
        <w:rPr>
          <w:rFonts w:ascii="Times New Roman" w:eastAsia="Times New Roman"/>
        </w:rPr>
        <w:t>MRI</w:t>
      </w:r>
      <w:r>
        <w:rPr/>
        <w:t>）或正电子发射断层扫描（</w:t>
      </w:r>
      <w:r>
        <w:rPr>
          <w:rFonts w:ascii="Times New Roman" w:eastAsia="Times New Roman"/>
        </w:rPr>
        <w:t>PET</w:t>
      </w:r>
      <w:r>
        <w:rPr/>
        <w:t>）等影像学检查证实，且自</w:t>
      </w:r>
      <w:r>
        <w:rPr>
          <w:spacing w:val="-3"/>
        </w:rPr>
        <w:t>主生活能力完全丧失，无法独立完成六项基本日常生活活动中的三</w:t>
      </w:r>
      <w:r>
        <w:rPr>
          <w:spacing w:val="-3"/>
          <w:w w:val="95"/>
        </w:rPr>
        <w:t>项或三项以上。</w:t>
      </w:r>
    </w:p>
    <w:p>
      <w:pPr>
        <w:pStyle w:val="BodyText"/>
        <w:spacing w:line="258" w:lineRule="exact" w:before="9"/>
        <w:ind w:left="2554"/>
      </w:pPr>
      <w:r>
        <w:rPr>
          <w:w w:val="95"/>
        </w:rPr>
        <w:t>神经官能症和精神疾病不在保障范围内。</w:t>
      </w:r>
    </w:p>
    <w:p>
      <w:pPr>
        <w:pStyle w:val="BodyText"/>
        <w:tabs>
          <w:tab w:pos="2343" w:val="left" w:leader="none"/>
        </w:tabs>
        <w:spacing w:line="225" w:lineRule="auto" w:before="15"/>
        <w:ind w:left="2554" w:right="364" w:hanging="2444"/>
      </w:pPr>
      <w:r>
        <w:rPr>
          <w:rFonts w:ascii="Times New Roman" w:eastAsia="Times New Roman"/>
        </w:rPr>
        <w:t>18</w:t>
      </w:r>
      <w:r>
        <w:rPr/>
        <w:t>、严重脑损伤</w:t>
        <w:tab/>
      </w:r>
      <w:r>
        <w:rPr>
          <w:rFonts w:ascii="Times New Roman" w:eastAsia="Times New Roman"/>
          <w:position w:val="2"/>
        </w:rPr>
        <w:t>: </w:t>
      </w:r>
      <w:r>
        <w:rPr>
          <w:rFonts w:ascii="Times New Roman" w:eastAsia="Times New Roman"/>
          <w:spacing w:val="45"/>
          <w:position w:val="2"/>
        </w:rPr>
        <w:t> </w:t>
      </w:r>
      <w:r>
        <w:rPr/>
        <w:t>指因头部遭受机械性外力</w:t>
      </w:r>
      <w:r>
        <w:rPr>
          <w:spacing w:val="-13"/>
        </w:rPr>
        <w:t>，</w:t>
      </w:r>
      <w:r>
        <w:rPr/>
        <w:t>引起脑重要部位损伤</w:t>
      </w:r>
      <w:r>
        <w:rPr>
          <w:spacing w:val="-13"/>
        </w:rPr>
        <w:t>，</w:t>
      </w:r>
      <w:r>
        <w:rPr/>
        <w:t>导致神经系统永</w:t>
      </w:r>
      <w:r>
        <w:rPr>
          <w:w w:val="99"/>
        </w:rPr>
        <w:t>久性的</w:t>
      </w:r>
      <w:r>
        <w:rPr>
          <w:spacing w:val="1"/>
          <w:w w:val="99"/>
        </w:rPr>
        <w:t>功</w:t>
      </w:r>
      <w:r>
        <w:rPr>
          <w:w w:val="99"/>
        </w:rPr>
        <w:t>能障</w:t>
      </w:r>
      <w:r>
        <w:rPr>
          <w:spacing w:val="1"/>
          <w:w w:val="99"/>
        </w:rPr>
        <w:t>碍</w:t>
      </w:r>
      <w:r>
        <w:rPr>
          <w:spacing w:val="-15"/>
          <w:w w:val="99"/>
        </w:rPr>
        <w:t>。</w:t>
      </w:r>
      <w:r>
        <w:rPr>
          <w:w w:val="99"/>
        </w:rPr>
        <w:t>须由</w:t>
      </w:r>
      <w:r>
        <w:rPr>
          <w:spacing w:val="1"/>
          <w:w w:val="99"/>
        </w:rPr>
        <w:t>头颅</w:t>
      </w:r>
      <w:r>
        <w:rPr>
          <w:w w:val="99"/>
        </w:rPr>
        <w:t>断层扫</w:t>
      </w:r>
      <w:r>
        <w:rPr>
          <w:spacing w:val="-15"/>
          <w:w w:val="99"/>
        </w:rPr>
        <w:t>描</w:t>
      </w:r>
      <w:r>
        <w:rPr>
          <w:spacing w:val="1"/>
          <w:w w:val="99"/>
        </w:rPr>
        <w:t>（</w:t>
      </w:r>
      <w:r>
        <w:rPr>
          <w:rFonts w:ascii="Times New Roman" w:eastAsia="Times New Roman"/>
          <w:spacing w:val="-1"/>
          <w:w w:val="99"/>
        </w:rPr>
        <w:t>C</w:t>
      </w:r>
      <w:r>
        <w:rPr>
          <w:rFonts w:ascii="Times New Roman" w:eastAsia="Times New Roman"/>
          <w:spacing w:val="2"/>
          <w:w w:val="99"/>
        </w:rPr>
        <w:t>T</w:t>
      </w:r>
      <w:r>
        <w:rPr>
          <w:spacing w:val="-101"/>
          <w:w w:val="99"/>
        </w:rPr>
        <w:t>）</w:t>
      </w:r>
      <w:r>
        <w:rPr>
          <w:spacing w:val="-15"/>
          <w:w w:val="99"/>
        </w:rPr>
        <w:t>、</w:t>
      </w:r>
      <w:r>
        <w:rPr>
          <w:w w:val="99"/>
        </w:rPr>
        <w:t>核磁</w:t>
      </w:r>
      <w:r>
        <w:rPr>
          <w:spacing w:val="1"/>
          <w:w w:val="99"/>
        </w:rPr>
        <w:t>共振</w:t>
      </w:r>
      <w:r>
        <w:rPr>
          <w:w w:val="99"/>
        </w:rPr>
        <w:t>检</w:t>
      </w:r>
      <w:r>
        <w:rPr>
          <w:spacing w:val="-15"/>
          <w:w w:val="99"/>
        </w:rPr>
        <w:t>查</w:t>
      </w:r>
      <w:r>
        <w:rPr>
          <w:spacing w:val="-1"/>
          <w:w w:val="99"/>
        </w:rPr>
        <w:t>（</w:t>
      </w:r>
      <w:r>
        <w:rPr>
          <w:rFonts w:ascii="Times New Roman" w:eastAsia="Times New Roman"/>
          <w:w w:val="99"/>
        </w:rPr>
        <w:t>M</w:t>
      </w:r>
      <w:r>
        <w:rPr>
          <w:rFonts w:ascii="Times New Roman" w:eastAsia="Times New Roman"/>
          <w:spacing w:val="-1"/>
          <w:w w:val="99"/>
        </w:rPr>
        <w:t>R</w:t>
      </w:r>
      <w:r>
        <w:rPr>
          <w:rFonts w:ascii="Times New Roman" w:eastAsia="Times New Roman"/>
          <w:w w:val="99"/>
        </w:rPr>
        <w:t>I</w:t>
      </w:r>
      <w:r>
        <w:rPr/>
        <w:t>或正电子发射断层扫描（</w:t>
      </w:r>
      <w:r>
        <w:rPr>
          <w:rFonts w:ascii="Times New Roman" w:eastAsia="Times New Roman"/>
        </w:rPr>
        <w:t>PET</w:t>
      </w:r>
      <w:r>
        <w:rPr/>
        <w:t>）等影像学检查证实。神经系统永久性的功能障碍</w:t>
      </w:r>
      <w:r>
        <w:rPr>
          <w:spacing w:val="-39"/>
        </w:rPr>
        <w:t>，</w:t>
      </w:r>
      <w:r>
        <w:rPr/>
        <w:t>指脑损伤</w:t>
      </w:r>
      <w:r>
        <w:rPr>
          <w:spacing w:val="-54"/>
        </w:rPr>
        <w:t> </w:t>
      </w:r>
      <w:r>
        <w:rPr>
          <w:rFonts w:ascii="Times New Roman" w:eastAsia="Times New Roman"/>
        </w:rPr>
        <w:t>180</w:t>
      </w:r>
      <w:r>
        <w:rPr>
          <w:rFonts w:ascii="Times New Roman" w:eastAsia="Times New Roman"/>
          <w:spacing w:val="42"/>
        </w:rPr>
        <w:t> </w:t>
      </w:r>
      <w:r>
        <w:rPr/>
        <w:t>天后</w:t>
      </w:r>
      <w:r>
        <w:rPr>
          <w:spacing w:val="-39"/>
        </w:rPr>
        <w:t>，</w:t>
      </w:r>
      <w:r>
        <w:rPr/>
        <w:t>仍遗留下列一种或一种以上障</w:t>
      </w:r>
      <w:r>
        <w:rPr>
          <w:spacing w:val="-1"/>
          <w:w w:val="95"/>
        </w:rPr>
        <w:t>碍</w:t>
      </w:r>
      <w:r>
        <w:rPr>
          <w:w w:val="95"/>
        </w:rPr>
        <w:t>：</w:t>
      </w:r>
    </w:p>
    <w:p>
      <w:pPr>
        <w:pStyle w:val="BodyText"/>
        <w:spacing w:line="265" w:lineRule="exact"/>
        <w:ind w:left="2554"/>
      </w:pPr>
      <w:r>
        <w:rPr>
          <w:w w:val="95"/>
        </w:rPr>
        <w:t>（</w:t>
      </w:r>
      <w:r>
        <w:rPr>
          <w:rFonts w:ascii="Times New Roman" w:eastAsia="Times New Roman"/>
          <w:w w:val="95"/>
        </w:rPr>
        <w:t>1</w:t>
      </w:r>
      <w:r>
        <w:rPr>
          <w:w w:val="95"/>
        </w:rPr>
        <w:t>）一肢或一肢以上肢体机能完全丧失；</w:t>
      </w:r>
    </w:p>
    <w:p>
      <w:pPr>
        <w:pStyle w:val="BodyText"/>
        <w:spacing w:line="259" w:lineRule="exact"/>
        <w:ind w:left="2554"/>
      </w:pPr>
      <w:r>
        <w:rPr>
          <w:w w:val="95"/>
        </w:rPr>
        <w:t>（</w:t>
      </w:r>
      <w:r>
        <w:rPr>
          <w:rFonts w:ascii="Times New Roman" w:eastAsia="Times New Roman"/>
          <w:w w:val="95"/>
        </w:rPr>
        <w:t>2</w:t>
      </w:r>
      <w:r>
        <w:rPr>
          <w:w w:val="95"/>
        </w:rPr>
        <w:t>）语言能力或咀嚼吞咽能力完全丧失；</w:t>
      </w:r>
    </w:p>
    <w:p>
      <w:pPr>
        <w:pStyle w:val="BodyText"/>
        <w:spacing w:line="225" w:lineRule="auto" w:before="7"/>
        <w:ind w:left="2554" w:right="367"/>
      </w:pPr>
      <w:r>
        <w:rPr/>
        <w:t>（</w:t>
      </w:r>
      <w:r>
        <w:rPr>
          <w:rFonts w:ascii="Times New Roman" w:eastAsia="Times New Roman"/>
        </w:rPr>
        <w:t>3</w:t>
      </w:r>
      <w:r>
        <w:rPr/>
        <w:t>）自主生活能力完全丧失，无法独立完成六项基本日常生活活</w:t>
      </w:r>
      <w:r>
        <w:rPr>
          <w:w w:val="95"/>
        </w:rPr>
        <w:t>动中的三项或三项以上。</w:t>
      </w:r>
    </w:p>
    <w:p>
      <w:pPr>
        <w:pStyle w:val="BodyText"/>
        <w:spacing w:line="225" w:lineRule="auto" w:before="13"/>
        <w:ind w:left="2554" w:right="366" w:hanging="2444"/>
        <w:jc w:val="both"/>
      </w:pPr>
      <w:r>
        <w:rPr>
          <w:rFonts w:ascii="Times New Roman" w:eastAsia="Times New Roman"/>
        </w:rPr>
        <w:t>19</w:t>
      </w:r>
      <w:r>
        <w:rPr/>
        <w:t>、严重帕金森病     </w:t>
      </w:r>
      <w:r>
        <w:rPr>
          <w:rFonts w:ascii="Times New Roman" w:eastAsia="Times New Roman"/>
          <w:position w:val="2"/>
        </w:rPr>
        <w:t>:   </w:t>
      </w:r>
      <w:r>
        <w:rPr/>
        <w:t>是一种中枢神经系统的退行性疾病，临床表现为震颤麻痹、共济失</w:t>
      </w:r>
      <w:r>
        <w:rPr>
          <w:w w:val="95"/>
        </w:rPr>
        <w:t>调等。须满足下列全部条件：</w:t>
      </w:r>
    </w:p>
    <w:p>
      <w:pPr>
        <w:pStyle w:val="BodyText"/>
        <w:spacing w:line="268" w:lineRule="exact"/>
        <w:ind w:left="2554"/>
      </w:pPr>
      <w:r>
        <w:rPr>
          <w:w w:val="95"/>
        </w:rPr>
        <w:t>（</w:t>
      </w:r>
      <w:r>
        <w:rPr>
          <w:rFonts w:ascii="Times New Roman" w:eastAsia="Times New Roman"/>
          <w:w w:val="95"/>
        </w:rPr>
        <w:t>1</w:t>
      </w:r>
      <w:r>
        <w:rPr>
          <w:w w:val="95"/>
        </w:rPr>
        <w:t>）药物治疗无法控制病情；</w:t>
      </w:r>
    </w:p>
    <w:p>
      <w:pPr>
        <w:pStyle w:val="BodyText"/>
        <w:spacing w:line="225" w:lineRule="auto" w:before="8"/>
        <w:ind w:left="2554" w:right="367"/>
      </w:pPr>
      <w:r>
        <w:rPr/>
        <w:t>（</w:t>
      </w:r>
      <w:r>
        <w:rPr>
          <w:rFonts w:ascii="Times New Roman" w:eastAsia="Times New Roman"/>
        </w:rPr>
        <w:t>2</w:t>
      </w:r>
      <w:r>
        <w:rPr/>
        <w:t>）自主生活能力完全丧失，无法独立完成六项基本日常生活活</w:t>
      </w:r>
      <w:r>
        <w:rPr>
          <w:w w:val="95"/>
        </w:rPr>
        <w:t>动中的三项或三项以上。</w:t>
      </w:r>
    </w:p>
    <w:p>
      <w:pPr>
        <w:pStyle w:val="BodyText"/>
        <w:spacing w:line="258" w:lineRule="exact"/>
        <w:ind w:left="2554"/>
      </w:pPr>
      <w:r>
        <w:rPr>
          <w:w w:val="95"/>
        </w:rPr>
        <w:t>继发性帕金森综合征不在保障范围内。</w:t>
      </w:r>
    </w:p>
    <w:p>
      <w:pPr>
        <w:pStyle w:val="BodyText"/>
        <w:tabs>
          <w:tab w:pos="2343" w:val="left" w:leader="none"/>
        </w:tabs>
        <w:spacing w:line="267" w:lineRule="exact"/>
        <w:ind w:left="111"/>
      </w:pPr>
      <w:r>
        <w:rPr>
          <w:rFonts w:ascii="Times New Roman" w:hAnsi="Times New Roman" w:eastAsia="Times New Roman"/>
        </w:rPr>
        <w:t>20</w:t>
      </w:r>
      <w:r>
        <w:rPr/>
        <w:t>、严重Ⅲ度烧伤</w:t>
        <w:tab/>
      </w:r>
      <w:r>
        <w:rPr>
          <w:rFonts w:ascii="Times New Roman" w:hAnsi="Times New Roman" w:eastAsia="Times New Roman"/>
          <w:position w:val="2"/>
        </w:rPr>
        <w:t>: </w:t>
      </w:r>
      <w:r>
        <w:rPr>
          <w:rFonts w:ascii="Times New Roman" w:hAnsi="Times New Roman" w:eastAsia="Times New Roman"/>
          <w:spacing w:val="46"/>
          <w:position w:val="2"/>
        </w:rPr>
        <w:t> </w:t>
      </w:r>
      <w:r>
        <w:rPr/>
        <w:t>指烧伤程度为Ⅲ度</w:t>
      </w:r>
      <w:r>
        <w:rPr>
          <w:spacing w:val="-80"/>
        </w:rPr>
        <w:t>，</w:t>
      </w:r>
      <w:r>
        <w:rPr/>
        <w:t>且Ⅲ度烧伤的面积达到全身体表面积的</w:t>
      </w:r>
      <w:r>
        <w:rPr>
          <w:spacing w:val="-52"/>
        </w:rPr>
        <w:t> </w:t>
      </w:r>
      <w:r>
        <w:rPr>
          <w:rFonts w:ascii="Times New Roman" w:hAnsi="Times New Roman" w:eastAsia="Times New Roman"/>
        </w:rPr>
        <w:t>20</w:t>
      </w:r>
      <w:r>
        <w:rPr/>
        <w:t>％或</w:t>
      </w:r>
    </w:p>
    <w:p>
      <w:pPr>
        <w:pStyle w:val="BodyText"/>
        <w:spacing w:line="259" w:lineRule="exact"/>
        <w:ind w:left="2554"/>
      </w:pPr>
      <w:r>
        <w:rPr>
          <w:rFonts w:ascii="Times New Roman" w:eastAsia="Times New Roman"/>
          <w:w w:val="95"/>
        </w:rPr>
        <w:t>20</w:t>
      </w:r>
      <w:r>
        <w:rPr>
          <w:w w:val="95"/>
        </w:rPr>
        <w:t>％以上。体表面积根据《中国新九分法》计算。</w:t>
      </w:r>
    </w:p>
    <w:p>
      <w:pPr>
        <w:pStyle w:val="BodyText"/>
        <w:spacing w:line="268" w:lineRule="exact"/>
        <w:ind w:left="111"/>
      </w:pPr>
      <w:r>
        <w:rPr>
          <w:rFonts w:ascii="Times New Roman" w:eastAsia="Times New Roman"/>
        </w:rPr>
        <w:t>21</w:t>
      </w:r>
      <w:r>
        <w:rPr/>
        <w:t>、严重原发性肺动脉高</w:t>
      </w:r>
      <w:r>
        <w:rPr>
          <w:rFonts w:ascii="Times New Roman" w:eastAsia="Times New Roman"/>
          <w:position w:val="2"/>
        </w:rPr>
        <w:t>:   </w:t>
      </w:r>
      <w:r>
        <w:rPr/>
        <w:t>指不明原因的肺动脉压力持续性增高，进行性发展而导致的慢性疾</w:t>
      </w:r>
    </w:p>
    <w:p>
      <w:pPr>
        <w:pStyle w:val="BodyText"/>
        <w:tabs>
          <w:tab w:pos="2554" w:val="left" w:leader="none"/>
        </w:tabs>
        <w:spacing w:line="260" w:lineRule="exact" w:before="7"/>
        <w:ind w:left="2554" w:right="366" w:hanging="2444"/>
      </w:pPr>
      <w:r>
        <w:rPr/>
        <w:t>压</w:t>
        <w:tab/>
      </w:r>
      <w:r>
        <w:rPr>
          <w:w w:val="95"/>
        </w:rPr>
        <w:t>病</w:t>
      </w:r>
      <w:r>
        <w:rPr>
          <w:spacing w:val="-15"/>
          <w:w w:val="95"/>
        </w:rPr>
        <w:t>，</w:t>
      </w:r>
      <w:r>
        <w:rPr>
          <w:w w:val="95"/>
        </w:rPr>
        <w:t>已经造成永久不可逆性的体力活动能力受限</w:t>
      </w:r>
      <w:r>
        <w:rPr>
          <w:spacing w:val="-13"/>
          <w:w w:val="95"/>
        </w:rPr>
        <w:t>，</w:t>
      </w:r>
      <w:r>
        <w:rPr>
          <w:w w:val="95"/>
        </w:rPr>
        <w:t>达到美国纽约心   </w:t>
      </w:r>
      <w:r>
        <w:rPr/>
        <w:t>脏病学会心功能状态分级</w:t>
      </w:r>
      <w:r>
        <w:rPr>
          <w:spacing w:val="-41"/>
        </w:rPr>
        <w:t> </w:t>
      </w:r>
      <w:r>
        <w:rPr>
          <w:rFonts w:ascii="Times New Roman" w:eastAsia="Times New Roman"/>
        </w:rPr>
        <w:t>IV</w:t>
      </w:r>
      <w:r>
        <w:rPr>
          <w:rFonts w:ascii="Times New Roman" w:eastAsia="Times New Roman"/>
          <w:spacing w:val="41"/>
        </w:rPr>
        <w:t> </w:t>
      </w:r>
      <w:r>
        <w:rPr/>
        <w:t>级，且静息状态下肺动脉平均压超过</w:t>
      </w:r>
    </w:p>
    <w:p>
      <w:pPr>
        <w:pStyle w:val="BodyText"/>
        <w:spacing w:line="250" w:lineRule="exact"/>
        <w:ind w:left="2554"/>
      </w:pPr>
      <w:r>
        <w:rPr>
          <w:rFonts w:ascii="Times New Roman" w:eastAsia="Times New Roman"/>
          <w:w w:val="95"/>
        </w:rPr>
        <w:t>30mmHg</w:t>
      </w:r>
      <w:r>
        <w:rPr>
          <w:w w:val="95"/>
        </w:rPr>
        <w:t>。</w:t>
      </w:r>
    </w:p>
    <w:p>
      <w:pPr>
        <w:spacing w:after="0" w:line="250" w:lineRule="exact"/>
        <w:sectPr>
          <w:pgSz w:w="11960" w:h="16850"/>
          <w:pgMar w:header="0" w:footer="1001" w:top="1600" w:bottom="1200" w:left="1580" w:right="1680"/>
        </w:sectPr>
      </w:pPr>
    </w:p>
    <w:p>
      <w:pPr>
        <w:pStyle w:val="BodyText"/>
        <w:spacing w:line="232" w:lineRule="auto" w:before="80"/>
        <w:ind w:left="2554" w:right="406" w:hanging="2444"/>
        <w:jc w:val="both"/>
      </w:pPr>
      <w:r>
        <w:rPr>
          <w:rFonts w:ascii="Times New Roman" w:eastAsia="Times New Roman"/>
        </w:rPr>
        <w:t>22</w:t>
      </w:r>
      <w:r>
        <w:rPr>
          <w:spacing w:val="1"/>
        </w:rPr>
        <w:t>、严重运动神经元病 </w:t>
      </w:r>
      <w:r>
        <w:rPr>
          <w:rFonts w:ascii="Times New Roman" w:eastAsia="Times New Roman"/>
          <w:position w:val="2"/>
        </w:rPr>
        <w:t>:  </w:t>
      </w:r>
      <w:r>
        <w:rPr>
          <w:spacing w:val="-2"/>
        </w:rPr>
        <w:t>是一组中枢神经系统运动神经元的进行性变性疾病，包括进行性脊</w:t>
      </w:r>
      <w:r>
        <w:rPr>
          <w:spacing w:val="-6"/>
        </w:rPr>
        <w:t>肌萎缩症、进行性延髓麻痹症、原发性侧索硬化症、肌萎缩性侧索</w:t>
      </w:r>
      <w:r>
        <w:rPr>
          <w:spacing w:val="-7"/>
        </w:rPr>
        <w:t>硬化症。须满足自主生活能力完全丧失，无法独立完成六项基本日</w:t>
      </w:r>
      <w:r>
        <w:rPr>
          <w:spacing w:val="-7"/>
          <w:w w:val="95"/>
        </w:rPr>
        <w:t>常生活活动中的三项或三项以上的条件。</w:t>
      </w:r>
    </w:p>
    <w:p>
      <w:pPr>
        <w:pStyle w:val="BodyText"/>
        <w:spacing w:line="230" w:lineRule="auto" w:before="8"/>
        <w:ind w:left="2554" w:right="407" w:hanging="2444"/>
        <w:jc w:val="both"/>
      </w:pPr>
      <w:r>
        <w:rPr>
          <w:rFonts w:ascii="Times New Roman" w:eastAsia="Times New Roman"/>
        </w:rPr>
        <w:t>23</w:t>
      </w:r>
      <w:r>
        <w:rPr>
          <w:spacing w:val="1"/>
        </w:rPr>
        <w:t>、语言能力丧失 </w:t>
      </w:r>
      <w:r>
        <w:rPr>
          <w:rFonts w:ascii="Times New Roman" w:eastAsia="Times New Roman"/>
          <w:spacing w:val="0"/>
          <w:position w:val="2"/>
        </w:rPr>
        <w:t>: </w:t>
      </w:r>
      <w:r>
        <w:rPr>
          <w:spacing w:val="-6"/>
        </w:rPr>
        <w:t>指因疾病或意外伤害导致完全丧失语言能力，经过积极治疗至少 </w:t>
      </w:r>
      <w:r>
        <w:rPr>
          <w:rFonts w:ascii="Times New Roman" w:eastAsia="Times New Roman"/>
        </w:rPr>
        <w:t>12 </w:t>
      </w:r>
      <w:r>
        <w:rPr>
          <w:spacing w:val="1"/>
          <w:w w:val="99"/>
        </w:rPr>
        <w:t>个月</w:t>
      </w:r>
      <w:r>
        <w:rPr>
          <w:spacing w:val="3"/>
          <w:w w:val="99"/>
        </w:rPr>
        <w:t>（</w:t>
      </w:r>
      <w:r>
        <w:rPr>
          <w:w w:val="99"/>
        </w:rPr>
        <w:t>声带完全切除不受此时间限制</w:t>
      </w:r>
      <w:r>
        <w:rPr>
          <w:spacing w:val="-96"/>
          <w:w w:val="99"/>
        </w:rPr>
        <w:t>）</w:t>
      </w:r>
      <w:r>
        <w:rPr>
          <w:w w:val="99"/>
        </w:rPr>
        <w:t>，仍无法通过现有医疗手段</w:t>
      </w:r>
      <w:r>
        <w:rPr>
          <w:spacing w:val="-1"/>
          <w:w w:val="95"/>
        </w:rPr>
        <w:t>恢复。</w:t>
      </w:r>
    </w:p>
    <w:p>
      <w:pPr>
        <w:pStyle w:val="BodyText"/>
        <w:spacing w:line="258" w:lineRule="exact"/>
        <w:ind w:left="2554"/>
      </w:pPr>
      <w:r>
        <w:rPr>
          <w:w w:val="95"/>
        </w:rPr>
        <w:t>精神心理因素所致的语言能力丧失不在保障范围内。</w:t>
      </w:r>
    </w:p>
    <w:p>
      <w:pPr>
        <w:pStyle w:val="BodyText"/>
        <w:spacing w:line="225" w:lineRule="auto" w:before="16"/>
        <w:ind w:left="2554" w:right="408" w:hanging="2444"/>
        <w:jc w:val="both"/>
      </w:pPr>
      <w:r>
        <w:rPr>
          <w:rFonts w:ascii="Times New Roman" w:eastAsia="Times New Roman"/>
        </w:rPr>
        <w:t>24</w:t>
      </w:r>
      <w:r>
        <w:rPr/>
        <w:t>、重型再生障碍性贫血</w:t>
      </w:r>
      <w:r>
        <w:rPr>
          <w:rFonts w:ascii="Times New Roman" w:eastAsia="Times New Roman"/>
          <w:position w:val="2"/>
        </w:rPr>
        <w:t>: </w:t>
      </w:r>
      <w:r>
        <w:rPr/>
        <w:t>指因骨髓造血功能慢性持续性衰竭导致的贫血、中性粒细胞减少及</w:t>
      </w:r>
      <w:r>
        <w:rPr>
          <w:w w:val="95"/>
        </w:rPr>
        <w:t>血小板减少。须满足下列全部条件：</w:t>
      </w:r>
    </w:p>
    <w:p>
      <w:pPr>
        <w:pStyle w:val="BodyText"/>
        <w:spacing w:line="267" w:lineRule="exact"/>
        <w:ind w:left="2554"/>
      </w:pPr>
      <w:r>
        <w:rPr>
          <w:w w:val="95"/>
        </w:rPr>
        <w:t>（</w:t>
      </w:r>
      <w:r>
        <w:rPr>
          <w:rFonts w:ascii="Times New Roman" w:eastAsia="Times New Roman"/>
          <w:w w:val="95"/>
        </w:rPr>
        <w:t>1</w:t>
      </w:r>
      <w:r>
        <w:rPr>
          <w:w w:val="95"/>
        </w:rPr>
        <w:t>）骨髓穿刺检查或骨髓活检结果支持诊断；</w:t>
      </w:r>
    </w:p>
    <w:p>
      <w:pPr>
        <w:pStyle w:val="BodyText"/>
        <w:spacing w:line="260" w:lineRule="exact"/>
        <w:ind w:left="2554"/>
      </w:pPr>
      <w:r>
        <w:rPr>
          <w:w w:val="95"/>
        </w:rPr>
        <w:t>（</w:t>
      </w:r>
      <w:r>
        <w:rPr>
          <w:rFonts w:ascii="Times New Roman" w:eastAsia="Times New Roman"/>
          <w:w w:val="95"/>
        </w:rPr>
        <w:t>2</w:t>
      </w:r>
      <w:r>
        <w:rPr>
          <w:w w:val="95"/>
        </w:rPr>
        <w:t>）外周血象须具备以下三项条件：</w:t>
      </w:r>
    </w:p>
    <w:p>
      <w:pPr>
        <w:pStyle w:val="BodyText"/>
        <w:spacing w:line="259" w:lineRule="exact"/>
        <w:ind w:left="2939" w:right="2568"/>
        <w:jc w:val="center"/>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59" w:lineRule="exact"/>
        <w:ind w:left="1715" w:right="2568"/>
        <w:jc w:val="center"/>
      </w:pPr>
      <w:r>
        <w:rPr/>
        <w:t>② 网织红细胞＜</w:t>
      </w:r>
      <w:r>
        <w:rPr>
          <w:rFonts w:ascii="Times New Roman" w:hAnsi="Times New Roman" w:eastAsia="Times New Roman"/>
        </w:rPr>
        <w:t>1%</w:t>
      </w:r>
      <w:r>
        <w:rPr/>
        <w:t>；</w:t>
      </w:r>
    </w:p>
    <w:p>
      <w:pPr>
        <w:pStyle w:val="BodyText"/>
        <w:spacing w:line="259" w:lineRule="exact"/>
        <w:ind w:left="2490" w:right="2568"/>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30" w:lineRule="auto" w:before="2"/>
        <w:ind w:left="2554" w:right="377" w:hanging="2444"/>
        <w:jc w:val="both"/>
      </w:pPr>
      <w:r>
        <w:rPr>
          <w:rFonts w:ascii="Times New Roman" w:eastAsia="Times New Roman"/>
        </w:rPr>
        <w:t>25</w:t>
      </w:r>
      <w:r>
        <w:rPr/>
        <w:t>、主动脉手术       </w:t>
      </w:r>
      <w:r>
        <w:rPr>
          <w:rFonts w:ascii="Times New Roman" w:eastAsia="Times New Roman"/>
          <w:position w:val="2"/>
        </w:rPr>
        <w:t>:   </w:t>
      </w:r>
      <w:r>
        <w:rPr/>
        <w:t>指为治疗主动脉疾病，实际实施了开胸或开腹进行的切除、置换、修补病损主动脉血管的手术。主动脉指胸主动脉和腹主动脉，不包</w:t>
      </w:r>
      <w:r>
        <w:rPr>
          <w:w w:val="95"/>
        </w:rPr>
        <w:t>括胸主动脉和腹主动脉的分支血管。</w:t>
      </w:r>
    </w:p>
    <w:p>
      <w:pPr>
        <w:pStyle w:val="BodyText"/>
        <w:spacing w:line="259" w:lineRule="exact"/>
        <w:ind w:left="2554"/>
      </w:pPr>
      <w:r>
        <w:rPr>
          <w:w w:val="95"/>
        </w:rPr>
        <w:t>动脉内血管成形术不在保障范围内。</w:t>
      </w:r>
    </w:p>
    <w:p>
      <w:pPr>
        <w:pStyle w:val="BodyText"/>
        <w:spacing w:line="285" w:lineRule="auto" w:before="21"/>
        <w:ind w:left="121" w:right="108"/>
      </w:pPr>
      <w:r>
        <w:rPr>
          <w:spacing w:val="-3"/>
        </w:rPr>
        <w:t>以上重大疾病使用的定义为由中国保险行业协会所制定的统一的疾病定义，而以下疾病定义是我们</w:t>
      </w:r>
      <w:r>
        <w:rPr>
          <w:spacing w:val="-3"/>
          <w:w w:val="95"/>
        </w:rPr>
        <w:t>在参考国内外成年人重大疾病保险发展状况并结合现代医学进展情况的基础上所制定的。</w:t>
      </w:r>
    </w:p>
    <w:p>
      <w:pPr>
        <w:pStyle w:val="BodyText"/>
        <w:spacing w:line="230" w:lineRule="auto"/>
        <w:ind w:left="2554" w:right="403" w:hanging="2444"/>
        <w:jc w:val="both"/>
      </w:pPr>
      <w:r>
        <w:rPr>
          <w:rFonts w:ascii="Times New Roman" w:eastAsia="Times New Roman"/>
        </w:rPr>
        <w:t>26</w:t>
      </w:r>
      <w:r>
        <w:rPr/>
        <w:t>、慢性呼吸功能衰竭 </w:t>
      </w:r>
      <w:r>
        <w:rPr>
          <w:rFonts w:ascii="Times New Roman" w:eastAsia="Times New Roman"/>
          <w:position w:val="2"/>
        </w:rPr>
        <w:t>:  </w:t>
      </w:r>
      <w:r>
        <w:rPr/>
        <w:t>指被保险人必须经本公司认可的医院的呼吸科专科医师确诊患有慢性肺部疾病而出现慢性呼吸功能衰竭，其诊断标准包括以下各</w:t>
      </w:r>
      <w:r>
        <w:rPr>
          <w:w w:val="95"/>
        </w:rPr>
        <w:t>项：</w:t>
      </w:r>
    </w:p>
    <w:p>
      <w:pPr>
        <w:pStyle w:val="BodyText"/>
        <w:spacing w:line="265" w:lineRule="exact" w:before="1"/>
        <w:ind w:left="2554"/>
      </w:pPr>
      <w:r>
        <w:rPr/>
        <w:t>（</w:t>
      </w:r>
      <w:r>
        <w:rPr>
          <w:rFonts w:ascii="Times New Roman" w:eastAsia="Times New Roman"/>
        </w:rPr>
        <w:t>1</w:t>
      </w:r>
      <w:r>
        <w:rPr/>
        <w:t>）肺功能测试其 </w:t>
      </w:r>
      <w:r>
        <w:rPr>
          <w:rFonts w:ascii="Times New Roman" w:eastAsia="Times New Roman"/>
        </w:rPr>
        <w:t>FEV1 </w:t>
      </w:r>
      <w:r>
        <w:rPr/>
        <w:t>持续低于 </w:t>
      </w:r>
      <w:r>
        <w:rPr>
          <w:rFonts w:ascii="Times New Roman" w:eastAsia="Times New Roman"/>
        </w:rPr>
        <w:t>1 </w:t>
      </w:r>
      <w:r>
        <w:rPr/>
        <w:t>升；</w:t>
      </w:r>
    </w:p>
    <w:p>
      <w:pPr>
        <w:pStyle w:val="BodyText"/>
        <w:spacing w:line="259" w:lineRule="exact"/>
        <w:ind w:left="2554"/>
      </w:pPr>
      <w:r>
        <w:rPr>
          <w:w w:val="95"/>
        </w:rPr>
        <w:t>（</w:t>
      </w:r>
      <w:r>
        <w:rPr>
          <w:rFonts w:ascii="Times New Roman" w:eastAsia="Times New Roman"/>
          <w:w w:val="95"/>
        </w:rPr>
        <w:t>2</w:t>
      </w:r>
      <w:r>
        <w:rPr>
          <w:w w:val="95"/>
        </w:rPr>
        <w:t>）病人血氧不足必须持续地进行输氧治疗；</w:t>
      </w:r>
    </w:p>
    <w:p>
      <w:pPr>
        <w:pStyle w:val="BodyText"/>
        <w:spacing w:line="260" w:lineRule="exact"/>
        <w:ind w:left="2554"/>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line="260" w:lineRule="exact"/>
        <w:ind w:left="2554"/>
      </w:pPr>
      <w:r>
        <w:rPr>
          <w:w w:val="95"/>
        </w:rPr>
        <w:t>（</w:t>
      </w:r>
      <w:r>
        <w:rPr>
          <w:rFonts w:ascii="Times New Roman" w:eastAsia="Times New Roman"/>
          <w:w w:val="95"/>
        </w:rPr>
        <w:t>4</w:t>
      </w:r>
      <w:r>
        <w:rPr>
          <w:w w:val="95"/>
        </w:rPr>
        <w:t>）休息时出现呼吸困难。</w:t>
      </w:r>
    </w:p>
    <w:p>
      <w:pPr>
        <w:pStyle w:val="BodyText"/>
        <w:spacing w:line="230" w:lineRule="auto" w:before="2"/>
        <w:ind w:left="2554" w:right="403" w:hanging="2444"/>
        <w:jc w:val="both"/>
      </w:pPr>
      <w:r>
        <w:rPr>
          <w:rFonts w:ascii="Times New Roman" w:eastAsia="Times New Roman"/>
        </w:rPr>
        <w:t>27</w:t>
      </w:r>
      <w:r>
        <w:rPr/>
        <w:t>、多发性硬化症     </w:t>
      </w:r>
      <w:r>
        <w:rPr>
          <w:rFonts w:ascii="Times New Roman" w:eastAsia="Times New Roman"/>
          <w:position w:val="2"/>
        </w:rPr>
        <w:t>:   </w:t>
      </w:r>
      <w:r>
        <w:rPr/>
        <w:t>多发性硬化症为中枢神经系统白质多灶性脱髓鞘病变，病变有时累及灰质。多发性硬化症必须由我们认可的医院的神经专科医生确</w:t>
      </w:r>
      <w:r>
        <w:rPr>
          <w:w w:val="95"/>
        </w:rPr>
        <w:t>诊。必须伴有典型的脱髓鞘症状和运动及感觉功能障碍的证据并有</w:t>
      </w:r>
    </w:p>
    <w:p>
      <w:pPr>
        <w:pStyle w:val="BodyText"/>
        <w:spacing w:line="228" w:lineRule="auto" w:before="11"/>
        <w:ind w:left="2554" w:right="403"/>
        <w:jc w:val="both"/>
      </w:pPr>
      <w:r>
        <w:rPr>
          <w:rFonts w:ascii="Times New Roman" w:eastAsia="Times New Roman"/>
        </w:rPr>
        <w:t>MRI </w:t>
      </w:r>
      <w:r>
        <w:rPr>
          <w:spacing w:val="-5"/>
        </w:rPr>
        <w:t>和脑脊液检查的典型改变。多发性硬化症必须造成神经系统永</w:t>
      </w:r>
      <w:r>
        <w:rPr>
          <w:spacing w:val="-6"/>
        </w:rPr>
        <w:t>久性功能损害并且已导致被保险人自主生活能力完全丧失，无法独</w:t>
      </w:r>
      <w:r>
        <w:rPr>
          <w:spacing w:val="-9"/>
        </w:rPr>
        <w:t>立完成六项基本日常生活活动中的三项或三项以上持续达 </w:t>
      </w:r>
      <w:r>
        <w:rPr>
          <w:rFonts w:ascii="Times New Roman" w:eastAsia="Times New Roman"/>
        </w:rPr>
        <w:t>180 </w:t>
      </w:r>
      <w:r>
        <w:rPr/>
        <w:t>天以</w:t>
      </w:r>
      <w:r>
        <w:rPr>
          <w:spacing w:val="-1"/>
          <w:w w:val="95"/>
        </w:rPr>
        <w:t>上。</w:t>
      </w:r>
    </w:p>
    <w:p>
      <w:pPr>
        <w:pStyle w:val="BodyText"/>
        <w:spacing w:line="230" w:lineRule="auto" w:before="8"/>
        <w:ind w:left="2554" w:right="406" w:hanging="2444"/>
        <w:jc w:val="both"/>
      </w:pPr>
      <w:r>
        <w:rPr>
          <w:rFonts w:ascii="Times New Roman" w:eastAsia="Times New Roman"/>
        </w:rPr>
        <w:t>28</w:t>
      </w:r>
      <w:r>
        <w:rPr>
          <w:spacing w:val="0"/>
        </w:rPr>
        <w:t>、肌营养不良症     </w:t>
      </w:r>
      <w:r>
        <w:rPr>
          <w:rFonts w:ascii="Times New Roman" w:eastAsia="Times New Roman"/>
          <w:position w:val="2"/>
        </w:rPr>
        <w:t>:   </w:t>
      </w:r>
      <w:r>
        <w:rPr>
          <w:spacing w:val="-2"/>
        </w:rPr>
        <w:t>肌营养不良症是一组遗传性肌肉变性坏死性病变，临床特征为与神</w:t>
      </w:r>
      <w:r>
        <w:rPr>
          <w:spacing w:val="-4"/>
        </w:rPr>
        <w:t>经系统无关的骨骼肌对称地进行性无力和萎缩，其诊断需同时符合</w:t>
      </w:r>
      <w:r>
        <w:rPr>
          <w:spacing w:val="-4"/>
          <w:w w:val="95"/>
        </w:rPr>
        <w:t>以下条件：</w:t>
      </w:r>
    </w:p>
    <w:p>
      <w:pPr>
        <w:pStyle w:val="BodyText"/>
        <w:spacing w:line="265" w:lineRule="exact"/>
        <w:ind w:left="2554"/>
      </w:pPr>
      <w:r>
        <w:rPr>
          <w:w w:val="95"/>
        </w:rPr>
        <w:t>（</w:t>
      </w:r>
      <w:r>
        <w:rPr>
          <w:rFonts w:ascii="Times New Roman" w:eastAsia="Times New Roman"/>
          <w:w w:val="95"/>
        </w:rPr>
        <w:t>1</w:t>
      </w:r>
      <w:r>
        <w:rPr>
          <w:w w:val="95"/>
        </w:rPr>
        <w:t>）肌电图显示典型肌营养不良症的阳性改变；</w:t>
      </w:r>
    </w:p>
    <w:p>
      <w:pPr>
        <w:pStyle w:val="BodyText"/>
        <w:spacing w:line="260" w:lineRule="exact"/>
        <w:ind w:left="2554"/>
      </w:pPr>
      <w:r>
        <w:rPr>
          <w:w w:val="95"/>
        </w:rPr>
        <w:t>（</w:t>
      </w:r>
      <w:r>
        <w:rPr>
          <w:rFonts w:ascii="Times New Roman" w:eastAsia="Times New Roman"/>
          <w:w w:val="95"/>
        </w:rPr>
        <w:t>2</w:t>
      </w:r>
      <w:r>
        <w:rPr>
          <w:w w:val="95"/>
        </w:rPr>
        <w:t>）血清肌酸磷酸激酶（</w:t>
      </w:r>
      <w:r>
        <w:rPr>
          <w:rFonts w:ascii="Times New Roman" w:eastAsia="Times New Roman"/>
          <w:w w:val="95"/>
        </w:rPr>
        <w:t>CPK</w:t>
      </w:r>
      <w:r>
        <w:rPr>
          <w:w w:val="95"/>
        </w:rPr>
        <w:t>）升高；</w:t>
      </w:r>
    </w:p>
    <w:p>
      <w:pPr>
        <w:pStyle w:val="BodyText"/>
        <w:spacing w:line="225" w:lineRule="auto" w:before="8"/>
        <w:ind w:left="2554" w:right="405"/>
      </w:pPr>
      <w:r>
        <w:rPr/>
        <w:t>（</w:t>
      </w:r>
      <w:r>
        <w:rPr>
          <w:rFonts w:ascii="Times New Roman" w:eastAsia="Times New Roman"/>
        </w:rPr>
        <w:t>3</w:t>
      </w:r>
      <w:r>
        <w:rPr/>
        <w:t>）肌肉活检的病理学诊断符合肌营养不良症的肌肉细胞变性、</w:t>
      </w:r>
      <w:r>
        <w:rPr>
          <w:w w:val="95"/>
        </w:rPr>
        <w:t>坏死等阳性改变；</w:t>
      </w:r>
    </w:p>
    <w:p>
      <w:pPr>
        <w:pStyle w:val="BodyText"/>
        <w:spacing w:line="225" w:lineRule="auto" w:before="13"/>
        <w:ind w:left="2554" w:right="405"/>
      </w:pPr>
      <w:r>
        <w:rPr/>
        <w:t>（</w:t>
      </w:r>
      <w:r>
        <w:rPr>
          <w:rFonts w:ascii="Times New Roman" w:eastAsia="Times New Roman"/>
        </w:rPr>
        <w:t>4</w:t>
      </w:r>
      <w:r>
        <w:rPr/>
        <w:t>）疾病确诊 </w:t>
      </w:r>
      <w:r>
        <w:rPr>
          <w:rFonts w:ascii="Times New Roman" w:eastAsia="Times New Roman"/>
        </w:rPr>
        <w:t>180 </w:t>
      </w:r>
      <w:r>
        <w:rPr/>
        <w:t>天以后，被保险人仍完全丧失独立生活能力， </w:t>
      </w:r>
      <w:r>
        <w:rPr>
          <w:w w:val="95"/>
        </w:rPr>
        <w:t>无法独立完成六项基本日常生活活动中的三项或三项以上。</w:t>
      </w:r>
    </w:p>
    <w:p>
      <w:pPr>
        <w:spacing w:after="0" w:line="225" w:lineRule="auto"/>
        <w:sectPr>
          <w:pgSz w:w="11960" w:h="16850"/>
          <w:pgMar w:header="0" w:footer="1001" w:top="1600" w:bottom="1200" w:left="1580" w:right="1640"/>
        </w:sectPr>
      </w:pPr>
    </w:p>
    <w:p>
      <w:pPr>
        <w:pStyle w:val="BodyText"/>
        <w:spacing w:before="71"/>
        <w:ind w:left="111"/>
      </w:pPr>
      <w:r>
        <w:rPr>
          <w:rFonts w:ascii="Times New Roman" w:eastAsia="Times New Roman"/>
        </w:rPr>
        <w:t>29</w:t>
      </w:r>
      <w:r>
        <w:rPr/>
        <w:t>、经输血导致的艾滋病</w:t>
      </w:r>
      <w:r>
        <w:rPr>
          <w:rFonts w:ascii="Times New Roman" w:eastAsia="Times New Roman"/>
          <w:position w:val="2"/>
        </w:rPr>
        <w:t>:   </w:t>
      </w:r>
      <w:r>
        <w:rPr/>
        <w:t>被保险人感染上人类免疫缺陷病毒（</w:t>
      </w:r>
      <w:r>
        <w:rPr>
          <w:rFonts w:ascii="Times New Roman" w:eastAsia="Times New Roman"/>
        </w:rPr>
        <w:t>HIV</w:t>
      </w:r>
      <w:r>
        <w:rPr/>
        <w:t>）并且符合下列所有条件：</w:t>
      </w:r>
    </w:p>
    <w:p>
      <w:pPr>
        <w:spacing w:after="0"/>
        <w:sectPr>
          <w:pgSz w:w="11960" w:h="16850"/>
          <w:pgMar w:header="0" w:footer="1001" w:top="1600" w:bottom="1200" w:left="1580" w:right="1680"/>
        </w:sectPr>
      </w:pPr>
    </w:p>
    <w:p>
      <w:pPr>
        <w:pStyle w:val="BodyText"/>
        <w:spacing w:line="243" w:lineRule="exact"/>
        <w:ind w:left="111"/>
      </w:pPr>
      <w:r>
        <w:rPr>
          <w:w w:val="95"/>
        </w:rPr>
        <w:t>病毒感染</w:t>
      </w:r>
    </w:p>
    <w:p>
      <w:pPr>
        <w:pStyle w:val="BodyText"/>
        <w:spacing w:line="225" w:lineRule="auto"/>
        <w:ind w:left="111" w:right="367"/>
      </w:pPr>
      <w:r>
        <w:rPr/>
        <w:br w:type="column"/>
      </w:r>
      <w:r>
        <w:rPr/>
        <w:t>（</w:t>
      </w:r>
      <w:r>
        <w:rPr>
          <w:rFonts w:ascii="Times New Roman" w:eastAsia="Times New Roman"/>
        </w:rPr>
        <w:t>1</w:t>
      </w:r>
      <w:r>
        <w:rPr/>
        <w:t>）在保障起始日或复效日之后，被保险人因治疗必需而接受输血，并且因输血而感染 </w:t>
      </w:r>
      <w:r>
        <w:rPr>
          <w:rFonts w:ascii="Times New Roman" w:eastAsia="Times New Roman"/>
        </w:rPr>
        <w:t>HIV</w:t>
      </w:r>
      <w:r>
        <w:rPr/>
        <w:t>；</w:t>
      </w:r>
    </w:p>
    <w:p>
      <w:pPr>
        <w:pStyle w:val="BodyText"/>
        <w:spacing w:line="225" w:lineRule="auto"/>
        <w:ind w:left="111" w:right="371"/>
      </w:pPr>
      <w:r>
        <w:rPr/>
        <w:t>（</w:t>
      </w:r>
      <w:r>
        <w:rPr>
          <w:rFonts w:ascii="Times New Roman" w:eastAsia="Times New Roman"/>
        </w:rPr>
        <w:t>2</w:t>
      </w:r>
      <w:r>
        <w:rPr/>
        <w:t>）提供输血治疗的输血中心或医院出具该项输血感染属医疗责</w:t>
      </w:r>
      <w:r>
        <w:rPr>
          <w:w w:val="95"/>
        </w:rPr>
        <w:t>任事故的报告，或者法院终审判决为医疗责任；</w:t>
      </w:r>
    </w:p>
    <w:p>
      <w:pPr>
        <w:pStyle w:val="BodyText"/>
        <w:spacing w:line="265" w:lineRule="exact"/>
        <w:ind w:left="111"/>
      </w:pPr>
      <w:r>
        <w:rPr>
          <w:w w:val="95"/>
        </w:rPr>
        <w:t>（</w:t>
      </w:r>
      <w:r>
        <w:rPr>
          <w:rFonts w:ascii="Times New Roman" w:eastAsia="Times New Roman"/>
          <w:w w:val="95"/>
        </w:rPr>
        <w:t>3</w:t>
      </w:r>
      <w:r>
        <w:rPr>
          <w:w w:val="95"/>
        </w:rPr>
        <w:t>）提供输血治疗的输血中心或医院必须拥有合法经营执照；</w:t>
      </w:r>
    </w:p>
    <w:p>
      <w:pPr>
        <w:pStyle w:val="BodyText"/>
        <w:spacing w:line="259" w:lineRule="exact"/>
        <w:ind w:left="111"/>
      </w:pPr>
      <w:r>
        <w:rPr>
          <w:w w:val="95"/>
        </w:rPr>
        <w:t>（</w:t>
      </w:r>
      <w:r>
        <w:rPr>
          <w:rFonts w:ascii="Times New Roman" w:eastAsia="Times New Roman"/>
          <w:w w:val="95"/>
        </w:rPr>
        <w:t>4</w:t>
      </w:r>
      <w:r>
        <w:rPr>
          <w:w w:val="95"/>
        </w:rPr>
        <w:t>）受感染的被保险人不是血友病患者。</w:t>
      </w:r>
    </w:p>
    <w:p>
      <w:pPr>
        <w:pStyle w:val="BodyText"/>
        <w:spacing w:line="259" w:lineRule="exact"/>
        <w:ind w:left="111"/>
        <w:rPr>
          <w:rFonts w:ascii="Times New Roman" w:eastAsia="Times New Roman"/>
        </w:rPr>
      </w:pPr>
      <w:r>
        <w:rPr/>
        <w:t>任何因其他传播方式（包括：性传播或静脉注射毒品）导致的 </w:t>
      </w:r>
      <w:r>
        <w:rPr>
          <w:rFonts w:ascii="Times New Roman" w:eastAsia="Times New Roman"/>
        </w:rPr>
        <w:t>HIV</w:t>
      </w:r>
    </w:p>
    <w:p>
      <w:pPr>
        <w:pStyle w:val="BodyText"/>
        <w:spacing w:line="253" w:lineRule="exact"/>
        <w:ind w:left="111"/>
      </w:pPr>
      <w:r>
        <w:rPr>
          <w:w w:val="95"/>
        </w:rPr>
        <w:t>感染不在本保单保障范围内。</w:t>
      </w:r>
    </w:p>
    <w:p>
      <w:pPr>
        <w:spacing w:after="0" w:line="253" w:lineRule="exact"/>
        <w:sectPr>
          <w:type w:val="continuous"/>
          <w:pgSz w:w="11960" w:h="16850"/>
          <w:pgMar w:top="280" w:bottom="1200" w:left="1580" w:right="1680"/>
          <w:cols w:num="2" w:equalWidth="0">
            <w:col w:w="909" w:space="1534"/>
            <w:col w:w="6257"/>
          </w:cols>
        </w:sectPr>
      </w:pPr>
    </w:p>
    <w:p>
      <w:pPr>
        <w:pStyle w:val="BodyText"/>
        <w:spacing w:line="225" w:lineRule="auto" w:before="13"/>
        <w:ind w:left="2554" w:right="363" w:hanging="2444"/>
        <w:jc w:val="both"/>
      </w:pPr>
      <w:r>
        <w:rPr>
          <w:rFonts w:ascii="Times New Roman" w:eastAsia="Times New Roman"/>
        </w:rPr>
        <w:t>30</w:t>
      </w:r>
      <w:r>
        <w:rPr/>
        <w:t>、严重心肌炎        </w:t>
      </w:r>
      <w:r>
        <w:rPr>
          <w:rFonts w:ascii="Times New Roman" w:eastAsia="Times New Roman"/>
          <w:position w:val="2"/>
        </w:rPr>
        <w:t>: </w:t>
      </w:r>
      <w:r>
        <w:rPr/>
        <w:t>指心肌局限性或弥漫性的急性或慢性炎症病变，导致心脏功能障碍，达到美国纽约心脏病学会心功能状态分级 </w:t>
      </w:r>
      <w:r>
        <w:rPr>
          <w:rFonts w:ascii="Times New Roman" w:eastAsia="Times New Roman"/>
        </w:rPr>
        <w:t>IV </w:t>
      </w:r>
      <w:r>
        <w:rPr/>
        <w:t>级，且持续至少</w:t>
      </w:r>
    </w:p>
    <w:p>
      <w:pPr>
        <w:pStyle w:val="BodyText"/>
        <w:spacing w:line="253" w:lineRule="exact"/>
        <w:ind w:left="2554"/>
      </w:pPr>
      <w:r>
        <w:rPr>
          <w:rFonts w:ascii="Times New Roman" w:eastAsia="Times New Roman"/>
        </w:rPr>
        <w:t>90 </w:t>
      </w:r>
      <w:r>
        <w:rPr/>
        <w:t>天。</w:t>
      </w:r>
    </w:p>
    <w:p>
      <w:pPr>
        <w:pStyle w:val="BodyText"/>
        <w:spacing w:line="230" w:lineRule="auto" w:before="2"/>
        <w:ind w:left="2554" w:right="365" w:hanging="2444"/>
        <w:jc w:val="both"/>
      </w:pPr>
      <w:r>
        <w:rPr>
          <w:rFonts w:ascii="Times New Roman" w:eastAsia="Times New Roman"/>
        </w:rPr>
        <w:t>31</w:t>
      </w:r>
      <w:r>
        <w:rPr>
          <w:spacing w:val="1"/>
        </w:rPr>
        <w:t>、系统性红斑狼疮   </w:t>
      </w:r>
      <w:r>
        <w:rPr>
          <w:rFonts w:ascii="Times New Roman" w:eastAsia="Times New Roman"/>
          <w:position w:val="2"/>
        </w:rPr>
        <w:t>:   </w:t>
      </w:r>
      <w:r>
        <w:rPr>
          <w:spacing w:val="3"/>
        </w:rPr>
        <w:t>红斑狼疮是指由于自身抗体和免疫复合物的沉积破坏了血管和细</w:t>
      </w:r>
      <w:r>
        <w:rPr/>
        <w:t>胞而导致的累及多系统损害的一种自体免疫性疾病。本保障仅限于</w:t>
      </w:r>
      <w:r>
        <w:rPr>
          <w:spacing w:val="-1"/>
        </w:rPr>
        <w:t>被保险人因系统性红斑狼疮并发狼疮性肾炎并引起肾功能损害，且</w:t>
      </w:r>
      <w:r>
        <w:rPr/>
        <w:t>肾脏病理诊断符合以下列明的世界卫生组织（</w:t>
      </w:r>
      <w:r>
        <w:rPr>
          <w:rFonts w:ascii="Times New Roman" w:eastAsia="Times New Roman"/>
        </w:rPr>
        <w:t>WHO</w:t>
      </w:r>
      <w:r>
        <w:rPr/>
        <w:t>）对狼疮性肾</w:t>
      </w:r>
      <w:r>
        <w:rPr>
          <w:spacing w:val="-7"/>
        </w:rPr>
        <w:t>炎所分类中的第 </w:t>
      </w:r>
      <w:r>
        <w:rPr>
          <w:rFonts w:ascii="Times New Roman" w:eastAsia="Times New Roman"/>
        </w:rPr>
        <w:t>III</w:t>
      </w:r>
      <w:r>
        <w:rPr>
          <w:spacing w:val="-25"/>
        </w:rPr>
        <w:t>、</w:t>
      </w:r>
      <w:r>
        <w:rPr>
          <w:rFonts w:ascii="Times New Roman" w:eastAsia="Times New Roman"/>
        </w:rPr>
        <w:t>IV</w:t>
      </w:r>
      <w:r>
        <w:rPr>
          <w:spacing w:val="-25"/>
        </w:rPr>
        <w:t>、</w:t>
      </w:r>
      <w:r>
        <w:rPr>
          <w:rFonts w:ascii="Times New Roman" w:eastAsia="Times New Roman"/>
        </w:rPr>
        <w:t>V</w:t>
      </w:r>
      <w:r>
        <w:rPr>
          <w:spacing w:val="-25"/>
        </w:rPr>
        <w:t>、</w:t>
      </w:r>
      <w:r>
        <w:rPr>
          <w:rFonts w:ascii="Times New Roman" w:eastAsia="Times New Roman"/>
        </w:rPr>
        <w:t>VI </w:t>
      </w:r>
      <w:r>
        <w:rPr>
          <w:spacing w:val="-5"/>
        </w:rPr>
        <w:t>型。诊断须由有资格的风湿和免疫</w:t>
      </w:r>
      <w:r>
        <w:rPr>
          <w:spacing w:val="-5"/>
          <w:w w:val="95"/>
        </w:rPr>
        <w:t>病专科医生确认。</w:t>
      </w:r>
    </w:p>
    <w:p>
      <w:pPr>
        <w:pStyle w:val="BodyText"/>
        <w:spacing w:line="265" w:lineRule="exact"/>
        <w:ind w:left="2554"/>
        <w:rPr>
          <w:rFonts w:ascii="Times New Roman" w:eastAsia="Times New Roman"/>
        </w:rPr>
      </w:pPr>
      <w:r>
        <w:rPr>
          <w:w w:val="95"/>
        </w:rPr>
        <w:t>世界卫生组织（</w:t>
      </w:r>
      <w:r>
        <w:rPr>
          <w:rFonts w:ascii="Times New Roman" w:eastAsia="Times New Roman"/>
          <w:w w:val="95"/>
        </w:rPr>
        <w:t>WHO</w:t>
      </w:r>
      <w:r>
        <w:rPr>
          <w:w w:val="95"/>
        </w:rPr>
        <w:t>）对狼疮性肾炎的分类标准</w:t>
      </w:r>
      <w:r>
        <w:rPr>
          <w:rFonts w:ascii="Times New Roman" w:eastAsia="Times New Roman"/>
          <w:w w:val="95"/>
        </w:rPr>
        <w:t>:</w:t>
      </w:r>
    </w:p>
    <w:p>
      <w:pPr>
        <w:pStyle w:val="ListParagraph"/>
        <w:numPr>
          <w:ilvl w:val="0"/>
          <w:numId w:val="3"/>
        </w:numPr>
        <w:tabs>
          <w:tab w:pos="2723" w:val="left" w:leader="none"/>
        </w:tabs>
        <w:spacing w:line="259" w:lineRule="exact" w:before="0" w:after="0"/>
        <w:ind w:left="2722" w:right="0" w:hanging="168"/>
        <w:jc w:val="left"/>
        <w:rPr>
          <w:sz w:val="20"/>
        </w:rPr>
      </w:pPr>
      <w:r>
        <w:rPr>
          <w:spacing w:val="-2"/>
          <w:sz w:val="20"/>
        </w:rPr>
        <w:t>型 </w:t>
      </w:r>
      <w:r>
        <w:rPr>
          <w:rFonts w:ascii="Times New Roman" w:eastAsia="Times New Roman"/>
          <w:spacing w:val="22"/>
          <w:sz w:val="20"/>
        </w:rPr>
        <w:t>- </w:t>
      </w:r>
      <w:r>
        <w:rPr>
          <w:sz w:val="20"/>
        </w:rPr>
        <w:t>正常肾小球型；</w:t>
      </w:r>
    </w:p>
    <w:p>
      <w:pPr>
        <w:pStyle w:val="ListParagraph"/>
        <w:numPr>
          <w:ilvl w:val="0"/>
          <w:numId w:val="3"/>
        </w:numPr>
        <w:tabs>
          <w:tab w:pos="2791" w:val="left" w:leader="none"/>
        </w:tabs>
        <w:spacing w:line="259" w:lineRule="exact" w:before="0" w:after="0"/>
        <w:ind w:left="2790" w:right="0" w:hanging="236"/>
        <w:jc w:val="left"/>
        <w:rPr>
          <w:sz w:val="20"/>
        </w:rPr>
      </w:pPr>
      <w:r>
        <w:rPr>
          <w:spacing w:val="-1"/>
          <w:sz w:val="20"/>
        </w:rPr>
        <w:t>型 </w:t>
      </w:r>
      <w:r>
        <w:rPr>
          <w:rFonts w:ascii="Times New Roman" w:eastAsia="Times New Roman"/>
          <w:spacing w:val="22"/>
          <w:sz w:val="20"/>
        </w:rPr>
        <w:t>- </w:t>
      </w:r>
      <w:r>
        <w:rPr>
          <w:sz w:val="20"/>
        </w:rPr>
        <w:t>系膜增生型；</w:t>
      </w:r>
    </w:p>
    <w:p>
      <w:pPr>
        <w:pStyle w:val="ListParagraph"/>
        <w:numPr>
          <w:ilvl w:val="0"/>
          <w:numId w:val="3"/>
        </w:numPr>
        <w:tabs>
          <w:tab w:pos="2858" w:val="left" w:leader="none"/>
        </w:tabs>
        <w:spacing w:line="259" w:lineRule="exact" w:before="0" w:after="0"/>
        <w:ind w:left="2857" w:right="0" w:hanging="303"/>
        <w:jc w:val="left"/>
        <w:rPr>
          <w:sz w:val="20"/>
        </w:rPr>
      </w:pPr>
      <w:r>
        <w:rPr>
          <w:spacing w:val="-2"/>
          <w:sz w:val="20"/>
        </w:rPr>
        <w:t>型 </w:t>
      </w:r>
      <w:r>
        <w:rPr>
          <w:rFonts w:ascii="Times New Roman" w:eastAsia="Times New Roman"/>
          <w:spacing w:val="22"/>
          <w:sz w:val="20"/>
        </w:rPr>
        <w:t>- </w:t>
      </w:r>
      <w:r>
        <w:rPr>
          <w:sz w:val="20"/>
        </w:rPr>
        <w:t>局灶及节段增生型；</w:t>
      </w:r>
    </w:p>
    <w:p>
      <w:pPr>
        <w:pStyle w:val="ListParagraph"/>
        <w:numPr>
          <w:ilvl w:val="0"/>
          <w:numId w:val="3"/>
        </w:numPr>
        <w:tabs>
          <w:tab w:pos="2863" w:val="left" w:leader="none"/>
        </w:tabs>
        <w:spacing w:line="259" w:lineRule="exact" w:before="0" w:after="0"/>
        <w:ind w:left="2862" w:right="0" w:hanging="308"/>
        <w:jc w:val="left"/>
        <w:rPr>
          <w:sz w:val="20"/>
        </w:rPr>
      </w:pPr>
      <w:r>
        <w:rPr>
          <w:spacing w:val="-1"/>
          <w:sz w:val="20"/>
        </w:rPr>
        <w:t>型 </w:t>
      </w:r>
      <w:r>
        <w:rPr>
          <w:rFonts w:ascii="Times New Roman" w:eastAsia="Times New Roman"/>
          <w:spacing w:val="22"/>
          <w:sz w:val="20"/>
        </w:rPr>
        <w:t>- </w:t>
      </w:r>
      <w:r>
        <w:rPr>
          <w:sz w:val="20"/>
        </w:rPr>
        <w:t>弥漫增生型；</w:t>
      </w:r>
    </w:p>
    <w:p>
      <w:pPr>
        <w:pStyle w:val="ListParagraph"/>
        <w:numPr>
          <w:ilvl w:val="0"/>
          <w:numId w:val="3"/>
        </w:numPr>
        <w:tabs>
          <w:tab w:pos="2795" w:val="left" w:leader="none"/>
        </w:tabs>
        <w:spacing w:line="260" w:lineRule="exact" w:before="0" w:after="0"/>
        <w:ind w:left="2794" w:right="0" w:hanging="240"/>
        <w:jc w:val="left"/>
        <w:rPr>
          <w:sz w:val="20"/>
        </w:rPr>
      </w:pPr>
      <w:r>
        <w:rPr>
          <w:spacing w:val="-1"/>
          <w:sz w:val="20"/>
        </w:rPr>
        <w:t>型 </w:t>
      </w:r>
      <w:r>
        <w:rPr>
          <w:rFonts w:ascii="Times New Roman" w:eastAsia="Times New Roman"/>
          <w:spacing w:val="22"/>
          <w:sz w:val="20"/>
        </w:rPr>
        <w:t>- </w:t>
      </w:r>
      <w:r>
        <w:rPr>
          <w:sz w:val="20"/>
        </w:rPr>
        <w:t>膜型；</w:t>
      </w:r>
    </w:p>
    <w:p>
      <w:pPr>
        <w:pStyle w:val="ListParagraph"/>
        <w:numPr>
          <w:ilvl w:val="0"/>
          <w:numId w:val="3"/>
        </w:numPr>
        <w:tabs>
          <w:tab w:pos="2867" w:val="left" w:leader="none"/>
        </w:tabs>
        <w:spacing w:line="260" w:lineRule="exact" w:before="0" w:after="0"/>
        <w:ind w:left="2866" w:right="0" w:hanging="312"/>
        <w:jc w:val="left"/>
        <w:rPr>
          <w:sz w:val="20"/>
        </w:rPr>
      </w:pPr>
      <w:r>
        <w:rPr>
          <w:spacing w:val="-2"/>
          <w:sz w:val="20"/>
        </w:rPr>
        <w:t>型 </w:t>
      </w:r>
      <w:r>
        <w:rPr>
          <w:rFonts w:ascii="Times New Roman" w:eastAsia="Times New Roman"/>
          <w:spacing w:val="22"/>
          <w:sz w:val="20"/>
        </w:rPr>
        <w:t>- </w:t>
      </w:r>
      <w:r>
        <w:rPr>
          <w:sz w:val="20"/>
        </w:rPr>
        <w:t>肾小球硬化型。</w:t>
      </w:r>
    </w:p>
    <w:p>
      <w:pPr>
        <w:pStyle w:val="BodyText"/>
        <w:spacing w:line="232" w:lineRule="auto"/>
        <w:ind w:left="2554" w:right="337" w:hanging="2444"/>
        <w:jc w:val="both"/>
      </w:pPr>
      <w:r>
        <w:rPr>
          <w:rFonts w:ascii="Times New Roman" w:eastAsia="Times New Roman"/>
        </w:rPr>
        <w:t>32</w:t>
      </w:r>
      <w:r>
        <w:rPr>
          <w:spacing w:val="1"/>
        </w:rPr>
        <w:t>、严重溃疡性结肠炎 </w:t>
      </w:r>
      <w:r>
        <w:rPr>
          <w:rFonts w:ascii="Times New Roman" w:eastAsia="Times New Roman"/>
          <w:position w:val="2"/>
        </w:rPr>
        <w:t>:  </w:t>
      </w:r>
      <w:r>
        <w:rPr>
          <w:spacing w:val="-2"/>
        </w:rPr>
        <w:t>指伴有致命性电解质紊乱的急性暴发性溃疡性结肠炎，病变累及全</w:t>
      </w:r>
      <w:r>
        <w:rPr>
          <w:spacing w:val="-6"/>
        </w:rPr>
        <w:t>结肠，表现为严重的血便和系统性症状体征，治疗通常采取全结肠切除和回肠造瘘术。溃疡性结肠炎必须根据组织病理学特点诊断， </w:t>
      </w:r>
      <w:r>
        <w:rPr>
          <w:spacing w:val="-6"/>
          <w:w w:val="95"/>
        </w:rPr>
        <w:t>并且被保险人已经接受了结肠切除和</w:t>
      </w:r>
      <w:r>
        <w:rPr>
          <w:rFonts w:ascii="Times New Roman" w:eastAsia="Times New Roman"/>
          <w:spacing w:val="-6"/>
          <w:w w:val="95"/>
        </w:rPr>
        <w:t>/</w:t>
      </w:r>
      <w:r>
        <w:rPr>
          <w:spacing w:val="-6"/>
          <w:w w:val="95"/>
        </w:rPr>
        <w:t>或回肠造瘘术。</w:t>
      </w:r>
    </w:p>
    <w:p>
      <w:pPr>
        <w:pStyle w:val="BodyText"/>
        <w:tabs>
          <w:tab w:pos="2343" w:val="left" w:leader="none"/>
        </w:tabs>
        <w:spacing w:line="230" w:lineRule="auto"/>
        <w:ind w:left="2554" w:right="366" w:hanging="2444"/>
        <w:jc w:val="both"/>
      </w:pPr>
      <w:r>
        <w:rPr>
          <w:rFonts w:ascii="Times New Roman" w:eastAsia="Times New Roman"/>
        </w:rPr>
        <w:t>33</w:t>
      </w:r>
      <w:r>
        <w:rPr/>
        <w:t>、植物人</w:t>
        <w:tab/>
      </w:r>
      <w:r>
        <w:rPr>
          <w:rFonts w:ascii="Times New Roman" w:eastAsia="Times New Roman"/>
          <w:position w:val="2"/>
        </w:rPr>
        <w:t>:   </w:t>
      </w:r>
      <w:r>
        <w:rPr/>
        <w:t>指经神经科医生确诊，</w:t>
      </w:r>
      <w:r>
        <w:rPr>
          <w:rFonts w:ascii="Times New Roman" w:eastAsia="Times New Roman"/>
        </w:rPr>
        <w:t>CT</w:t>
      </w:r>
      <w:r>
        <w:rPr/>
        <w:t>、</w:t>
      </w:r>
      <w:r>
        <w:rPr>
          <w:rFonts w:ascii="Times New Roman" w:eastAsia="Times New Roman"/>
          <w:spacing w:val="-5"/>
        </w:rPr>
        <w:t>MRT </w:t>
      </w:r>
      <w:r>
        <w:rPr>
          <w:rFonts w:ascii="Times New Roman" w:eastAsia="Times New Roman"/>
          <w:spacing w:val="-2"/>
        </w:rPr>
        <w:t> </w:t>
      </w:r>
      <w:r>
        <w:rPr/>
        <w:t>等证实大脑皮质全面坏死。患者临床表现意识完全丧失</w:t>
      </w:r>
      <w:r>
        <w:rPr>
          <w:spacing w:val="-15"/>
        </w:rPr>
        <w:t>，</w:t>
      </w:r>
      <w:r>
        <w:rPr/>
        <w:t>但脑干功能仍保持完好</w:t>
      </w:r>
      <w:r>
        <w:rPr>
          <w:spacing w:val="-13"/>
        </w:rPr>
        <w:t>，</w:t>
      </w:r>
      <w:r>
        <w:rPr/>
        <w:t>且此情况持续一</w:t>
      </w:r>
      <w:r>
        <w:rPr>
          <w:w w:val="95"/>
        </w:rPr>
        <w:t>个月或者一个月以上。</w:t>
      </w:r>
    </w:p>
    <w:p>
      <w:pPr>
        <w:pStyle w:val="BodyText"/>
        <w:spacing w:line="228" w:lineRule="auto" w:before="18"/>
        <w:ind w:left="2554" w:right="365" w:hanging="2444"/>
        <w:jc w:val="both"/>
      </w:pPr>
      <w:r>
        <w:rPr>
          <w:rFonts w:ascii="Times New Roman" w:eastAsia="Times New Roman"/>
        </w:rPr>
        <w:t>34</w:t>
      </w:r>
      <w:r>
        <w:rPr>
          <w:spacing w:val="1"/>
        </w:rPr>
        <w:t>、慢性复发性胰腺炎 </w:t>
      </w:r>
      <w:r>
        <w:rPr>
          <w:rFonts w:ascii="Times New Roman" w:eastAsia="Times New Roman"/>
          <w:spacing w:val="23"/>
          <w:position w:val="2"/>
        </w:rPr>
        <w:t>: </w:t>
      </w:r>
      <w:r>
        <w:rPr>
          <w:spacing w:val="-2"/>
        </w:rPr>
        <w:t>有腹痛等典型症状的胰腺炎反复发作超过三次以上，导致胰腺进行</w:t>
      </w:r>
      <w:r>
        <w:rPr>
          <w:spacing w:val="-5"/>
        </w:rPr>
        <w:t>性破坏，并导致胰腺功能紊乱而导致严重糖尿病以及营养不良、恶液质。</w:t>
      </w:r>
      <w:r>
        <w:rPr>
          <w:rFonts w:ascii="Times New Roman" w:eastAsia="Times New Roman"/>
          <w:spacing w:val="-5"/>
        </w:rPr>
        <w:t>CT </w:t>
      </w:r>
      <w:r>
        <w:rPr/>
        <w:t>检查证实胰腺存在广泛钙化，且必须接受酶替代以及胰</w:t>
      </w:r>
      <w:r>
        <w:rPr>
          <w:spacing w:val="-8"/>
        </w:rPr>
        <w:t>岛素替代治疗 </w:t>
      </w:r>
      <w:r>
        <w:rPr>
          <w:rFonts w:ascii="Times New Roman" w:eastAsia="Times New Roman"/>
        </w:rPr>
        <w:t>6 </w:t>
      </w:r>
      <w:r>
        <w:rPr>
          <w:spacing w:val="-4"/>
        </w:rPr>
        <w:t>个月以上。诊断必须有消化科专科医生确诊。酒精</w:t>
      </w:r>
      <w:r>
        <w:rPr>
          <w:spacing w:val="-4"/>
          <w:w w:val="95"/>
        </w:rPr>
        <w:t>导致的慢性复发性胰腺炎除外。</w:t>
      </w:r>
    </w:p>
    <w:p>
      <w:pPr>
        <w:pStyle w:val="BodyText"/>
        <w:tabs>
          <w:tab w:pos="2343" w:val="left" w:leader="none"/>
        </w:tabs>
        <w:spacing w:line="232" w:lineRule="auto" w:before="6"/>
        <w:ind w:left="2554" w:right="366" w:hanging="2444"/>
      </w:pPr>
      <w:r>
        <w:rPr>
          <w:rFonts w:ascii="Times New Roman" w:eastAsia="Times New Roman"/>
        </w:rPr>
        <w:t>35</w:t>
      </w:r>
      <w:r>
        <w:rPr/>
        <w:t>、急性坏死性胰腺炎</w:t>
        <w:tab/>
      </w:r>
      <w:r>
        <w:rPr>
          <w:rFonts w:ascii="Times New Roman" w:eastAsia="Times New Roman"/>
          <w:position w:val="2"/>
        </w:rPr>
        <w:t>:   </w:t>
      </w:r>
      <w:r>
        <w:rPr/>
        <w:t>指由专科医生确诊为急性出血坏死性胰腺炎</w:t>
      </w:r>
      <w:r>
        <w:rPr>
          <w:spacing w:val="-29"/>
        </w:rPr>
        <w:t>，</w:t>
      </w:r>
      <w:r>
        <w:rPr/>
        <w:t>并已经接受了外科开腹手术治疗，以进行坏死组织清除、坏死病灶切除或胰腺切除。</w:t>
      </w:r>
      <w:r>
        <w:rPr>
          <w:spacing w:val="5"/>
        </w:rPr>
        <w:t>因饮酒所致的急性出血坏死性胰腺炎或经腹腔</w:t>
      </w:r>
      <w:r>
        <w:rPr/>
        <w:t>镜</w:t>
      </w:r>
      <w:r>
        <w:rPr>
          <w:spacing w:val="5"/>
        </w:rPr>
        <w:t>手术进行的治</w:t>
      </w:r>
      <w:r>
        <w:rPr/>
        <w:t>疗</w:t>
      </w:r>
      <w:r>
        <w:rPr>
          <w:w w:val="95"/>
        </w:rPr>
        <w:t>不在保障范围内。</w:t>
      </w:r>
    </w:p>
    <w:p>
      <w:pPr>
        <w:spacing w:after="0" w:line="232" w:lineRule="auto"/>
        <w:sectPr>
          <w:type w:val="continuous"/>
          <w:pgSz w:w="11960" w:h="16850"/>
          <w:pgMar w:top="280" w:bottom="1200" w:left="1580" w:right="1680"/>
        </w:sectPr>
      </w:pPr>
    </w:p>
    <w:p>
      <w:pPr>
        <w:pStyle w:val="BodyText"/>
        <w:spacing w:before="71"/>
        <w:ind w:left="111"/>
      </w:pPr>
      <w:r>
        <w:rPr>
          <w:rFonts w:ascii="Times New Roman" w:eastAsia="Times New Roman"/>
        </w:rPr>
        <w:t>36</w:t>
      </w:r>
      <w:r>
        <w:rPr/>
        <w:t>、进行性系统性硬化（硬</w:t>
      </w:r>
      <w:r>
        <w:rPr>
          <w:rFonts w:ascii="Times New Roman" w:eastAsia="Times New Roman"/>
          <w:position w:val="2"/>
        </w:rPr>
        <w:t>:  </w:t>
      </w:r>
      <w:r>
        <w:rPr/>
        <w:t>是一种以皮肤、血管和内脏器官的进行性、弥漫性纤维化为特点的</w:t>
      </w:r>
    </w:p>
    <w:p>
      <w:pPr>
        <w:spacing w:after="0"/>
        <w:sectPr>
          <w:pgSz w:w="11960" w:h="16850"/>
          <w:pgMar w:header="0" w:footer="1001" w:top="1600" w:bottom="1200" w:left="1580" w:right="1680"/>
        </w:sectPr>
      </w:pPr>
    </w:p>
    <w:p>
      <w:pPr>
        <w:pStyle w:val="BodyText"/>
        <w:spacing w:line="243" w:lineRule="exact"/>
        <w:ind w:left="111"/>
      </w:pPr>
      <w:r>
        <w:rPr>
          <w:w w:val="95"/>
        </w:rPr>
        <w:t>皮病）</w:t>
      </w:r>
    </w:p>
    <w:p>
      <w:pPr>
        <w:pStyle w:val="BodyText"/>
        <w:spacing w:line="260" w:lineRule="exact" w:before="7"/>
        <w:ind w:left="111" w:right="367"/>
        <w:jc w:val="both"/>
      </w:pPr>
      <w:r>
        <w:rPr/>
        <w:br w:type="column"/>
      </w:r>
      <w:r>
        <w:rPr>
          <w:spacing w:val="-4"/>
        </w:rPr>
        <w:t>系统性结缔组织病。须经专科医生根据组织活检和血清学检查结果</w:t>
      </w:r>
      <w:r>
        <w:rPr/>
        <w:t>作出明确诊断并提供下列一项或一项以上内脏器官受累的检查报</w:t>
      </w:r>
      <w:r>
        <w:rPr>
          <w:w w:val="95"/>
        </w:rPr>
        <w:t>告及诊疗记录：</w:t>
      </w:r>
    </w:p>
    <w:p>
      <w:pPr>
        <w:pStyle w:val="BodyText"/>
        <w:spacing w:line="234" w:lineRule="exact"/>
        <w:ind w:left="111"/>
      </w:pPr>
      <w:r>
        <w:rPr>
          <w:w w:val="95"/>
        </w:rPr>
        <w:t>肺脏：肺纤维化，已经发展为肺动脉高压、肺心病；</w:t>
      </w:r>
    </w:p>
    <w:p>
      <w:pPr>
        <w:pStyle w:val="BodyText"/>
        <w:spacing w:line="237" w:lineRule="auto" w:before="1"/>
        <w:ind w:left="111" w:right="324"/>
      </w:pPr>
      <w:r>
        <w:rPr/>
        <w:t>心脏：心室功能受损，至少达到美国纽约心脏病学会心功能状态分</w:t>
      </w:r>
      <w:r>
        <w:rPr>
          <w:w w:val="95"/>
        </w:rPr>
        <w:t>级Ⅲ级；</w:t>
      </w:r>
    </w:p>
    <w:p>
      <w:pPr>
        <w:pStyle w:val="BodyText"/>
        <w:spacing w:line="237" w:lineRule="auto"/>
        <w:ind w:left="111" w:right="2537"/>
      </w:pPr>
      <w:r>
        <w:rPr/>
        <w:t>肾脏：肾脏受损，已经出现肾功能不全。</w:t>
      </w:r>
      <w:r>
        <w:rPr>
          <w:w w:val="95"/>
        </w:rPr>
        <w:t>下列疾病不在保障范围内：</w:t>
      </w:r>
    </w:p>
    <w:p>
      <w:pPr>
        <w:pStyle w:val="BodyText"/>
        <w:spacing w:line="265" w:lineRule="exact"/>
        <w:ind w:left="515"/>
      </w:pPr>
      <w:r>
        <w:rPr>
          <w:spacing w:val="-1"/>
          <w:w w:val="99"/>
        </w:rPr>
        <w:t>（</w:t>
      </w:r>
      <w:r>
        <w:rPr>
          <w:rFonts w:ascii="Times New Roman" w:eastAsia="Times New Roman"/>
          <w:spacing w:val="0"/>
          <w:w w:val="99"/>
        </w:rPr>
        <w:t>1</w:t>
      </w:r>
      <w:r>
        <w:rPr>
          <w:spacing w:val="-1"/>
          <w:w w:val="99"/>
        </w:rPr>
        <w:t>）局部性硬皮病</w:t>
      </w:r>
      <w:r>
        <w:rPr>
          <w:spacing w:val="1"/>
          <w:w w:val="99"/>
        </w:rPr>
        <w:t>（</w:t>
      </w:r>
      <w:r>
        <w:rPr>
          <w:spacing w:val="-1"/>
          <w:w w:val="99"/>
        </w:rPr>
        <w:t>如：带状硬皮病、硬斑病</w:t>
      </w:r>
      <w:r>
        <w:rPr>
          <w:spacing w:val="-99"/>
          <w:w w:val="99"/>
        </w:rPr>
        <w:t>）</w:t>
      </w:r>
      <w:r>
        <w:rPr>
          <w:w w:val="99"/>
        </w:rPr>
        <w:t>；</w:t>
      </w:r>
    </w:p>
    <w:p>
      <w:pPr>
        <w:pStyle w:val="BodyText"/>
        <w:spacing w:line="260" w:lineRule="exact"/>
        <w:ind w:left="515"/>
      </w:pPr>
      <w:r>
        <w:rPr>
          <w:w w:val="95"/>
        </w:rPr>
        <w:t>（</w:t>
      </w:r>
      <w:r>
        <w:rPr>
          <w:rFonts w:ascii="Times New Roman" w:eastAsia="Times New Roman"/>
          <w:w w:val="95"/>
        </w:rPr>
        <w:t>2</w:t>
      </w:r>
      <w:r>
        <w:rPr>
          <w:w w:val="95"/>
        </w:rPr>
        <w:t>）嗜酸性粒细胞性筋膜炎；</w:t>
      </w:r>
    </w:p>
    <w:p>
      <w:pPr>
        <w:pStyle w:val="ListParagraph"/>
        <w:numPr>
          <w:ilvl w:val="1"/>
          <w:numId w:val="2"/>
        </w:numPr>
        <w:tabs>
          <w:tab w:pos="1016" w:val="left" w:leader="none"/>
        </w:tabs>
        <w:spacing w:line="269" w:lineRule="exact" w:before="0" w:after="0"/>
        <w:ind w:left="1015" w:right="0" w:hanging="500"/>
        <w:jc w:val="left"/>
        <w:rPr>
          <w:sz w:val="20"/>
        </w:rPr>
      </w:pPr>
      <w:r>
        <w:rPr>
          <w:rFonts w:ascii="Times New Roman" w:eastAsia="Times New Roman"/>
          <w:sz w:val="20"/>
        </w:rPr>
        <w:t>CREST</w:t>
      </w:r>
      <w:r>
        <w:rPr>
          <w:rFonts w:ascii="Times New Roman" w:eastAsia="Times New Roman"/>
          <w:spacing w:val="-7"/>
          <w:sz w:val="20"/>
        </w:rPr>
        <w:t> </w:t>
      </w:r>
      <w:r>
        <w:rPr>
          <w:sz w:val="20"/>
        </w:rPr>
        <w:t>综合征。</w:t>
      </w:r>
    </w:p>
    <w:p>
      <w:pPr>
        <w:spacing w:after="0" w:line="269" w:lineRule="exact"/>
        <w:jc w:val="left"/>
        <w:rPr>
          <w:sz w:val="20"/>
        </w:rPr>
        <w:sectPr>
          <w:type w:val="continuous"/>
          <w:pgSz w:w="11960" w:h="16850"/>
          <w:pgMar w:top="280" w:bottom="1200" w:left="1580" w:right="1680"/>
          <w:cols w:num="2" w:equalWidth="0">
            <w:col w:w="710" w:space="1733"/>
            <w:col w:w="6257"/>
          </w:cols>
        </w:sectPr>
      </w:pPr>
    </w:p>
    <w:p>
      <w:pPr>
        <w:pStyle w:val="BodyText"/>
        <w:spacing w:line="232" w:lineRule="auto"/>
        <w:ind w:left="2554" w:right="366" w:hanging="2444"/>
        <w:jc w:val="both"/>
      </w:pPr>
      <w:r>
        <w:rPr>
          <w:rFonts w:ascii="Times New Roman" w:eastAsia="Times New Roman"/>
        </w:rPr>
        <w:t>37</w:t>
      </w:r>
      <w:r>
        <w:rPr>
          <w:spacing w:val="1"/>
        </w:rPr>
        <w:t>、重症肌无力       </w:t>
      </w:r>
      <w:r>
        <w:rPr>
          <w:rFonts w:ascii="Times New Roman" w:eastAsia="Times New Roman"/>
          <w:position w:val="2"/>
        </w:rPr>
        <w:t>:   </w:t>
      </w:r>
      <w:r>
        <w:rPr>
          <w:spacing w:val="-2"/>
        </w:rPr>
        <w:t>指一种神经与肌肉接头部位传递障碍的自身免疫性疾病，临床特征</w:t>
      </w:r>
      <w:r>
        <w:rPr>
          <w:spacing w:val="-4"/>
        </w:rPr>
        <w:t>是局部或全身横纹肌于活动时易于疲劳无力，颅神经眼外肌最易累</w:t>
      </w:r>
      <w:r>
        <w:rPr>
          <w:spacing w:val="-6"/>
        </w:rPr>
        <w:t>及，也可涉及呼吸肌、下肢近端肌群乃至全身肌肉，须经本公司认</w:t>
      </w:r>
      <w:r>
        <w:rPr>
          <w:spacing w:val="-6"/>
          <w:w w:val="95"/>
        </w:rPr>
        <w:t>可的神经科医师确诊。其诊断必须同时具有下列情况：</w:t>
      </w:r>
    </w:p>
    <w:p>
      <w:pPr>
        <w:pStyle w:val="BodyText"/>
        <w:spacing w:line="225" w:lineRule="auto" w:before="16"/>
        <w:ind w:left="2554" w:right="366"/>
      </w:pPr>
      <w:r>
        <w:rPr/>
        <w:t>（</w:t>
      </w:r>
      <w:r>
        <w:rPr>
          <w:rFonts w:ascii="Times New Roman" w:eastAsia="Times New Roman"/>
        </w:rPr>
        <w:t>1</w:t>
      </w:r>
      <w:r>
        <w:rPr/>
        <w:t>）经药物、胸腺手术治疗一年以上无法控制病情，丧失正常工</w:t>
      </w:r>
      <w:r>
        <w:rPr>
          <w:w w:val="95"/>
        </w:rPr>
        <w:t>作能力；</w:t>
      </w:r>
    </w:p>
    <w:p>
      <w:pPr>
        <w:pStyle w:val="BodyText"/>
        <w:spacing w:line="225" w:lineRule="auto" w:before="13"/>
        <w:ind w:left="2554" w:right="366"/>
      </w:pPr>
      <w:r>
        <w:rPr/>
        <w:t>（</w:t>
      </w:r>
      <w:r>
        <w:rPr>
          <w:rFonts w:ascii="Times New Roman" w:eastAsia="Times New Roman"/>
        </w:rPr>
        <w:t>2</w:t>
      </w:r>
      <w:r>
        <w:rPr/>
        <w:t>）出现眼睑下垂，或构音困难、进食呛咳，或由于肌无力累及</w:t>
      </w:r>
      <w:r>
        <w:rPr>
          <w:w w:val="95"/>
        </w:rPr>
        <w:t>呼吸肌而致机体呼吸功能不正常的危急状态即肌无力危象；</w:t>
      </w:r>
    </w:p>
    <w:p>
      <w:pPr>
        <w:pStyle w:val="BodyText"/>
        <w:spacing w:line="225" w:lineRule="auto" w:before="13"/>
        <w:ind w:left="2554" w:right="367"/>
      </w:pPr>
      <w:r>
        <w:rPr/>
        <w:t>（</w:t>
      </w:r>
      <w:r>
        <w:rPr>
          <w:rFonts w:ascii="Times New Roman" w:eastAsia="Times New Roman"/>
        </w:rPr>
        <w:t>3</w:t>
      </w:r>
      <w:r>
        <w:rPr/>
        <w:t>）症状缓解、复发及恶化交替出现，临床接受新斯的明等抗胆</w:t>
      </w:r>
      <w:r>
        <w:rPr>
          <w:w w:val="95"/>
        </w:rPr>
        <w:t>碱酯酶药物治疗的病史。</w:t>
      </w:r>
    </w:p>
    <w:p>
      <w:pPr>
        <w:pStyle w:val="BodyText"/>
        <w:spacing w:line="232" w:lineRule="auto" w:before="5"/>
        <w:ind w:left="2554" w:right="366" w:hanging="2444"/>
        <w:jc w:val="both"/>
      </w:pPr>
      <w:r>
        <w:rPr>
          <w:rFonts w:ascii="Times New Roman" w:eastAsia="Times New Roman"/>
        </w:rPr>
        <w:t>38</w:t>
      </w:r>
      <w:r>
        <w:rPr>
          <w:spacing w:val="0"/>
        </w:rPr>
        <w:t>、严重克隆病       </w:t>
      </w:r>
      <w:r>
        <w:rPr>
          <w:rFonts w:ascii="Times New Roman" w:eastAsia="Times New Roman"/>
          <w:position w:val="2"/>
        </w:rPr>
        <w:t>:   </w:t>
      </w:r>
      <w:r>
        <w:rPr>
          <w:spacing w:val="-2"/>
        </w:rPr>
        <w:t>克隆病是一种慢性肉芽肿性肠炎，具有特征性的克隆病病理组织学</w:t>
      </w:r>
      <w:r>
        <w:rPr>
          <w:spacing w:val="-6"/>
        </w:rPr>
        <w:t>变化。诊断必须由病理检查结果证实。被保险人所患的克隆病必须</w:t>
      </w:r>
      <w:r>
        <w:rPr>
          <w:spacing w:val="-6"/>
          <w:w w:val="95"/>
        </w:rPr>
        <w:t>已经造成瘘管形成并伴有肠梗阻或肠穿孔。</w:t>
      </w:r>
    </w:p>
    <w:p>
      <w:pPr>
        <w:pStyle w:val="BodyText"/>
        <w:spacing w:line="232" w:lineRule="auto" w:before="5"/>
        <w:ind w:left="2554" w:right="366" w:hanging="2444"/>
        <w:jc w:val="both"/>
      </w:pPr>
      <w:r>
        <w:rPr>
          <w:rFonts w:ascii="Times New Roman" w:eastAsia="Times New Roman"/>
        </w:rPr>
        <w:t>39</w:t>
      </w:r>
      <w:r>
        <w:rPr>
          <w:spacing w:val="2"/>
        </w:rPr>
        <w:t>、严重类风湿性关节炎</w:t>
      </w:r>
      <w:r>
        <w:rPr>
          <w:rFonts w:ascii="Times New Roman" w:eastAsia="Times New Roman"/>
          <w:spacing w:val="21"/>
          <w:position w:val="2"/>
        </w:rPr>
        <w:t>: </w:t>
      </w:r>
      <w:r>
        <w:rPr>
          <w:spacing w:val="-2"/>
        </w:rPr>
        <w:t>指广泛的慢性渐进性的关节损害，伴有明显的关节畸形，至少累及</w:t>
      </w:r>
      <w:r>
        <w:rPr>
          <w:spacing w:val="-1"/>
        </w:rPr>
        <w:t>三个或三个以上关节</w:t>
      </w:r>
      <w:r>
        <w:rPr/>
        <w:t>（如：手，腕，肘，髋，膝，踝关节</w:t>
      </w:r>
      <w:r>
        <w:rPr>
          <w:spacing w:val="-96"/>
        </w:rPr>
        <w:t>）</w:t>
      </w:r>
      <w:r>
        <w:rPr/>
        <w:t>。此疾</w:t>
      </w:r>
      <w:r>
        <w:rPr>
          <w:spacing w:val="-2"/>
        </w:rPr>
        <w:t>病必须已经导致了自主生活能力完全丧失，不能独立完成六项基本</w:t>
      </w:r>
      <w:r>
        <w:rPr>
          <w:spacing w:val="-2"/>
          <w:w w:val="95"/>
        </w:rPr>
        <w:t>日常生活活动中的三项或三项以上的情形。</w:t>
      </w:r>
    </w:p>
    <w:p>
      <w:pPr>
        <w:pStyle w:val="BodyText"/>
        <w:spacing w:line="237" w:lineRule="auto"/>
        <w:ind w:left="2554" w:right="315"/>
      </w:pPr>
      <w:r>
        <w:rPr/>
        <w:t>上述疾病需由专科医生确诊，并提供相应医疗记录以证实上述病情已经存在至少 </w:t>
      </w:r>
      <w:r>
        <w:rPr>
          <w:rFonts w:ascii="Times New Roman" w:eastAsia="Times New Roman"/>
        </w:rPr>
        <w:t>3 </w:t>
      </w:r>
      <w:r>
        <w:rPr/>
        <w:t>个月。</w:t>
      </w:r>
    </w:p>
    <w:p>
      <w:pPr>
        <w:pStyle w:val="BodyText"/>
        <w:spacing w:line="259" w:lineRule="exact"/>
        <w:ind w:left="111"/>
      </w:pPr>
      <w:r>
        <w:rPr>
          <w:rFonts w:ascii="Times New Roman" w:eastAsia="Times New Roman"/>
        </w:rPr>
        <w:t>40</w:t>
      </w:r>
      <w:r>
        <w:rPr/>
        <w:t>、慢性肾上腺皮质功能</w:t>
      </w:r>
      <w:r>
        <w:rPr>
          <w:rFonts w:ascii="Times New Roman" w:eastAsia="Times New Roman"/>
          <w:position w:val="2"/>
        </w:rPr>
        <w:t>:   </w:t>
      </w:r>
      <w:r>
        <w:rPr/>
        <w:t>因为自身免疫功能紊乱，使肾上腺组织逐渐受损，而需要长期接受</w:t>
      </w:r>
    </w:p>
    <w:p>
      <w:pPr>
        <w:pStyle w:val="BodyText"/>
        <w:tabs>
          <w:tab w:pos="2554" w:val="left" w:leader="none"/>
        </w:tabs>
        <w:spacing w:line="260" w:lineRule="exact" w:before="7"/>
        <w:ind w:left="2554" w:right="366" w:hanging="2444"/>
      </w:pPr>
      <w:r>
        <w:rPr/>
        <w:t>衰竭</w:t>
        <w:tab/>
      </w:r>
      <w:r>
        <w:rPr>
          <w:w w:val="95"/>
        </w:rPr>
        <w:t>糖皮质激素及肾上腺皮质激素替代疗法</w:t>
      </w:r>
      <w:r>
        <w:rPr>
          <w:spacing w:val="-29"/>
          <w:w w:val="95"/>
        </w:rPr>
        <w:t>。</w:t>
      </w:r>
      <w:r>
        <w:rPr>
          <w:w w:val="95"/>
        </w:rPr>
        <w:t>该病必须经内分泌专科医   生确诊，并有以下报告作为证据：</w:t>
      </w:r>
    </w:p>
    <w:p>
      <w:pPr>
        <w:pStyle w:val="BodyText"/>
        <w:spacing w:line="242" w:lineRule="exact"/>
        <w:ind w:left="2554"/>
      </w:pPr>
      <w:r>
        <w:rPr>
          <w:w w:val="95"/>
        </w:rPr>
        <w:t>（</w:t>
      </w:r>
      <w:r>
        <w:rPr>
          <w:rFonts w:ascii="Times New Roman" w:eastAsia="Times New Roman"/>
          <w:w w:val="95"/>
        </w:rPr>
        <w:t>1</w:t>
      </w:r>
      <w:r>
        <w:rPr>
          <w:w w:val="95"/>
        </w:rPr>
        <w:t>）促肾上腺皮质激素</w:t>
      </w:r>
      <w:r>
        <w:rPr>
          <w:rFonts w:ascii="Times New Roman" w:eastAsia="Times New Roman"/>
          <w:w w:val="95"/>
        </w:rPr>
        <w:t>(ACTH)</w:t>
      </w:r>
      <w:r>
        <w:rPr>
          <w:w w:val="95"/>
        </w:rPr>
        <w:t>刺激试验；</w:t>
      </w:r>
    </w:p>
    <w:p>
      <w:pPr>
        <w:pStyle w:val="BodyText"/>
        <w:spacing w:line="260" w:lineRule="exact"/>
        <w:ind w:left="2554"/>
      </w:pPr>
      <w:r>
        <w:rPr>
          <w:w w:val="95"/>
        </w:rPr>
        <w:t>（</w:t>
      </w:r>
      <w:r>
        <w:rPr>
          <w:rFonts w:ascii="Times New Roman" w:eastAsia="Times New Roman"/>
          <w:w w:val="95"/>
        </w:rPr>
        <w:t>2</w:t>
      </w:r>
      <w:r>
        <w:rPr>
          <w:w w:val="95"/>
        </w:rPr>
        <w:t>）胰岛素血糖减少测试；</w:t>
      </w:r>
    </w:p>
    <w:p>
      <w:pPr>
        <w:pStyle w:val="BodyText"/>
        <w:spacing w:line="260" w:lineRule="exact"/>
        <w:ind w:left="2554"/>
      </w:pPr>
      <w:r>
        <w:rPr>
          <w:w w:val="95"/>
        </w:rPr>
        <w:t>（</w:t>
      </w:r>
      <w:r>
        <w:rPr>
          <w:rFonts w:ascii="Times New Roman" w:eastAsia="Times New Roman"/>
          <w:w w:val="95"/>
        </w:rPr>
        <w:t>3</w:t>
      </w:r>
      <w:r>
        <w:rPr>
          <w:w w:val="95"/>
        </w:rPr>
        <w:t>）血浆促肾上腺皮质激素</w:t>
      </w:r>
      <w:r>
        <w:rPr>
          <w:rFonts w:ascii="Times New Roman" w:eastAsia="Times New Roman"/>
          <w:w w:val="95"/>
        </w:rPr>
        <w:t>(ACTH)</w:t>
      </w:r>
      <w:r>
        <w:rPr>
          <w:w w:val="95"/>
        </w:rPr>
        <w:t>水平测定；</w:t>
      </w:r>
    </w:p>
    <w:p>
      <w:pPr>
        <w:pStyle w:val="BodyText"/>
        <w:spacing w:line="259" w:lineRule="exact"/>
        <w:ind w:left="2554"/>
      </w:pPr>
      <w:r>
        <w:rPr>
          <w:w w:val="95"/>
        </w:rPr>
        <w:t>（</w:t>
      </w:r>
      <w:r>
        <w:rPr>
          <w:rFonts w:ascii="Times New Roman" w:eastAsia="Times New Roman"/>
          <w:w w:val="95"/>
        </w:rPr>
        <w:t>4</w:t>
      </w:r>
      <w:r>
        <w:rPr>
          <w:w w:val="95"/>
        </w:rPr>
        <w:t>）血浆肾素活性</w:t>
      </w:r>
      <w:r>
        <w:rPr>
          <w:rFonts w:ascii="Times New Roman" w:eastAsia="Times New Roman"/>
          <w:w w:val="95"/>
        </w:rPr>
        <w:t>(PRA)</w:t>
      </w:r>
      <w:r>
        <w:rPr>
          <w:w w:val="95"/>
        </w:rPr>
        <w:t>测定。</w:t>
      </w:r>
    </w:p>
    <w:p>
      <w:pPr>
        <w:pStyle w:val="BodyText"/>
        <w:spacing w:line="237" w:lineRule="auto"/>
        <w:ind w:left="2554" w:right="385"/>
      </w:pPr>
      <w:r>
        <w:rPr/>
        <w:t>慢性肾上腺皮质功能衰竭只对由自身免疫功能紊乱引起的承担保</w:t>
      </w:r>
      <w:r>
        <w:rPr>
          <w:w w:val="95"/>
        </w:rPr>
        <w:t>险责任，其他原因引起的除外。</w:t>
      </w:r>
    </w:p>
    <w:p>
      <w:pPr>
        <w:pStyle w:val="BodyText"/>
        <w:spacing w:line="230" w:lineRule="auto" w:before="15"/>
        <w:ind w:left="2554" w:right="366" w:hanging="2444"/>
        <w:jc w:val="both"/>
      </w:pPr>
      <w:r>
        <w:rPr>
          <w:rFonts w:ascii="Times New Roman" w:eastAsia="Times New Roman"/>
        </w:rPr>
        <w:t>41</w:t>
      </w:r>
      <w:r>
        <w:rPr>
          <w:spacing w:val="2"/>
        </w:rPr>
        <w:t>、原发性硬化性胆管炎</w:t>
      </w:r>
      <w:r>
        <w:rPr>
          <w:rFonts w:ascii="Times New Roman" w:eastAsia="Times New Roman"/>
          <w:spacing w:val="22"/>
          <w:position w:val="2"/>
        </w:rPr>
        <w:t>: </w:t>
      </w:r>
      <w:r>
        <w:rPr>
          <w:spacing w:val="-3"/>
        </w:rPr>
        <w:t>指一种胆汁淤积综合征，其特征是肝内、肝外胆道因纤维化性炎症</w:t>
      </w:r>
      <w:r>
        <w:rPr>
          <w:spacing w:val="-6"/>
        </w:rPr>
        <w:t>逐渐狭窄，并最终导致完全阻塞而发展为肝硬化。本病须经内镜逆</w:t>
      </w:r>
      <w:r>
        <w:rPr>
          <w:spacing w:val="-6"/>
          <w:w w:val="95"/>
        </w:rPr>
        <w:t>行胰胆管造影等影像学检查证实，并须满足下列全部条件：</w:t>
      </w:r>
    </w:p>
    <w:p>
      <w:pPr>
        <w:pStyle w:val="BodyText"/>
        <w:spacing w:line="265" w:lineRule="exact"/>
        <w:ind w:left="2554"/>
      </w:pPr>
      <w:r>
        <w:rPr/>
        <w:t>（</w:t>
      </w:r>
      <w:r>
        <w:rPr>
          <w:rFonts w:ascii="Times New Roman" w:eastAsia="Times New Roman"/>
        </w:rPr>
        <w:t>1</w:t>
      </w:r>
      <w:r>
        <w:rPr/>
        <w:t>）总胆红素和直接胆红素同时升高，血清 </w:t>
      </w:r>
      <w:r>
        <w:rPr>
          <w:rFonts w:ascii="Times New Roman" w:eastAsia="Times New Roman"/>
        </w:rPr>
        <w:t>ALP&gt;200U/L</w:t>
      </w:r>
      <w:r>
        <w:rPr/>
        <w:t>；</w:t>
      </w:r>
    </w:p>
    <w:p>
      <w:pPr>
        <w:pStyle w:val="BodyText"/>
        <w:spacing w:line="259" w:lineRule="exact"/>
        <w:ind w:left="2554"/>
      </w:pPr>
      <w:r>
        <w:rPr>
          <w:w w:val="95"/>
        </w:rPr>
        <w:t>（</w:t>
      </w:r>
      <w:r>
        <w:rPr>
          <w:rFonts w:ascii="Times New Roman" w:eastAsia="Times New Roman"/>
          <w:w w:val="95"/>
        </w:rPr>
        <w:t>2</w:t>
      </w:r>
      <w:r>
        <w:rPr>
          <w:w w:val="95"/>
        </w:rPr>
        <w:t>）持续性黄疸病史；</w:t>
      </w:r>
    </w:p>
    <w:p>
      <w:pPr>
        <w:pStyle w:val="BodyText"/>
        <w:spacing w:line="259" w:lineRule="exact"/>
        <w:ind w:left="2554"/>
      </w:pPr>
      <w:r>
        <w:rPr>
          <w:w w:val="95"/>
        </w:rPr>
        <w:t>（</w:t>
      </w:r>
      <w:r>
        <w:rPr>
          <w:rFonts w:ascii="Times New Roman" w:eastAsia="Times New Roman"/>
          <w:w w:val="95"/>
        </w:rPr>
        <w:t>3</w:t>
      </w:r>
      <w:r>
        <w:rPr>
          <w:w w:val="95"/>
        </w:rPr>
        <w:t>）出现胆汁性肝硬化或门脉高压。</w:t>
      </w:r>
    </w:p>
    <w:p>
      <w:pPr>
        <w:pStyle w:val="BodyText"/>
        <w:spacing w:line="253" w:lineRule="exact"/>
        <w:ind w:left="2554"/>
      </w:pPr>
      <w:r>
        <w:rPr>
          <w:w w:val="95"/>
        </w:rPr>
        <w:t>因肿瘤或胆管损伤等继发性的硬化性胆管炎不在保障范围内。</w:t>
      </w:r>
    </w:p>
    <w:p>
      <w:pPr>
        <w:spacing w:after="0" w:line="253" w:lineRule="exact"/>
        <w:sectPr>
          <w:type w:val="continuous"/>
          <w:pgSz w:w="11960" w:h="16850"/>
          <w:pgMar w:top="280" w:bottom="1200" w:left="1580" w:right="1680"/>
        </w:sectPr>
      </w:pPr>
    </w:p>
    <w:p>
      <w:pPr>
        <w:pStyle w:val="BodyText"/>
        <w:tabs>
          <w:tab w:pos="2343" w:val="left" w:leader="none"/>
        </w:tabs>
        <w:spacing w:line="235" w:lineRule="auto" w:before="77"/>
        <w:ind w:left="2554" w:right="427" w:hanging="2444"/>
      </w:pPr>
      <w:r>
        <w:rPr>
          <w:rFonts w:ascii="Times New Roman" w:eastAsia="Times New Roman"/>
        </w:rPr>
        <w:t>42</w:t>
      </w:r>
      <w:r>
        <w:rPr/>
        <w:t>、象皮病</w:t>
        <w:tab/>
      </w:r>
      <w:r>
        <w:rPr>
          <w:rFonts w:ascii="Times New Roman" w:eastAsia="Times New Roman"/>
          <w:position w:val="2"/>
        </w:rPr>
        <w:t>: </w:t>
      </w:r>
      <w:r>
        <w:rPr>
          <w:rFonts w:ascii="Times New Roman" w:eastAsia="Times New Roman"/>
          <w:spacing w:val="48"/>
          <w:position w:val="2"/>
        </w:rPr>
        <w:t> </w:t>
      </w:r>
      <w:r>
        <w:rPr/>
        <w:t>指终末期丝虫病</w:t>
      </w:r>
      <w:r>
        <w:rPr>
          <w:spacing w:val="-29"/>
        </w:rPr>
        <w:t>，</w:t>
      </w:r>
      <w:r>
        <w:rPr/>
        <w:t>其性质为身体组织因血液循环受阻或淋巴管堵塞而肿大</w:t>
      </w:r>
      <w:r>
        <w:rPr>
          <w:spacing w:val="-27"/>
        </w:rPr>
        <w:t>。</w:t>
      </w:r>
      <w:r>
        <w:rPr/>
        <w:t>诊断必须由适当的临床医生证实及以微丝蚴的化验结果确</w:t>
      </w:r>
      <w:r>
        <w:rPr>
          <w:w w:val="95"/>
        </w:rPr>
        <w:t>认</w:t>
      </w:r>
      <w:r>
        <w:rPr>
          <w:spacing w:val="-44"/>
          <w:w w:val="95"/>
        </w:rPr>
        <w:t>，</w:t>
      </w:r>
      <w:r>
        <w:rPr>
          <w:w w:val="95"/>
        </w:rPr>
        <w:t>并必须获本公司认可的主任医生认同</w:t>
      </w:r>
      <w:r>
        <w:rPr>
          <w:spacing w:val="-41"/>
          <w:w w:val="95"/>
        </w:rPr>
        <w:t>。</w:t>
      </w:r>
      <w:r>
        <w:rPr>
          <w:w w:val="95"/>
        </w:rPr>
        <w:t>因性接触</w:t>
      </w:r>
      <w:r>
        <w:rPr>
          <w:spacing w:val="-41"/>
          <w:w w:val="95"/>
        </w:rPr>
        <w:t>、</w:t>
      </w:r>
      <w:r>
        <w:rPr>
          <w:w w:val="95"/>
        </w:rPr>
        <w:t>手术后疤痕、  </w:t>
      </w:r>
      <w:r>
        <w:rPr>
          <w:spacing w:val="5"/>
        </w:rPr>
        <w:t>充血性心衰竭或先</w:t>
      </w:r>
      <w:r>
        <w:rPr/>
        <w:t>天</w:t>
      </w:r>
      <w:r>
        <w:rPr>
          <w:spacing w:val="5"/>
        </w:rPr>
        <w:t>性淋巴系统</w:t>
      </w:r>
      <w:r>
        <w:rPr/>
        <w:t>不</w:t>
      </w:r>
      <w:r>
        <w:rPr>
          <w:spacing w:val="5"/>
        </w:rPr>
        <w:t>正常等情况引发的淋巴水肿</w:t>
      </w:r>
      <w:r>
        <w:rPr/>
        <w:t>均</w:t>
      </w:r>
      <w:r>
        <w:rPr>
          <w:w w:val="95"/>
        </w:rPr>
        <w:t>不包括在内。</w:t>
      </w:r>
    </w:p>
    <w:p>
      <w:pPr>
        <w:pStyle w:val="BodyText"/>
        <w:spacing w:before="6"/>
        <w:rPr>
          <w:sz w:val="25"/>
        </w:rPr>
      </w:pPr>
    </w:p>
    <w:p>
      <w:pPr>
        <w:pStyle w:val="BodyText"/>
        <w:ind w:left="121"/>
      </w:pPr>
      <w:r>
        <w:rPr>
          <w:w w:val="95"/>
        </w:rPr>
        <w:t>重大疾病定义的释义：</w:t>
      </w:r>
    </w:p>
    <w:p>
      <w:pPr>
        <w:pStyle w:val="BodyText"/>
        <w:tabs>
          <w:tab w:pos="2360" w:val="left" w:leader="none"/>
        </w:tabs>
        <w:spacing w:line="260" w:lineRule="exact" w:before="26"/>
        <w:ind w:left="121"/>
      </w:pPr>
      <w:r>
        <w:rPr/>
        <w:t>专科医生</w:t>
        <w:tab/>
      </w:r>
      <w:r>
        <w:rPr>
          <w:rFonts w:ascii="Times New Roman" w:eastAsia="Times New Roman"/>
          <w:position w:val="2"/>
        </w:rPr>
        <w:t>: </w:t>
      </w:r>
      <w:r>
        <w:rPr>
          <w:rFonts w:ascii="Times New Roman" w:eastAsia="Times New Roman"/>
          <w:spacing w:val="36"/>
          <w:position w:val="2"/>
        </w:rPr>
        <w:t> </w:t>
      </w:r>
      <w:r>
        <w:rPr/>
        <w:t>专科医生应当同时满足以下四项资格条件：</w:t>
      </w:r>
    </w:p>
    <w:p>
      <w:pPr>
        <w:pStyle w:val="ListParagraph"/>
        <w:numPr>
          <w:ilvl w:val="2"/>
          <w:numId w:val="2"/>
        </w:numPr>
        <w:tabs>
          <w:tab w:pos="2990" w:val="left" w:leader="none"/>
        </w:tabs>
        <w:spacing w:line="259" w:lineRule="exact" w:before="0" w:after="0"/>
        <w:ind w:left="2989" w:right="0" w:hanging="420"/>
        <w:jc w:val="left"/>
        <w:rPr>
          <w:sz w:val="20"/>
        </w:rPr>
      </w:pPr>
      <w:r>
        <w:rPr>
          <w:spacing w:val="-6"/>
          <w:w w:val="95"/>
          <w:sz w:val="20"/>
        </w:rPr>
        <w:t>具有有效的中华人民共和国《医师资格证书》；</w:t>
      </w:r>
    </w:p>
    <w:p>
      <w:pPr>
        <w:pStyle w:val="ListParagraph"/>
        <w:numPr>
          <w:ilvl w:val="2"/>
          <w:numId w:val="2"/>
        </w:numPr>
        <w:tabs>
          <w:tab w:pos="2990" w:val="left" w:leader="none"/>
        </w:tabs>
        <w:spacing w:line="237" w:lineRule="auto" w:before="1" w:after="0"/>
        <w:ind w:left="2989" w:right="214" w:hanging="420"/>
        <w:jc w:val="left"/>
        <w:rPr>
          <w:sz w:val="20"/>
        </w:rPr>
      </w:pPr>
      <w:r>
        <w:rPr>
          <w:spacing w:val="-8"/>
          <w:w w:val="95"/>
          <w:sz w:val="20"/>
        </w:rPr>
        <w:t>具有有效的中华人民共和国《医师执业证书》，并按期到相关部门  登记注册；</w:t>
      </w:r>
    </w:p>
    <w:p>
      <w:pPr>
        <w:pStyle w:val="ListParagraph"/>
        <w:numPr>
          <w:ilvl w:val="2"/>
          <w:numId w:val="2"/>
        </w:numPr>
        <w:tabs>
          <w:tab w:pos="2990" w:val="left" w:leader="none"/>
        </w:tabs>
        <w:spacing w:line="237" w:lineRule="auto" w:before="0" w:after="0"/>
        <w:ind w:left="2989" w:right="213" w:hanging="420"/>
        <w:jc w:val="left"/>
        <w:rPr>
          <w:sz w:val="20"/>
        </w:rPr>
      </w:pPr>
      <w:r>
        <w:rPr>
          <w:sz w:val="20"/>
        </w:rPr>
        <w:t>具有有效的中华人民共和国主治医师或主治医师以上职称的《医</w:t>
      </w:r>
      <w:r>
        <w:rPr>
          <w:spacing w:val="-15"/>
          <w:w w:val="95"/>
          <w:sz w:val="20"/>
        </w:rPr>
        <w:t>师职称证书》；</w:t>
      </w:r>
    </w:p>
    <w:p>
      <w:pPr>
        <w:pStyle w:val="ListParagraph"/>
        <w:numPr>
          <w:ilvl w:val="2"/>
          <w:numId w:val="2"/>
        </w:numPr>
        <w:tabs>
          <w:tab w:pos="2360" w:val="left" w:leader="none"/>
          <w:tab w:pos="2990" w:val="left" w:leader="none"/>
        </w:tabs>
        <w:spacing w:line="237" w:lineRule="auto" w:before="3" w:after="0"/>
        <w:ind w:left="121" w:right="662" w:firstLine="2448"/>
        <w:jc w:val="left"/>
        <w:rPr>
          <w:sz w:val="20"/>
        </w:rPr>
      </w:pPr>
      <w:r>
        <w:rPr>
          <w:sz w:val="20"/>
        </w:rPr>
        <w:t>在二级或二级以上医院的相应科室从事临床工作三年以上。六项基本日常生活活动</w:t>
        <w:tab/>
      </w:r>
      <w:r>
        <w:rPr>
          <w:rFonts w:ascii="Times New Roman" w:eastAsia="Times New Roman"/>
          <w:position w:val="2"/>
          <w:sz w:val="20"/>
        </w:rPr>
        <w:t>: </w:t>
      </w:r>
      <w:r>
        <w:rPr>
          <w:rFonts w:ascii="Times New Roman" w:eastAsia="Times New Roman"/>
          <w:spacing w:val="40"/>
          <w:position w:val="2"/>
          <w:sz w:val="20"/>
        </w:rPr>
        <w:t> </w:t>
      </w:r>
      <w:r>
        <w:rPr>
          <w:sz w:val="20"/>
        </w:rPr>
        <w:t>六项基本日常生活活动是指：</w:t>
      </w:r>
    </w:p>
    <w:p>
      <w:pPr>
        <w:pStyle w:val="ListParagraph"/>
        <w:numPr>
          <w:ilvl w:val="0"/>
          <w:numId w:val="4"/>
        </w:numPr>
        <w:tabs>
          <w:tab w:pos="2980" w:val="left" w:leader="none"/>
        </w:tabs>
        <w:spacing w:line="258" w:lineRule="exact" w:before="0" w:after="0"/>
        <w:ind w:left="2979" w:right="0" w:hanging="420"/>
        <w:jc w:val="left"/>
        <w:rPr>
          <w:sz w:val="20"/>
        </w:rPr>
      </w:pPr>
      <w:r>
        <w:rPr>
          <w:w w:val="95"/>
          <w:sz w:val="20"/>
        </w:rPr>
        <w:t>穿衣：自己能够穿衣及脱衣；</w:t>
      </w:r>
    </w:p>
    <w:p>
      <w:pPr>
        <w:pStyle w:val="ListParagraph"/>
        <w:numPr>
          <w:ilvl w:val="0"/>
          <w:numId w:val="4"/>
        </w:numPr>
        <w:tabs>
          <w:tab w:pos="2980" w:val="left" w:leader="none"/>
        </w:tabs>
        <w:spacing w:line="259" w:lineRule="exact" w:before="0" w:after="0"/>
        <w:ind w:left="2979" w:right="0" w:hanging="420"/>
        <w:jc w:val="left"/>
        <w:rPr>
          <w:sz w:val="20"/>
        </w:rPr>
      </w:pPr>
      <w:r>
        <w:rPr>
          <w:w w:val="95"/>
          <w:sz w:val="20"/>
        </w:rPr>
        <w:t>移动：自己从一个房间到另一个房间；</w:t>
      </w:r>
    </w:p>
    <w:p>
      <w:pPr>
        <w:pStyle w:val="ListParagraph"/>
        <w:numPr>
          <w:ilvl w:val="0"/>
          <w:numId w:val="4"/>
        </w:numPr>
        <w:tabs>
          <w:tab w:pos="2980" w:val="left" w:leader="none"/>
        </w:tabs>
        <w:spacing w:line="259" w:lineRule="exact" w:before="0" w:after="0"/>
        <w:ind w:left="2979" w:right="0" w:hanging="420"/>
        <w:jc w:val="left"/>
        <w:rPr>
          <w:sz w:val="20"/>
        </w:rPr>
      </w:pPr>
      <w:r>
        <w:rPr>
          <w:w w:val="95"/>
          <w:sz w:val="20"/>
        </w:rPr>
        <w:t>行动：自己上下床或上下轮椅；</w:t>
      </w:r>
    </w:p>
    <w:p>
      <w:pPr>
        <w:pStyle w:val="ListParagraph"/>
        <w:numPr>
          <w:ilvl w:val="0"/>
          <w:numId w:val="4"/>
        </w:numPr>
        <w:tabs>
          <w:tab w:pos="2980" w:val="left" w:leader="none"/>
        </w:tabs>
        <w:spacing w:line="259" w:lineRule="exact" w:before="0" w:after="0"/>
        <w:ind w:left="2979" w:right="0" w:hanging="420"/>
        <w:jc w:val="left"/>
        <w:rPr>
          <w:sz w:val="20"/>
        </w:rPr>
      </w:pPr>
      <w:r>
        <w:rPr>
          <w:w w:val="95"/>
          <w:sz w:val="20"/>
        </w:rPr>
        <w:t>如厕：自己控制进行大小便；</w:t>
      </w:r>
    </w:p>
    <w:p>
      <w:pPr>
        <w:pStyle w:val="ListParagraph"/>
        <w:numPr>
          <w:ilvl w:val="0"/>
          <w:numId w:val="4"/>
        </w:numPr>
        <w:tabs>
          <w:tab w:pos="2980" w:val="left" w:leader="none"/>
        </w:tabs>
        <w:spacing w:line="259" w:lineRule="exact" w:before="0" w:after="0"/>
        <w:ind w:left="2979" w:right="0" w:hanging="420"/>
        <w:jc w:val="left"/>
        <w:rPr>
          <w:sz w:val="20"/>
        </w:rPr>
      </w:pPr>
      <w:r>
        <w:rPr>
          <w:w w:val="95"/>
          <w:sz w:val="20"/>
        </w:rPr>
        <w:t>进食：自己从已准备好的碗或碟中取食物放入口中；</w:t>
      </w:r>
    </w:p>
    <w:p>
      <w:pPr>
        <w:pStyle w:val="ListParagraph"/>
        <w:numPr>
          <w:ilvl w:val="0"/>
          <w:numId w:val="4"/>
        </w:numPr>
        <w:tabs>
          <w:tab w:pos="2980" w:val="left" w:leader="none"/>
        </w:tabs>
        <w:spacing w:line="259" w:lineRule="exact" w:before="0" w:after="0"/>
        <w:ind w:left="2979" w:right="0" w:hanging="420"/>
        <w:jc w:val="left"/>
        <w:rPr>
          <w:sz w:val="20"/>
        </w:rPr>
      </w:pPr>
      <w:r>
        <w:rPr>
          <w:w w:val="95"/>
          <w:sz w:val="20"/>
        </w:rPr>
        <w:t>洗澡：自己进行淋浴或盆浴。</w:t>
      </w:r>
    </w:p>
    <w:p>
      <w:pPr>
        <w:pStyle w:val="BodyText"/>
        <w:spacing w:line="237" w:lineRule="auto" w:before="1"/>
        <w:ind w:left="2559" w:right="167"/>
      </w:pPr>
      <w:r>
        <w:rPr/>
        <w:t>申请理赔时，被保险人年龄必须在 3 周岁以上，并且须提供理赔当时</w:t>
      </w:r>
      <w:r>
        <w:rPr>
          <w:w w:val="95"/>
        </w:rPr>
        <w:t>的诊断及检查证据。</w:t>
      </w:r>
    </w:p>
    <w:p>
      <w:pPr>
        <w:pStyle w:val="BodyText"/>
        <w:tabs>
          <w:tab w:pos="2360" w:val="left" w:leader="none"/>
        </w:tabs>
        <w:spacing w:line="237" w:lineRule="auto"/>
        <w:ind w:left="2559" w:right="211" w:hanging="2439"/>
      </w:pPr>
      <w:r>
        <w:rPr/>
        <w:t>肢体机能完全丧失</w:t>
        <w:tab/>
      </w:r>
      <w:r>
        <w:rPr>
          <w:rFonts w:ascii="Times New Roman" w:eastAsia="Times New Roman"/>
          <w:position w:val="2"/>
        </w:rPr>
        <w:t>:  </w:t>
      </w:r>
      <w:r>
        <w:rPr>
          <w:rFonts w:ascii="Times New Roman" w:eastAsia="Times New Roman"/>
          <w:spacing w:val="10"/>
          <w:position w:val="2"/>
        </w:rPr>
        <w:t> </w:t>
      </w:r>
      <w:r>
        <w:rPr/>
        <w:t>指肢</w:t>
      </w:r>
      <w:r>
        <w:rPr>
          <w:spacing w:val="2"/>
        </w:rPr>
        <w:t>体</w:t>
      </w:r>
      <w:r>
        <w:rPr/>
        <w:t>的</w:t>
      </w:r>
      <w:r>
        <w:rPr>
          <w:spacing w:val="2"/>
        </w:rPr>
        <w:t>三</w:t>
      </w:r>
      <w:r>
        <w:rPr/>
        <w:t>大</w:t>
      </w:r>
      <w:r>
        <w:rPr>
          <w:spacing w:val="2"/>
        </w:rPr>
        <w:t>关</w:t>
      </w:r>
      <w:r>
        <w:rPr/>
        <w:t>节</w:t>
      </w:r>
      <w:r>
        <w:rPr>
          <w:spacing w:val="2"/>
        </w:rPr>
        <w:t>中</w:t>
      </w:r>
      <w:r>
        <w:rPr/>
        <w:t>的</w:t>
      </w:r>
      <w:r>
        <w:rPr>
          <w:spacing w:val="2"/>
        </w:rPr>
        <w:t>两大</w:t>
      </w:r>
      <w:r>
        <w:rPr/>
        <w:t>关节</w:t>
      </w:r>
      <w:r>
        <w:rPr>
          <w:spacing w:val="2"/>
        </w:rPr>
        <w:t>僵</w:t>
      </w:r>
      <w:r>
        <w:rPr/>
        <w:t>硬</w:t>
      </w:r>
      <w:r>
        <w:rPr>
          <w:spacing w:val="2"/>
        </w:rPr>
        <w:t>，</w:t>
      </w:r>
      <w:r>
        <w:rPr/>
        <w:t>或不能</w:t>
      </w:r>
      <w:r>
        <w:rPr>
          <w:spacing w:val="2"/>
        </w:rPr>
        <w:t>随</w:t>
      </w:r>
      <w:r>
        <w:rPr/>
        <w:t>意</w:t>
      </w:r>
      <w:r>
        <w:rPr>
          <w:spacing w:val="2"/>
        </w:rPr>
        <w:t>识活</w:t>
      </w:r>
      <w:r>
        <w:rPr>
          <w:spacing w:val="5"/>
        </w:rPr>
        <w:t>动</w:t>
      </w:r>
      <w:r>
        <w:rPr/>
        <w:t>。</w:t>
      </w:r>
      <w:r>
        <w:rPr>
          <w:spacing w:val="2"/>
        </w:rPr>
        <w:t>肢</w:t>
      </w:r>
      <w:r>
        <w:rPr/>
        <w:t>体</w:t>
      </w:r>
      <w:r>
        <w:rPr>
          <w:spacing w:val="2"/>
        </w:rPr>
        <w:t>是</w:t>
      </w:r>
      <w:r>
        <w:rPr/>
        <w:t>指</w:t>
      </w:r>
      <w:r>
        <w:rPr>
          <w:w w:val="95"/>
        </w:rPr>
        <w:t>包括肩关节的整个上肢或包括髋关节的整个下肢。</w:t>
      </w:r>
    </w:p>
    <w:p>
      <w:pPr>
        <w:pStyle w:val="BodyText"/>
        <w:spacing w:line="259" w:lineRule="exact"/>
        <w:ind w:left="121"/>
      </w:pPr>
      <w:r>
        <w:rPr/>
        <w:t>语言能力或咀嚼吞咽能力</w:t>
      </w:r>
      <w:r>
        <w:rPr>
          <w:rFonts w:ascii="Times New Roman" w:eastAsia="Times New Roman"/>
          <w:position w:val="2"/>
        </w:rPr>
        <w:t>:   </w:t>
      </w:r>
      <w:r>
        <w:rPr/>
        <w:t>语言能力完全丧失，指无法发出四种语音（包括口唇音、齿舌音、口</w:t>
      </w:r>
    </w:p>
    <w:p>
      <w:pPr>
        <w:spacing w:after="0" w:line="259" w:lineRule="exact"/>
        <w:sectPr>
          <w:pgSz w:w="11960" w:h="16850"/>
          <w:pgMar w:header="0" w:footer="1001" w:top="1600" w:bottom="1200" w:left="1580" w:right="1520"/>
        </w:sectPr>
      </w:pPr>
    </w:p>
    <w:p>
      <w:pPr>
        <w:pStyle w:val="BodyText"/>
        <w:spacing w:line="259" w:lineRule="exact"/>
        <w:ind w:left="121"/>
      </w:pPr>
      <w:r>
        <w:rPr>
          <w:w w:val="95"/>
        </w:rPr>
        <w:t>完全丧失</w:t>
      </w:r>
    </w:p>
    <w:p>
      <w:pPr>
        <w:pStyle w:val="BodyText"/>
        <w:ind w:left="121" w:right="212"/>
      </w:pPr>
      <w:r>
        <w:rPr/>
        <w:br w:type="column"/>
      </w:r>
      <w:r>
        <w:rPr/>
        <w:t>盖音和喉头音）中的任何三种、或声带全部切除，或因大脑语言中枢</w:t>
      </w:r>
      <w:r>
        <w:rPr>
          <w:w w:val="95"/>
        </w:rPr>
        <w:t>受伤害而患失语症。</w:t>
      </w:r>
    </w:p>
    <w:p>
      <w:pPr>
        <w:pStyle w:val="BodyText"/>
        <w:spacing w:line="237" w:lineRule="auto" w:before="2"/>
        <w:ind w:left="121" w:right="110"/>
      </w:pPr>
      <w:r>
        <w:rPr/>
        <w:t>咀嚼吞咽能力完全丧失，指因牙齿以外的原因导致器质障碍或机能障</w:t>
      </w:r>
      <w:r>
        <w:rPr>
          <w:w w:val="95"/>
        </w:rPr>
        <w:t>碍，以致不能作咀嚼吞咽运动，除流质食物外不能摄取或吞咽的状态。</w:t>
      </w:r>
    </w:p>
    <w:p>
      <w:pPr>
        <w:spacing w:after="0" w:line="237" w:lineRule="auto"/>
        <w:sectPr>
          <w:type w:val="continuous"/>
          <w:pgSz w:w="11960" w:h="16850"/>
          <w:pgMar w:top="280" w:bottom="1200" w:left="1580" w:right="1520"/>
          <w:cols w:num="2" w:equalWidth="0">
            <w:col w:w="919" w:space="1519"/>
            <w:col w:w="6422"/>
          </w:cols>
        </w:sectPr>
      </w:pPr>
    </w:p>
    <w:p>
      <w:pPr>
        <w:pStyle w:val="BodyText"/>
        <w:tabs>
          <w:tab w:pos="2360" w:val="left" w:leader="none"/>
        </w:tabs>
        <w:spacing w:line="237" w:lineRule="auto"/>
        <w:ind w:left="2559" w:right="211" w:hanging="2439"/>
      </w:pPr>
      <w:r>
        <w:rPr/>
        <w:t>永久不可逆</w:t>
        <w:tab/>
      </w:r>
      <w:r>
        <w:rPr>
          <w:rFonts w:ascii="Times New Roman" w:eastAsia="Times New Roman"/>
          <w:position w:val="2"/>
        </w:rPr>
        <w:t>: </w:t>
      </w:r>
      <w:r>
        <w:rPr>
          <w:rFonts w:ascii="Times New Roman" w:eastAsia="Times New Roman"/>
          <w:spacing w:val="36"/>
          <w:position w:val="2"/>
        </w:rPr>
        <w:t> </w:t>
      </w:r>
      <w:r>
        <w:rPr/>
        <w:t>指自疾病确诊或意外伤害发生之日起，经过积极治疗</w:t>
      </w:r>
      <w:r>
        <w:rPr>
          <w:spacing w:val="-13"/>
        </w:rPr>
        <w:t> </w:t>
      </w:r>
      <w:r>
        <w:rPr/>
        <w:t>180</w:t>
      </w:r>
      <w:r>
        <w:rPr>
          <w:spacing w:val="-12"/>
        </w:rPr>
        <w:t> </w:t>
      </w:r>
      <w:r>
        <w:rPr/>
        <w:t>天后，仍无</w:t>
      </w:r>
      <w:r>
        <w:rPr>
          <w:w w:val="95"/>
        </w:rPr>
        <w:t>法通过现有医疗手段恢复。</w:t>
      </w:r>
    </w:p>
    <w:sectPr>
      <w:type w:val="continuous"/>
      <w:pgSz w:w="11960" w:h="16850"/>
      <w:pgMar w:top="280" w:bottom="1200" w:left="1580" w:right="1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2298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w:t>
                </w:r>
                <w:r>
                  <w:rPr/>
                  <w:fldChar w:fldCharType="end"/>
                </w:r>
                <w:r>
                  <w:rPr>
                    <w:sz w:val="18"/>
                  </w:rPr>
                  <w:t> 页 共 18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300690pt;margin-top:781.347778pt;width:78.7pt;height:11pt;mso-position-horizontal-relative:page;mso-position-vertical-relative:page;z-index:-2296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2979" w:hanging="420"/>
        <w:jc w:val="left"/>
      </w:pPr>
      <w:rPr>
        <w:rFonts w:hint="default" w:ascii="宋体" w:hAnsi="宋体" w:eastAsia="宋体" w:cs="宋体"/>
        <w:w w:val="99"/>
        <w:sz w:val="20"/>
        <w:szCs w:val="20"/>
      </w:rPr>
    </w:lvl>
    <w:lvl w:ilvl="1">
      <w:start w:val="0"/>
      <w:numFmt w:val="bullet"/>
      <w:lvlText w:val="•"/>
      <w:lvlJc w:val="left"/>
      <w:pPr>
        <w:ind w:left="3567" w:hanging="420"/>
      </w:pPr>
      <w:rPr>
        <w:rFonts w:hint="default"/>
      </w:rPr>
    </w:lvl>
    <w:lvl w:ilvl="2">
      <w:start w:val="0"/>
      <w:numFmt w:val="bullet"/>
      <w:lvlText w:val="•"/>
      <w:lvlJc w:val="left"/>
      <w:pPr>
        <w:ind w:left="4154" w:hanging="420"/>
      </w:pPr>
      <w:rPr>
        <w:rFonts w:hint="default"/>
      </w:rPr>
    </w:lvl>
    <w:lvl w:ilvl="3">
      <w:start w:val="0"/>
      <w:numFmt w:val="bullet"/>
      <w:lvlText w:val="•"/>
      <w:lvlJc w:val="left"/>
      <w:pPr>
        <w:ind w:left="4741" w:hanging="420"/>
      </w:pPr>
      <w:rPr>
        <w:rFonts w:hint="default"/>
      </w:rPr>
    </w:lvl>
    <w:lvl w:ilvl="4">
      <w:start w:val="0"/>
      <w:numFmt w:val="bullet"/>
      <w:lvlText w:val="•"/>
      <w:lvlJc w:val="left"/>
      <w:pPr>
        <w:ind w:left="5328" w:hanging="420"/>
      </w:pPr>
      <w:rPr>
        <w:rFonts w:hint="default"/>
      </w:rPr>
    </w:lvl>
    <w:lvl w:ilvl="5">
      <w:start w:val="0"/>
      <w:numFmt w:val="bullet"/>
      <w:lvlText w:val="•"/>
      <w:lvlJc w:val="left"/>
      <w:pPr>
        <w:ind w:left="5916" w:hanging="420"/>
      </w:pPr>
      <w:rPr>
        <w:rFonts w:hint="default"/>
      </w:rPr>
    </w:lvl>
    <w:lvl w:ilvl="6">
      <w:start w:val="0"/>
      <w:numFmt w:val="bullet"/>
      <w:lvlText w:val="•"/>
      <w:lvlJc w:val="left"/>
      <w:pPr>
        <w:ind w:left="6503" w:hanging="420"/>
      </w:pPr>
      <w:rPr>
        <w:rFonts w:hint="default"/>
      </w:rPr>
    </w:lvl>
    <w:lvl w:ilvl="7">
      <w:start w:val="0"/>
      <w:numFmt w:val="bullet"/>
      <w:lvlText w:val="•"/>
      <w:lvlJc w:val="left"/>
      <w:pPr>
        <w:ind w:left="7090" w:hanging="420"/>
      </w:pPr>
      <w:rPr>
        <w:rFonts w:hint="default"/>
      </w:rPr>
    </w:lvl>
    <w:lvl w:ilvl="8">
      <w:start w:val="0"/>
      <w:numFmt w:val="bullet"/>
      <w:lvlText w:val="•"/>
      <w:lvlJc w:val="left"/>
      <w:pPr>
        <w:ind w:left="7677" w:hanging="420"/>
      </w:pPr>
      <w:rPr>
        <w:rFonts w:hint="default"/>
      </w:rPr>
    </w:lvl>
  </w:abstractNum>
  <w:abstractNum w:abstractNumId="2">
    <w:multiLevelType w:val="hybridMultilevel"/>
    <w:lvl w:ilvl="0">
      <w:start w:val="1"/>
      <w:numFmt w:val="upperRoman"/>
      <w:lvlText w:val="%1"/>
      <w:lvlJc w:val="left"/>
      <w:pPr>
        <w:ind w:left="2722" w:hanging="168"/>
        <w:jc w:val="left"/>
      </w:pPr>
      <w:rPr>
        <w:rFonts w:hint="default" w:ascii="Times New Roman" w:hAnsi="Times New Roman" w:eastAsia="Times New Roman" w:cs="Times New Roman"/>
        <w:w w:val="99"/>
        <w:sz w:val="20"/>
        <w:szCs w:val="20"/>
      </w:rPr>
    </w:lvl>
    <w:lvl w:ilvl="1">
      <w:start w:val="0"/>
      <w:numFmt w:val="bullet"/>
      <w:lvlText w:val="•"/>
      <w:lvlJc w:val="left"/>
      <w:pPr>
        <w:ind w:left="3317" w:hanging="168"/>
      </w:pPr>
      <w:rPr>
        <w:rFonts w:hint="default"/>
      </w:rPr>
    </w:lvl>
    <w:lvl w:ilvl="2">
      <w:start w:val="0"/>
      <w:numFmt w:val="bullet"/>
      <w:lvlText w:val="•"/>
      <w:lvlJc w:val="left"/>
      <w:pPr>
        <w:ind w:left="3914" w:hanging="168"/>
      </w:pPr>
      <w:rPr>
        <w:rFonts w:hint="default"/>
      </w:rPr>
    </w:lvl>
    <w:lvl w:ilvl="3">
      <w:start w:val="0"/>
      <w:numFmt w:val="bullet"/>
      <w:lvlText w:val="•"/>
      <w:lvlJc w:val="left"/>
      <w:pPr>
        <w:ind w:left="4511" w:hanging="168"/>
      </w:pPr>
      <w:rPr>
        <w:rFonts w:hint="default"/>
      </w:rPr>
    </w:lvl>
    <w:lvl w:ilvl="4">
      <w:start w:val="0"/>
      <w:numFmt w:val="bullet"/>
      <w:lvlText w:val="•"/>
      <w:lvlJc w:val="left"/>
      <w:pPr>
        <w:ind w:left="5108" w:hanging="168"/>
      </w:pPr>
      <w:rPr>
        <w:rFonts w:hint="default"/>
      </w:rPr>
    </w:lvl>
    <w:lvl w:ilvl="5">
      <w:start w:val="0"/>
      <w:numFmt w:val="bullet"/>
      <w:lvlText w:val="•"/>
      <w:lvlJc w:val="left"/>
      <w:pPr>
        <w:ind w:left="5706" w:hanging="168"/>
      </w:pPr>
      <w:rPr>
        <w:rFonts w:hint="default"/>
      </w:rPr>
    </w:lvl>
    <w:lvl w:ilvl="6">
      <w:start w:val="0"/>
      <w:numFmt w:val="bullet"/>
      <w:lvlText w:val="•"/>
      <w:lvlJc w:val="left"/>
      <w:pPr>
        <w:ind w:left="6303" w:hanging="168"/>
      </w:pPr>
      <w:rPr>
        <w:rFonts w:hint="default"/>
      </w:rPr>
    </w:lvl>
    <w:lvl w:ilvl="7">
      <w:start w:val="0"/>
      <w:numFmt w:val="bullet"/>
      <w:lvlText w:val="•"/>
      <w:lvlJc w:val="left"/>
      <w:pPr>
        <w:ind w:left="6900" w:hanging="168"/>
      </w:pPr>
      <w:rPr>
        <w:rFonts w:hint="default"/>
      </w:rPr>
    </w:lvl>
    <w:lvl w:ilvl="8">
      <w:start w:val="0"/>
      <w:numFmt w:val="bullet"/>
      <w:lvlText w:val="•"/>
      <w:lvlJc w:val="left"/>
      <w:pPr>
        <w:ind w:left="7497" w:hanging="168"/>
      </w:pPr>
      <w:rPr>
        <w:rFonts w:hint="default"/>
      </w:rPr>
    </w:lvl>
  </w:abstractNum>
  <w:abstractNum w:abstractNumId="1">
    <w:multiLevelType w:val="hybridMultilevel"/>
    <w:lvl w:ilvl="0">
      <w:start w:val="1"/>
      <w:numFmt w:val="decimal"/>
      <w:lvlText w:val="(%1)"/>
      <w:lvlJc w:val="left"/>
      <w:pPr>
        <w:ind w:left="111" w:hanging="336"/>
        <w:jc w:val="left"/>
      </w:pPr>
      <w:rPr>
        <w:rFonts w:hint="default" w:ascii="Times New Roman" w:hAnsi="Times New Roman" w:eastAsia="Times New Roman" w:cs="Times New Roman"/>
        <w:w w:val="99"/>
        <w:sz w:val="20"/>
        <w:szCs w:val="20"/>
      </w:rPr>
    </w:lvl>
    <w:lvl w:ilvl="1">
      <w:start w:val="3"/>
      <w:numFmt w:val="decimal"/>
      <w:lvlText w:val="（%2）"/>
      <w:lvlJc w:val="left"/>
      <w:pPr>
        <w:ind w:left="1015" w:hanging="501"/>
        <w:jc w:val="left"/>
      </w:pPr>
      <w:rPr>
        <w:rFonts w:hint="default" w:ascii="宋体" w:hAnsi="宋体" w:eastAsia="宋体" w:cs="宋体"/>
        <w:spacing w:val="-1"/>
        <w:w w:val="99"/>
        <w:sz w:val="18"/>
        <w:szCs w:val="18"/>
      </w:rPr>
    </w:lvl>
    <w:lvl w:ilvl="2">
      <w:start w:val="1"/>
      <w:numFmt w:val="decimal"/>
      <w:lvlText w:val="(%3)"/>
      <w:lvlJc w:val="left"/>
      <w:pPr>
        <w:ind w:left="2989" w:hanging="420"/>
        <w:jc w:val="left"/>
      </w:pPr>
      <w:rPr>
        <w:rFonts w:hint="default" w:ascii="宋体" w:hAnsi="宋体" w:eastAsia="宋体" w:cs="宋体"/>
        <w:w w:val="99"/>
        <w:sz w:val="20"/>
        <w:szCs w:val="20"/>
      </w:rPr>
    </w:lvl>
    <w:lvl w:ilvl="3">
      <w:start w:val="0"/>
      <w:numFmt w:val="bullet"/>
      <w:lvlText w:val="•"/>
      <w:lvlJc w:val="left"/>
      <w:pPr>
        <w:ind w:left="3060" w:hanging="420"/>
      </w:pPr>
      <w:rPr>
        <w:rFonts w:hint="default"/>
      </w:rPr>
    </w:lvl>
    <w:lvl w:ilvl="4">
      <w:start w:val="0"/>
      <w:numFmt w:val="bullet"/>
      <w:lvlText w:val="•"/>
      <w:lvlJc w:val="left"/>
      <w:pPr>
        <w:ind w:left="3513" w:hanging="420"/>
      </w:pPr>
      <w:rPr>
        <w:rFonts w:hint="default"/>
      </w:rPr>
    </w:lvl>
    <w:lvl w:ilvl="5">
      <w:start w:val="0"/>
      <w:numFmt w:val="bullet"/>
      <w:lvlText w:val="•"/>
      <w:lvlJc w:val="left"/>
      <w:pPr>
        <w:ind w:left="3967" w:hanging="420"/>
      </w:pPr>
      <w:rPr>
        <w:rFonts w:hint="default"/>
      </w:rPr>
    </w:lvl>
    <w:lvl w:ilvl="6">
      <w:start w:val="0"/>
      <w:numFmt w:val="bullet"/>
      <w:lvlText w:val="•"/>
      <w:lvlJc w:val="left"/>
      <w:pPr>
        <w:ind w:left="4421" w:hanging="420"/>
      </w:pPr>
      <w:rPr>
        <w:rFonts w:hint="default"/>
      </w:rPr>
    </w:lvl>
    <w:lvl w:ilvl="7">
      <w:start w:val="0"/>
      <w:numFmt w:val="bullet"/>
      <w:lvlText w:val="•"/>
      <w:lvlJc w:val="left"/>
      <w:pPr>
        <w:ind w:left="4875" w:hanging="420"/>
      </w:pPr>
      <w:rPr>
        <w:rFonts w:hint="default"/>
      </w:rPr>
    </w:lvl>
    <w:lvl w:ilvl="8">
      <w:start w:val="0"/>
      <w:numFmt w:val="bullet"/>
      <w:lvlText w:val="•"/>
      <w:lvlJc w:val="left"/>
      <w:pPr>
        <w:ind w:left="5329" w:hanging="420"/>
      </w:pPr>
      <w:rPr>
        <w:rFonts w:hint="default"/>
      </w:rPr>
    </w:lvl>
  </w:abstractNum>
  <w:abstractNum w:abstractNumId="0">
    <w:multiLevelType w:val="hybridMultilevel"/>
    <w:lvl w:ilvl="0">
      <w:start w:val="1"/>
      <w:numFmt w:val="decimal"/>
      <w:lvlText w:val="(%1)"/>
      <w:lvlJc w:val="left"/>
      <w:pPr>
        <w:ind w:left="2902" w:hanging="336"/>
        <w:jc w:val="left"/>
      </w:pPr>
      <w:rPr>
        <w:rFonts w:hint="default" w:ascii="Times New Roman" w:hAnsi="Times New Roman" w:eastAsia="Times New Roman" w:cs="Times New Roman"/>
        <w:w w:val="99"/>
        <w:sz w:val="20"/>
        <w:szCs w:val="20"/>
      </w:rPr>
    </w:lvl>
    <w:lvl w:ilvl="1">
      <w:start w:val="0"/>
      <w:numFmt w:val="bullet"/>
      <w:lvlText w:val="•"/>
      <w:lvlJc w:val="left"/>
      <w:pPr>
        <w:ind w:left="3483" w:hanging="336"/>
      </w:pPr>
      <w:rPr>
        <w:rFonts w:hint="default"/>
      </w:rPr>
    </w:lvl>
    <w:lvl w:ilvl="2">
      <w:start w:val="0"/>
      <w:numFmt w:val="bullet"/>
      <w:lvlText w:val="•"/>
      <w:lvlJc w:val="left"/>
      <w:pPr>
        <w:ind w:left="4066" w:hanging="336"/>
      </w:pPr>
      <w:rPr>
        <w:rFonts w:hint="default"/>
      </w:rPr>
    </w:lvl>
    <w:lvl w:ilvl="3">
      <w:start w:val="0"/>
      <w:numFmt w:val="bullet"/>
      <w:lvlText w:val="•"/>
      <w:lvlJc w:val="left"/>
      <w:pPr>
        <w:ind w:left="4649" w:hanging="336"/>
      </w:pPr>
      <w:rPr>
        <w:rFonts w:hint="default"/>
      </w:rPr>
    </w:lvl>
    <w:lvl w:ilvl="4">
      <w:start w:val="0"/>
      <w:numFmt w:val="bullet"/>
      <w:lvlText w:val="•"/>
      <w:lvlJc w:val="left"/>
      <w:pPr>
        <w:ind w:left="5232" w:hanging="336"/>
      </w:pPr>
      <w:rPr>
        <w:rFonts w:hint="default"/>
      </w:rPr>
    </w:lvl>
    <w:lvl w:ilvl="5">
      <w:start w:val="0"/>
      <w:numFmt w:val="bullet"/>
      <w:lvlText w:val="•"/>
      <w:lvlJc w:val="left"/>
      <w:pPr>
        <w:ind w:left="5816" w:hanging="336"/>
      </w:pPr>
      <w:rPr>
        <w:rFonts w:hint="default"/>
      </w:rPr>
    </w:lvl>
    <w:lvl w:ilvl="6">
      <w:start w:val="0"/>
      <w:numFmt w:val="bullet"/>
      <w:lvlText w:val="•"/>
      <w:lvlJc w:val="left"/>
      <w:pPr>
        <w:ind w:left="6399" w:hanging="336"/>
      </w:pPr>
      <w:rPr>
        <w:rFonts w:hint="default"/>
      </w:rPr>
    </w:lvl>
    <w:lvl w:ilvl="7">
      <w:start w:val="0"/>
      <w:numFmt w:val="bullet"/>
      <w:lvlText w:val="•"/>
      <w:lvlJc w:val="left"/>
      <w:pPr>
        <w:ind w:left="6982" w:hanging="336"/>
      </w:pPr>
      <w:rPr>
        <w:rFonts w:hint="default"/>
      </w:rPr>
    </w:lvl>
    <w:lvl w:ilvl="8">
      <w:start w:val="0"/>
      <w:numFmt w:val="bullet"/>
      <w:lvlText w:val="•"/>
      <w:lvlJc w:val="left"/>
      <w:pPr>
        <w:ind w:left="7565" w:hanging="336"/>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right="682"/>
      <w:jc w:val="center"/>
    </w:pPr>
    <w:rPr>
      <w:rFonts w:ascii="宋体" w:hAnsi="宋体" w:eastAsia="宋体" w:cs="宋体"/>
      <w:sz w:val="21"/>
      <w:szCs w:val="21"/>
    </w:rPr>
  </w:style>
  <w:style w:styleId="TOC2" w:type="paragraph">
    <w:name w:val="TOC 2"/>
    <w:basedOn w:val="Normal"/>
    <w:uiPriority w:val="1"/>
    <w:qFormat/>
    <w:pPr>
      <w:spacing w:before="141"/>
      <w:ind w:left="101"/>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ind w:left="101"/>
      <w:outlineLvl w:val="2"/>
    </w:pPr>
    <w:rPr>
      <w:rFonts w:ascii="宋体" w:hAnsi="宋体" w:eastAsia="宋体" w:cs="宋体"/>
      <w:b/>
      <w:bCs/>
      <w:sz w:val="21"/>
      <w:szCs w:val="21"/>
    </w:rPr>
  </w:style>
  <w:style w:styleId="Heading3" w:type="paragraph">
    <w:name w:val="Heading 3"/>
    <w:basedOn w:val="Normal"/>
    <w:uiPriority w:val="1"/>
    <w:qFormat/>
    <w:pPr>
      <w:ind w:left="121"/>
      <w:outlineLvl w:val="3"/>
    </w:pPr>
    <w:rPr>
      <w:rFonts w:ascii="宋体" w:hAnsi="宋体" w:eastAsia="宋体" w:cs="宋体"/>
      <w:b/>
      <w:bCs/>
      <w:sz w:val="20"/>
      <w:szCs w:val="20"/>
    </w:rPr>
  </w:style>
  <w:style w:styleId="ListParagraph" w:type="paragraph">
    <w:name w:val="List Paragraph"/>
    <w:basedOn w:val="Normal"/>
    <w:uiPriority w:val="1"/>
    <w:qFormat/>
    <w:pPr>
      <w:spacing w:line="259" w:lineRule="exact"/>
      <w:ind w:left="2979" w:hanging="420"/>
    </w:pPr>
    <w:rPr>
      <w:rFonts w:ascii="宋体" w:hAnsi="宋体" w:eastAsia="宋体" w:cs="宋体"/>
    </w:rPr>
  </w:style>
  <w:style w:styleId="TableParagraph" w:type="paragraph">
    <w:name w:val="Table Paragraph"/>
    <w:basedOn w:val="Normal"/>
    <w:uiPriority w:val="1"/>
    <w:qFormat/>
    <w:pPr>
      <w:spacing w:line="248" w:lineRule="exact"/>
      <w:ind w:left="46"/>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2018-10-20T00:12:46Z</dcterms:created>
  <dcterms:modified xsi:type="dcterms:W3CDTF">2018-10-20T00:12:46Z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2014-10-30T00:00:00Z</vt:filetime>
  </property>
  <property fmtid="{D5CDD505-2E9C-101B-9397-08002B2CF9AE}" pid="3" name="Creator">
    <vt:lpwstr>Microsoft Office Word</vt:lpwstr>
  </property>
  <property fmtid="{D5CDD505-2E9C-101B-9397-08002B2CF9AE}" pid="4" name="LastSaved">
    <vt:filetime>2014-10-30T00:00:00Z</vt:filetime>
  </property>
</Properties>
</file>