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1611464" cy="4617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11464" cy="461772"/>
                    </a:xfrm>
                    <a:prstGeom prst="rect">
                      <a:avLst/>
                    </a:prstGeom>
                  </pic:spPr>
                </pic:pic>
              </a:graphicData>
            </a:graphic>
          </wp:inline>
        </w:drawing>
      </w:r>
      <w:r>
        <w:rPr>
          <w:rFonts w:ascii="Times New Roman"/>
          <w:sz w:val="20"/>
        </w:rPr>
      </w:r>
    </w:p>
    <w:p>
      <w:pPr>
        <w:pStyle w:val="BodyText"/>
        <w:spacing w:before="8"/>
        <w:rPr>
          <w:rFonts w:ascii="Times New Roman"/>
          <w:sz w:val="22"/>
        </w:rPr>
      </w:pPr>
      <w:r>
        <w:rPr/>
        <w:drawing>
          <wp:anchor distT="0" distB="0" distL="0" distR="0" allowOverlap="1" layoutInCell="1" locked="0" behindDoc="0" simplePos="0" relativeHeight="0">
            <wp:simplePos x="0" y="0"/>
            <wp:positionH relativeFrom="page">
              <wp:posOffset>2700654</wp:posOffset>
            </wp:positionH>
            <wp:positionV relativeFrom="paragraph">
              <wp:posOffset>191007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2855" w:right="115" w:firstLine="0"/>
        <w:jc w:val="center"/>
        <w:rPr>
          <w:b/>
          <w:sz w:val="30"/>
        </w:rPr>
      </w:pPr>
      <w:r>
        <w:rPr>
          <w:b/>
          <w:w w:val="95"/>
          <w:sz w:val="30"/>
        </w:rPr>
        <w:t>太平附加无忧提前给付重大疾病保险条款</w:t>
      </w:r>
    </w:p>
    <w:p>
      <w:pPr>
        <w:pStyle w:val="BodyText"/>
        <w:spacing w:before="72"/>
        <w:ind w:left="2855" w:right="110"/>
        <w:jc w:val="center"/>
      </w:pPr>
      <w:r>
        <w:rPr/>
        <w:t>（</w:t>
      </w:r>
      <w:r>
        <w:rPr>
          <w:rFonts w:ascii="Times New Roman" w:eastAsia="Times New Roman"/>
        </w:rPr>
        <w:t>2012</w:t>
      </w:r>
      <w:r>
        <w:rPr/>
        <w:t>年</w:t>
      </w:r>
      <w:r>
        <w:rPr>
          <w:rFonts w:ascii="Times New Roman" w:eastAsia="Times New Roman"/>
        </w:rPr>
        <w:t>9</w:t>
      </w:r>
      <w:r>
        <w:rPr/>
        <w:t>月呈报中国保险监督管理委员会备案）</w:t>
      </w:r>
    </w:p>
    <w:p>
      <w:pPr>
        <w:pStyle w:val="BodyText"/>
        <w:rPr>
          <w:sz w:val="22"/>
        </w:rPr>
      </w:pPr>
    </w:p>
    <w:p>
      <w:pPr>
        <w:pStyle w:val="BodyText"/>
        <w:spacing w:before="9"/>
        <w:rPr>
          <w:sz w:val="24"/>
        </w:rPr>
      </w:pPr>
    </w:p>
    <w:p>
      <w:pPr>
        <w:spacing w:before="0"/>
        <w:ind w:left="2855" w:right="114" w:firstLine="0"/>
        <w:jc w:val="center"/>
        <w:rPr>
          <w:b/>
          <w:sz w:val="28"/>
        </w:rPr>
      </w:pPr>
      <w:r>
        <w:rPr>
          <w:b/>
          <w:sz w:val="28"/>
        </w:rPr>
        <w:t>特别提示</w:t>
      </w:r>
    </w:p>
    <w:p>
      <w:pPr>
        <w:spacing w:before="61"/>
        <w:ind w:left="100" w:right="0" w:firstLine="0"/>
        <w:jc w:val="left"/>
        <w:rPr>
          <w:sz w:val="18"/>
        </w:rPr>
      </w:pPr>
      <w:r>
        <w:rPr/>
        <w:br w:type="column"/>
      </w:r>
      <w:r>
        <w:rPr>
          <w:sz w:val="18"/>
        </w:rPr>
        <w:t>太平人寿[2012]疾病保险 028 号</w:t>
      </w:r>
    </w:p>
    <w:p>
      <w:pPr>
        <w:pStyle w:val="BodyText"/>
        <w:spacing w:before="7"/>
        <w:rPr>
          <w:sz w:val="5"/>
        </w:rPr>
      </w:pPr>
    </w:p>
    <w:p>
      <w:pPr>
        <w:pStyle w:val="BodyText"/>
        <w:ind w:left="676"/>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00"/>
        <w:ind w:left="354" w:right="0" w:firstLine="0"/>
        <w:jc w:val="left"/>
        <w:rPr>
          <w:sz w:val="18"/>
        </w:rPr>
      </w:pPr>
      <w:r>
        <w:rPr>
          <w:sz w:val="18"/>
        </w:rPr>
        <w:t>请扫描以查询验证条款</w:t>
      </w:r>
    </w:p>
    <w:p>
      <w:pPr>
        <w:spacing w:after="0"/>
        <w:jc w:val="left"/>
        <w:rPr>
          <w:sz w:val="18"/>
        </w:rPr>
        <w:sectPr>
          <w:type w:val="continuous"/>
          <w:pgSz w:w="11910" w:h="16160"/>
          <w:pgMar w:top="540" w:bottom="280" w:left="580" w:right="20"/>
          <w:cols w:num="2" w:equalWidth="0">
            <w:col w:w="8161" w:space="418"/>
            <w:col w:w="2731"/>
          </w:cols>
        </w:sectPr>
      </w:pPr>
    </w:p>
    <w:p>
      <w:pPr>
        <w:pStyle w:val="BodyText"/>
        <w:rPr>
          <w:sz w:val="20"/>
        </w:rPr>
      </w:pPr>
    </w:p>
    <w:p>
      <w:pPr>
        <w:pStyle w:val="BodyText"/>
        <w:rPr>
          <w:sz w:val="20"/>
        </w:rPr>
      </w:pPr>
    </w:p>
    <w:p>
      <w:pPr>
        <w:pStyle w:val="BodyText"/>
        <w:spacing w:before="1"/>
        <w:rPr>
          <w:sz w:val="16"/>
        </w:rPr>
      </w:pPr>
    </w:p>
    <w:p>
      <w:pPr>
        <w:spacing w:before="27"/>
        <w:ind w:left="978" w:right="0" w:firstLine="0"/>
        <w:jc w:val="left"/>
        <w:rPr>
          <w:sz w:val="24"/>
        </w:rPr>
      </w:pPr>
      <w:r>
        <w:rPr>
          <w:sz w:val="24"/>
        </w:rPr>
        <w:t>感谢您选择了太平人寿保险有限公司。</w:t>
      </w:r>
    </w:p>
    <w:p>
      <w:pPr>
        <w:spacing w:line="549" w:lineRule="auto" w:before="46"/>
        <w:ind w:left="980" w:right="26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3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91"/>
                  </w:tblGrid>
                  <w:tr>
                    <w:trPr>
                      <w:trHeight w:val="859" w:hRule="atLeast"/>
                    </w:trPr>
                    <w:tc>
                      <w:tcPr>
                        <w:tcW w:w="1388" w:type="dxa"/>
                      </w:tcPr>
                      <w:p>
                        <w:pPr>
                          <w:pStyle w:val="TableParagraph"/>
                          <w:spacing w:line="248" w:lineRule="exact"/>
                          <w:ind w:left="200"/>
                          <w:jc w:val="left"/>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91" w:type="dxa"/>
                      </w:tcPr>
                      <w:p>
                        <w:pPr>
                          <w:pStyle w:val="TableParagraph"/>
                          <w:spacing w:line="248" w:lineRule="exact"/>
                          <w:ind w:left="142"/>
                          <w:jc w:val="left"/>
                          <w:rPr>
                            <w:sz w:val="24"/>
                          </w:rPr>
                        </w:pPr>
                        <w:r>
                          <w:rPr>
                            <w:sz w:val="24"/>
                          </w:rPr>
                          <w:t>是指与保险公司订立保险合同的人，按照保险合同负有支付保险费的义</w:t>
                        </w:r>
                      </w:p>
                      <w:p>
                        <w:pPr>
                          <w:pStyle w:val="TableParagraph"/>
                          <w:spacing w:before="46"/>
                          <w:ind w:left="142"/>
                          <w:jc w:val="left"/>
                          <w:rPr>
                            <w:sz w:val="24"/>
                          </w:rPr>
                        </w:pPr>
                        <w:r>
                          <w:rPr>
                            <w:sz w:val="24"/>
                          </w:rPr>
                          <w:t>务。在本附加合同中以“您”代称。</w:t>
                        </w:r>
                      </w:p>
                    </w:tc>
                  </w:tr>
                  <w:tr>
                    <w:trPr>
                      <w:trHeight w:val="1111" w:hRule="atLeast"/>
                    </w:trPr>
                    <w:tc>
                      <w:tcPr>
                        <w:tcW w:w="1388" w:type="dxa"/>
                      </w:tcPr>
                      <w:p>
                        <w:pPr>
                          <w:pStyle w:val="TableParagraph"/>
                          <w:spacing w:before="185"/>
                          <w:ind w:left="200"/>
                          <w:jc w:val="left"/>
                          <w:rPr>
                            <w:b/>
                            <w:sz w:val="24"/>
                          </w:rPr>
                        </w:pPr>
                        <w:r>
                          <w:rPr>
                            <w:b/>
                            <w:sz w:val="24"/>
                          </w:rPr>
                          <w:t>被保险人</w:t>
                        </w:r>
                      </w:p>
                    </w:tc>
                    <w:tc>
                      <w:tcPr>
                        <w:tcW w:w="448" w:type="dxa"/>
                      </w:tcPr>
                      <w:p>
                        <w:pPr>
                          <w:pStyle w:val="TableParagraph"/>
                          <w:spacing w:before="6"/>
                          <w:ind w:left="0"/>
                          <w:jc w:val="left"/>
                          <w:rPr>
                            <w:sz w:val="18"/>
                          </w:rPr>
                        </w:pPr>
                      </w:p>
                      <w:p>
                        <w:pPr>
                          <w:pStyle w:val="TableParagraph"/>
                          <w:ind w:left="0" w:right="142"/>
                          <w:jc w:val="right"/>
                          <w:rPr>
                            <w:rFonts w:ascii="Times New Roman"/>
                            <w:b/>
                            <w:sz w:val="24"/>
                          </w:rPr>
                        </w:pPr>
                        <w:r>
                          <w:rPr>
                            <w:rFonts w:ascii="Times New Roman"/>
                            <w:b/>
                            <w:w w:val="99"/>
                            <w:sz w:val="24"/>
                          </w:rPr>
                          <w:t>:</w:t>
                        </w:r>
                      </w:p>
                    </w:tc>
                    <w:tc>
                      <w:tcPr>
                        <w:tcW w:w="7891" w:type="dxa"/>
                      </w:tcPr>
                      <w:p>
                        <w:pPr>
                          <w:pStyle w:val="TableParagraph"/>
                          <w:spacing w:line="276" w:lineRule="auto" w:before="185"/>
                          <w:ind w:left="142" w:right="205"/>
                          <w:jc w:val="left"/>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jc w:val="left"/>
                          <w:rPr>
                            <w:b/>
                            <w:sz w:val="24"/>
                          </w:rPr>
                        </w:pPr>
                        <w:r>
                          <w:rPr>
                            <w:b/>
                            <w:w w:val="95"/>
                            <w:sz w:val="24"/>
                          </w:rPr>
                          <w:t>受益人</w:t>
                        </w:r>
                      </w:p>
                    </w:tc>
                    <w:tc>
                      <w:tcPr>
                        <w:tcW w:w="448" w:type="dxa"/>
                      </w:tcPr>
                      <w:p>
                        <w:pPr>
                          <w:pStyle w:val="TableParagraph"/>
                          <w:spacing w:before="6"/>
                          <w:ind w:left="0"/>
                          <w:jc w:val="left"/>
                          <w:rPr>
                            <w:sz w:val="18"/>
                          </w:rPr>
                        </w:pPr>
                      </w:p>
                      <w:p>
                        <w:pPr>
                          <w:pStyle w:val="TableParagraph"/>
                          <w:ind w:left="0" w:right="142"/>
                          <w:jc w:val="right"/>
                          <w:rPr>
                            <w:rFonts w:ascii="Times New Roman"/>
                            <w:b/>
                            <w:sz w:val="24"/>
                          </w:rPr>
                        </w:pPr>
                        <w:r>
                          <w:rPr>
                            <w:rFonts w:ascii="Times New Roman"/>
                            <w:b/>
                            <w:w w:val="99"/>
                            <w:sz w:val="24"/>
                          </w:rPr>
                          <w:t>:</w:t>
                        </w:r>
                      </w:p>
                    </w:tc>
                    <w:tc>
                      <w:tcPr>
                        <w:tcW w:w="7891" w:type="dxa"/>
                      </w:tcPr>
                      <w:p>
                        <w:pPr>
                          <w:pStyle w:val="TableParagraph"/>
                          <w:spacing w:line="360" w:lineRule="atLeast" w:before="139"/>
                          <w:ind w:left="142" w:right="199"/>
                          <w:jc w:val="left"/>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980" w:right="0" w:firstLine="0"/>
        <w:jc w:val="left"/>
        <w:rPr>
          <w:b/>
          <w:sz w:val="24"/>
        </w:rPr>
      </w:pPr>
      <w:r>
        <w:rPr>
          <w:b/>
          <w:w w:val="95"/>
          <w:sz w:val="24"/>
        </w:rPr>
        <w:t>您应当特别注意的事项：</w:t>
      </w:r>
    </w:p>
    <w:p>
      <w:pPr>
        <w:pStyle w:val="ListParagraph"/>
        <w:numPr>
          <w:ilvl w:val="0"/>
          <w:numId w:val="1"/>
        </w:numPr>
        <w:tabs>
          <w:tab w:pos="1817" w:val="left" w:leader="none"/>
          <w:tab w:pos="1818" w:val="left" w:leader="none"/>
        </w:tabs>
        <w:spacing w:line="240" w:lineRule="auto" w:before="45" w:after="0"/>
        <w:ind w:left="181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17" w:val="left" w:leader="none"/>
          <w:tab w:pos="1818" w:val="left" w:leader="none"/>
        </w:tabs>
        <w:spacing w:line="240" w:lineRule="auto" w:before="7" w:after="0"/>
        <w:ind w:left="181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17" w:val="left" w:leader="none"/>
          <w:tab w:pos="1818" w:val="left" w:leader="none"/>
        </w:tabs>
        <w:spacing w:line="240" w:lineRule="auto" w:before="7" w:after="0"/>
        <w:ind w:left="181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第十五条</w:t>
      </w:r>
    </w:p>
    <w:p>
      <w:pPr>
        <w:pStyle w:val="BodyText"/>
        <w:rPr>
          <w:b/>
          <w:sz w:val="26"/>
        </w:rPr>
      </w:pPr>
    </w:p>
    <w:p>
      <w:pPr>
        <w:pStyle w:val="BodyText"/>
        <w:spacing w:before="8"/>
        <w:rPr>
          <w:b/>
          <w:sz w:val="29"/>
        </w:rPr>
      </w:pPr>
    </w:p>
    <w:p>
      <w:pPr>
        <w:spacing w:line="276" w:lineRule="auto" w:before="0"/>
        <w:ind w:left="978" w:right="7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0"/>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43"/>
        <w:ind w:left="4753" w:right="5152"/>
        <w:jc w:val="center"/>
      </w:pPr>
      <w:r>
        <w:rPr/>
        <w:t>第</w:t>
      </w:r>
      <w:r>
        <w:rPr>
          <w:rFonts w:ascii="Times New Roman" w:eastAsia="Times New Roman"/>
        </w:rPr>
        <w:t>1</w:t>
      </w:r>
      <w:r>
        <w:rPr/>
        <w:t>页，共</w:t>
      </w:r>
      <w:r>
        <w:rPr>
          <w:rFonts w:ascii="Times New Roman" w:eastAsia="Times New Roman"/>
        </w:rPr>
        <w:t>10</w:t>
      </w:r>
      <w:r>
        <w:rPr/>
        <w:t>页</w:t>
      </w:r>
    </w:p>
    <w:p>
      <w:pPr>
        <w:spacing w:after="0"/>
        <w:jc w:val="center"/>
        <w:sectPr>
          <w:type w:val="continuous"/>
          <w:pgSz w:w="11910" w:h="16160"/>
          <w:pgMar w:top="540" w:bottom="280" w:left="580" w:right="2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4</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4</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如何交纳保险费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保险费的交纳</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2">
            <w:r>
              <w:rPr/>
              <w:t>第十条</w:t>
              <w:tab/>
              <w:t>保险费率的调整</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6">
            <w:r>
              <w:rPr/>
              <w:t>第十三条</w:t>
              <w:tab/>
              <w:t>保险金申请</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7">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8">
            <w:r>
              <w:rPr/>
              <w:t>第十四条</w:t>
              <w:tab/>
              <w:t>犹豫期</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9">
            <w:r>
              <w:rPr/>
              <w:t>第十五条</w:t>
              <w:tab/>
              <w:t>您解除合同的手续及风险</w:t>
              <w:tab/>
            </w:r>
            <w:r>
              <w:rPr>
                <w:rFonts w:ascii="Times New Roman" w:eastAsia="Times New Roman"/>
              </w:rPr>
              <w:t>6</w:t>
            </w:r>
          </w:hyperlink>
        </w:p>
        <w:p>
          <w:pPr>
            <w:pStyle w:val="TOC1"/>
            <w:tabs>
              <w:tab w:pos="1377" w:val="left" w:leader="none"/>
              <w:tab w:pos="10015" w:val="right" w:leader="dot"/>
            </w:tabs>
            <w:spacing w:before="41"/>
            <w:rPr>
              <w:rFonts w:ascii="Times New Roman" w:eastAsia="Times New Roman"/>
            </w:rPr>
          </w:pPr>
          <w:hyperlink w:history="true" w:anchor="_bookmark20">
            <w:r>
              <w:rPr/>
              <w:t>第六部分</w:t>
              <w:tab/>
              <w:t>您必须了解的其它</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1">
            <w:r>
              <w:rPr/>
              <w:t>第十六条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2">
            <w:r>
              <w:rPr/>
              <w:t>第十七条</w:t>
              <w:tab/>
              <w:t>终末期疾病定义</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23">
            <w:r>
              <w:rPr/>
              <w:t>第十八条</w:t>
              <w:tab/>
              <w:t>重大疾病的种类及定义</w:t>
              <w:tab/>
            </w:r>
            <w:r>
              <w:rPr>
                <w:rFonts w:ascii="Times New Roman" w:eastAsia="Times New Roman"/>
              </w:rPr>
              <w:t>7</w:t>
            </w:r>
          </w:hyperlink>
        </w:p>
      </w:sdtContent>
    </w:sdt>
    <w:p>
      <w:pPr>
        <w:spacing w:after="0"/>
        <w:rPr>
          <w:rFonts w:ascii="Times New Roman" w:eastAsia="Times New Roman"/>
        </w:rPr>
        <w:sectPr>
          <w:footerReference w:type="default" r:id="rId8"/>
          <w:pgSz w:w="11910" w:h="16160"/>
          <w:pgMar w:footer="686" w:header="0" w:top="1520" w:bottom="88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220" w:firstLine="420"/>
      </w:pPr>
      <w:r>
        <w:rPr/>
        <w:t>本附加合同依您的申请，可附加于我们提供的主合同之上，经我们审核同意，并在保险单或批注中列明后生效。</w:t>
      </w:r>
    </w:p>
    <w:p>
      <w:pPr>
        <w:pStyle w:val="BodyText"/>
        <w:spacing w:line="273" w:lineRule="auto" w:before="7"/>
        <w:ind w:left="117" w:right="220" w:firstLine="420"/>
      </w:pPr>
      <w:r>
        <w:rPr/>
        <w:t>主合同的条款中与本附加合同相关的部分均为本附加合同的构成部分，如果主合同与本附加合同的条款内容互有冲突，则以本附加合同为准。</w:t>
      </w:r>
    </w:p>
    <w:p>
      <w:pPr>
        <w:pStyle w:val="BodyText"/>
        <w:spacing w:before="7"/>
        <w:ind w:left="538"/>
      </w:pPr>
      <w:r>
        <w:rPr>
          <w:spacing w:val="-3"/>
        </w:rPr>
        <w:t>本附加合同构成主合同《太平无忧终身寿险（</w:t>
      </w:r>
      <w:r>
        <w:rPr>
          <w:spacing w:val="-2"/>
        </w:rPr>
        <w:t>分红型</w:t>
      </w:r>
      <w:r>
        <w:rPr>
          <w:spacing w:val="-106"/>
        </w:rPr>
        <w:t>）</w:t>
      </w:r>
      <w:r>
        <w:rPr>
          <w:spacing w:val="-3"/>
        </w:rPr>
        <w:t>》的一部分，不可分割，必须与主合同同时投保。</w:t>
      </w:r>
    </w:p>
    <w:p>
      <w:pPr>
        <w:pStyle w:val="BodyText"/>
        <w:spacing w:before="8"/>
        <w:rPr>
          <w:sz w:val="26"/>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30 </w:t>
      </w:r>
      <w:r>
        <w:rPr/>
        <w:t>天至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您提出保险申请、我们同意承保，本附加合同成立。</w:t>
      </w:r>
    </w:p>
    <w:p>
      <w:pPr>
        <w:pStyle w:val="BodyText"/>
        <w:spacing w:before="36"/>
        <w:ind w:left="538"/>
      </w:pPr>
      <w:r>
        <w:rPr/>
        <w:t>合同生效日期在保险单上载明。</w:t>
      </w:r>
      <w:r>
        <w:rPr>
          <w:b/>
        </w:rPr>
        <w:t>保单年度</w:t>
      </w:r>
      <w:r>
        <w:rPr>
          <w:rFonts w:ascii="Times New Roman" w:eastAsia="Times New Roman"/>
          <w:b/>
          <w:vertAlign w:val="superscript"/>
        </w:rPr>
        <w:t>2</w:t>
      </w:r>
      <w:r>
        <w:rPr>
          <w:rFonts w:ascii="Times New Roman" w:eastAsia="Times New Roman"/>
          <w:b/>
          <w:vertAlign w:val="baseline"/>
        </w:rPr>
      </w:r>
      <w:r>
        <w:rPr>
          <w:vertAlign w:val="baseline"/>
        </w:rPr>
        <w:t>、保险费约定支付日均以该日期计算。</w:t>
      </w:r>
    </w:p>
    <w:p>
      <w:pPr>
        <w:pStyle w:val="BodyText"/>
        <w:spacing w:before="5"/>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line="273" w:lineRule="auto" w:before="36"/>
        <w:ind w:left="538" w:right="109"/>
      </w:pPr>
      <w:r>
        <w:rPr>
          <w:spacing w:val="-7"/>
        </w:rPr>
        <w:t>本附加合同的保险期间为终身，自本附加合同生效之日零时起至被保险人身故时止，并在保险单上载明。</w:t>
      </w:r>
      <w:r>
        <w:rPr>
          <w:spacing w:val="-3"/>
        </w:rPr>
        <w:t>本附加合同的保险单周年日同主合同的保险单周年日。</w:t>
      </w:r>
    </w:p>
    <w:p>
      <w:pPr>
        <w:pStyle w:val="BodyText"/>
        <w:spacing w:before="3"/>
        <w:rPr>
          <w:sz w:val="22"/>
        </w:rPr>
      </w:pPr>
    </w:p>
    <w:p>
      <w:pPr>
        <w:pStyle w:val="Heading1"/>
        <w:tabs>
          <w:tab w:pos="1418" w:val="left" w:leader="none"/>
        </w:tabs>
        <w:ind w:right="10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6"/>
        <w:ind w:left="117" w:right="219" w:firstLine="420"/>
      </w:pPr>
      <w:r>
        <w:rPr/>
        <w:t>本附加合同的基本保险金额由您和我们约定，并在保险单或批注上列明。如果该金额发生变更，则以变更后的金额为基本保险金额。</w:t>
      </w:r>
    </w:p>
    <w:p>
      <w:pPr>
        <w:pStyle w:val="BodyText"/>
        <w:spacing w:line="273" w:lineRule="auto" w:before="7"/>
        <w:ind w:left="117" w:right="217" w:firstLine="420"/>
      </w:pPr>
      <w:r>
        <w:rPr>
          <w:spacing w:val="-7"/>
        </w:rPr>
        <w:t>在本附加合同保险期间内，本附加合同的基本保险金额与主合同《太平无忧终身寿险</w:t>
      </w:r>
      <w:r>
        <w:rPr/>
        <w:t>（</w:t>
      </w:r>
      <w:r>
        <w:rPr>
          <w:spacing w:val="-2"/>
        </w:rPr>
        <w:t>分红型</w:t>
      </w:r>
      <w:r>
        <w:rPr>
          <w:spacing w:val="-108"/>
        </w:rPr>
        <w:t>）</w:t>
      </w:r>
      <w:r>
        <w:rPr>
          <w:spacing w:val="-6"/>
        </w:rPr>
        <w:t>》的基本</w:t>
      </w:r>
      <w:r>
        <w:rPr>
          <w:spacing w:val="-4"/>
        </w:rPr>
        <w:t>保险金额保持一致。</w:t>
      </w:r>
    </w:p>
    <w:p>
      <w:pPr>
        <w:pStyle w:val="BodyText"/>
        <w:spacing w:line="273" w:lineRule="auto" w:before="7" w:after="20"/>
        <w:ind w:left="117" w:right="219" w:firstLine="420"/>
      </w:pPr>
      <w:r>
        <w:rPr/>
        <w:t>在给付本附加合同第七条“保险责任”中约定的重大疾病保险金或生命关爱保险金时，基本保险金额的给付比例见下表：</w:t>
      </w:r>
    </w:p>
    <w:tbl>
      <w:tblPr>
        <w:tblW w:w="0" w:type="auto"/>
        <w:jc w:val="left"/>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3639"/>
      </w:tblGrid>
      <w:tr>
        <w:trPr>
          <w:trHeight w:val="383" w:hRule="atLeast"/>
        </w:trPr>
        <w:tc>
          <w:tcPr>
            <w:tcW w:w="4959" w:type="dxa"/>
          </w:tcPr>
          <w:p>
            <w:pPr>
              <w:pStyle w:val="TableParagraph"/>
              <w:spacing w:before="23"/>
              <w:ind w:left="150" w:right="138"/>
              <w:rPr>
                <w:sz w:val="21"/>
              </w:rPr>
            </w:pPr>
            <w:r>
              <w:rPr>
                <w:sz w:val="21"/>
              </w:rPr>
              <w:t>被保险人初次患上重大疾病或终末期疾病时的年龄</w:t>
            </w:r>
          </w:p>
        </w:tc>
        <w:tc>
          <w:tcPr>
            <w:tcW w:w="3639" w:type="dxa"/>
          </w:tcPr>
          <w:p>
            <w:pPr>
              <w:pStyle w:val="TableParagraph"/>
              <w:spacing w:before="23"/>
              <w:ind w:right="742"/>
              <w:rPr>
                <w:sz w:val="21"/>
              </w:rPr>
            </w:pPr>
            <w:r>
              <w:rPr>
                <w:sz w:val="21"/>
              </w:rPr>
              <w:t>基本保险金额给付比例</w:t>
            </w:r>
          </w:p>
        </w:tc>
      </w:tr>
      <w:tr>
        <w:trPr>
          <w:trHeight w:val="386" w:hRule="atLeast"/>
        </w:trPr>
        <w:tc>
          <w:tcPr>
            <w:tcW w:w="4959" w:type="dxa"/>
          </w:tcPr>
          <w:p>
            <w:pPr>
              <w:pStyle w:val="TableParagraph"/>
              <w:spacing w:before="25"/>
              <w:ind w:left="150" w:right="138"/>
              <w:rPr>
                <w:sz w:val="21"/>
              </w:rPr>
            </w:pPr>
            <w:r>
              <w:rPr>
                <w:sz w:val="21"/>
              </w:rPr>
              <w:t>不足 </w:t>
            </w:r>
            <w:r>
              <w:rPr>
                <w:rFonts w:ascii="Times New Roman" w:eastAsia="Times New Roman"/>
                <w:sz w:val="21"/>
              </w:rPr>
              <w:t>1 </w:t>
            </w:r>
            <w:r>
              <w:rPr>
                <w:sz w:val="21"/>
              </w:rPr>
              <w:t>周岁</w:t>
            </w:r>
          </w:p>
        </w:tc>
        <w:tc>
          <w:tcPr>
            <w:tcW w:w="3639" w:type="dxa"/>
          </w:tcPr>
          <w:p>
            <w:pPr>
              <w:pStyle w:val="TableParagraph"/>
              <w:spacing w:before="72"/>
              <w:ind w:right="738"/>
              <w:rPr>
                <w:rFonts w:ascii="Times New Roman"/>
                <w:sz w:val="21"/>
              </w:rPr>
            </w:pPr>
            <w:r>
              <w:rPr>
                <w:rFonts w:ascii="Times New Roman"/>
                <w:sz w:val="21"/>
              </w:rPr>
              <w:t>20%</w:t>
            </w:r>
          </w:p>
        </w:tc>
      </w:tr>
      <w:tr>
        <w:trPr>
          <w:trHeight w:val="384" w:hRule="atLeast"/>
        </w:trPr>
        <w:tc>
          <w:tcPr>
            <w:tcW w:w="4959" w:type="dxa"/>
          </w:tcPr>
          <w:p>
            <w:pPr>
              <w:pStyle w:val="TableParagraph"/>
              <w:spacing w:before="24"/>
              <w:ind w:left="145" w:right="138"/>
              <w:rPr>
                <w:sz w:val="21"/>
              </w:rPr>
            </w:pPr>
            <w:r>
              <w:rPr>
                <w:sz w:val="21"/>
              </w:rPr>
              <w:t>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c>
          <w:tcPr>
            <w:tcW w:w="3639" w:type="dxa"/>
          </w:tcPr>
          <w:p>
            <w:pPr>
              <w:pStyle w:val="TableParagraph"/>
              <w:spacing w:before="70"/>
              <w:ind w:right="738"/>
              <w:rPr>
                <w:rFonts w:ascii="Times New Roman"/>
                <w:sz w:val="21"/>
              </w:rPr>
            </w:pPr>
            <w:r>
              <w:rPr>
                <w:rFonts w:ascii="Times New Roman"/>
                <w:sz w:val="21"/>
              </w:rPr>
              <w:t>40%</w:t>
            </w:r>
          </w:p>
        </w:tc>
      </w:tr>
      <w:tr>
        <w:trPr>
          <w:trHeight w:val="383" w:hRule="atLeast"/>
        </w:trPr>
        <w:tc>
          <w:tcPr>
            <w:tcW w:w="4959" w:type="dxa"/>
          </w:tcPr>
          <w:p>
            <w:pPr>
              <w:pStyle w:val="TableParagraph"/>
              <w:spacing w:before="23"/>
              <w:ind w:left="145" w:right="138"/>
              <w:rPr>
                <w:sz w:val="21"/>
              </w:rPr>
            </w:pPr>
            <w:r>
              <w:rPr>
                <w:sz w:val="21"/>
              </w:rPr>
              <w:t>满 </w:t>
            </w:r>
            <w:r>
              <w:rPr>
                <w:rFonts w:ascii="Times New Roman" w:eastAsia="Times New Roman"/>
                <w:sz w:val="21"/>
              </w:rPr>
              <w:t>2 </w:t>
            </w:r>
            <w:r>
              <w:rPr>
                <w:sz w:val="21"/>
              </w:rPr>
              <w:t>周岁但未满 </w:t>
            </w:r>
            <w:r>
              <w:rPr>
                <w:rFonts w:ascii="Times New Roman" w:eastAsia="Times New Roman"/>
                <w:sz w:val="21"/>
              </w:rPr>
              <w:t>3 </w:t>
            </w:r>
            <w:r>
              <w:rPr>
                <w:sz w:val="21"/>
              </w:rPr>
              <w:t>周岁</w:t>
            </w:r>
          </w:p>
        </w:tc>
        <w:tc>
          <w:tcPr>
            <w:tcW w:w="3639" w:type="dxa"/>
          </w:tcPr>
          <w:p>
            <w:pPr>
              <w:pStyle w:val="TableParagraph"/>
              <w:spacing w:before="70"/>
              <w:ind w:right="738"/>
              <w:rPr>
                <w:rFonts w:ascii="Times New Roman"/>
                <w:sz w:val="21"/>
              </w:rPr>
            </w:pPr>
            <w:r>
              <w:rPr>
                <w:rFonts w:ascii="Times New Roman"/>
                <w:sz w:val="21"/>
              </w:rPr>
              <w:t>60%</w:t>
            </w:r>
          </w:p>
        </w:tc>
      </w:tr>
      <w:tr>
        <w:trPr>
          <w:trHeight w:val="383" w:hRule="atLeast"/>
        </w:trPr>
        <w:tc>
          <w:tcPr>
            <w:tcW w:w="4959" w:type="dxa"/>
          </w:tcPr>
          <w:p>
            <w:pPr>
              <w:pStyle w:val="TableParagraph"/>
              <w:spacing w:before="23"/>
              <w:ind w:left="145" w:right="138"/>
              <w:rPr>
                <w:sz w:val="21"/>
              </w:rPr>
            </w:pPr>
            <w:r>
              <w:rPr>
                <w:sz w:val="21"/>
              </w:rPr>
              <w:t>满 </w:t>
            </w:r>
            <w:r>
              <w:rPr>
                <w:rFonts w:ascii="Times New Roman" w:eastAsia="Times New Roman"/>
                <w:sz w:val="21"/>
              </w:rPr>
              <w:t>3 </w:t>
            </w:r>
            <w:r>
              <w:rPr>
                <w:sz w:val="21"/>
              </w:rPr>
              <w:t>周岁但未满 </w:t>
            </w:r>
            <w:r>
              <w:rPr>
                <w:rFonts w:ascii="Times New Roman" w:eastAsia="Times New Roman"/>
                <w:sz w:val="21"/>
              </w:rPr>
              <w:t>4 </w:t>
            </w:r>
            <w:r>
              <w:rPr>
                <w:sz w:val="21"/>
              </w:rPr>
              <w:t>周岁</w:t>
            </w:r>
          </w:p>
        </w:tc>
        <w:tc>
          <w:tcPr>
            <w:tcW w:w="3639" w:type="dxa"/>
          </w:tcPr>
          <w:p>
            <w:pPr>
              <w:pStyle w:val="TableParagraph"/>
              <w:spacing w:before="70"/>
              <w:ind w:right="738"/>
              <w:rPr>
                <w:rFonts w:ascii="Times New Roman"/>
                <w:sz w:val="21"/>
              </w:rPr>
            </w:pPr>
            <w:r>
              <w:rPr>
                <w:rFonts w:ascii="Times New Roman"/>
                <w:sz w:val="21"/>
              </w:rPr>
              <w:t>80%</w:t>
            </w:r>
          </w:p>
        </w:tc>
      </w:tr>
      <w:tr>
        <w:trPr>
          <w:trHeight w:val="383" w:hRule="atLeast"/>
        </w:trPr>
        <w:tc>
          <w:tcPr>
            <w:tcW w:w="4959" w:type="dxa"/>
          </w:tcPr>
          <w:p>
            <w:pPr>
              <w:pStyle w:val="TableParagraph"/>
              <w:spacing w:before="23"/>
              <w:ind w:left="148" w:right="138"/>
              <w:rPr>
                <w:sz w:val="21"/>
              </w:rPr>
            </w:pPr>
            <w:r>
              <w:rPr>
                <w:sz w:val="21"/>
              </w:rPr>
              <w:t>满 </w:t>
            </w:r>
            <w:r>
              <w:rPr>
                <w:rFonts w:ascii="Times New Roman" w:eastAsia="Times New Roman"/>
                <w:sz w:val="21"/>
              </w:rPr>
              <w:t>4 </w:t>
            </w:r>
            <w:r>
              <w:rPr>
                <w:sz w:val="21"/>
              </w:rPr>
              <w:t>周岁</w:t>
            </w:r>
          </w:p>
        </w:tc>
        <w:tc>
          <w:tcPr>
            <w:tcW w:w="3639" w:type="dxa"/>
          </w:tcPr>
          <w:p>
            <w:pPr>
              <w:pStyle w:val="TableParagraph"/>
              <w:spacing w:before="70"/>
              <w:ind w:right="738"/>
              <w:rPr>
                <w:rFonts w:ascii="Times New Roman"/>
                <w:sz w:val="21"/>
              </w:rPr>
            </w:pPr>
            <w:r>
              <w:rPr>
                <w:rFonts w:ascii="Times New Roman"/>
                <w:sz w:val="21"/>
              </w:rPr>
              <w:t>100%</w:t>
            </w:r>
          </w:p>
        </w:tc>
      </w:tr>
    </w:tbl>
    <w:p>
      <w:pPr>
        <w:pStyle w:val="BodyText"/>
        <w:rPr>
          <w:sz w:val="20"/>
        </w:rPr>
      </w:pPr>
    </w:p>
    <w:p>
      <w:pPr>
        <w:pStyle w:val="BodyText"/>
        <w:rPr>
          <w:sz w:val="20"/>
        </w:rPr>
      </w:pPr>
    </w:p>
    <w:p>
      <w:pPr>
        <w:pStyle w:val="BodyText"/>
        <w:rPr>
          <w:sz w:val="20"/>
        </w:rPr>
      </w:pPr>
    </w:p>
    <w:p>
      <w:pPr>
        <w:pStyle w:val="BodyText"/>
        <w:spacing w:before="1"/>
        <w:rPr>
          <w:sz w:val="26"/>
        </w:rPr>
      </w:pPr>
      <w:r>
        <w:rPr/>
        <w:pict>
          <v:line style="position:absolute;mso-position-horizontal-relative:page;mso-position-vertical-relative:paragraph;z-index:1072;mso-wrap-distance-left:0;mso-wrap-distance-right:0" from="53.880001pt,19.298197pt" to="197.930001pt,19.298197pt" stroked="true" strokeweight=".47998pt" strokecolor="#000000">
            <v:stroke dashstyle="solid"/>
            <w10:wrap type="topAndBottom"/>
          </v:line>
        </w:pict>
      </w:r>
    </w:p>
    <w:p>
      <w:pPr>
        <w:pStyle w:val="BodyText"/>
        <w:spacing w:line="285"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61" w:lineRule="exact"/>
        <w:ind w:left="117"/>
      </w:pPr>
      <w:r>
        <w:rPr/>
        <w:t>度。如果当月无对应的同一日，则以该月最后一日为对应日。</w:t>
      </w:r>
    </w:p>
    <w:p>
      <w:pPr>
        <w:spacing w:after="0" w:line="261" w:lineRule="exact"/>
        <w:sectPr>
          <w:pgSz w:w="11910" w:h="16160"/>
          <w:pgMar w:header="0" w:footer="686" w:top="1520" w:bottom="880" w:left="960" w:right="700"/>
        </w:sectPr>
      </w:pPr>
    </w:p>
    <w:p>
      <w:pPr>
        <w:pStyle w:val="Heading2"/>
        <w:tabs>
          <w:tab w:pos="957" w:val="left" w:leader="none"/>
        </w:tabs>
        <w:spacing w:before="7"/>
      </w:pPr>
      <w:bookmarkStart w:name="_bookmark7" w:id="8"/>
      <w:bookmarkEnd w:id="8"/>
      <w:r>
        <w:rPr>
          <w:b w:val="0"/>
        </w:rPr>
      </w:r>
      <w:r>
        <w:rPr/>
        <w:t>第六条</w:t>
        <w:tab/>
        <w:t>等待期</w:t>
      </w:r>
    </w:p>
    <w:p>
      <w:pPr>
        <w:pStyle w:val="BodyText"/>
        <w:spacing w:before="37"/>
        <w:ind w:left="538"/>
      </w:pPr>
      <w:r>
        <w:rPr/>
        <w:t>自本附加合同生效日及复效日起 </w:t>
      </w:r>
      <w:r>
        <w:rPr>
          <w:rFonts w:ascii="Times New Roman" w:eastAsia="Times New Roman"/>
        </w:rPr>
        <w:t>90 </w:t>
      </w:r>
      <w:r>
        <w:rPr/>
        <w:t>天为等待期。</w:t>
      </w:r>
    </w:p>
    <w:p>
      <w:pPr>
        <w:pStyle w:val="BodyText"/>
        <w:spacing w:before="6"/>
        <w:rPr>
          <w:sz w:val="25"/>
        </w:rPr>
      </w:pPr>
    </w:p>
    <w:p>
      <w:pPr>
        <w:tabs>
          <w:tab w:pos="969" w:val="left" w:leader="none"/>
        </w:tabs>
        <w:spacing w:line="290" w:lineRule="auto" w:before="0"/>
        <w:ind w:left="117" w:right="8232" w:firstLine="0"/>
        <w:jc w:val="left"/>
        <w:rPr>
          <w:sz w:val="21"/>
        </w:rPr>
      </w:pPr>
      <w:bookmarkStart w:name="_bookmark8" w:id="9"/>
      <w:bookmarkEnd w:id="9"/>
      <w:r>
        <w:rPr/>
      </w:r>
      <w:r>
        <w:rPr>
          <w:b/>
          <w:sz w:val="21"/>
        </w:rPr>
        <w:t>第七条</w:t>
        <w:tab/>
        <w:t>保险责任</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66" w:lineRule="auto"/>
        <w:ind w:left="117" w:right="216" w:firstLine="420"/>
        <w:jc w:val="both"/>
      </w:pPr>
      <w:r>
        <w:rPr/>
        <w:t>在本附加合同保险期间内且本附加合同有效，被保险人自等待期后首次</w:t>
      </w:r>
      <w:r>
        <w:rPr>
          <w:b/>
        </w:rPr>
        <w:t>发病</w:t>
      </w:r>
      <w:r>
        <w:rPr>
          <w:rFonts w:ascii="Times New Roman" w:eastAsia="Times New Roman"/>
          <w:b/>
          <w:vertAlign w:val="superscript"/>
        </w:rPr>
        <w:t>3</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4</w:t>
      </w:r>
      <w:r>
        <w:rPr>
          <w:rFonts w:ascii="Times New Roman" w:eastAsia="Times New Roman"/>
          <w:b/>
          <w:vertAlign w:val="baseline"/>
        </w:rPr>
      </w:r>
      <w:r>
        <w:rPr>
          <w:vertAlign w:val="baseline"/>
        </w:rPr>
        <w:t>确诊初次患上一项或多项本附加合同第十八条所定义的重大疾病，我们按本附加合同基本保险金额与本附加合同第五条中约定的基本保险金额给付比例相乘所得的数额给付重大疾病保险金，本附加合同的效力终止。主合同的效力同时终止，我们将给付</w:t>
      </w:r>
      <w:r>
        <w:rPr>
          <w:b/>
          <w:vertAlign w:val="baseline"/>
        </w:rPr>
        <w:t>主合同累积红利保险金额对应的现金价值</w:t>
      </w:r>
      <w:r>
        <w:rPr>
          <w:rFonts w:ascii="Times New Roman" w:eastAsia="Times New Roman"/>
          <w:b/>
          <w:vertAlign w:val="superscript"/>
        </w:rPr>
        <w:t>5</w:t>
      </w:r>
      <w:r>
        <w:rPr>
          <w:rFonts w:ascii="Times New Roman" w:eastAsia="Times New Roman"/>
          <w:b/>
          <w:vertAlign w:val="baseline"/>
        </w:rPr>
      </w:r>
      <w:r>
        <w:rPr>
          <w:vertAlign w:val="baseline"/>
        </w:rPr>
        <w:t>。</w:t>
      </w:r>
    </w:p>
    <w:p>
      <w:pPr>
        <w:pStyle w:val="BodyText"/>
        <w:spacing w:line="273" w:lineRule="auto" w:before="2"/>
        <w:ind w:left="117" w:right="217" w:firstLine="420"/>
        <w:jc w:val="both"/>
      </w:pPr>
      <w:r>
        <w:rPr/>
        <w:t>如果被保险人经医院确诊初次患上本附加合同第十八条所定义的重大疾病，并且首次发病时间在等待期内，我们不承担保险责任并无息退还主合同及本附加合同的已交保险费，同时主合同及本附加合同的效力终止。这里的已交保险费指您实际交纳的保险费。</w:t>
      </w:r>
    </w:p>
    <w:p>
      <w:pPr>
        <w:spacing w:before="7"/>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导致重大疾病的，不受等待期的限制。</w:t>
      </w:r>
    </w:p>
    <w:p>
      <w:pPr>
        <w:pStyle w:val="BodyText"/>
        <w:spacing w:before="6"/>
        <w:rPr>
          <w:sz w:val="25"/>
        </w:rPr>
      </w:pPr>
    </w:p>
    <w:p>
      <w:pPr>
        <w:pStyle w:val="BodyText"/>
        <w:ind w:left="117"/>
      </w:pPr>
      <w:r>
        <w:rPr/>
        <w:t>二、生命关爱保险金</w:t>
      </w:r>
    </w:p>
    <w:p>
      <w:pPr>
        <w:pStyle w:val="BodyText"/>
        <w:spacing w:line="273" w:lineRule="auto" w:before="37"/>
        <w:ind w:left="117" w:right="217" w:firstLine="420"/>
        <w:jc w:val="both"/>
      </w:pPr>
      <w:r>
        <w:rPr/>
        <w:t>在本附加合同保险期间内且本附加合同有效，被保险人自等待期后首次发病并经医院确诊初次患上本附加合同第十七条所定义的终末期疾病，我们按本附加合同基本保险金额与本附加合同第五条中约定的基本保险金额给付比例相乘所得的数额给付生命关爱保险金，本附加合同的效力终止。主合同的效力同时终止，我们将给付主合同累积红利保险金额对应的现金价值。</w:t>
      </w:r>
    </w:p>
    <w:p>
      <w:pPr>
        <w:pStyle w:val="BodyText"/>
        <w:spacing w:line="273" w:lineRule="auto" w:before="7"/>
        <w:ind w:left="117" w:right="217" w:firstLine="420"/>
        <w:jc w:val="both"/>
      </w:pPr>
      <w:r>
        <w:rPr/>
        <w:t>如果被保险人经医院确诊初次患上本附加合同第十七条所定义的终末期疾病，并且首次发病时间在等待期内，我们不承担保险责任并无息退还主合同及本附加合同所交的保险费，主合同及本附加合同的效力同时终止。</w:t>
      </w:r>
    </w:p>
    <w:p>
      <w:pPr>
        <w:pStyle w:val="BodyText"/>
        <w:spacing w:before="7"/>
        <w:ind w:left="538"/>
      </w:pPr>
      <w:r>
        <w:rPr/>
        <w:t>被保险人因遭受意外伤害事故导致终末期疾病的，不受等待期的限制。</w:t>
      </w:r>
    </w:p>
    <w:p>
      <w:pPr>
        <w:pStyle w:val="BodyText"/>
        <w:spacing w:before="8"/>
        <w:rPr>
          <w:sz w:val="26"/>
        </w:rPr>
      </w:pPr>
    </w:p>
    <w:p>
      <w:pPr>
        <w:pStyle w:val="BodyText"/>
        <w:spacing w:line="273" w:lineRule="auto"/>
        <w:ind w:left="117" w:right="219" w:firstLine="420"/>
        <w:jc w:val="both"/>
      </w:pPr>
      <w:r>
        <w:rPr/>
        <w:t>主合同及本附加合同保险责任中约定的身故保险金、重大疾病保险金及生命关爱保险金不可兼得，即我们只给付其中一项保险金。</w:t>
      </w:r>
    </w:p>
    <w:p>
      <w:pPr>
        <w:pStyle w:val="BodyText"/>
        <w:spacing w:before="5"/>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line="237" w:lineRule="auto" w:before="18"/>
        <w:ind w:left="117" w:right="219" w:firstLine="420"/>
        <w:jc w:val="both"/>
        <w:rPr>
          <w:rFonts w:ascii="黑体" w:eastAsia="黑体" w:hint="eastAsia"/>
        </w:rPr>
      </w:pPr>
      <w:r>
        <w:rPr>
          <w:rFonts w:ascii="黑体" w:eastAsia="黑体" w:hint="eastAsia"/>
        </w:rPr>
        <w:t>因下列情形之一导致被保险人患上本附加合同所定义的重大疾病或终末期疾病的，我们不承担给付重大疾病保险金或Th命关爱保险金的责任：</w:t>
      </w:r>
    </w:p>
    <w:p>
      <w:pPr>
        <w:pStyle w:val="BodyText"/>
        <w:spacing w:line="272" w:lineRule="exact"/>
        <w:ind w:left="117"/>
        <w:rPr>
          <w:rFonts w:ascii="黑体" w:eastAsia="黑体" w:hint="eastAsia"/>
        </w:rPr>
      </w:pPr>
      <w:r>
        <w:rPr>
          <w:rFonts w:ascii="黑体" w:eastAsia="黑体" w:hint="eastAsia"/>
        </w:rPr>
        <w:t>一、投保人对被保险人的故意杀害、故意伤害；</w:t>
      </w:r>
    </w:p>
    <w:p>
      <w:pPr>
        <w:pStyle w:val="BodyText"/>
        <w:ind w:left="117" w:right="360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pStyle w:val="BodyText"/>
        <w:rPr>
          <w:rFonts w:ascii="黑体"/>
          <w:sz w:val="20"/>
        </w:rPr>
      </w:pPr>
    </w:p>
    <w:p>
      <w:pPr>
        <w:pStyle w:val="BodyText"/>
        <w:spacing w:before="4"/>
        <w:rPr>
          <w:rFonts w:ascii="黑体"/>
          <w:sz w:val="24"/>
        </w:rPr>
      </w:pPr>
      <w:r>
        <w:rPr/>
        <w:pict>
          <v:line style="position:absolute;mso-position-horizontal-relative:page;mso-position-vertical-relative:paragraph;z-index:1096;mso-wrap-distance-left:0;mso-wrap-distance-right:0" from="53.880001pt,18.120512pt" to="197.930001pt,18.120512pt" stroked="true" strokeweight=".47998pt" strokecolor="#000000">
            <v:stroke dashstyle="solid"/>
            <w10:wrap type="topAndBottom"/>
          </v:line>
        </w:pict>
      </w:r>
    </w:p>
    <w:p>
      <w:pPr>
        <w:pStyle w:val="BodyText"/>
        <w:spacing w:line="320" w:lineRule="exact"/>
        <w:ind w:left="117"/>
      </w:pPr>
      <w:r>
        <w:rPr>
          <w:rFonts w:ascii="Times New Roman" w:eastAsia="Times New Roman"/>
          <w:position w:val="10"/>
          <w:sz w:val="14"/>
        </w:rPr>
        <w:t>3</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6"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ind w:left="117"/>
      </w:pPr>
      <w:r>
        <w:rPr/>
        <w:t>酒、戒毒或相类似的医疗机构。同时该医院必须具有符合有关医院管理规定设臵标准的医疗设备，并且提供</w:t>
      </w:r>
    </w:p>
    <w:p>
      <w:pPr>
        <w:pStyle w:val="BodyText"/>
        <w:spacing w:line="247" w:lineRule="exact"/>
        <w:ind w:left="117"/>
      </w:pPr>
      <w:r>
        <w:rPr>
          <w:rFonts w:ascii="Times New Roman" w:eastAsia="Times New Roman"/>
        </w:rPr>
        <w:t>24 </w:t>
      </w:r>
      <w:r>
        <w:rPr/>
        <w:t>小时有合格医师及护士驻院的医疗和护理等服务。</w:t>
      </w:r>
    </w:p>
    <w:p>
      <w:pPr>
        <w:spacing w:line="310" w:lineRule="exact" w:before="0"/>
        <w:ind w:left="117" w:right="0" w:firstLine="0"/>
        <w:jc w:val="left"/>
        <w:rPr>
          <w:sz w:val="21"/>
        </w:rPr>
      </w:pPr>
      <w:r>
        <w:rPr>
          <w:rFonts w:ascii="Times New Roman" w:eastAsia="Times New Roman"/>
          <w:spacing w:val="-1"/>
          <w:position w:val="10"/>
          <w:sz w:val="14"/>
        </w:rPr>
        <w:t>5</w:t>
      </w:r>
      <w:r>
        <w:rPr>
          <w:rFonts w:ascii="Microsoft JhengHei" w:eastAsia="Microsoft JhengHei" w:hint="eastAsia"/>
          <w:b/>
          <w:spacing w:val="-4"/>
          <w:sz w:val="21"/>
        </w:rPr>
        <w:t>主合同累积红利保险金额对应的现金价值：</w:t>
      </w:r>
      <w:r>
        <w:rPr>
          <w:spacing w:val="-6"/>
          <w:sz w:val="21"/>
        </w:rPr>
        <w:t>是指根据精算原理计算的主合同《太平无忧终身寿险</w:t>
      </w:r>
      <w:r>
        <w:rPr>
          <w:sz w:val="21"/>
        </w:rPr>
        <w:t>（</w:t>
      </w:r>
      <w:r>
        <w:rPr>
          <w:spacing w:val="-2"/>
          <w:sz w:val="21"/>
        </w:rPr>
        <w:t>分红型</w:t>
      </w:r>
      <w:r>
        <w:rPr>
          <w:spacing w:val="-106"/>
          <w:sz w:val="21"/>
        </w:rPr>
        <w:t>）</w:t>
      </w:r>
      <w:r>
        <w:rPr>
          <w:sz w:val="21"/>
        </w:rPr>
        <w:t>》</w:t>
      </w:r>
    </w:p>
    <w:p>
      <w:pPr>
        <w:pStyle w:val="BodyText"/>
        <w:spacing w:line="227" w:lineRule="exact"/>
        <w:ind w:left="117"/>
      </w:pPr>
      <w:r>
        <w:rPr/>
        <w:t>累积红利保险金额所具有的价值。</w:t>
      </w:r>
    </w:p>
    <w:p>
      <w:pPr>
        <w:spacing w:line="284"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37" w:lineRule="auto"/>
        <w:ind w:left="117" w:right="246"/>
      </w:pPr>
      <w:r>
        <w:rPr/>
        <w:t>定管制的其他能够使人形成瘾癖的麻醉药品和精神药品，但不包括由医生开具并遵医嘱使用的用于治疗疾病但含有毒品成分的处方药品。</w:t>
      </w:r>
    </w:p>
    <w:p>
      <w:pPr>
        <w:spacing w:after="0" w:line="237" w:lineRule="auto"/>
        <w:sectPr>
          <w:footerReference w:type="default" r:id="rId9"/>
          <w:pgSz w:w="11910" w:h="16160"/>
          <w:pgMar w:footer="686" w:header="0" w:top="1360" w:bottom="880" w:left="960" w:right="700"/>
          <w:pgNumType w:start="4"/>
        </w:sectPr>
      </w:pPr>
    </w:p>
    <w:p>
      <w:pPr>
        <w:spacing w:line="244" w:lineRule="auto" w:before="66"/>
        <w:ind w:left="117" w:right="2267"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 五、被保险人</w:t>
      </w:r>
      <w:r>
        <w:rPr>
          <w:rFonts w:ascii="黑体" w:eastAsia="黑体" w:hint="eastAsia"/>
          <w:b/>
          <w:sz w:val="21"/>
          <w:vertAlign w:val="baseline"/>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line="237" w:lineRule="auto"/>
        <w:ind w:left="117" w:right="6341"/>
        <w:rPr>
          <w:rFonts w:ascii="黑体" w:eastAsia="黑体" w:hint="eastAsia"/>
        </w:rPr>
      </w:pPr>
      <w:r>
        <w:rPr>
          <w:rFonts w:ascii="黑体" w:eastAsia="黑体" w:hint="eastAsia"/>
        </w:rPr>
        <w:t>六、战争、军事冲突、暴乱或武装叛乱； 七、核爆炸、核辐射或核污染；</w:t>
      </w:r>
    </w:p>
    <w:p>
      <w:pPr>
        <w:spacing w:before="22"/>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0"/>
        <w:ind w:left="117" w:right="109" w:firstLine="420"/>
        <w:rPr>
          <w:rFonts w:ascii="黑体" w:eastAsia="黑体" w:hint="eastAsia"/>
        </w:rPr>
      </w:pPr>
      <w:r>
        <w:rPr>
          <w:rFonts w:ascii="黑体" w:eastAsia="黑体" w:hint="eastAsia"/>
        </w:rPr>
        <w:t>发Th</w:t>
      </w:r>
      <w:r>
        <w:rPr>
          <w:rFonts w:ascii="黑体" w:eastAsia="黑体" w:hint="eastAsia"/>
          <w:spacing w:val="-5"/>
        </w:rPr>
        <w:t>上述第一项情形导致被保险人患上本附加合同所定义的重大疾病或终末期疾病的，本附加合同终止， </w:t>
      </w:r>
      <w:r>
        <w:rPr>
          <w:rFonts w:ascii="黑体" w:eastAsia="黑体" w:hint="eastAsia"/>
          <w:spacing w:val="-10"/>
        </w:rPr>
        <w:t>您已交足 </w:t>
      </w:r>
      <w:r>
        <w:rPr>
          <w:rFonts w:ascii="Times New Roman" w:eastAsia="Times New Roman"/>
        </w:rPr>
        <w:t>2 </w:t>
      </w:r>
      <w:r>
        <w:rPr>
          <w:rFonts w:ascii="黑体" w:eastAsia="黑体" w:hint="eastAsia"/>
          <w:spacing w:val="-3"/>
        </w:rPr>
        <w:t>年以上保险费的，我们向其他权利人退还保险单的</w:t>
      </w:r>
      <w:r>
        <w:rPr>
          <w:rFonts w:ascii="黑体" w:eastAsia="黑体" w:hint="eastAsia"/>
          <w:b/>
          <w:spacing w:val="-1"/>
        </w:rPr>
        <w:t>现金价值</w:t>
      </w:r>
      <w:r>
        <w:rPr>
          <w:rFonts w:ascii="黑体" w:eastAsia="黑体" w:hint="eastAsia"/>
          <w:b/>
          <w:position w:val="11"/>
          <w:sz w:val="11"/>
        </w:rPr>
        <w:t>14</w:t>
      </w:r>
      <w:r>
        <w:rPr>
          <w:rFonts w:ascii="黑体" w:eastAsia="黑体" w:hint="eastAsia"/>
        </w:rPr>
        <w:t>。</w:t>
      </w:r>
    </w:p>
    <w:p>
      <w:pPr>
        <w:pStyle w:val="BodyText"/>
        <w:spacing w:line="261" w:lineRule="exact"/>
        <w:ind w:left="538"/>
        <w:rPr>
          <w:rFonts w:ascii="黑体" w:eastAsia="黑体" w:hint="eastAsia"/>
        </w:rPr>
      </w:pPr>
      <w:r>
        <w:rPr>
          <w:rFonts w:ascii="黑体" w:eastAsia="黑体" w:hint="eastAsia"/>
        </w:rPr>
        <w:t>发Th上述其他情形导致被保险人患上本附加合同所定义的重大疾病或终末期疾病的，本附加合同终止，</w:t>
      </w:r>
    </w:p>
    <w:p>
      <w:pPr>
        <w:pStyle w:val="BodyText"/>
        <w:spacing w:before="38"/>
        <w:ind w:left="117"/>
        <w:rPr>
          <w:rFonts w:ascii="黑体" w:eastAsia="黑体" w:hint="eastAsia"/>
        </w:rPr>
      </w:pPr>
      <w:r>
        <w:rPr>
          <w:rFonts w:ascii="黑体" w:eastAsia="黑体" w:hint="eastAsia"/>
        </w:rPr>
        <w:t>我们向您退还保险单的现金价值。</w:t>
      </w:r>
    </w:p>
    <w:p>
      <w:pPr>
        <w:pStyle w:val="BodyText"/>
        <w:spacing w:before="7"/>
        <w:rPr>
          <w:rFonts w:ascii="黑体"/>
          <w:sz w:val="24"/>
        </w:rPr>
      </w:pPr>
    </w:p>
    <w:p>
      <w:pPr>
        <w:pStyle w:val="Heading1"/>
        <w:tabs>
          <w:tab w:pos="1418" w:val="left" w:leader="none"/>
        </w:tabs>
        <w:ind w:right="100"/>
      </w:pPr>
      <w:bookmarkStart w:name="_bookmark10" w:id="11"/>
      <w:bookmarkEnd w:id="11"/>
      <w:r>
        <w:rPr>
          <w:b w:val="0"/>
        </w:rPr>
      </w:r>
      <w:r>
        <w:rPr/>
        <w:t>第三部分</w:t>
        <w:tab/>
      </w:r>
      <w:r>
        <w:rPr>
          <w:w w:val="95"/>
        </w:rPr>
        <w:t>如何交纳保险费</w:t>
      </w:r>
    </w:p>
    <w:p>
      <w:pPr>
        <w:pStyle w:val="BodyText"/>
        <w:spacing w:before="10"/>
        <w:rPr>
          <w:b/>
          <w:sz w:val="25"/>
        </w:rPr>
      </w:pPr>
    </w:p>
    <w:p>
      <w:pPr>
        <w:pStyle w:val="Heading2"/>
        <w:tabs>
          <w:tab w:pos="969" w:val="left" w:leader="none"/>
        </w:tabs>
        <w:spacing w:before="1"/>
      </w:pPr>
      <w:bookmarkStart w:name="_bookmark11" w:id="12"/>
      <w:bookmarkEnd w:id="12"/>
      <w:r>
        <w:rPr>
          <w:b w:val="0"/>
        </w:rPr>
      </w:r>
      <w:r>
        <w:rPr/>
        <w:t>第九条</w:t>
        <w:tab/>
        <w:t>保险费的交纳</w:t>
      </w:r>
    </w:p>
    <w:p>
      <w:pPr>
        <w:pStyle w:val="BodyText"/>
        <w:spacing w:before="37"/>
        <w:ind w:left="538"/>
      </w:pPr>
      <w:r>
        <w:rPr/>
        <w:t>本附加合同的保险费交费方式、交费日期与主合同一致。</w:t>
      </w:r>
    </w:p>
    <w:p>
      <w:pPr>
        <w:pStyle w:val="BodyText"/>
        <w:spacing w:before="8"/>
        <w:rPr>
          <w:sz w:val="26"/>
        </w:rPr>
      </w:pPr>
    </w:p>
    <w:p>
      <w:pPr>
        <w:pStyle w:val="Heading2"/>
        <w:tabs>
          <w:tab w:pos="969" w:val="left" w:leader="none"/>
        </w:tabs>
      </w:pPr>
      <w:bookmarkStart w:name="_bookmark12" w:id="13"/>
      <w:bookmarkEnd w:id="13"/>
      <w:r>
        <w:rPr>
          <w:b w:val="0"/>
        </w:rPr>
      </w:r>
      <w:r>
        <w:rPr/>
        <w:t>第十条</w:t>
        <w:tab/>
        <w:t>保险费率的调整</w:t>
      </w:r>
    </w:p>
    <w:p>
      <w:pPr>
        <w:spacing w:line="273" w:lineRule="auto" w:before="36"/>
        <w:ind w:left="117" w:right="218" w:firstLine="422"/>
        <w:jc w:val="left"/>
        <w:rPr>
          <w:b/>
          <w:sz w:val="21"/>
        </w:rPr>
      </w:pPr>
      <w:r>
        <w:rPr>
          <w:b/>
          <w:sz w:val="21"/>
        </w:rPr>
        <w:t>我们保留提高或降低保险费率之权利，但须向监管机构备案。保险费率的调整针对所有被保险人或同一类被保险人。</w:t>
      </w:r>
    </w:p>
    <w:p>
      <w:pPr>
        <w:spacing w:line="273" w:lineRule="auto" w:before="7"/>
        <w:ind w:left="117" w:right="217" w:firstLine="422"/>
        <w:jc w:val="both"/>
        <w:rPr>
          <w:b/>
          <w:sz w:val="21"/>
        </w:rPr>
      </w:pPr>
      <w:r>
        <w:rPr>
          <w:b/>
          <w:sz w:val="21"/>
        </w:rPr>
        <w:t>我们进行保险费率调整，会在合理的时间内通知您，如您同意，则您须按调整后的保险费率交纳续期保险费，保险费率调整前您已经交纳的保险费不受影响。如不同意，则您可以选择解除合同，相关内容参见第十五条“您解除合同的手续及风险”。</w:t>
      </w:r>
    </w:p>
    <w:p>
      <w:pPr>
        <w:pStyle w:val="BodyText"/>
        <w:spacing w:before="4"/>
        <w:rPr>
          <w:b/>
          <w:sz w:val="22"/>
        </w:rPr>
      </w:pPr>
    </w:p>
    <w:p>
      <w:pPr>
        <w:pStyle w:val="Heading1"/>
        <w:tabs>
          <w:tab w:pos="1418" w:val="left" w:leader="none"/>
        </w:tabs>
        <w:ind w:right="100"/>
      </w:pPr>
      <w:bookmarkStart w:name="_bookmark13" w:id="14"/>
      <w:bookmarkEnd w:id="14"/>
      <w:r>
        <w:rPr>
          <w:b w:val="0"/>
        </w:rPr>
      </w:r>
      <w:r>
        <w:rPr/>
        <w:t>第四部分</w:t>
        <w:tab/>
      </w:r>
      <w:r>
        <w:rPr>
          <w:w w:val="95"/>
        </w:rPr>
        <w:t>如何申请保险金</w:t>
      </w:r>
    </w:p>
    <w:p>
      <w:pPr>
        <w:pStyle w:val="BodyText"/>
        <w:spacing w:before="10"/>
        <w:rPr>
          <w:b/>
          <w:sz w:val="25"/>
        </w:rPr>
      </w:pPr>
    </w:p>
    <w:p>
      <w:pPr>
        <w:pStyle w:val="Heading2"/>
        <w:tabs>
          <w:tab w:pos="1181" w:val="left" w:leader="none"/>
        </w:tabs>
      </w:pPr>
      <w:r>
        <w:rPr/>
        <w:t>第十一条</w:t>
        <w:tab/>
      </w:r>
      <w:bookmarkStart w:name="_bookmark14" w:id="15"/>
      <w:bookmarkEnd w:id="15"/>
      <w:r>
        <w:rPr/>
        <w:t>受</w:t>
      </w:r>
      <w:r>
        <w:rPr/>
        <w:t>益人</w:t>
      </w:r>
    </w:p>
    <w:p>
      <w:pPr>
        <w:pStyle w:val="BodyText"/>
        <w:spacing w:before="36"/>
        <w:ind w:left="538"/>
      </w:pPr>
      <w:r>
        <w:rPr/>
        <w:t>除另有约定外，重大疾病保险金或生命关爱保险金的受益人为被保险人本人。</w:t>
      </w:r>
    </w:p>
    <w:p>
      <w:pPr>
        <w:pStyle w:val="BodyText"/>
        <w:rPr>
          <w:sz w:val="20"/>
        </w:rPr>
      </w:pPr>
    </w:p>
    <w:p>
      <w:pPr>
        <w:pStyle w:val="BodyText"/>
        <w:rPr>
          <w:sz w:val="20"/>
        </w:rPr>
      </w:pPr>
    </w:p>
    <w:p>
      <w:pPr>
        <w:pStyle w:val="BodyText"/>
        <w:spacing w:before="6"/>
        <w:rPr>
          <w:sz w:val="23"/>
        </w:rPr>
      </w:pPr>
      <w:r>
        <w:rPr/>
        <w:pict>
          <v:line style="position:absolute;mso-position-horizontal-relative:page;mso-position-vertical-relative:paragraph;z-index:1120;mso-wrap-distance-left:0;mso-wrap-distance-right:0" from="53.880001pt,17.553654pt" to="197.930001pt,17.553654pt" stroked="true" strokeweight=".48001pt" strokecolor="#000000">
            <v:stroke dashstyle="solid"/>
            <w10:wrap type="topAndBottom"/>
          </v:line>
        </w:pict>
      </w:r>
    </w:p>
    <w:p>
      <w:pPr>
        <w:pStyle w:val="BodyText"/>
        <w:spacing w:line="319" w:lineRule="exact"/>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2"/>
          <w:w w:val="100"/>
          <w:sz w:val="21"/>
        </w:rPr>
        <w:t>无合法有效驾驶证驾驶：</w:t>
      </w:r>
      <w:r>
        <w:rPr>
          <w:spacing w:val="-18"/>
          <w:w w:val="100"/>
          <w:sz w:val="21"/>
        </w:rPr>
        <w:t>指下列情形之一：</w:t>
      </w:r>
      <w:r>
        <w:rPr>
          <w:spacing w:val="-1"/>
          <w:w w:val="100"/>
          <w:sz w:val="21"/>
        </w:rPr>
        <w:t>（</w:t>
      </w:r>
      <w:r>
        <w:rPr>
          <w:rFonts w:ascii="Times New Roman" w:eastAsia="Times New Roman"/>
          <w:w w:val="100"/>
          <w:sz w:val="21"/>
        </w:rPr>
        <w:t>1</w:t>
      </w:r>
      <w:r>
        <w:rPr>
          <w:spacing w:val="-13"/>
          <w:w w:val="100"/>
          <w:sz w:val="21"/>
        </w:rPr>
        <w:t>）</w:t>
      </w:r>
      <w:r>
        <w:rPr>
          <w:spacing w:val="-16"/>
          <w:w w:val="100"/>
          <w:sz w:val="21"/>
        </w:rPr>
        <w:t>没有取得驾驶资格；</w:t>
      </w:r>
      <w:r>
        <w:rPr>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驾驶与驾驶证准驾车型不相符合的</w:t>
      </w:r>
    </w:p>
    <w:p>
      <w:pPr>
        <w:pStyle w:val="BodyText"/>
        <w:spacing w:line="223" w:lineRule="auto" w:before="8"/>
        <w:ind w:left="117" w:right="246"/>
      </w:pPr>
      <w:r>
        <w:rPr>
          <w:spacing w:val="-36"/>
          <w:w w:val="100"/>
        </w:rPr>
        <w:t>车辆；</w:t>
      </w:r>
      <w:r>
        <w:rPr>
          <w:w w:val="100"/>
        </w:rPr>
        <w:t>（</w:t>
      </w:r>
      <w:r>
        <w:rPr>
          <w:rFonts w:ascii="Times New Roman" w:eastAsia="Times New Roman"/>
          <w:w w:val="100"/>
        </w:rPr>
        <w:t>3</w:t>
      </w:r>
      <w:r>
        <w:rPr>
          <w:spacing w:val="-3"/>
          <w:w w:val="100"/>
        </w:rPr>
        <w:t>）</w:t>
      </w:r>
      <w:r>
        <w:rPr>
          <w:spacing w:val="-12"/>
          <w:w w:val="100"/>
        </w:rPr>
        <w:t>持审验不合格的驾驶证驾驶；</w:t>
      </w:r>
      <w:r>
        <w:rPr>
          <w:w w:val="100"/>
        </w:rPr>
        <w:t>（</w:t>
      </w:r>
      <w:r>
        <w:rPr>
          <w:rFonts w:ascii="Times New Roman" w:eastAsia="Times New Roman"/>
          <w:w w:val="100"/>
        </w:rPr>
        <w:t>4</w:t>
      </w:r>
      <w:r>
        <w:rPr>
          <w:spacing w:val="-3"/>
          <w:w w:val="100"/>
        </w:rPr>
        <w:t>）持学习驾驶证学习驾车时，无教练员随车指导，或不按指定时</w:t>
      </w:r>
      <w:r>
        <w:rPr>
          <w:spacing w:val="-3"/>
        </w:rPr>
        <w:t>间、路线学习驾车。</w:t>
      </w:r>
    </w:p>
    <w:p>
      <w:pPr>
        <w:pStyle w:val="BodyText"/>
        <w:spacing w:line="284" w:lineRule="exact"/>
        <w:ind w:left="117"/>
      </w:pPr>
      <w:r>
        <w:rPr>
          <w:rFonts w:ascii="Times New Roman" w:eastAsia="Times New Roman"/>
          <w:w w:val="99"/>
          <w:position w:val="10"/>
          <w:sz w:val="14"/>
        </w:rPr>
        <w:t>10</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20" w:lineRule="auto"/>
        <w:ind w:left="117" w:right="212"/>
      </w:pPr>
      <w:r>
        <w:rPr>
          <w:rFonts w:ascii="Times New Roman" w:eastAsia="Times New Roman"/>
          <w:position w:val="10"/>
          <w:sz w:val="14"/>
        </w:rPr>
        <w:t>11</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。在人体血液或其它样本中检测到艾滋病病毒或其抗体</w:t>
      </w:r>
      <w:r>
        <w:rPr>
          <w:spacing w:val="-5"/>
        </w:rPr>
        <w:t>呈阳性，没有出现临床症状或体征的，为感染艾滋病病毒；如果同时出现了明显临床症状或体征的，为患艾</w:t>
      </w:r>
    </w:p>
    <w:p>
      <w:pPr>
        <w:pStyle w:val="BodyText"/>
        <w:spacing w:line="238" w:lineRule="exact" w:before="4"/>
        <w:ind w:left="117"/>
      </w:pPr>
      <w:r>
        <w:rPr/>
        <w:t>滋病。</w:t>
      </w:r>
    </w:p>
    <w:p>
      <w:pPr>
        <w:pStyle w:val="BodyText"/>
        <w:spacing w:line="318" w:lineRule="exact"/>
        <w:ind w:left="117"/>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left="117" w:right="246"/>
      </w:pPr>
      <w:r>
        <w:rPr/>
        <w:t>金额。每个保单年度末本附加合同所具有的现金价值在保险单或批注上列明。每个保单年度中，本附加合同所具有的现金价值根据本附加合同实际经过的天数计算。</w:t>
      </w:r>
    </w:p>
    <w:p>
      <w:pPr>
        <w:spacing w:after="0" w:line="237" w:lineRule="auto"/>
        <w:sectPr>
          <w:pgSz w:w="11910" w:h="16160"/>
          <w:pgMar w:header="0" w:footer="686" w:top="1280" w:bottom="880" w:left="960" w:right="700"/>
        </w:sectPr>
      </w:pPr>
    </w:p>
    <w:p>
      <w:pPr>
        <w:pStyle w:val="Heading2"/>
        <w:tabs>
          <w:tab w:pos="1197" w:val="left" w:leader="none"/>
        </w:tabs>
        <w:spacing w:before="7"/>
      </w:pPr>
      <w:bookmarkStart w:name="_bookmark15" w:id="16"/>
      <w:bookmarkEnd w:id="16"/>
      <w:r>
        <w:rPr>
          <w:b w:val="0"/>
        </w:rPr>
      </w:r>
      <w:r>
        <w:rPr/>
        <w:t>第十二条</w:t>
        <w:tab/>
        <w:t>诉讼时效</w:t>
      </w:r>
    </w:p>
    <w:p>
      <w:pPr>
        <w:pStyle w:val="BodyText"/>
        <w:spacing w:line="273" w:lineRule="auto" w:before="37"/>
        <w:ind w:left="117" w:right="220" w:firstLine="420"/>
      </w:pPr>
      <w:r>
        <w:rPr/>
        <w:t>人寿保险以外的其他保险的被保险人或者受益人，向我们请求赔偿或者给付保险金的诉讼时效期间为二年，自其知道或者应当知道</w:t>
      </w:r>
      <w:r>
        <w:rPr>
          <w:b/>
        </w:rPr>
        <w:t>保险事故</w:t>
      </w:r>
      <w:r>
        <w:rPr>
          <w:rFonts w:ascii="Times New Roman" w:eastAsia="Times New Roman"/>
          <w:b/>
          <w:vertAlign w:val="superscript"/>
        </w:rPr>
        <w:t>15</w:t>
      </w:r>
      <w:r>
        <w:rPr>
          <w:rFonts w:ascii="Times New Roman" w:eastAsia="Times New Roman"/>
          <w:b/>
          <w:vertAlign w:val="baseline"/>
        </w:rPr>
      </w:r>
      <w:r>
        <w:rPr>
          <w:vertAlign w:val="baseline"/>
        </w:rPr>
        <w:t>发生之日起计算。</w:t>
      </w:r>
    </w:p>
    <w:p>
      <w:pPr>
        <w:pStyle w:val="BodyText"/>
        <w:spacing w:line="273" w:lineRule="auto"/>
        <w:ind w:left="117" w:right="220" w:firstLine="420"/>
      </w:pPr>
      <w:r>
        <w:rPr/>
        <w:t>人寿保险的被保险人或者受益人向我们请求给付保险金的诉讼时效期间为五年，自其知道或者应当知道保险事故发生之日起计算。</w:t>
      </w:r>
    </w:p>
    <w:p>
      <w:pPr>
        <w:pStyle w:val="BodyText"/>
        <w:spacing w:before="3"/>
        <w:rPr>
          <w:sz w:val="25"/>
        </w:rPr>
      </w:pPr>
    </w:p>
    <w:p>
      <w:pPr>
        <w:pStyle w:val="Heading2"/>
        <w:tabs>
          <w:tab w:pos="1197" w:val="left" w:leader="none"/>
        </w:tabs>
        <w:spacing w:before="1"/>
      </w:pPr>
      <w:bookmarkStart w:name="_bookmark16" w:id="17"/>
      <w:bookmarkEnd w:id="17"/>
      <w:r>
        <w:rPr>
          <w:b w:val="0"/>
        </w:rPr>
      </w:r>
      <w:r>
        <w:rPr/>
        <w:t>第十三条</w:t>
        <w:tab/>
        <w:t>保险金申请</w:t>
      </w:r>
    </w:p>
    <w:p>
      <w:pPr>
        <w:pStyle w:val="BodyText"/>
        <w:spacing w:line="273" w:lineRule="auto" w:before="37"/>
        <w:ind w:left="117" w:right="109" w:firstLine="420"/>
      </w:pPr>
      <w:r>
        <w:rPr>
          <w:spacing w:val="-7"/>
        </w:rPr>
        <w:t>在申请重大疾病保险金或生命关爱保险金时，由相应保险金的受益人作为申请人填写保险金给付申请书， </w:t>
      </w:r>
      <w:r>
        <w:rPr>
          <w:spacing w:val="-5"/>
        </w:rPr>
        <w:t>并提供下列证明和资料：</w:t>
      </w:r>
    </w:p>
    <w:p>
      <w:pPr>
        <w:pStyle w:val="ListParagraph"/>
        <w:numPr>
          <w:ilvl w:val="0"/>
          <w:numId w:val="2"/>
        </w:numPr>
        <w:tabs>
          <w:tab w:pos="835" w:val="left" w:leader="none"/>
          <w:tab w:pos="836" w:val="left" w:leader="none"/>
        </w:tabs>
        <w:spacing w:line="240" w:lineRule="auto" w:before="7" w:after="0"/>
        <w:ind w:left="835" w:right="0" w:hanging="360"/>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0"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16</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left="117" w:right="2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3"/>
        <w:rPr>
          <w:sz w:val="22"/>
        </w:rPr>
      </w:pPr>
    </w:p>
    <w:p>
      <w:pPr>
        <w:pStyle w:val="Heading1"/>
        <w:tabs>
          <w:tab w:pos="1418" w:val="left" w:leader="none"/>
        </w:tabs>
        <w:spacing w:before="1"/>
        <w:ind w:right="100"/>
      </w:pPr>
      <w:bookmarkStart w:name="_bookmark17" w:id="18"/>
      <w:bookmarkEnd w:id="18"/>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18" w:id="19"/>
      <w:bookmarkEnd w:id="19"/>
      <w:r>
        <w:rPr>
          <w:b w:val="0"/>
        </w:rPr>
      </w:r>
      <w:r>
        <w:rPr/>
        <w:t>第十四条</w:t>
        <w:tab/>
        <w:t>犹豫期</w:t>
      </w:r>
    </w:p>
    <w:p>
      <w:pPr>
        <w:pStyle w:val="BodyText"/>
        <w:spacing w:before="37"/>
        <w:ind w:left="538"/>
      </w:pPr>
      <w:r>
        <w:rPr/>
        <w:t>您在收到本附加合同并书面签收之日起可享有 </w:t>
      </w:r>
      <w:r>
        <w:rPr>
          <w:rFonts w:ascii="Times New Roman" w:eastAsia="Times New Roman"/>
        </w:rPr>
        <w:t>10 </w:t>
      </w:r>
      <w:r>
        <w:rPr/>
        <w:t>天的犹豫期，在犹豫期内要求解除本附加合同的，在我</w:t>
      </w:r>
    </w:p>
    <w:p>
      <w:pPr>
        <w:pStyle w:val="BodyText"/>
        <w:spacing w:line="256" w:lineRule="auto" w:before="21"/>
        <w:ind w:left="117" w:right="2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费后，无息退还已交的保险费。</w:t>
      </w:r>
    </w:p>
    <w:p>
      <w:pPr>
        <w:pStyle w:val="BodyText"/>
        <w:spacing w:before="22"/>
        <w:ind w:left="538"/>
      </w:pPr>
      <w:r>
        <w:rPr>
          <w:spacing w:val="-3"/>
        </w:rPr>
        <w:t>在申请解除本附加合同的同时必须申请解除本附加合同的主合同《太平无忧终身寿险（</w:t>
      </w:r>
      <w:r>
        <w:rPr>
          <w:spacing w:val="-2"/>
        </w:rPr>
        <w:t>分红型</w:t>
      </w:r>
      <w:r>
        <w:rPr>
          <w:spacing w:val="-106"/>
        </w:rPr>
        <w:t>）</w:t>
      </w:r>
      <w:r>
        <w:rPr>
          <w:spacing w:val="-54"/>
        </w:rPr>
        <w:t>》。</w:t>
      </w:r>
    </w:p>
    <w:p>
      <w:pPr>
        <w:pStyle w:val="BodyText"/>
        <w:spacing w:before="8"/>
        <w:rPr>
          <w:sz w:val="26"/>
        </w:rPr>
      </w:pPr>
    </w:p>
    <w:p>
      <w:pPr>
        <w:pStyle w:val="Heading2"/>
        <w:tabs>
          <w:tab w:pos="1197" w:val="left" w:leader="none"/>
        </w:tabs>
        <w:spacing w:before="1"/>
      </w:pPr>
      <w:bookmarkStart w:name="_bookmark19" w:id="20"/>
      <w:bookmarkEnd w:id="20"/>
      <w:r>
        <w:rPr>
          <w:b w:val="0"/>
        </w:rPr>
      </w:r>
      <w:r>
        <w:rPr/>
        <w:t>第十五条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ListParagraph"/>
        <w:numPr>
          <w:ilvl w:val="0"/>
          <w:numId w:val="3"/>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3"/>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left="117" w:right="2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3"/>
        <w:ind w:left="538" w:right="668"/>
      </w:pPr>
      <w:r>
        <w:rPr>
          <w:spacing w:val="-3"/>
        </w:rPr>
        <w:t>在申请解除本附加合同的同时必须申请解除本附加合同的主合同《太平无忧终身寿险（</w:t>
      </w:r>
      <w:r>
        <w:rPr>
          <w:spacing w:val="-2"/>
        </w:rPr>
        <w:t>分红型</w:t>
      </w:r>
      <w:r>
        <w:rPr>
          <w:spacing w:val="-106"/>
        </w:rPr>
        <w:t>）</w:t>
      </w:r>
      <w:r>
        <w:rPr>
          <w:spacing w:val="-54"/>
        </w:rPr>
        <w:t>》。</w:t>
      </w:r>
      <w:r>
        <w:rPr>
          <w:spacing w:val="-12"/>
        </w:rPr>
        <w:t>您犹豫期后解除合同会遭受一定损失。</w:t>
      </w:r>
    </w:p>
    <w:p>
      <w:pPr>
        <w:pStyle w:val="BodyText"/>
        <w:spacing w:before="3"/>
        <w:rPr>
          <w:sz w:val="22"/>
        </w:rPr>
      </w:pPr>
    </w:p>
    <w:p>
      <w:pPr>
        <w:pStyle w:val="Heading1"/>
        <w:tabs>
          <w:tab w:pos="1418" w:val="left" w:leader="none"/>
        </w:tabs>
        <w:spacing w:before="1"/>
        <w:ind w:right="102"/>
      </w:pPr>
      <w:bookmarkStart w:name="_bookmark20" w:id="21"/>
      <w:bookmarkEnd w:id="21"/>
      <w:r>
        <w:rPr>
          <w:b w:val="0"/>
        </w:rPr>
      </w:r>
      <w:r>
        <w:rPr/>
        <w:t>第六部分</w:t>
        <w:tab/>
      </w:r>
      <w:r>
        <w:rPr>
          <w:w w:val="95"/>
        </w:rPr>
        <w:t>您必须了解的其它事项</w:t>
      </w:r>
    </w:p>
    <w:p>
      <w:pPr>
        <w:pStyle w:val="BodyText"/>
        <w:spacing w:before="10"/>
        <w:rPr>
          <w:b/>
          <w:sz w:val="25"/>
        </w:rPr>
      </w:pPr>
    </w:p>
    <w:p>
      <w:pPr>
        <w:pStyle w:val="Heading2"/>
        <w:tabs>
          <w:tab w:pos="1197" w:val="left" w:leader="none"/>
        </w:tabs>
      </w:pPr>
      <w:bookmarkStart w:name="_bookmark21" w:id="22"/>
      <w:bookmarkEnd w:id="22"/>
      <w:r>
        <w:rPr>
          <w:b w:val="0"/>
        </w:rPr>
      </w:r>
      <w:r>
        <w:rPr/>
        <w:t>第十六条</w:t>
        <w:tab/>
        <w:t>保险合同的终止</w:t>
      </w:r>
    </w:p>
    <w:p>
      <w:pPr>
        <w:pStyle w:val="BodyText"/>
        <w:spacing w:before="36"/>
        <w:ind w:left="538"/>
      </w:pPr>
      <w:r>
        <w:rPr/>
        <w:t>除本附加合同另有约定外，本附加合同的效力在发生下列情况之一时自动终止：</w:t>
      </w:r>
    </w:p>
    <w:p>
      <w:pPr>
        <w:pStyle w:val="BodyText"/>
        <w:spacing w:before="10"/>
        <w:rPr>
          <w:sz w:val="26"/>
        </w:rPr>
      </w:pPr>
      <w:r>
        <w:rPr/>
        <w:pict>
          <v:line style="position:absolute;mso-position-horizontal-relative:page;mso-position-vertical-relative:paragraph;z-index:1144;mso-wrap-distance-left:0;mso-wrap-distance-right:0" from="53.880001pt,19.737314pt" to="197.930001pt,19.737314pt" stroked="true" strokeweight=".47998pt" strokecolor="#000000">
            <v:stroke dashstyle="solid"/>
            <w10:wrap type="topAndBottom"/>
          </v:line>
        </w:pict>
      </w:r>
    </w:p>
    <w:p>
      <w:pPr>
        <w:spacing w:line="296"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ind w:left="117"/>
      </w:pPr>
      <w:r>
        <w:rPr>
          <w:rFonts w:ascii="Times New Roman" w:eastAsia="Times New Roman"/>
          <w:position w:val="10"/>
          <w:sz w:val="14"/>
        </w:rPr>
        <w:t>16</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before="13"/>
        <w:ind w:left="117"/>
      </w:pPr>
      <w:r>
        <w:rPr/>
        <w:t>的未成年人。</w:t>
      </w:r>
    </w:p>
    <w:p>
      <w:pPr>
        <w:spacing w:after="0"/>
        <w:sectPr>
          <w:pgSz w:w="11910" w:h="16160"/>
          <w:pgMar w:header="0" w:footer="686" w:top="1360" w:bottom="900" w:left="960" w:right="700"/>
        </w:sectPr>
      </w:pPr>
    </w:p>
    <w:p>
      <w:pPr>
        <w:pStyle w:val="BodyText"/>
        <w:spacing w:before="7"/>
        <w:ind w:left="117"/>
      </w:pPr>
      <w:r>
        <w:rPr/>
        <w:t>一、主合同解除或终止；</w:t>
      </w:r>
    </w:p>
    <w:p>
      <w:pPr>
        <w:pStyle w:val="BodyText"/>
        <w:spacing w:line="273" w:lineRule="auto" w:before="37"/>
        <w:ind w:left="117" w:right="3300"/>
      </w:pPr>
      <w:r>
        <w:rPr/>
        <w:t>二、我们已按本附加合同的约定给付重大疾病保险金或生命关爱保险金； 三、本附加合同内约定的其它终止情况。</w:t>
      </w:r>
    </w:p>
    <w:p>
      <w:pPr>
        <w:pStyle w:val="BodyText"/>
        <w:spacing w:before="5"/>
        <w:rPr>
          <w:sz w:val="24"/>
        </w:rPr>
      </w:pPr>
    </w:p>
    <w:p>
      <w:pPr>
        <w:pStyle w:val="Heading2"/>
        <w:tabs>
          <w:tab w:pos="1197" w:val="left" w:leader="none"/>
        </w:tabs>
      </w:pPr>
      <w:bookmarkStart w:name="_bookmark22" w:id="23"/>
      <w:bookmarkEnd w:id="23"/>
      <w:r>
        <w:rPr>
          <w:b w:val="0"/>
        </w:rPr>
      </w:r>
      <w:r>
        <w:rPr/>
        <w:t>第十七条</w:t>
        <w:tab/>
        <w:t>终末期疾病定义</w:t>
      </w:r>
    </w:p>
    <w:p>
      <w:pPr>
        <w:pStyle w:val="BodyText"/>
        <w:spacing w:line="273" w:lineRule="auto" w:before="36"/>
        <w:ind w:left="117" w:right="118" w:firstLine="420"/>
        <w:jc w:val="both"/>
      </w:pPr>
      <w:r>
        <w:rPr/>
        <w:t>被保险人被确诊为疾病的终末期状态。疾病已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5"/>
        <w:rPr>
          <w:sz w:val="24"/>
        </w:rPr>
      </w:pPr>
    </w:p>
    <w:p>
      <w:pPr>
        <w:pStyle w:val="Heading2"/>
        <w:tabs>
          <w:tab w:pos="1197" w:val="left" w:leader="none"/>
        </w:tabs>
      </w:pPr>
      <w:bookmarkStart w:name="_bookmark23" w:id="24"/>
      <w:bookmarkEnd w:id="24"/>
      <w:r>
        <w:rPr>
          <w:b w:val="0"/>
        </w:rPr>
      </w:r>
      <w:r>
        <w:rPr/>
        <w:t>第十八条</w:t>
        <w:tab/>
        <w:t>重大疾病的种类及</w:t>
      </w:r>
      <w:r>
        <w:rPr>
          <w:spacing w:val="-3"/>
        </w:rPr>
        <w:t>定</w:t>
      </w:r>
      <w:r>
        <w:rPr/>
        <w:t>义</w:t>
      </w:r>
    </w:p>
    <w:p>
      <w:pPr>
        <w:pStyle w:val="BodyText"/>
        <w:spacing w:before="37"/>
        <w:ind w:left="538"/>
      </w:pPr>
      <w:r>
        <w:rPr/>
        <w:t>本附加合同指的重大疾病包括以下二十种：</w:t>
      </w:r>
    </w:p>
    <w:p>
      <w:pPr>
        <w:pStyle w:val="BodyText"/>
        <w:spacing w:before="36"/>
        <w:ind w:left="538"/>
      </w:pPr>
      <w:r>
        <w:rPr/>
        <w:t>被保险人发生符合以下疾病定义所述条件的疾病，应当由</w:t>
      </w:r>
      <w:r>
        <w:rPr>
          <w:b/>
        </w:rPr>
        <w:t>专科医生</w:t>
      </w:r>
      <w:r>
        <w:rPr>
          <w:rFonts w:ascii="Times New Roman" w:eastAsia="Times New Roman"/>
          <w:b/>
          <w:vertAlign w:val="superscript"/>
        </w:rPr>
        <w:t>17</w:t>
      </w:r>
      <w:r>
        <w:rPr>
          <w:rFonts w:ascii="Times New Roman" w:eastAsia="Times New Roman"/>
          <w:b/>
          <w:vertAlign w:val="baseline"/>
        </w:rPr>
      </w:r>
      <w:r>
        <w:rPr>
          <w:vertAlign w:val="baseline"/>
        </w:rPr>
        <w:t>明确诊断。</w:t>
      </w:r>
    </w:p>
    <w:p>
      <w:pPr>
        <w:pStyle w:val="BodyText"/>
        <w:spacing w:line="256" w:lineRule="auto" w:before="20"/>
        <w:ind w:left="117" w:right="110"/>
      </w:pPr>
      <w:r>
        <w:rPr/>
        <w:t>（</w:t>
      </w:r>
      <w:r>
        <w:rPr>
          <w:rFonts w:ascii="Times New Roman" w:eastAsia="Times New Roman"/>
        </w:rPr>
        <w:t>1-18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4"/>
        </w:numPr>
        <w:tabs>
          <w:tab w:pos="383" w:val="left" w:leader="none"/>
          <w:tab w:pos="2825" w:val="left" w:leader="none"/>
        </w:tabs>
        <w:spacing w:line="266" w:lineRule="auto" w:before="11" w:after="0"/>
        <w:ind w:left="3003" w:right="116" w:hanging="2886"/>
        <w:jc w:val="both"/>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w:t>
      </w:r>
      <w:r>
        <w:rPr>
          <w:spacing w:val="5"/>
          <w:sz w:val="21"/>
        </w:rPr>
        <w:t>生</w:t>
      </w:r>
      <w:r>
        <w:rPr>
          <w:sz w:val="21"/>
        </w:rPr>
        <w:t>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Heading2"/>
        <w:spacing w:line="271" w:lineRule="exact"/>
        <w:ind w:left="3003"/>
      </w:pPr>
      <w:r>
        <w:rPr/>
        <w:t>下列疾病不在保障范围内：</w:t>
      </w:r>
    </w:p>
    <w:p>
      <w:pPr>
        <w:spacing w:before="38"/>
        <w:ind w:left="3003" w:right="0" w:firstLine="0"/>
        <w:jc w:val="left"/>
        <w:rPr>
          <w:b/>
          <w:sz w:val="21"/>
        </w:rPr>
      </w:pPr>
      <w:r>
        <w:rPr>
          <w:b/>
          <w:sz w:val="21"/>
        </w:rPr>
        <w:t>（</w:t>
      </w:r>
      <w:r>
        <w:rPr>
          <w:rFonts w:ascii="Times New Roman" w:eastAsia="Times New Roman"/>
          <w:b/>
          <w:sz w:val="21"/>
        </w:rPr>
        <w:t>1</w:t>
      </w:r>
      <w:r>
        <w:rPr>
          <w:b/>
          <w:sz w:val="21"/>
        </w:rPr>
        <w:t>）原位癌；</w:t>
      </w:r>
    </w:p>
    <w:p>
      <w:pPr>
        <w:spacing w:before="21"/>
        <w:ind w:left="3003" w:right="0" w:firstLine="0"/>
        <w:jc w:val="left"/>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21"/>
        <w:ind w:left="3003" w:right="0" w:firstLine="0"/>
        <w:jc w:val="left"/>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spacing w:before="21"/>
        <w:ind w:left="3003"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21"/>
        <w:ind w:left="3003" w:right="0" w:firstLine="0"/>
        <w:jc w:val="left"/>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3"/>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spacing w:line="256" w:lineRule="auto" w:before="21"/>
        <w:ind w:left="3003" w:right="2187" w:firstLine="0"/>
        <w:jc w:val="left"/>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p>
      <w:pPr>
        <w:pStyle w:val="ListParagraph"/>
        <w:numPr>
          <w:ilvl w:val="0"/>
          <w:numId w:val="4"/>
        </w:numPr>
        <w:tabs>
          <w:tab w:pos="383" w:val="left" w:leader="none"/>
          <w:tab w:pos="2825" w:val="left" w:leader="none"/>
        </w:tabs>
        <w:spacing w:line="256" w:lineRule="auto" w:before="12" w:after="0"/>
        <w:ind w:left="3003" w:right="117"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w:t>
      </w:r>
      <w:r>
        <w:rPr>
          <w:spacing w:val="5"/>
          <w:sz w:val="21"/>
        </w:rPr>
        <w:t>相</w:t>
      </w:r>
      <w:r>
        <w:rPr>
          <w:sz w:val="21"/>
        </w:rPr>
        <w:t>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2"/>
        <w:ind w:left="3003"/>
      </w:pPr>
      <w:r>
        <w:rPr/>
        <w:t>（</w:t>
      </w:r>
      <w:r>
        <w:rPr>
          <w:rFonts w:ascii="Times New Roman" w:eastAsia="Times New Roman"/>
        </w:rPr>
        <w:t>1</w:t>
      </w:r>
      <w:r>
        <w:rPr/>
        <w:t>）典型临床表现，例如急性胸痛等；</w:t>
      </w:r>
    </w:p>
    <w:p>
      <w:pPr>
        <w:pStyle w:val="BodyText"/>
        <w:spacing w:before="21"/>
        <w:ind w:left="3003"/>
      </w:pPr>
      <w:r>
        <w:rPr/>
        <w:t>（</w:t>
      </w:r>
      <w:r>
        <w:rPr>
          <w:rFonts w:ascii="Times New Roman" w:eastAsia="Times New Roman"/>
        </w:rPr>
        <w:t>2</w:t>
      </w:r>
      <w:r>
        <w:rPr/>
        <w:t>）新近的心电图改变提示急性心肌梗塞；</w:t>
      </w:r>
    </w:p>
    <w:p>
      <w:pPr>
        <w:pStyle w:val="BodyText"/>
        <w:spacing w:line="256" w:lineRule="auto" w:before="21"/>
        <w:ind w:left="3003" w:right="110"/>
      </w:pPr>
      <w:r>
        <w:rPr/>
        <w:t>（</w:t>
      </w:r>
      <w:r>
        <w:rPr>
          <w:rFonts w:ascii="Times New Roman" w:eastAsia="Times New Roman"/>
        </w:rPr>
        <w:t>3</w:t>
      </w:r>
      <w:r>
        <w:rPr/>
        <w:t>）心肌酶或肌钙蛋白有诊断意义的升高，或呈符合急性心肌梗塞的动态性变化；</w:t>
      </w:r>
    </w:p>
    <w:p>
      <w:pPr>
        <w:pStyle w:val="BodyText"/>
        <w:spacing w:before="23"/>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4"/>
        </w:numPr>
        <w:tabs>
          <w:tab w:pos="383" w:val="left" w:leader="none"/>
          <w:tab w:pos="2825" w:val="left" w:leader="none"/>
        </w:tabs>
        <w:spacing w:line="256" w:lineRule="auto" w:before="11"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BodyText"/>
        <w:spacing w:before="10"/>
        <w:rPr>
          <w:sz w:val="16"/>
        </w:rPr>
      </w:pPr>
      <w:r>
        <w:rPr/>
        <w:pict>
          <v:line style="position:absolute;mso-position-horizontal-relative:page;mso-position-vertical-relative:paragraph;z-index:1168;mso-wrap-distance-left:0;mso-wrap-distance-right:0" from="53.880001pt,13.189812pt" to="197.930001pt,13.189812pt" stroked="true" strokeweight=".48004pt" strokecolor="#000000">
            <v:stroke dashstyle="solid"/>
            <w10:wrap type="topAndBottom"/>
          </v:line>
        </w:pict>
      </w:r>
    </w:p>
    <w:p>
      <w:pPr>
        <w:pStyle w:val="BodyText"/>
        <w:spacing w:line="320" w:lineRule="exact"/>
        <w:ind w:left="117"/>
      </w:pPr>
      <w:r>
        <w:rPr>
          <w:rFonts w:ascii="Times New Roman" w:eastAsia="Times New Roman"/>
          <w:position w:val="8"/>
          <w:sz w:val="12"/>
        </w:rPr>
        <w:t>17</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left="117" w:right="1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line="284" w:lineRule="exact" w:before="0"/>
        <w:ind w:left="117" w:right="0" w:firstLine="0"/>
        <w:jc w:val="both"/>
        <w:rPr>
          <w:sz w:val="21"/>
        </w:rPr>
      </w:pPr>
      <w:r>
        <w:rPr>
          <w:rFonts w:ascii="Times New Roman" w:eastAsia="Times New Roman"/>
          <w:position w:val="8"/>
          <w:sz w:val="12"/>
        </w:rPr>
        <w:t>18</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61" w:lineRule="exact"/>
        <w:ind w:left="117"/>
        <w:jc w:val="both"/>
      </w:pPr>
      <w:r>
        <w:rPr/>
        <w:t>上肢或包括髋关节的整个下肢。</w:t>
      </w:r>
    </w:p>
    <w:p>
      <w:pPr>
        <w:spacing w:after="0" w:line="261" w:lineRule="exact"/>
        <w:jc w:val="both"/>
        <w:sectPr>
          <w:pgSz w:w="11910" w:h="16160"/>
          <w:pgMar w:header="0" w:footer="686" w:top="1360" w:bottom="880" w:left="960" w:right="800"/>
        </w:sectPr>
      </w:pPr>
    </w:p>
    <w:p>
      <w:pPr>
        <w:spacing w:before="67"/>
        <w:ind w:left="3003" w:right="0" w:firstLine="0"/>
        <w:jc w:val="lef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4"/>
        </w:numPr>
        <w:tabs>
          <w:tab w:pos="395" w:val="left" w:leader="none"/>
        </w:tabs>
        <w:spacing w:line="240" w:lineRule="auto" w:before="12"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686" w:top="1300" w:bottom="880" w:left="960" w:right="800"/>
        </w:sectPr>
      </w:pPr>
    </w:p>
    <w:p>
      <w:pPr>
        <w:pStyle w:val="BodyText"/>
        <w:spacing w:before="21"/>
        <w:ind w:left="117"/>
      </w:pPr>
      <w:r>
        <w:rPr/>
        <w:t>细胞移植术</w:t>
      </w:r>
    </w:p>
    <w:p>
      <w:pPr>
        <w:pStyle w:val="BodyText"/>
        <w:spacing w:before="21"/>
        <w:ind w:left="117"/>
      </w:pPr>
      <w:r>
        <w:rPr/>
        <w:br w:type="column"/>
      </w:r>
      <w:r>
        <w:rPr/>
        <w:t>肺脏的异体移植手术。</w:t>
      </w:r>
    </w:p>
    <w:p>
      <w:pPr>
        <w:pStyle w:val="BodyText"/>
        <w:spacing w:line="273" w:lineRule="auto" w:before="37"/>
        <w:ind w:left="117" w:right="1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40" w:bottom="280" w:left="960" w:right="800"/>
          <w:cols w:num="2" w:equalWidth="0">
            <w:col w:w="1172" w:space="1714"/>
            <w:col w:w="7264"/>
          </w:cols>
        </w:sectPr>
      </w:pPr>
    </w:p>
    <w:p>
      <w:pPr>
        <w:pStyle w:val="ListParagraph"/>
        <w:numPr>
          <w:ilvl w:val="0"/>
          <w:numId w:val="4"/>
        </w:numPr>
        <w:tabs>
          <w:tab w:pos="383" w:val="left" w:leader="none"/>
        </w:tabs>
        <w:spacing w:line="298"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40" w:bottom="280" w:left="960" w:right="800"/>
        </w:sectPr>
      </w:pPr>
    </w:p>
    <w:p>
      <w:pPr>
        <w:pStyle w:val="BodyText"/>
        <w:spacing w:before="21"/>
        <w:ind w:left="117"/>
      </w:pPr>
      <w:r>
        <w:rPr/>
        <w:t>动脉旁路移植术）</w:t>
      </w:r>
    </w:p>
    <w:p>
      <w:pPr>
        <w:spacing w:before="21"/>
        <w:ind w:left="117" w:right="0" w:firstLine="0"/>
        <w:jc w:val="left"/>
        <w:rPr>
          <w:sz w:val="21"/>
        </w:rPr>
      </w:pPr>
      <w:r>
        <w:rPr/>
        <w:br w:type="column"/>
      </w:r>
      <w:r>
        <w:rPr>
          <w:sz w:val="21"/>
        </w:rPr>
        <w:t>术。</w:t>
      </w:r>
    </w:p>
    <w:p>
      <w:pPr>
        <w:spacing w:line="273" w:lineRule="auto" w:before="37"/>
        <w:ind w:left="117" w:right="120" w:firstLine="0"/>
        <w:jc w:val="left"/>
        <w:rPr>
          <w:b/>
          <w:sz w:val="21"/>
        </w:rPr>
      </w:pPr>
      <w:r>
        <w:rPr>
          <w:b/>
          <w:sz w:val="21"/>
        </w:rPr>
        <w:t>冠状动脉支架植入术、心导管球囊扩张术、激光射频技术及其它非开胸的介入手术、腔镜手术不在保障范围内。</w:t>
      </w:r>
    </w:p>
    <w:p>
      <w:pPr>
        <w:spacing w:after="0" w:line="273" w:lineRule="auto"/>
        <w:jc w:val="left"/>
        <w:rPr>
          <w:sz w:val="21"/>
        </w:rPr>
        <w:sectPr>
          <w:type w:val="continuous"/>
          <w:pgSz w:w="11910" w:h="16160"/>
          <w:pgMar w:top="540" w:bottom="280" w:left="960" w:right="800"/>
          <w:cols w:num="2" w:equalWidth="0">
            <w:col w:w="1801" w:space="1085"/>
            <w:col w:w="7264"/>
          </w:cols>
        </w:sectPr>
      </w:pPr>
    </w:p>
    <w:p>
      <w:pPr>
        <w:pStyle w:val="ListParagraph"/>
        <w:numPr>
          <w:ilvl w:val="0"/>
          <w:numId w:val="4"/>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ind w:left="117"/>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4"/>
        </w:numPr>
        <w:tabs>
          <w:tab w:pos="383" w:val="left" w:leader="none"/>
        </w:tabs>
        <w:spacing w:line="256" w:lineRule="auto" w:before="27" w:after="0"/>
        <w:ind w:left="3003" w:right="120" w:hanging="2886"/>
        <w:jc w:val="both"/>
        <w:rPr>
          <w:sz w:val="21"/>
        </w:rPr>
      </w:pPr>
      <w:r>
        <w:rPr>
          <w:spacing w:val="-2"/>
          <w:sz w:val="21"/>
        </w:rPr>
        <w:t>急性或亚急性重症肝炎   </w:t>
      </w:r>
      <w:r>
        <w:rPr>
          <w:spacing w:val="-34"/>
          <w:position w:val="1"/>
          <w:sz w:val="21"/>
        </w:rPr>
        <w:t>：</w:t>
      </w:r>
      <w:r>
        <w:rPr>
          <w:sz w:val="21"/>
        </w:rPr>
        <w:t>指因肝炎病毒感染引起肝脏组织弥漫性坏死，导致急性肝功能衰竭，且经血</w:t>
      </w:r>
      <w:r>
        <w:rPr>
          <w:spacing w:val="-3"/>
          <w:sz w:val="21"/>
        </w:rPr>
        <w:t>清学或病毒学检查证实，并须满足下列全部条件：</w:t>
      </w:r>
    </w:p>
    <w:p>
      <w:pPr>
        <w:pStyle w:val="BodyText"/>
        <w:spacing w:before="22"/>
        <w:ind w:left="3003"/>
      </w:pPr>
      <w:r>
        <w:rPr/>
        <w:t>（</w:t>
      </w:r>
      <w:r>
        <w:rPr>
          <w:rFonts w:ascii="Times New Roman" w:eastAsia="Times New Roman"/>
        </w:rPr>
        <w:t>1</w:t>
      </w:r>
      <w:r>
        <w:rPr/>
        <w:t>）重度黄疸或黄疸迅速加重；</w:t>
      </w:r>
    </w:p>
    <w:p>
      <w:pPr>
        <w:pStyle w:val="BodyText"/>
        <w:spacing w:before="20"/>
        <w:ind w:left="3003"/>
      </w:pPr>
      <w:r>
        <w:rPr/>
        <w:t>（</w:t>
      </w:r>
      <w:r>
        <w:rPr>
          <w:rFonts w:ascii="Times New Roman" w:eastAsia="Times New Roman"/>
        </w:rPr>
        <w:t>2</w:t>
      </w:r>
      <w:r>
        <w:rPr/>
        <w:t>）肝性脑病；</w:t>
      </w:r>
    </w:p>
    <w:p>
      <w:pPr>
        <w:pStyle w:val="BodyText"/>
        <w:spacing w:before="20"/>
        <w:ind w:left="300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0"/>
        <w:ind w:left="3003"/>
      </w:pPr>
      <w:r>
        <w:rPr/>
        <w:t>（</w:t>
      </w:r>
      <w:r>
        <w:rPr>
          <w:rFonts w:ascii="Times New Roman" w:eastAsia="Times New Roman"/>
        </w:rPr>
        <w:t>4</w:t>
      </w:r>
      <w:r>
        <w:rPr/>
        <w:t>）肝功能指标进行性恶化。</w:t>
      </w:r>
    </w:p>
    <w:p>
      <w:pPr>
        <w:pStyle w:val="ListParagraph"/>
        <w:numPr>
          <w:ilvl w:val="0"/>
          <w:numId w:val="4"/>
        </w:numPr>
        <w:tabs>
          <w:tab w:pos="383" w:val="left" w:leader="none"/>
          <w:tab w:pos="2825" w:val="left" w:leader="none"/>
        </w:tabs>
        <w:spacing w:line="256" w:lineRule="auto" w:before="10" w:after="0"/>
        <w:ind w:left="3003" w:right="109"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2"/>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）实际实施了开颅进行的脑肿瘤完全切除或部分切除的手术；</w:t>
      </w:r>
    </w:p>
    <w:p>
      <w:pPr>
        <w:pStyle w:val="BodyText"/>
        <w:spacing w:before="21"/>
        <w:ind w:left="3003"/>
      </w:pPr>
      <w:r>
        <w:rPr/>
        <w:t>（</w:t>
      </w:r>
      <w:r>
        <w:rPr>
          <w:rFonts w:ascii="Times New Roman" w:eastAsia="Times New Roman"/>
        </w:rPr>
        <w:t>2</w:t>
      </w:r>
      <w:r>
        <w:rPr/>
        <w:t>）实际实施了对脑肿瘤进行的放射治疗。</w:t>
      </w:r>
    </w:p>
    <w:p>
      <w:pPr>
        <w:spacing w:before="21"/>
        <w:ind w:left="3003" w:right="0" w:firstLine="0"/>
        <w:jc w:val="left"/>
        <w:rPr>
          <w:sz w:val="21"/>
        </w:rPr>
      </w:pPr>
      <w:r>
        <w:rPr>
          <w:b/>
          <w:sz w:val="21"/>
        </w:rPr>
        <w:t>脑垂体瘤、脑囊肿、脑血管性疾病不在保障范围内</w:t>
      </w:r>
      <w:r>
        <w:rPr>
          <w:sz w:val="21"/>
        </w:rPr>
        <w:t>。</w:t>
      </w:r>
    </w:p>
    <w:p>
      <w:pPr>
        <w:pStyle w:val="ListParagraph"/>
        <w:numPr>
          <w:ilvl w:val="0"/>
          <w:numId w:val="4"/>
        </w:numPr>
        <w:tabs>
          <w:tab w:pos="383" w:val="left" w:leader="none"/>
        </w:tabs>
        <w:spacing w:line="240" w:lineRule="auto" w:before="27" w:after="0"/>
        <w:ind w:left="3003" w:right="0" w:hanging="2886"/>
        <w:jc w:val="left"/>
        <w:rPr>
          <w:sz w:val="21"/>
        </w:rPr>
      </w:pPr>
      <w:r>
        <w:rPr>
          <w:spacing w:val="2"/>
          <w:sz w:val="21"/>
        </w:rPr>
        <w:t>慢性肝功能衰竭失代偿期 </w:t>
      </w:r>
      <w:r>
        <w:rPr>
          <w:spacing w:val="-34"/>
          <w:position w:val="1"/>
          <w:sz w:val="21"/>
        </w:rPr>
        <w:t>：</w:t>
      </w:r>
      <w:r>
        <w:rPr>
          <w:spacing w:val="-3"/>
          <w:sz w:val="21"/>
        </w:rPr>
        <w:t>指因慢性肝脏疾病导致肝功能衰竭。须满足下列全部条件：</w:t>
      </w:r>
    </w:p>
    <w:p>
      <w:pPr>
        <w:pStyle w:val="BodyText"/>
        <w:spacing w:before="21"/>
        <w:ind w:left="3003"/>
      </w:pPr>
      <w:r>
        <w:rPr/>
        <w:t>（</w:t>
      </w:r>
      <w:r>
        <w:rPr>
          <w:rFonts w:ascii="Times New Roman" w:eastAsia="Times New Roman"/>
        </w:rPr>
        <w:t>1</w:t>
      </w:r>
      <w:r>
        <w:rPr/>
        <w:t>）持续性黄疸；</w:t>
      </w:r>
    </w:p>
    <w:p>
      <w:pPr>
        <w:pStyle w:val="BodyText"/>
        <w:spacing w:before="21"/>
        <w:ind w:left="3003"/>
      </w:pPr>
      <w:r>
        <w:rPr/>
        <w:t>（</w:t>
      </w:r>
      <w:r>
        <w:rPr>
          <w:rFonts w:ascii="Times New Roman" w:eastAsia="Times New Roman"/>
        </w:rPr>
        <w:t>2</w:t>
      </w:r>
      <w:r>
        <w:rPr/>
        <w:t>）腹水；</w:t>
      </w:r>
    </w:p>
    <w:p>
      <w:pPr>
        <w:pStyle w:val="BodyText"/>
        <w:spacing w:before="21"/>
        <w:ind w:left="3003"/>
      </w:pPr>
      <w:r>
        <w:rPr/>
        <w:t>（</w:t>
      </w:r>
      <w:r>
        <w:rPr>
          <w:rFonts w:ascii="Times New Roman" w:eastAsia="Times New Roman"/>
        </w:rPr>
        <w:t>3</w:t>
      </w:r>
      <w:r>
        <w:rPr/>
        <w:t>）肝性脑病；</w:t>
      </w:r>
    </w:p>
    <w:p>
      <w:pPr>
        <w:spacing w:line="256" w:lineRule="auto" w:before="21"/>
        <w:ind w:left="3003" w:right="1992" w:firstLine="0"/>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pStyle w:val="ListParagraph"/>
        <w:numPr>
          <w:ilvl w:val="0"/>
          <w:numId w:val="4"/>
        </w:numPr>
        <w:tabs>
          <w:tab w:pos="488" w:val="left" w:leader="none"/>
          <w:tab w:pos="2825" w:val="left" w:leader="none"/>
        </w:tabs>
        <w:spacing w:line="256" w:lineRule="auto" w:before="12" w:after="0"/>
        <w:ind w:left="3003" w:right="105" w:hanging="2886"/>
        <w:jc w:val="both"/>
        <w:rPr>
          <w:sz w:val="21"/>
        </w:rPr>
      </w:pPr>
      <w:r>
        <w:rPr>
          <w:spacing w:val="-3"/>
          <w:sz w:val="21"/>
        </w:rPr>
        <w:t>深</w:t>
      </w:r>
      <w:r>
        <w:rPr>
          <w:sz w:val="21"/>
        </w:rPr>
        <w:t>度</w:t>
      </w:r>
      <w:r>
        <w:rPr>
          <w:spacing w:val="-3"/>
          <w:sz w:val="21"/>
        </w:rPr>
        <w:t>昏</w:t>
      </w:r>
      <w:r>
        <w:rPr>
          <w:sz w:val="21"/>
        </w:rPr>
        <w:t>迷</w:t>
        <w:tab/>
      </w:r>
      <w:r>
        <w:rPr>
          <w:spacing w:val="-34"/>
          <w:position w:val="1"/>
          <w:sz w:val="21"/>
        </w:rPr>
        <w:t>：</w:t>
      </w:r>
      <w:r>
        <w:rPr>
          <w:spacing w:val="2"/>
          <w:sz w:val="21"/>
        </w:rPr>
        <w:t>指因疾病或意外伤害</w:t>
      </w:r>
      <w:r>
        <w:rPr>
          <w:spacing w:val="5"/>
          <w:sz w:val="21"/>
        </w:rPr>
        <w:t>导</w:t>
      </w:r>
      <w:r>
        <w:rPr>
          <w:spacing w:val="2"/>
          <w:sz w:val="21"/>
        </w:rPr>
        <w:t>致意识丧</w:t>
      </w:r>
      <w:r>
        <w:rPr>
          <w:spacing w:val="5"/>
          <w:sz w:val="21"/>
        </w:rPr>
        <w:t>失</w:t>
      </w:r>
      <w:r>
        <w:rPr>
          <w:rFonts w:ascii="Times New Roman" w:eastAsia="Times New Roman"/>
          <w:spacing w:val="2"/>
          <w:sz w:val="21"/>
        </w:rPr>
        <w:t>,</w:t>
      </w:r>
      <w:r>
        <w:rPr>
          <w:spacing w:val="2"/>
          <w:sz w:val="21"/>
        </w:rPr>
        <w:t>对外界刺激和体内需求均无反</w:t>
      </w:r>
      <w:r>
        <w:rPr>
          <w:spacing w:val="6"/>
          <w:sz w:val="21"/>
        </w:rPr>
        <w:t>应</w:t>
      </w:r>
      <w:r>
        <w:rPr>
          <w:rFonts w:ascii="Times New Roman" w:eastAsia="Times New Roman"/>
          <w:spacing w:val="2"/>
          <w:sz w:val="21"/>
        </w:rPr>
        <w:t>,</w:t>
      </w:r>
      <w:r>
        <w:rPr>
          <w:spacing w:val="2"/>
          <w:sz w:val="21"/>
        </w:rPr>
        <w:t>昏迷程 </w:t>
      </w:r>
      <w:r>
        <w:rPr>
          <w:sz w:val="21"/>
        </w:rPr>
        <w:t>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22"/>
          <w:sz w:val="21"/>
        </w:rPr>
        <w:t>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pacing w:val="-4"/>
          <w:sz w:val="21"/>
        </w:rPr>
        <w:t>scale</w:t>
      </w:r>
      <w:r>
        <w:rPr>
          <w:spacing w:val="-4"/>
          <w:sz w:val="21"/>
        </w:rPr>
        <w:t>）</w:t>
      </w:r>
      <w:r>
        <w:rPr>
          <w:spacing w:val="-3"/>
          <w:sz w:val="21"/>
        </w:rPr>
        <w:t>结</w:t>
      </w:r>
      <w:r>
        <w:rPr>
          <w:sz w:val="21"/>
        </w:rPr>
        <w:t>果为</w:t>
      </w:r>
      <w:r>
        <w:rPr>
          <w:spacing w:val="-50"/>
          <w:sz w:val="21"/>
        </w:rPr>
        <w:t> </w:t>
      </w:r>
      <w:r>
        <w:rPr>
          <w:rFonts w:ascii="Times New Roman" w:eastAsia="Times New Roman"/>
          <w:sz w:val="21"/>
        </w:rPr>
        <w:t>5</w:t>
      </w:r>
      <w:r>
        <w:rPr>
          <w:rFonts w:ascii="Times New Roman" w:eastAsia="Times New Roman"/>
          <w:spacing w:val="3"/>
          <w:sz w:val="21"/>
        </w:rPr>
        <w:t> </w:t>
      </w:r>
      <w:r>
        <w:rPr>
          <w:spacing w:val="-3"/>
          <w:sz w:val="21"/>
        </w:rPr>
        <w:t>分</w:t>
      </w:r>
      <w:r>
        <w:rPr>
          <w:sz w:val="21"/>
        </w:rPr>
        <w:t>或</w:t>
      </w:r>
      <w:r>
        <w:rPr>
          <w:spacing w:val="-50"/>
          <w:sz w:val="21"/>
        </w:rPr>
        <w:t> </w:t>
      </w:r>
      <w:r>
        <w:rPr>
          <w:rFonts w:ascii="Times New Roman" w:eastAsia="Times New Roman"/>
          <w:sz w:val="21"/>
        </w:rPr>
        <w:t>5</w:t>
      </w:r>
      <w:r>
        <w:rPr>
          <w:rFonts w:ascii="Times New Roman" w:eastAsia="Times New Roman"/>
          <w:spacing w:val="3"/>
          <w:sz w:val="21"/>
        </w:rPr>
        <w:t> </w:t>
      </w:r>
      <w:r>
        <w:rPr>
          <w:sz w:val="21"/>
        </w:rPr>
        <w:t>分</w:t>
      </w:r>
      <w:r>
        <w:rPr>
          <w:spacing w:val="-3"/>
          <w:sz w:val="21"/>
        </w:rPr>
        <w:t>以</w:t>
      </w:r>
      <w:r>
        <w:rPr>
          <w:sz w:val="21"/>
        </w:rPr>
        <w:t>下</w:t>
      </w:r>
      <w:r>
        <w:rPr>
          <w:spacing w:val="-20"/>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它生</w:t>
      </w:r>
      <w:r>
        <w:rPr>
          <w:spacing w:val="-3"/>
          <w:sz w:val="21"/>
        </w:rPr>
        <w:t>命</w:t>
      </w:r>
      <w:r>
        <w:rPr>
          <w:sz w:val="21"/>
        </w:rPr>
        <w:t>维</w:t>
      </w:r>
      <w:r>
        <w:rPr>
          <w:spacing w:val="-3"/>
          <w:sz w:val="21"/>
        </w:rPr>
        <w:t>持系</w:t>
      </w:r>
      <w:r>
        <w:rPr>
          <w:sz w:val="21"/>
        </w:rPr>
        <w:t>统</w:t>
      </w:r>
      <w:r>
        <w:rPr>
          <w:spacing w:val="-38"/>
          <w:sz w:val="21"/>
        </w:rPr>
        <w:t> </w:t>
      </w:r>
      <w:r>
        <w:rPr>
          <w:rFonts w:ascii="Times New Roman" w:eastAsia="Times New Roman"/>
          <w:sz w:val="21"/>
        </w:rPr>
        <w:t>96</w:t>
      </w:r>
      <w:r>
        <w:rPr>
          <w:rFonts w:ascii="Times New Roman" w:eastAsia="Times New Roman"/>
          <w:spacing w:val="10"/>
          <w:sz w:val="21"/>
        </w:rPr>
        <w:t> </w:t>
      </w:r>
      <w:r>
        <w:rPr>
          <w:sz w:val="21"/>
        </w:rPr>
        <w:t>小</w:t>
      </w:r>
      <w:r>
        <w:rPr>
          <w:spacing w:val="-3"/>
          <w:sz w:val="21"/>
        </w:rPr>
        <w:t>时以</w:t>
      </w:r>
      <w:r>
        <w:rPr>
          <w:sz w:val="21"/>
        </w:rPr>
        <w:t>上。</w:t>
      </w:r>
    </w:p>
    <w:p>
      <w:pPr>
        <w:spacing w:before="4"/>
        <w:ind w:left="3003" w:right="0" w:firstLine="0"/>
        <w:jc w:val="left"/>
        <w:rPr>
          <w:b/>
          <w:sz w:val="21"/>
        </w:rPr>
      </w:pPr>
      <w:r>
        <w:rPr>
          <w:b/>
          <w:sz w:val="21"/>
        </w:rPr>
        <w:t>因酗酒或药物滥用导致的深度昏迷不在保障范围内。</w:t>
      </w:r>
    </w:p>
    <w:p>
      <w:pPr>
        <w:pStyle w:val="ListParagraph"/>
        <w:numPr>
          <w:ilvl w:val="0"/>
          <w:numId w:val="4"/>
        </w:numPr>
        <w:tabs>
          <w:tab w:pos="479" w:val="left" w:leader="none"/>
          <w:tab w:pos="2825" w:val="left" w:leader="none"/>
        </w:tabs>
        <w:spacing w:line="256" w:lineRule="auto" w:before="27" w:after="0"/>
        <w:ind w:left="3003" w:right="110" w:hanging="2886"/>
        <w:jc w:val="both"/>
        <w:rPr>
          <w:sz w:val="21"/>
        </w:rPr>
      </w:pPr>
      <w:r>
        <w:rPr>
          <w:sz w:val="21"/>
        </w:rPr>
        <w:t>瘫痪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BodyText"/>
        <w:spacing w:before="11"/>
        <w:rPr>
          <w:sz w:val="10"/>
        </w:rPr>
      </w:pPr>
      <w:r>
        <w:rPr/>
        <w:pict>
          <v:line style="position:absolute;mso-position-horizontal-relative:page;mso-position-vertical-relative:paragraph;z-index:1192;mso-wrap-distance-left:0;mso-wrap-distance-right:0" from="53.880001pt,9.310048pt" to="197.930001pt,9.310048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8"/>
          <w:sz w:val="12"/>
        </w:rPr>
        <w:t>19</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left="117" w:right="146"/>
        <w:jc w:val="both"/>
      </w:pPr>
      <w:r>
        <w:rPr/>
        <w:t>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sectPr>
          <w:type w:val="continuous"/>
          <w:pgSz w:w="11910" w:h="16160"/>
          <w:pgMar w:top="540" w:bottom="280" w:left="960" w:right="800"/>
        </w:sectPr>
      </w:pPr>
    </w:p>
    <w:p>
      <w:pPr>
        <w:pStyle w:val="ListParagraph"/>
        <w:numPr>
          <w:ilvl w:val="0"/>
          <w:numId w:val="4"/>
        </w:numPr>
        <w:tabs>
          <w:tab w:pos="488" w:val="left" w:leader="none"/>
          <w:tab w:pos="2825" w:val="left" w:leader="none"/>
        </w:tabs>
        <w:spacing w:line="240" w:lineRule="auto" w:before="17" w:after="0"/>
        <w:ind w:left="487" w:right="0" w:hanging="370"/>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ListParagraph"/>
        <w:numPr>
          <w:ilvl w:val="0"/>
          <w:numId w:val="4"/>
        </w:numPr>
        <w:tabs>
          <w:tab w:pos="488" w:val="left" w:leader="none"/>
        </w:tabs>
        <w:spacing w:line="261" w:lineRule="auto" w:before="30" w:after="0"/>
        <w:ind w:left="3003" w:right="108" w:hanging="2886"/>
        <w:jc w:val="both"/>
        <w:rPr>
          <w:sz w:val="21"/>
        </w:rPr>
      </w:pPr>
      <w:r>
        <w:rPr>
          <w:spacing w:val="-1"/>
          <w:sz w:val="21"/>
        </w:rPr>
        <w:t>严重阿尔茨海默病      </w:t>
      </w:r>
      <w:r>
        <w:rPr>
          <w:spacing w:val="-34"/>
          <w:position w:val="1"/>
          <w:sz w:val="21"/>
        </w:rPr>
        <w:t>：</w:t>
      </w: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spacing w:before="18"/>
        <w:ind w:left="3003" w:right="0" w:firstLine="0"/>
        <w:jc w:val="left"/>
        <w:rPr>
          <w:b/>
          <w:sz w:val="21"/>
        </w:rPr>
      </w:pPr>
      <w:r>
        <w:rPr>
          <w:b/>
          <w:sz w:val="21"/>
        </w:rPr>
        <w:t>神经官能症和精神疾病不在保障范围内。</w:t>
      </w:r>
    </w:p>
    <w:p>
      <w:pPr>
        <w:pStyle w:val="ListParagraph"/>
        <w:numPr>
          <w:ilvl w:val="0"/>
          <w:numId w:val="4"/>
        </w:numPr>
        <w:tabs>
          <w:tab w:pos="488" w:val="left" w:leader="none"/>
          <w:tab w:pos="2825" w:val="left" w:leader="none"/>
        </w:tabs>
        <w:spacing w:line="256" w:lineRule="auto" w:before="27" w:after="0"/>
        <w:ind w:left="3003" w:right="110" w:hanging="2886"/>
        <w:jc w:val="both"/>
        <w:rPr>
          <w:sz w:val="21"/>
        </w:rPr>
      </w:pPr>
      <w:r>
        <w:rPr>
          <w:spacing w:val="-3"/>
          <w:sz w:val="21"/>
        </w:rPr>
        <w:t>严</w:t>
      </w:r>
      <w:r>
        <w:rPr>
          <w:sz w:val="21"/>
        </w:rPr>
        <w:t>重</w:t>
      </w:r>
      <w:r>
        <w:rPr>
          <w:spacing w:val="-3"/>
          <w:sz w:val="21"/>
        </w:rPr>
        <w:t>脑</w:t>
      </w:r>
      <w:r>
        <w:rPr>
          <w:sz w:val="21"/>
        </w:rPr>
        <w:t>损伤</w:t>
        <w:tab/>
      </w:r>
      <w:r>
        <w:rPr>
          <w:spacing w:val="-34"/>
          <w:position w:val="1"/>
          <w:sz w:val="21"/>
        </w:rPr>
        <w:t>：</w:t>
      </w:r>
      <w:r>
        <w:rPr>
          <w:sz w:val="21"/>
        </w:rPr>
        <w:t>指因头部遭受机械性外力，引起脑重要部位损伤，导致神经系统永久性的功 </w:t>
      </w:r>
      <w:r>
        <w:rPr>
          <w:w w:val="100"/>
          <w:sz w:val="21"/>
        </w:rPr>
        <w:t>能障</w:t>
      </w:r>
      <w:r>
        <w:rPr>
          <w:spacing w:val="-3"/>
          <w:w w:val="100"/>
          <w:sz w:val="21"/>
        </w:rPr>
        <w:t>碍</w:t>
      </w:r>
      <w:r>
        <w:rPr>
          <w:spacing w:val="-10"/>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10"/>
          <w:w w:val="100"/>
          <w:sz w:val="21"/>
        </w:rPr>
        <w:t>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3"/>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10"/>
          <w:w w:val="100"/>
          <w:sz w:val="21"/>
        </w:rPr>
        <w:t>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w w:val="100"/>
          <w:sz w:val="21"/>
        </w:rPr>
        <w:t>或正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w:t>
      </w:r>
      <w:r>
        <w:rPr>
          <w:sz w:val="21"/>
        </w:rPr>
        <w:t>扫</w:t>
      </w:r>
      <w:r>
        <w:rPr>
          <w:spacing w:val="-5"/>
          <w:sz w:val="21"/>
        </w:rPr>
        <w:t>描</w:t>
      </w:r>
      <w:r>
        <w:rPr>
          <w:spacing w:val="-3"/>
          <w:sz w:val="21"/>
        </w:rPr>
        <w:t>（</w:t>
      </w:r>
      <w:r>
        <w:rPr>
          <w:rFonts w:ascii="Times New Roman" w:eastAsia="Times New Roman"/>
          <w:spacing w:val="-3"/>
          <w:sz w:val="21"/>
        </w:rPr>
        <w:t>PET</w:t>
      </w:r>
      <w:r>
        <w:rPr>
          <w:spacing w:val="-3"/>
          <w:sz w:val="21"/>
        </w:rPr>
        <w:t>）</w:t>
      </w:r>
      <w:r>
        <w:rPr>
          <w:sz w:val="21"/>
        </w:rPr>
        <w:t>等</w:t>
      </w:r>
      <w:r>
        <w:rPr>
          <w:spacing w:val="-3"/>
          <w:sz w:val="21"/>
        </w:rPr>
        <w:t>影</w:t>
      </w:r>
      <w:r>
        <w:rPr>
          <w:sz w:val="21"/>
        </w:rPr>
        <w:t>像</w:t>
      </w:r>
      <w:r>
        <w:rPr>
          <w:spacing w:val="-3"/>
          <w:sz w:val="21"/>
        </w:rPr>
        <w:t>学检</w:t>
      </w:r>
      <w:r>
        <w:rPr>
          <w:sz w:val="21"/>
        </w:rPr>
        <w:t>查证</w:t>
      </w:r>
      <w:r>
        <w:rPr>
          <w:spacing w:val="-3"/>
          <w:sz w:val="21"/>
        </w:rPr>
        <w:t>实</w:t>
      </w:r>
      <w:r>
        <w:rPr>
          <w:spacing w:val="-5"/>
          <w:sz w:val="21"/>
        </w:rPr>
        <w:t>。</w:t>
      </w:r>
      <w:r>
        <w:rPr>
          <w:spacing w:val="-3"/>
          <w:sz w:val="21"/>
        </w:rPr>
        <w:t>神</w:t>
      </w:r>
      <w:r>
        <w:rPr>
          <w:sz w:val="21"/>
        </w:rPr>
        <w:t>经系</w:t>
      </w:r>
      <w:r>
        <w:rPr>
          <w:spacing w:val="-3"/>
          <w:sz w:val="21"/>
        </w:rPr>
        <w:t>统</w:t>
      </w:r>
      <w:r>
        <w:rPr>
          <w:sz w:val="21"/>
        </w:rPr>
        <w:t>永</w:t>
      </w:r>
      <w:r>
        <w:rPr>
          <w:spacing w:val="-3"/>
          <w:sz w:val="21"/>
        </w:rPr>
        <w:t>久性</w:t>
      </w:r>
      <w:r>
        <w:rPr>
          <w:sz w:val="21"/>
        </w:rPr>
        <w:t>的功</w:t>
      </w:r>
      <w:r>
        <w:rPr>
          <w:spacing w:val="-3"/>
          <w:sz w:val="21"/>
        </w:rPr>
        <w:t>能</w:t>
      </w:r>
      <w:r>
        <w:rPr>
          <w:sz w:val="21"/>
        </w:rPr>
        <w:t>障</w:t>
      </w:r>
      <w:r>
        <w:rPr>
          <w:spacing w:val="-3"/>
          <w:sz w:val="21"/>
        </w:rPr>
        <w:t>碍</w:t>
      </w:r>
      <w:r>
        <w:rPr>
          <w:spacing w:val="-5"/>
          <w:sz w:val="21"/>
        </w:rPr>
        <w:t>，</w:t>
      </w:r>
      <w:r>
        <w:rPr>
          <w:sz w:val="21"/>
        </w:rPr>
        <w:t>指</w:t>
      </w:r>
      <w:r>
        <w:rPr>
          <w:spacing w:val="-3"/>
          <w:sz w:val="21"/>
        </w:rPr>
        <w:t>脑损</w:t>
      </w:r>
      <w:r>
        <w:rPr>
          <w:sz w:val="21"/>
        </w:rPr>
        <w:t>伤</w:t>
      </w:r>
      <w:r>
        <w:rPr>
          <w:spacing w:val="-23"/>
          <w:sz w:val="21"/>
        </w:rPr>
        <w:t> </w:t>
      </w:r>
      <w:r>
        <w:rPr>
          <w:rFonts w:ascii="Times New Roman" w:eastAsia="Times New Roman"/>
          <w:sz w:val="21"/>
        </w:rPr>
        <w:t>180 </w:t>
      </w:r>
      <w:r>
        <w:rPr>
          <w:sz w:val="21"/>
        </w:rPr>
        <w:t>天后</w:t>
      </w:r>
      <w:r>
        <w:rPr>
          <w:spacing w:val="-3"/>
          <w:sz w:val="21"/>
        </w:rPr>
        <w:t>，</w:t>
      </w:r>
      <w:r>
        <w:rPr>
          <w:sz w:val="21"/>
        </w:rPr>
        <w:t>仍</w:t>
      </w:r>
      <w:r>
        <w:rPr>
          <w:spacing w:val="-3"/>
          <w:sz w:val="21"/>
        </w:rPr>
        <w:t>遗</w:t>
      </w:r>
      <w:r>
        <w:rPr>
          <w:sz w:val="21"/>
        </w:rPr>
        <w:t>留</w:t>
      </w:r>
      <w:r>
        <w:rPr>
          <w:spacing w:val="-3"/>
          <w:sz w:val="21"/>
        </w:rPr>
        <w:t>下</w:t>
      </w:r>
      <w:r>
        <w:rPr>
          <w:sz w:val="21"/>
        </w:rPr>
        <w:t>列</w:t>
      </w:r>
      <w:r>
        <w:rPr>
          <w:spacing w:val="-3"/>
          <w:sz w:val="21"/>
        </w:rPr>
        <w:t>一</w:t>
      </w:r>
      <w:r>
        <w:rPr>
          <w:sz w:val="21"/>
        </w:rPr>
        <w:t>种</w:t>
      </w:r>
      <w:r>
        <w:rPr>
          <w:spacing w:val="-3"/>
          <w:sz w:val="21"/>
        </w:rPr>
        <w:t>或</w:t>
      </w:r>
      <w:r>
        <w:rPr>
          <w:sz w:val="21"/>
        </w:rPr>
        <w:t>一种</w:t>
      </w:r>
      <w:r>
        <w:rPr>
          <w:spacing w:val="-3"/>
          <w:sz w:val="21"/>
        </w:rPr>
        <w:t>以</w:t>
      </w:r>
      <w:r>
        <w:rPr>
          <w:sz w:val="21"/>
        </w:rPr>
        <w:t>上</w:t>
      </w:r>
      <w:r>
        <w:rPr>
          <w:spacing w:val="-3"/>
          <w:sz w:val="21"/>
        </w:rPr>
        <w:t>障</w:t>
      </w:r>
      <w:r>
        <w:rPr>
          <w:sz w:val="21"/>
        </w:rPr>
        <w:t>碍：</w:t>
      </w:r>
    </w:p>
    <w:p>
      <w:pPr>
        <w:pStyle w:val="BodyText"/>
        <w:spacing w:before="23"/>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4"/>
        </w:numPr>
        <w:tabs>
          <w:tab w:pos="488" w:val="left" w:leader="none"/>
        </w:tabs>
        <w:spacing w:line="256" w:lineRule="auto" w:before="12" w:after="0"/>
        <w:ind w:left="3003" w:right="120" w:hanging="2886"/>
        <w:jc w:val="both"/>
        <w:rPr>
          <w:sz w:val="21"/>
        </w:rPr>
      </w:pPr>
      <w:r>
        <w:rPr>
          <w:spacing w:val="-1"/>
          <w:sz w:val="21"/>
        </w:rPr>
        <w:t>严重帕金森病          </w:t>
      </w:r>
      <w:r>
        <w:rPr>
          <w:spacing w:val="-34"/>
          <w:position w:val="1"/>
          <w:sz w:val="21"/>
        </w:rPr>
        <w:t>：</w:t>
      </w:r>
      <w:r>
        <w:rPr>
          <w:sz w:val="21"/>
        </w:rPr>
        <w:t>是一种中枢神经系统的退行性疾病，临床表现为震颤麻痹、共济失调等。须</w:t>
      </w:r>
      <w:r>
        <w:rPr>
          <w:spacing w:val="-3"/>
          <w:sz w:val="21"/>
        </w:rPr>
        <w:t>满足下列全部条件：</w:t>
      </w:r>
    </w:p>
    <w:p>
      <w:pPr>
        <w:pStyle w:val="BodyText"/>
        <w:spacing w:before="22"/>
        <w:ind w:left="3003"/>
      </w:pPr>
      <w:r>
        <w:rPr/>
        <w:t>（</w:t>
      </w:r>
      <w:r>
        <w:rPr>
          <w:rFonts w:ascii="Times New Roman" w:eastAsia="Times New Roman"/>
        </w:rPr>
        <w:t>1</w:t>
      </w:r>
      <w:r>
        <w:rPr/>
        <w:t>）药物治疗无法控制病情；</w:t>
      </w:r>
    </w:p>
    <w:p>
      <w:pPr>
        <w:pStyle w:val="BodyText"/>
        <w:spacing w:line="256" w:lineRule="auto" w:before="21"/>
        <w:ind w:left="3003" w:right="110"/>
      </w:pPr>
      <w:r>
        <w:rPr/>
        <w:t>（</w:t>
      </w:r>
      <w:r>
        <w:rPr>
          <w:rFonts w:ascii="Times New Roman" w:eastAsia="Times New Roman"/>
        </w:rPr>
        <w:t>2</w:t>
      </w:r>
      <w:r>
        <w:rPr/>
        <w:t>）自主生活能力完全丧失，无法独立完成六项基本日常生活活动中的三项或三项以上。</w:t>
      </w:r>
    </w:p>
    <w:p>
      <w:pPr>
        <w:spacing w:before="22"/>
        <w:ind w:left="3003" w:right="0" w:firstLine="0"/>
        <w:jc w:val="left"/>
        <w:rPr>
          <w:b/>
          <w:sz w:val="21"/>
        </w:rPr>
      </w:pPr>
      <w:r>
        <w:rPr>
          <w:b/>
          <w:sz w:val="21"/>
        </w:rPr>
        <w:t>继发性帕金森综合征不在保障范围内。</w:t>
      </w:r>
    </w:p>
    <w:p>
      <w:pPr>
        <w:pStyle w:val="ListParagraph"/>
        <w:numPr>
          <w:ilvl w:val="0"/>
          <w:numId w:val="4"/>
        </w:numPr>
        <w:tabs>
          <w:tab w:pos="488" w:val="left" w:leader="none"/>
        </w:tabs>
        <w:spacing w:line="256" w:lineRule="auto" w:before="27" w:after="0"/>
        <w:ind w:left="3003" w:right="215" w:hanging="2886"/>
        <w:jc w:val="both"/>
        <w:rPr>
          <w:sz w:val="21"/>
        </w:rPr>
      </w:pPr>
      <w:r>
        <w:rPr>
          <w:spacing w:val="1"/>
          <w:sz w:val="21"/>
        </w:rPr>
        <w:t>严重Ⅲ度烧伤         </w:t>
      </w:r>
      <w:r>
        <w:rPr>
          <w:spacing w:val="-34"/>
          <w:position w:val="1"/>
          <w:sz w:val="21"/>
        </w:rPr>
        <w:t>：</w:t>
      </w:r>
      <w:r>
        <w:rPr>
          <w:spacing w:val="-14"/>
          <w:sz w:val="21"/>
        </w:rPr>
        <w:t>指烧伤程度为Ⅲ度，且Ⅲ度烧伤的面积达到全身体表面积的 </w:t>
      </w:r>
      <w:r>
        <w:rPr>
          <w:rFonts w:ascii="Times New Roman" w:hAnsi="Times New Roman" w:eastAsia="Times New Roman"/>
          <w:sz w:val="21"/>
        </w:rPr>
        <w:t>20</w:t>
      </w:r>
      <w:r>
        <w:rPr>
          <w:spacing w:val="-19"/>
          <w:sz w:val="21"/>
        </w:rPr>
        <w:t>％或 </w:t>
      </w:r>
      <w:r>
        <w:rPr>
          <w:rFonts w:ascii="Times New Roman" w:hAnsi="Times New Roman" w:eastAsia="Times New Roman"/>
          <w:sz w:val="21"/>
        </w:rPr>
        <w:t>20</w:t>
      </w:r>
      <w:r>
        <w:rPr>
          <w:spacing w:val="-2"/>
          <w:sz w:val="21"/>
        </w:rPr>
        <w:t>％以上</w:t>
      </w:r>
      <w:r>
        <w:rPr>
          <w:spacing w:val="-3"/>
          <w:sz w:val="21"/>
        </w:rPr>
        <w:t>体表面积根据《中国新九分法》计算。</w:t>
      </w:r>
    </w:p>
    <w:p>
      <w:pPr>
        <w:pStyle w:val="ListParagraph"/>
        <w:numPr>
          <w:ilvl w:val="0"/>
          <w:numId w:val="4"/>
        </w:numPr>
        <w:tabs>
          <w:tab w:pos="488" w:val="left" w:leader="none"/>
        </w:tabs>
        <w:spacing w:line="256" w:lineRule="auto" w:before="12" w:after="0"/>
        <w:ind w:left="3003" w:right="119" w:hanging="2886"/>
        <w:jc w:val="both"/>
        <w:rPr>
          <w:sz w:val="21"/>
        </w:rPr>
      </w:pPr>
      <w:r>
        <w:rPr>
          <w:spacing w:val="-2"/>
          <w:sz w:val="21"/>
        </w:rPr>
        <w:t>重型再生障碍性贫血    </w:t>
      </w:r>
      <w:r>
        <w:rPr>
          <w:spacing w:val="-34"/>
          <w:position w:val="1"/>
          <w:sz w:val="21"/>
        </w:rPr>
        <w:t>：</w:t>
      </w:r>
      <w:r>
        <w:rPr>
          <w:sz w:val="21"/>
        </w:rPr>
        <w:t>指因骨髓造血功能慢性持续性衰竭导致的贫血、中性粒细胞减少及血小板减</w:t>
      </w:r>
      <w:r>
        <w:rPr>
          <w:spacing w:val="-3"/>
          <w:sz w:val="21"/>
        </w:rPr>
        <w:t>少。须满足下列全部条件：</w:t>
      </w:r>
    </w:p>
    <w:p>
      <w:pPr>
        <w:pStyle w:val="BodyText"/>
        <w:spacing w:before="22"/>
        <w:ind w:left="3003"/>
      </w:pPr>
      <w:r>
        <w:rPr/>
        <w:t>（</w:t>
      </w:r>
      <w:r>
        <w:rPr>
          <w:rFonts w:ascii="Times New Roman" w:eastAsia="Times New Roman"/>
        </w:rPr>
        <w:t>1</w:t>
      </w:r>
      <w:r>
        <w:rPr/>
        <w:t>）骨髓穿刺检查或骨髓活检结果支持诊断；</w:t>
      </w:r>
    </w:p>
    <w:p>
      <w:pPr>
        <w:pStyle w:val="BodyText"/>
        <w:spacing w:before="21"/>
        <w:ind w:left="3003"/>
      </w:pPr>
      <w:r>
        <w:rPr/>
        <w:t>（</w:t>
      </w:r>
      <w:r>
        <w:rPr>
          <w:rFonts w:ascii="Times New Roman" w:eastAsia="Times New Roman"/>
        </w:rPr>
        <w:t>2</w:t>
      </w:r>
      <w:r>
        <w:rPr/>
        <w:t>）外周血象须具备以下三项条件：</w:t>
      </w:r>
    </w:p>
    <w:p>
      <w:pPr>
        <w:pStyle w:val="BodyText"/>
        <w:spacing w:before="21"/>
        <w:ind w:left="3406" w:right="3436"/>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left="2230" w:right="3460"/>
        <w:jc w:val="center"/>
      </w:pPr>
      <w:r>
        <w:rPr/>
        <w:t>② 网织红细胞＜</w:t>
      </w:r>
      <w:r>
        <w:rPr>
          <w:rFonts w:ascii="Times New Roman" w:hAnsi="Times New Roman" w:eastAsia="Times New Roman"/>
        </w:rPr>
        <w:t>1%</w:t>
      </w:r>
      <w:r>
        <w:rPr/>
        <w:t>；</w:t>
      </w:r>
    </w:p>
    <w:p>
      <w:pPr>
        <w:pStyle w:val="BodyText"/>
        <w:spacing w:before="21"/>
        <w:ind w:left="2856" w:right="3460"/>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4"/>
        </w:numPr>
        <w:tabs>
          <w:tab w:pos="488" w:val="left" w:leader="none"/>
          <w:tab w:pos="2825" w:val="left" w:leader="none"/>
        </w:tabs>
        <w:spacing w:line="264" w:lineRule="auto" w:before="11" w:after="0"/>
        <w:ind w:left="3003" w:right="120" w:hanging="2886"/>
        <w:jc w:val="both"/>
        <w:rPr>
          <w:sz w:val="21"/>
        </w:rPr>
      </w:pPr>
      <w:r>
        <w:rPr>
          <w:spacing w:val="-3"/>
          <w:sz w:val="21"/>
        </w:rPr>
        <w:t>主</w:t>
      </w:r>
      <w:r>
        <w:rPr>
          <w:sz w:val="21"/>
        </w:rPr>
        <w:t>动</w:t>
      </w:r>
      <w:r>
        <w:rPr>
          <w:spacing w:val="-3"/>
          <w:sz w:val="21"/>
        </w:rPr>
        <w:t>脉</w:t>
      </w:r>
      <w:r>
        <w:rPr>
          <w:sz w:val="21"/>
        </w:rPr>
        <w:t>手术</w:t>
        <w:tab/>
      </w:r>
      <w:r>
        <w:rPr>
          <w:spacing w:val="-34"/>
          <w:position w:val="1"/>
          <w:sz w:val="21"/>
        </w:rPr>
        <w:t>：</w:t>
      </w:r>
      <w:r>
        <w:rPr>
          <w:sz w:val="21"/>
        </w:rPr>
        <w:t>指为治疗主动脉疾病，实际实施了开胸或开腹进行的切除、置换、修补病损 主动脉血管的手术。主动脉指胸主动脉和腹主动脉，不包括胸主动脉和腹主动脉</w:t>
      </w:r>
      <w:r>
        <w:rPr>
          <w:spacing w:val="-3"/>
          <w:sz w:val="21"/>
        </w:rPr>
        <w:t>的</w:t>
      </w:r>
      <w:r>
        <w:rPr>
          <w:sz w:val="21"/>
        </w:rPr>
        <w:t>分</w:t>
      </w:r>
      <w:r>
        <w:rPr>
          <w:spacing w:val="-3"/>
          <w:sz w:val="21"/>
        </w:rPr>
        <w:t>支</w:t>
      </w:r>
      <w:r>
        <w:rPr>
          <w:sz w:val="21"/>
        </w:rPr>
        <w:t>血</w:t>
      </w:r>
      <w:r>
        <w:rPr>
          <w:spacing w:val="-3"/>
          <w:sz w:val="21"/>
        </w:rPr>
        <w:t>管</w:t>
      </w:r>
      <w:r>
        <w:rPr>
          <w:sz w:val="21"/>
        </w:rPr>
        <w:t>。</w:t>
      </w:r>
    </w:p>
    <w:p>
      <w:pPr>
        <w:spacing w:before="16"/>
        <w:ind w:left="3003" w:right="0" w:firstLine="0"/>
        <w:jc w:val="left"/>
        <w:rPr>
          <w:b/>
          <w:sz w:val="21"/>
        </w:rPr>
      </w:pPr>
      <w:r>
        <w:rPr>
          <w:b/>
          <w:sz w:val="21"/>
        </w:rPr>
        <w:t>动脉内血管成形术不在保障范围内。</w:t>
      </w:r>
    </w:p>
    <w:p>
      <w:pPr>
        <w:pStyle w:val="BodyText"/>
        <w:spacing w:before="36"/>
        <w:ind w:left="117"/>
      </w:pPr>
      <w:r>
        <w:rPr/>
        <w:t>（</w:t>
      </w:r>
      <w:r>
        <w:rPr>
          <w:rFonts w:ascii="Times New Roman" w:eastAsia="Times New Roman"/>
        </w:rPr>
        <w:t>19-20 </w:t>
      </w:r>
      <w:r>
        <w:rPr/>
        <w:t>为我们增加的疾病）</w:t>
      </w:r>
    </w:p>
    <w:p>
      <w:pPr>
        <w:pStyle w:val="ListParagraph"/>
        <w:numPr>
          <w:ilvl w:val="0"/>
          <w:numId w:val="4"/>
        </w:numPr>
        <w:tabs>
          <w:tab w:pos="488" w:val="left" w:leader="none"/>
        </w:tabs>
        <w:spacing w:line="256" w:lineRule="auto" w:before="27" w:after="0"/>
        <w:ind w:left="3003" w:right="120" w:hanging="2886"/>
        <w:jc w:val="both"/>
        <w:rPr>
          <w:sz w:val="21"/>
        </w:rPr>
      </w:pPr>
      <w:r>
        <w:rPr>
          <w:spacing w:val="-2"/>
          <w:sz w:val="21"/>
        </w:rPr>
        <w:t>严重慢性呼吸功能衰竭  </w:t>
      </w:r>
      <w:r>
        <w:rPr>
          <w:spacing w:val="-34"/>
          <w:position w:val="1"/>
          <w:sz w:val="21"/>
        </w:rPr>
        <w:t>：</w:t>
      </w:r>
      <w:r>
        <w:rPr>
          <w:sz w:val="21"/>
        </w:rPr>
        <w:t>慢性肺部疾病导致永久不可逆性的慢性呼吸功能衰竭，必须由呼吸专科医师</w:t>
      </w:r>
      <w:r>
        <w:rPr>
          <w:spacing w:val="-3"/>
          <w:sz w:val="21"/>
        </w:rPr>
        <w:t>确认并符合下列所有条件：</w:t>
      </w:r>
    </w:p>
    <w:p>
      <w:pPr>
        <w:pStyle w:val="BodyText"/>
        <w:spacing w:before="22"/>
        <w:ind w:left="3003"/>
      </w:pPr>
      <w:r>
        <w:rPr/>
        <w:t>（</w:t>
      </w:r>
      <w:r>
        <w:rPr>
          <w:rFonts w:ascii="Times New Roman" w:eastAsia="Times New Roman"/>
        </w:rPr>
        <w:t>1</w:t>
      </w:r>
      <w:r>
        <w:rPr/>
        <w:t>）休息时出现呼吸困难；</w:t>
      </w:r>
    </w:p>
    <w:p>
      <w:pPr>
        <w:pStyle w:val="BodyText"/>
        <w:spacing w:before="21"/>
        <w:ind w:left="3003"/>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50mmHg</w:t>
      </w:r>
      <w:r>
        <w:rPr>
          <w:vertAlign w:val="baseline"/>
        </w:rPr>
        <w:t>；</w:t>
      </w:r>
    </w:p>
    <w:p>
      <w:pPr>
        <w:pStyle w:val="BodyText"/>
        <w:spacing w:before="21"/>
        <w:ind w:left="3003"/>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1"/>
        <w:ind w:left="3003"/>
      </w:pPr>
      <w:r>
        <w:rPr/>
        <w:t>（</w:t>
      </w:r>
      <w:r>
        <w:rPr>
          <w:rFonts w:ascii="Times New Roman" w:eastAsia="Times New Roman"/>
        </w:rPr>
        <w:t>4</w:t>
      </w:r>
      <w:r>
        <w:rPr/>
        <w:t>）因缺氧必须接受持续的输氧治疗。</w:t>
      </w:r>
    </w:p>
    <w:p>
      <w:pPr>
        <w:pStyle w:val="ListParagraph"/>
        <w:numPr>
          <w:ilvl w:val="0"/>
          <w:numId w:val="4"/>
        </w:numPr>
        <w:tabs>
          <w:tab w:pos="488" w:val="left" w:leader="none"/>
          <w:tab w:pos="2825" w:val="left" w:leader="none"/>
        </w:tabs>
        <w:spacing w:line="264" w:lineRule="auto" w:before="21" w:after="0"/>
        <w:ind w:left="3003" w:right="113"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脊髓灰质炎是由于脊髓灰质炎病毒感染所致的瘫痪性疾病，临床表现为运动 功能损害或呼吸无力。脊髓灰质炎必须明确诊断。本保单仅对脊髓灰质炎造成的神经系统功能损害导致被保险人一肢或一肢以上肢体</w:t>
      </w:r>
      <w:r>
        <w:rPr>
          <w:spacing w:val="6"/>
          <w:sz w:val="21"/>
        </w:rPr>
        <w:t>机</w:t>
      </w:r>
      <w:r>
        <w:rPr>
          <w:sz w:val="21"/>
        </w:rPr>
        <w:t>能永久完全丧失</w:t>
      </w:r>
    </w:p>
    <w:p>
      <w:pPr>
        <w:spacing w:after="0" w:line="264" w:lineRule="auto"/>
        <w:jc w:val="both"/>
        <w:rPr>
          <w:sz w:val="21"/>
        </w:rPr>
        <w:sectPr>
          <w:pgSz w:w="11910" w:h="16160"/>
          <w:pgMar w:header="0" w:footer="686" w:top="1340" w:bottom="900" w:left="960" w:right="800"/>
        </w:sectPr>
      </w:pPr>
    </w:p>
    <w:p>
      <w:pPr>
        <w:pStyle w:val="BodyText"/>
        <w:spacing w:line="256" w:lineRule="auto" w:before="27"/>
        <w:ind w:left="2283" w:right="79"/>
      </w:pPr>
      <w:r>
        <w:rPr/>
        <w:t>的情况予以理赔。肢体机能永久完全丧失，指疾病确诊</w:t>
      </w:r>
      <w:r>
        <w:rPr>
          <w:rFonts w:ascii="Times New Roman" w:eastAsia="Times New Roman"/>
        </w:rPr>
        <w:t>180</w:t>
      </w:r>
      <w:r>
        <w:rPr/>
        <w:t>天后，每肢三大关节中的两大关节仍然完全僵硬，或不能随意识活动。</w:t>
      </w:r>
    </w:p>
    <w:p>
      <w:pPr>
        <w:pStyle w:val="BodyText"/>
        <w:rPr>
          <w:sz w:val="20"/>
        </w:rPr>
      </w:pPr>
    </w:p>
    <w:p>
      <w:pPr>
        <w:pStyle w:val="BodyText"/>
        <w:rPr>
          <w:sz w:val="20"/>
        </w:rPr>
      </w:pPr>
    </w:p>
    <w:p>
      <w:pPr>
        <w:pStyle w:val="BodyText"/>
        <w:rPr>
          <w:sz w:val="20"/>
        </w:rPr>
      </w:pPr>
    </w:p>
    <w:p>
      <w:pPr>
        <w:spacing w:before="173"/>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86" w:top="1340" w:bottom="900" w:left="16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130005pt;margin-top:761.429871pt;width:248.9pt;height:13.7pt;mso-position-horizontal-relative:page;mso-position-vertical-relative:page;z-index:-13312" type="#_x0000_t202" filled="false" stroked="false">
          <v:textbox inset="0,0,0,0">
            <w:txbxContent>
              <w:p>
                <w:pPr>
                  <w:pStyle w:val="BodyText"/>
                  <w:spacing w:line="254" w:lineRule="exact"/>
                  <w:ind w:left="20"/>
                </w:pPr>
                <w:r>
                  <w:rPr/>
                  <w:t>太平附加无忧提前给付重大疾病保险，第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4.610001pt;margin-top:761.429871pt;width:254.2pt;height:13.7pt;mso-position-horizontal-relative:page;mso-position-vertical-relative:page;z-index:-13288" type="#_x0000_t202" filled="false" stroked="false">
          <v:textbox inset="0,0,0,0">
            <w:txbxContent>
              <w:p>
                <w:pPr>
                  <w:pStyle w:val="BodyText"/>
                  <w:spacing w:line="254" w:lineRule="exact"/>
                  <w:ind w:left="20"/>
                </w:pPr>
                <w:r>
                  <w:rPr/>
                  <w:t>太平附加无忧提前给付重大疾病保险，第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0"/>
      </w:pPr>
      <w:rPr>
        <w:rFonts w:hint="default"/>
      </w:rPr>
    </w:lvl>
    <w:lvl w:ilvl="2">
      <w:start w:val="0"/>
      <w:numFmt w:val="bullet"/>
      <w:lvlText w:val="•"/>
      <w:lvlJc w:val="left"/>
      <w:pPr>
        <w:ind w:left="2721" w:hanging="360"/>
      </w:pPr>
      <w:rPr>
        <w:rFonts w:hint="default"/>
      </w:rPr>
    </w:lvl>
    <w:lvl w:ilvl="3">
      <w:start w:val="0"/>
      <w:numFmt w:val="bullet"/>
      <w:lvlText w:val="•"/>
      <w:lvlJc w:val="left"/>
      <w:pPr>
        <w:ind w:left="3661" w:hanging="360"/>
      </w:pPr>
      <w:rPr>
        <w:rFonts w:hint="default"/>
      </w:rPr>
    </w:lvl>
    <w:lvl w:ilvl="4">
      <w:start w:val="0"/>
      <w:numFmt w:val="bullet"/>
      <w:lvlText w:val="•"/>
      <w:lvlJc w:val="left"/>
      <w:pPr>
        <w:ind w:left="4602" w:hanging="360"/>
      </w:pPr>
      <w:rPr>
        <w:rFonts w:hint="default"/>
      </w:rPr>
    </w:lvl>
    <w:lvl w:ilvl="5">
      <w:start w:val="0"/>
      <w:numFmt w:val="bullet"/>
      <w:lvlText w:val="•"/>
      <w:lvlJc w:val="left"/>
      <w:pPr>
        <w:ind w:left="5543" w:hanging="360"/>
      </w:pPr>
      <w:rPr>
        <w:rFonts w:hint="default"/>
      </w:rPr>
    </w:lvl>
    <w:lvl w:ilvl="6">
      <w:start w:val="0"/>
      <w:numFmt w:val="bullet"/>
      <w:lvlText w:val="•"/>
      <w:lvlJc w:val="left"/>
      <w:pPr>
        <w:ind w:left="6483" w:hanging="360"/>
      </w:pPr>
      <w:rPr>
        <w:rFonts w:hint="default"/>
      </w:rPr>
    </w:lvl>
    <w:lvl w:ilvl="7">
      <w:start w:val="0"/>
      <w:numFmt w:val="bullet"/>
      <w:lvlText w:val="•"/>
      <w:lvlJc w:val="left"/>
      <w:pPr>
        <w:ind w:left="7424" w:hanging="360"/>
      </w:pPr>
      <w:rPr>
        <w:rFonts w:hint="default"/>
      </w:rPr>
    </w:lvl>
    <w:lvl w:ilvl="8">
      <w:start w:val="0"/>
      <w:numFmt w:val="bullet"/>
      <w:lvlText w:val="•"/>
      <w:lvlJc w:val="left"/>
      <w:pPr>
        <w:ind w:left="8365" w:hanging="360"/>
      </w:pPr>
      <w:rPr>
        <w:rFonts w:hint="default"/>
      </w:rPr>
    </w:lvl>
  </w:abstractNum>
  <w:abstractNum w:abstractNumId="3">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65"/>
      </w:pPr>
      <w:rPr>
        <w:rFonts w:hint="default"/>
      </w:rPr>
    </w:lvl>
    <w:lvl w:ilvl="2">
      <w:start w:val="0"/>
      <w:numFmt w:val="bullet"/>
      <w:lvlText w:val="•"/>
      <w:lvlJc w:val="left"/>
      <w:pPr>
        <w:ind w:left="4274" w:hanging="265"/>
      </w:pPr>
      <w:rPr>
        <w:rFonts w:hint="default"/>
      </w:rPr>
    </w:lvl>
    <w:lvl w:ilvl="3">
      <w:start w:val="0"/>
      <w:numFmt w:val="bullet"/>
      <w:lvlText w:val="•"/>
      <w:lvlJc w:val="left"/>
      <w:pPr>
        <w:ind w:left="5008" w:hanging="265"/>
      </w:pPr>
      <w:rPr>
        <w:rFonts w:hint="default"/>
      </w:rPr>
    </w:lvl>
    <w:lvl w:ilvl="4">
      <w:start w:val="0"/>
      <w:numFmt w:val="bullet"/>
      <w:lvlText w:val="•"/>
      <w:lvlJc w:val="left"/>
      <w:pPr>
        <w:ind w:left="5742" w:hanging="265"/>
      </w:pPr>
      <w:rPr>
        <w:rFonts w:hint="default"/>
      </w:rPr>
    </w:lvl>
    <w:lvl w:ilvl="5">
      <w:start w:val="0"/>
      <w:numFmt w:val="bullet"/>
      <w:lvlText w:val="•"/>
      <w:lvlJc w:val="left"/>
      <w:pPr>
        <w:ind w:left="6476" w:hanging="265"/>
      </w:pPr>
      <w:rPr>
        <w:rFonts w:hint="default"/>
      </w:rPr>
    </w:lvl>
    <w:lvl w:ilvl="6">
      <w:start w:val="0"/>
      <w:numFmt w:val="bullet"/>
      <w:lvlText w:val="•"/>
      <w:lvlJc w:val="left"/>
      <w:pPr>
        <w:ind w:left="7210" w:hanging="265"/>
      </w:pPr>
      <w:rPr>
        <w:rFonts w:hint="default"/>
      </w:rPr>
    </w:lvl>
    <w:lvl w:ilvl="7">
      <w:start w:val="0"/>
      <w:numFmt w:val="bullet"/>
      <w:lvlText w:val="•"/>
      <w:lvlJc w:val="left"/>
      <w:pPr>
        <w:ind w:left="7944" w:hanging="265"/>
      </w:pPr>
      <w:rPr>
        <w:rFonts w:hint="default"/>
      </w:rPr>
    </w:lvl>
    <w:lvl w:ilvl="8">
      <w:start w:val="0"/>
      <w:numFmt w:val="bullet"/>
      <w:lvlText w:val="•"/>
      <w:lvlJc w:val="left"/>
      <w:pPr>
        <w:ind w:left="8678" w:hanging="265"/>
      </w:pPr>
      <w:rPr>
        <w:rFonts w:hint="default"/>
      </w:rPr>
    </w:lvl>
  </w:abstractNum>
  <w:abstractNum w:abstractNumId="2">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3"/>
      </w:pPr>
      <w:rPr>
        <w:rFonts w:hint="default"/>
      </w:rPr>
    </w:lvl>
    <w:lvl w:ilvl="2">
      <w:start w:val="0"/>
      <w:numFmt w:val="bullet"/>
      <w:lvlText w:val="•"/>
      <w:lvlJc w:val="left"/>
      <w:pPr>
        <w:ind w:left="2721" w:hanging="363"/>
      </w:pPr>
      <w:rPr>
        <w:rFonts w:hint="default"/>
      </w:rPr>
    </w:lvl>
    <w:lvl w:ilvl="3">
      <w:start w:val="0"/>
      <w:numFmt w:val="bullet"/>
      <w:lvlText w:val="•"/>
      <w:lvlJc w:val="left"/>
      <w:pPr>
        <w:ind w:left="3661" w:hanging="363"/>
      </w:pPr>
      <w:rPr>
        <w:rFonts w:hint="default"/>
      </w:rPr>
    </w:lvl>
    <w:lvl w:ilvl="4">
      <w:start w:val="0"/>
      <w:numFmt w:val="bullet"/>
      <w:lvlText w:val="•"/>
      <w:lvlJc w:val="left"/>
      <w:pPr>
        <w:ind w:left="4602" w:hanging="363"/>
      </w:pPr>
      <w:rPr>
        <w:rFonts w:hint="default"/>
      </w:rPr>
    </w:lvl>
    <w:lvl w:ilvl="5">
      <w:start w:val="0"/>
      <w:numFmt w:val="bullet"/>
      <w:lvlText w:val="•"/>
      <w:lvlJc w:val="left"/>
      <w:pPr>
        <w:ind w:left="5543" w:hanging="363"/>
      </w:pPr>
      <w:rPr>
        <w:rFonts w:hint="default"/>
      </w:rPr>
    </w:lvl>
    <w:lvl w:ilvl="6">
      <w:start w:val="0"/>
      <w:numFmt w:val="bullet"/>
      <w:lvlText w:val="•"/>
      <w:lvlJc w:val="left"/>
      <w:pPr>
        <w:ind w:left="6483" w:hanging="363"/>
      </w:pPr>
      <w:rPr>
        <w:rFonts w:hint="default"/>
      </w:rPr>
    </w:lvl>
    <w:lvl w:ilvl="7">
      <w:start w:val="0"/>
      <w:numFmt w:val="bullet"/>
      <w:lvlText w:val="•"/>
      <w:lvlJc w:val="left"/>
      <w:pPr>
        <w:ind w:left="7424" w:hanging="363"/>
      </w:pPr>
      <w:rPr>
        <w:rFonts w:hint="default"/>
      </w:rPr>
    </w:lvl>
    <w:lvl w:ilvl="8">
      <w:start w:val="0"/>
      <w:numFmt w:val="bullet"/>
      <w:lvlText w:val="•"/>
      <w:lvlJc w:val="left"/>
      <w:pPr>
        <w:ind w:left="8365" w:hanging="363"/>
      </w:pPr>
      <w:rPr>
        <w:rFonts w:hint="default"/>
      </w:rPr>
    </w:lvl>
  </w:abstractNum>
  <w:abstractNum w:abstractNumId="0">
    <w:multiLevelType w:val="hybridMultilevel"/>
    <w:lvl w:ilvl="0">
      <w:start w:val="0"/>
      <w:numFmt w:val="bullet"/>
      <w:lvlText w:val=""/>
      <w:lvlJc w:val="left"/>
      <w:pPr>
        <w:ind w:left="1818" w:hanging="420"/>
      </w:pPr>
      <w:rPr>
        <w:rFonts w:hint="default" w:ascii="Wingdings" w:hAnsi="Wingdings" w:eastAsia="Wingdings" w:cs="Wingdings"/>
        <w:w w:val="100"/>
        <w:sz w:val="24"/>
        <w:szCs w:val="24"/>
      </w:rPr>
    </w:lvl>
    <w:lvl w:ilvl="1">
      <w:start w:val="0"/>
      <w:numFmt w:val="bullet"/>
      <w:lvlText w:val="•"/>
      <w:lvlJc w:val="left"/>
      <w:pPr>
        <w:ind w:left="2768" w:hanging="420"/>
      </w:pPr>
      <w:rPr>
        <w:rFonts w:hint="default"/>
      </w:rPr>
    </w:lvl>
    <w:lvl w:ilvl="2">
      <w:start w:val="0"/>
      <w:numFmt w:val="bullet"/>
      <w:lvlText w:val="•"/>
      <w:lvlJc w:val="left"/>
      <w:pPr>
        <w:ind w:left="3717" w:hanging="420"/>
      </w:pPr>
      <w:rPr>
        <w:rFonts w:hint="default"/>
      </w:rPr>
    </w:lvl>
    <w:lvl w:ilvl="3">
      <w:start w:val="0"/>
      <w:numFmt w:val="bullet"/>
      <w:lvlText w:val="•"/>
      <w:lvlJc w:val="left"/>
      <w:pPr>
        <w:ind w:left="466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63" w:hanging="420"/>
      </w:pPr>
      <w:rPr>
        <w:rFonts w:hint="default"/>
      </w:rPr>
    </w:lvl>
    <w:lvl w:ilvl="6">
      <w:start w:val="0"/>
      <w:numFmt w:val="bullet"/>
      <w:lvlText w:val="•"/>
      <w:lvlJc w:val="left"/>
      <w:pPr>
        <w:ind w:left="7511" w:hanging="420"/>
      </w:pPr>
      <w:rPr>
        <w:rFonts w:hint="default"/>
      </w:rPr>
    </w:lvl>
    <w:lvl w:ilvl="7">
      <w:start w:val="0"/>
      <w:numFmt w:val="bullet"/>
      <w:lvlText w:val="•"/>
      <w:lvlJc w:val="left"/>
      <w:pPr>
        <w:ind w:left="8460" w:hanging="420"/>
      </w:pPr>
      <w:rPr>
        <w:rFonts w:hint="default"/>
      </w:rPr>
    </w:lvl>
    <w:lvl w:ilvl="8">
      <w:start w:val="0"/>
      <w:numFmt w:val="bullet"/>
      <w:lvlText w:val="•"/>
      <w:lvlJc w:val="left"/>
      <w:pPr>
        <w:ind w:left="9409" w:hanging="420"/>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7"/>
      <w:ind w:left="3003" w:hanging="2886"/>
      <w:jc w:val="both"/>
    </w:pPr>
    <w:rPr>
      <w:rFonts w:ascii="宋体" w:hAnsi="宋体" w:eastAsia="宋体" w:cs="宋体"/>
    </w:rPr>
  </w:style>
  <w:style w:styleId="TableParagraph" w:type="paragraph">
    <w:name w:val="Table Paragraph"/>
    <w:basedOn w:val="Normal"/>
    <w:uiPriority w:val="1"/>
    <w:qFormat/>
    <w:pPr>
      <w:ind w:left="747"/>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2018-10-20T00:13:17Z</dcterms:created>
  <dcterms:modified xsi:type="dcterms:W3CDTF">2018-10-20T00:13:17Z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Word 2010</vt:lpwstr>
  </property>
  <property fmtid="{D5CDD505-2E9C-101B-9397-08002B2CF9AE}" pid="4" name="LastSaved">
    <vt:filetime>2018-10-19T00:00:00Z</vt:filetime>
  </property>
</Properties>
</file>