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8"/>
        <w:ind w:left="0"/>
        <w:rPr>
          <w:rFonts w:ascii="Times New Roman"/>
          <w:sz w:val="19"/>
        </w:rPr>
      </w:pPr>
    </w:p>
    <w:p>
      <w:pPr>
        <w:pStyle w:val="BodyText"/>
        <w:spacing w:before="81"/>
        <w:ind w:left="6016"/>
      </w:pPr>
      <w:r>
        <w:rPr/>
        <w:drawing>
          <wp:anchor distT="0" distB="0" distL="0" distR="0" allowOverlap="1" layoutInCell="1" locked="0" behindDoc="1" simplePos="0" relativeHeight="268417079">
            <wp:simplePos x="0" y="0"/>
            <wp:positionH relativeFrom="page">
              <wp:posOffset>5910579</wp:posOffset>
            </wp:positionH>
            <wp:positionV relativeFrom="paragraph">
              <wp:posOffset>288971</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r>
        <w:rPr>
          <w:spacing w:val="-2"/>
          <w:w w:val="100"/>
        </w:rPr>
        <w:t>中航三星人寿</w:t>
      </w:r>
      <w:r>
        <w:rPr>
          <w:spacing w:val="-2"/>
          <w:w w:val="55"/>
        </w:rPr>
        <w:t>[</w:t>
      </w:r>
      <w:r>
        <w:rPr>
          <w:spacing w:val="-1"/>
          <w:w w:val="111"/>
        </w:rPr>
        <w:t>2</w:t>
      </w:r>
      <w:r>
        <w:rPr>
          <w:spacing w:val="-3"/>
          <w:w w:val="111"/>
        </w:rPr>
        <w:t>0</w:t>
      </w:r>
      <w:r>
        <w:rPr>
          <w:spacing w:val="-1"/>
          <w:w w:val="93"/>
        </w:rPr>
        <w:t>10]</w:t>
      </w:r>
      <w:r>
        <w:rPr>
          <w:spacing w:val="-2"/>
          <w:w w:val="100"/>
        </w:rPr>
        <w:t>疾病保险</w:t>
      </w:r>
      <w:r>
        <w:rPr>
          <w:spacing w:val="-52"/>
        </w:rPr>
        <w:t> </w:t>
      </w:r>
      <w:r>
        <w:rPr>
          <w:spacing w:val="-3"/>
          <w:w w:val="111"/>
        </w:rPr>
        <w:t>0</w:t>
      </w:r>
      <w:r>
        <w:rPr>
          <w:spacing w:val="-1"/>
          <w:w w:val="111"/>
        </w:rPr>
        <w:t>1</w:t>
      </w:r>
      <w:r>
        <w:rPr>
          <w:w w:val="111"/>
        </w:rPr>
        <w:t>8</w:t>
      </w:r>
      <w:r>
        <w:rPr>
          <w:spacing w:val="-55"/>
        </w:rPr>
        <w:t> </w:t>
      </w:r>
      <w:r>
        <w:rPr>
          <w:w w:val="100"/>
        </w:rPr>
        <w:t>号</w:t>
      </w:r>
    </w:p>
    <w:p>
      <w:pPr>
        <w:pStyle w:val="BodyText"/>
        <w:spacing w:before="0"/>
        <w:ind w:left="0"/>
        <w:rPr>
          <w:sz w:val="20"/>
        </w:rPr>
      </w:pPr>
    </w:p>
    <w:p>
      <w:pPr>
        <w:pStyle w:val="BodyText"/>
        <w:spacing w:before="1" w:after="1"/>
        <w:ind w:left="0"/>
        <w:rPr>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1588" w:hRule="atLeast"/>
        </w:trPr>
        <w:tc>
          <w:tcPr>
            <w:tcW w:w="9320" w:type="dxa"/>
            <w:gridSpan w:val="2"/>
          </w:tcPr>
          <w:p>
            <w:pPr>
              <w:pStyle w:val="TableParagraph"/>
              <w:spacing w:line="319" w:lineRule="exact" w:before="0"/>
              <w:ind w:left="1776" w:right="1776"/>
              <w:jc w:val="center"/>
              <w:rPr>
                <w:b/>
                <w:sz w:val="32"/>
              </w:rPr>
            </w:pPr>
            <w:r>
              <w:rPr>
                <w:b/>
                <w:w w:val="95"/>
                <w:sz w:val="32"/>
              </w:rPr>
              <w:t>中航三星人寿保险有限公司</w:t>
            </w:r>
          </w:p>
          <w:p>
            <w:pPr>
              <w:pStyle w:val="TableParagraph"/>
              <w:spacing w:before="130"/>
              <w:ind w:left="1779" w:right="1776"/>
              <w:jc w:val="center"/>
              <w:rPr>
                <w:b/>
                <w:sz w:val="24"/>
              </w:rPr>
            </w:pPr>
            <w:r>
              <w:rPr>
                <w:b/>
                <w:w w:val="95"/>
                <w:sz w:val="24"/>
              </w:rPr>
              <w:t>中航三星附加保险费豁免定期重大疾病保险（2010）条款</w:t>
            </w:r>
          </w:p>
          <w:p>
            <w:pPr>
              <w:pStyle w:val="TableParagraph"/>
              <w:tabs>
                <w:tab w:pos="7110" w:val="left" w:leader="none"/>
              </w:tabs>
              <w:spacing w:before="167"/>
              <w:ind w:left="3553"/>
              <w:rPr>
                <w:sz w:val="21"/>
              </w:rPr>
            </w:pPr>
            <w:r>
              <w:rPr>
                <w:b/>
                <w:sz w:val="24"/>
              </w:rPr>
              <w:t>（2010</w:t>
            </w:r>
            <w:r>
              <w:rPr>
                <w:b/>
                <w:spacing w:val="-60"/>
                <w:sz w:val="24"/>
              </w:rPr>
              <w:t> </w:t>
            </w:r>
            <w:r>
              <w:rPr>
                <w:b/>
                <w:sz w:val="24"/>
              </w:rPr>
              <w:t>年</w:t>
            </w:r>
            <w:r>
              <w:rPr>
                <w:b/>
                <w:spacing w:val="-62"/>
                <w:sz w:val="24"/>
              </w:rPr>
              <w:t> </w:t>
            </w:r>
            <w:r>
              <w:rPr>
                <w:b/>
                <w:sz w:val="24"/>
              </w:rPr>
              <w:t>9</w:t>
            </w:r>
            <w:r>
              <w:rPr>
                <w:b/>
                <w:spacing w:val="-62"/>
                <w:sz w:val="24"/>
              </w:rPr>
              <w:t> </w:t>
            </w:r>
            <w:r>
              <w:rPr>
                <w:b/>
                <w:sz w:val="24"/>
              </w:rPr>
              <w:t>月）</w:t>
              <w:tab/>
            </w:r>
            <w:r>
              <w:rPr>
                <w:sz w:val="21"/>
              </w:rPr>
              <w:t>请扫</w:t>
            </w:r>
            <w:r>
              <w:rPr>
                <w:spacing w:val="-3"/>
                <w:sz w:val="21"/>
              </w:rPr>
              <w:t>描</w:t>
            </w:r>
            <w:r>
              <w:rPr>
                <w:sz w:val="21"/>
              </w:rPr>
              <w:t>以</w:t>
            </w:r>
            <w:r>
              <w:rPr>
                <w:spacing w:val="-3"/>
                <w:sz w:val="21"/>
              </w:rPr>
              <w:t>查</w:t>
            </w:r>
            <w:r>
              <w:rPr>
                <w:sz w:val="21"/>
              </w:rPr>
              <w:t>询验</w:t>
            </w:r>
            <w:r>
              <w:rPr>
                <w:spacing w:val="-3"/>
                <w:sz w:val="21"/>
              </w:rPr>
              <w:t>证</w:t>
            </w:r>
            <w:r>
              <w:rPr>
                <w:sz w:val="21"/>
              </w:rPr>
              <w:t>条款</w:t>
            </w:r>
          </w:p>
        </w:tc>
      </w:tr>
      <w:tr>
        <w:trPr>
          <w:trHeight w:val="984" w:hRule="atLeast"/>
        </w:trPr>
        <w:tc>
          <w:tcPr>
            <w:tcW w:w="9320" w:type="dxa"/>
            <w:gridSpan w:val="2"/>
          </w:tcPr>
          <w:p>
            <w:pPr>
              <w:pStyle w:val="TableParagraph"/>
              <w:spacing w:before="6"/>
              <w:ind w:left="0"/>
              <w:rPr>
                <w:sz w:val="19"/>
              </w:rPr>
            </w:pPr>
          </w:p>
          <w:p>
            <w:pPr>
              <w:pStyle w:val="TableParagraph"/>
              <w:spacing w:before="0"/>
              <w:ind w:left="1075"/>
              <w:rPr>
                <w:b/>
                <w:sz w:val="21"/>
              </w:rPr>
            </w:pPr>
            <w:r>
              <w:rPr>
                <w:b/>
                <w:sz w:val="21"/>
              </w:rPr>
              <w:t>在阅读条款正文之前，浏览一下条款目录有助于对条款结构有一个大致了解。</w:t>
            </w:r>
          </w:p>
        </w:tc>
      </w:tr>
      <w:tr>
        <w:trPr>
          <w:trHeight w:val="435" w:hRule="atLeast"/>
        </w:trPr>
        <w:tc>
          <w:tcPr>
            <w:tcW w:w="9320" w:type="dxa"/>
            <w:gridSpan w:val="2"/>
            <w:shd w:val="clear" w:color="auto" w:fill="CCCCCC"/>
          </w:tcPr>
          <w:p>
            <w:pPr>
              <w:pStyle w:val="TableParagraph"/>
              <w:spacing w:before="48"/>
              <w:ind w:left="1779" w:right="1776"/>
              <w:jc w:val="center"/>
              <w:rPr>
                <w:b/>
                <w:sz w:val="21"/>
              </w:rPr>
            </w:pPr>
            <w:r>
              <w:rPr>
                <w:b/>
                <w:sz w:val="21"/>
              </w:rPr>
              <w:t>条款目录</w:t>
            </w:r>
          </w:p>
        </w:tc>
      </w:tr>
      <w:tr>
        <w:trPr>
          <w:trHeight w:val="6610" w:hRule="atLeast"/>
        </w:trPr>
        <w:tc>
          <w:tcPr>
            <w:tcW w:w="4659" w:type="dxa"/>
            <w:tcBorders>
              <w:right w:val="single" w:sz="4" w:space="0" w:color="000000"/>
            </w:tcBorders>
          </w:tcPr>
          <w:p>
            <w:pPr>
              <w:pStyle w:val="TableParagraph"/>
              <w:spacing w:line="300" w:lineRule="auto" w:before="45"/>
              <w:ind w:left="528" w:right="1380" w:hanging="420"/>
              <w:jc w:val="both"/>
              <w:rPr>
                <w:sz w:val="21"/>
              </w:rPr>
            </w:pPr>
            <w:r>
              <w:rPr>
                <w:b/>
                <w:sz w:val="21"/>
              </w:rPr>
              <w:t>第一章       附加保险合同订立</w:t>
            </w:r>
            <w:r>
              <w:rPr>
                <w:sz w:val="21"/>
              </w:rPr>
              <w:t>第一条   附加保险合同订立第二条    投保对象</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第三条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r>
            <w:r>
              <w:rPr>
                <w:b/>
                <w:spacing w:val="-1"/>
                <w:sz w:val="21"/>
              </w:rPr>
              <w:t>保</w:t>
            </w:r>
            <w:r>
              <w:rPr>
                <w:b/>
                <w:spacing w:val="-3"/>
                <w:sz w:val="21"/>
              </w:rPr>
              <w:t>险</w:t>
            </w:r>
            <w:r>
              <w:rPr>
                <w:b/>
                <w:sz w:val="21"/>
              </w:rPr>
              <w:t>金</w:t>
            </w:r>
            <w:r>
              <w:rPr>
                <w:b/>
                <w:spacing w:val="-3"/>
                <w:sz w:val="21"/>
              </w:rPr>
              <w:t>额</w:t>
            </w:r>
            <w:r>
              <w:rPr>
                <w:b/>
                <w:sz w:val="21"/>
              </w:rPr>
              <w:t>及保险费 </w:t>
            </w:r>
            <w:r>
              <w:rPr>
                <w:sz w:val="21"/>
              </w:rPr>
              <w:t>第五条</w:t>
              <w:tab/>
              <w:t>保</w:t>
            </w:r>
            <w:r>
              <w:rPr>
                <w:spacing w:val="-3"/>
                <w:sz w:val="21"/>
              </w:rPr>
              <w:t>险</w:t>
            </w:r>
            <w:r>
              <w:rPr>
                <w:sz w:val="21"/>
              </w:rPr>
              <w:t>金额</w:t>
            </w:r>
          </w:p>
          <w:p>
            <w:pPr>
              <w:pStyle w:val="TableParagraph"/>
              <w:tabs>
                <w:tab w:pos="1579" w:val="left" w:leader="none"/>
              </w:tabs>
              <w:spacing w:before="15"/>
              <w:ind w:left="528"/>
              <w:rPr>
                <w:sz w:val="21"/>
              </w:rPr>
            </w:pPr>
            <w:r>
              <w:rPr>
                <w:sz w:val="21"/>
              </w:rPr>
              <w:t>第六条</w:t>
              <w:tab/>
              <w:t>保</w:t>
            </w:r>
            <w:r>
              <w:rPr>
                <w:spacing w:val="-3"/>
                <w:sz w:val="21"/>
              </w:rPr>
              <w:t>险</w:t>
            </w:r>
            <w:r>
              <w:rPr>
                <w:sz w:val="21"/>
              </w:rPr>
              <w:t>费</w:t>
            </w:r>
          </w:p>
          <w:p>
            <w:pPr>
              <w:pStyle w:val="TableParagraph"/>
              <w:tabs>
                <w:tab w:pos="1579" w:val="left" w:leader="none"/>
              </w:tabs>
              <w:spacing w:before="67"/>
              <w:ind w:left="528"/>
              <w:rPr>
                <w:sz w:val="21"/>
              </w:rPr>
            </w:pPr>
            <w:r>
              <w:rPr>
                <w:sz w:val="21"/>
              </w:rPr>
              <w:t>第七条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6"/>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before="68"/>
              <w:ind w:left="108" w:right="1591"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r>
            <w:r>
              <w:rPr>
                <w:b/>
                <w:spacing w:val="-1"/>
                <w:sz w:val="21"/>
              </w:rPr>
              <w:t>豁</w:t>
            </w:r>
            <w:r>
              <w:rPr>
                <w:b/>
                <w:spacing w:val="-3"/>
                <w:sz w:val="21"/>
              </w:rPr>
              <w:t>免</w:t>
            </w:r>
            <w:r>
              <w:rPr>
                <w:b/>
                <w:sz w:val="21"/>
              </w:rPr>
              <w:t>保</w:t>
            </w:r>
            <w:r>
              <w:rPr>
                <w:b/>
                <w:spacing w:val="-3"/>
                <w:sz w:val="21"/>
              </w:rPr>
              <w:t>险</w:t>
            </w:r>
            <w:r>
              <w:rPr>
                <w:b/>
                <w:sz w:val="21"/>
              </w:rPr>
              <w:t>费申请</w:t>
            </w:r>
          </w:p>
          <w:p>
            <w:pPr>
              <w:pStyle w:val="TableParagraph"/>
              <w:tabs>
                <w:tab w:pos="1579" w:val="left" w:leader="none"/>
              </w:tabs>
              <w:spacing w:line="300" w:lineRule="auto" w:before="15"/>
              <w:ind w:left="528" w:right="1603"/>
              <w:rPr>
                <w:sz w:val="21"/>
              </w:rPr>
            </w:pPr>
            <w:r>
              <w:rPr>
                <w:sz w:val="21"/>
              </w:rPr>
              <w:t>第十</w:t>
            </w:r>
            <w:r>
              <w:rPr>
                <w:spacing w:val="-3"/>
                <w:sz w:val="21"/>
              </w:rPr>
              <w:t>一</w:t>
            </w:r>
            <w:r>
              <w:rPr>
                <w:sz w:val="21"/>
              </w:rPr>
              <w:t>条</w:t>
              <w:tab/>
            </w:r>
            <w:r>
              <w:rPr>
                <w:spacing w:val="-1"/>
                <w:sz w:val="21"/>
              </w:rPr>
              <w:t>豁</w:t>
            </w:r>
            <w:r>
              <w:rPr>
                <w:spacing w:val="-3"/>
                <w:sz w:val="21"/>
              </w:rPr>
              <w:t>免</w:t>
            </w:r>
            <w:r>
              <w:rPr>
                <w:sz w:val="21"/>
              </w:rPr>
              <w:t>保</w:t>
            </w:r>
            <w:r>
              <w:rPr>
                <w:spacing w:val="-3"/>
                <w:sz w:val="21"/>
              </w:rPr>
              <w:t>险</w:t>
            </w:r>
            <w:r>
              <w:rPr>
                <w:sz w:val="21"/>
              </w:rPr>
              <w:t>费</w:t>
            </w:r>
            <w:r>
              <w:rPr>
                <w:spacing w:val="-3"/>
                <w:sz w:val="21"/>
              </w:rPr>
              <w:t>申请 </w:t>
            </w:r>
            <w:r>
              <w:rPr>
                <w:sz w:val="21"/>
              </w:rPr>
              <w:t>第十</w:t>
            </w:r>
            <w:r>
              <w:rPr>
                <w:spacing w:val="-3"/>
                <w:sz w:val="21"/>
              </w:rPr>
              <w:t>二</w:t>
            </w:r>
            <w:r>
              <w:rPr>
                <w:sz w:val="21"/>
              </w:rPr>
              <w:t>条</w:t>
              <w:tab/>
              <w:t>诉</w:t>
            </w:r>
            <w:r>
              <w:rPr>
                <w:spacing w:val="-3"/>
                <w:sz w:val="21"/>
              </w:rPr>
              <w:t>讼</w:t>
            </w:r>
            <w:r>
              <w:rPr>
                <w:sz w:val="21"/>
              </w:rPr>
              <w:t>时效</w:t>
            </w:r>
          </w:p>
          <w:p>
            <w:pPr>
              <w:pStyle w:val="TableParagraph"/>
              <w:tabs>
                <w:tab w:pos="1579" w:val="left" w:leader="none"/>
              </w:tabs>
              <w:spacing w:before="15"/>
              <w:ind w:left="528"/>
              <w:rPr>
                <w:sz w:val="21"/>
              </w:rPr>
            </w:pPr>
            <w:r>
              <w:rPr>
                <w:sz w:val="21"/>
              </w:rPr>
              <w:t>第十</w:t>
            </w:r>
            <w:r>
              <w:rPr>
                <w:spacing w:val="-3"/>
                <w:sz w:val="21"/>
              </w:rPr>
              <w:t>三</w:t>
            </w:r>
            <w:r>
              <w:rPr>
                <w:sz w:val="21"/>
              </w:rPr>
              <w:t>条</w:t>
              <w:tab/>
              <w:t>欠</w:t>
            </w:r>
            <w:r>
              <w:rPr>
                <w:spacing w:val="-3"/>
                <w:sz w:val="21"/>
              </w:rPr>
              <w:t>款</w:t>
            </w:r>
            <w:r>
              <w:rPr>
                <w:sz w:val="21"/>
              </w:rPr>
              <w:t>扣除</w:t>
            </w:r>
          </w:p>
        </w:tc>
        <w:tc>
          <w:tcPr>
            <w:tcW w:w="4661" w:type="dxa"/>
            <w:tcBorders>
              <w:left w:val="single" w:sz="4" w:space="0" w:color="000000"/>
            </w:tcBorders>
          </w:tcPr>
          <w:p>
            <w:pPr>
              <w:pStyle w:val="TableParagraph"/>
              <w:tabs>
                <w:tab w:pos="1574" w:val="left" w:leader="none"/>
              </w:tabs>
              <w:spacing w:line="300" w:lineRule="auto" w:before="45"/>
              <w:ind w:left="523" w:right="2447" w:hanging="420"/>
              <w:rPr>
                <w:sz w:val="21"/>
              </w:rPr>
            </w:pPr>
            <w:r>
              <w:rPr>
                <w:b/>
                <w:sz w:val="21"/>
              </w:rPr>
              <w:t>第六章</w:t>
              <w:tab/>
              <w:t>释义</w:t>
            </w:r>
            <w:r>
              <w:rPr>
                <w:sz w:val="21"/>
              </w:rPr>
              <w:t>第十</w:t>
            </w:r>
            <w:r>
              <w:rPr>
                <w:spacing w:val="-3"/>
                <w:sz w:val="21"/>
              </w:rPr>
              <w:t>四</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7"/>
              <w:ind w:left="523"/>
              <w:rPr>
                <w:sz w:val="21"/>
              </w:rPr>
            </w:pPr>
            <w:r>
              <w:rPr>
                <w:sz w:val="21"/>
              </w:rPr>
              <w:t>三</w:t>
              <w:tab/>
              <w:t>重</w:t>
            </w:r>
            <w:r>
              <w:rPr>
                <w:spacing w:val="-3"/>
                <w:sz w:val="21"/>
              </w:rPr>
              <w:t>大</w:t>
            </w:r>
            <w:r>
              <w:rPr>
                <w:sz w:val="21"/>
              </w:rPr>
              <w:t>疾病</w:t>
            </w:r>
          </w:p>
          <w:p>
            <w:pPr>
              <w:pStyle w:val="TableParagraph"/>
              <w:tabs>
                <w:tab w:pos="1574" w:val="left" w:leader="none"/>
              </w:tabs>
              <w:spacing w:before="67"/>
              <w:ind w:left="523"/>
              <w:rPr>
                <w:sz w:val="21"/>
              </w:rPr>
            </w:pPr>
            <w:r>
              <w:rPr>
                <w:sz w:val="21"/>
              </w:rPr>
              <w:t>四</w:t>
              <w:tab/>
              <w:t>意</w:t>
            </w:r>
            <w:r>
              <w:rPr>
                <w:spacing w:val="-3"/>
                <w:sz w:val="21"/>
              </w:rPr>
              <w:t>外</w:t>
            </w:r>
            <w:r>
              <w:rPr>
                <w:sz w:val="21"/>
              </w:rPr>
              <w:t>伤害</w:t>
            </w:r>
          </w:p>
          <w:p>
            <w:pPr>
              <w:pStyle w:val="TableParagraph"/>
              <w:tabs>
                <w:tab w:pos="1574" w:val="left" w:leader="none"/>
              </w:tabs>
              <w:spacing w:before="67"/>
              <w:ind w:left="523"/>
              <w:rPr>
                <w:sz w:val="21"/>
              </w:rPr>
            </w:pPr>
            <w:r>
              <w:rPr>
                <w:sz w:val="21"/>
              </w:rPr>
              <w:t>五</w:t>
              <w:tab/>
              <w:t>毒品</w:t>
            </w:r>
          </w:p>
          <w:p>
            <w:pPr>
              <w:pStyle w:val="TableParagraph"/>
              <w:tabs>
                <w:tab w:pos="1574" w:val="left" w:leader="none"/>
              </w:tabs>
              <w:spacing w:before="67"/>
              <w:ind w:left="523"/>
              <w:rPr>
                <w:sz w:val="21"/>
              </w:rPr>
            </w:pPr>
            <w:r>
              <w:rPr>
                <w:sz w:val="21"/>
              </w:rPr>
              <w:t>六</w:t>
              <w:tab/>
              <w:t>酒</w:t>
            </w:r>
            <w:r>
              <w:rPr>
                <w:spacing w:val="-3"/>
                <w:sz w:val="21"/>
              </w:rPr>
              <w:t>后</w:t>
            </w:r>
            <w:r>
              <w:rPr>
                <w:sz w:val="21"/>
              </w:rPr>
              <w:t>驾驶</w:t>
            </w:r>
          </w:p>
          <w:p>
            <w:pPr>
              <w:pStyle w:val="TableParagraph"/>
              <w:tabs>
                <w:tab w:pos="1574" w:val="left" w:leader="none"/>
              </w:tabs>
              <w:spacing w:before="67"/>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驶证驾</w:t>
            </w:r>
          </w:p>
          <w:p>
            <w:pPr>
              <w:pStyle w:val="TableParagraph"/>
              <w:tabs>
                <w:tab w:pos="1574" w:val="left" w:leader="none"/>
              </w:tabs>
              <w:spacing w:before="67"/>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现</w:t>
            </w:r>
            <w:r>
              <w:rPr>
                <w:spacing w:val="-3"/>
                <w:sz w:val="21"/>
              </w:rPr>
              <w:t>金</w:t>
            </w:r>
            <w:r>
              <w:rPr>
                <w:sz w:val="21"/>
              </w:rPr>
              <w:t>价值</w:t>
            </w:r>
          </w:p>
          <w:p>
            <w:pPr>
              <w:pStyle w:val="TableParagraph"/>
              <w:tabs>
                <w:tab w:pos="1574" w:val="left" w:leader="none"/>
              </w:tabs>
              <w:spacing w:before="68"/>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5" w:right="103" w:hanging="1052"/>
              <w:rPr>
                <w:sz w:val="21"/>
              </w:rPr>
            </w:pPr>
            <w:r>
              <w:rPr>
                <w:sz w:val="21"/>
              </w:rPr>
              <w:t>十三</w:t>
              <w:tab/>
              <w:tab/>
              <w:t>语言能力或咀嚼吞咽能力完全丧 失</w:t>
            </w:r>
          </w:p>
          <w:p>
            <w:pPr>
              <w:pStyle w:val="TableParagraph"/>
              <w:tabs>
                <w:tab w:pos="1574" w:val="left" w:leader="none"/>
              </w:tabs>
              <w:spacing w:line="300" w:lineRule="auto" w:before="16"/>
              <w:ind w:left="523" w:right="976"/>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6"/>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470"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949" w:hRule="atLeast"/>
        </w:trPr>
        <w:tc>
          <w:tcPr>
            <w:tcW w:w="9373" w:type="dxa"/>
            <w:gridSpan w:val="3"/>
          </w:tcPr>
          <w:p>
            <w:pPr>
              <w:pStyle w:val="TableParagraph"/>
              <w:spacing w:before="125"/>
              <w:ind w:left="1574"/>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8"/>
              <w:rPr>
                <w:b/>
                <w:sz w:val="21"/>
              </w:rPr>
            </w:pPr>
            <w:r>
              <w:rPr>
                <w:b/>
                <w:sz w:val="21"/>
              </w:rPr>
              <w:t>附加保险合同订立</w:t>
            </w:r>
          </w:p>
        </w:tc>
      </w:tr>
      <w:tr>
        <w:trPr>
          <w:trHeight w:val="1887"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2" w:type="dxa"/>
          </w:tcPr>
          <w:p>
            <w:pPr>
              <w:pStyle w:val="TableParagraph"/>
              <w:spacing w:line="300" w:lineRule="auto" w:before="2"/>
              <w:ind w:right="102"/>
              <w:jc w:val="both"/>
              <w:rPr>
                <w:sz w:val="21"/>
              </w:rPr>
            </w:pPr>
            <w:r>
              <w:rPr>
                <w:sz w:val="21"/>
              </w:rPr>
              <w:t>《中航三星附加保险费豁免定期重大疾病保险（2010）》合同（以下简称“本附加合同”），依主保险合同（以下简称“主合同”）投保人的申请，经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858" w:hRule="atLeast"/>
        </w:trPr>
        <w:tc>
          <w:tcPr>
            <w:tcW w:w="1071" w:type="dxa"/>
          </w:tcPr>
          <w:p>
            <w:pPr>
              <w:pStyle w:val="TableParagraph"/>
              <w:ind w:left="108"/>
              <w:rPr>
                <w:sz w:val="21"/>
              </w:rPr>
            </w:pPr>
            <w:r>
              <w:rPr>
                <w:sz w:val="21"/>
              </w:rPr>
              <w:t>第二条</w:t>
            </w:r>
          </w:p>
        </w:tc>
        <w:tc>
          <w:tcPr>
            <w:tcW w:w="1740" w:type="dxa"/>
          </w:tcPr>
          <w:p>
            <w:pPr>
              <w:pStyle w:val="TableParagraph"/>
              <w:ind w:left="328"/>
              <w:rPr>
                <w:sz w:val="21"/>
              </w:rPr>
            </w:pPr>
            <w:r>
              <w:rPr>
                <w:sz w:val="21"/>
              </w:rPr>
              <w:t>投保对象</w:t>
            </w:r>
          </w:p>
        </w:tc>
        <w:tc>
          <w:tcPr>
            <w:tcW w:w="6562" w:type="dxa"/>
          </w:tcPr>
          <w:p>
            <w:pPr>
              <w:pStyle w:val="TableParagraph"/>
              <w:rPr>
                <w:sz w:val="21"/>
              </w:rPr>
            </w:pPr>
            <w:r>
              <w:rPr>
                <w:sz w:val="21"/>
              </w:rPr>
              <w:t>主合同的被保险人可作为本附加合同的被保险人投保本附加合同。</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8"/>
              <w:rPr>
                <w:b/>
                <w:sz w:val="21"/>
              </w:rPr>
            </w:pPr>
            <w:r>
              <w:rPr>
                <w:b/>
                <w:sz w:val="21"/>
              </w:rPr>
              <w:t>保险责任及责任免除</w:t>
            </w:r>
          </w:p>
        </w:tc>
      </w:tr>
      <w:tr>
        <w:trPr>
          <w:trHeight w:val="4633" w:hRule="atLeast"/>
        </w:trPr>
        <w:tc>
          <w:tcPr>
            <w:tcW w:w="1071" w:type="dxa"/>
          </w:tcPr>
          <w:p>
            <w:pPr>
              <w:pStyle w:val="TableParagraph"/>
              <w:spacing w:before="2"/>
              <w:ind w:left="108"/>
              <w:rPr>
                <w:sz w:val="21"/>
              </w:rPr>
            </w:pPr>
            <w:r>
              <w:rPr>
                <w:sz w:val="21"/>
              </w:rPr>
              <w:t>第三条</w:t>
            </w:r>
          </w:p>
        </w:tc>
        <w:tc>
          <w:tcPr>
            <w:tcW w:w="1740" w:type="dxa"/>
          </w:tcPr>
          <w:p>
            <w:pPr>
              <w:pStyle w:val="TableParagraph"/>
              <w:spacing w:before="2"/>
              <w:ind w:left="328"/>
              <w:rPr>
                <w:sz w:val="21"/>
              </w:rPr>
            </w:pPr>
            <w:r>
              <w:rPr>
                <w:sz w:val="21"/>
              </w:rPr>
              <w:t>保险责任</w:t>
            </w:r>
          </w:p>
        </w:tc>
        <w:tc>
          <w:tcPr>
            <w:tcW w:w="6562" w:type="dxa"/>
          </w:tcPr>
          <w:p>
            <w:pPr>
              <w:pStyle w:val="TableParagraph"/>
              <w:spacing w:line="300" w:lineRule="auto" w:before="2"/>
              <w:ind w:right="106"/>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right="102"/>
              <w:jc w:val="both"/>
              <w:rPr>
                <w:sz w:val="21"/>
              </w:rPr>
            </w:pPr>
            <w:r>
              <w:rPr>
                <w:sz w:val="21"/>
              </w:rPr>
              <w:t>（</w:t>
            </w:r>
            <w:r>
              <w:rPr>
                <w:spacing w:val="-3"/>
                <w:sz w:val="21"/>
              </w:rPr>
              <w:t>见释义二</w:t>
            </w:r>
            <w:r>
              <w:rPr>
                <w:sz w:val="21"/>
              </w:rPr>
              <w:t>）</w:t>
            </w:r>
            <w:r>
              <w:rPr>
                <w:spacing w:val="-3"/>
                <w:sz w:val="21"/>
              </w:rPr>
              <w:t>确诊患本附加合同所定义的</w:t>
            </w:r>
            <w:r>
              <w:rPr>
                <w:b/>
                <w:spacing w:val="-1"/>
                <w:sz w:val="21"/>
              </w:rPr>
              <w:t>重大疾病</w:t>
            </w:r>
            <w:r>
              <w:rPr>
                <w:sz w:val="21"/>
              </w:rPr>
              <w:t>（</w:t>
            </w:r>
            <w:r>
              <w:rPr>
                <w:spacing w:val="-3"/>
                <w:sz w:val="21"/>
              </w:rPr>
              <w:t>见释义三</w:t>
            </w:r>
            <w:r>
              <w:rPr>
                <w:sz w:val="21"/>
              </w:rPr>
              <w:t>）（无</w:t>
            </w:r>
            <w:r>
              <w:rPr>
                <w:spacing w:val="-2"/>
                <w:sz w:val="21"/>
              </w:rPr>
              <w:t>论一种或多种</w:t>
            </w:r>
            <w:r>
              <w:rPr>
                <w:sz w:val="21"/>
              </w:rPr>
              <w:t>）</w:t>
            </w:r>
            <w:r>
              <w:rPr>
                <w:spacing w:val="-3"/>
                <w:sz w:val="21"/>
              </w:rPr>
              <w:t>，自重大疾病确诊后的首个保险费应付日起，本公司豁免主合同及其所附保险期间超过一年的有效附加合同的以后各期保</w:t>
            </w:r>
            <w:r>
              <w:rPr>
                <w:spacing w:val="-14"/>
                <w:sz w:val="21"/>
              </w:rPr>
              <w:t>险费，本附加合同终止。但因本附加合同有效期内发生的</w:t>
            </w:r>
            <w:r>
              <w:rPr>
                <w:b/>
                <w:spacing w:val="-18"/>
                <w:sz w:val="21"/>
              </w:rPr>
              <w:t>意外伤害</w:t>
            </w:r>
            <w:r>
              <w:rPr>
                <w:spacing w:val="-3"/>
                <w:sz w:val="21"/>
              </w:rPr>
              <w:t>（见</w:t>
            </w:r>
            <w:r>
              <w:rPr>
                <w:spacing w:val="-1"/>
                <w:sz w:val="21"/>
              </w:rPr>
              <w:t>释义四</w:t>
            </w:r>
            <w:r>
              <w:rPr>
                <w:sz w:val="21"/>
              </w:rPr>
              <w:t>）</w:t>
            </w:r>
            <w:r>
              <w:rPr>
                <w:spacing w:val="-7"/>
                <w:sz w:val="21"/>
              </w:rPr>
              <w:t>导致重大疾病不受上述 </w:t>
            </w:r>
            <w:r>
              <w:rPr>
                <w:sz w:val="21"/>
              </w:rPr>
              <w:t>90</w:t>
            </w:r>
            <w:r>
              <w:rPr>
                <w:spacing w:val="-10"/>
                <w:sz w:val="21"/>
              </w:rPr>
              <w:t> 日的限制。</w:t>
            </w:r>
          </w:p>
          <w:p>
            <w:pPr>
              <w:pStyle w:val="TableParagraph"/>
              <w:spacing w:line="300" w:lineRule="auto" w:before="16"/>
              <w:ind w:right="100"/>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本附加合同所交保险费，本附加合同终止。</w:t>
            </w:r>
          </w:p>
          <w:p>
            <w:pPr>
              <w:pStyle w:val="TableParagraph"/>
              <w:spacing w:line="300" w:lineRule="auto" w:before="16"/>
              <w:ind w:right="105"/>
              <w:jc w:val="both"/>
              <w:rPr>
                <w:sz w:val="21"/>
              </w:rPr>
            </w:pPr>
            <w:r>
              <w:rPr>
                <w:sz w:val="21"/>
              </w:rPr>
              <w:t>保险费豁免后，主合同及其所附保险期间超过一年的有效附加合同不得变更交费方式、交费期间或基本保险金额，不得申请险种转换和保单借款。</w:t>
            </w:r>
          </w:p>
        </w:tc>
      </w:tr>
      <w:tr>
        <w:trPr>
          <w:trHeight w:val="2851" w:hRule="atLeast"/>
        </w:trPr>
        <w:tc>
          <w:tcPr>
            <w:tcW w:w="1071" w:type="dxa"/>
          </w:tcPr>
          <w:p>
            <w:pPr>
              <w:pStyle w:val="TableParagraph"/>
              <w:ind w:left="108"/>
              <w:rPr>
                <w:sz w:val="21"/>
              </w:rPr>
            </w:pPr>
            <w:r>
              <w:rPr>
                <w:sz w:val="21"/>
              </w:rPr>
              <w:t>第四条</w:t>
            </w:r>
          </w:p>
        </w:tc>
        <w:tc>
          <w:tcPr>
            <w:tcW w:w="1740" w:type="dxa"/>
          </w:tcPr>
          <w:p>
            <w:pPr>
              <w:pStyle w:val="TableParagraph"/>
              <w:ind w:left="328"/>
              <w:rPr>
                <w:sz w:val="21"/>
              </w:rPr>
            </w:pPr>
            <w:r>
              <w:rPr>
                <w:sz w:val="21"/>
              </w:rPr>
              <w:t>责任免除</w:t>
            </w:r>
          </w:p>
        </w:tc>
        <w:tc>
          <w:tcPr>
            <w:tcW w:w="6562" w:type="dxa"/>
          </w:tcPr>
          <w:p>
            <w:pPr>
              <w:pStyle w:val="TableParagraph"/>
              <w:spacing w:line="300" w:lineRule="auto"/>
              <w:ind w:right="105"/>
              <w:rPr>
                <w:sz w:val="21"/>
              </w:rPr>
            </w:pPr>
            <w:r>
              <w:rPr>
                <w:sz w:val="21"/>
              </w:rPr>
              <w:t>因下列情形之一或在效力中止期间被保险人患重大疾病、达到疾病状态或进行手术的，本公司不承担保险责任：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9"/>
              <w:ind w:left="607" w:right="275" w:hanging="459"/>
              <w:rPr>
                <w:sz w:val="21"/>
              </w:rPr>
            </w:pPr>
            <w:r>
              <w:rPr>
                <w:sz w:val="21"/>
              </w:rPr>
              <w:t>二、被保险人故意自伤、故意犯罪或者抗拒依法采取的刑事强制措施；</w:t>
            </w:r>
          </w:p>
          <w:p>
            <w:pPr>
              <w:pStyle w:val="TableParagraph"/>
              <w:spacing w:before="16"/>
              <w:rPr>
                <w:sz w:val="21"/>
              </w:rPr>
            </w:pPr>
            <w:r>
              <w:rPr>
                <w:sz w:val="21"/>
              </w:rPr>
              <w:t>三、被保险人主动吸食或注射</w:t>
            </w:r>
            <w:r>
              <w:rPr>
                <w:b/>
                <w:sz w:val="21"/>
              </w:rPr>
              <w:t>毒品</w:t>
            </w:r>
            <w:r>
              <w:rPr>
                <w:sz w:val="21"/>
              </w:rPr>
              <w:t>（见释义五）；</w:t>
            </w:r>
          </w:p>
          <w:p>
            <w:pPr>
              <w:pStyle w:val="TableParagraph"/>
              <w:spacing w:line="340" w:lineRule="atLeast" w:before="3"/>
              <w:ind w:left="607" w:right="60"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2679"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五、战争、军事冲突、暴乱或武装叛乱；核爆炸、核辐射或核污染；</w:t>
            </w:r>
          </w:p>
          <w:p>
            <w:pPr>
              <w:pStyle w:val="TableParagraph"/>
              <w:spacing w:before="68"/>
              <w:rPr>
                <w:sz w:val="21"/>
              </w:rPr>
            </w:pPr>
            <w:r>
              <w:rPr>
                <w:sz w:val="21"/>
              </w:rPr>
              <w:t>六、</w:t>
            </w:r>
            <w:r>
              <w:rPr>
                <w:b/>
                <w:sz w:val="21"/>
              </w:rPr>
              <w:t>先天性畸形、变形或染色体异常</w:t>
            </w:r>
            <w:r>
              <w:rPr>
                <w:sz w:val="21"/>
              </w:rPr>
              <w:t>(见释义九)。</w:t>
            </w:r>
          </w:p>
          <w:p>
            <w:pPr>
              <w:pStyle w:val="TableParagraph"/>
              <w:spacing w:line="300" w:lineRule="auto" w:before="68"/>
              <w:ind w:right="106"/>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6"/>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8"/>
              <w:rPr>
                <w:b/>
                <w:sz w:val="21"/>
              </w:rPr>
            </w:pPr>
            <w:r>
              <w:rPr>
                <w:b/>
                <w:sz w:val="21"/>
              </w:rPr>
              <w:t>保险金额及保险费</w:t>
            </w:r>
          </w:p>
        </w:tc>
      </w:tr>
      <w:tr>
        <w:trPr>
          <w:trHeight w:val="858" w:hRule="atLeast"/>
        </w:trPr>
        <w:tc>
          <w:tcPr>
            <w:tcW w:w="1071" w:type="dxa"/>
          </w:tcPr>
          <w:p>
            <w:pPr>
              <w:pStyle w:val="TableParagraph"/>
              <w:spacing w:before="2"/>
              <w:ind w:left="108"/>
              <w:rPr>
                <w:sz w:val="21"/>
              </w:rPr>
            </w:pPr>
            <w:r>
              <w:rPr>
                <w:sz w:val="21"/>
              </w:rPr>
              <w:t>第五条</w:t>
            </w:r>
          </w:p>
        </w:tc>
        <w:tc>
          <w:tcPr>
            <w:tcW w:w="1740" w:type="dxa"/>
          </w:tcPr>
          <w:p>
            <w:pPr>
              <w:pStyle w:val="TableParagraph"/>
              <w:spacing w:before="2"/>
              <w:ind w:left="328"/>
              <w:rPr>
                <w:sz w:val="21"/>
              </w:rPr>
            </w:pPr>
            <w:r>
              <w:rPr>
                <w:sz w:val="21"/>
              </w:rPr>
              <w:t>保险金额</w:t>
            </w:r>
          </w:p>
        </w:tc>
        <w:tc>
          <w:tcPr>
            <w:tcW w:w="6562" w:type="dxa"/>
          </w:tcPr>
          <w:p>
            <w:pPr>
              <w:pStyle w:val="TableParagraph"/>
              <w:spacing w:line="300" w:lineRule="auto" w:before="2"/>
              <w:ind w:right="105"/>
              <w:rPr>
                <w:sz w:val="21"/>
              </w:rPr>
            </w:pPr>
            <w:r>
              <w:rPr>
                <w:sz w:val="21"/>
              </w:rPr>
              <w:t>本附加合同的保险金额是指本公司承担赔偿或者给付保险金责任的最高限额。</w:t>
            </w:r>
          </w:p>
        </w:tc>
      </w:tr>
      <w:tr>
        <w:trPr>
          <w:trHeight w:val="1716" w:hRule="atLeast"/>
        </w:trPr>
        <w:tc>
          <w:tcPr>
            <w:tcW w:w="1071" w:type="dxa"/>
          </w:tcPr>
          <w:p>
            <w:pPr>
              <w:pStyle w:val="TableParagraph"/>
              <w:ind w:left="108"/>
              <w:rPr>
                <w:sz w:val="21"/>
              </w:rPr>
            </w:pPr>
            <w:r>
              <w:rPr>
                <w:sz w:val="21"/>
              </w:rPr>
              <w:t>第六条</w:t>
            </w:r>
          </w:p>
        </w:tc>
        <w:tc>
          <w:tcPr>
            <w:tcW w:w="1740" w:type="dxa"/>
          </w:tcPr>
          <w:p>
            <w:pPr>
              <w:pStyle w:val="TableParagraph"/>
              <w:ind w:left="328"/>
              <w:rPr>
                <w:sz w:val="21"/>
              </w:rPr>
            </w:pPr>
            <w:r>
              <w:rPr>
                <w:sz w:val="21"/>
              </w:rPr>
              <w:t>保险费</w:t>
            </w:r>
          </w:p>
        </w:tc>
        <w:tc>
          <w:tcPr>
            <w:tcW w:w="6562" w:type="dxa"/>
          </w:tcPr>
          <w:p>
            <w:pPr>
              <w:pStyle w:val="TableParagraph"/>
              <w:spacing w:line="300" w:lineRule="auto"/>
              <w:ind w:right="105"/>
              <w:rPr>
                <w:sz w:val="21"/>
              </w:rPr>
            </w:pPr>
            <w:r>
              <w:rPr>
                <w:sz w:val="21"/>
              </w:rPr>
              <w:t>本附加合同的保险费交付方式、交费日期与主合同一致，本附加合同的保险费应与主合同一并交付。</w:t>
            </w:r>
          </w:p>
          <w:p>
            <w:pPr>
              <w:pStyle w:val="TableParagraph"/>
              <w:spacing w:line="300" w:lineRule="auto" w:before="16"/>
              <w:ind w:right="105"/>
              <w:rPr>
                <w:sz w:val="21"/>
              </w:rPr>
            </w:pPr>
            <w:r>
              <w:rPr>
                <w:sz w:val="21"/>
              </w:rPr>
              <w:t>在本附加合同有效期内，主合同的保险费发生变化的，本附加合同保险费也相应调整。</w:t>
            </w:r>
          </w:p>
        </w:tc>
      </w:tr>
      <w:tr>
        <w:trPr>
          <w:trHeight w:val="2917" w:hRule="atLeast"/>
        </w:trPr>
        <w:tc>
          <w:tcPr>
            <w:tcW w:w="1071" w:type="dxa"/>
          </w:tcPr>
          <w:p>
            <w:pPr>
              <w:pStyle w:val="TableParagraph"/>
              <w:ind w:left="108"/>
              <w:rPr>
                <w:sz w:val="21"/>
              </w:rPr>
            </w:pPr>
            <w:r>
              <w:rPr>
                <w:sz w:val="21"/>
              </w:rPr>
              <w:t>第七条</w:t>
            </w:r>
          </w:p>
        </w:tc>
        <w:tc>
          <w:tcPr>
            <w:tcW w:w="1740" w:type="dxa"/>
          </w:tcPr>
          <w:p>
            <w:pPr>
              <w:pStyle w:val="TableParagraph"/>
              <w:ind w:left="328"/>
              <w:rPr>
                <w:sz w:val="21"/>
              </w:rPr>
            </w:pPr>
            <w:r>
              <w:rPr>
                <w:sz w:val="21"/>
              </w:rPr>
              <w:t>保险费率调整</w:t>
            </w:r>
          </w:p>
        </w:tc>
        <w:tc>
          <w:tcPr>
            <w:tcW w:w="6562" w:type="dxa"/>
          </w:tcPr>
          <w:p>
            <w:pPr>
              <w:pStyle w:val="TableParagraph"/>
              <w:spacing w:line="300" w:lineRule="auto"/>
              <w:ind w:right="105"/>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5"/>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5"/>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1"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8"/>
              <w:rPr>
                <w:b/>
                <w:sz w:val="21"/>
              </w:rPr>
            </w:pPr>
            <w:r>
              <w:rPr>
                <w:b/>
                <w:sz w:val="21"/>
              </w:rPr>
              <w:t>保险合同成立与生效、合同终止</w:t>
            </w:r>
          </w:p>
        </w:tc>
      </w:tr>
      <w:tr>
        <w:trPr>
          <w:trHeight w:val="2230" w:hRule="atLeast"/>
        </w:trPr>
        <w:tc>
          <w:tcPr>
            <w:tcW w:w="1071"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8" w:right="146"/>
              <w:rPr>
                <w:sz w:val="21"/>
              </w:rPr>
            </w:pPr>
            <w:r>
              <w:rPr>
                <w:sz w:val="21"/>
              </w:rPr>
              <w:t>保险合同成立与生效</w:t>
            </w:r>
          </w:p>
        </w:tc>
        <w:tc>
          <w:tcPr>
            <w:tcW w:w="6562" w:type="dxa"/>
          </w:tcPr>
          <w:p>
            <w:pPr>
              <w:pStyle w:val="TableParagraph"/>
              <w:spacing w:line="300" w:lineRule="auto" w:before="2"/>
              <w:ind w:right="105"/>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071" w:type="dxa"/>
          </w:tcPr>
          <w:p>
            <w:pPr>
              <w:pStyle w:val="TableParagraph"/>
              <w:ind w:left="108"/>
              <w:rPr>
                <w:sz w:val="21"/>
              </w:rPr>
            </w:pPr>
            <w:r>
              <w:rPr>
                <w:sz w:val="21"/>
              </w:rPr>
              <w:t>第九条</w:t>
            </w:r>
          </w:p>
        </w:tc>
        <w:tc>
          <w:tcPr>
            <w:tcW w:w="1740" w:type="dxa"/>
          </w:tcPr>
          <w:p>
            <w:pPr>
              <w:pStyle w:val="TableParagraph"/>
              <w:ind w:left="328"/>
              <w:rPr>
                <w:sz w:val="21"/>
              </w:rPr>
            </w:pPr>
            <w:r>
              <w:rPr>
                <w:sz w:val="21"/>
              </w:rPr>
              <w:t>保险期间</w:t>
            </w:r>
          </w:p>
        </w:tc>
        <w:tc>
          <w:tcPr>
            <w:tcW w:w="6562" w:type="dxa"/>
          </w:tcPr>
          <w:p>
            <w:pPr>
              <w:pStyle w:val="TableParagraph"/>
              <w:spacing w:line="300" w:lineRule="auto"/>
              <w:ind w:right="105"/>
              <w:rPr>
                <w:sz w:val="21"/>
              </w:rPr>
            </w:pPr>
            <w:r>
              <w:rPr>
                <w:sz w:val="21"/>
              </w:rPr>
              <w:t>本附加合同的保险期间载明于保险单上，保险期间自本附加合同生效时起算。</w:t>
            </w:r>
          </w:p>
        </w:tc>
      </w:tr>
      <w:tr>
        <w:trPr>
          <w:trHeight w:val="448" w:hRule="atLeast"/>
        </w:trPr>
        <w:tc>
          <w:tcPr>
            <w:tcW w:w="1071" w:type="dxa"/>
          </w:tcPr>
          <w:p>
            <w:pPr>
              <w:pStyle w:val="TableParagraph"/>
              <w:spacing w:line="255" w:lineRule="exact"/>
              <w:ind w:left="108"/>
              <w:rPr>
                <w:sz w:val="21"/>
              </w:rPr>
            </w:pPr>
            <w:r>
              <w:rPr>
                <w:sz w:val="21"/>
              </w:rPr>
              <w:t>第十条</w:t>
            </w:r>
          </w:p>
        </w:tc>
        <w:tc>
          <w:tcPr>
            <w:tcW w:w="1740" w:type="dxa"/>
          </w:tcPr>
          <w:p>
            <w:pPr>
              <w:pStyle w:val="TableParagraph"/>
              <w:spacing w:line="255" w:lineRule="exact"/>
              <w:ind w:left="328"/>
              <w:rPr>
                <w:sz w:val="21"/>
              </w:rPr>
            </w:pPr>
            <w:r>
              <w:rPr>
                <w:sz w:val="21"/>
              </w:rPr>
              <w:t>附加合同终止</w:t>
            </w:r>
          </w:p>
        </w:tc>
        <w:tc>
          <w:tcPr>
            <w:tcW w:w="6562" w:type="dxa"/>
          </w:tcPr>
          <w:p>
            <w:pPr>
              <w:pStyle w:val="TableParagraph"/>
              <w:spacing w:line="255" w:lineRule="exact"/>
              <w:rPr>
                <w:sz w:val="21"/>
              </w:rPr>
            </w:pPr>
            <w:r>
              <w:rPr>
                <w:sz w:val="21"/>
              </w:rPr>
              <w:t>发生下列情形之一时，本附加合同终止：</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650"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一、主合同保险期间届满、终止或变更为减额交清保险；</w:t>
            </w:r>
          </w:p>
          <w:p>
            <w:pPr>
              <w:pStyle w:val="TableParagraph"/>
              <w:spacing w:line="300" w:lineRule="auto" w:before="68"/>
              <w:ind w:right="3219"/>
              <w:rPr>
                <w:sz w:val="21"/>
              </w:rPr>
            </w:pPr>
            <w:r>
              <w:rPr>
                <w:sz w:val="21"/>
              </w:rPr>
              <w:t>二、投保人申请解除本附加合同； 三、本附加合同保险期间届满；</w:t>
            </w:r>
          </w:p>
          <w:p>
            <w:pPr>
              <w:pStyle w:val="TableParagraph"/>
              <w:spacing w:before="15"/>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8199" w:type="dxa"/>
            <w:gridSpan w:val="2"/>
            <w:shd w:val="clear" w:color="auto" w:fill="BEBEBE"/>
          </w:tcPr>
          <w:p>
            <w:pPr>
              <w:pStyle w:val="TableParagraph"/>
              <w:spacing w:before="2"/>
              <w:ind w:left="224"/>
              <w:rPr>
                <w:b/>
                <w:sz w:val="21"/>
              </w:rPr>
            </w:pPr>
            <w:r>
              <w:rPr>
                <w:b/>
                <w:sz w:val="21"/>
              </w:rPr>
              <w:t>豁免保险费申请</w:t>
            </w:r>
          </w:p>
        </w:tc>
      </w:tr>
      <w:tr>
        <w:trPr>
          <w:trHeight w:val="4976"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line="300" w:lineRule="auto" w:before="2"/>
              <w:ind w:left="224" w:right="146"/>
              <w:rPr>
                <w:sz w:val="21"/>
              </w:rPr>
            </w:pPr>
            <w:r>
              <w:rPr>
                <w:sz w:val="21"/>
              </w:rPr>
              <w:t>豁免保险费申请</w:t>
            </w:r>
          </w:p>
        </w:tc>
        <w:tc>
          <w:tcPr>
            <w:tcW w:w="6563" w:type="dxa"/>
          </w:tcPr>
          <w:p>
            <w:pPr>
              <w:pStyle w:val="TableParagraph"/>
              <w:spacing w:line="300" w:lineRule="auto" w:before="2"/>
              <w:ind w:right="106"/>
              <w:rPr>
                <w:sz w:val="21"/>
              </w:rPr>
            </w:pPr>
            <w:r>
              <w:rPr>
                <w:sz w:val="21"/>
              </w:rPr>
              <w:t>在申请豁免保险费时，被保险人或主合同的受益人须填写保险金给付申请书，并提供下列证明和资料：</w:t>
            </w:r>
          </w:p>
          <w:p>
            <w:pPr>
              <w:pStyle w:val="TableParagraph"/>
              <w:spacing w:before="16"/>
              <w:rPr>
                <w:sz w:val="21"/>
              </w:rPr>
            </w:pPr>
            <w:r>
              <w:rPr>
                <w:sz w:val="21"/>
              </w:rPr>
              <w:t>一、保险合同；</w:t>
            </w:r>
          </w:p>
          <w:p>
            <w:pPr>
              <w:pStyle w:val="TableParagraph"/>
              <w:spacing w:before="68"/>
              <w:rPr>
                <w:sz w:val="21"/>
              </w:rPr>
            </w:pPr>
            <w:r>
              <w:rPr>
                <w:sz w:val="21"/>
              </w:rPr>
              <w:t>二、申请人的有效身份证件；</w:t>
            </w:r>
          </w:p>
          <w:p>
            <w:pPr>
              <w:pStyle w:val="TableParagraph"/>
              <w:spacing w:line="300" w:lineRule="auto" w:before="68"/>
              <w:ind w:left="607" w:right="103" w:hanging="459"/>
              <w:rPr>
                <w:sz w:val="21"/>
              </w:rPr>
            </w:pPr>
            <w:r>
              <w:rPr>
                <w:sz w:val="21"/>
              </w:rPr>
              <w:t>三、医院出具的被保险人病历资料，诊断证明，病理、血液及其他科学检验方法的检验报告；</w:t>
            </w:r>
          </w:p>
          <w:p>
            <w:pPr>
              <w:pStyle w:val="TableParagraph"/>
              <w:spacing w:line="300" w:lineRule="auto" w:before="15"/>
              <w:ind w:left="607" w:right="103" w:hanging="459"/>
              <w:rPr>
                <w:sz w:val="21"/>
              </w:rPr>
            </w:pPr>
            <w:r>
              <w:rPr>
                <w:sz w:val="21"/>
              </w:rPr>
              <w:t>四、申请人所能提供的与确认保险事故的时间、性质、原因、损失程度等相关的其他证明和资料。</w:t>
            </w:r>
          </w:p>
          <w:p>
            <w:pPr>
              <w:pStyle w:val="TableParagraph"/>
              <w:spacing w:line="300" w:lineRule="auto" w:before="15"/>
              <w:ind w:right="103"/>
              <w:rPr>
                <w:sz w:val="21"/>
              </w:rPr>
            </w:pPr>
            <w:r>
              <w:rPr>
                <w:sz w:val="21"/>
              </w:rPr>
              <w:t>以上证明和资料不完整的，本公司将及时一次性通知申请人补充提供有关证明和资料。</w:t>
            </w:r>
          </w:p>
          <w:p>
            <w:pPr>
              <w:pStyle w:val="TableParagraph"/>
              <w:spacing w:before="15"/>
              <w:rPr>
                <w:sz w:val="21"/>
              </w:rPr>
            </w:pPr>
            <w:r>
              <w:rPr>
                <w:sz w:val="21"/>
              </w:rPr>
              <w:t>本公司在收到保险金给付申请书及合同约定的证明和资料后，将在 5</w:t>
            </w:r>
          </w:p>
          <w:p>
            <w:pPr>
              <w:pStyle w:val="TableParagraph"/>
              <w:spacing w:before="68"/>
              <w:rPr>
                <w:sz w:val="21"/>
              </w:rPr>
            </w:pPr>
            <w:r>
              <w:rPr>
                <w:sz w:val="21"/>
              </w:rPr>
              <w:t>日内作出核定；情形复杂的，在 30 日内作出核定。</w:t>
            </w:r>
          </w:p>
          <w:p>
            <w:pPr>
              <w:pStyle w:val="TableParagraph"/>
              <w:spacing w:line="300" w:lineRule="auto" w:before="68"/>
              <w:ind w:right="106"/>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拒绝豁免保险费通知书并说明理由。</w:t>
            </w:r>
          </w:p>
        </w:tc>
      </w:tr>
      <w:tr>
        <w:trPr>
          <w:trHeight w:val="1029" w:hRule="atLeast"/>
        </w:trPr>
        <w:tc>
          <w:tcPr>
            <w:tcW w:w="1175" w:type="dxa"/>
          </w:tcPr>
          <w:p>
            <w:pPr>
              <w:pStyle w:val="TableParagraph"/>
              <w:ind w:left="108"/>
              <w:rPr>
                <w:sz w:val="21"/>
              </w:rPr>
            </w:pPr>
            <w:r>
              <w:rPr>
                <w:sz w:val="21"/>
              </w:rPr>
              <w:t>第十二条</w:t>
            </w:r>
          </w:p>
        </w:tc>
        <w:tc>
          <w:tcPr>
            <w:tcW w:w="1636" w:type="dxa"/>
          </w:tcPr>
          <w:p>
            <w:pPr>
              <w:pStyle w:val="TableParagraph"/>
              <w:ind w:left="224"/>
              <w:rPr>
                <w:sz w:val="21"/>
              </w:rPr>
            </w:pPr>
            <w:r>
              <w:rPr>
                <w:sz w:val="21"/>
              </w:rPr>
              <w:t>诉讼时效</w:t>
            </w:r>
          </w:p>
        </w:tc>
        <w:tc>
          <w:tcPr>
            <w:tcW w:w="6563" w:type="dxa"/>
          </w:tcPr>
          <w:p>
            <w:pPr>
              <w:pStyle w:val="TableParagraph"/>
              <w:spacing w:line="300" w:lineRule="auto"/>
              <w:ind w:right="108"/>
              <w:rPr>
                <w:sz w:val="21"/>
              </w:rPr>
            </w:pPr>
            <w:r>
              <w:rPr>
                <w:spacing w:val="-5"/>
                <w:sz w:val="21"/>
              </w:rPr>
              <w:t>被保险人或受益人向本公司请求豁免保险费的诉讼时效期间为 </w:t>
            </w:r>
            <w:r>
              <w:rPr>
                <w:sz w:val="21"/>
              </w:rPr>
              <w:t>2</w:t>
            </w:r>
            <w:r>
              <w:rPr>
                <w:spacing w:val="-15"/>
                <w:sz w:val="21"/>
              </w:rPr>
              <w:t> 年， </w:t>
            </w:r>
            <w:r>
              <w:rPr>
                <w:spacing w:val="-3"/>
                <w:sz w:val="21"/>
              </w:rPr>
              <w:t>自其知道或者应当知道保险事故发生之日起计算。</w:t>
            </w:r>
          </w:p>
        </w:tc>
      </w:tr>
      <w:tr>
        <w:trPr>
          <w:trHeight w:val="1887" w:hRule="atLeast"/>
        </w:trPr>
        <w:tc>
          <w:tcPr>
            <w:tcW w:w="1175" w:type="dxa"/>
          </w:tcPr>
          <w:p>
            <w:pPr>
              <w:pStyle w:val="TableParagraph"/>
              <w:ind w:left="108"/>
              <w:rPr>
                <w:sz w:val="21"/>
              </w:rPr>
            </w:pPr>
            <w:r>
              <w:rPr>
                <w:sz w:val="21"/>
              </w:rPr>
              <w:t>第十三条</w:t>
            </w:r>
          </w:p>
        </w:tc>
        <w:tc>
          <w:tcPr>
            <w:tcW w:w="1636" w:type="dxa"/>
          </w:tcPr>
          <w:p>
            <w:pPr>
              <w:pStyle w:val="TableParagraph"/>
              <w:ind w:left="224"/>
              <w:rPr>
                <w:sz w:val="21"/>
              </w:rPr>
            </w:pPr>
            <w:r>
              <w:rPr>
                <w:sz w:val="21"/>
              </w:rPr>
              <w:t>欠款扣除</w:t>
            </w:r>
          </w:p>
        </w:tc>
        <w:tc>
          <w:tcPr>
            <w:tcW w:w="6563" w:type="dxa"/>
          </w:tcPr>
          <w:p>
            <w:pPr>
              <w:pStyle w:val="TableParagraph"/>
              <w:spacing w:line="300" w:lineRule="auto"/>
              <w:ind w:right="106"/>
              <w:rPr>
                <w:sz w:val="21"/>
              </w:rPr>
            </w:pPr>
            <w:r>
              <w:rPr>
                <w:sz w:val="21"/>
              </w:rPr>
              <w:t>本公司在豁免保险费时，如投保人有保单借款（包括自动借款）或欠交保险费等款项尚未还清，应先补交上述欠款及利息。</w:t>
            </w:r>
          </w:p>
          <w:p>
            <w:pPr>
              <w:pStyle w:val="TableParagraph"/>
              <w:spacing w:line="300" w:lineRule="auto" w:before="16"/>
              <w:ind w:right="106"/>
              <w:rPr>
                <w:sz w:val="21"/>
              </w:rPr>
            </w:pPr>
            <w:r>
              <w:rPr>
                <w:sz w:val="21"/>
              </w:rPr>
              <w:t>本公司退还现金价值或退还保险费时，应先扣除保单借款（包括自动借款）及利息、欠交保险费。</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636" w:type="dxa"/>
            <w:shd w:val="clear" w:color="auto" w:fill="BEBEBE"/>
          </w:tcPr>
          <w:p>
            <w:pPr>
              <w:pStyle w:val="TableParagraph"/>
              <w:spacing w:before="2"/>
              <w:ind w:left="224"/>
              <w:rPr>
                <w:b/>
                <w:sz w:val="21"/>
              </w:rPr>
            </w:pPr>
            <w:r>
              <w:rPr>
                <w:b/>
                <w:sz w:val="21"/>
              </w:rPr>
              <w:t>释义</w:t>
            </w:r>
          </w:p>
        </w:tc>
        <w:tc>
          <w:tcPr>
            <w:tcW w:w="656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第十四条</w:t>
            </w:r>
          </w:p>
        </w:tc>
        <w:tc>
          <w:tcPr>
            <w:tcW w:w="1636" w:type="dxa"/>
          </w:tcPr>
          <w:p>
            <w:pPr>
              <w:pStyle w:val="TableParagraph"/>
              <w:spacing w:before="2"/>
              <w:ind w:left="224"/>
              <w:rPr>
                <w:sz w:val="21"/>
              </w:rPr>
            </w:pPr>
            <w:r>
              <w:rPr>
                <w:sz w:val="21"/>
              </w:rPr>
              <w:t>释义</w:t>
            </w:r>
          </w:p>
        </w:tc>
        <w:tc>
          <w:tcPr>
            <w:tcW w:w="6563" w:type="dxa"/>
          </w:tcPr>
          <w:p>
            <w:pPr>
              <w:pStyle w:val="TableParagraph"/>
              <w:spacing w:before="0"/>
              <w:ind w:left="0"/>
              <w:rPr>
                <w:rFonts w:ascii="Times New Roman"/>
                <w:sz w:val="20"/>
              </w:rPr>
            </w:pPr>
          </w:p>
        </w:tc>
      </w:tr>
      <w:tr>
        <w:trPr>
          <w:trHeight w:val="515" w:hRule="atLeast"/>
        </w:trPr>
        <w:tc>
          <w:tcPr>
            <w:tcW w:w="1175" w:type="dxa"/>
          </w:tcPr>
          <w:p>
            <w:pPr>
              <w:pStyle w:val="TableParagraph"/>
              <w:spacing w:before="2"/>
              <w:ind w:left="117"/>
              <w:jc w:val="center"/>
              <w:rPr>
                <w:sz w:val="21"/>
              </w:rPr>
            </w:pPr>
            <w:r>
              <w:rPr>
                <w:w w:val="100"/>
                <w:sz w:val="21"/>
              </w:rPr>
              <w:t>一</w:t>
            </w:r>
          </w:p>
        </w:tc>
        <w:tc>
          <w:tcPr>
            <w:tcW w:w="1636" w:type="dxa"/>
          </w:tcPr>
          <w:p>
            <w:pPr>
              <w:pStyle w:val="TableParagraph"/>
              <w:spacing w:before="2"/>
              <w:ind w:left="224"/>
              <w:rPr>
                <w:sz w:val="21"/>
              </w:rPr>
            </w:pPr>
            <w:r>
              <w:rPr>
                <w:sz w:val="21"/>
              </w:rPr>
              <w:t>本公司</w:t>
            </w:r>
          </w:p>
        </w:tc>
        <w:tc>
          <w:tcPr>
            <w:tcW w:w="6563" w:type="dxa"/>
          </w:tcPr>
          <w:p>
            <w:pPr>
              <w:pStyle w:val="TableParagraph"/>
              <w:spacing w:before="2"/>
              <w:rPr>
                <w:sz w:val="21"/>
              </w:rPr>
            </w:pPr>
            <w:r>
              <w:rPr>
                <w:sz w:val="21"/>
              </w:rPr>
              <w:t>指中航三星人寿保险有限公司。</w:t>
            </w:r>
          </w:p>
        </w:tc>
      </w:tr>
      <w:tr>
        <w:trPr>
          <w:trHeight w:val="1135" w:hRule="atLeast"/>
        </w:trPr>
        <w:tc>
          <w:tcPr>
            <w:tcW w:w="1175" w:type="dxa"/>
          </w:tcPr>
          <w:p>
            <w:pPr>
              <w:pStyle w:val="TableParagraph"/>
              <w:ind w:left="117"/>
              <w:jc w:val="center"/>
              <w:rPr>
                <w:sz w:val="21"/>
              </w:rPr>
            </w:pPr>
            <w:r>
              <w:rPr>
                <w:w w:val="100"/>
                <w:sz w:val="21"/>
              </w:rPr>
              <w:t>二</w:t>
            </w:r>
          </w:p>
        </w:tc>
        <w:tc>
          <w:tcPr>
            <w:tcW w:w="1636" w:type="dxa"/>
          </w:tcPr>
          <w:p>
            <w:pPr>
              <w:pStyle w:val="TableParagraph"/>
              <w:ind w:left="224"/>
              <w:rPr>
                <w:sz w:val="21"/>
              </w:rPr>
            </w:pPr>
            <w:r>
              <w:rPr>
                <w:sz w:val="21"/>
              </w:rPr>
              <w:t>医院</w:t>
            </w:r>
          </w:p>
        </w:tc>
        <w:tc>
          <w:tcPr>
            <w:tcW w:w="6563" w:type="dxa"/>
          </w:tcPr>
          <w:p>
            <w:pPr>
              <w:pStyle w:val="TableParagraph"/>
              <w:spacing w:line="340" w:lineRule="atLeast" w:before="109"/>
              <w:ind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12568" w:hRule="atLeast"/>
        </w:trPr>
        <w:tc>
          <w:tcPr>
            <w:tcW w:w="735" w:type="dxa"/>
          </w:tcPr>
          <w:p>
            <w:pPr>
              <w:pStyle w:val="TableParagraph"/>
              <w:spacing w:line="211" w:lineRule="exact" w:before="0"/>
              <w:ind w:left="200"/>
              <w:rPr>
                <w:sz w:val="21"/>
              </w:rPr>
            </w:pPr>
            <w:r>
              <w:rPr>
                <w:w w:val="100"/>
                <w:sz w:val="21"/>
              </w:rPr>
              <w:t>三</w:t>
            </w:r>
          </w:p>
        </w:tc>
        <w:tc>
          <w:tcPr>
            <w:tcW w:w="1525" w:type="dxa"/>
          </w:tcPr>
          <w:p>
            <w:pPr>
              <w:pStyle w:val="TableParagraph"/>
              <w:spacing w:line="211" w:lineRule="exact" w:before="0"/>
              <w:ind w:left="324"/>
              <w:rPr>
                <w:sz w:val="21"/>
              </w:rPr>
            </w:pPr>
            <w:r>
              <w:rPr>
                <w:sz w:val="21"/>
              </w:rPr>
              <w:t>重大疾病</w:t>
            </w:r>
          </w:p>
        </w:tc>
        <w:tc>
          <w:tcPr>
            <w:tcW w:w="6972" w:type="dxa"/>
          </w:tcPr>
          <w:p>
            <w:pPr>
              <w:pStyle w:val="TableParagraph"/>
              <w:spacing w:line="211" w:lineRule="exact" w:before="0"/>
              <w:ind w:left="359"/>
              <w:rPr>
                <w:sz w:val="21"/>
              </w:rPr>
            </w:pPr>
            <w:r>
              <w:rPr>
                <w:sz w:val="21"/>
              </w:rPr>
              <w:t>本附加合同所称的重大疾病共包含 30 种重大疾病，其中 24 种为中国</w:t>
            </w:r>
          </w:p>
          <w:p>
            <w:pPr>
              <w:pStyle w:val="TableParagraph"/>
              <w:spacing w:line="300" w:lineRule="auto" w:before="68"/>
              <w:ind w:left="359" w:right="304"/>
              <w:jc w:val="both"/>
              <w:rPr>
                <w:sz w:val="21"/>
              </w:rPr>
            </w:pPr>
            <w:r>
              <w:rPr>
                <w:sz w:val="21"/>
              </w:rPr>
              <w:t>保险行业协会推荐的疾病，6 种为中国保险行业协会推荐范围以外的疾病。被保险人发生符合以下疾病定义所述条件的疾病，须由专科医生明确诊断。</w:t>
            </w:r>
          </w:p>
          <w:p>
            <w:pPr>
              <w:pStyle w:val="TableParagraph"/>
              <w:tabs>
                <w:tab w:pos="779" w:val="left" w:leader="none"/>
              </w:tabs>
              <w:spacing w:before="15"/>
              <w:ind w:left="359"/>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1"/>
              </w:numPr>
              <w:tabs>
                <w:tab w:pos="780" w:val="left" w:leader="none"/>
              </w:tabs>
              <w:spacing w:line="240" w:lineRule="auto" w:before="0" w:after="0"/>
              <w:ind w:left="779" w:right="0" w:hanging="420"/>
              <w:jc w:val="left"/>
              <w:rPr>
                <w:sz w:val="21"/>
              </w:rPr>
            </w:pPr>
            <w:r>
              <w:rPr>
                <w:spacing w:val="-1"/>
                <w:sz w:val="21"/>
              </w:rPr>
              <w:t>恶性肿瘤</w:t>
            </w:r>
          </w:p>
          <w:p>
            <w:pPr>
              <w:pStyle w:val="TableParagraph"/>
              <w:spacing w:line="300" w:lineRule="auto" w:before="67"/>
              <w:ind w:left="359" w:right="196"/>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9"/>
              <w:rPr>
                <w:sz w:val="21"/>
              </w:rPr>
            </w:pPr>
            <w:r>
              <w:rPr>
                <w:sz w:val="21"/>
              </w:rPr>
              <w:t>下列疾病不在保障范围内：</w:t>
            </w:r>
          </w:p>
          <w:p>
            <w:pPr>
              <w:pStyle w:val="TableParagraph"/>
              <w:spacing w:before="68"/>
              <w:ind w:left="359"/>
              <w:rPr>
                <w:sz w:val="21"/>
              </w:rPr>
            </w:pPr>
            <w:r>
              <w:rPr>
                <w:sz w:val="21"/>
              </w:rPr>
              <w:t>① 原位癌；</w:t>
            </w:r>
          </w:p>
          <w:p>
            <w:pPr>
              <w:pStyle w:val="TableParagraph"/>
              <w:spacing w:before="68"/>
              <w:ind w:left="359"/>
              <w:rPr>
                <w:sz w:val="21"/>
              </w:rPr>
            </w:pPr>
            <w:r>
              <w:rPr>
                <w:sz w:val="21"/>
              </w:rPr>
              <w:t>② 相当于 Binet 分期方案 A 期程度的慢性淋巴细胞白血病；</w:t>
            </w:r>
          </w:p>
          <w:p>
            <w:pPr>
              <w:pStyle w:val="TableParagraph"/>
              <w:spacing w:before="68"/>
              <w:ind w:left="359"/>
              <w:rPr>
                <w:sz w:val="21"/>
              </w:rPr>
            </w:pPr>
            <w:r>
              <w:rPr>
                <w:sz w:val="21"/>
              </w:rPr>
              <w:t>③ 相当于 Ann Arbor 分期方案 I 期程度的何杰金氏病；</w:t>
            </w:r>
          </w:p>
          <w:p>
            <w:pPr>
              <w:pStyle w:val="TableParagraph"/>
              <w:spacing w:before="68"/>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68"/>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before="68"/>
              <w:ind w:left="359"/>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1"/>
              </w:numPr>
              <w:tabs>
                <w:tab w:pos="780" w:val="left" w:leader="none"/>
              </w:tabs>
              <w:spacing w:line="240" w:lineRule="auto" w:before="0" w:after="0"/>
              <w:ind w:left="779" w:right="0" w:hanging="420"/>
              <w:jc w:val="left"/>
              <w:rPr>
                <w:sz w:val="21"/>
              </w:rPr>
            </w:pPr>
            <w:r>
              <w:rPr>
                <w:spacing w:val="-2"/>
                <w:sz w:val="21"/>
              </w:rPr>
              <w:t>急性心肌梗塞</w:t>
            </w:r>
          </w:p>
          <w:p>
            <w:pPr>
              <w:pStyle w:val="TableParagraph"/>
              <w:spacing w:line="300" w:lineRule="auto" w:before="68"/>
              <w:ind w:left="359" w:right="304"/>
              <w:rPr>
                <w:sz w:val="21"/>
              </w:rPr>
            </w:pPr>
            <w:r>
              <w:rPr>
                <w:sz w:val="21"/>
              </w:rPr>
              <w:t>指因冠状动脉阻塞导致的相应区域供血不足造成部分心肌坏死。须满足下列至少三项条件：</w:t>
            </w:r>
          </w:p>
          <w:p>
            <w:pPr>
              <w:pStyle w:val="TableParagraph"/>
              <w:spacing w:before="15"/>
              <w:ind w:left="359"/>
              <w:rPr>
                <w:sz w:val="21"/>
              </w:rPr>
            </w:pPr>
            <w:r>
              <w:rPr>
                <w:sz w:val="21"/>
              </w:rPr>
              <w:t>① 典型临床表现，例如急性胸痛等；</w:t>
            </w:r>
          </w:p>
          <w:p>
            <w:pPr>
              <w:pStyle w:val="TableParagraph"/>
              <w:spacing w:before="68"/>
              <w:ind w:left="359"/>
              <w:rPr>
                <w:sz w:val="21"/>
              </w:rPr>
            </w:pPr>
            <w:r>
              <w:rPr>
                <w:sz w:val="21"/>
              </w:rPr>
              <w:t>② 新近的心电图改变提示急性心肌梗塞；</w:t>
            </w:r>
          </w:p>
          <w:p>
            <w:pPr>
              <w:pStyle w:val="TableParagraph"/>
              <w:spacing w:line="300" w:lineRule="auto" w:before="68"/>
              <w:ind w:left="719" w:right="364" w:hanging="360"/>
              <w:rPr>
                <w:sz w:val="21"/>
              </w:rPr>
            </w:pPr>
            <w:r>
              <w:rPr>
                <w:sz w:val="21"/>
              </w:rPr>
              <w:t>③ 心肌酶或肌钙蛋白有诊断意义的升高，或呈符合急性心肌梗塞的动态性变化；</w:t>
            </w:r>
          </w:p>
          <w:p>
            <w:pPr>
              <w:pStyle w:val="TableParagraph"/>
              <w:spacing w:line="300" w:lineRule="auto" w:before="15"/>
              <w:ind w:left="719" w:right="302" w:hanging="360"/>
              <w:rPr>
                <w:sz w:val="21"/>
              </w:rPr>
            </w:pPr>
            <w:r>
              <w:rPr>
                <w:spacing w:val="1"/>
                <w:sz w:val="21"/>
              </w:rPr>
              <w:t>④ 发病 </w:t>
            </w:r>
            <w:r>
              <w:rPr>
                <w:sz w:val="21"/>
              </w:rPr>
              <w:t>90</w:t>
            </w:r>
            <w:r>
              <w:rPr>
                <w:spacing w:val="-11"/>
                <w:sz w:val="21"/>
              </w:rPr>
              <w:t> 天后，经检查证实左心室功能降低，如左心室射血分数低</w:t>
            </w:r>
            <w:r>
              <w:rPr>
                <w:spacing w:val="-32"/>
                <w:sz w:val="21"/>
              </w:rPr>
              <w:t>于 </w:t>
            </w:r>
            <w:r>
              <w:rPr>
                <w:sz w:val="21"/>
              </w:rPr>
              <w:t>50%。</w:t>
            </w:r>
          </w:p>
          <w:p>
            <w:pPr>
              <w:pStyle w:val="TableParagraph"/>
              <w:spacing w:before="0"/>
              <w:ind w:left="0"/>
              <w:rPr>
                <w:rFonts w:ascii="Times New Roman"/>
                <w:sz w:val="20"/>
              </w:rPr>
            </w:pPr>
          </w:p>
          <w:p>
            <w:pPr>
              <w:pStyle w:val="TableParagraph"/>
              <w:numPr>
                <w:ilvl w:val="0"/>
                <w:numId w:val="1"/>
              </w:numPr>
              <w:tabs>
                <w:tab w:pos="780" w:val="left" w:leader="none"/>
              </w:tabs>
              <w:spacing w:line="240" w:lineRule="auto" w:before="128" w:after="0"/>
              <w:ind w:left="779" w:right="0" w:hanging="420"/>
              <w:jc w:val="left"/>
              <w:rPr>
                <w:sz w:val="21"/>
              </w:rPr>
            </w:pPr>
            <w:r>
              <w:rPr>
                <w:spacing w:val="-2"/>
                <w:sz w:val="21"/>
              </w:rPr>
              <w:t>脑中风后遗症</w:t>
            </w:r>
          </w:p>
          <w:p>
            <w:pPr>
              <w:pStyle w:val="TableParagraph"/>
              <w:spacing w:line="300" w:lineRule="auto" w:before="67"/>
              <w:ind w:left="359" w:right="304"/>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15"/>
              <w:ind w:left="359"/>
              <w:rPr>
                <w:sz w:val="21"/>
              </w:rPr>
            </w:pPr>
            <w:r>
              <w:rPr>
                <w:sz w:val="21"/>
              </w:rPr>
              <w:t>① 一肢或一肢以上肢体机能完全丧失；</w:t>
            </w:r>
          </w:p>
          <w:p>
            <w:pPr>
              <w:pStyle w:val="TableParagraph"/>
              <w:spacing w:before="68"/>
              <w:ind w:left="359"/>
              <w:rPr>
                <w:sz w:val="21"/>
              </w:rPr>
            </w:pPr>
            <w:r>
              <w:rPr>
                <w:sz w:val="21"/>
              </w:rPr>
              <w:t>② 语言能力或咀嚼吞咽能力完全丧失；</w:t>
            </w:r>
          </w:p>
          <w:p>
            <w:pPr>
              <w:pStyle w:val="TableParagraph"/>
              <w:spacing w:line="340" w:lineRule="atLeast" w:before="3"/>
              <w:ind w:left="719" w:right="364" w:hanging="360"/>
              <w:rPr>
                <w:sz w:val="21"/>
              </w:rPr>
            </w:pPr>
            <w:r>
              <w:rPr>
                <w:sz w:val="21"/>
              </w:rPr>
              <w:t>③ 自主生活能力完全丧失，无法独立完成六项基本日常生活活动中的三项或三项以上。</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5"/>
        <w:ind w:left="0"/>
        <w:rPr>
          <w:rFonts w:ascii="Times New Roman"/>
          <w:sz w:val="20"/>
        </w:rPr>
      </w:pPr>
    </w:p>
    <w:p>
      <w:pPr>
        <w:pStyle w:val="ListParagraph"/>
        <w:numPr>
          <w:ilvl w:val="0"/>
          <w:numId w:val="2"/>
        </w:numPr>
        <w:tabs>
          <w:tab w:pos="3469" w:val="left" w:leader="none"/>
        </w:tabs>
        <w:spacing w:line="240" w:lineRule="auto" w:before="37" w:after="0"/>
        <w:ind w:left="3469" w:right="0" w:hanging="420"/>
        <w:jc w:val="left"/>
        <w:rPr>
          <w:sz w:val="21"/>
        </w:rPr>
      </w:pPr>
      <w:r>
        <w:rPr>
          <w:spacing w:val="-3"/>
          <w:sz w:val="21"/>
        </w:rPr>
        <w:t>重大器官移植术或造血干细胞移植术</w:t>
      </w:r>
    </w:p>
    <w:p>
      <w:pPr>
        <w:pStyle w:val="BodyText"/>
        <w:spacing w:line="300" w:lineRule="auto"/>
        <w:ind w:right="209"/>
      </w:pPr>
      <w:r>
        <w:rPr/>
        <w:t>重大器官移植术，指因相应器官功能衰竭，已经实施了肾脏、肝脏、心脏或肺脏的异体移植手术。</w:t>
      </w:r>
    </w:p>
    <w:p>
      <w:pPr>
        <w:pStyle w:val="BodyText"/>
        <w:spacing w:line="300" w:lineRule="auto" w:before="15"/>
        <w:ind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ind w:right="209"/>
      </w:pPr>
      <w:r>
        <w:rPr/>
        <w:t>指为治疗严重的冠心病，实际实施了开胸进行的冠状动脉血管旁路移植的手术。</w:t>
      </w:r>
    </w:p>
    <w:p>
      <w:pPr>
        <w:pStyle w:val="BodyText"/>
        <w:spacing w:line="300" w:lineRule="auto" w:before="15"/>
        <w:ind w:right="209"/>
      </w:pPr>
      <w:r>
        <w:rPr/>
        <w:t>冠状动脉支架植入术、心导管球囊扩张术、激光射频技术及其它非开胸的介入手术、腔镜手术不在保障范围内。</w:t>
      </w:r>
    </w:p>
    <w:p>
      <w:pPr>
        <w:pStyle w:val="BodyText"/>
        <w:spacing w:before="4"/>
        <w:ind w:left="0"/>
        <w:rPr>
          <w:sz w:val="27"/>
        </w:rPr>
      </w:pPr>
    </w:p>
    <w:p>
      <w:pPr>
        <w:pStyle w:val="ListParagraph"/>
        <w:numPr>
          <w:ilvl w:val="0"/>
          <w:numId w:val="2"/>
        </w:numPr>
        <w:tabs>
          <w:tab w:pos="3469" w:val="left" w:leader="none"/>
        </w:tabs>
        <w:spacing w:line="240" w:lineRule="auto" w:before="1" w:after="0"/>
        <w:ind w:left="3469" w:right="0" w:hanging="420"/>
        <w:jc w:val="left"/>
        <w:rPr>
          <w:sz w:val="21"/>
        </w:rPr>
      </w:pPr>
      <w:r>
        <w:rPr>
          <w:spacing w:val="-1"/>
          <w:sz w:val="21"/>
        </w:rPr>
        <w:t>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2"/>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2"/>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pPr>
      <w:r>
        <w:rPr/>
        <w:t>② 实际实施了对脑肿瘤进行的放射治疗。</w:t>
      </w:r>
    </w:p>
    <w:p>
      <w:pPr>
        <w:spacing w:after="0"/>
        <w:sectPr>
          <w:pgSz w:w="11910" w:h="16840"/>
          <w:pgMar w:header="0" w:footer="919" w:top="1580" w:bottom="1100" w:left="1200" w:right="1140"/>
        </w:sectPr>
      </w:pPr>
    </w:p>
    <w:p>
      <w:pPr>
        <w:pStyle w:val="BodyText"/>
        <w:spacing w:before="12"/>
        <w:ind w:left="0"/>
        <w:rPr>
          <w:sz w:val="26"/>
        </w:rPr>
      </w:pPr>
    </w:p>
    <w:p>
      <w:pPr>
        <w:pStyle w:val="BodyText"/>
        <w:spacing w:before="36"/>
      </w:pPr>
      <w:r>
        <w:rPr/>
        <w:t>脑垂体瘤、脑囊肿、脑血管性疾病不在保障范围内。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6"/>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2"/>
          <w:sz w:val="21"/>
        </w:rPr>
        <w:t>心脏瓣膜手术</w:t>
      </w:r>
    </w:p>
    <w:p>
      <w:pPr>
        <w:pStyle w:val="BodyText"/>
      </w:pPr>
      <w:r>
        <w:rPr/>
        <w:t>指为治疗心脏瓣膜疾病，实际实施了开胸进行的心脏瓣膜置换或修复</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的手术。</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严重阿尔茨海默病</w:t>
      </w:r>
    </w:p>
    <w:p>
      <w:pPr>
        <w:pStyle w:val="BodyText"/>
        <w:spacing w:line="300" w:lineRule="auto"/>
        <w:ind w:right="12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6"/>
      </w:pPr>
      <w:r>
        <w:rPr/>
        <w:t>神经官能症和精神疾病不在保障范围内。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12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189" w:hanging="360"/>
      </w:pPr>
      <w:r>
        <w:rPr/>
        <w:t>③ 自主生活能力完全丧失，无法独立完成六项基本日常生活活动中的三项或三项以上。</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严重帕金森病</w:t>
      </w:r>
    </w:p>
    <w:p>
      <w:pPr>
        <w:pStyle w:val="BodyText"/>
        <w:spacing w:line="300" w:lineRule="auto"/>
        <w:ind w:right="12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before="67"/>
        <w:ind w:left="3409" w:right="189" w:hanging="360"/>
      </w:pPr>
      <w:r>
        <w:rPr/>
        <w:t>② 自主生活能力完全丧失，无法独立完成六项基本日常生活活动中的三项或三项以上。</w:t>
      </w:r>
    </w:p>
    <w:p>
      <w:pPr>
        <w:pStyle w:val="BodyText"/>
        <w:spacing w:line="300" w:lineRule="auto" w:before="15"/>
        <w:ind w:right="23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spacing w:after="0" w:line="240" w:lineRule="auto"/>
        <w:jc w:val="left"/>
        <w:rPr>
          <w:sz w:val="21"/>
        </w:rPr>
        <w:sectPr>
          <w:pgSz w:w="11910" w:h="16840"/>
          <w:pgMar w:header="0" w:footer="919" w:top="1580" w:bottom="1180" w:left="1200" w:right="1220"/>
        </w:sectPr>
      </w:pPr>
    </w:p>
    <w:p>
      <w:pPr>
        <w:pStyle w:val="BodyText"/>
        <w:spacing w:before="12"/>
        <w:ind w:left="0"/>
        <w:rPr>
          <w:sz w:val="26"/>
        </w:rPr>
      </w:pPr>
    </w:p>
    <w:p>
      <w:pPr>
        <w:pStyle w:val="BodyText"/>
        <w:spacing w:line="300" w:lineRule="auto" w:before="36"/>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pStyle w:val="BodyText"/>
        <w:spacing w:line="300" w:lineRule="auto" w:before="67"/>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3"/>
        </w:numPr>
        <w:tabs>
          <w:tab w:pos="3468" w:val="left" w:leader="none"/>
          <w:tab w:pos="3469" w:val="left" w:leader="none"/>
        </w:tabs>
        <w:spacing w:line="240" w:lineRule="auto" w:before="67"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0"/>
        <w:ind w:left="0"/>
        <w:rPr>
          <w:sz w:val="20"/>
        </w:rPr>
      </w:pPr>
    </w:p>
    <w:p>
      <w:pPr>
        <w:pStyle w:val="BodyText"/>
        <w:tabs>
          <w:tab w:pos="3468" w:val="left" w:leader="none"/>
        </w:tabs>
        <w:spacing w:line="300" w:lineRule="auto" w:before="149"/>
        <w:ind w:left="3469" w:right="262" w:hanging="420"/>
      </w:pPr>
      <w:r>
        <w:rPr/>
        <w:t>2.</w:t>
        <w:tab/>
        <w:t>6</w:t>
      </w:r>
      <w:r>
        <w:rPr>
          <w:spacing w:val="-5"/>
        </w:rPr>
        <w:t> 种中国保险行业协会推荐范围以外的疾病是指符合下列条件的疾病：</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ind w:right="2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before="36"/>
      </w:pPr>
      <w:r>
        <w:rPr/>
        <w:t>项以上。</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49" w:after="0"/>
        <w:ind w:left="3889" w:right="0" w:hanging="840"/>
        <w:jc w:val="left"/>
        <w:rPr>
          <w:sz w:val="21"/>
        </w:rPr>
      </w:pPr>
      <w:r>
        <w:rPr>
          <w:spacing w:val="-3"/>
          <w:sz w:val="21"/>
        </w:rPr>
        <w:t>严重肌营养不良症</w:t>
      </w:r>
    </w:p>
    <w:p>
      <w:pPr>
        <w:pStyle w:val="BodyText"/>
        <w:spacing w:line="300" w:lineRule="auto"/>
        <w:ind w:right="149"/>
      </w:pPr>
      <w:r>
        <w:rPr/>
        <w:t>是一组以与神经系统无关的肌肉无力及萎缩为特征的遗传性疾病，并导致永久性运动功能障碍。须满足下列全部条件：</w:t>
      </w:r>
    </w:p>
    <w:p>
      <w:pPr>
        <w:pStyle w:val="BodyText"/>
        <w:tabs>
          <w:tab w:pos="3468" w:val="left" w:leader="none"/>
        </w:tabs>
        <w:spacing w:before="16"/>
      </w:pPr>
      <w:r>
        <w:rPr/>
        <w:t>①</w:t>
        <w:tab/>
      </w:r>
      <w:r>
        <w:rPr>
          <w:spacing w:val="-3"/>
        </w:rPr>
        <w:t>肌电图显示肌营养不良症的特征性改变；</w:t>
      </w:r>
    </w:p>
    <w:p>
      <w:pPr>
        <w:pStyle w:val="BodyText"/>
        <w:tabs>
          <w:tab w:pos="3468" w:val="left" w:leader="none"/>
        </w:tabs>
        <w:spacing w:line="300" w:lineRule="auto"/>
        <w:ind w:left="3469" w:right="14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4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4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145"/>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pPr>
      <w:r>
        <w:rPr/>
        <w:t>世界卫生组织（WHO）对狼疮性肾炎的分类标准：</w:t>
      </w:r>
    </w:p>
    <w:p>
      <w:pPr>
        <w:pStyle w:val="ListParagraph"/>
        <w:numPr>
          <w:ilvl w:val="0"/>
          <w:numId w:val="4"/>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4"/>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4"/>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4"/>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4"/>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4"/>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3"/>
          <w:sz w:val="21"/>
        </w:rPr>
        <w:t>严重类风湿性关节炎</w:t>
      </w:r>
    </w:p>
    <w:p>
      <w:pPr>
        <w:pStyle w:val="BodyText"/>
        <w:spacing w:line="300" w:lineRule="auto" w:before="67"/>
        <w:ind w:right="149"/>
      </w:pPr>
      <w:r>
        <w:rPr/>
        <w:t>是指广泛的慢性渐进性的关节损害，伴有明显的关节畸形，必须具有下列所有情况：</w:t>
      </w:r>
    </w:p>
    <w:p>
      <w:pPr>
        <w:pStyle w:val="BodyText"/>
        <w:tabs>
          <w:tab w:pos="3468" w:val="left" w:leader="none"/>
        </w:tabs>
        <w:spacing w:before="15"/>
      </w:pPr>
      <w:r>
        <w:rPr/>
        <w:t>①</w:t>
        <w:tab/>
      </w:r>
      <w:r>
        <w:rPr>
          <w:spacing w:val="-7"/>
        </w:rPr>
        <w:t>符合美国风湿病学学会的 </w:t>
      </w:r>
      <w:r>
        <w:rPr/>
        <w:t>1987</w:t>
      </w:r>
      <w:r>
        <w:rPr>
          <w:spacing w:val="-9"/>
        </w:rPr>
        <w:t> 年诊断标准；</w:t>
      </w:r>
    </w:p>
    <w:p>
      <w:pPr>
        <w:spacing w:after="0"/>
        <w:sectPr>
          <w:pgSz w:w="11910" w:h="16840"/>
          <w:pgMar w:header="0" w:footer="919" w:top="1580" w:bottom="1180" w:left="1200" w:right="120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5"/>
      </w:tblGrid>
      <w:tr>
        <w:trPr>
          <w:trHeight w:val="5254"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5" w:type="dxa"/>
          </w:tcPr>
          <w:p>
            <w:pPr>
              <w:pStyle w:val="TableParagraph"/>
              <w:tabs>
                <w:tab w:pos="569" w:val="left" w:leader="none"/>
              </w:tabs>
              <w:spacing w:line="211" w:lineRule="exact" w:before="0"/>
              <w:rPr>
                <w:sz w:val="21"/>
              </w:rPr>
            </w:pPr>
            <w:r>
              <w:rPr>
                <w:sz w:val="21"/>
              </w:rPr>
              <w:t>②</w:t>
              <w:tab/>
            </w:r>
            <w:r>
              <w:rPr>
                <w:spacing w:val="-7"/>
                <w:sz w:val="21"/>
              </w:rPr>
              <w:t>广泛性关节损害及下列 </w:t>
            </w:r>
            <w:r>
              <w:rPr>
                <w:sz w:val="21"/>
              </w:rPr>
              <w:t>6</w:t>
            </w:r>
            <w:r>
              <w:rPr>
                <w:spacing w:val="-8"/>
                <w:sz w:val="21"/>
              </w:rPr>
              <w:t> 个关节部位有三个或以上出现严重临床</w:t>
            </w:r>
          </w:p>
          <w:p>
            <w:pPr>
              <w:pStyle w:val="TableParagraph"/>
              <w:spacing w:before="68"/>
              <w:ind w:left="569"/>
              <w:rPr>
                <w:sz w:val="21"/>
              </w:rPr>
            </w:pPr>
            <w:r>
              <w:rPr>
                <w:sz w:val="21"/>
              </w:rPr>
              <w:t>变形: 手、腕、肘、膝、髋、踝；</w:t>
            </w:r>
          </w:p>
          <w:p>
            <w:pPr>
              <w:pStyle w:val="TableParagraph"/>
              <w:tabs>
                <w:tab w:pos="569" w:val="left" w:leader="none"/>
              </w:tabs>
              <w:spacing w:line="300" w:lineRule="auto" w:before="68"/>
              <w:ind w:left="569" w:right="307"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6"/>
              <w:ind w:right="307"/>
              <w:rPr>
                <w:sz w:val="21"/>
              </w:rPr>
            </w:pPr>
            <w:r>
              <w:rPr>
                <w:sz w:val="21"/>
              </w:rPr>
              <w:t>上述疾病需由专科医生确诊，并提供相应医疗记录以证实上述病情已经存在至少 3 个月。</w:t>
            </w:r>
          </w:p>
          <w:p>
            <w:pPr>
              <w:pStyle w:val="TableParagraph"/>
              <w:spacing w:before="0"/>
              <w:ind w:left="0"/>
              <w:rPr>
                <w:rFonts w:ascii="Times New Roman"/>
                <w:sz w:val="20"/>
              </w:rPr>
            </w:pPr>
          </w:p>
          <w:p>
            <w:pPr>
              <w:pStyle w:val="TableParagraph"/>
              <w:tabs>
                <w:tab w:pos="989" w:val="left" w:leader="none"/>
              </w:tabs>
              <w:spacing w:before="129"/>
              <w:rPr>
                <w:sz w:val="21"/>
              </w:rPr>
            </w:pPr>
            <w:r>
              <w:rPr>
                <w:sz w:val="21"/>
              </w:rPr>
              <w:t>(30)</w:t>
              <w:tab/>
            </w:r>
            <w:r>
              <w:rPr>
                <w:spacing w:val="-3"/>
                <w:sz w:val="21"/>
              </w:rPr>
              <w:t>全身性重症肌无力</w:t>
            </w:r>
          </w:p>
          <w:p>
            <w:pPr>
              <w:pStyle w:val="TableParagraph"/>
              <w:spacing w:line="300" w:lineRule="auto" w:before="68"/>
              <w:ind w:right="199"/>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686" w:hRule="atLeast"/>
        </w:trPr>
        <w:tc>
          <w:tcPr>
            <w:tcW w:w="735" w:type="dxa"/>
          </w:tcPr>
          <w:p>
            <w:pPr>
              <w:pStyle w:val="TableParagraph"/>
              <w:ind w:left="200"/>
              <w:rPr>
                <w:sz w:val="21"/>
              </w:rPr>
            </w:pPr>
            <w:r>
              <w:rPr>
                <w:w w:val="100"/>
                <w:sz w:val="21"/>
              </w:rPr>
              <w:t>四</w:t>
            </w:r>
          </w:p>
        </w:tc>
        <w:tc>
          <w:tcPr>
            <w:tcW w:w="1735" w:type="dxa"/>
          </w:tcPr>
          <w:p>
            <w:pPr>
              <w:pStyle w:val="TableParagraph"/>
              <w:ind w:left="324"/>
              <w:rPr>
                <w:sz w:val="21"/>
              </w:rPr>
            </w:pPr>
            <w:r>
              <w:rPr>
                <w:sz w:val="21"/>
              </w:rPr>
              <w:t>意外伤害</w:t>
            </w:r>
          </w:p>
        </w:tc>
        <w:tc>
          <w:tcPr>
            <w:tcW w:w="6765" w:type="dxa"/>
          </w:tcPr>
          <w:p>
            <w:pPr>
              <w:pStyle w:val="TableParagraph"/>
              <w:rPr>
                <w:sz w:val="21"/>
              </w:rPr>
            </w:pPr>
            <w:r>
              <w:rPr>
                <w:sz w:val="21"/>
              </w:rPr>
              <w:t>指外来的、突然的、非本意的、非疾病的使身体受到伤害的客观事件。</w:t>
            </w:r>
          </w:p>
        </w:tc>
      </w:tr>
      <w:tr>
        <w:trPr>
          <w:trHeight w:val="1716" w:hRule="atLeast"/>
        </w:trPr>
        <w:tc>
          <w:tcPr>
            <w:tcW w:w="735" w:type="dxa"/>
          </w:tcPr>
          <w:p>
            <w:pPr>
              <w:pStyle w:val="TableParagraph"/>
              <w:ind w:left="200"/>
              <w:rPr>
                <w:sz w:val="21"/>
              </w:rPr>
            </w:pPr>
            <w:r>
              <w:rPr>
                <w:w w:val="100"/>
                <w:sz w:val="21"/>
              </w:rPr>
              <w:t>五</w:t>
            </w:r>
          </w:p>
        </w:tc>
        <w:tc>
          <w:tcPr>
            <w:tcW w:w="1735" w:type="dxa"/>
          </w:tcPr>
          <w:p>
            <w:pPr>
              <w:pStyle w:val="TableParagraph"/>
              <w:ind w:left="324"/>
              <w:rPr>
                <w:sz w:val="21"/>
              </w:rPr>
            </w:pPr>
            <w:r>
              <w:rPr>
                <w:sz w:val="21"/>
              </w:rPr>
              <w:t>毒品</w:t>
            </w:r>
          </w:p>
        </w:tc>
        <w:tc>
          <w:tcPr>
            <w:tcW w:w="6765" w:type="dxa"/>
          </w:tcPr>
          <w:p>
            <w:pPr>
              <w:pStyle w:val="TableParagraph"/>
              <w:spacing w:line="300" w:lineRule="auto"/>
              <w:ind w:right="307"/>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735" w:type="dxa"/>
          </w:tcPr>
          <w:p>
            <w:pPr>
              <w:pStyle w:val="TableParagraph"/>
              <w:ind w:left="200"/>
              <w:rPr>
                <w:sz w:val="21"/>
              </w:rPr>
            </w:pPr>
            <w:r>
              <w:rPr>
                <w:w w:val="100"/>
                <w:sz w:val="21"/>
              </w:rPr>
              <w:t>六</w:t>
            </w:r>
          </w:p>
        </w:tc>
        <w:tc>
          <w:tcPr>
            <w:tcW w:w="1735" w:type="dxa"/>
          </w:tcPr>
          <w:p>
            <w:pPr>
              <w:pStyle w:val="TableParagraph"/>
              <w:ind w:left="324"/>
              <w:rPr>
                <w:sz w:val="21"/>
              </w:rPr>
            </w:pPr>
            <w:r>
              <w:rPr>
                <w:sz w:val="21"/>
              </w:rPr>
              <w:t>酒后驾驶</w:t>
            </w:r>
          </w:p>
        </w:tc>
        <w:tc>
          <w:tcPr>
            <w:tcW w:w="6765" w:type="dxa"/>
          </w:tcPr>
          <w:p>
            <w:pPr>
              <w:pStyle w:val="TableParagraph"/>
              <w:spacing w:line="300" w:lineRule="auto"/>
              <w:ind w:right="307"/>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3" w:hRule="atLeast"/>
        </w:trPr>
        <w:tc>
          <w:tcPr>
            <w:tcW w:w="735" w:type="dxa"/>
          </w:tcPr>
          <w:p>
            <w:pPr>
              <w:pStyle w:val="TableParagraph"/>
              <w:ind w:left="200"/>
              <w:rPr>
                <w:sz w:val="21"/>
              </w:rPr>
            </w:pPr>
            <w:r>
              <w:rPr>
                <w:w w:val="100"/>
                <w:sz w:val="21"/>
              </w:rPr>
              <w:t>七</w:t>
            </w:r>
          </w:p>
        </w:tc>
        <w:tc>
          <w:tcPr>
            <w:tcW w:w="1735" w:type="dxa"/>
          </w:tcPr>
          <w:p>
            <w:pPr>
              <w:pStyle w:val="TableParagraph"/>
              <w:spacing w:line="300" w:lineRule="auto"/>
              <w:ind w:left="324" w:right="146"/>
              <w:rPr>
                <w:sz w:val="21"/>
              </w:rPr>
            </w:pPr>
            <w:r>
              <w:rPr>
                <w:sz w:val="21"/>
              </w:rPr>
              <w:t>无合法有效驾驶证驾驶</w:t>
            </w:r>
          </w:p>
        </w:tc>
        <w:tc>
          <w:tcPr>
            <w:tcW w:w="6765" w:type="dxa"/>
          </w:tcPr>
          <w:p>
            <w:pPr>
              <w:pStyle w:val="TableParagraph"/>
              <w:rPr>
                <w:sz w:val="21"/>
              </w:rPr>
            </w:pPr>
            <w:r>
              <w:rPr>
                <w:sz w:val="21"/>
              </w:rPr>
              <w:t>指下列情形之一：</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持审验不合格的驾驶证驾驶；</w:t>
            </w:r>
          </w:p>
          <w:p>
            <w:pPr>
              <w:pStyle w:val="TableParagraph"/>
              <w:numPr>
                <w:ilvl w:val="0"/>
                <w:numId w:val="5"/>
              </w:numPr>
              <w:tabs>
                <w:tab w:pos="510" w:val="left" w:leader="none"/>
              </w:tabs>
              <w:spacing w:line="300" w:lineRule="auto" w:before="68" w:after="0"/>
              <w:ind w:left="509" w:right="197" w:hanging="360"/>
              <w:jc w:val="left"/>
              <w:rPr>
                <w:sz w:val="21"/>
              </w:rPr>
            </w:pPr>
            <w:r>
              <w:rPr>
                <w:spacing w:val="-6"/>
                <w:sz w:val="21"/>
              </w:rPr>
              <w:t>持学习驾驶证学习驾车时，无教练员随车指导，或不按指定时间、</w:t>
            </w:r>
            <w:r>
              <w:rPr>
                <w:spacing w:val="-4"/>
                <w:sz w:val="21"/>
              </w:rPr>
              <w:t>路线学习驾车。</w:t>
            </w:r>
          </w:p>
        </w:tc>
      </w:tr>
      <w:tr>
        <w:trPr>
          <w:trHeight w:val="1135" w:hRule="atLeast"/>
        </w:trPr>
        <w:tc>
          <w:tcPr>
            <w:tcW w:w="735" w:type="dxa"/>
          </w:tcPr>
          <w:p>
            <w:pPr>
              <w:pStyle w:val="TableParagraph"/>
              <w:ind w:left="200"/>
              <w:rPr>
                <w:sz w:val="21"/>
              </w:rPr>
            </w:pPr>
            <w:r>
              <w:rPr>
                <w:w w:val="100"/>
                <w:sz w:val="21"/>
              </w:rPr>
              <w:t>八</w:t>
            </w:r>
          </w:p>
        </w:tc>
        <w:tc>
          <w:tcPr>
            <w:tcW w:w="1735" w:type="dxa"/>
          </w:tcPr>
          <w:p>
            <w:pPr>
              <w:pStyle w:val="TableParagraph"/>
              <w:ind w:left="324"/>
              <w:rPr>
                <w:sz w:val="21"/>
              </w:rPr>
            </w:pPr>
            <w:r>
              <w:rPr>
                <w:sz w:val="21"/>
              </w:rPr>
              <w:t>无有效行驶证</w:t>
            </w:r>
          </w:p>
        </w:tc>
        <w:tc>
          <w:tcPr>
            <w:tcW w:w="6765" w:type="dxa"/>
          </w:tcPr>
          <w:p>
            <w:pPr>
              <w:pStyle w:val="TableParagraph"/>
              <w:rPr>
                <w:sz w:val="21"/>
              </w:rPr>
            </w:pPr>
            <w:r>
              <w:rPr>
                <w:sz w:val="21"/>
              </w:rPr>
              <w:t>指下列情形之一：</w:t>
            </w:r>
          </w:p>
          <w:p>
            <w:pPr>
              <w:pStyle w:val="TableParagraph"/>
              <w:numPr>
                <w:ilvl w:val="0"/>
                <w:numId w:val="6"/>
              </w:numPr>
              <w:tabs>
                <w:tab w:pos="510" w:val="left" w:leader="none"/>
              </w:tabs>
              <w:spacing w:line="240" w:lineRule="auto" w:before="68" w:after="0"/>
              <w:ind w:left="509" w:right="0" w:hanging="360"/>
              <w:jc w:val="left"/>
              <w:rPr>
                <w:sz w:val="21"/>
              </w:rPr>
            </w:pPr>
            <w:r>
              <w:rPr>
                <w:spacing w:val="-3"/>
                <w:sz w:val="21"/>
              </w:rPr>
              <w:t>机动车被依法注销登记的；</w:t>
            </w:r>
          </w:p>
          <w:p>
            <w:pPr>
              <w:pStyle w:val="TableParagraph"/>
              <w:numPr>
                <w:ilvl w:val="0"/>
                <w:numId w:val="6"/>
              </w:numPr>
              <w:tabs>
                <w:tab w:pos="510" w:val="left" w:leader="none"/>
              </w:tabs>
              <w:spacing w:line="255" w:lineRule="exact" w:before="68" w:after="0"/>
              <w:ind w:left="509" w:right="0" w:hanging="360"/>
              <w:jc w:val="left"/>
              <w:rPr>
                <w:sz w:val="21"/>
              </w:rPr>
            </w:pPr>
            <w:r>
              <w:rPr>
                <w:spacing w:val="-3"/>
                <w:sz w:val="21"/>
              </w:rPr>
              <w:t>未依法按时进行或通过机动车安全技术检验。</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135" w:hRule="atLeast"/>
        </w:trPr>
        <w:tc>
          <w:tcPr>
            <w:tcW w:w="894" w:type="dxa"/>
          </w:tcPr>
          <w:p>
            <w:pPr>
              <w:pStyle w:val="TableParagraph"/>
              <w:spacing w:line="211" w:lineRule="exact" w:before="0"/>
              <w:ind w:left="0" w:right="69"/>
              <w:jc w:val="center"/>
              <w:rPr>
                <w:sz w:val="21"/>
              </w:rPr>
            </w:pPr>
            <w:r>
              <w:rPr>
                <w:w w:val="100"/>
                <w:sz w:val="21"/>
              </w:rPr>
              <w:t>九</w:t>
            </w:r>
          </w:p>
        </w:tc>
        <w:tc>
          <w:tcPr>
            <w:tcW w:w="1683" w:type="dxa"/>
          </w:tcPr>
          <w:p>
            <w:pPr>
              <w:pStyle w:val="TableParagraph"/>
              <w:spacing w:line="211" w:lineRule="exact" w:before="0"/>
              <w:ind w:left="270"/>
              <w:rPr>
                <w:sz w:val="21"/>
              </w:rPr>
            </w:pPr>
            <w:r>
              <w:rPr>
                <w:sz w:val="21"/>
              </w:rPr>
              <w:t>先天性畸形、</w:t>
            </w:r>
          </w:p>
          <w:p>
            <w:pPr>
              <w:pStyle w:val="TableParagraph"/>
              <w:spacing w:line="300" w:lineRule="auto" w:before="68"/>
              <w:ind w:left="270" w:right="147"/>
              <w:rPr>
                <w:sz w:val="21"/>
              </w:rPr>
            </w:pPr>
            <w:r>
              <w:rPr>
                <w:sz w:val="21"/>
              </w:rPr>
              <w:t>变形或染色体异常</w:t>
            </w:r>
          </w:p>
        </w:tc>
        <w:tc>
          <w:tcPr>
            <w:tcW w:w="6763" w:type="dxa"/>
          </w:tcPr>
          <w:p>
            <w:pPr>
              <w:pStyle w:val="TableParagraph"/>
              <w:spacing w:line="211" w:lineRule="exact" w:before="0"/>
              <w:ind w:left="148"/>
              <w:rPr>
                <w:sz w:val="21"/>
              </w:rPr>
            </w:pPr>
            <w:r>
              <w:rPr>
                <w:sz w:val="21"/>
              </w:rPr>
              <w:t>指被保险人出生时就具有的畸形、变形或染色体异常。先天性畸形、</w:t>
            </w:r>
          </w:p>
          <w:p>
            <w:pPr>
              <w:pStyle w:val="TableParagraph"/>
              <w:spacing w:line="300" w:lineRule="auto" w:before="68"/>
              <w:ind w:left="148" w:right="306"/>
              <w:rPr>
                <w:sz w:val="21"/>
              </w:rPr>
            </w:pPr>
            <w:r>
              <w:rPr>
                <w:sz w:val="21"/>
              </w:rPr>
              <w:t>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3" w:type="dxa"/>
          </w:tcPr>
          <w:p>
            <w:pPr>
              <w:pStyle w:val="TableParagraph"/>
              <w:spacing w:line="300" w:lineRule="auto"/>
              <w:ind w:left="148" w:right="199"/>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2746"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专科医生</w:t>
            </w:r>
          </w:p>
        </w:tc>
        <w:tc>
          <w:tcPr>
            <w:tcW w:w="6763" w:type="dxa"/>
          </w:tcPr>
          <w:p>
            <w:pPr>
              <w:pStyle w:val="TableParagraph"/>
              <w:ind w:left="148"/>
              <w:rPr>
                <w:sz w:val="21"/>
              </w:rPr>
            </w:pPr>
            <w:r>
              <w:rPr>
                <w:sz w:val="21"/>
              </w:rPr>
              <w:t>专科医生应当同时满足以下四项资格条件：</w:t>
            </w:r>
          </w:p>
          <w:p>
            <w:pPr>
              <w:pStyle w:val="TableParagraph"/>
              <w:numPr>
                <w:ilvl w:val="0"/>
                <w:numId w:val="7"/>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7"/>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7"/>
              </w:numPr>
              <w:tabs>
                <w:tab w:pos="509" w:val="left" w:leader="none"/>
              </w:tabs>
              <w:spacing w:line="300" w:lineRule="auto" w:before="16"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7"/>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5"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穿衣：自己能够穿衣及脱衣；</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移动：自己从一个房间到另一个房间；</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行动：自己上下床或上下轮椅；</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如厕：自己控制进行大小便；</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进食：自己从已准备好的碗或碟中取食物放入口中；</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洗澡：自己进行淋浴或盆浴。</w:t>
            </w:r>
          </w:p>
        </w:tc>
      </w:tr>
      <w:tr>
        <w:trPr>
          <w:trHeight w:val="1029" w:hRule="atLeast"/>
        </w:trPr>
        <w:tc>
          <w:tcPr>
            <w:tcW w:w="894" w:type="dxa"/>
          </w:tcPr>
          <w:p>
            <w:pPr>
              <w:pStyle w:val="TableParagraph"/>
              <w:ind w:left="182" w:right="251"/>
              <w:jc w:val="center"/>
              <w:rPr>
                <w:sz w:val="21"/>
              </w:rPr>
            </w:pPr>
            <w:r>
              <w:rPr>
                <w:sz w:val="21"/>
              </w:rPr>
              <w:t>十五</w:t>
            </w:r>
          </w:p>
        </w:tc>
        <w:tc>
          <w:tcPr>
            <w:tcW w:w="1683" w:type="dxa"/>
          </w:tcPr>
          <w:p>
            <w:pPr>
              <w:pStyle w:val="TableParagraph"/>
              <w:ind w:left="270"/>
              <w:rPr>
                <w:sz w:val="21"/>
              </w:rPr>
            </w:pPr>
            <w:r>
              <w:rPr>
                <w:sz w:val="21"/>
              </w:rPr>
              <w:t>永久不可逆</w:t>
            </w:r>
          </w:p>
        </w:tc>
        <w:tc>
          <w:tcPr>
            <w:tcW w:w="6763" w:type="dxa"/>
          </w:tcPr>
          <w:p>
            <w:pPr>
              <w:pStyle w:val="TableParagraph"/>
              <w:spacing w:line="300" w:lineRule="auto"/>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1" w:hRule="atLeast"/>
        </w:trPr>
        <w:tc>
          <w:tcPr>
            <w:tcW w:w="894" w:type="dxa"/>
          </w:tcPr>
          <w:p>
            <w:pPr>
              <w:pStyle w:val="TableParagraph"/>
              <w:ind w:left="182" w:right="251"/>
              <w:jc w:val="center"/>
              <w:rPr>
                <w:sz w:val="21"/>
              </w:rPr>
            </w:pPr>
            <w:r>
              <w:rPr>
                <w:sz w:val="21"/>
              </w:rPr>
              <w:t>十六</w:t>
            </w:r>
          </w:p>
        </w:tc>
        <w:tc>
          <w:tcPr>
            <w:tcW w:w="1683" w:type="dxa"/>
          </w:tcPr>
          <w:p>
            <w:pPr>
              <w:pStyle w:val="TableParagraph"/>
              <w:ind w:left="270"/>
              <w:rPr>
                <w:sz w:val="21"/>
              </w:rPr>
            </w:pPr>
            <w:r>
              <w:rPr>
                <w:sz w:val="21"/>
              </w:rPr>
              <w:t>周岁</w:t>
            </w:r>
          </w:p>
        </w:tc>
        <w:tc>
          <w:tcPr>
            <w:tcW w:w="6763" w:type="dxa"/>
          </w:tcPr>
          <w:p>
            <w:pPr>
              <w:pStyle w:val="TableParagraph"/>
              <w:spacing w:line="340" w:lineRule="atLeast" w:before="108"/>
              <w:ind w:left="148"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208.1pt;height:11pt;mso-position-horizontal-relative:page;mso-position-vertical-relative:page;z-index:-18376" type="#_x0000_t202" filled="false" stroked="false">
          <v:textbox inset="0,0,0,0">
            <w:txbxContent>
              <w:p>
                <w:pPr>
                  <w:spacing w:line="200" w:lineRule="exact" w:before="0"/>
                  <w:ind w:left="20" w:right="0" w:firstLine="0"/>
                  <w:jc w:val="left"/>
                  <w:rPr>
                    <w:sz w:val="18"/>
                  </w:rPr>
                </w:pPr>
                <w:r>
                  <w:rPr>
                    <w:sz w:val="18"/>
                  </w:rPr>
                  <w:t>中航三星附加保险费豁免定期重大疾病保险（2010）</w:t>
                </w:r>
              </w:p>
            </w:txbxContent>
          </v:textbox>
          <w10:wrap type="none"/>
        </v:shape>
      </w:pict>
    </w:r>
    <w:r>
      <w:rPr/>
      <w:pict>
        <v:shape style="position:absolute;margin-left:314.290009pt;margin-top:780.961609pt;width:20pt;height:11pt;mso-position-horizontal-relative:page;mso-position-vertical-relative:page;z-index:-1835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9.309998pt;margin-top:780.961609pt;width:81.95pt;height:11pt;mso-position-horizontal-relative:page;mso-position-vertical-relative:page;z-index:-18328" type="#_x0000_t202" filled="false" stroked="false">
          <v:textbox inset="0,0,0,0">
            <w:txbxContent>
              <w:p>
                <w:pPr>
                  <w:spacing w:line="200" w:lineRule="exact" w:before="0"/>
                  <w:ind w:left="20" w:right="0" w:firstLine="0"/>
                  <w:jc w:val="left"/>
                  <w:rPr>
                    <w:sz w:val="18"/>
                  </w:rPr>
                </w:pPr>
                <w:r>
                  <w:rPr>
                    <w:spacing w:val="-1"/>
                    <w:sz w:val="18"/>
                  </w:rPr>
                  <w:t>第 </w:t>
                </w:r>
                <w:r>
                  <w:rPr/>
                  <w:fldChar w:fldCharType="begin"/>
                </w:r>
                <w:r>
                  <w:rPr>
                    <w:sz w:val="18"/>
                  </w:rPr>
                  <w:instrText> PAGE </w:instrText>
                </w:r>
                <w:r>
                  <w:rPr/>
                  <w:fldChar w:fldCharType="separate"/>
                </w:r>
                <w:r>
                  <w:rPr/>
                  <w:t>10</w:t>
                </w:r>
                <w:r>
                  <w:rPr/>
                  <w:fldChar w:fldCharType="end"/>
                </w:r>
                <w:r>
                  <w:rPr>
                    <w:spacing w:val="-6"/>
                    <w:sz w:val="18"/>
                  </w:rPr>
                  <w:t> 页，共 </w:t>
                </w:r>
                <w:r>
                  <w:rPr>
                    <w:sz w:val="18"/>
                  </w:rPr>
                  <w:t>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5">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4">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3">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4" w:hanging="212"/>
      </w:pPr>
      <w:rPr>
        <w:rFonts w:hint="default"/>
      </w:rPr>
    </w:lvl>
    <w:lvl w:ilvl="2">
      <w:start w:val="0"/>
      <w:numFmt w:val="bullet"/>
      <w:lvlText w:val="•"/>
      <w:lvlJc w:val="left"/>
      <w:pPr>
        <w:ind w:left="4509" w:hanging="212"/>
      </w:pPr>
      <w:rPr>
        <w:rFonts w:hint="default"/>
      </w:rPr>
    </w:lvl>
    <w:lvl w:ilvl="3">
      <w:start w:val="0"/>
      <w:numFmt w:val="bullet"/>
      <w:lvlText w:val="•"/>
      <w:lvlJc w:val="left"/>
      <w:pPr>
        <w:ind w:left="5133" w:hanging="212"/>
      </w:pPr>
      <w:rPr>
        <w:rFonts w:hint="default"/>
      </w:rPr>
    </w:lvl>
    <w:lvl w:ilvl="4">
      <w:start w:val="0"/>
      <w:numFmt w:val="bullet"/>
      <w:lvlText w:val="•"/>
      <w:lvlJc w:val="left"/>
      <w:pPr>
        <w:ind w:left="5758" w:hanging="212"/>
      </w:pPr>
      <w:rPr>
        <w:rFonts w:hint="default"/>
      </w:rPr>
    </w:lvl>
    <w:lvl w:ilvl="5">
      <w:start w:val="0"/>
      <w:numFmt w:val="bullet"/>
      <w:lvlText w:val="•"/>
      <w:lvlJc w:val="left"/>
      <w:pPr>
        <w:ind w:left="6383" w:hanging="212"/>
      </w:pPr>
      <w:rPr>
        <w:rFonts w:hint="default"/>
      </w:rPr>
    </w:lvl>
    <w:lvl w:ilvl="6">
      <w:start w:val="0"/>
      <w:numFmt w:val="bullet"/>
      <w:lvlText w:val="•"/>
      <w:lvlJc w:val="left"/>
      <w:pPr>
        <w:ind w:left="7007" w:hanging="212"/>
      </w:pPr>
      <w:rPr>
        <w:rFonts w:hint="default"/>
      </w:rPr>
    </w:lvl>
    <w:lvl w:ilvl="7">
      <w:start w:val="0"/>
      <w:numFmt w:val="bullet"/>
      <w:lvlText w:val="•"/>
      <w:lvlJc w:val="left"/>
      <w:pPr>
        <w:ind w:left="7632" w:hanging="212"/>
      </w:pPr>
      <w:rPr>
        <w:rFonts w:hint="default"/>
      </w:rPr>
    </w:lvl>
    <w:lvl w:ilvl="8">
      <w:start w:val="0"/>
      <w:numFmt w:val="bullet"/>
      <w:lvlText w:val="•"/>
      <w:lvlJc w:val="left"/>
      <w:pPr>
        <w:ind w:left="8257" w:hanging="212"/>
      </w:pPr>
      <w:rPr>
        <w:rFonts w:hint="default"/>
      </w:rPr>
    </w:lvl>
  </w:abstractNum>
  <w:abstractNum w:abstractNumId="2">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1">
    <w:multiLevelType w:val="hybridMultilevel"/>
    <w:lvl w:ilvl="0">
      <w:start w:val="4"/>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0">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8" w:hanging="420"/>
      </w:pPr>
      <w:rPr>
        <w:rFonts w:hint="default"/>
      </w:rPr>
    </w:lvl>
    <w:lvl w:ilvl="3">
      <w:start w:val="0"/>
      <w:numFmt w:val="bullet"/>
      <w:lvlText w:val="•"/>
      <w:lvlJc w:val="left"/>
      <w:pPr>
        <w:ind w:left="2637" w:hanging="420"/>
      </w:pPr>
      <w:rPr>
        <w:rFonts w:hint="default"/>
      </w:rPr>
    </w:lvl>
    <w:lvl w:ilvl="4">
      <w:start w:val="0"/>
      <w:numFmt w:val="bullet"/>
      <w:lvlText w:val="•"/>
      <w:lvlJc w:val="left"/>
      <w:pPr>
        <w:ind w:left="3256" w:hanging="420"/>
      </w:pPr>
      <w:rPr>
        <w:rFonts w:hint="default"/>
      </w:rPr>
    </w:lvl>
    <w:lvl w:ilvl="5">
      <w:start w:val="0"/>
      <w:numFmt w:val="bullet"/>
      <w:lvlText w:val="•"/>
      <w:lvlJc w:val="left"/>
      <w:pPr>
        <w:ind w:left="3876" w:hanging="420"/>
      </w:pPr>
      <w:rPr>
        <w:rFonts w:hint="default"/>
      </w:rPr>
    </w:lvl>
    <w:lvl w:ilvl="6">
      <w:start w:val="0"/>
      <w:numFmt w:val="bullet"/>
      <w:lvlText w:val="•"/>
      <w:lvlJc w:val="left"/>
      <w:pPr>
        <w:ind w:left="4495" w:hanging="420"/>
      </w:pPr>
      <w:rPr>
        <w:rFonts w:hint="default"/>
      </w:rPr>
    </w:lvl>
    <w:lvl w:ilvl="7">
      <w:start w:val="0"/>
      <w:numFmt w:val="bullet"/>
      <w:lvlText w:val="•"/>
      <w:lvlJc w:val="left"/>
      <w:pPr>
        <w:ind w:left="5114" w:hanging="420"/>
      </w:pPr>
      <w:rPr>
        <w:rFonts w:hint="default"/>
      </w:rPr>
    </w:lvl>
    <w:lvl w:ilvl="8">
      <w:start w:val="0"/>
      <w:numFmt w:val="bullet"/>
      <w:lvlText w:val="•"/>
      <w:lvlJc w:val="left"/>
      <w:pPr>
        <w:ind w:left="5733"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2018-10-20T02:22:49Z</dcterms:created>
  <dcterms:modified xsi:type="dcterms:W3CDTF">2018-10-20T02:22:49Z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2018-10-19T00:00:00Z</vt:filetime>
  </property>
</Properties>
</file>