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16"/>
        </w:rPr>
      </w:pPr>
    </w:p>
    <w:p>
      <w:pPr>
        <w:spacing w:line="260" w:lineRule="exact" w:before="38"/>
        <w:ind w:left="5203" w:right="0" w:firstLine="0"/>
        <w:jc w:val="left"/>
        <w:rPr>
          <w:sz w:val="20"/>
        </w:rPr>
      </w:pPr>
      <w:r>
        <w:rPr/>
        <w:drawing>
          <wp:anchor distT="0" distB="0" distL="0" distR="0" allowOverlap="1" layoutInCell="1" locked="0" behindDoc="0" simplePos="0" relativeHeight="1048">
            <wp:simplePos x="0" y="0"/>
            <wp:positionH relativeFrom="page">
              <wp:posOffset>5932804</wp:posOffset>
            </wp:positionH>
            <wp:positionV relativeFrom="paragraph">
              <wp:posOffset>-551945</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20"/>
        </w:rPr>
        <w:t>信泰人寿[2010]疾病保险 001 号</w:t>
      </w:r>
    </w:p>
    <w:p>
      <w:pPr>
        <w:spacing w:line="260" w:lineRule="exact" w:before="0"/>
        <w:ind w:left="0" w:right="281" w:firstLine="0"/>
        <w:jc w:val="right"/>
        <w:rPr>
          <w:sz w:val="20"/>
        </w:rPr>
      </w:pPr>
      <w:r>
        <w:rPr/>
        <w:pict>
          <v:line style="position:absolute;mso-position-horizontal-relative:page;mso-position-vertical-relative:paragraph;z-index:0;mso-wrap-distance-left:0;mso-wrap-distance-right:0" from="49.560001pt,15.936725pt" to="545.740001pt,15.936725pt" stroked="true" strokeweight=".72pt" strokecolor="#000000">
            <v:stroke dashstyle="solid"/>
            <w10:wrap type="topAndBottom"/>
          </v:line>
        </w:pict>
      </w:r>
      <w:r>
        <w:rPr>
          <w:w w:val="95"/>
          <w:sz w:val="20"/>
        </w:rPr>
        <w:t>请扫描以查询验证条款</w:t>
      </w:r>
    </w:p>
    <w:p>
      <w:pPr>
        <w:pStyle w:val="Heading1"/>
        <w:spacing w:line="381" w:lineRule="auto" w:before="37"/>
        <w:ind w:left="2200" w:right="2196"/>
        <w:jc w:val="center"/>
      </w:pPr>
      <w:r>
        <w:rPr/>
        <w:t>信泰附加世纪星辰提前给付重大疾病保险条款</w:t>
      </w:r>
      <w:r>
        <w:rPr>
          <w:w w:val="95"/>
        </w:rPr>
        <w:t>阅读指引</w:t>
      </w:r>
    </w:p>
    <w:p>
      <w:pPr>
        <w:pStyle w:val="BodyText"/>
        <w:spacing w:line="332" w:lineRule="exact"/>
        <w:ind w:left="2197" w:right="2196"/>
        <w:jc w:val="center"/>
      </w:pPr>
      <w:r>
        <w:rPr/>
        <w:pict>
          <v:group style="position:absolute;margin-left:42.84pt;margin-top:18.320610pt;width:509.5pt;height:529.3pt;mso-position-horizontal-relative:page;mso-position-vertical-relative:paragraph;z-index:-22096" coordorigin="857,366" coordsize="10190,10586">
            <v:shape style="position:absolute;left:856;top:366;width:10190;height:10586" type="#_x0000_t75" stroked="false">
              <v:imagedata r:id="rId6" o:title=""/>
            </v:shape>
            <v:rect style="position:absolute;left:1987;top:5054;width:8400;height:5354" filled="false" stroked="true" strokeweight=".75pt" strokecolor="#000000">
              <v:stroke dashstyle="dot"/>
            </v:rect>
            <w10:wrap type="none"/>
          </v:group>
        </w:pict>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旨</w:t>
      </w:r>
      <w:r>
        <w:rPr>
          <w:spacing w:val="-63"/>
          <w:w w:val="100"/>
          <w:position w:val="-7"/>
        </w:rPr>
        <w:t>．</w:t>
      </w:r>
      <w:r>
        <w:rPr>
          <w:spacing w:val="-152"/>
          <w:w w:val="100"/>
        </w:rPr>
        <w:t>在</w:t>
      </w:r>
      <w:r>
        <w:rPr>
          <w:spacing w:val="-63"/>
          <w:w w:val="100"/>
          <w:position w:val="-7"/>
        </w:rPr>
        <w:t>．</w:t>
      </w:r>
      <w:r>
        <w:rPr>
          <w:spacing w:val="-149"/>
          <w:w w:val="100"/>
        </w:rPr>
        <w:t>帮</w:t>
      </w:r>
      <w:r>
        <w:rPr>
          <w:spacing w:val="-63"/>
          <w:w w:val="100"/>
          <w:position w:val="-7"/>
        </w:rPr>
        <w:t>．</w:t>
      </w:r>
      <w:r>
        <w:rPr>
          <w:spacing w:val="-152"/>
          <w:w w:val="100"/>
        </w:rPr>
        <w:t>助</w:t>
      </w:r>
      <w:r>
        <w:rPr>
          <w:spacing w:val="-63"/>
          <w:w w:val="100"/>
          <w:position w:val="-7"/>
        </w:rPr>
        <w:t>．</w:t>
      </w:r>
      <w:r>
        <w:rPr>
          <w:spacing w:val="-149"/>
          <w:w w:val="100"/>
        </w:rPr>
        <w:t>您</w:t>
      </w:r>
      <w:r>
        <w:rPr>
          <w:spacing w:val="-63"/>
          <w:w w:val="100"/>
          <w:position w:val="-7"/>
        </w:rPr>
        <w:t>．</w:t>
      </w:r>
      <w:r>
        <w:rPr>
          <w:spacing w:val="-152"/>
          <w:w w:val="100"/>
        </w:rPr>
        <w:t>理</w:t>
      </w:r>
      <w:r>
        <w:rPr>
          <w:spacing w:val="-63"/>
          <w:w w:val="100"/>
          <w:position w:val="-7"/>
        </w:rPr>
        <w:t>．</w:t>
      </w:r>
      <w:r>
        <w:rPr>
          <w:spacing w:val="-149"/>
          <w:w w:val="100"/>
        </w:rPr>
        <w:t>解</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49"/>
          <w:w w:val="100"/>
        </w:rPr>
        <w:t>，</w:t>
      </w:r>
      <w:r>
        <w:rPr>
          <w:spacing w:val="-63"/>
          <w:w w:val="100"/>
          <w:position w:val="-7"/>
        </w:rPr>
        <w:t>．</w:t>
      </w:r>
      <w:r>
        <w:rPr>
          <w:spacing w:val="-152"/>
          <w:w w:val="100"/>
        </w:rPr>
        <w:t>具</w:t>
      </w:r>
      <w:r>
        <w:rPr>
          <w:spacing w:val="-63"/>
          <w:w w:val="100"/>
          <w:position w:val="-7"/>
        </w:rPr>
        <w:t>．</w:t>
      </w:r>
      <w:r>
        <w:rPr>
          <w:spacing w:val="-149"/>
          <w:w w:val="100"/>
        </w:rPr>
        <w:t>体</w:t>
      </w:r>
      <w:r>
        <w:rPr>
          <w:spacing w:val="-63"/>
          <w:w w:val="100"/>
          <w:position w:val="-7"/>
        </w:rPr>
        <w:t>．</w:t>
      </w:r>
      <w:r>
        <w:rPr>
          <w:spacing w:val="-152"/>
          <w:w w:val="100"/>
        </w:rPr>
        <w:t>内</w:t>
      </w:r>
      <w:r>
        <w:rPr>
          <w:spacing w:val="-63"/>
          <w:w w:val="100"/>
          <w:position w:val="-7"/>
        </w:rPr>
        <w:t>．</w:t>
      </w:r>
      <w:r>
        <w:rPr>
          <w:spacing w:val="-149"/>
          <w:w w:val="100"/>
        </w:rPr>
        <w:t>容</w:t>
      </w:r>
      <w:r>
        <w:rPr>
          <w:spacing w:val="-63"/>
          <w:w w:val="100"/>
          <w:position w:val="-7"/>
        </w:rPr>
        <w:t>．</w:t>
      </w:r>
      <w:r>
        <w:rPr>
          <w:spacing w:val="-152"/>
          <w:w w:val="100"/>
        </w:rPr>
        <w:t>以</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49"/>
          <w:w w:val="100"/>
        </w:rPr>
        <w:t>约</w:t>
      </w:r>
      <w:r>
        <w:rPr>
          <w:spacing w:val="-63"/>
          <w:w w:val="100"/>
          <w:position w:val="-7"/>
        </w:rPr>
        <w:t>．</w:t>
      </w:r>
      <w:r>
        <w:rPr>
          <w:spacing w:val="-149"/>
          <w:w w:val="100"/>
        </w:rPr>
        <w:t>定</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w w:val="100"/>
        </w:rPr>
        <w:t>。</w:t>
      </w:r>
    </w:p>
    <w:p>
      <w:pPr>
        <w:pStyle w:val="Heading2"/>
        <w:tabs>
          <w:tab w:pos="1266" w:val="left" w:leader="none"/>
        </w:tabs>
        <w:spacing w:before="82"/>
        <w:ind w:left="255"/>
      </w:pPr>
      <w:r>
        <w:rPr>
          <w:rFonts w:ascii="Arial" w:hAnsi="Arial" w:eastAsia="Arial"/>
          <w:w w:val="105"/>
          <w:position w:val="-11"/>
          <w:sz w:val="52"/>
        </w:rPr>
        <w:t></w:t>
        <w:tab/>
      </w:r>
      <w:r>
        <w:rPr>
          <w:spacing w:val="-1"/>
        </w:rPr>
        <w:t>您拥有的重要权益</w:t>
      </w:r>
    </w:p>
    <w:p>
      <w:pPr>
        <w:pStyle w:val="ListParagraph"/>
        <w:numPr>
          <w:ilvl w:val="0"/>
          <w:numId w:val="1"/>
        </w:numPr>
        <w:tabs>
          <w:tab w:pos="1648" w:val="left" w:leader="none"/>
          <w:tab w:pos="1649" w:val="left" w:leader="none"/>
          <w:tab w:pos="9951" w:val="right" w:leader="dot"/>
        </w:tabs>
        <w:spacing w:line="240" w:lineRule="auto" w:before="26" w:after="0"/>
        <w:ind w:left="1648" w:right="0" w:hanging="420"/>
        <w:jc w:val="left"/>
        <w:rPr>
          <w:sz w:val="21"/>
        </w:rPr>
      </w:pPr>
      <w:r>
        <w:rPr>
          <w:sz w:val="21"/>
        </w:rPr>
        <w:t>本附</w:t>
      </w:r>
      <w:r>
        <w:rPr>
          <w:spacing w:val="-3"/>
          <w:sz w:val="21"/>
        </w:rPr>
        <w:t>加</w:t>
      </w:r>
      <w:r>
        <w:rPr>
          <w:sz w:val="21"/>
        </w:rPr>
        <w:t>合</w:t>
      </w:r>
      <w:r>
        <w:rPr>
          <w:spacing w:val="-3"/>
          <w:sz w:val="21"/>
        </w:rPr>
        <w:t>同</w:t>
      </w:r>
      <w:r>
        <w:rPr>
          <w:sz w:val="21"/>
        </w:rPr>
        <w:t>为</w:t>
      </w:r>
      <w:r>
        <w:rPr>
          <w:spacing w:val="-3"/>
          <w:sz w:val="21"/>
        </w:rPr>
        <w:t>被</w:t>
      </w:r>
      <w:r>
        <w:rPr>
          <w:sz w:val="21"/>
        </w:rPr>
        <w:t>保</w:t>
      </w:r>
      <w:r>
        <w:rPr>
          <w:spacing w:val="-3"/>
          <w:sz w:val="21"/>
        </w:rPr>
        <w:t>险</w:t>
      </w:r>
      <w:r>
        <w:rPr>
          <w:sz w:val="21"/>
        </w:rPr>
        <w:t>人</w:t>
      </w:r>
      <w:r>
        <w:rPr>
          <w:spacing w:val="-3"/>
          <w:sz w:val="21"/>
        </w:rPr>
        <w:t>提</w:t>
      </w:r>
      <w:r>
        <w:rPr>
          <w:sz w:val="21"/>
        </w:rPr>
        <w:t>供的</w:t>
      </w:r>
      <w:r>
        <w:rPr>
          <w:spacing w:val="-3"/>
          <w:sz w:val="21"/>
        </w:rPr>
        <w:t>保</w:t>
      </w:r>
      <w:r>
        <w:rPr>
          <w:sz w:val="21"/>
        </w:rPr>
        <w:t>障</w:t>
      </w:r>
      <w:r>
        <w:rPr>
          <w:spacing w:val="-3"/>
          <w:sz w:val="21"/>
        </w:rPr>
        <w:t>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中列明</w:t>
        <w:tab/>
        <w:t>2.3</w:t>
      </w:r>
    </w:p>
    <w:p>
      <w:pPr>
        <w:pStyle w:val="Heading2"/>
        <w:tabs>
          <w:tab w:pos="1266" w:val="left" w:leader="none"/>
        </w:tabs>
        <w:spacing w:before="23"/>
        <w:ind w:left="255"/>
      </w:pPr>
      <w:r>
        <w:rPr>
          <w:rFonts w:ascii="Arial" w:hAnsi="Arial" w:eastAsia="Arial"/>
          <w:w w:val="105"/>
          <w:position w:val="-11"/>
          <w:sz w:val="52"/>
        </w:rPr>
        <w:t></w:t>
        <w:tab/>
      </w:r>
      <w:r>
        <w:rPr>
          <w:spacing w:val="-1"/>
        </w:rPr>
        <w:t>您需要特别注意的事项</w:t>
      </w:r>
    </w:p>
    <w:p>
      <w:pPr>
        <w:pStyle w:val="ListParagraph"/>
        <w:numPr>
          <w:ilvl w:val="0"/>
          <w:numId w:val="1"/>
        </w:numPr>
        <w:tabs>
          <w:tab w:pos="1648" w:val="left" w:leader="none"/>
          <w:tab w:pos="1649" w:val="left" w:leader="none"/>
        </w:tabs>
        <w:spacing w:line="240" w:lineRule="auto" w:before="26" w:after="0"/>
        <w:ind w:left="1648" w:right="0" w:hanging="420"/>
        <w:jc w:val="left"/>
        <w:rPr>
          <w:rFonts w:ascii="黑体" w:eastAsia="黑体" w:hint="eastAsia"/>
          <w:sz w:val="21"/>
        </w:rPr>
      </w:pPr>
      <w:r>
        <w:rPr>
          <w:rFonts w:ascii="黑体" w:eastAsia="黑体" w:hint="eastAsia"/>
          <w:spacing w:val="-17"/>
          <w:sz w:val="21"/>
        </w:rPr>
        <w:t>发</w:t>
      </w:r>
      <w:r>
        <w:rPr>
          <w:rFonts w:ascii="黑体" w:eastAsia="黑体" w:hint="eastAsia"/>
          <w:spacing w:val="-9"/>
          <w:sz w:val="21"/>
        </w:rPr>
        <w:t>Th</w:t>
      </w:r>
      <w:r>
        <w:rPr>
          <w:rFonts w:ascii="黑体" w:eastAsia="黑体" w:hint="eastAsia"/>
          <w:spacing w:val="-17"/>
          <w:sz w:val="21"/>
        </w:rPr>
        <w:t>责任免除情形之一导致被保险人被确诊本附加合同定义的重大疾病的，我们不承担给</w:t>
      </w:r>
    </w:p>
    <w:p>
      <w:pPr>
        <w:pStyle w:val="BodyText"/>
        <w:tabs>
          <w:tab w:pos="9951" w:val="right" w:leader="dot"/>
        </w:tabs>
        <w:spacing w:before="22"/>
        <w:ind w:left="1648"/>
      </w:pPr>
      <w:r>
        <w:rPr>
          <w:rFonts w:ascii="黑体" w:eastAsia="黑体" w:hint="eastAsia"/>
        </w:rPr>
        <w:t>付保</w:t>
      </w:r>
      <w:r>
        <w:rPr>
          <w:rFonts w:ascii="黑体" w:eastAsia="黑体" w:hint="eastAsia"/>
          <w:spacing w:val="-3"/>
        </w:rPr>
        <w:t>险</w:t>
      </w:r>
      <w:r>
        <w:rPr>
          <w:rFonts w:ascii="黑体" w:eastAsia="黑体" w:hint="eastAsia"/>
        </w:rPr>
        <w:t>金</w:t>
      </w:r>
      <w:r>
        <w:rPr>
          <w:rFonts w:ascii="黑体" w:eastAsia="黑体" w:hint="eastAsia"/>
          <w:spacing w:val="-3"/>
        </w:rPr>
        <w:t>的</w:t>
      </w:r>
      <w:r>
        <w:rPr>
          <w:rFonts w:ascii="黑体" w:eastAsia="黑体" w:hint="eastAsia"/>
        </w:rPr>
        <w:t>责任</w:t>
        <w:tab/>
      </w:r>
      <w:r>
        <w:rPr/>
        <w:t>2.4</w:t>
      </w:r>
    </w:p>
    <w:p>
      <w:pPr>
        <w:pStyle w:val="ListParagraph"/>
        <w:numPr>
          <w:ilvl w:val="0"/>
          <w:numId w:val="1"/>
        </w:numPr>
        <w:tabs>
          <w:tab w:pos="1648" w:val="left" w:leader="none"/>
          <w:tab w:pos="1649" w:val="left" w:leader="none"/>
          <w:tab w:pos="9951" w:val="right" w:leader="dot"/>
        </w:tabs>
        <w:spacing w:line="240" w:lineRule="auto" w:before="36" w:after="0"/>
        <w:ind w:left="1648" w:right="0" w:hanging="420"/>
        <w:jc w:val="left"/>
        <w:rPr>
          <w:sz w:val="21"/>
        </w:rPr>
      </w:pPr>
      <w:r>
        <w:rPr>
          <w:sz w:val="21"/>
        </w:rPr>
        <w:t>您应</w:t>
      </w:r>
      <w:r>
        <w:rPr>
          <w:spacing w:val="-3"/>
          <w:sz w:val="21"/>
        </w:rPr>
        <w:t>当</w:t>
      </w:r>
      <w:r>
        <w:rPr>
          <w:sz w:val="21"/>
        </w:rPr>
        <w:t>按</w:t>
      </w:r>
      <w:r>
        <w:rPr>
          <w:spacing w:val="-3"/>
          <w:sz w:val="21"/>
        </w:rPr>
        <w:t>约</w:t>
      </w:r>
      <w:r>
        <w:rPr>
          <w:sz w:val="21"/>
        </w:rPr>
        <w:t>支</w:t>
      </w:r>
      <w:r>
        <w:rPr>
          <w:spacing w:val="-3"/>
          <w:sz w:val="21"/>
        </w:rPr>
        <w:t>付</w:t>
      </w:r>
      <w:r>
        <w:rPr>
          <w:sz w:val="21"/>
        </w:rPr>
        <w:t>保</w:t>
      </w:r>
      <w:r>
        <w:rPr>
          <w:spacing w:val="-3"/>
          <w:sz w:val="21"/>
        </w:rPr>
        <w:t>险</w:t>
      </w:r>
      <w:r>
        <w:rPr>
          <w:sz w:val="21"/>
        </w:rPr>
        <w:t>费</w:t>
        <w:tab/>
        <w:t>3.1</w:t>
      </w:r>
    </w:p>
    <w:p>
      <w:pPr>
        <w:pStyle w:val="ListParagraph"/>
        <w:numPr>
          <w:ilvl w:val="0"/>
          <w:numId w:val="1"/>
        </w:numPr>
        <w:tabs>
          <w:tab w:pos="1648" w:val="left" w:leader="none"/>
          <w:tab w:pos="1649" w:val="left" w:leader="none"/>
          <w:tab w:pos="9951" w:val="right" w:leader="dot"/>
        </w:tabs>
        <w:spacing w:line="240" w:lineRule="auto" w:before="21" w:after="0"/>
        <w:ind w:left="1648" w:right="0" w:hanging="420"/>
        <w:jc w:val="left"/>
        <w:rPr>
          <w:sz w:val="21"/>
        </w:rPr>
      </w:pPr>
      <w:r>
        <w:rPr>
          <w:sz w:val="21"/>
        </w:rPr>
        <w:t>我们</w:t>
      </w:r>
      <w:r>
        <w:rPr>
          <w:spacing w:val="-3"/>
          <w:sz w:val="21"/>
        </w:rPr>
        <w:t>保</w:t>
      </w:r>
      <w:r>
        <w:rPr>
          <w:sz w:val="21"/>
        </w:rPr>
        <w:t>留</w:t>
      </w:r>
      <w:r>
        <w:rPr>
          <w:spacing w:val="-3"/>
          <w:sz w:val="21"/>
        </w:rPr>
        <w:t>提</w:t>
      </w:r>
      <w:r>
        <w:rPr>
          <w:sz w:val="21"/>
        </w:rPr>
        <w:t>高</w:t>
      </w:r>
      <w:r>
        <w:rPr>
          <w:spacing w:val="-3"/>
          <w:sz w:val="21"/>
        </w:rPr>
        <w:t>或</w:t>
      </w:r>
      <w:r>
        <w:rPr>
          <w:sz w:val="21"/>
        </w:rPr>
        <w:t>降</w:t>
      </w:r>
      <w:r>
        <w:rPr>
          <w:spacing w:val="-3"/>
          <w:sz w:val="21"/>
        </w:rPr>
        <w:t>低</w:t>
      </w:r>
      <w:r>
        <w:rPr>
          <w:sz w:val="21"/>
        </w:rPr>
        <w:t>保</w:t>
      </w:r>
      <w:r>
        <w:rPr>
          <w:spacing w:val="-3"/>
          <w:sz w:val="21"/>
        </w:rPr>
        <w:t>险</w:t>
      </w:r>
      <w:r>
        <w:rPr>
          <w:sz w:val="21"/>
        </w:rPr>
        <w:t>费率</w:t>
      </w:r>
      <w:r>
        <w:rPr>
          <w:spacing w:val="-3"/>
          <w:sz w:val="21"/>
        </w:rPr>
        <w:t>的</w:t>
      </w:r>
      <w:r>
        <w:rPr>
          <w:sz w:val="21"/>
        </w:rPr>
        <w:t>权利</w:t>
        <w:tab/>
        <w:t>3.2</w:t>
      </w:r>
    </w:p>
    <w:p>
      <w:pPr>
        <w:pStyle w:val="ListParagraph"/>
        <w:numPr>
          <w:ilvl w:val="0"/>
          <w:numId w:val="1"/>
        </w:numPr>
        <w:tabs>
          <w:tab w:pos="1648" w:val="left" w:leader="none"/>
          <w:tab w:pos="1649" w:val="left" w:leader="none"/>
          <w:tab w:pos="9740" w:val="right" w:leader="dot"/>
        </w:tabs>
        <w:spacing w:line="240" w:lineRule="auto" w:before="21" w:after="0"/>
        <w:ind w:left="1648" w:right="0" w:hanging="420"/>
        <w:jc w:val="left"/>
        <w:rPr>
          <w:sz w:val="21"/>
        </w:rPr>
      </w:pPr>
      <w:r>
        <w:rPr>
          <w:sz w:val="21"/>
        </w:rPr>
        <w:t>本附</w:t>
      </w:r>
      <w:r>
        <w:rPr>
          <w:spacing w:val="-3"/>
          <w:sz w:val="21"/>
        </w:rPr>
        <w:t>加</w:t>
      </w:r>
      <w:r>
        <w:rPr>
          <w:sz w:val="21"/>
        </w:rPr>
        <w:t>合</w:t>
      </w:r>
      <w:r>
        <w:rPr>
          <w:spacing w:val="-3"/>
          <w:sz w:val="21"/>
        </w:rPr>
        <w:t>同</w:t>
      </w:r>
      <w:r>
        <w:rPr>
          <w:sz w:val="21"/>
        </w:rPr>
        <w:t>重</w:t>
      </w:r>
      <w:r>
        <w:rPr>
          <w:spacing w:val="-3"/>
          <w:sz w:val="21"/>
        </w:rPr>
        <w:t>大</w:t>
      </w:r>
      <w:r>
        <w:rPr>
          <w:sz w:val="21"/>
        </w:rPr>
        <w:t>疾</w:t>
      </w:r>
      <w:r>
        <w:rPr>
          <w:spacing w:val="-3"/>
          <w:sz w:val="21"/>
        </w:rPr>
        <w:t>病</w:t>
      </w:r>
      <w:r>
        <w:rPr>
          <w:sz w:val="21"/>
        </w:rPr>
        <w:t>定义</w:t>
        <w:tab/>
        <w:t>6</w:t>
      </w:r>
    </w:p>
    <w:p>
      <w:pPr>
        <w:pStyle w:val="ListParagraph"/>
        <w:numPr>
          <w:ilvl w:val="0"/>
          <w:numId w:val="1"/>
        </w:numPr>
        <w:tabs>
          <w:tab w:pos="1648" w:val="left" w:leader="none"/>
          <w:tab w:pos="1649" w:val="left" w:leader="none"/>
          <w:tab w:pos="9740" w:val="right" w:leader="dot"/>
        </w:tabs>
        <w:spacing w:line="240" w:lineRule="auto" w:before="21" w:after="0"/>
        <w:ind w:left="1648" w:right="0" w:hanging="420"/>
        <w:jc w:val="left"/>
        <w:rPr>
          <w:sz w:val="21"/>
        </w:rPr>
      </w:pPr>
      <w:r>
        <w:rPr>
          <w:sz w:val="21"/>
        </w:rPr>
        <w:t>我们</w:t>
      </w:r>
      <w:r>
        <w:rPr>
          <w:spacing w:val="-3"/>
          <w:sz w:val="21"/>
        </w:rPr>
        <w:t>对</w:t>
      </w:r>
      <w:r>
        <w:rPr>
          <w:sz w:val="21"/>
        </w:rPr>
        <w:t>条</w:t>
      </w:r>
      <w:r>
        <w:rPr>
          <w:spacing w:val="-3"/>
          <w:sz w:val="21"/>
        </w:rPr>
        <w:t>款</w:t>
      </w:r>
      <w:r>
        <w:rPr>
          <w:sz w:val="21"/>
        </w:rPr>
        <w:t>中</w:t>
      </w:r>
      <w:r>
        <w:rPr>
          <w:spacing w:val="-3"/>
          <w:sz w:val="21"/>
        </w:rPr>
        <w:t>出</w:t>
      </w:r>
      <w:r>
        <w:rPr>
          <w:sz w:val="21"/>
        </w:rPr>
        <w:t>现</w:t>
      </w:r>
      <w:r>
        <w:rPr>
          <w:spacing w:val="-3"/>
          <w:sz w:val="21"/>
        </w:rPr>
        <w:t>的</w:t>
      </w:r>
      <w:r>
        <w:rPr>
          <w:sz w:val="21"/>
        </w:rPr>
        <w:t>一</w:t>
      </w:r>
      <w:r>
        <w:rPr>
          <w:spacing w:val="-3"/>
          <w:sz w:val="21"/>
        </w:rPr>
        <w:t>些</w:t>
      </w:r>
      <w:r>
        <w:rPr>
          <w:sz w:val="21"/>
        </w:rPr>
        <w:t>重要</w:t>
      </w:r>
      <w:r>
        <w:rPr>
          <w:spacing w:val="-3"/>
          <w:sz w:val="21"/>
        </w:rPr>
        <w:t>术</w:t>
      </w:r>
      <w:r>
        <w:rPr>
          <w:sz w:val="21"/>
        </w:rPr>
        <w:t>语</w:t>
      </w:r>
      <w:r>
        <w:rPr>
          <w:spacing w:val="-3"/>
          <w:sz w:val="21"/>
        </w:rPr>
        <w:t>进</w:t>
      </w:r>
      <w:r>
        <w:rPr>
          <w:sz w:val="21"/>
        </w:rPr>
        <w:t>行</w:t>
      </w:r>
      <w:r>
        <w:rPr>
          <w:spacing w:val="-3"/>
          <w:sz w:val="21"/>
        </w:rPr>
        <w:t>了</w:t>
      </w:r>
      <w:r>
        <w:rPr>
          <w:sz w:val="21"/>
        </w:rPr>
        <w:t>解</w:t>
      </w:r>
      <w:r>
        <w:rPr>
          <w:spacing w:val="-3"/>
          <w:sz w:val="21"/>
        </w:rPr>
        <w:t>释</w:t>
      </w:r>
      <w:r>
        <w:rPr>
          <w:sz w:val="21"/>
        </w:rPr>
        <w:t>，</w:t>
      </w:r>
      <w:r>
        <w:rPr>
          <w:spacing w:val="-3"/>
          <w:sz w:val="21"/>
        </w:rPr>
        <w:t>请</w:t>
      </w:r>
      <w:r>
        <w:rPr>
          <w:sz w:val="21"/>
        </w:rPr>
        <w:t>您注意</w:t>
        <w:tab/>
        <w:t>7</w:t>
      </w:r>
    </w:p>
    <w:p>
      <w:pPr>
        <w:tabs>
          <w:tab w:pos="1266" w:val="left" w:leader="none"/>
        </w:tabs>
        <w:spacing w:before="21"/>
        <w:ind w:left="255"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66" w:val="left" w:leader="none"/>
        </w:tabs>
        <w:spacing w:before="25"/>
        <w:ind w:left="255" w:right="0" w:firstLine="0"/>
        <w:jc w:val="left"/>
        <w:rPr>
          <w:b/>
          <w:sz w:val="21"/>
        </w:rPr>
      </w:pPr>
      <w:r>
        <w:rPr>
          <w:rFonts w:ascii="Arial" w:hAnsi="Arial" w:eastAsia="Arial"/>
          <w:b/>
          <w:w w:val="110"/>
          <w:position w:val="-11"/>
          <w:sz w:val="52"/>
        </w:rPr>
        <w:t></w:t>
        <w:tab/>
      </w:r>
      <w:r>
        <w:rPr>
          <w:b/>
          <w:sz w:val="21"/>
        </w:rPr>
        <w:t>条款目录</w:t>
      </w:r>
    </w:p>
    <w:p>
      <w:pPr>
        <w:spacing w:after="0"/>
        <w:jc w:val="left"/>
        <w:rPr>
          <w:sz w:val="21"/>
        </w:rPr>
        <w:sectPr>
          <w:type w:val="continuous"/>
          <w:pgSz w:w="11910" w:h="16840"/>
          <w:pgMar w:top="540" w:bottom="280" w:left="740" w:right="740"/>
        </w:sectPr>
      </w:pPr>
    </w:p>
    <w:p>
      <w:pPr>
        <w:pStyle w:val="BodyText"/>
        <w:spacing w:before="4"/>
        <w:rPr>
          <w:b/>
          <w:sz w:val="22"/>
        </w:rPr>
      </w:pPr>
    </w:p>
    <w:p>
      <w:pPr>
        <w:pStyle w:val="Heading2"/>
      </w:pPr>
      <w:r>
        <w:rPr/>
        <w:t>1．您与我们的合同</w:t>
      </w:r>
    </w:p>
    <w:p>
      <w:pPr>
        <w:pStyle w:val="ListParagraph"/>
        <w:numPr>
          <w:ilvl w:val="1"/>
          <w:numId w:val="2"/>
        </w:numPr>
        <w:tabs>
          <w:tab w:pos="2450" w:val="left" w:leader="none"/>
        </w:tabs>
        <w:spacing w:line="240" w:lineRule="auto" w:before="36" w:after="0"/>
        <w:ind w:left="2450" w:right="0" w:hanging="423"/>
        <w:jc w:val="left"/>
        <w:rPr>
          <w:sz w:val="21"/>
        </w:rPr>
      </w:pPr>
      <w:r>
        <w:rPr>
          <w:spacing w:val="-3"/>
          <w:sz w:val="21"/>
        </w:rPr>
        <w:t>合同的订立</w:t>
      </w:r>
    </w:p>
    <w:p>
      <w:pPr>
        <w:pStyle w:val="ListParagraph"/>
        <w:numPr>
          <w:ilvl w:val="1"/>
          <w:numId w:val="2"/>
        </w:numPr>
        <w:tabs>
          <w:tab w:pos="2450" w:val="left" w:leader="none"/>
        </w:tabs>
        <w:spacing w:line="240" w:lineRule="auto" w:before="36" w:after="0"/>
        <w:ind w:left="2450" w:right="0" w:hanging="423"/>
        <w:jc w:val="left"/>
        <w:rPr>
          <w:sz w:val="21"/>
        </w:rPr>
      </w:pPr>
      <w:r>
        <w:rPr>
          <w:spacing w:val="-3"/>
          <w:sz w:val="21"/>
        </w:rPr>
        <w:t>合同成立与生效</w:t>
      </w:r>
    </w:p>
    <w:p>
      <w:pPr>
        <w:pStyle w:val="ListParagraph"/>
        <w:numPr>
          <w:ilvl w:val="1"/>
          <w:numId w:val="2"/>
        </w:numPr>
        <w:tabs>
          <w:tab w:pos="2450" w:val="left" w:leader="none"/>
        </w:tabs>
        <w:spacing w:line="240" w:lineRule="auto" w:before="36" w:after="0"/>
        <w:ind w:left="2450" w:right="0" w:hanging="423"/>
        <w:jc w:val="left"/>
        <w:rPr>
          <w:sz w:val="21"/>
        </w:rPr>
      </w:pPr>
      <w:r>
        <w:rPr>
          <w:spacing w:val="-3"/>
          <w:sz w:val="21"/>
        </w:rPr>
        <w:t>投保年龄</w:t>
      </w:r>
    </w:p>
    <w:p>
      <w:pPr>
        <w:pStyle w:val="ListParagraph"/>
        <w:numPr>
          <w:ilvl w:val="1"/>
          <w:numId w:val="2"/>
        </w:numPr>
        <w:tabs>
          <w:tab w:pos="2450" w:val="left" w:leader="none"/>
        </w:tabs>
        <w:spacing w:line="240" w:lineRule="auto" w:before="36" w:after="0"/>
        <w:ind w:left="2450" w:right="0" w:hanging="423"/>
        <w:jc w:val="left"/>
        <w:rPr>
          <w:sz w:val="21"/>
        </w:rPr>
      </w:pPr>
      <w:r>
        <w:rPr>
          <w:spacing w:val="-3"/>
          <w:sz w:val="21"/>
        </w:rPr>
        <w:t>保险期间</w:t>
      </w:r>
    </w:p>
    <w:p>
      <w:pPr>
        <w:pStyle w:val="Heading2"/>
        <w:spacing w:before="36"/>
      </w:pPr>
      <w:r>
        <w:rPr/>
        <w:t>2．我们提供的保障</w:t>
      </w:r>
    </w:p>
    <w:p>
      <w:pPr>
        <w:pStyle w:val="ListParagraph"/>
        <w:numPr>
          <w:ilvl w:val="1"/>
          <w:numId w:val="3"/>
        </w:numPr>
        <w:tabs>
          <w:tab w:pos="2450" w:val="left" w:leader="none"/>
        </w:tabs>
        <w:spacing w:line="240" w:lineRule="auto" w:before="36" w:after="0"/>
        <w:ind w:left="2450" w:right="0" w:hanging="423"/>
        <w:jc w:val="left"/>
        <w:rPr>
          <w:sz w:val="21"/>
        </w:rPr>
      </w:pPr>
      <w:r>
        <w:rPr>
          <w:spacing w:val="-3"/>
          <w:sz w:val="21"/>
        </w:rPr>
        <w:t>保险金额</w:t>
      </w:r>
    </w:p>
    <w:p>
      <w:pPr>
        <w:pStyle w:val="ListParagraph"/>
        <w:numPr>
          <w:ilvl w:val="1"/>
          <w:numId w:val="3"/>
        </w:numPr>
        <w:tabs>
          <w:tab w:pos="2450" w:val="left" w:leader="none"/>
        </w:tabs>
        <w:spacing w:line="240" w:lineRule="auto" w:before="36" w:after="0"/>
        <w:ind w:left="2450" w:right="0" w:hanging="423"/>
        <w:jc w:val="left"/>
        <w:rPr>
          <w:sz w:val="21"/>
        </w:rPr>
      </w:pPr>
      <w:r>
        <w:rPr>
          <w:spacing w:val="-3"/>
          <w:sz w:val="21"/>
        </w:rPr>
        <w:t>重大疾病分组</w:t>
      </w:r>
    </w:p>
    <w:p>
      <w:pPr>
        <w:pStyle w:val="ListParagraph"/>
        <w:numPr>
          <w:ilvl w:val="1"/>
          <w:numId w:val="3"/>
        </w:numPr>
        <w:tabs>
          <w:tab w:pos="2450" w:val="left" w:leader="none"/>
        </w:tabs>
        <w:spacing w:line="240" w:lineRule="auto" w:before="36" w:after="0"/>
        <w:ind w:left="2450" w:right="0" w:hanging="423"/>
        <w:jc w:val="left"/>
        <w:rPr>
          <w:sz w:val="21"/>
        </w:rPr>
      </w:pPr>
      <w:r>
        <w:rPr>
          <w:spacing w:val="-3"/>
          <w:sz w:val="21"/>
        </w:rPr>
        <w:t>保险责任</w:t>
      </w:r>
    </w:p>
    <w:p>
      <w:pPr>
        <w:pStyle w:val="ListParagraph"/>
        <w:numPr>
          <w:ilvl w:val="1"/>
          <w:numId w:val="3"/>
        </w:numPr>
        <w:tabs>
          <w:tab w:pos="2450" w:val="left" w:leader="none"/>
        </w:tabs>
        <w:spacing w:line="240" w:lineRule="auto" w:before="37" w:after="0"/>
        <w:ind w:left="2450" w:right="0" w:hanging="423"/>
        <w:jc w:val="left"/>
        <w:rPr>
          <w:sz w:val="21"/>
        </w:rPr>
      </w:pPr>
      <w:r>
        <w:rPr>
          <w:spacing w:val="-3"/>
          <w:sz w:val="21"/>
        </w:rPr>
        <w:t>责任免除</w:t>
      </w:r>
    </w:p>
    <w:p>
      <w:pPr>
        <w:pStyle w:val="Heading2"/>
        <w:spacing w:before="37"/>
      </w:pPr>
      <w:r>
        <w:rPr/>
        <w:t>3．如何支付保险费</w:t>
      </w:r>
    </w:p>
    <w:p>
      <w:pPr>
        <w:pStyle w:val="ListParagraph"/>
        <w:numPr>
          <w:ilvl w:val="1"/>
          <w:numId w:val="4"/>
        </w:numPr>
        <w:tabs>
          <w:tab w:pos="2450" w:val="left" w:leader="none"/>
        </w:tabs>
        <w:spacing w:line="240" w:lineRule="auto" w:before="37" w:after="0"/>
        <w:ind w:left="2450" w:right="0" w:hanging="423"/>
        <w:jc w:val="left"/>
        <w:rPr>
          <w:sz w:val="21"/>
        </w:rPr>
      </w:pPr>
      <w:r>
        <w:rPr>
          <w:spacing w:val="-3"/>
          <w:sz w:val="21"/>
        </w:rPr>
        <w:t>保险费的支付</w:t>
      </w:r>
    </w:p>
    <w:p>
      <w:pPr>
        <w:pStyle w:val="ListParagraph"/>
        <w:numPr>
          <w:ilvl w:val="1"/>
          <w:numId w:val="4"/>
        </w:numPr>
        <w:tabs>
          <w:tab w:pos="2450" w:val="left" w:leader="none"/>
        </w:tabs>
        <w:spacing w:line="240" w:lineRule="auto" w:before="37" w:after="0"/>
        <w:ind w:left="2450" w:right="0" w:hanging="423"/>
        <w:jc w:val="left"/>
        <w:rPr>
          <w:sz w:val="21"/>
        </w:rPr>
      </w:pPr>
      <w:r>
        <w:rPr>
          <w:spacing w:val="-3"/>
          <w:sz w:val="21"/>
        </w:rPr>
        <w:t>保险费率的调整</w:t>
      </w:r>
    </w:p>
    <w:p>
      <w:pPr>
        <w:pStyle w:val="Heading2"/>
        <w:spacing w:before="37"/>
      </w:pPr>
      <w:r>
        <w:rPr/>
        <w:t>4．如何申请领取保险金</w:t>
      </w:r>
    </w:p>
    <w:p>
      <w:pPr>
        <w:pStyle w:val="ListParagraph"/>
        <w:numPr>
          <w:ilvl w:val="1"/>
          <w:numId w:val="5"/>
        </w:numPr>
        <w:tabs>
          <w:tab w:pos="2450" w:val="left" w:leader="none"/>
        </w:tabs>
        <w:spacing w:line="240" w:lineRule="auto" w:before="37" w:after="0"/>
        <w:ind w:left="2450" w:right="0" w:hanging="423"/>
        <w:jc w:val="left"/>
        <w:rPr>
          <w:sz w:val="21"/>
        </w:rPr>
      </w:pPr>
      <w:r>
        <w:rPr>
          <w:spacing w:val="-3"/>
          <w:sz w:val="21"/>
        </w:rPr>
        <w:t>重大疾病保险金受益人</w:t>
      </w:r>
    </w:p>
    <w:p>
      <w:pPr>
        <w:pStyle w:val="ListParagraph"/>
        <w:numPr>
          <w:ilvl w:val="1"/>
          <w:numId w:val="5"/>
        </w:numPr>
        <w:tabs>
          <w:tab w:pos="2450" w:val="left" w:leader="none"/>
        </w:tabs>
        <w:spacing w:line="240" w:lineRule="auto" w:before="37" w:after="0"/>
        <w:ind w:left="2450" w:right="0" w:hanging="423"/>
        <w:jc w:val="left"/>
        <w:rPr>
          <w:sz w:val="21"/>
        </w:rPr>
      </w:pPr>
      <w:r>
        <w:rPr>
          <w:spacing w:val="-3"/>
          <w:sz w:val="21"/>
        </w:rPr>
        <w:t>重大疾病保险金申请</w:t>
      </w:r>
    </w:p>
    <w:p>
      <w:pPr>
        <w:pStyle w:val="BodyText"/>
      </w:pPr>
      <w:r>
        <w:rPr/>
        <w:br w:type="column"/>
      </w:r>
      <w:r>
        <w:rPr/>
      </w:r>
    </w:p>
    <w:p>
      <w:pPr>
        <w:pStyle w:val="ListParagraph"/>
        <w:numPr>
          <w:ilvl w:val="1"/>
          <w:numId w:val="5"/>
        </w:numPr>
        <w:tabs>
          <w:tab w:pos="1830" w:val="left" w:leader="none"/>
        </w:tabs>
        <w:spacing w:line="240" w:lineRule="auto" w:before="1" w:after="0"/>
        <w:ind w:left="1829" w:right="0" w:hanging="422"/>
        <w:jc w:val="left"/>
        <w:rPr>
          <w:sz w:val="21"/>
        </w:rPr>
      </w:pPr>
      <w:r>
        <w:rPr>
          <w:spacing w:val="-3"/>
          <w:sz w:val="21"/>
        </w:rPr>
        <w:t>诉讼时效</w:t>
      </w:r>
    </w:p>
    <w:p>
      <w:pPr>
        <w:spacing w:line="273" w:lineRule="auto" w:before="13"/>
        <w:ind w:left="1407" w:right="2419" w:hanging="212"/>
        <w:jc w:val="left"/>
        <w:rPr>
          <w:sz w:val="21"/>
        </w:rPr>
      </w:pPr>
      <w:r>
        <w:rPr>
          <w:b/>
          <w:sz w:val="21"/>
        </w:rPr>
        <w:t>5．其他需要注意的事项</w:t>
      </w:r>
      <w:r>
        <w:rPr>
          <w:sz w:val="21"/>
        </w:rPr>
        <w:t>本附加合同的效力</w:t>
      </w:r>
    </w:p>
    <w:p>
      <w:pPr>
        <w:spacing w:line="273" w:lineRule="auto" w:before="7"/>
        <w:ind w:left="1407" w:right="3053" w:hanging="212"/>
        <w:jc w:val="left"/>
        <w:rPr>
          <w:sz w:val="21"/>
        </w:rPr>
      </w:pPr>
      <w:r>
        <w:rPr>
          <w:b/>
          <w:sz w:val="21"/>
        </w:rPr>
        <w:t>6．重大疾病定义</w:t>
      </w:r>
      <w:r>
        <w:rPr>
          <w:sz w:val="21"/>
        </w:rPr>
        <w:t>重大疾病定义</w:t>
      </w:r>
    </w:p>
    <w:p>
      <w:pPr>
        <w:pStyle w:val="Heading2"/>
        <w:spacing w:before="7"/>
        <w:ind w:left="1196"/>
      </w:pPr>
      <w:r>
        <w:rPr/>
        <w:t>7．释义</w:t>
      </w:r>
    </w:p>
    <w:p>
      <w:pPr>
        <w:pStyle w:val="ListParagraph"/>
        <w:numPr>
          <w:ilvl w:val="1"/>
          <w:numId w:val="6"/>
        </w:numPr>
        <w:tabs>
          <w:tab w:pos="1778" w:val="left" w:leader="none"/>
        </w:tabs>
        <w:spacing w:line="240" w:lineRule="auto" w:before="37" w:after="0"/>
        <w:ind w:left="1777" w:right="0" w:hanging="370"/>
        <w:jc w:val="left"/>
        <w:rPr>
          <w:sz w:val="21"/>
        </w:rPr>
      </w:pPr>
      <w:r>
        <w:rPr>
          <w:spacing w:val="-3"/>
          <w:sz w:val="21"/>
        </w:rPr>
        <w:t>遗传性疾病</w:t>
      </w:r>
    </w:p>
    <w:p>
      <w:pPr>
        <w:pStyle w:val="ListParagraph"/>
        <w:numPr>
          <w:ilvl w:val="1"/>
          <w:numId w:val="6"/>
        </w:numPr>
        <w:tabs>
          <w:tab w:pos="1778" w:val="left" w:leader="none"/>
        </w:tabs>
        <w:spacing w:line="240" w:lineRule="auto" w:before="37" w:after="0"/>
        <w:ind w:left="1777" w:right="0" w:hanging="370"/>
        <w:jc w:val="left"/>
        <w:rPr>
          <w:sz w:val="21"/>
        </w:rPr>
      </w:pPr>
      <w:r>
        <w:rPr>
          <w:spacing w:val="-3"/>
          <w:sz w:val="21"/>
        </w:rPr>
        <w:t>先天性畸形、变形或染色体异常</w:t>
      </w:r>
    </w:p>
    <w:p>
      <w:pPr>
        <w:pStyle w:val="ListParagraph"/>
        <w:numPr>
          <w:ilvl w:val="1"/>
          <w:numId w:val="6"/>
        </w:numPr>
        <w:tabs>
          <w:tab w:pos="1778" w:val="left" w:leader="none"/>
        </w:tabs>
        <w:spacing w:line="240" w:lineRule="auto" w:before="37" w:after="0"/>
        <w:ind w:left="1777" w:right="0" w:hanging="370"/>
        <w:jc w:val="left"/>
        <w:rPr>
          <w:sz w:val="21"/>
        </w:rPr>
      </w:pPr>
      <w:r>
        <w:rPr>
          <w:spacing w:val="-3"/>
          <w:sz w:val="21"/>
        </w:rPr>
        <w:t>感染艾滋病病毒或患艾滋病</w:t>
      </w:r>
    </w:p>
    <w:p>
      <w:pPr>
        <w:pStyle w:val="ListParagraph"/>
        <w:numPr>
          <w:ilvl w:val="1"/>
          <w:numId w:val="6"/>
        </w:numPr>
        <w:tabs>
          <w:tab w:pos="1778" w:val="left" w:leader="none"/>
        </w:tabs>
        <w:spacing w:line="240" w:lineRule="auto" w:before="38" w:after="0"/>
        <w:ind w:left="1777" w:right="0" w:hanging="370"/>
        <w:jc w:val="left"/>
        <w:rPr>
          <w:sz w:val="21"/>
        </w:rPr>
      </w:pPr>
      <w:r>
        <w:rPr>
          <w:spacing w:val="-3"/>
          <w:sz w:val="21"/>
        </w:rPr>
        <w:t>我们认可的医疗机构</w:t>
      </w:r>
    </w:p>
    <w:p>
      <w:pPr>
        <w:pStyle w:val="ListParagraph"/>
        <w:numPr>
          <w:ilvl w:val="1"/>
          <w:numId w:val="6"/>
        </w:numPr>
        <w:tabs>
          <w:tab w:pos="1778" w:val="left" w:leader="none"/>
        </w:tabs>
        <w:spacing w:line="240" w:lineRule="auto" w:before="37" w:after="0"/>
        <w:ind w:left="1777" w:right="0" w:hanging="370"/>
        <w:jc w:val="left"/>
        <w:rPr>
          <w:sz w:val="21"/>
        </w:rPr>
      </w:pPr>
      <w:r>
        <w:rPr>
          <w:spacing w:val="-3"/>
          <w:sz w:val="21"/>
        </w:rPr>
        <w:t>专科医生</w:t>
      </w:r>
    </w:p>
    <w:p>
      <w:pPr>
        <w:pStyle w:val="ListParagraph"/>
        <w:numPr>
          <w:ilvl w:val="1"/>
          <w:numId w:val="6"/>
        </w:numPr>
        <w:tabs>
          <w:tab w:pos="1778" w:val="left" w:leader="none"/>
        </w:tabs>
        <w:spacing w:line="240" w:lineRule="auto" w:before="37" w:after="0"/>
        <w:ind w:left="1777" w:right="0" w:hanging="370"/>
        <w:jc w:val="left"/>
        <w:rPr>
          <w:sz w:val="21"/>
        </w:rPr>
      </w:pPr>
      <w:r>
        <w:rPr>
          <w:spacing w:val="-3"/>
          <w:sz w:val="21"/>
        </w:rPr>
        <w:t>肢体机能完全丧失</w:t>
      </w:r>
    </w:p>
    <w:p>
      <w:pPr>
        <w:pStyle w:val="ListParagraph"/>
        <w:numPr>
          <w:ilvl w:val="1"/>
          <w:numId w:val="6"/>
        </w:numPr>
        <w:tabs>
          <w:tab w:pos="1778" w:val="left" w:leader="none"/>
        </w:tabs>
        <w:spacing w:line="240" w:lineRule="auto" w:before="37" w:after="0"/>
        <w:ind w:left="1777" w:right="0" w:hanging="370"/>
        <w:jc w:val="left"/>
        <w:rPr>
          <w:sz w:val="21"/>
        </w:rPr>
      </w:pPr>
      <w:r>
        <w:rPr>
          <w:spacing w:val="-3"/>
          <w:sz w:val="21"/>
        </w:rPr>
        <w:t>语言能力或咀嚼吞咽能力完全丧失</w:t>
      </w:r>
    </w:p>
    <w:p>
      <w:pPr>
        <w:pStyle w:val="ListParagraph"/>
        <w:numPr>
          <w:ilvl w:val="1"/>
          <w:numId w:val="6"/>
        </w:numPr>
        <w:tabs>
          <w:tab w:pos="1778" w:val="left" w:leader="none"/>
        </w:tabs>
        <w:spacing w:line="240" w:lineRule="auto" w:before="37" w:after="0"/>
        <w:ind w:left="1777" w:right="0" w:hanging="370"/>
        <w:jc w:val="left"/>
        <w:rPr>
          <w:sz w:val="21"/>
        </w:rPr>
      </w:pPr>
      <w:r>
        <w:rPr>
          <w:spacing w:val="-3"/>
          <w:sz w:val="21"/>
        </w:rPr>
        <w:t>六项基本日常生活活动</w:t>
      </w:r>
    </w:p>
    <w:p>
      <w:pPr>
        <w:pStyle w:val="ListParagraph"/>
        <w:numPr>
          <w:ilvl w:val="1"/>
          <w:numId w:val="6"/>
        </w:numPr>
        <w:tabs>
          <w:tab w:pos="1778" w:val="left" w:leader="none"/>
        </w:tabs>
        <w:spacing w:line="240" w:lineRule="auto" w:before="37" w:after="0"/>
        <w:ind w:left="1777" w:right="0" w:hanging="370"/>
        <w:jc w:val="left"/>
        <w:rPr>
          <w:sz w:val="21"/>
        </w:rPr>
      </w:pPr>
      <w:r>
        <w:rPr>
          <w:spacing w:val="-3"/>
          <w:sz w:val="21"/>
        </w:rPr>
        <w:t>永久不可逆</w:t>
      </w:r>
    </w:p>
    <w:p>
      <w:pPr>
        <w:spacing w:after="0" w:line="240" w:lineRule="auto"/>
        <w:jc w:val="left"/>
        <w:rPr>
          <w:sz w:val="21"/>
        </w:rPr>
        <w:sectPr>
          <w:type w:val="continuous"/>
          <w:pgSz w:w="11910" w:h="16840"/>
          <w:pgMar w:top="540" w:bottom="280" w:left="740" w:right="740"/>
          <w:cols w:num="2" w:equalWidth="0">
            <w:col w:w="4551" w:space="40"/>
            <w:col w:w="5839"/>
          </w:cols>
        </w:sectPr>
      </w:pPr>
    </w:p>
    <w:p>
      <w:pPr>
        <w:pStyle w:val="BodyText"/>
        <w:spacing w:before="4"/>
        <w:rPr>
          <w:sz w:val="29"/>
        </w:rPr>
      </w:pPr>
    </w:p>
    <w:p>
      <w:pPr>
        <w:pStyle w:val="Heading1"/>
      </w:pPr>
      <w:r>
        <w:rPr/>
        <w:t>信泰附加世纪星辰提前给付重大疾病保险条款</w:t>
      </w:r>
    </w:p>
    <w:p>
      <w:pPr>
        <w:pStyle w:val="BodyText"/>
        <w:rPr>
          <w:rFonts w:ascii="黑体"/>
          <w:b/>
          <w:sz w:val="30"/>
        </w:rPr>
      </w:pPr>
    </w:p>
    <w:p>
      <w:pPr>
        <w:pStyle w:val="BodyText"/>
        <w:rPr>
          <w:rFonts w:ascii="黑体"/>
          <w:b/>
          <w:sz w:val="30"/>
        </w:rPr>
      </w:pPr>
    </w:p>
    <w:p>
      <w:pPr>
        <w:pStyle w:val="BodyText"/>
        <w:rPr>
          <w:rFonts w:ascii="黑体"/>
          <w:b/>
          <w:sz w:val="35"/>
        </w:rPr>
      </w:pPr>
    </w:p>
    <w:p>
      <w:pPr>
        <w:pStyle w:val="BodyText"/>
        <w:spacing w:line="273" w:lineRule="auto"/>
        <w:ind w:left="220" w:right="222"/>
      </w:pPr>
      <w:r>
        <w:rPr>
          <w:spacing w:val="-24"/>
          <w:w w:val="100"/>
        </w:rPr>
        <w:t>在本条款中，“您”指投保人，“我们”、“本公司”均指信泰人寿保险股份有限公司，“本附加合同”指您与</w:t>
      </w:r>
      <w:r>
        <w:rPr>
          <w:spacing w:val="-16"/>
        </w:rPr>
        <w:t>我们之间订立的“信泰附加世纪星辰提前给付重大疾病保险合同”。</w:t>
      </w:r>
    </w:p>
    <w:p>
      <w:pPr>
        <w:pStyle w:val="BodyText"/>
        <w:rPr>
          <w:sz w:val="20"/>
        </w:rPr>
      </w:pPr>
    </w:p>
    <w:p>
      <w:pPr>
        <w:pStyle w:val="BodyText"/>
        <w:spacing w:before="11"/>
        <w:rPr>
          <w:sz w:val="23"/>
        </w:rPr>
      </w:pPr>
    </w:p>
    <w:p>
      <w:pPr>
        <w:tabs>
          <w:tab w:pos="793" w:val="left" w:leader="none"/>
        </w:tabs>
        <w:spacing w:before="0"/>
        <w:ind w:left="220" w:right="0" w:firstLine="0"/>
        <w:jc w:val="left"/>
        <w:rPr>
          <w:b/>
          <w:sz w:val="24"/>
        </w:rPr>
      </w:pPr>
      <w:r>
        <w:rPr/>
        <w:pict>
          <v:group style="position:absolute;margin-left:45.599998pt;margin-top:26.878513pt;width:504.1pt;height:1pt;mso-position-horizontal-relative:page;mso-position-vertical-relative:paragraph;z-index:1096;mso-wrap-distance-left:0;mso-wrap-distance-right:0" coordorigin="912,538" coordsize="10082,20">
            <v:line style="position:absolute" from="912,547" to="1486,547" stroked="true" strokeweight=".96pt" strokecolor="#000000">
              <v:stroke dashstyle="solid"/>
            </v:line>
            <v:rect style="position:absolute;left:1486;top:537;width:20;height:20" filled="true" fillcolor="#000000" stroked="false">
              <v:fill type="solid"/>
            </v:rect>
            <v:line style="position:absolute" from="1505,547" to="3164,547" stroked="true" strokeweight=".96pt" strokecolor="#000000">
              <v:stroke dashstyle="solid"/>
            </v:line>
            <v:rect style="position:absolute;left:3163;top:537;width:20;height:20" filled="true" fillcolor="#000000" stroked="false">
              <v:fill type="solid"/>
            </v:rect>
            <v:line style="position:absolute" from="3183,547" to="10994,547" stroked="true" strokeweight=".96pt" strokecolor="#000000">
              <v:stroke dashstyle="solid"/>
            </v:line>
            <w10:wrap type="topAndBottom"/>
          </v:group>
        </w:pict>
      </w:r>
      <w:r>
        <w:rPr>
          <w:rFonts w:ascii="Wingdings" w:hAnsi="Wingdings" w:eastAsia="Wingdings"/>
          <w:b/>
          <w:position w:val="-4"/>
          <w:sz w:val="40"/>
        </w:rPr>
        <w:t></w:t>
      </w:r>
      <w:r>
        <w:rPr>
          <w:rFonts w:ascii="Times New Roman" w:hAnsi="Times New Roman" w:eastAsia="Times New Roman"/>
          <w:position w:val="-4"/>
          <w:sz w:val="40"/>
        </w:rPr>
        <w:tab/>
      </w:r>
      <w:r>
        <w:rPr>
          <w:b/>
          <w:w w:val="95"/>
          <w:sz w:val="24"/>
        </w:rPr>
        <w:t>您与我们的合同</w:t>
      </w:r>
    </w:p>
    <w:p>
      <w:pPr>
        <w:pStyle w:val="BodyText"/>
        <w:rPr>
          <w:b/>
          <w:sz w:val="10"/>
        </w:rPr>
      </w:pPr>
    </w:p>
    <w:p>
      <w:pPr>
        <w:pStyle w:val="ListParagraph"/>
        <w:numPr>
          <w:ilvl w:val="1"/>
          <w:numId w:val="7"/>
        </w:numPr>
        <w:tabs>
          <w:tab w:pos="795" w:val="left" w:leader="none"/>
        </w:tabs>
        <w:spacing w:line="273" w:lineRule="auto" w:before="36" w:after="0"/>
        <w:ind w:left="2474" w:right="211" w:hanging="2254"/>
        <w:jc w:val="both"/>
        <w:rPr>
          <w:sz w:val="21"/>
        </w:rPr>
      </w:pPr>
      <w:r>
        <w:rPr>
          <w:b/>
          <w:spacing w:val="2"/>
          <w:sz w:val="21"/>
        </w:rPr>
        <w:t>合同的订立     </w:t>
      </w:r>
      <w:r>
        <w:rPr>
          <w:spacing w:val="-5"/>
          <w:sz w:val="21"/>
        </w:rPr>
        <w:t>若您已与本公司订立了信泰世纪星辰两全保险合同</w:t>
      </w:r>
      <w:r>
        <w:rPr>
          <w:sz w:val="21"/>
        </w:rPr>
        <w:t>（</w:t>
      </w:r>
      <w:r>
        <w:rPr>
          <w:spacing w:val="-3"/>
          <w:sz w:val="21"/>
        </w:rPr>
        <w:t>以下简称主合同</w:t>
      </w:r>
      <w:r>
        <w:rPr>
          <w:spacing w:val="-68"/>
          <w:sz w:val="21"/>
        </w:rPr>
        <w:t>）</w:t>
      </w:r>
      <w:r>
        <w:rPr>
          <w:spacing w:val="-14"/>
          <w:sz w:val="21"/>
        </w:rPr>
        <w:t>，您可向我们</w:t>
      </w:r>
      <w:r>
        <w:rPr>
          <w:spacing w:val="-8"/>
          <w:sz w:val="21"/>
        </w:rPr>
        <w:t>申请订立信泰附加世纪星辰提前给付重大疾病保险合同</w:t>
      </w:r>
      <w:r>
        <w:rPr>
          <w:sz w:val="21"/>
        </w:rPr>
        <w:t>（</w:t>
      </w:r>
      <w:r>
        <w:rPr>
          <w:spacing w:val="-3"/>
          <w:sz w:val="21"/>
        </w:rPr>
        <w:t>以下简称本附加合同</w:t>
      </w:r>
      <w:r>
        <w:rPr>
          <w:spacing w:val="-68"/>
          <w:sz w:val="21"/>
        </w:rPr>
        <w:t>）</w:t>
      </w:r>
      <w:r>
        <w:rPr>
          <w:spacing w:val="-34"/>
          <w:sz w:val="21"/>
        </w:rPr>
        <w:t>，但</w:t>
      </w:r>
      <w:r>
        <w:rPr>
          <w:spacing w:val="-10"/>
          <w:sz w:val="21"/>
        </w:rPr>
        <w:t>须经我们审核同意。主合同中与本附加合同相关的内容适用于本附加合同，若主合</w:t>
      </w:r>
      <w:r>
        <w:rPr>
          <w:spacing w:val="-3"/>
          <w:sz w:val="21"/>
        </w:rPr>
        <w:t>同与本附加合同的约定不一致，则以本附加合同为准。</w:t>
      </w:r>
    </w:p>
    <w:p>
      <w:pPr>
        <w:pStyle w:val="BodyText"/>
        <w:spacing w:before="8"/>
      </w:pPr>
    </w:p>
    <w:p>
      <w:pPr>
        <w:spacing w:after="0"/>
        <w:sectPr>
          <w:headerReference w:type="default" r:id="rId7"/>
          <w:footerReference w:type="default" r:id="rId8"/>
          <w:pgSz w:w="11910" w:h="16840"/>
          <w:pgMar w:header="609" w:footer="320" w:top="800" w:bottom="520" w:left="800" w:right="800"/>
          <w:pgNumType w:start="1"/>
        </w:sectPr>
      </w:pPr>
    </w:p>
    <w:p>
      <w:pPr>
        <w:pStyle w:val="Heading2"/>
        <w:numPr>
          <w:ilvl w:val="1"/>
          <w:numId w:val="7"/>
        </w:numPr>
        <w:tabs>
          <w:tab w:pos="793" w:val="left" w:leader="none"/>
          <w:tab w:pos="795" w:val="left" w:leader="none"/>
        </w:tabs>
        <w:spacing w:line="273" w:lineRule="auto" w:before="36" w:after="0"/>
        <w:ind w:left="794" w:right="0" w:hanging="574"/>
        <w:jc w:val="left"/>
      </w:pPr>
      <w:r>
        <w:rPr/>
        <w:t>合同成立与生效</w:t>
      </w:r>
    </w:p>
    <w:p>
      <w:pPr>
        <w:pStyle w:val="BodyText"/>
        <w:spacing w:line="273" w:lineRule="auto" w:before="36"/>
        <w:ind w:left="220" w:right="218"/>
        <w:jc w:val="both"/>
      </w:pPr>
      <w:r>
        <w:rPr/>
        <w:br w:type="column"/>
      </w:r>
      <w:r>
        <w:rPr/>
        <w:t>您提出保险申请，我们同意承保，本附加合同成立，本附加合同成立日载明于保险单或批单上。</w:t>
      </w:r>
    </w:p>
    <w:p>
      <w:pPr>
        <w:pStyle w:val="BodyText"/>
        <w:spacing w:line="273" w:lineRule="auto" w:before="101"/>
        <w:ind w:left="220" w:right="261"/>
        <w:jc w:val="both"/>
      </w:pPr>
      <w:r>
        <w:rPr/>
        <w:t>自本附加合同成立、我们收取首期保险费并签发保险单或批单的次日零时起，本附加合同生效，本附加合同生效日载明于保险单或批单上。除另有约定外，本附加合同生效日为我们开始承担保险责任的日期。</w:t>
      </w:r>
    </w:p>
    <w:p>
      <w:pPr>
        <w:spacing w:after="0" w:line="273" w:lineRule="auto"/>
        <w:jc w:val="both"/>
        <w:sectPr>
          <w:type w:val="continuous"/>
          <w:pgSz w:w="11910" w:h="16840"/>
          <w:pgMar w:top="540" w:bottom="280" w:left="800" w:right="800"/>
          <w:cols w:num="2" w:equalWidth="0">
            <w:col w:w="1851" w:space="403"/>
            <w:col w:w="8056"/>
          </w:cols>
        </w:sectPr>
      </w:pPr>
    </w:p>
    <w:p>
      <w:pPr>
        <w:pStyle w:val="BodyText"/>
        <w:spacing w:before="9"/>
      </w:pPr>
    </w:p>
    <w:p>
      <w:pPr>
        <w:pStyle w:val="ListParagraph"/>
        <w:numPr>
          <w:ilvl w:val="1"/>
          <w:numId w:val="7"/>
        </w:numPr>
        <w:tabs>
          <w:tab w:pos="793" w:val="left" w:leader="none"/>
          <w:tab w:pos="795" w:val="left" w:leader="none"/>
          <w:tab w:pos="2473" w:val="left" w:leader="none"/>
        </w:tabs>
        <w:spacing w:line="240" w:lineRule="auto" w:before="36" w:after="0"/>
        <w:ind w:left="2474" w:right="0" w:hanging="2254"/>
        <w:jc w:val="left"/>
        <w:rPr>
          <w:sz w:val="21"/>
        </w:rPr>
      </w:pPr>
      <w:r>
        <w:rPr>
          <w:b/>
          <w:sz w:val="21"/>
        </w:rPr>
        <w:t>投保年龄</w:t>
        <w:tab/>
      </w:r>
      <w:r>
        <w:rPr>
          <w:spacing w:val="-1"/>
          <w:sz w:val="21"/>
        </w:rPr>
        <w:t>本附</w:t>
      </w:r>
      <w:r>
        <w:rPr>
          <w:spacing w:val="-3"/>
          <w:sz w:val="21"/>
        </w:rPr>
        <w:t>加</w:t>
      </w:r>
      <w:r>
        <w:rPr>
          <w:sz w:val="21"/>
        </w:rPr>
        <w:t>合</w:t>
      </w:r>
      <w:r>
        <w:rPr>
          <w:spacing w:val="-3"/>
          <w:sz w:val="21"/>
        </w:rPr>
        <w:t>同</w:t>
      </w:r>
      <w:r>
        <w:rPr>
          <w:sz w:val="21"/>
        </w:rPr>
        <w:t>接</w:t>
      </w:r>
      <w:r>
        <w:rPr>
          <w:spacing w:val="-3"/>
          <w:sz w:val="21"/>
        </w:rPr>
        <w:t>受</w:t>
      </w:r>
      <w:r>
        <w:rPr>
          <w:sz w:val="21"/>
        </w:rPr>
        <w:t>的</w:t>
      </w:r>
      <w:r>
        <w:rPr>
          <w:spacing w:val="-3"/>
          <w:sz w:val="21"/>
        </w:rPr>
        <w:t>被</w:t>
      </w:r>
      <w:r>
        <w:rPr>
          <w:sz w:val="21"/>
        </w:rPr>
        <w:t>保</w:t>
      </w:r>
      <w:r>
        <w:rPr>
          <w:spacing w:val="-3"/>
          <w:sz w:val="21"/>
        </w:rPr>
        <w:t>险</w:t>
      </w:r>
      <w:r>
        <w:rPr>
          <w:sz w:val="21"/>
        </w:rPr>
        <w:t>人投</w:t>
      </w:r>
      <w:r>
        <w:rPr>
          <w:spacing w:val="-3"/>
          <w:sz w:val="21"/>
        </w:rPr>
        <w:t>保</w:t>
      </w:r>
      <w:r>
        <w:rPr>
          <w:sz w:val="21"/>
        </w:rPr>
        <w:t>年龄与</w:t>
      </w:r>
      <w:r>
        <w:rPr>
          <w:spacing w:val="-3"/>
          <w:sz w:val="21"/>
        </w:rPr>
        <w:t>主</w:t>
      </w:r>
      <w:r>
        <w:rPr>
          <w:sz w:val="21"/>
        </w:rPr>
        <w:t>合</w:t>
      </w:r>
      <w:r>
        <w:rPr>
          <w:spacing w:val="-3"/>
          <w:sz w:val="21"/>
        </w:rPr>
        <w:t>同</w:t>
      </w:r>
      <w:r>
        <w:rPr>
          <w:sz w:val="21"/>
        </w:rPr>
        <w:t>相</w:t>
      </w:r>
      <w:r>
        <w:rPr>
          <w:spacing w:val="-3"/>
          <w:sz w:val="21"/>
        </w:rPr>
        <w:t>同</w:t>
      </w:r>
      <w:r>
        <w:rPr>
          <w:sz w:val="21"/>
        </w:rPr>
        <w:t>。</w:t>
      </w:r>
    </w:p>
    <w:p>
      <w:pPr>
        <w:pStyle w:val="BodyText"/>
        <w:spacing w:before="8"/>
        <w:rPr>
          <w:sz w:val="26"/>
        </w:rPr>
      </w:pPr>
    </w:p>
    <w:p>
      <w:pPr>
        <w:pStyle w:val="ListParagraph"/>
        <w:numPr>
          <w:ilvl w:val="1"/>
          <w:numId w:val="7"/>
        </w:numPr>
        <w:tabs>
          <w:tab w:pos="793" w:val="left" w:leader="none"/>
          <w:tab w:pos="795" w:val="left" w:leader="none"/>
          <w:tab w:pos="2473" w:val="left" w:leader="none"/>
        </w:tabs>
        <w:spacing w:line="240" w:lineRule="auto" w:before="0" w:after="0"/>
        <w:ind w:left="2474" w:right="0" w:hanging="2254"/>
        <w:jc w:val="left"/>
        <w:rPr>
          <w:sz w:val="21"/>
        </w:rPr>
      </w:pPr>
      <w:r>
        <w:rPr>
          <w:b/>
          <w:sz w:val="21"/>
        </w:rPr>
        <w:t>保险期间</w:t>
        <w:tab/>
      </w:r>
      <w:r>
        <w:rPr>
          <w:sz w:val="21"/>
        </w:rPr>
        <w:t>本附</w:t>
      </w:r>
      <w:r>
        <w:rPr>
          <w:spacing w:val="-3"/>
          <w:sz w:val="21"/>
        </w:rPr>
        <w:t>加</w:t>
      </w:r>
      <w:r>
        <w:rPr>
          <w:sz w:val="21"/>
        </w:rPr>
        <w:t>合</w:t>
      </w:r>
      <w:r>
        <w:rPr>
          <w:spacing w:val="-3"/>
          <w:sz w:val="21"/>
        </w:rPr>
        <w:t>同</w:t>
      </w:r>
      <w:r>
        <w:rPr>
          <w:sz w:val="21"/>
        </w:rPr>
        <w:t>保</w:t>
      </w:r>
      <w:r>
        <w:rPr>
          <w:spacing w:val="-3"/>
          <w:sz w:val="21"/>
        </w:rPr>
        <w:t>险</w:t>
      </w:r>
      <w:r>
        <w:rPr>
          <w:sz w:val="21"/>
        </w:rPr>
        <w:t>期</w:t>
      </w:r>
      <w:r>
        <w:rPr>
          <w:spacing w:val="-3"/>
          <w:sz w:val="21"/>
        </w:rPr>
        <w:t>间</w:t>
      </w:r>
      <w:r>
        <w:rPr>
          <w:sz w:val="21"/>
        </w:rPr>
        <w:t>与</w:t>
      </w:r>
      <w:r>
        <w:rPr>
          <w:spacing w:val="-3"/>
          <w:sz w:val="21"/>
        </w:rPr>
        <w:t>主</w:t>
      </w:r>
      <w:r>
        <w:rPr>
          <w:sz w:val="21"/>
        </w:rPr>
        <w:t>合同</w:t>
      </w:r>
      <w:r>
        <w:rPr>
          <w:spacing w:val="-3"/>
          <w:sz w:val="21"/>
        </w:rPr>
        <w:t>相</w:t>
      </w:r>
      <w:r>
        <w:rPr>
          <w:sz w:val="21"/>
        </w:rPr>
        <w:t>同。</w:t>
      </w:r>
    </w:p>
    <w:p>
      <w:pPr>
        <w:pStyle w:val="BodyText"/>
        <w:rPr>
          <w:sz w:val="20"/>
        </w:rPr>
      </w:pPr>
    </w:p>
    <w:p>
      <w:pPr>
        <w:tabs>
          <w:tab w:pos="793" w:val="left" w:leader="none"/>
        </w:tabs>
        <w:spacing w:before="160"/>
        <w:ind w:left="220" w:right="0" w:firstLine="0"/>
        <w:jc w:val="left"/>
        <w:rPr>
          <w:b/>
          <w:sz w:val="24"/>
        </w:rPr>
      </w:pPr>
      <w:r>
        <w:rPr/>
        <w:pict>
          <v:group style="position:absolute;margin-left:45.599998pt;margin-top:36.159775pt;width:504.1pt;height:1pt;mso-position-horizontal-relative:page;mso-position-vertical-relative:paragraph;z-index:1120;mso-wrap-distance-left:0;mso-wrap-distance-right:0" coordorigin="912,723" coordsize="10082,20">
            <v:line style="position:absolute" from="912,733" to="1486,733" stroked="true" strokeweight=".96pt" strokecolor="#000000">
              <v:stroke dashstyle="solid"/>
            </v:line>
            <v:rect style="position:absolute;left:1486;top:723;width:20;height:20" filled="true" fillcolor="#000000" stroked="false">
              <v:fill type="solid"/>
            </v:rect>
            <v:line style="position:absolute" from="1505,733" to="3164,733" stroked="true" strokeweight=".96pt" strokecolor="#000000">
              <v:stroke dashstyle="solid"/>
            </v:line>
            <v:rect style="position:absolute;left:3163;top:723;width:20;height:20" filled="true" fillcolor="#000000" stroked="false">
              <v:fill type="solid"/>
            </v:rect>
            <v:line style="position:absolute" from="3183,733" to="10994,733" stroked="true" strokeweight=".96pt" strokecolor="#000000">
              <v:stroke dashstyle="solid"/>
            </v:line>
            <w10:wrap type="topAndBottom"/>
          </v:group>
        </w:pict>
      </w:r>
      <w:r>
        <w:rPr>
          <w:rFonts w:ascii="Arial" w:hAnsi="Arial" w:eastAsia="Arial"/>
          <w:b/>
          <w:position w:val="-3"/>
          <w:sz w:val="40"/>
        </w:rPr>
        <w:t></w:t>
        <w:tab/>
      </w:r>
      <w:r>
        <w:rPr>
          <w:b/>
          <w:w w:val="95"/>
          <w:sz w:val="24"/>
        </w:rPr>
        <w:t>我们提供的保障</w:t>
      </w:r>
    </w:p>
    <w:p>
      <w:pPr>
        <w:pStyle w:val="BodyText"/>
        <w:spacing w:before="10"/>
        <w:rPr>
          <w:b/>
          <w:sz w:val="9"/>
        </w:rPr>
      </w:pPr>
    </w:p>
    <w:p>
      <w:pPr>
        <w:pStyle w:val="ListParagraph"/>
        <w:numPr>
          <w:ilvl w:val="1"/>
          <w:numId w:val="8"/>
        </w:numPr>
        <w:tabs>
          <w:tab w:pos="793" w:val="left" w:leader="none"/>
          <w:tab w:pos="795" w:val="left" w:leader="none"/>
          <w:tab w:pos="2473" w:val="left" w:leader="none"/>
        </w:tabs>
        <w:spacing w:line="240" w:lineRule="auto" w:before="36" w:after="0"/>
        <w:ind w:left="2394" w:right="0" w:hanging="2174"/>
        <w:jc w:val="left"/>
        <w:rPr>
          <w:sz w:val="21"/>
        </w:rPr>
      </w:pPr>
      <w:r>
        <w:rPr>
          <w:b/>
          <w:sz w:val="21"/>
        </w:rPr>
        <w:t>保险金额</w:t>
        <w:tab/>
      </w:r>
      <w:r>
        <w:rPr>
          <w:sz w:val="21"/>
        </w:rPr>
        <w:t>本附加合</w:t>
      </w:r>
      <w:r>
        <w:rPr>
          <w:spacing w:val="-3"/>
          <w:sz w:val="21"/>
        </w:rPr>
        <w:t>同</w:t>
      </w:r>
      <w:r>
        <w:rPr>
          <w:sz w:val="21"/>
        </w:rPr>
        <w:t>基</w:t>
      </w:r>
      <w:r>
        <w:rPr>
          <w:spacing w:val="-3"/>
          <w:sz w:val="21"/>
        </w:rPr>
        <w:t>本</w:t>
      </w:r>
      <w:r>
        <w:rPr>
          <w:sz w:val="21"/>
        </w:rPr>
        <w:t>保</w:t>
      </w:r>
      <w:r>
        <w:rPr>
          <w:spacing w:val="-3"/>
          <w:sz w:val="21"/>
        </w:rPr>
        <w:t>险</w:t>
      </w:r>
      <w:r>
        <w:rPr>
          <w:sz w:val="21"/>
        </w:rPr>
        <w:t>金</w:t>
      </w:r>
      <w:r>
        <w:rPr>
          <w:spacing w:val="-3"/>
          <w:sz w:val="21"/>
        </w:rPr>
        <w:t>额</w:t>
      </w:r>
      <w:r>
        <w:rPr>
          <w:sz w:val="21"/>
        </w:rPr>
        <w:t>等于</w:t>
      </w:r>
      <w:r>
        <w:rPr>
          <w:spacing w:val="-3"/>
          <w:sz w:val="21"/>
        </w:rPr>
        <w:t>主</w:t>
      </w:r>
      <w:r>
        <w:rPr>
          <w:sz w:val="21"/>
        </w:rPr>
        <w:t>合</w:t>
      </w:r>
      <w:r>
        <w:rPr>
          <w:spacing w:val="-3"/>
          <w:sz w:val="21"/>
        </w:rPr>
        <w:t>同</w:t>
      </w:r>
      <w:r>
        <w:rPr>
          <w:sz w:val="21"/>
        </w:rPr>
        <w:t>基</w:t>
      </w:r>
      <w:r>
        <w:rPr>
          <w:spacing w:val="-3"/>
          <w:sz w:val="21"/>
        </w:rPr>
        <w:t>本</w:t>
      </w:r>
      <w:r>
        <w:rPr>
          <w:sz w:val="21"/>
        </w:rPr>
        <w:t>保</w:t>
      </w:r>
      <w:r>
        <w:rPr>
          <w:spacing w:val="-3"/>
          <w:sz w:val="21"/>
        </w:rPr>
        <w:t>险</w:t>
      </w:r>
      <w:r>
        <w:rPr>
          <w:sz w:val="21"/>
        </w:rPr>
        <w:t>金</w:t>
      </w:r>
      <w:r>
        <w:rPr>
          <w:spacing w:val="-3"/>
          <w:sz w:val="21"/>
        </w:rPr>
        <w:t>额</w:t>
      </w:r>
      <w:r>
        <w:rPr>
          <w:sz w:val="21"/>
        </w:rPr>
        <w:t>。</w:t>
      </w:r>
    </w:p>
    <w:p>
      <w:pPr>
        <w:pStyle w:val="BodyText"/>
        <w:spacing w:before="36"/>
        <w:ind w:left="2473"/>
      </w:pPr>
      <w:r>
        <w:rPr/>
        <w:t>本附加合同当年度保险金额等于主合同当年度保险金额。</w:t>
      </w:r>
    </w:p>
    <w:p>
      <w:pPr>
        <w:pStyle w:val="BodyText"/>
        <w:spacing w:before="8"/>
        <w:rPr>
          <w:sz w:val="24"/>
        </w:rPr>
      </w:pPr>
    </w:p>
    <w:p>
      <w:pPr>
        <w:pStyle w:val="ListParagraph"/>
        <w:numPr>
          <w:ilvl w:val="1"/>
          <w:numId w:val="8"/>
        </w:numPr>
        <w:tabs>
          <w:tab w:pos="793" w:val="left" w:leader="none"/>
          <w:tab w:pos="795" w:val="left" w:leader="none"/>
          <w:tab w:pos="2473" w:val="left" w:leader="none"/>
        </w:tabs>
        <w:spacing w:line="240" w:lineRule="auto" w:before="1" w:after="50"/>
        <w:ind w:left="2394" w:right="0" w:hanging="2174"/>
        <w:jc w:val="left"/>
        <w:rPr>
          <w:sz w:val="21"/>
        </w:rPr>
      </w:pPr>
      <w:r>
        <w:rPr>
          <w:b/>
          <w:sz w:val="21"/>
        </w:rPr>
        <w:t>重大疾病分组</w:t>
        <w:tab/>
      </w:r>
      <w:r>
        <w:rPr>
          <w:sz w:val="21"/>
        </w:rPr>
        <w:t>本附</w:t>
      </w:r>
      <w:r>
        <w:rPr>
          <w:spacing w:val="-3"/>
          <w:sz w:val="21"/>
        </w:rPr>
        <w:t>加</w:t>
      </w:r>
      <w:r>
        <w:rPr>
          <w:sz w:val="21"/>
        </w:rPr>
        <w:t>合</w:t>
      </w:r>
      <w:r>
        <w:rPr>
          <w:spacing w:val="-3"/>
          <w:sz w:val="21"/>
        </w:rPr>
        <w:t>同</w:t>
      </w:r>
      <w:r>
        <w:rPr>
          <w:sz w:val="21"/>
        </w:rPr>
        <w:t>所</w:t>
      </w:r>
      <w:r>
        <w:rPr>
          <w:spacing w:val="-3"/>
          <w:sz w:val="21"/>
        </w:rPr>
        <w:t>保</w:t>
      </w:r>
      <w:r>
        <w:rPr>
          <w:sz w:val="21"/>
        </w:rPr>
        <w:t>障</w:t>
      </w:r>
      <w:r>
        <w:rPr>
          <w:spacing w:val="-3"/>
          <w:sz w:val="21"/>
        </w:rPr>
        <w:t>的</w:t>
      </w:r>
      <w:r>
        <w:rPr>
          <w:sz w:val="21"/>
        </w:rPr>
        <w:t>三</w:t>
      </w:r>
      <w:r>
        <w:rPr>
          <w:spacing w:val="-3"/>
          <w:sz w:val="21"/>
        </w:rPr>
        <w:t>十</w:t>
      </w:r>
      <w:r>
        <w:rPr>
          <w:sz w:val="21"/>
        </w:rPr>
        <w:t>二种</w:t>
      </w:r>
      <w:r>
        <w:rPr>
          <w:spacing w:val="-3"/>
          <w:sz w:val="21"/>
        </w:rPr>
        <w:t>重</w:t>
      </w:r>
      <w:r>
        <w:rPr>
          <w:sz w:val="21"/>
        </w:rPr>
        <w:t>大</w:t>
      </w:r>
      <w:r>
        <w:rPr>
          <w:spacing w:val="-3"/>
          <w:sz w:val="21"/>
        </w:rPr>
        <w:t>疾</w:t>
      </w:r>
      <w:r>
        <w:rPr>
          <w:sz w:val="21"/>
        </w:rPr>
        <w:t>病</w:t>
      </w:r>
      <w:r>
        <w:rPr>
          <w:spacing w:val="-3"/>
          <w:sz w:val="21"/>
        </w:rPr>
        <w:t>分</w:t>
      </w:r>
      <w:r>
        <w:rPr>
          <w:sz w:val="21"/>
        </w:rPr>
        <w:t>为</w:t>
      </w:r>
      <w:r>
        <w:rPr>
          <w:spacing w:val="-50"/>
          <w:sz w:val="21"/>
        </w:rPr>
        <w:t> </w:t>
      </w:r>
      <w:r>
        <w:rPr>
          <w:spacing w:val="-3"/>
          <w:sz w:val="21"/>
        </w:rPr>
        <w:t>A</w:t>
      </w:r>
      <w:r>
        <w:rPr>
          <w:sz w:val="21"/>
        </w:rPr>
        <w:t>、B</w:t>
      </w:r>
      <w:r>
        <w:rPr>
          <w:spacing w:val="-52"/>
          <w:sz w:val="21"/>
        </w:rPr>
        <w:t> </w:t>
      </w:r>
      <w:r>
        <w:rPr>
          <w:spacing w:val="-3"/>
          <w:sz w:val="21"/>
        </w:rPr>
        <w:t>两</w:t>
      </w:r>
      <w:r>
        <w:rPr>
          <w:sz w:val="21"/>
        </w:rPr>
        <w:t>组。</w:t>
      </w:r>
    </w:p>
    <w:tbl>
      <w:tblPr>
        <w:tblW w:w="0" w:type="auto"/>
        <w:jc w:val="left"/>
        <w:tblInd w:w="2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02"/>
        <w:gridCol w:w="2451"/>
        <w:gridCol w:w="2552"/>
      </w:tblGrid>
      <w:tr>
        <w:trPr>
          <w:trHeight w:val="311" w:hRule="atLeast"/>
        </w:trPr>
        <w:tc>
          <w:tcPr>
            <w:tcW w:w="5053" w:type="dxa"/>
            <w:gridSpan w:val="2"/>
          </w:tcPr>
          <w:p>
            <w:pPr>
              <w:pStyle w:val="TableParagraph"/>
              <w:spacing w:line="262" w:lineRule="exact"/>
              <w:ind w:left="2297" w:right="2285"/>
              <w:jc w:val="center"/>
              <w:rPr>
                <w:sz w:val="21"/>
              </w:rPr>
            </w:pPr>
            <w:r>
              <w:rPr>
                <w:sz w:val="21"/>
              </w:rPr>
              <w:t>A 组</w:t>
            </w:r>
          </w:p>
        </w:tc>
        <w:tc>
          <w:tcPr>
            <w:tcW w:w="2552" w:type="dxa"/>
          </w:tcPr>
          <w:p>
            <w:pPr>
              <w:pStyle w:val="TableParagraph"/>
              <w:spacing w:line="262" w:lineRule="exact"/>
              <w:ind w:left="105"/>
              <w:rPr>
                <w:sz w:val="21"/>
              </w:rPr>
            </w:pPr>
            <w:r>
              <w:rPr>
                <w:sz w:val="21"/>
              </w:rPr>
              <w:t>B 组</w:t>
            </w:r>
          </w:p>
        </w:tc>
      </w:tr>
      <w:tr>
        <w:trPr>
          <w:trHeight w:val="657" w:hRule="atLeast"/>
        </w:trPr>
        <w:tc>
          <w:tcPr>
            <w:tcW w:w="2602" w:type="dxa"/>
          </w:tcPr>
          <w:p>
            <w:pPr>
              <w:pStyle w:val="TableParagraph"/>
              <w:spacing w:line="262" w:lineRule="exact"/>
              <w:ind w:left="107"/>
              <w:rPr>
                <w:sz w:val="21"/>
              </w:rPr>
            </w:pPr>
            <w:r>
              <w:rPr>
                <w:sz w:val="21"/>
              </w:rPr>
              <w:t>恶性肿瘤</w:t>
            </w:r>
          </w:p>
        </w:tc>
        <w:tc>
          <w:tcPr>
            <w:tcW w:w="2451" w:type="dxa"/>
          </w:tcPr>
          <w:p>
            <w:pPr>
              <w:pStyle w:val="TableParagraph"/>
              <w:spacing w:line="262" w:lineRule="exact"/>
              <w:ind w:left="108"/>
              <w:rPr>
                <w:sz w:val="21"/>
              </w:rPr>
            </w:pPr>
            <w:r>
              <w:rPr>
                <w:sz w:val="21"/>
              </w:rPr>
              <w:t>双目失明</w:t>
            </w:r>
          </w:p>
        </w:tc>
        <w:tc>
          <w:tcPr>
            <w:tcW w:w="2552" w:type="dxa"/>
          </w:tcPr>
          <w:p>
            <w:pPr>
              <w:pStyle w:val="TableParagraph"/>
              <w:spacing w:line="273" w:lineRule="auto"/>
              <w:ind w:left="105" w:right="120"/>
              <w:rPr>
                <w:sz w:val="21"/>
              </w:rPr>
            </w:pPr>
            <w:r>
              <w:rPr>
                <w:sz w:val="21"/>
              </w:rPr>
              <w:t>胰岛素依赖型糖尿病（糖尿病 I 型）</w:t>
            </w:r>
          </w:p>
        </w:tc>
      </w:tr>
      <w:tr>
        <w:trPr>
          <w:trHeight w:val="311" w:hRule="atLeast"/>
        </w:trPr>
        <w:tc>
          <w:tcPr>
            <w:tcW w:w="2602" w:type="dxa"/>
          </w:tcPr>
          <w:p>
            <w:pPr>
              <w:pStyle w:val="TableParagraph"/>
              <w:spacing w:line="262" w:lineRule="exact"/>
              <w:ind w:left="107"/>
              <w:rPr>
                <w:sz w:val="21"/>
              </w:rPr>
            </w:pPr>
            <w:r>
              <w:rPr>
                <w:sz w:val="21"/>
              </w:rPr>
              <w:t>急性心肌梗塞</w:t>
            </w:r>
          </w:p>
        </w:tc>
        <w:tc>
          <w:tcPr>
            <w:tcW w:w="2451" w:type="dxa"/>
          </w:tcPr>
          <w:p>
            <w:pPr>
              <w:pStyle w:val="TableParagraph"/>
              <w:spacing w:line="262" w:lineRule="exact"/>
              <w:ind w:left="108"/>
              <w:rPr>
                <w:sz w:val="21"/>
              </w:rPr>
            </w:pPr>
            <w:r>
              <w:rPr>
                <w:sz w:val="21"/>
              </w:rPr>
              <w:t>瘫痪</w:t>
            </w:r>
          </w:p>
        </w:tc>
        <w:tc>
          <w:tcPr>
            <w:tcW w:w="2552" w:type="dxa"/>
          </w:tcPr>
          <w:p>
            <w:pPr>
              <w:pStyle w:val="TableParagraph"/>
              <w:spacing w:line="262" w:lineRule="exact"/>
              <w:ind w:left="105"/>
              <w:rPr>
                <w:sz w:val="21"/>
              </w:rPr>
            </w:pPr>
            <w:r>
              <w:rPr>
                <w:spacing w:val="-22"/>
                <w:sz w:val="21"/>
              </w:rPr>
              <w:t>婴儿型脊肌萎缩症</w:t>
            </w:r>
            <w:r>
              <w:rPr>
                <w:spacing w:val="-12"/>
                <w:sz w:val="21"/>
              </w:rPr>
              <w:t>（ISMA）</w:t>
            </w:r>
          </w:p>
        </w:tc>
      </w:tr>
      <w:tr>
        <w:trPr>
          <w:trHeight w:val="313" w:hRule="atLeast"/>
        </w:trPr>
        <w:tc>
          <w:tcPr>
            <w:tcW w:w="2602" w:type="dxa"/>
          </w:tcPr>
          <w:p>
            <w:pPr>
              <w:pStyle w:val="TableParagraph"/>
              <w:spacing w:line="265" w:lineRule="exact"/>
              <w:ind w:left="107"/>
              <w:rPr>
                <w:sz w:val="21"/>
              </w:rPr>
            </w:pPr>
            <w:r>
              <w:rPr>
                <w:sz w:val="21"/>
              </w:rPr>
              <w:t>脑中风后遗症</w:t>
            </w:r>
          </w:p>
        </w:tc>
        <w:tc>
          <w:tcPr>
            <w:tcW w:w="2451" w:type="dxa"/>
          </w:tcPr>
          <w:p>
            <w:pPr>
              <w:pStyle w:val="TableParagraph"/>
              <w:spacing w:line="265" w:lineRule="exact"/>
              <w:ind w:left="108"/>
              <w:rPr>
                <w:sz w:val="21"/>
              </w:rPr>
            </w:pPr>
            <w:r>
              <w:rPr>
                <w:sz w:val="21"/>
              </w:rPr>
              <w:t>心脏瓣膜手术</w:t>
            </w:r>
          </w:p>
        </w:tc>
        <w:tc>
          <w:tcPr>
            <w:tcW w:w="2552" w:type="dxa"/>
          </w:tcPr>
          <w:p>
            <w:pPr>
              <w:pStyle w:val="TableParagraph"/>
              <w:spacing w:line="265" w:lineRule="exact"/>
              <w:ind w:left="105"/>
              <w:rPr>
                <w:sz w:val="21"/>
              </w:rPr>
            </w:pPr>
            <w:r>
              <w:rPr>
                <w:sz w:val="21"/>
              </w:rPr>
              <w:t>幼年型类风湿性关节炎</w:t>
            </w:r>
          </w:p>
        </w:tc>
      </w:tr>
      <w:tr>
        <w:trPr>
          <w:trHeight w:val="623" w:hRule="atLeast"/>
        </w:trPr>
        <w:tc>
          <w:tcPr>
            <w:tcW w:w="2602" w:type="dxa"/>
          </w:tcPr>
          <w:p>
            <w:pPr>
              <w:pStyle w:val="TableParagraph"/>
              <w:spacing w:line="273" w:lineRule="auto"/>
              <w:ind w:left="107" w:right="96"/>
              <w:rPr>
                <w:sz w:val="21"/>
              </w:rPr>
            </w:pPr>
            <w:r>
              <w:rPr>
                <w:sz w:val="21"/>
              </w:rPr>
              <w:t>重大器官移植术或造血干细胞移植术</w:t>
            </w:r>
          </w:p>
        </w:tc>
        <w:tc>
          <w:tcPr>
            <w:tcW w:w="2451" w:type="dxa"/>
          </w:tcPr>
          <w:p>
            <w:pPr>
              <w:pStyle w:val="TableParagraph"/>
              <w:spacing w:line="262" w:lineRule="exact"/>
              <w:ind w:left="108"/>
              <w:rPr>
                <w:sz w:val="21"/>
              </w:rPr>
            </w:pPr>
            <w:r>
              <w:rPr>
                <w:sz w:val="21"/>
              </w:rPr>
              <w:t>严重阿尔茨海默病</w:t>
            </w:r>
          </w:p>
        </w:tc>
        <w:tc>
          <w:tcPr>
            <w:tcW w:w="2552" w:type="dxa"/>
          </w:tcPr>
          <w:p>
            <w:pPr>
              <w:pStyle w:val="TableParagraph"/>
              <w:spacing w:line="262" w:lineRule="exact"/>
              <w:ind w:left="105"/>
              <w:rPr>
                <w:sz w:val="21"/>
              </w:rPr>
            </w:pPr>
            <w:r>
              <w:rPr>
                <w:sz w:val="21"/>
              </w:rPr>
              <w:t>急性脊髓灰质炎</w:t>
            </w:r>
          </w:p>
        </w:tc>
      </w:tr>
      <w:tr>
        <w:trPr>
          <w:trHeight w:val="311" w:hRule="atLeast"/>
        </w:trPr>
        <w:tc>
          <w:tcPr>
            <w:tcW w:w="2602" w:type="dxa"/>
          </w:tcPr>
          <w:p>
            <w:pPr>
              <w:pStyle w:val="TableParagraph"/>
              <w:spacing w:line="262" w:lineRule="exact"/>
              <w:ind w:left="107"/>
              <w:rPr>
                <w:sz w:val="21"/>
              </w:rPr>
            </w:pPr>
            <w:r>
              <w:rPr>
                <w:sz w:val="21"/>
              </w:rPr>
              <w:t>冠状动脉搭桥术</w:t>
            </w:r>
          </w:p>
        </w:tc>
        <w:tc>
          <w:tcPr>
            <w:tcW w:w="2451" w:type="dxa"/>
          </w:tcPr>
          <w:p>
            <w:pPr>
              <w:pStyle w:val="TableParagraph"/>
              <w:spacing w:line="262" w:lineRule="exact"/>
              <w:ind w:left="108"/>
              <w:rPr>
                <w:sz w:val="21"/>
              </w:rPr>
            </w:pPr>
            <w:r>
              <w:rPr>
                <w:sz w:val="21"/>
              </w:rPr>
              <w:t>严重脑损伤</w:t>
            </w:r>
          </w:p>
        </w:tc>
        <w:tc>
          <w:tcPr>
            <w:tcW w:w="2552" w:type="dxa"/>
          </w:tcPr>
          <w:p>
            <w:pPr>
              <w:pStyle w:val="TableParagraph"/>
              <w:spacing w:line="262" w:lineRule="exact"/>
              <w:ind w:left="105"/>
              <w:rPr>
                <w:sz w:val="21"/>
              </w:rPr>
            </w:pPr>
            <w:r>
              <w:rPr>
                <w:sz w:val="21"/>
              </w:rPr>
              <w:t>川崎病（KD）</w:t>
            </w:r>
          </w:p>
        </w:tc>
      </w:tr>
      <w:tr>
        <w:trPr>
          <w:trHeight w:val="623" w:hRule="atLeast"/>
        </w:trPr>
        <w:tc>
          <w:tcPr>
            <w:tcW w:w="2602" w:type="dxa"/>
          </w:tcPr>
          <w:p>
            <w:pPr>
              <w:pStyle w:val="TableParagraph"/>
              <w:spacing w:line="273" w:lineRule="auto"/>
              <w:ind w:left="107" w:right="96"/>
              <w:rPr>
                <w:sz w:val="21"/>
              </w:rPr>
            </w:pPr>
            <w:r>
              <w:rPr>
                <w:sz w:val="21"/>
              </w:rPr>
              <w:t>终末期肾病（或称慢性肾功能衰竭尿毒症期）</w:t>
            </w:r>
          </w:p>
        </w:tc>
        <w:tc>
          <w:tcPr>
            <w:tcW w:w="2451" w:type="dxa"/>
          </w:tcPr>
          <w:p>
            <w:pPr>
              <w:pStyle w:val="TableParagraph"/>
              <w:spacing w:line="262" w:lineRule="exact"/>
              <w:ind w:left="108"/>
              <w:rPr>
                <w:sz w:val="21"/>
              </w:rPr>
            </w:pPr>
            <w:r>
              <w:rPr>
                <w:sz w:val="21"/>
              </w:rPr>
              <w:t>严重帕金森病</w:t>
            </w:r>
          </w:p>
        </w:tc>
        <w:tc>
          <w:tcPr>
            <w:tcW w:w="2552" w:type="dxa"/>
          </w:tcPr>
          <w:p>
            <w:pPr>
              <w:pStyle w:val="TableParagraph"/>
              <w:spacing w:line="262" w:lineRule="exact"/>
              <w:ind w:left="105"/>
              <w:rPr>
                <w:sz w:val="21"/>
              </w:rPr>
            </w:pPr>
            <w:r>
              <w:rPr>
                <w:sz w:val="21"/>
              </w:rPr>
              <w:t>严重心肌炎</w:t>
            </w:r>
          </w:p>
        </w:tc>
      </w:tr>
      <w:tr>
        <w:trPr>
          <w:trHeight w:val="311" w:hRule="atLeast"/>
        </w:trPr>
        <w:tc>
          <w:tcPr>
            <w:tcW w:w="2602" w:type="dxa"/>
          </w:tcPr>
          <w:p>
            <w:pPr>
              <w:pStyle w:val="TableParagraph"/>
              <w:spacing w:line="262" w:lineRule="exact"/>
              <w:ind w:left="107"/>
              <w:rPr>
                <w:sz w:val="21"/>
              </w:rPr>
            </w:pPr>
            <w:r>
              <w:rPr>
                <w:sz w:val="21"/>
              </w:rPr>
              <w:t>多个肢体缺失</w:t>
            </w:r>
          </w:p>
        </w:tc>
        <w:tc>
          <w:tcPr>
            <w:tcW w:w="2451" w:type="dxa"/>
          </w:tcPr>
          <w:p>
            <w:pPr>
              <w:pStyle w:val="TableParagraph"/>
              <w:spacing w:line="262" w:lineRule="exact"/>
              <w:ind w:left="108"/>
              <w:rPr>
                <w:sz w:val="21"/>
              </w:rPr>
            </w:pPr>
            <w:r>
              <w:rPr>
                <w:sz w:val="21"/>
              </w:rPr>
              <w:t>严重Ⅲ度烧伤</w:t>
            </w:r>
          </w:p>
        </w:tc>
        <w:tc>
          <w:tcPr>
            <w:tcW w:w="2552" w:type="dxa"/>
          </w:tcPr>
          <w:p>
            <w:pPr>
              <w:pStyle w:val="TableParagraph"/>
              <w:spacing w:line="262" w:lineRule="exact"/>
              <w:ind w:left="105"/>
              <w:rPr>
                <w:sz w:val="21"/>
              </w:rPr>
            </w:pPr>
            <w:r>
              <w:rPr>
                <w:sz w:val="21"/>
              </w:rPr>
              <w:t>严重胃肠炎</w:t>
            </w:r>
          </w:p>
        </w:tc>
      </w:tr>
      <w:tr>
        <w:trPr>
          <w:trHeight w:val="313" w:hRule="atLeast"/>
        </w:trPr>
        <w:tc>
          <w:tcPr>
            <w:tcW w:w="2602" w:type="dxa"/>
          </w:tcPr>
          <w:p>
            <w:pPr>
              <w:pStyle w:val="TableParagraph"/>
              <w:spacing w:line="262" w:lineRule="exact"/>
              <w:ind w:left="107"/>
              <w:rPr>
                <w:sz w:val="21"/>
              </w:rPr>
            </w:pPr>
            <w:r>
              <w:rPr>
                <w:sz w:val="21"/>
              </w:rPr>
              <w:t>急性或亚急性重症肝炎</w:t>
            </w:r>
          </w:p>
        </w:tc>
        <w:tc>
          <w:tcPr>
            <w:tcW w:w="2451" w:type="dxa"/>
          </w:tcPr>
          <w:p>
            <w:pPr>
              <w:pStyle w:val="TableParagraph"/>
              <w:spacing w:line="262" w:lineRule="exact"/>
              <w:ind w:left="108"/>
              <w:rPr>
                <w:sz w:val="21"/>
              </w:rPr>
            </w:pPr>
            <w:r>
              <w:rPr>
                <w:sz w:val="21"/>
              </w:rPr>
              <w:t>严重原发性肺动脉高压</w:t>
            </w:r>
          </w:p>
        </w:tc>
        <w:tc>
          <w:tcPr>
            <w:tcW w:w="2552" w:type="dxa"/>
          </w:tcPr>
          <w:p>
            <w:pPr>
              <w:pStyle w:val="TableParagraph"/>
              <w:rPr>
                <w:rFonts w:ascii="Times New Roman"/>
                <w:sz w:val="20"/>
              </w:rPr>
            </w:pPr>
          </w:p>
        </w:tc>
      </w:tr>
    </w:tbl>
    <w:p>
      <w:pPr>
        <w:spacing w:after="0"/>
        <w:rPr>
          <w:rFonts w:ascii="Times New Roman"/>
          <w:sz w:val="20"/>
        </w:rPr>
        <w:sectPr>
          <w:type w:val="continuous"/>
          <w:pgSz w:w="11910" w:h="16840"/>
          <w:pgMar w:top="540" w:bottom="280" w:left="800" w:right="800"/>
        </w:sectPr>
      </w:pPr>
    </w:p>
    <w:p>
      <w:pPr>
        <w:pStyle w:val="BodyText"/>
        <w:spacing w:before="9" w:after="1"/>
        <w:rPr>
          <w:sz w:val="24"/>
        </w:rPr>
      </w:pPr>
    </w:p>
    <w:tbl>
      <w:tblPr>
        <w:tblW w:w="0" w:type="auto"/>
        <w:jc w:val="left"/>
        <w:tblInd w:w="2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02"/>
        <w:gridCol w:w="2451"/>
        <w:gridCol w:w="2552"/>
      </w:tblGrid>
      <w:tr>
        <w:trPr>
          <w:trHeight w:val="313" w:hRule="atLeast"/>
        </w:trPr>
        <w:tc>
          <w:tcPr>
            <w:tcW w:w="2602" w:type="dxa"/>
          </w:tcPr>
          <w:p>
            <w:pPr>
              <w:pStyle w:val="TableParagraph"/>
              <w:spacing w:line="265" w:lineRule="exact"/>
              <w:ind w:left="107"/>
              <w:rPr>
                <w:sz w:val="21"/>
              </w:rPr>
            </w:pPr>
            <w:r>
              <w:rPr>
                <w:sz w:val="21"/>
              </w:rPr>
              <w:t>良性脑肿瘤</w:t>
            </w:r>
          </w:p>
        </w:tc>
        <w:tc>
          <w:tcPr>
            <w:tcW w:w="2451" w:type="dxa"/>
          </w:tcPr>
          <w:p>
            <w:pPr>
              <w:pStyle w:val="TableParagraph"/>
              <w:spacing w:line="265" w:lineRule="exact"/>
              <w:ind w:left="108"/>
              <w:rPr>
                <w:sz w:val="21"/>
              </w:rPr>
            </w:pPr>
            <w:r>
              <w:rPr>
                <w:sz w:val="21"/>
              </w:rPr>
              <w:t>严重运动神经元病</w:t>
            </w:r>
          </w:p>
        </w:tc>
        <w:tc>
          <w:tcPr>
            <w:tcW w:w="2552" w:type="dxa"/>
          </w:tcPr>
          <w:p>
            <w:pPr>
              <w:pStyle w:val="TableParagraph"/>
              <w:rPr>
                <w:rFonts w:ascii="Times New Roman"/>
                <w:sz w:val="20"/>
              </w:rPr>
            </w:pPr>
          </w:p>
        </w:tc>
      </w:tr>
      <w:tr>
        <w:trPr>
          <w:trHeight w:val="312" w:hRule="atLeast"/>
        </w:trPr>
        <w:tc>
          <w:tcPr>
            <w:tcW w:w="2602" w:type="dxa"/>
          </w:tcPr>
          <w:p>
            <w:pPr>
              <w:pStyle w:val="TableParagraph"/>
              <w:spacing w:line="263" w:lineRule="exact"/>
              <w:ind w:left="107"/>
              <w:rPr>
                <w:sz w:val="21"/>
              </w:rPr>
            </w:pPr>
            <w:r>
              <w:rPr>
                <w:sz w:val="21"/>
              </w:rPr>
              <w:t>慢性肝功能衰竭失代偿期</w:t>
            </w:r>
          </w:p>
        </w:tc>
        <w:tc>
          <w:tcPr>
            <w:tcW w:w="2451" w:type="dxa"/>
          </w:tcPr>
          <w:p>
            <w:pPr>
              <w:pStyle w:val="TableParagraph"/>
              <w:spacing w:line="263" w:lineRule="exact"/>
              <w:ind w:left="108"/>
              <w:rPr>
                <w:sz w:val="21"/>
              </w:rPr>
            </w:pPr>
            <w:r>
              <w:rPr>
                <w:sz w:val="21"/>
              </w:rPr>
              <w:t>语言能力丧失</w:t>
            </w:r>
          </w:p>
        </w:tc>
        <w:tc>
          <w:tcPr>
            <w:tcW w:w="2552" w:type="dxa"/>
          </w:tcPr>
          <w:p>
            <w:pPr>
              <w:pStyle w:val="TableParagraph"/>
              <w:rPr>
                <w:rFonts w:ascii="Times New Roman"/>
                <w:sz w:val="20"/>
              </w:rPr>
            </w:pPr>
          </w:p>
        </w:tc>
      </w:tr>
      <w:tr>
        <w:trPr>
          <w:trHeight w:val="623" w:hRule="atLeast"/>
        </w:trPr>
        <w:tc>
          <w:tcPr>
            <w:tcW w:w="2602" w:type="dxa"/>
          </w:tcPr>
          <w:p>
            <w:pPr>
              <w:pStyle w:val="TableParagraph"/>
              <w:spacing w:line="273" w:lineRule="auto"/>
              <w:ind w:left="107" w:right="96"/>
              <w:rPr>
                <w:sz w:val="21"/>
              </w:rPr>
            </w:pPr>
            <w:r>
              <w:rPr>
                <w:sz w:val="21"/>
              </w:rPr>
              <w:t>脑炎后遗症或脑膜炎后遗症</w:t>
            </w:r>
          </w:p>
        </w:tc>
        <w:tc>
          <w:tcPr>
            <w:tcW w:w="2451" w:type="dxa"/>
          </w:tcPr>
          <w:p>
            <w:pPr>
              <w:pStyle w:val="TableParagraph"/>
              <w:spacing w:line="262" w:lineRule="exact"/>
              <w:ind w:left="108"/>
              <w:rPr>
                <w:sz w:val="21"/>
              </w:rPr>
            </w:pPr>
            <w:r>
              <w:rPr>
                <w:sz w:val="21"/>
              </w:rPr>
              <w:t>重型再生障碍性贫血</w:t>
            </w:r>
          </w:p>
        </w:tc>
        <w:tc>
          <w:tcPr>
            <w:tcW w:w="2552" w:type="dxa"/>
          </w:tcPr>
          <w:p>
            <w:pPr>
              <w:pStyle w:val="TableParagraph"/>
              <w:rPr>
                <w:rFonts w:ascii="Times New Roman"/>
                <w:sz w:val="20"/>
              </w:rPr>
            </w:pPr>
          </w:p>
        </w:tc>
      </w:tr>
      <w:tr>
        <w:trPr>
          <w:trHeight w:val="311" w:hRule="atLeast"/>
        </w:trPr>
        <w:tc>
          <w:tcPr>
            <w:tcW w:w="2602" w:type="dxa"/>
          </w:tcPr>
          <w:p>
            <w:pPr>
              <w:pStyle w:val="TableParagraph"/>
              <w:spacing w:line="262" w:lineRule="exact"/>
              <w:ind w:left="107"/>
              <w:rPr>
                <w:sz w:val="21"/>
              </w:rPr>
            </w:pPr>
            <w:r>
              <w:rPr>
                <w:sz w:val="21"/>
              </w:rPr>
              <w:t>深度昏迷</w:t>
            </w:r>
          </w:p>
        </w:tc>
        <w:tc>
          <w:tcPr>
            <w:tcW w:w="2451" w:type="dxa"/>
          </w:tcPr>
          <w:p>
            <w:pPr>
              <w:pStyle w:val="TableParagraph"/>
              <w:spacing w:line="262" w:lineRule="exact"/>
              <w:ind w:left="108"/>
              <w:rPr>
                <w:sz w:val="21"/>
              </w:rPr>
            </w:pPr>
            <w:r>
              <w:rPr>
                <w:sz w:val="21"/>
              </w:rPr>
              <w:t>主动脉手术</w:t>
            </w:r>
          </w:p>
        </w:tc>
        <w:tc>
          <w:tcPr>
            <w:tcW w:w="2552" w:type="dxa"/>
          </w:tcPr>
          <w:p>
            <w:pPr>
              <w:pStyle w:val="TableParagraph"/>
              <w:rPr>
                <w:rFonts w:ascii="Times New Roman"/>
                <w:sz w:val="20"/>
              </w:rPr>
            </w:pPr>
          </w:p>
        </w:tc>
      </w:tr>
      <w:tr>
        <w:trPr>
          <w:trHeight w:val="311" w:hRule="atLeast"/>
        </w:trPr>
        <w:tc>
          <w:tcPr>
            <w:tcW w:w="2602" w:type="dxa"/>
          </w:tcPr>
          <w:p>
            <w:pPr>
              <w:pStyle w:val="TableParagraph"/>
              <w:spacing w:line="262" w:lineRule="exact"/>
              <w:ind w:left="107"/>
              <w:rPr>
                <w:sz w:val="21"/>
              </w:rPr>
            </w:pPr>
            <w:r>
              <w:rPr>
                <w:sz w:val="21"/>
              </w:rPr>
              <w:t>双耳失聪</w:t>
            </w:r>
          </w:p>
        </w:tc>
        <w:tc>
          <w:tcPr>
            <w:tcW w:w="2451" w:type="dxa"/>
          </w:tcPr>
          <w:p>
            <w:pPr>
              <w:pStyle w:val="TableParagraph"/>
              <w:rPr>
                <w:rFonts w:ascii="Times New Roman"/>
                <w:sz w:val="20"/>
              </w:rPr>
            </w:pPr>
          </w:p>
        </w:tc>
        <w:tc>
          <w:tcPr>
            <w:tcW w:w="2552" w:type="dxa"/>
          </w:tcPr>
          <w:p>
            <w:pPr>
              <w:pStyle w:val="TableParagraph"/>
              <w:rPr>
                <w:rFonts w:ascii="Times New Roman"/>
                <w:sz w:val="20"/>
              </w:rPr>
            </w:pPr>
          </w:p>
        </w:tc>
      </w:tr>
    </w:tbl>
    <w:p>
      <w:pPr>
        <w:pStyle w:val="BodyText"/>
        <w:spacing w:line="273" w:lineRule="auto"/>
        <w:ind w:left="2393" w:right="211"/>
        <w:jc w:val="both"/>
      </w:pPr>
      <w:r>
        <w:rPr>
          <w:spacing w:val="-4"/>
        </w:rPr>
        <w:t>被保险人年满十七周岁的保单周年日前，我们为被保险人提供 </w:t>
      </w:r>
      <w:r>
        <w:rPr/>
        <w:t>A</w:t>
      </w:r>
      <w:r>
        <w:rPr>
          <w:spacing w:val="-17"/>
        </w:rPr>
        <w:t> 组和 </w:t>
      </w:r>
      <w:r>
        <w:rPr/>
        <w:t>B</w:t>
      </w:r>
      <w:r>
        <w:rPr>
          <w:spacing w:val="-7"/>
        </w:rPr>
        <w:t> 组的重大疾病保障；被保险人年满十七周岁保单周年日起至本附加合同保险期间届满日前，我</w:t>
      </w:r>
      <w:r>
        <w:rPr>
          <w:spacing w:val="-9"/>
        </w:rPr>
        <w:t>们仅为被保险人提供 </w:t>
      </w:r>
      <w:r>
        <w:rPr/>
        <w:t>A</w:t>
      </w:r>
      <w:r>
        <w:rPr>
          <w:spacing w:val="-8"/>
        </w:rPr>
        <w:t> 组重大疾病保障。</w:t>
      </w:r>
    </w:p>
    <w:p>
      <w:pPr>
        <w:pStyle w:val="BodyText"/>
        <w:spacing w:before="5"/>
        <w:rPr>
          <w:sz w:val="25"/>
        </w:rPr>
      </w:pPr>
    </w:p>
    <w:p>
      <w:pPr>
        <w:pStyle w:val="ListParagraph"/>
        <w:numPr>
          <w:ilvl w:val="1"/>
          <w:numId w:val="8"/>
        </w:numPr>
        <w:tabs>
          <w:tab w:pos="713" w:val="left" w:leader="none"/>
          <w:tab w:pos="715" w:val="left" w:leader="none"/>
          <w:tab w:pos="2393" w:val="left" w:leader="none"/>
        </w:tabs>
        <w:spacing w:line="240" w:lineRule="auto" w:before="0" w:after="0"/>
        <w:ind w:left="714" w:right="0" w:hanging="574"/>
        <w:jc w:val="left"/>
        <w:rPr>
          <w:sz w:val="21"/>
        </w:rPr>
      </w:pPr>
      <w:r>
        <w:rPr>
          <w:b/>
          <w:sz w:val="21"/>
        </w:rPr>
        <w:t>保险责任</w:t>
        <w:tab/>
      </w:r>
      <w:r>
        <w:rPr>
          <w:spacing w:val="-1"/>
          <w:sz w:val="21"/>
        </w:rPr>
        <w:t>在本</w:t>
      </w:r>
      <w:r>
        <w:rPr>
          <w:spacing w:val="-3"/>
          <w:sz w:val="21"/>
        </w:rPr>
        <w:t>附</w:t>
      </w:r>
      <w:r>
        <w:rPr>
          <w:spacing w:val="-1"/>
          <w:sz w:val="21"/>
        </w:rPr>
        <w:t>加</w:t>
      </w:r>
      <w:r>
        <w:rPr>
          <w:spacing w:val="-3"/>
          <w:sz w:val="21"/>
        </w:rPr>
        <w:t>合</w:t>
      </w:r>
      <w:r>
        <w:rPr>
          <w:sz w:val="21"/>
        </w:rPr>
        <w:t>同</w:t>
      </w:r>
      <w:r>
        <w:rPr>
          <w:spacing w:val="-3"/>
          <w:sz w:val="21"/>
        </w:rPr>
        <w:t>保</w:t>
      </w:r>
      <w:r>
        <w:rPr>
          <w:sz w:val="21"/>
        </w:rPr>
        <w:t>险</w:t>
      </w:r>
      <w:r>
        <w:rPr>
          <w:spacing w:val="-3"/>
          <w:sz w:val="21"/>
        </w:rPr>
        <w:t>期</w:t>
      </w:r>
      <w:r>
        <w:rPr>
          <w:sz w:val="21"/>
        </w:rPr>
        <w:t>间</w:t>
      </w:r>
      <w:r>
        <w:rPr>
          <w:spacing w:val="-3"/>
          <w:sz w:val="21"/>
        </w:rPr>
        <w:t>内</w:t>
      </w:r>
      <w:r>
        <w:rPr>
          <w:sz w:val="21"/>
        </w:rPr>
        <w:t>，我</w:t>
      </w:r>
      <w:r>
        <w:rPr>
          <w:spacing w:val="-3"/>
          <w:sz w:val="21"/>
        </w:rPr>
        <w:t>们</w:t>
      </w:r>
      <w:r>
        <w:rPr>
          <w:sz w:val="21"/>
        </w:rPr>
        <w:t>承担下</w:t>
      </w:r>
      <w:r>
        <w:rPr>
          <w:spacing w:val="-3"/>
          <w:sz w:val="21"/>
        </w:rPr>
        <w:t>列</w:t>
      </w:r>
      <w:r>
        <w:rPr>
          <w:sz w:val="21"/>
        </w:rPr>
        <w:t>保</w:t>
      </w:r>
      <w:r>
        <w:rPr>
          <w:spacing w:val="-3"/>
          <w:sz w:val="21"/>
        </w:rPr>
        <w:t>险</w:t>
      </w:r>
      <w:r>
        <w:rPr>
          <w:sz w:val="21"/>
        </w:rPr>
        <w:t>责</w:t>
      </w:r>
      <w:r>
        <w:rPr>
          <w:spacing w:val="-3"/>
          <w:sz w:val="21"/>
        </w:rPr>
        <w:t>任</w:t>
      </w:r>
      <w:r>
        <w:rPr>
          <w:sz w:val="21"/>
        </w:rPr>
        <w:t>：</w:t>
      </w:r>
    </w:p>
    <w:p>
      <w:pPr>
        <w:pStyle w:val="BodyText"/>
        <w:spacing w:before="4"/>
        <w:rPr>
          <w:sz w:val="15"/>
        </w:rPr>
      </w:pPr>
    </w:p>
    <w:p>
      <w:pPr>
        <w:spacing w:after="0"/>
        <w:rPr>
          <w:sz w:val="15"/>
        </w:rPr>
        <w:sectPr>
          <w:pgSz w:w="11910" w:h="16840"/>
          <w:pgMar w:header="609" w:footer="320" w:top="800" w:bottom="600" w:left="880" w:right="800"/>
        </w:sectPr>
      </w:pPr>
    </w:p>
    <w:p>
      <w:pPr>
        <w:pStyle w:val="BodyText"/>
        <w:spacing w:line="273" w:lineRule="auto" w:before="36"/>
        <w:ind w:left="714"/>
      </w:pPr>
      <w:r>
        <w:rPr/>
        <w:t>重大疾病保险金</w:t>
      </w:r>
    </w:p>
    <w:p>
      <w:pPr>
        <w:pStyle w:val="BodyText"/>
        <w:spacing w:line="273" w:lineRule="auto" w:before="36"/>
        <w:ind w:left="586" w:right="211"/>
        <w:jc w:val="both"/>
      </w:pPr>
      <w:r>
        <w:rPr/>
        <w:br w:type="column"/>
      </w:r>
      <w:r>
        <w:rPr>
          <w:spacing w:val="-5"/>
        </w:rPr>
        <w:t>被保险人年满十七周岁的保单周年日前因疾病首次被确诊本附加合同定义的 </w:t>
      </w:r>
      <w:r>
        <w:rPr/>
        <w:t>A</w:t>
      </w:r>
      <w:r>
        <w:rPr>
          <w:spacing w:val="-31"/>
        </w:rPr>
        <w:t> 组、</w:t>
      </w:r>
      <w:r>
        <w:rPr/>
        <w:t>B 组重大疾病或被保险人年满十七周岁保单周年日起至本附加合同保险期间届满日前</w:t>
      </w:r>
      <w:r>
        <w:rPr>
          <w:spacing w:val="-4"/>
        </w:rPr>
        <w:t>因疾病首次被确诊本附加合同定义的 </w:t>
      </w:r>
      <w:r>
        <w:rPr/>
        <w:t>A</w:t>
      </w:r>
      <w:r>
        <w:rPr>
          <w:spacing w:val="-4"/>
        </w:rPr>
        <w:t> 组重大疾病，且该确诊发生在本附加合同生效日或最后复效日（以较迟者为准）起一百八十日内（含第一百八十日）的，我们按您所支付的本附加合同和主合同的全部保险费给付重大疾病保险金，本附加合同</w:t>
      </w:r>
      <w:r>
        <w:rPr>
          <w:spacing w:val="-3"/>
        </w:rPr>
        <w:t>和主合同同时终止。</w:t>
      </w:r>
    </w:p>
    <w:p>
      <w:pPr>
        <w:pStyle w:val="BodyText"/>
        <w:spacing w:line="273" w:lineRule="auto" w:before="101"/>
        <w:ind w:left="586" w:right="211"/>
        <w:jc w:val="both"/>
      </w:pPr>
      <w:r>
        <w:rPr>
          <w:spacing w:val="-5"/>
        </w:rPr>
        <w:t>被保险人年满十七周岁的保单周年日前因疾病首次被确诊本附加合同定义的 </w:t>
      </w:r>
      <w:r>
        <w:rPr/>
        <w:t>A</w:t>
      </w:r>
      <w:r>
        <w:rPr>
          <w:spacing w:val="-31"/>
        </w:rPr>
        <w:t> 组、</w:t>
      </w:r>
      <w:r>
        <w:rPr/>
        <w:t>B 组重大疾病或被保险人年满十七周岁保单周年日起至本附加合同保险期间届满日前</w:t>
      </w:r>
      <w:r>
        <w:rPr>
          <w:spacing w:val="-4"/>
        </w:rPr>
        <w:t>因疾病首次被确诊本附加合同定义的 </w:t>
      </w:r>
      <w:r>
        <w:rPr/>
        <w:t>A</w:t>
      </w:r>
      <w:r>
        <w:rPr>
          <w:spacing w:val="-4"/>
        </w:rPr>
        <w:t> 组重大疾病，且该确诊发生在本附加合同生效日或最后复效日（以较迟者为准）起一百八十日后保险期间届满日前的，我们按确诊时本附加合同当年度的保险金额给付重大疾病保险金，本附加合同和主合同同</w:t>
      </w:r>
      <w:r>
        <w:rPr>
          <w:spacing w:val="-3"/>
        </w:rPr>
        <w:t>时终止。</w:t>
      </w:r>
    </w:p>
    <w:p>
      <w:pPr>
        <w:pStyle w:val="BodyText"/>
        <w:spacing w:line="273" w:lineRule="auto" w:before="101"/>
        <w:ind w:left="586" w:right="211"/>
        <w:jc w:val="both"/>
      </w:pPr>
      <w:r>
        <w:rPr>
          <w:spacing w:val="0"/>
        </w:rPr>
        <w:t>被保险人年满十七周岁的保单周年日前因意外伤害首次被确诊本附加合同定义的 </w:t>
      </w:r>
      <w:r>
        <w:rPr/>
        <w:t>A 组、B 组重大疾病或被保险人年满十七周岁保单周年日起至本附加合同保险期间届</w:t>
      </w:r>
      <w:r>
        <w:rPr>
          <w:spacing w:val="-4"/>
        </w:rPr>
        <w:t>满日前因意外伤害首次被确诊本附加合同定义的 </w:t>
      </w:r>
      <w:r>
        <w:rPr/>
        <w:t>A</w:t>
      </w:r>
      <w:r>
        <w:rPr>
          <w:spacing w:val="-4"/>
        </w:rPr>
        <w:t> 组重大疾病，且该确诊发生在保险期间内的，我们按确诊时本附加合同当年度的保险金额给付重大疾病保险金，本</w:t>
      </w:r>
      <w:r>
        <w:rPr>
          <w:spacing w:val="-3"/>
        </w:rPr>
        <w:t>附加合同和主合同同时终止。</w:t>
      </w:r>
    </w:p>
    <w:p>
      <w:pPr>
        <w:spacing w:after="0" w:line="273" w:lineRule="auto"/>
        <w:jc w:val="both"/>
        <w:sectPr>
          <w:type w:val="continuous"/>
          <w:pgSz w:w="11910" w:h="16840"/>
          <w:pgMar w:top="540" w:bottom="280" w:left="880" w:right="800"/>
          <w:cols w:num="2" w:equalWidth="0">
            <w:col w:w="1768" w:space="40"/>
            <w:col w:w="8422"/>
          </w:cols>
        </w:sectPr>
      </w:pPr>
    </w:p>
    <w:p>
      <w:pPr>
        <w:pStyle w:val="BodyText"/>
        <w:spacing w:before="8"/>
      </w:pPr>
    </w:p>
    <w:p>
      <w:pPr>
        <w:pStyle w:val="ListParagraph"/>
        <w:numPr>
          <w:ilvl w:val="1"/>
          <w:numId w:val="8"/>
        </w:numPr>
        <w:tabs>
          <w:tab w:pos="713" w:val="left" w:leader="none"/>
          <w:tab w:pos="715" w:val="left" w:leader="none"/>
          <w:tab w:pos="2393" w:val="left" w:leader="none"/>
        </w:tabs>
        <w:spacing w:line="273" w:lineRule="auto" w:before="36" w:after="0"/>
        <w:ind w:left="2394" w:right="216" w:hanging="2254"/>
        <w:jc w:val="left"/>
        <w:rPr>
          <w:rFonts w:ascii="黑体" w:eastAsia="黑体" w:hint="eastAsia"/>
          <w:sz w:val="21"/>
        </w:rPr>
      </w:pPr>
      <w:r>
        <w:rPr>
          <w:b/>
          <w:sz w:val="21"/>
        </w:rPr>
        <w:t>责任免除</w:t>
        <w:tab/>
      </w:r>
      <w:r>
        <w:rPr>
          <w:rFonts w:ascii="黑体" w:eastAsia="黑体" w:hint="eastAsia"/>
          <w:sz w:val="21"/>
        </w:rPr>
        <w:t>因下列情形之一导致被保险人被确诊本附加合同定义的重大疾病的，我们不承担给 付保</w:t>
      </w:r>
      <w:r>
        <w:rPr>
          <w:rFonts w:ascii="黑体" w:eastAsia="黑体" w:hint="eastAsia"/>
          <w:spacing w:val="-3"/>
          <w:sz w:val="21"/>
        </w:rPr>
        <w:t>险</w:t>
      </w:r>
      <w:r>
        <w:rPr>
          <w:rFonts w:ascii="黑体" w:eastAsia="黑体" w:hint="eastAsia"/>
          <w:sz w:val="21"/>
        </w:rPr>
        <w:t>金</w:t>
      </w:r>
      <w:r>
        <w:rPr>
          <w:rFonts w:ascii="黑体" w:eastAsia="黑体" w:hint="eastAsia"/>
          <w:spacing w:val="-3"/>
          <w:sz w:val="21"/>
        </w:rPr>
        <w:t>的</w:t>
      </w:r>
      <w:r>
        <w:rPr>
          <w:rFonts w:ascii="黑体" w:eastAsia="黑体" w:hint="eastAsia"/>
          <w:sz w:val="21"/>
        </w:rPr>
        <w:t>责</w:t>
      </w:r>
      <w:r>
        <w:rPr>
          <w:rFonts w:ascii="黑体" w:eastAsia="黑体" w:hint="eastAsia"/>
          <w:spacing w:val="-3"/>
          <w:sz w:val="21"/>
        </w:rPr>
        <w:t>任</w:t>
      </w:r>
      <w:r>
        <w:rPr>
          <w:rFonts w:ascii="黑体" w:eastAsia="黑体" w:hint="eastAsia"/>
          <w:sz w:val="21"/>
        </w:rPr>
        <w:t>：</w:t>
      </w:r>
    </w:p>
    <w:p>
      <w:pPr>
        <w:pStyle w:val="BodyText"/>
        <w:spacing w:before="101"/>
        <w:ind w:left="2393"/>
        <w:rPr>
          <w:rFonts w:ascii="黑体" w:eastAsia="黑体" w:hint="eastAsia"/>
        </w:rPr>
      </w:pPr>
      <w:r>
        <w:rPr>
          <w:rFonts w:ascii="黑体" w:eastAsia="黑体" w:hint="eastAsia"/>
        </w:rPr>
        <w:t>（1）投保人对被保险人的故意杀害、故意伤害；</w:t>
      </w:r>
    </w:p>
    <w:p>
      <w:pPr>
        <w:pStyle w:val="BodyText"/>
        <w:spacing w:before="128"/>
        <w:ind w:left="2393"/>
        <w:rPr>
          <w:rFonts w:ascii="黑体" w:eastAsia="黑体" w:hint="eastAsia"/>
        </w:rPr>
      </w:pPr>
      <w:r>
        <w:rPr>
          <w:rFonts w:ascii="黑体" w:eastAsia="黑体" w:hint="eastAsia"/>
        </w:rPr>
        <w:t>（2）被保险人故意犯罪、故意自伤或者抗拒依法采取的刑事强制措施；</w:t>
      </w:r>
    </w:p>
    <w:p>
      <w:pPr>
        <w:pStyle w:val="BodyText"/>
        <w:spacing w:before="131"/>
        <w:ind w:left="2393"/>
        <w:rPr>
          <w:rFonts w:ascii="黑体" w:eastAsia="黑体" w:hint="eastAsia"/>
        </w:rPr>
      </w:pPr>
      <w:r>
        <w:rPr>
          <w:rFonts w:ascii="黑体" w:eastAsia="黑体" w:hint="eastAsia"/>
        </w:rPr>
        <w:t>（3）被保险人主动吸食或注射毒品；</w:t>
      </w:r>
    </w:p>
    <w:p>
      <w:pPr>
        <w:pStyle w:val="BodyText"/>
        <w:spacing w:before="131"/>
        <w:ind w:left="2393"/>
        <w:rPr>
          <w:rFonts w:ascii="黑体" w:eastAsia="黑体" w:hint="eastAsia"/>
        </w:rPr>
      </w:pPr>
      <w:r>
        <w:rPr>
          <w:rFonts w:ascii="黑体" w:eastAsia="黑体" w:hint="eastAsia"/>
        </w:rPr>
        <w:t>（4）被保险人酒后驾驶、无合法有效驾驶证驾驶或驾驶无有效行驶证的机动车；</w:t>
      </w:r>
    </w:p>
    <w:p>
      <w:pPr>
        <w:pStyle w:val="BodyText"/>
        <w:spacing w:before="131"/>
        <w:ind w:left="2393"/>
        <w:rPr>
          <w:rFonts w:ascii="黑体" w:eastAsia="黑体" w:hint="eastAsia"/>
        </w:rPr>
      </w:pPr>
      <w:r>
        <w:rPr>
          <w:rFonts w:ascii="黑体" w:eastAsia="黑体" w:hint="eastAsia"/>
        </w:rPr>
        <w:t>（5）战争、军事冲突、暴乱或武装叛乱；</w:t>
      </w:r>
    </w:p>
    <w:p>
      <w:pPr>
        <w:pStyle w:val="BodyText"/>
        <w:spacing w:before="128"/>
        <w:ind w:left="2393"/>
        <w:rPr>
          <w:rFonts w:ascii="黑体" w:eastAsia="黑体" w:hint="eastAsia"/>
        </w:rPr>
      </w:pPr>
      <w:r>
        <w:rPr>
          <w:rFonts w:ascii="黑体" w:eastAsia="黑体" w:hint="eastAsia"/>
        </w:rPr>
        <w:t>（6）核爆炸、核辐射或核污染；</w:t>
      </w:r>
    </w:p>
    <w:p>
      <w:pPr>
        <w:spacing w:line="273" w:lineRule="auto" w:before="130"/>
        <w:ind w:left="2919" w:right="213" w:hanging="526"/>
        <w:jc w:val="left"/>
        <w:rPr>
          <w:rFonts w:ascii="黑体" w:eastAsia="黑体" w:hint="eastAsia"/>
          <w:sz w:val="21"/>
        </w:rPr>
      </w:pPr>
      <w:r>
        <w:rPr>
          <w:rFonts w:ascii="黑体" w:eastAsia="黑体" w:hint="eastAsia"/>
          <w:spacing w:val="-8"/>
          <w:sz w:val="21"/>
        </w:rPr>
        <w:t>（7）</w:t>
      </w:r>
      <w:r>
        <w:rPr>
          <w:rFonts w:ascii="黑体" w:eastAsia="黑体" w:hint="eastAsia"/>
          <w:b/>
          <w:spacing w:val="-7"/>
          <w:sz w:val="21"/>
        </w:rPr>
        <w:t>遗传性疾病 </w:t>
      </w:r>
      <w:r>
        <w:rPr>
          <w:rFonts w:ascii="黑体" w:eastAsia="黑体" w:hint="eastAsia"/>
          <w:spacing w:val="-6"/>
          <w:position w:val="11"/>
          <w:sz w:val="11"/>
        </w:rPr>
        <w:t>7.1</w:t>
      </w:r>
      <w:r>
        <w:rPr>
          <w:rFonts w:ascii="黑体" w:eastAsia="黑体" w:hint="eastAsia"/>
          <w:spacing w:val="-6"/>
          <w:sz w:val="21"/>
        </w:rPr>
        <w:t>，</w:t>
      </w:r>
      <w:r>
        <w:rPr>
          <w:rFonts w:ascii="黑体" w:eastAsia="黑体" w:hint="eastAsia"/>
          <w:b/>
          <w:spacing w:val="-7"/>
          <w:sz w:val="21"/>
        </w:rPr>
        <w:t>先天性畸形、变形或染色体异常 </w:t>
      </w:r>
      <w:r>
        <w:rPr>
          <w:rFonts w:ascii="黑体" w:eastAsia="黑体" w:hint="eastAsia"/>
          <w:spacing w:val="-6"/>
          <w:position w:val="11"/>
          <w:sz w:val="11"/>
        </w:rPr>
        <w:t>7.2</w:t>
      </w:r>
      <w:r>
        <w:rPr>
          <w:rFonts w:ascii="黑体" w:eastAsia="黑体" w:hint="eastAsia"/>
          <w:spacing w:val="-6"/>
          <w:sz w:val="21"/>
        </w:rPr>
        <w:t>（</w:t>
      </w:r>
      <w:r>
        <w:rPr>
          <w:rFonts w:ascii="黑体" w:eastAsia="黑体" w:hint="eastAsia"/>
          <w:spacing w:val="-3"/>
          <w:sz w:val="21"/>
        </w:rPr>
        <w:t>本附加合同约定的重大疾</w:t>
      </w:r>
      <w:r>
        <w:rPr>
          <w:rFonts w:ascii="黑体" w:eastAsia="黑体" w:hint="eastAsia"/>
          <w:spacing w:val="-3"/>
          <w:w w:val="100"/>
          <w:sz w:val="21"/>
        </w:rPr>
        <w:t>病除外</w:t>
      </w:r>
      <w:r>
        <w:rPr>
          <w:rFonts w:ascii="黑体" w:eastAsia="黑体" w:hint="eastAsia"/>
          <w:spacing w:val="-106"/>
          <w:w w:val="100"/>
          <w:sz w:val="21"/>
        </w:rPr>
        <w:t>）</w:t>
      </w:r>
      <w:r>
        <w:rPr>
          <w:rFonts w:ascii="黑体" w:eastAsia="黑体" w:hint="eastAsia"/>
          <w:w w:val="100"/>
          <w:sz w:val="21"/>
        </w:rPr>
        <w:t>；</w:t>
      </w:r>
    </w:p>
    <w:p>
      <w:pPr>
        <w:spacing w:before="101"/>
        <w:ind w:left="2393" w:right="0" w:firstLine="0"/>
        <w:jc w:val="left"/>
        <w:rPr>
          <w:rFonts w:ascii="黑体" w:eastAsia="黑体" w:hint="eastAsia"/>
          <w:sz w:val="21"/>
        </w:rPr>
      </w:pPr>
      <w:r>
        <w:rPr>
          <w:rFonts w:ascii="黑体" w:eastAsia="黑体" w:hint="eastAsia"/>
          <w:sz w:val="21"/>
        </w:rPr>
        <w:t>（8）被保险人</w:t>
      </w:r>
      <w:r>
        <w:rPr>
          <w:rFonts w:ascii="黑体" w:eastAsia="黑体" w:hint="eastAsia"/>
          <w:b/>
          <w:sz w:val="21"/>
        </w:rPr>
        <w:t>感染艾滋病病毒或患艾滋病 </w:t>
      </w:r>
      <w:r>
        <w:rPr>
          <w:rFonts w:ascii="黑体" w:eastAsia="黑体" w:hint="eastAsia"/>
          <w:position w:val="11"/>
          <w:sz w:val="11"/>
        </w:rPr>
        <w:t>7.3</w:t>
      </w:r>
      <w:r>
        <w:rPr>
          <w:rFonts w:ascii="黑体" w:eastAsia="黑体" w:hint="eastAsia"/>
          <w:sz w:val="21"/>
        </w:rPr>
        <w:t>。</w:t>
      </w:r>
    </w:p>
    <w:p>
      <w:pPr>
        <w:pStyle w:val="BodyText"/>
        <w:spacing w:line="273" w:lineRule="auto" w:before="130"/>
        <w:ind w:left="2393" w:right="108"/>
        <w:rPr>
          <w:rFonts w:ascii="黑体" w:eastAsia="黑体" w:hint="eastAsia"/>
        </w:rPr>
      </w:pPr>
      <w:r>
        <w:rPr>
          <w:rFonts w:ascii="黑体" w:eastAsia="黑体" w:hint="eastAsia"/>
        </w:rPr>
        <w:t>发Th</w:t>
      </w:r>
      <w:r>
        <w:rPr>
          <w:rFonts w:ascii="黑体" w:eastAsia="黑体" w:hint="eastAsia"/>
          <w:spacing w:val="-8"/>
        </w:rPr>
        <w:t>上述第（1）</w:t>
      </w:r>
      <w:r>
        <w:rPr>
          <w:rFonts w:ascii="黑体" w:eastAsia="黑体" w:hint="eastAsia"/>
          <w:spacing w:val="-4"/>
        </w:rPr>
        <w:t>项情形导致被保险人被确诊本附加合同定义的重大疾病的，本附加</w:t>
      </w:r>
      <w:r>
        <w:rPr>
          <w:rFonts w:ascii="黑体" w:eastAsia="黑体" w:hint="eastAsia"/>
          <w:spacing w:val="-8"/>
        </w:rPr>
        <w:t>合同和主合同同时终止，我们向被保险人分别退还主合同和本附加合同的现金价值。</w:t>
      </w:r>
    </w:p>
    <w:p>
      <w:pPr>
        <w:spacing w:after="0" w:line="273" w:lineRule="auto"/>
        <w:rPr>
          <w:rFonts w:ascii="黑体" w:eastAsia="黑体" w:hint="eastAsia"/>
        </w:rPr>
        <w:sectPr>
          <w:type w:val="continuous"/>
          <w:pgSz w:w="11910" w:h="16840"/>
          <w:pgMar w:top="540" w:bottom="280" w:left="88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4"/>
        <w:gridCol w:w="1582"/>
        <w:gridCol w:w="7927"/>
      </w:tblGrid>
      <w:tr>
        <w:trPr>
          <w:trHeight w:val="1129" w:hRule="atLeast"/>
        </w:trPr>
        <w:tc>
          <w:tcPr>
            <w:tcW w:w="574" w:type="dxa"/>
            <w:tcBorders>
              <w:top w:val="single" w:sz="6" w:space="0" w:color="000000"/>
            </w:tcBorders>
          </w:tcPr>
          <w:p>
            <w:pPr>
              <w:pStyle w:val="TableParagraph"/>
              <w:rPr>
                <w:rFonts w:ascii="Times New Roman"/>
                <w:sz w:val="20"/>
              </w:rPr>
            </w:pPr>
          </w:p>
        </w:tc>
        <w:tc>
          <w:tcPr>
            <w:tcW w:w="1582" w:type="dxa"/>
            <w:tcBorders>
              <w:top w:val="single" w:sz="6" w:space="0" w:color="000000"/>
            </w:tcBorders>
          </w:tcPr>
          <w:p>
            <w:pPr>
              <w:pStyle w:val="TableParagraph"/>
              <w:rPr>
                <w:rFonts w:ascii="Times New Roman"/>
                <w:sz w:val="20"/>
              </w:rPr>
            </w:pPr>
          </w:p>
        </w:tc>
        <w:tc>
          <w:tcPr>
            <w:tcW w:w="7927" w:type="dxa"/>
            <w:tcBorders>
              <w:top w:val="single" w:sz="6" w:space="0" w:color="000000"/>
            </w:tcBorders>
          </w:tcPr>
          <w:p>
            <w:pPr>
              <w:pStyle w:val="TableParagraph"/>
              <w:spacing w:before="6"/>
              <w:rPr>
                <w:rFonts w:ascii="黑体"/>
                <w:sz w:val="23"/>
              </w:rPr>
            </w:pPr>
          </w:p>
          <w:p>
            <w:pPr>
              <w:pStyle w:val="TableParagraph"/>
              <w:spacing w:line="273" w:lineRule="auto"/>
              <w:ind w:left="206" w:right="104"/>
              <w:rPr>
                <w:rFonts w:ascii="黑体" w:eastAsia="黑体" w:hint="eastAsia"/>
                <w:sz w:val="21"/>
              </w:rPr>
            </w:pPr>
            <w:r>
              <w:rPr>
                <w:rFonts w:ascii="黑体" w:eastAsia="黑体" w:hint="eastAsia"/>
                <w:sz w:val="21"/>
              </w:rPr>
              <w:t>发Th上述其他情形导致被保险人被确诊本附加合同定义的重大疾病的，本附加合同和主合同同时终止，我们向您分别退还主合同和本附加合同的现金价值。</w:t>
            </w:r>
          </w:p>
        </w:tc>
      </w:tr>
      <w:tr>
        <w:trPr>
          <w:trHeight w:val="753" w:hRule="atLeast"/>
        </w:trPr>
        <w:tc>
          <w:tcPr>
            <w:tcW w:w="574" w:type="dxa"/>
            <w:tcBorders>
              <w:bottom w:val="single" w:sz="8" w:space="0" w:color="000000"/>
            </w:tcBorders>
          </w:tcPr>
          <w:p>
            <w:pPr>
              <w:pStyle w:val="TableParagraph"/>
              <w:spacing w:before="190"/>
              <w:jc w:val="center"/>
              <w:rPr>
                <w:rFonts w:ascii="Arial" w:hAnsi="Arial"/>
                <w:b/>
                <w:sz w:val="40"/>
              </w:rPr>
            </w:pPr>
            <w:r>
              <w:rPr>
                <w:rFonts w:ascii="Arial" w:hAnsi="Arial"/>
                <w:b/>
                <w:w w:val="119"/>
                <w:sz w:val="40"/>
              </w:rPr>
              <w:t></w:t>
            </w:r>
          </w:p>
        </w:tc>
        <w:tc>
          <w:tcPr>
            <w:tcW w:w="9509" w:type="dxa"/>
            <w:gridSpan w:val="2"/>
            <w:tcBorders>
              <w:bottom w:val="single" w:sz="8" w:space="0" w:color="000000"/>
            </w:tcBorders>
          </w:tcPr>
          <w:p>
            <w:pPr>
              <w:pStyle w:val="TableParagraph"/>
              <w:spacing w:before="6"/>
              <w:rPr>
                <w:rFonts w:ascii="黑体"/>
                <w:sz w:val="18"/>
              </w:rPr>
            </w:pPr>
          </w:p>
          <w:p>
            <w:pPr>
              <w:pStyle w:val="TableParagraph"/>
              <w:ind w:left="108"/>
              <w:rPr>
                <w:b/>
                <w:sz w:val="24"/>
              </w:rPr>
            </w:pPr>
            <w:r>
              <w:rPr>
                <w:b/>
                <w:w w:val="95"/>
                <w:sz w:val="24"/>
              </w:rPr>
              <w:t>如何支付保险费</w:t>
            </w:r>
          </w:p>
        </w:tc>
      </w:tr>
      <w:tr>
        <w:trPr>
          <w:trHeight w:val="677" w:hRule="atLeast"/>
        </w:trPr>
        <w:tc>
          <w:tcPr>
            <w:tcW w:w="574" w:type="dxa"/>
            <w:tcBorders>
              <w:top w:val="single" w:sz="8" w:space="0" w:color="000000"/>
            </w:tcBorders>
          </w:tcPr>
          <w:p>
            <w:pPr>
              <w:pStyle w:val="TableParagraph"/>
              <w:spacing w:before="8"/>
              <w:rPr>
                <w:rFonts w:ascii="黑体"/>
                <w:sz w:val="14"/>
              </w:rPr>
            </w:pPr>
          </w:p>
          <w:p>
            <w:pPr>
              <w:pStyle w:val="TableParagraph"/>
              <w:ind w:left="88" w:right="127"/>
              <w:jc w:val="center"/>
              <w:rPr>
                <w:b/>
                <w:sz w:val="21"/>
              </w:rPr>
            </w:pPr>
            <w:r>
              <w:rPr>
                <w:b/>
                <w:sz w:val="21"/>
              </w:rPr>
              <w:t>3.1</w:t>
            </w:r>
          </w:p>
        </w:tc>
        <w:tc>
          <w:tcPr>
            <w:tcW w:w="1582" w:type="dxa"/>
            <w:tcBorders>
              <w:top w:val="single" w:sz="8" w:space="0" w:color="000000"/>
            </w:tcBorders>
          </w:tcPr>
          <w:p>
            <w:pPr>
              <w:pStyle w:val="TableParagraph"/>
              <w:spacing w:before="8"/>
              <w:rPr>
                <w:rFonts w:ascii="黑体"/>
                <w:sz w:val="14"/>
              </w:rPr>
            </w:pPr>
          </w:p>
          <w:p>
            <w:pPr>
              <w:pStyle w:val="TableParagraph"/>
              <w:ind w:left="108"/>
              <w:rPr>
                <w:b/>
                <w:sz w:val="21"/>
              </w:rPr>
            </w:pPr>
            <w:r>
              <w:rPr>
                <w:b/>
                <w:sz w:val="21"/>
              </w:rPr>
              <w:t>保险费的支付</w:t>
            </w:r>
          </w:p>
        </w:tc>
        <w:tc>
          <w:tcPr>
            <w:tcW w:w="7927" w:type="dxa"/>
            <w:tcBorders>
              <w:top w:val="single" w:sz="8" w:space="0" w:color="000000"/>
            </w:tcBorders>
          </w:tcPr>
          <w:p>
            <w:pPr>
              <w:pStyle w:val="TableParagraph"/>
              <w:spacing w:before="8"/>
              <w:rPr>
                <w:rFonts w:ascii="黑体"/>
                <w:sz w:val="14"/>
              </w:rPr>
            </w:pPr>
          </w:p>
          <w:p>
            <w:pPr>
              <w:pStyle w:val="TableParagraph"/>
              <w:ind w:left="206" w:right="-15"/>
              <w:rPr>
                <w:sz w:val="21"/>
              </w:rPr>
            </w:pPr>
            <w:r>
              <w:rPr>
                <w:spacing w:val="-6"/>
                <w:sz w:val="21"/>
              </w:rPr>
              <w:t>本附加合同保险费的交费期间、交费方式与主合同相同，并载明于保险单或批单上。</w:t>
            </w:r>
          </w:p>
        </w:tc>
      </w:tr>
      <w:tr>
        <w:trPr>
          <w:trHeight w:val="1678" w:hRule="atLeast"/>
        </w:trPr>
        <w:tc>
          <w:tcPr>
            <w:tcW w:w="574" w:type="dxa"/>
          </w:tcPr>
          <w:p>
            <w:pPr>
              <w:pStyle w:val="TableParagraph"/>
              <w:spacing w:before="138"/>
              <w:ind w:left="88" w:right="127"/>
              <w:jc w:val="center"/>
              <w:rPr>
                <w:b/>
                <w:sz w:val="21"/>
              </w:rPr>
            </w:pPr>
            <w:r>
              <w:rPr>
                <w:b/>
                <w:sz w:val="21"/>
              </w:rPr>
              <w:t>3.2</w:t>
            </w:r>
          </w:p>
        </w:tc>
        <w:tc>
          <w:tcPr>
            <w:tcW w:w="1582" w:type="dxa"/>
          </w:tcPr>
          <w:p>
            <w:pPr>
              <w:pStyle w:val="TableParagraph"/>
              <w:spacing w:line="273" w:lineRule="auto" w:before="138"/>
              <w:ind w:left="108" w:right="415"/>
              <w:rPr>
                <w:b/>
                <w:sz w:val="21"/>
              </w:rPr>
            </w:pPr>
            <w:r>
              <w:rPr>
                <w:b/>
                <w:sz w:val="21"/>
              </w:rPr>
              <w:t>保险费率的调整</w:t>
            </w:r>
          </w:p>
        </w:tc>
        <w:tc>
          <w:tcPr>
            <w:tcW w:w="7927" w:type="dxa"/>
          </w:tcPr>
          <w:p>
            <w:pPr>
              <w:pStyle w:val="TableParagraph"/>
              <w:spacing w:line="273" w:lineRule="auto" w:before="138"/>
              <w:ind w:left="206" w:right="102"/>
              <w:rPr>
                <w:sz w:val="21"/>
              </w:rPr>
            </w:pPr>
            <w:r>
              <w:rPr>
                <w:sz w:val="21"/>
              </w:rPr>
              <w:t>我们保留提高或降低保险费率的权利，但须经国务院保险监督管理机构备案。保险费率调整针对所有被保险人或同一投保年龄的所有被保险人。</w:t>
            </w:r>
          </w:p>
          <w:p>
            <w:pPr>
              <w:pStyle w:val="TableParagraph"/>
              <w:spacing w:line="273" w:lineRule="auto" w:before="100"/>
              <w:ind w:left="206" w:right="107"/>
              <w:rPr>
                <w:sz w:val="21"/>
              </w:rPr>
            </w:pPr>
            <w:r>
              <w:rPr>
                <w:sz w:val="21"/>
              </w:rPr>
              <w:t>我们进行保险费率调整后，您须按调整后的保险费率支付续期保险费，保险费率调整前您已经支付的保险费不受影响。</w:t>
            </w:r>
          </w:p>
        </w:tc>
      </w:tr>
      <w:tr>
        <w:trPr>
          <w:trHeight w:val="754" w:hRule="atLeast"/>
        </w:trPr>
        <w:tc>
          <w:tcPr>
            <w:tcW w:w="574" w:type="dxa"/>
            <w:tcBorders>
              <w:bottom w:val="single" w:sz="8" w:space="0" w:color="000000"/>
            </w:tcBorders>
          </w:tcPr>
          <w:p>
            <w:pPr>
              <w:pStyle w:val="TableParagraph"/>
              <w:spacing w:before="190"/>
              <w:jc w:val="center"/>
              <w:rPr>
                <w:rFonts w:ascii="Arial" w:hAnsi="Arial"/>
                <w:b/>
                <w:sz w:val="40"/>
              </w:rPr>
            </w:pPr>
            <w:r>
              <w:rPr>
                <w:rFonts w:ascii="Arial" w:hAnsi="Arial"/>
                <w:b/>
                <w:w w:val="119"/>
                <w:sz w:val="40"/>
              </w:rPr>
              <w:t></w:t>
            </w:r>
          </w:p>
        </w:tc>
        <w:tc>
          <w:tcPr>
            <w:tcW w:w="9509" w:type="dxa"/>
            <w:gridSpan w:val="2"/>
            <w:tcBorders>
              <w:bottom w:val="single" w:sz="8" w:space="0" w:color="000000"/>
            </w:tcBorders>
          </w:tcPr>
          <w:p>
            <w:pPr>
              <w:pStyle w:val="TableParagraph"/>
              <w:spacing w:before="6"/>
              <w:rPr>
                <w:rFonts w:ascii="黑体"/>
                <w:sz w:val="18"/>
              </w:rPr>
            </w:pPr>
          </w:p>
          <w:p>
            <w:pPr>
              <w:pStyle w:val="TableParagraph"/>
              <w:ind w:left="108"/>
              <w:rPr>
                <w:b/>
                <w:sz w:val="24"/>
              </w:rPr>
            </w:pPr>
            <w:r>
              <w:rPr>
                <w:b/>
                <w:w w:val="95"/>
                <w:sz w:val="24"/>
              </w:rPr>
              <w:t>如何申请领取保险金</w:t>
            </w:r>
          </w:p>
        </w:tc>
      </w:tr>
      <w:tr>
        <w:trPr>
          <w:trHeight w:val="986" w:hRule="atLeast"/>
        </w:trPr>
        <w:tc>
          <w:tcPr>
            <w:tcW w:w="574" w:type="dxa"/>
            <w:tcBorders>
              <w:top w:val="single" w:sz="8" w:space="0" w:color="000000"/>
            </w:tcBorders>
          </w:tcPr>
          <w:p>
            <w:pPr>
              <w:pStyle w:val="TableParagraph"/>
              <w:spacing w:before="6"/>
              <w:rPr>
                <w:rFonts w:ascii="黑体"/>
                <w:sz w:val="14"/>
              </w:rPr>
            </w:pPr>
          </w:p>
          <w:p>
            <w:pPr>
              <w:pStyle w:val="TableParagraph"/>
              <w:ind w:left="88" w:right="127"/>
              <w:jc w:val="center"/>
              <w:rPr>
                <w:b/>
                <w:sz w:val="21"/>
              </w:rPr>
            </w:pPr>
            <w:r>
              <w:rPr>
                <w:b/>
                <w:sz w:val="21"/>
              </w:rPr>
              <w:t>4.1</w:t>
            </w:r>
          </w:p>
        </w:tc>
        <w:tc>
          <w:tcPr>
            <w:tcW w:w="1582" w:type="dxa"/>
            <w:tcBorders>
              <w:top w:val="single" w:sz="8" w:space="0" w:color="000000"/>
            </w:tcBorders>
          </w:tcPr>
          <w:p>
            <w:pPr>
              <w:pStyle w:val="TableParagraph"/>
              <w:spacing w:before="6"/>
              <w:rPr>
                <w:rFonts w:ascii="黑体"/>
                <w:sz w:val="14"/>
              </w:rPr>
            </w:pPr>
          </w:p>
          <w:p>
            <w:pPr>
              <w:pStyle w:val="TableParagraph"/>
              <w:spacing w:line="273" w:lineRule="auto"/>
              <w:ind w:left="108" w:right="204"/>
              <w:rPr>
                <w:b/>
                <w:sz w:val="21"/>
              </w:rPr>
            </w:pPr>
            <w:r>
              <w:rPr>
                <w:b/>
                <w:sz w:val="21"/>
              </w:rPr>
              <w:t>重大疾病保险金受益人</w:t>
            </w:r>
          </w:p>
        </w:tc>
        <w:tc>
          <w:tcPr>
            <w:tcW w:w="7927" w:type="dxa"/>
            <w:tcBorders>
              <w:top w:val="single" w:sz="8" w:space="0" w:color="000000"/>
            </w:tcBorders>
          </w:tcPr>
          <w:p>
            <w:pPr>
              <w:pStyle w:val="TableParagraph"/>
              <w:spacing w:before="6"/>
              <w:rPr>
                <w:rFonts w:ascii="黑体"/>
                <w:sz w:val="14"/>
              </w:rPr>
            </w:pPr>
          </w:p>
          <w:p>
            <w:pPr>
              <w:pStyle w:val="TableParagraph"/>
              <w:ind w:left="206"/>
              <w:rPr>
                <w:sz w:val="21"/>
              </w:rPr>
            </w:pPr>
            <w:r>
              <w:rPr>
                <w:sz w:val="21"/>
              </w:rPr>
              <w:t>本附加合同重大疾病保险金受益人为被保险人。</w:t>
            </w:r>
          </w:p>
        </w:tc>
      </w:tr>
      <w:tr>
        <w:trPr>
          <w:trHeight w:val="3324" w:hRule="atLeast"/>
        </w:trPr>
        <w:tc>
          <w:tcPr>
            <w:tcW w:w="574" w:type="dxa"/>
          </w:tcPr>
          <w:p>
            <w:pPr>
              <w:pStyle w:val="TableParagraph"/>
              <w:spacing w:before="138"/>
              <w:ind w:left="88" w:right="127"/>
              <w:jc w:val="center"/>
              <w:rPr>
                <w:b/>
                <w:sz w:val="21"/>
              </w:rPr>
            </w:pPr>
            <w:r>
              <w:rPr>
                <w:b/>
                <w:sz w:val="21"/>
              </w:rPr>
              <w:t>4.2</w:t>
            </w:r>
          </w:p>
        </w:tc>
        <w:tc>
          <w:tcPr>
            <w:tcW w:w="1582" w:type="dxa"/>
          </w:tcPr>
          <w:p>
            <w:pPr>
              <w:pStyle w:val="TableParagraph"/>
              <w:spacing w:line="273" w:lineRule="auto" w:before="138"/>
              <w:ind w:left="108" w:right="204"/>
              <w:rPr>
                <w:b/>
                <w:sz w:val="21"/>
              </w:rPr>
            </w:pPr>
            <w:r>
              <w:rPr>
                <w:b/>
                <w:sz w:val="21"/>
              </w:rPr>
              <w:t>重大疾病保险金申请</w:t>
            </w:r>
          </w:p>
        </w:tc>
        <w:tc>
          <w:tcPr>
            <w:tcW w:w="7927" w:type="dxa"/>
          </w:tcPr>
          <w:p>
            <w:pPr>
              <w:pStyle w:val="TableParagraph"/>
              <w:spacing w:line="273" w:lineRule="auto" w:before="138"/>
              <w:ind w:left="206" w:right="104"/>
              <w:rPr>
                <w:sz w:val="21"/>
              </w:rPr>
            </w:pPr>
            <w:r>
              <w:rPr>
                <w:sz w:val="21"/>
              </w:rPr>
              <w:t>在申请重大疾病保险金时，申请人须填写保险金给付申请书，并提供下列证明和资料：</w:t>
            </w:r>
          </w:p>
          <w:p>
            <w:pPr>
              <w:pStyle w:val="TableParagraph"/>
              <w:spacing w:before="100"/>
              <w:ind w:left="206"/>
              <w:rPr>
                <w:sz w:val="21"/>
              </w:rPr>
            </w:pPr>
            <w:r>
              <w:rPr>
                <w:sz w:val="21"/>
              </w:rPr>
              <w:t>（1）保险合同；</w:t>
            </w:r>
          </w:p>
          <w:p>
            <w:pPr>
              <w:pStyle w:val="TableParagraph"/>
              <w:spacing w:before="130"/>
              <w:ind w:left="206"/>
              <w:rPr>
                <w:sz w:val="21"/>
              </w:rPr>
            </w:pPr>
            <w:r>
              <w:rPr>
                <w:sz w:val="21"/>
              </w:rPr>
              <w:t>（2）申请人的有效身份证件；</w:t>
            </w:r>
          </w:p>
          <w:p>
            <w:pPr>
              <w:pStyle w:val="TableParagraph"/>
              <w:spacing w:line="352" w:lineRule="auto" w:before="130"/>
              <w:ind w:left="729" w:right="139" w:hanging="524"/>
              <w:rPr>
                <w:sz w:val="21"/>
              </w:rPr>
            </w:pPr>
            <w:r>
              <w:rPr>
                <w:sz w:val="21"/>
              </w:rPr>
              <w:t>（3）由</w:t>
            </w:r>
            <w:r>
              <w:rPr>
                <w:b/>
                <w:sz w:val="21"/>
              </w:rPr>
              <w:t>我们认可的医疗机构 </w:t>
            </w:r>
            <w:r>
              <w:rPr>
                <w:rFonts w:ascii="黑体" w:eastAsia="黑体" w:hint="eastAsia"/>
                <w:position w:val="11"/>
                <w:sz w:val="11"/>
              </w:rPr>
              <w:t>7.4 </w:t>
            </w:r>
            <w:r>
              <w:rPr>
                <w:sz w:val="21"/>
              </w:rPr>
              <w:t>出具的附有病理检查、血液检查及其他科学方法报告的重大疾病诊断证明书；</w:t>
            </w:r>
          </w:p>
          <w:p>
            <w:pPr>
              <w:pStyle w:val="TableParagraph"/>
              <w:spacing w:line="355" w:lineRule="auto" w:before="31"/>
              <w:ind w:left="206" w:right="781"/>
              <w:rPr>
                <w:sz w:val="21"/>
              </w:rPr>
            </w:pPr>
            <w:r>
              <w:rPr>
                <w:sz w:val="21"/>
              </w:rPr>
              <w:t>（4）所能提供的与确认保险事故的性质、原因等有关的其他证明和资料。保险金作为被保险人遗产时，必须提供可证明合法继承权的相关权利文件。</w:t>
            </w:r>
          </w:p>
        </w:tc>
      </w:tr>
      <w:tr>
        <w:trPr>
          <w:trHeight w:val="892" w:hRule="atLeast"/>
        </w:trPr>
        <w:tc>
          <w:tcPr>
            <w:tcW w:w="574" w:type="dxa"/>
          </w:tcPr>
          <w:p>
            <w:pPr>
              <w:pStyle w:val="TableParagraph"/>
              <w:rPr>
                <w:rFonts w:ascii="Times New Roman"/>
                <w:sz w:val="20"/>
              </w:rPr>
            </w:pPr>
          </w:p>
        </w:tc>
        <w:tc>
          <w:tcPr>
            <w:tcW w:w="1582" w:type="dxa"/>
          </w:tcPr>
          <w:p>
            <w:pPr>
              <w:pStyle w:val="TableParagraph"/>
              <w:rPr>
                <w:rFonts w:ascii="Times New Roman"/>
                <w:sz w:val="20"/>
              </w:rPr>
            </w:pPr>
          </w:p>
        </w:tc>
        <w:tc>
          <w:tcPr>
            <w:tcW w:w="7927" w:type="dxa"/>
          </w:tcPr>
          <w:p>
            <w:pPr>
              <w:pStyle w:val="TableParagraph"/>
              <w:spacing w:line="273" w:lineRule="auto" w:before="95"/>
              <w:ind w:left="206" w:right="150"/>
              <w:rPr>
                <w:sz w:val="21"/>
              </w:rPr>
            </w:pPr>
            <w:r>
              <w:rPr>
                <w:sz w:val="21"/>
              </w:rPr>
              <w:t>申请人提供的证明和资料不完整的，我们将及时一次性通知申请人补充提供有关证明和资料。</w:t>
            </w:r>
          </w:p>
        </w:tc>
      </w:tr>
      <w:tr>
        <w:trPr>
          <w:trHeight w:val="961" w:hRule="atLeast"/>
        </w:trPr>
        <w:tc>
          <w:tcPr>
            <w:tcW w:w="574" w:type="dxa"/>
          </w:tcPr>
          <w:p>
            <w:pPr>
              <w:pStyle w:val="TableParagraph"/>
              <w:spacing w:before="138"/>
              <w:ind w:left="88" w:right="127"/>
              <w:jc w:val="center"/>
              <w:rPr>
                <w:b/>
                <w:sz w:val="21"/>
              </w:rPr>
            </w:pPr>
            <w:r>
              <w:rPr>
                <w:b/>
                <w:sz w:val="21"/>
              </w:rPr>
              <w:t>4.3</w:t>
            </w:r>
          </w:p>
        </w:tc>
        <w:tc>
          <w:tcPr>
            <w:tcW w:w="1582" w:type="dxa"/>
          </w:tcPr>
          <w:p>
            <w:pPr>
              <w:pStyle w:val="TableParagraph"/>
              <w:spacing w:before="138"/>
              <w:ind w:left="108"/>
              <w:rPr>
                <w:b/>
                <w:sz w:val="21"/>
              </w:rPr>
            </w:pPr>
            <w:r>
              <w:rPr>
                <w:b/>
                <w:sz w:val="21"/>
              </w:rPr>
              <w:t>诉讼时效</w:t>
            </w:r>
          </w:p>
        </w:tc>
        <w:tc>
          <w:tcPr>
            <w:tcW w:w="7927" w:type="dxa"/>
          </w:tcPr>
          <w:p>
            <w:pPr>
              <w:pStyle w:val="TableParagraph"/>
              <w:spacing w:line="273" w:lineRule="auto" w:before="138"/>
              <w:ind w:left="206" w:right="150"/>
              <w:rPr>
                <w:sz w:val="21"/>
              </w:rPr>
            </w:pPr>
            <w:r>
              <w:rPr>
                <w:sz w:val="21"/>
              </w:rPr>
              <w:t>受益人向我们请求给付保险金的诉讼时效期间为二年，自其知道或者应当知道保险事故发生之日起计算。</w:t>
            </w:r>
          </w:p>
        </w:tc>
      </w:tr>
      <w:tr>
        <w:trPr>
          <w:trHeight w:val="753" w:hRule="atLeast"/>
        </w:trPr>
        <w:tc>
          <w:tcPr>
            <w:tcW w:w="574" w:type="dxa"/>
            <w:tcBorders>
              <w:bottom w:val="single" w:sz="8" w:space="0" w:color="000000"/>
            </w:tcBorders>
          </w:tcPr>
          <w:p>
            <w:pPr>
              <w:pStyle w:val="TableParagraph"/>
              <w:spacing w:before="190"/>
              <w:jc w:val="center"/>
              <w:rPr>
                <w:rFonts w:ascii="Arial" w:hAnsi="Arial"/>
                <w:b/>
                <w:sz w:val="40"/>
              </w:rPr>
            </w:pPr>
            <w:r>
              <w:rPr>
                <w:rFonts w:ascii="Arial" w:hAnsi="Arial"/>
                <w:b/>
                <w:w w:val="119"/>
                <w:sz w:val="40"/>
              </w:rPr>
              <w:t></w:t>
            </w:r>
          </w:p>
        </w:tc>
        <w:tc>
          <w:tcPr>
            <w:tcW w:w="9509" w:type="dxa"/>
            <w:gridSpan w:val="2"/>
            <w:tcBorders>
              <w:bottom w:val="single" w:sz="8" w:space="0" w:color="000000"/>
            </w:tcBorders>
          </w:tcPr>
          <w:p>
            <w:pPr>
              <w:pStyle w:val="TableParagraph"/>
              <w:spacing w:before="6"/>
              <w:rPr>
                <w:rFonts w:ascii="黑体"/>
                <w:sz w:val="18"/>
              </w:rPr>
            </w:pPr>
          </w:p>
          <w:p>
            <w:pPr>
              <w:pStyle w:val="TableParagraph"/>
              <w:ind w:left="108"/>
              <w:rPr>
                <w:b/>
                <w:sz w:val="24"/>
              </w:rPr>
            </w:pPr>
            <w:r>
              <w:rPr>
                <w:b/>
                <w:w w:val="95"/>
                <w:sz w:val="24"/>
              </w:rPr>
              <w:t>其他需要注意的事项</w:t>
            </w:r>
          </w:p>
        </w:tc>
      </w:tr>
      <w:tr>
        <w:trPr>
          <w:trHeight w:val="2403" w:hRule="atLeast"/>
        </w:trPr>
        <w:tc>
          <w:tcPr>
            <w:tcW w:w="574" w:type="dxa"/>
            <w:tcBorders>
              <w:top w:val="single" w:sz="8" w:space="0" w:color="000000"/>
            </w:tcBorders>
          </w:tcPr>
          <w:p>
            <w:pPr>
              <w:pStyle w:val="TableParagraph"/>
              <w:rPr>
                <w:rFonts w:ascii="Times New Roman"/>
                <w:sz w:val="20"/>
              </w:rPr>
            </w:pPr>
          </w:p>
        </w:tc>
        <w:tc>
          <w:tcPr>
            <w:tcW w:w="1582" w:type="dxa"/>
            <w:tcBorders>
              <w:top w:val="single" w:sz="8" w:space="0" w:color="000000"/>
            </w:tcBorders>
          </w:tcPr>
          <w:p>
            <w:pPr>
              <w:pStyle w:val="TableParagraph"/>
              <w:spacing w:before="8"/>
              <w:rPr>
                <w:rFonts w:ascii="黑体"/>
                <w:sz w:val="14"/>
              </w:rPr>
            </w:pPr>
          </w:p>
          <w:p>
            <w:pPr>
              <w:pStyle w:val="TableParagraph"/>
              <w:spacing w:line="273" w:lineRule="auto"/>
              <w:ind w:left="108" w:right="204"/>
              <w:rPr>
                <w:b/>
                <w:sz w:val="21"/>
              </w:rPr>
            </w:pPr>
            <w:r>
              <w:rPr>
                <w:b/>
                <w:sz w:val="21"/>
              </w:rPr>
              <w:t>本附加合同的效力</w:t>
            </w:r>
          </w:p>
        </w:tc>
        <w:tc>
          <w:tcPr>
            <w:tcW w:w="7927" w:type="dxa"/>
            <w:tcBorders>
              <w:top w:val="single" w:sz="8" w:space="0" w:color="000000"/>
            </w:tcBorders>
          </w:tcPr>
          <w:p>
            <w:pPr>
              <w:pStyle w:val="TableParagraph"/>
              <w:spacing w:before="8"/>
              <w:rPr>
                <w:rFonts w:ascii="黑体"/>
                <w:sz w:val="14"/>
              </w:rPr>
            </w:pPr>
          </w:p>
          <w:p>
            <w:pPr>
              <w:pStyle w:val="TableParagraph"/>
              <w:ind w:left="206"/>
              <w:rPr>
                <w:sz w:val="21"/>
              </w:rPr>
            </w:pPr>
            <w:r>
              <w:rPr>
                <w:sz w:val="21"/>
              </w:rPr>
              <w:t>出现下列情形之一时，本附加合同和主合同同时终止：</w:t>
            </w:r>
          </w:p>
          <w:p>
            <w:pPr>
              <w:pStyle w:val="TableParagraph"/>
              <w:spacing w:before="130"/>
              <w:ind w:left="206"/>
              <w:rPr>
                <w:sz w:val="21"/>
              </w:rPr>
            </w:pPr>
            <w:r>
              <w:rPr>
                <w:sz w:val="21"/>
              </w:rPr>
              <w:t>（1）主合同期满、解除或主合同约定的其他终止情形；</w:t>
            </w:r>
          </w:p>
          <w:p>
            <w:pPr>
              <w:pStyle w:val="TableParagraph"/>
              <w:spacing w:before="130"/>
              <w:ind w:left="206"/>
              <w:rPr>
                <w:sz w:val="21"/>
              </w:rPr>
            </w:pPr>
            <w:r>
              <w:rPr>
                <w:sz w:val="21"/>
              </w:rPr>
              <w:t>（2）本附加合同期满、解除或本附加合同约定的其他终止情形。</w:t>
            </w:r>
          </w:p>
          <w:p>
            <w:pPr>
              <w:pStyle w:val="TableParagraph"/>
              <w:spacing w:line="273" w:lineRule="auto" w:before="127"/>
              <w:ind w:left="206" w:right="102"/>
              <w:rPr>
                <w:sz w:val="21"/>
              </w:rPr>
            </w:pPr>
            <w:r>
              <w:rPr>
                <w:sz w:val="21"/>
              </w:rPr>
              <w:t>除另有规定外，本附加合同在保险期间届满前终止的，若未发生保险金给付，我们向您分别退还主合同和本附加合同的现金价值。</w:t>
            </w:r>
          </w:p>
          <w:p>
            <w:pPr>
              <w:pStyle w:val="TableParagraph"/>
              <w:spacing w:line="259" w:lineRule="exact" w:before="100"/>
              <w:ind w:left="206"/>
              <w:rPr>
                <w:sz w:val="21"/>
              </w:rPr>
            </w:pPr>
            <w:r>
              <w:rPr>
                <w:sz w:val="21"/>
              </w:rPr>
              <w:t>主合同无效，本附加合同亦无效。</w:t>
            </w:r>
          </w:p>
        </w:tc>
      </w:tr>
    </w:tbl>
    <w:p>
      <w:pPr>
        <w:spacing w:after="0" w:line="259" w:lineRule="exact"/>
        <w:rPr>
          <w:sz w:val="21"/>
        </w:rPr>
        <w:sectPr>
          <w:headerReference w:type="default" r:id="rId9"/>
          <w:footerReference w:type="default" r:id="rId10"/>
          <w:pgSz w:w="11910" w:h="16840"/>
          <w:pgMar w:header="0" w:footer="320" w:top="780" w:bottom="520" w:left="800" w:right="800"/>
          <w:pgNumType w:start="3"/>
        </w:sectPr>
      </w:pPr>
    </w:p>
    <w:p>
      <w:pPr>
        <w:pStyle w:val="BodyText"/>
        <w:rPr>
          <w:rFonts w:ascii="Times New Roman"/>
          <w:sz w:val="20"/>
        </w:rPr>
      </w:pPr>
    </w:p>
    <w:p>
      <w:pPr>
        <w:pStyle w:val="BodyText"/>
        <w:spacing w:before="6" w:after="1"/>
        <w:rPr>
          <w:rFonts w:ascii="Times New Roman"/>
          <w:sz w:val="17"/>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4"/>
        <w:gridCol w:w="1623"/>
        <w:gridCol w:w="7890"/>
      </w:tblGrid>
      <w:tr>
        <w:trPr>
          <w:trHeight w:val="522" w:hRule="atLeast"/>
        </w:trPr>
        <w:tc>
          <w:tcPr>
            <w:tcW w:w="574" w:type="dxa"/>
            <w:tcBorders>
              <w:bottom w:val="single" w:sz="8" w:space="0" w:color="000000"/>
            </w:tcBorders>
          </w:tcPr>
          <w:p>
            <w:pPr>
              <w:pStyle w:val="TableParagraph"/>
              <w:spacing w:line="423" w:lineRule="exact"/>
              <w:ind w:left="107"/>
              <w:rPr>
                <w:rFonts w:ascii="Arial" w:hAnsi="Arial"/>
                <w:b/>
                <w:sz w:val="40"/>
              </w:rPr>
            </w:pPr>
            <w:r>
              <w:rPr>
                <w:rFonts w:ascii="Arial" w:hAnsi="Arial"/>
                <w:b/>
                <w:w w:val="119"/>
                <w:sz w:val="40"/>
              </w:rPr>
              <w:t></w:t>
            </w:r>
          </w:p>
        </w:tc>
        <w:tc>
          <w:tcPr>
            <w:tcW w:w="1623" w:type="dxa"/>
            <w:tcBorders>
              <w:bottom w:val="single" w:sz="8" w:space="0" w:color="000000"/>
            </w:tcBorders>
          </w:tcPr>
          <w:p>
            <w:pPr>
              <w:pStyle w:val="TableParagraph"/>
              <w:spacing w:before="14"/>
              <w:ind w:left="108"/>
              <w:rPr>
                <w:b/>
                <w:sz w:val="24"/>
              </w:rPr>
            </w:pPr>
            <w:r>
              <w:rPr>
                <w:b/>
                <w:w w:val="95"/>
                <w:sz w:val="24"/>
              </w:rPr>
              <w:t>重大疾病定义</w:t>
            </w:r>
          </w:p>
        </w:tc>
        <w:tc>
          <w:tcPr>
            <w:tcW w:w="7890" w:type="dxa"/>
            <w:tcBorders>
              <w:bottom w:val="single" w:sz="8" w:space="0" w:color="000000"/>
            </w:tcBorders>
          </w:tcPr>
          <w:p>
            <w:pPr>
              <w:pStyle w:val="TableParagraph"/>
              <w:rPr>
                <w:rFonts w:ascii="Times New Roman"/>
                <w:sz w:val="20"/>
              </w:rPr>
            </w:pPr>
          </w:p>
        </w:tc>
      </w:tr>
      <w:tr>
        <w:trPr>
          <w:trHeight w:val="1457" w:hRule="atLeast"/>
        </w:trPr>
        <w:tc>
          <w:tcPr>
            <w:tcW w:w="574" w:type="dxa"/>
            <w:tcBorders>
              <w:top w:val="single" w:sz="8" w:space="0" w:color="000000"/>
            </w:tcBorders>
          </w:tcPr>
          <w:p>
            <w:pPr>
              <w:pStyle w:val="TableParagraph"/>
              <w:rPr>
                <w:rFonts w:ascii="Times New Roman"/>
                <w:sz w:val="20"/>
              </w:rPr>
            </w:pPr>
          </w:p>
        </w:tc>
        <w:tc>
          <w:tcPr>
            <w:tcW w:w="1623" w:type="dxa"/>
            <w:tcBorders>
              <w:top w:val="single" w:sz="8" w:space="0" w:color="000000"/>
            </w:tcBorders>
          </w:tcPr>
          <w:p>
            <w:pPr>
              <w:pStyle w:val="TableParagraph"/>
              <w:rPr>
                <w:rFonts w:ascii="Times New Roman"/>
                <w:sz w:val="17"/>
              </w:rPr>
            </w:pPr>
          </w:p>
          <w:p>
            <w:pPr>
              <w:pStyle w:val="TableParagraph"/>
              <w:ind w:left="108"/>
              <w:rPr>
                <w:b/>
                <w:sz w:val="21"/>
              </w:rPr>
            </w:pPr>
            <w:r>
              <w:rPr>
                <w:b/>
                <w:sz w:val="21"/>
              </w:rPr>
              <w:t>重大疾病定义</w:t>
            </w:r>
          </w:p>
        </w:tc>
        <w:tc>
          <w:tcPr>
            <w:tcW w:w="7890" w:type="dxa"/>
            <w:tcBorders>
              <w:top w:val="single" w:sz="8" w:space="0" w:color="000000"/>
            </w:tcBorders>
          </w:tcPr>
          <w:p>
            <w:pPr>
              <w:pStyle w:val="TableParagraph"/>
              <w:rPr>
                <w:rFonts w:ascii="Times New Roman"/>
                <w:sz w:val="17"/>
              </w:rPr>
            </w:pPr>
          </w:p>
          <w:p>
            <w:pPr>
              <w:pStyle w:val="TableParagraph"/>
              <w:spacing w:line="273" w:lineRule="auto"/>
              <w:ind w:left="165" w:right="103"/>
              <w:jc w:val="both"/>
              <w:rPr>
                <w:sz w:val="21"/>
              </w:rPr>
            </w:pPr>
            <w:r>
              <w:rPr>
                <w:spacing w:val="-9"/>
                <w:sz w:val="21"/>
              </w:rPr>
              <w:t>本附加合同的重大疾病定义符合中国保险行业协会制定的《重大疾病保险的疾病定义</w:t>
            </w:r>
            <w:r>
              <w:rPr>
                <w:spacing w:val="-16"/>
                <w:sz w:val="21"/>
              </w:rPr>
              <w:t>使用规范》。被保险人发生符合以下疾病定义所述条件的疾病，应当由</w:t>
            </w:r>
            <w:r>
              <w:rPr>
                <w:b/>
                <w:spacing w:val="-2"/>
                <w:sz w:val="21"/>
              </w:rPr>
              <w:t>专科医生 </w:t>
            </w:r>
            <w:r>
              <w:rPr>
                <w:rFonts w:ascii="黑体" w:hAnsi="黑体" w:eastAsia="黑体" w:hint="eastAsia"/>
                <w:position w:val="11"/>
                <w:sz w:val="11"/>
              </w:rPr>
              <w:t>7.5 </w:t>
            </w:r>
            <w:r>
              <w:rPr>
                <w:sz w:val="21"/>
              </w:rPr>
              <w:t>明</w:t>
            </w:r>
            <w:r>
              <w:rPr>
                <w:spacing w:val="-13"/>
                <w:sz w:val="21"/>
              </w:rPr>
              <w:t>确诊断。《重大疾病保险的疾病定义使用规范》中所称“疾病”是指重大疾病保险合</w:t>
            </w:r>
            <w:r>
              <w:rPr>
                <w:spacing w:val="-6"/>
                <w:sz w:val="21"/>
              </w:rPr>
              <w:t>同约定的疾病、疾病状态或手术。</w:t>
            </w:r>
          </w:p>
        </w:tc>
      </w:tr>
      <w:tr>
        <w:trPr>
          <w:trHeight w:val="312" w:hRule="atLeast"/>
        </w:trPr>
        <w:tc>
          <w:tcPr>
            <w:tcW w:w="574" w:type="dxa"/>
          </w:tcPr>
          <w:p>
            <w:pPr>
              <w:pStyle w:val="TableParagraph"/>
              <w:rPr>
                <w:rFonts w:ascii="Times New Roman"/>
                <w:sz w:val="20"/>
              </w:rPr>
            </w:pPr>
          </w:p>
        </w:tc>
        <w:tc>
          <w:tcPr>
            <w:tcW w:w="1623" w:type="dxa"/>
          </w:tcPr>
          <w:p>
            <w:pPr>
              <w:pStyle w:val="TableParagraph"/>
              <w:spacing w:line="261" w:lineRule="exact"/>
              <w:ind w:left="108"/>
              <w:rPr>
                <w:b/>
                <w:sz w:val="21"/>
              </w:rPr>
            </w:pPr>
            <w:r>
              <w:rPr>
                <w:b/>
                <w:sz w:val="21"/>
              </w:rPr>
              <w:t>A 组</w:t>
            </w:r>
          </w:p>
        </w:tc>
        <w:tc>
          <w:tcPr>
            <w:tcW w:w="7890" w:type="dxa"/>
          </w:tcPr>
          <w:p>
            <w:pPr>
              <w:pStyle w:val="TableParagraph"/>
              <w:rPr>
                <w:rFonts w:ascii="Times New Roman"/>
                <w:sz w:val="20"/>
              </w:rPr>
            </w:pPr>
          </w:p>
        </w:tc>
      </w:tr>
      <w:tr>
        <w:trPr>
          <w:trHeight w:val="4197" w:hRule="atLeast"/>
        </w:trPr>
        <w:tc>
          <w:tcPr>
            <w:tcW w:w="574" w:type="dxa"/>
          </w:tcPr>
          <w:p>
            <w:pPr>
              <w:pStyle w:val="TableParagraph"/>
              <w:rPr>
                <w:rFonts w:ascii="Times New Roman"/>
                <w:sz w:val="20"/>
              </w:rPr>
            </w:pPr>
          </w:p>
        </w:tc>
        <w:tc>
          <w:tcPr>
            <w:tcW w:w="1623" w:type="dxa"/>
          </w:tcPr>
          <w:p>
            <w:pPr>
              <w:pStyle w:val="TableParagraph"/>
              <w:spacing w:line="261" w:lineRule="exact"/>
              <w:ind w:left="108"/>
              <w:rPr>
                <w:sz w:val="21"/>
              </w:rPr>
            </w:pPr>
            <w:r>
              <w:rPr>
                <w:sz w:val="21"/>
              </w:rPr>
              <w:t>恶性肿瘤</w:t>
            </w:r>
          </w:p>
        </w:tc>
        <w:tc>
          <w:tcPr>
            <w:tcW w:w="7890" w:type="dxa"/>
          </w:tcPr>
          <w:p>
            <w:pPr>
              <w:pStyle w:val="TableParagraph"/>
              <w:spacing w:line="261" w:lineRule="exact"/>
              <w:ind w:left="165"/>
              <w:rPr>
                <w:sz w:val="21"/>
              </w:rPr>
            </w:pPr>
            <w:r>
              <w:rPr>
                <w:spacing w:val="-8"/>
                <w:sz w:val="21"/>
              </w:rPr>
              <w:t>指恶性细胞不受控制的进行性增长和扩散，浸润和破坏周围正常组织，可以经血管、</w:t>
            </w:r>
          </w:p>
          <w:p>
            <w:pPr>
              <w:pStyle w:val="TableParagraph"/>
              <w:spacing w:line="273" w:lineRule="auto" w:before="37"/>
              <w:ind w:left="165" w:right="103"/>
              <w:jc w:val="both"/>
              <w:rPr>
                <w:sz w:val="21"/>
              </w:rPr>
            </w:pPr>
            <w:r>
              <w:rPr>
                <w:spacing w:val="-10"/>
                <w:sz w:val="21"/>
              </w:rPr>
              <w:t>淋巴管和体腔扩散转移到身体其它部位的疾病。经病理学检查结果明确诊断，临床诊</w:t>
            </w:r>
            <w:r>
              <w:rPr>
                <w:spacing w:val="-7"/>
                <w:sz w:val="21"/>
              </w:rPr>
              <w:t>断属于世界卫生组织《疾病和有关健康问题的国际统计分类》</w:t>
            </w:r>
            <w:r>
              <w:rPr>
                <w:spacing w:val="-3"/>
                <w:sz w:val="21"/>
              </w:rPr>
              <w:t>（ICD-10）的恶性肿瘤</w:t>
            </w:r>
            <w:r>
              <w:rPr>
                <w:spacing w:val="-5"/>
                <w:sz w:val="21"/>
              </w:rPr>
              <w:t>范畴。</w:t>
            </w:r>
          </w:p>
          <w:p>
            <w:pPr>
              <w:pStyle w:val="TableParagraph"/>
              <w:spacing w:before="101"/>
              <w:ind w:left="165"/>
              <w:jc w:val="both"/>
              <w:rPr>
                <w:sz w:val="21"/>
              </w:rPr>
            </w:pPr>
            <w:r>
              <w:rPr>
                <w:sz w:val="21"/>
              </w:rPr>
              <w:t>下列疾病不在保障范围内：</w:t>
            </w:r>
          </w:p>
          <w:p>
            <w:pPr>
              <w:pStyle w:val="TableParagraph"/>
              <w:spacing w:before="130"/>
              <w:ind w:left="165"/>
              <w:jc w:val="both"/>
              <w:rPr>
                <w:sz w:val="21"/>
              </w:rPr>
            </w:pPr>
            <w:r>
              <w:rPr>
                <w:sz w:val="21"/>
              </w:rPr>
              <w:t>（1）原位癌；</w:t>
            </w:r>
          </w:p>
          <w:p>
            <w:pPr>
              <w:pStyle w:val="TableParagraph"/>
              <w:spacing w:before="128"/>
              <w:ind w:left="165"/>
              <w:jc w:val="both"/>
              <w:rPr>
                <w:sz w:val="21"/>
              </w:rPr>
            </w:pPr>
            <w:r>
              <w:rPr>
                <w:sz w:val="21"/>
              </w:rPr>
              <w:t>（2）相当于 Binet 分期方案 A 期程度的慢性淋巴细胞白血病；</w:t>
            </w:r>
          </w:p>
          <w:p>
            <w:pPr>
              <w:pStyle w:val="TableParagraph"/>
              <w:spacing w:before="130"/>
              <w:ind w:left="165"/>
              <w:jc w:val="both"/>
              <w:rPr>
                <w:sz w:val="21"/>
              </w:rPr>
            </w:pPr>
            <w:r>
              <w:rPr>
                <w:sz w:val="21"/>
              </w:rPr>
              <w:t>（3）相当于 Ann Arbor 分期方案 I 期程度的何杰金氏病；</w:t>
            </w:r>
          </w:p>
          <w:p>
            <w:pPr>
              <w:pStyle w:val="TableParagraph"/>
              <w:spacing w:before="130"/>
              <w:ind w:left="165"/>
              <w:jc w:val="both"/>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130"/>
              <w:ind w:left="165"/>
              <w:jc w:val="both"/>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129"/>
              <w:ind w:left="165"/>
              <w:jc w:val="both"/>
              <w:rPr>
                <w:sz w:val="21"/>
              </w:rPr>
            </w:pPr>
            <w:r>
              <w:rPr>
                <w:sz w:val="21"/>
              </w:rPr>
              <w:t>（6）感染艾滋病病毒或患艾滋病期间所患恶性肿瘤。</w:t>
            </w:r>
          </w:p>
        </w:tc>
      </w:tr>
      <w:tr>
        <w:trPr>
          <w:trHeight w:val="2471" w:hRule="atLeast"/>
        </w:trPr>
        <w:tc>
          <w:tcPr>
            <w:tcW w:w="574" w:type="dxa"/>
          </w:tcPr>
          <w:p>
            <w:pPr>
              <w:pStyle w:val="TableParagraph"/>
              <w:rPr>
                <w:rFonts w:ascii="Times New Roman"/>
                <w:sz w:val="20"/>
              </w:rPr>
            </w:pPr>
          </w:p>
        </w:tc>
        <w:tc>
          <w:tcPr>
            <w:tcW w:w="1623" w:type="dxa"/>
          </w:tcPr>
          <w:p>
            <w:pPr>
              <w:pStyle w:val="TableParagraph"/>
              <w:spacing w:before="100"/>
              <w:ind w:left="108"/>
              <w:rPr>
                <w:sz w:val="21"/>
              </w:rPr>
            </w:pPr>
            <w:r>
              <w:rPr>
                <w:sz w:val="21"/>
              </w:rPr>
              <w:t>急性心肌梗塞</w:t>
            </w:r>
          </w:p>
        </w:tc>
        <w:tc>
          <w:tcPr>
            <w:tcW w:w="7890" w:type="dxa"/>
          </w:tcPr>
          <w:p>
            <w:pPr>
              <w:pStyle w:val="TableParagraph"/>
              <w:spacing w:line="273" w:lineRule="auto" w:before="100"/>
              <w:ind w:left="165" w:right="111"/>
              <w:rPr>
                <w:sz w:val="21"/>
              </w:rPr>
            </w:pPr>
            <w:r>
              <w:rPr>
                <w:sz w:val="21"/>
              </w:rPr>
              <w:t>指因冠状动脉阻塞导致的相应区域供血不足造成部分心肌坏死。须满足下列至少三项条件：</w:t>
            </w:r>
          </w:p>
          <w:p>
            <w:pPr>
              <w:pStyle w:val="TableParagraph"/>
              <w:spacing w:before="100"/>
              <w:ind w:left="165"/>
              <w:rPr>
                <w:sz w:val="21"/>
              </w:rPr>
            </w:pPr>
            <w:r>
              <w:rPr>
                <w:sz w:val="21"/>
              </w:rPr>
              <w:t>（1）典型临床表现，例如急性胸痛等；</w:t>
            </w:r>
          </w:p>
          <w:p>
            <w:pPr>
              <w:pStyle w:val="TableParagraph"/>
              <w:spacing w:before="127"/>
              <w:ind w:left="165"/>
              <w:rPr>
                <w:sz w:val="21"/>
              </w:rPr>
            </w:pPr>
            <w:r>
              <w:rPr>
                <w:sz w:val="21"/>
              </w:rPr>
              <w:t>（2）新近的心电图改变提示急性心肌梗塞；</w:t>
            </w:r>
          </w:p>
          <w:p>
            <w:pPr>
              <w:pStyle w:val="TableParagraph"/>
              <w:spacing w:before="130"/>
              <w:ind w:left="165"/>
              <w:rPr>
                <w:sz w:val="21"/>
              </w:rPr>
            </w:pPr>
            <w:r>
              <w:rPr>
                <w:sz w:val="21"/>
              </w:rPr>
              <w:t>（3）心肌酶或肌钙蛋白有诊断意义的升高，或呈符合急性心肌梗塞的动态性变化；</w:t>
            </w:r>
          </w:p>
          <w:p>
            <w:pPr>
              <w:pStyle w:val="TableParagraph"/>
              <w:spacing w:before="130"/>
              <w:ind w:left="165"/>
              <w:rPr>
                <w:sz w:val="21"/>
              </w:rPr>
            </w:pPr>
            <w:r>
              <w:rPr>
                <w:sz w:val="21"/>
              </w:rPr>
              <w:t>（4）发病 90 天后，经检查证实左心室功能降低，如左心室射血分数低于 50%。</w:t>
            </w:r>
          </w:p>
        </w:tc>
      </w:tr>
      <w:tr>
        <w:trPr>
          <w:trHeight w:val="2691" w:hRule="atLeast"/>
        </w:trPr>
        <w:tc>
          <w:tcPr>
            <w:tcW w:w="574" w:type="dxa"/>
          </w:tcPr>
          <w:p>
            <w:pPr>
              <w:pStyle w:val="TableParagraph"/>
              <w:rPr>
                <w:rFonts w:ascii="Times New Roman"/>
                <w:sz w:val="20"/>
              </w:rPr>
            </w:pPr>
          </w:p>
        </w:tc>
        <w:tc>
          <w:tcPr>
            <w:tcW w:w="1623" w:type="dxa"/>
          </w:tcPr>
          <w:p>
            <w:pPr>
              <w:pStyle w:val="TableParagraph"/>
              <w:spacing w:before="99"/>
              <w:ind w:left="108"/>
              <w:rPr>
                <w:sz w:val="21"/>
              </w:rPr>
            </w:pPr>
            <w:r>
              <w:rPr>
                <w:sz w:val="21"/>
              </w:rPr>
              <w:t>脑中风后遗症</w:t>
            </w:r>
          </w:p>
        </w:tc>
        <w:tc>
          <w:tcPr>
            <w:tcW w:w="7890" w:type="dxa"/>
          </w:tcPr>
          <w:p>
            <w:pPr>
              <w:pStyle w:val="TableParagraph"/>
              <w:spacing w:line="273" w:lineRule="auto" w:before="99"/>
              <w:ind w:left="165" w:right="104"/>
              <w:jc w:val="both"/>
              <w:rPr>
                <w:sz w:val="21"/>
              </w:rPr>
            </w:pPr>
            <w:r>
              <w:rPr>
                <w:sz w:val="21"/>
              </w:rPr>
              <w:t>指因脑血管的突发病变引起脑血管出血、栓塞或梗塞，并导致神经系统永久性的功</w:t>
            </w:r>
            <w:r>
              <w:rPr>
                <w:spacing w:val="-4"/>
                <w:sz w:val="21"/>
              </w:rPr>
              <w:t>能障碍。神经系统永久性的功能障碍，指疾病确诊 </w:t>
            </w:r>
            <w:r>
              <w:rPr>
                <w:sz w:val="21"/>
              </w:rPr>
              <w:t>180</w:t>
            </w:r>
            <w:r>
              <w:rPr>
                <w:spacing w:val="-4"/>
                <w:sz w:val="21"/>
              </w:rPr>
              <w:t> 天后，仍遗留下列一种或一</w:t>
            </w:r>
            <w:r>
              <w:rPr>
                <w:spacing w:val="-3"/>
                <w:sz w:val="21"/>
              </w:rPr>
              <w:t>种以上障碍：</w:t>
            </w:r>
          </w:p>
          <w:p>
            <w:pPr>
              <w:pStyle w:val="TableParagraph"/>
              <w:spacing w:before="101"/>
              <w:ind w:left="165"/>
              <w:rPr>
                <w:sz w:val="21"/>
              </w:rPr>
            </w:pPr>
            <w:r>
              <w:rPr>
                <w:sz w:val="21"/>
              </w:rPr>
              <w:t>（1）一肢或一肢以上</w:t>
            </w:r>
            <w:r>
              <w:rPr>
                <w:b/>
                <w:sz w:val="21"/>
              </w:rPr>
              <w:t>肢体机能完全丧失 </w:t>
            </w:r>
            <w:r>
              <w:rPr>
                <w:rFonts w:ascii="黑体" w:eastAsia="黑体" w:hint="eastAsia"/>
                <w:position w:val="11"/>
                <w:sz w:val="11"/>
              </w:rPr>
              <w:t>7.6</w:t>
            </w:r>
            <w:r>
              <w:rPr>
                <w:sz w:val="21"/>
              </w:rPr>
              <w:t>；</w:t>
            </w:r>
          </w:p>
          <w:p>
            <w:pPr>
              <w:pStyle w:val="TableParagraph"/>
              <w:spacing w:before="130"/>
              <w:ind w:left="165"/>
              <w:rPr>
                <w:sz w:val="21"/>
              </w:rPr>
            </w:pPr>
            <w:r>
              <w:rPr>
                <w:sz w:val="21"/>
              </w:rPr>
              <w:t>（2）</w:t>
            </w:r>
            <w:r>
              <w:rPr>
                <w:b/>
                <w:sz w:val="21"/>
              </w:rPr>
              <w:t>语言能力或咀嚼吞咽能力完全丧失 </w:t>
            </w:r>
            <w:r>
              <w:rPr>
                <w:rFonts w:ascii="黑体" w:eastAsia="黑体" w:hint="eastAsia"/>
                <w:position w:val="11"/>
                <w:sz w:val="11"/>
              </w:rPr>
              <w:t>7.7</w:t>
            </w:r>
            <w:r>
              <w:rPr>
                <w:sz w:val="21"/>
              </w:rPr>
              <w:t>；</w:t>
            </w:r>
          </w:p>
          <w:p>
            <w:pPr>
              <w:pStyle w:val="TableParagraph"/>
              <w:spacing w:line="273" w:lineRule="auto" w:before="130"/>
              <w:ind w:left="642" w:right="96" w:hanging="480"/>
              <w:rPr>
                <w:sz w:val="21"/>
              </w:rPr>
            </w:pPr>
            <w:r>
              <w:rPr>
                <w:spacing w:val="-13"/>
                <w:sz w:val="21"/>
              </w:rPr>
              <w:t>（3）</w:t>
            </w:r>
            <w:r>
              <w:rPr>
                <w:spacing w:val="-18"/>
                <w:sz w:val="21"/>
              </w:rPr>
              <w:t>自主生活能力完全丧失，无法独立完成</w:t>
            </w:r>
            <w:r>
              <w:rPr>
                <w:b/>
                <w:spacing w:val="-15"/>
                <w:sz w:val="21"/>
              </w:rPr>
              <w:t>六项基本日常生活活动 </w:t>
            </w:r>
            <w:r>
              <w:rPr>
                <w:rFonts w:ascii="黑体" w:eastAsia="黑体" w:hint="eastAsia"/>
                <w:spacing w:val="-6"/>
                <w:position w:val="11"/>
                <w:sz w:val="11"/>
              </w:rPr>
              <w:t>7.8 </w:t>
            </w:r>
            <w:r>
              <w:rPr>
                <w:spacing w:val="-14"/>
                <w:sz w:val="21"/>
              </w:rPr>
              <w:t>中的三项或三项以</w:t>
            </w:r>
            <w:r>
              <w:rPr>
                <w:spacing w:val="-15"/>
                <w:sz w:val="21"/>
              </w:rPr>
              <w:t>上。</w:t>
            </w:r>
          </w:p>
        </w:tc>
      </w:tr>
      <w:tr>
        <w:trPr>
          <w:trHeight w:val="1568" w:hRule="atLeast"/>
        </w:trPr>
        <w:tc>
          <w:tcPr>
            <w:tcW w:w="574" w:type="dxa"/>
          </w:tcPr>
          <w:p>
            <w:pPr>
              <w:pStyle w:val="TableParagraph"/>
              <w:rPr>
                <w:rFonts w:ascii="Times New Roman"/>
                <w:sz w:val="20"/>
              </w:rPr>
            </w:pPr>
          </w:p>
        </w:tc>
        <w:tc>
          <w:tcPr>
            <w:tcW w:w="1623" w:type="dxa"/>
          </w:tcPr>
          <w:p>
            <w:pPr>
              <w:pStyle w:val="TableParagraph"/>
              <w:spacing w:line="273" w:lineRule="auto" w:before="99"/>
              <w:ind w:left="108" w:right="250"/>
              <w:jc w:val="both"/>
              <w:rPr>
                <w:sz w:val="21"/>
              </w:rPr>
            </w:pPr>
            <w:r>
              <w:rPr>
                <w:sz w:val="21"/>
              </w:rPr>
              <w:t>重大器官移植术或造血干细胞移植术</w:t>
            </w:r>
          </w:p>
        </w:tc>
        <w:tc>
          <w:tcPr>
            <w:tcW w:w="7890" w:type="dxa"/>
          </w:tcPr>
          <w:p>
            <w:pPr>
              <w:pStyle w:val="TableParagraph"/>
              <w:spacing w:line="273" w:lineRule="auto" w:before="99"/>
              <w:ind w:left="165" w:right="109"/>
              <w:rPr>
                <w:sz w:val="21"/>
              </w:rPr>
            </w:pPr>
            <w:r>
              <w:rPr>
                <w:sz w:val="21"/>
              </w:rPr>
              <w:t>重大器官移植术，指因相应器官功能衰竭，已经实施了肾脏、肝脏、心脏或肺脏的异体移植手术。</w:t>
            </w:r>
          </w:p>
          <w:p>
            <w:pPr>
              <w:pStyle w:val="TableParagraph"/>
              <w:spacing w:line="273" w:lineRule="auto" w:before="101"/>
              <w:ind w:left="165" w:right="3"/>
              <w:rPr>
                <w:sz w:val="21"/>
              </w:rPr>
            </w:pPr>
            <w:r>
              <w:rPr>
                <w:sz w:val="21"/>
              </w:rPr>
              <w:t>造血干细胞移植术，指因造血功能损害或造血系统恶性肿瘤，已经实施了造血干细</w:t>
            </w:r>
            <w:r>
              <w:rPr>
                <w:spacing w:val="-17"/>
                <w:sz w:val="21"/>
              </w:rPr>
              <w:t>胞</w:t>
            </w:r>
            <w:r>
              <w:rPr>
                <w:spacing w:val="-3"/>
                <w:sz w:val="21"/>
              </w:rPr>
              <w:t>（</w:t>
            </w:r>
            <w:r>
              <w:rPr>
                <w:spacing w:val="-5"/>
                <w:sz w:val="21"/>
              </w:rPr>
              <w:t>包括骨髓造血干细胞、外周血造血干细胞和脐血造血干细胞</w:t>
            </w:r>
            <w:r>
              <w:rPr>
                <w:spacing w:val="-17"/>
                <w:sz w:val="21"/>
              </w:rPr>
              <w:t>）</w:t>
            </w:r>
            <w:r>
              <w:rPr>
                <w:spacing w:val="-3"/>
                <w:sz w:val="21"/>
              </w:rPr>
              <w:t>的异体移植手术。</w:t>
            </w:r>
          </w:p>
        </w:tc>
      </w:tr>
      <w:tr>
        <w:trPr>
          <w:trHeight w:val="1091" w:hRule="atLeast"/>
        </w:trPr>
        <w:tc>
          <w:tcPr>
            <w:tcW w:w="574" w:type="dxa"/>
          </w:tcPr>
          <w:p>
            <w:pPr>
              <w:pStyle w:val="TableParagraph"/>
              <w:rPr>
                <w:rFonts w:ascii="Times New Roman"/>
                <w:sz w:val="20"/>
              </w:rPr>
            </w:pPr>
          </w:p>
        </w:tc>
        <w:tc>
          <w:tcPr>
            <w:tcW w:w="1623" w:type="dxa"/>
          </w:tcPr>
          <w:p>
            <w:pPr>
              <w:pStyle w:val="TableParagraph"/>
              <w:spacing w:before="101"/>
              <w:ind w:left="108"/>
              <w:rPr>
                <w:sz w:val="21"/>
              </w:rPr>
            </w:pPr>
            <w:r>
              <w:rPr>
                <w:sz w:val="21"/>
              </w:rPr>
              <w:t>冠状动脉搭桥术</w:t>
            </w:r>
          </w:p>
          <w:p>
            <w:pPr>
              <w:pStyle w:val="TableParagraph"/>
              <w:spacing w:line="273" w:lineRule="auto" w:before="37"/>
              <w:ind w:left="108" w:right="161"/>
              <w:rPr>
                <w:sz w:val="21"/>
              </w:rPr>
            </w:pPr>
            <w:r>
              <w:rPr>
                <w:spacing w:val="-22"/>
                <w:sz w:val="21"/>
              </w:rPr>
              <w:t>（</w:t>
            </w:r>
            <w:r>
              <w:rPr>
                <w:spacing w:val="-19"/>
                <w:sz w:val="21"/>
              </w:rPr>
              <w:t>或称冠状动脉</w:t>
            </w:r>
            <w:r>
              <w:rPr>
                <w:spacing w:val="-22"/>
                <w:sz w:val="21"/>
              </w:rPr>
              <w:t>旁路移植术</w:t>
            </w:r>
            <w:r>
              <w:rPr>
                <w:sz w:val="21"/>
              </w:rPr>
              <w:t>）</w:t>
            </w:r>
          </w:p>
        </w:tc>
        <w:tc>
          <w:tcPr>
            <w:tcW w:w="7890" w:type="dxa"/>
          </w:tcPr>
          <w:p>
            <w:pPr>
              <w:pStyle w:val="TableParagraph"/>
              <w:spacing w:before="101"/>
              <w:ind w:left="165"/>
              <w:rPr>
                <w:sz w:val="21"/>
              </w:rPr>
            </w:pPr>
            <w:r>
              <w:rPr>
                <w:sz w:val="21"/>
              </w:rPr>
              <w:t>指为治疗严重的冠心病，实际实施了开胸进行的冠状动脉血管旁路移植的手术。</w:t>
            </w:r>
          </w:p>
          <w:p>
            <w:pPr>
              <w:pStyle w:val="TableParagraph"/>
              <w:spacing w:line="310" w:lineRule="atLeast" w:before="93"/>
              <w:ind w:left="165"/>
              <w:rPr>
                <w:sz w:val="21"/>
              </w:rPr>
            </w:pPr>
            <w:r>
              <w:rPr>
                <w:spacing w:val="-8"/>
                <w:sz w:val="21"/>
              </w:rPr>
              <w:t>冠状动脉支架植入术、心导管球囊扩张术、激光射频技术及其它非开胸的介入手术、</w:t>
            </w:r>
            <w:r>
              <w:rPr>
                <w:spacing w:val="-5"/>
                <w:sz w:val="21"/>
              </w:rPr>
              <w:t>腔镜手术不在保障范围内。</w:t>
            </w:r>
          </w:p>
        </w:tc>
      </w:tr>
    </w:tbl>
    <w:p>
      <w:pPr>
        <w:spacing w:after="0" w:line="310" w:lineRule="atLeast"/>
        <w:rPr>
          <w:sz w:val="21"/>
        </w:rPr>
        <w:sectPr>
          <w:headerReference w:type="default" r:id="rId11"/>
          <w:pgSz w:w="11910" w:h="16840"/>
          <w:pgMar w:header="609" w:footer="320" w:top="800" w:bottom="520" w:left="800" w:right="800"/>
        </w:sectPr>
      </w:pPr>
    </w:p>
    <w:tbl>
      <w:tblPr>
        <w:tblW w:w="0" w:type="auto"/>
        <w:jc w:val="left"/>
        <w:tblInd w:w="5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7"/>
        <w:gridCol w:w="8026"/>
      </w:tblGrid>
      <w:tr>
        <w:trPr>
          <w:trHeight w:val="1382" w:hRule="atLeast"/>
        </w:trPr>
        <w:tc>
          <w:tcPr>
            <w:tcW w:w="1777" w:type="dxa"/>
          </w:tcPr>
          <w:p>
            <w:pPr>
              <w:pStyle w:val="TableParagraph"/>
              <w:spacing w:before="8"/>
              <w:rPr>
                <w:rFonts w:ascii="Times New Roman"/>
                <w:sz w:val="27"/>
              </w:rPr>
            </w:pPr>
          </w:p>
          <w:p>
            <w:pPr>
              <w:pStyle w:val="TableParagraph"/>
              <w:spacing w:line="273" w:lineRule="auto"/>
              <w:ind w:left="200" w:right="101"/>
              <w:rPr>
                <w:sz w:val="21"/>
              </w:rPr>
            </w:pPr>
            <w:r>
              <w:rPr>
                <w:spacing w:val="-3"/>
                <w:sz w:val="21"/>
              </w:rPr>
              <w:t>终末期肾病</w:t>
            </w:r>
            <w:r>
              <w:rPr>
                <w:sz w:val="21"/>
              </w:rPr>
              <w:t>（或</w:t>
            </w:r>
            <w:r>
              <w:rPr>
                <w:spacing w:val="-2"/>
                <w:sz w:val="21"/>
              </w:rPr>
              <w:t>称慢性肾功能 </w:t>
            </w:r>
            <w:r>
              <w:rPr>
                <w:spacing w:val="-3"/>
                <w:sz w:val="21"/>
              </w:rPr>
              <w:t>衰竭尿毒症期</w:t>
            </w:r>
            <w:r>
              <w:rPr>
                <w:sz w:val="21"/>
              </w:rPr>
              <w:t>）</w:t>
            </w:r>
          </w:p>
        </w:tc>
        <w:tc>
          <w:tcPr>
            <w:tcW w:w="8026" w:type="dxa"/>
          </w:tcPr>
          <w:p>
            <w:pPr>
              <w:pStyle w:val="TableParagraph"/>
              <w:spacing w:before="8"/>
              <w:rPr>
                <w:rFonts w:ascii="Times New Roman"/>
                <w:sz w:val="27"/>
              </w:rPr>
            </w:pPr>
          </w:p>
          <w:p>
            <w:pPr>
              <w:pStyle w:val="TableParagraph"/>
              <w:spacing w:line="273" w:lineRule="auto"/>
              <w:ind w:left="102" w:right="304"/>
              <w:rPr>
                <w:sz w:val="21"/>
              </w:rPr>
            </w:pPr>
            <w:r>
              <w:rPr>
                <w:spacing w:val="-8"/>
                <w:sz w:val="21"/>
              </w:rPr>
              <w:t>指双肾功能慢性不可逆性衰竭，达到尿毒症期，经诊断后已经进行了至少 </w:t>
            </w:r>
            <w:r>
              <w:rPr>
                <w:sz w:val="21"/>
              </w:rPr>
              <w:t>90</w:t>
            </w:r>
            <w:r>
              <w:rPr>
                <w:spacing w:val="-10"/>
                <w:sz w:val="21"/>
              </w:rPr>
              <w:t> 天的规</w:t>
            </w:r>
            <w:r>
              <w:rPr>
                <w:spacing w:val="-5"/>
                <w:sz w:val="21"/>
              </w:rPr>
              <w:t>律性透析治疗或实施了肾脏移植手术。</w:t>
            </w:r>
          </w:p>
        </w:tc>
      </w:tr>
      <w:tr>
        <w:trPr>
          <w:trHeight w:val="851" w:hRule="atLeast"/>
        </w:trPr>
        <w:tc>
          <w:tcPr>
            <w:tcW w:w="1777" w:type="dxa"/>
          </w:tcPr>
          <w:p>
            <w:pPr>
              <w:pStyle w:val="TableParagraph"/>
              <w:spacing w:before="100"/>
              <w:ind w:left="200"/>
              <w:rPr>
                <w:sz w:val="21"/>
              </w:rPr>
            </w:pPr>
            <w:r>
              <w:rPr>
                <w:sz w:val="21"/>
              </w:rPr>
              <w:t>多个肢体缺失</w:t>
            </w:r>
          </w:p>
        </w:tc>
        <w:tc>
          <w:tcPr>
            <w:tcW w:w="8026" w:type="dxa"/>
          </w:tcPr>
          <w:p>
            <w:pPr>
              <w:pStyle w:val="TableParagraph"/>
              <w:spacing w:line="273" w:lineRule="auto" w:before="100"/>
              <w:ind w:left="102" w:right="135"/>
              <w:rPr>
                <w:sz w:val="21"/>
              </w:rPr>
            </w:pPr>
            <w:r>
              <w:rPr>
                <w:sz w:val="21"/>
              </w:rPr>
              <w:t>指因疾病或意外伤害导致两个或两个以上肢体自腕关节或踝关节近端（靠近躯干端） 以上完全性断离。</w:t>
            </w:r>
          </w:p>
        </w:tc>
      </w:tr>
      <w:tr>
        <w:trPr>
          <w:trHeight w:val="2471" w:hRule="atLeast"/>
        </w:trPr>
        <w:tc>
          <w:tcPr>
            <w:tcW w:w="1777" w:type="dxa"/>
          </w:tcPr>
          <w:p>
            <w:pPr>
              <w:pStyle w:val="TableParagraph"/>
              <w:spacing w:line="273" w:lineRule="auto" w:before="100"/>
              <w:ind w:left="200" w:right="312"/>
              <w:rPr>
                <w:sz w:val="21"/>
              </w:rPr>
            </w:pPr>
            <w:r>
              <w:rPr>
                <w:sz w:val="21"/>
              </w:rPr>
              <w:t>急性或亚急性重症肝炎</w:t>
            </w:r>
          </w:p>
        </w:tc>
        <w:tc>
          <w:tcPr>
            <w:tcW w:w="8026" w:type="dxa"/>
          </w:tcPr>
          <w:p>
            <w:pPr>
              <w:pStyle w:val="TableParagraph"/>
              <w:spacing w:line="273" w:lineRule="auto" w:before="100"/>
              <w:ind w:left="102" w:right="309"/>
              <w:rPr>
                <w:sz w:val="21"/>
              </w:rPr>
            </w:pPr>
            <w:r>
              <w:rPr>
                <w:sz w:val="21"/>
              </w:rPr>
              <w:t>指因肝炎病毒感染引起肝脏组织弥漫性坏死，导致急性肝功能衰竭，且经血清学或病毒学检查证实，并须满足下列全部条件：</w:t>
            </w:r>
          </w:p>
          <w:p>
            <w:pPr>
              <w:pStyle w:val="TableParagraph"/>
              <w:spacing w:before="98"/>
              <w:ind w:left="102"/>
              <w:rPr>
                <w:sz w:val="21"/>
              </w:rPr>
            </w:pPr>
            <w:r>
              <w:rPr>
                <w:sz w:val="21"/>
              </w:rPr>
              <w:t>（1）重度黄疸或黄疸迅速加重；</w:t>
            </w:r>
          </w:p>
          <w:p>
            <w:pPr>
              <w:pStyle w:val="TableParagraph"/>
              <w:spacing w:before="130"/>
              <w:ind w:left="102"/>
              <w:rPr>
                <w:sz w:val="21"/>
              </w:rPr>
            </w:pPr>
            <w:r>
              <w:rPr>
                <w:sz w:val="21"/>
              </w:rPr>
              <w:t>（2）肝性脑病；</w:t>
            </w:r>
          </w:p>
          <w:p>
            <w:pPr>
              <w:pStyle w:val="TableParagraph"/>
              <w:spacing w:before="131"/>
              <w:ind w:left="102"/>
              <w:rPr>
                <w:sz w:val="21"/>
              </w:rPr>
            </w:pPr>
            <w:r>
              <w:rPr>
                <w:sz w:val="21"/>
              </w:rPr>
              <w:t>（3）B 超或其它影像学检查显示肝脏体积急速萎缩；</w:t>
            </w:r>
          </w:p>
          <w:p>
            <w:pPr>
              <w:pStyle w:val="TableParagraph"/>
              <w:spacing w:before="131"/>
              <w:ind w:left="102"/>
              <w:rPr>
                <w:sz w:val="21"/>
              </w:rPr>
            </w:pPr>
            <w:r>
              <w:rPr>
                <w:sz w:val="21"/>
              </w:rPr>
              <w:t>（4）肝功能指标进行性恶化。</w:t>
            </w:r>
          </w:p>
        </w:tc>
      </w:tr>
      <w:tr>
        <w:trPr>
          <w:trHeight w:val="2377" w:hRule="atLeast"/>
        </w:trPr>
        <w:tc>
          <w:tcPr>
            <w:tcW w:w="1777" w:type="dxa"/>
          </w:tcPr>
          <w:p>
            <w:pPr>
              <w:pStyle w:val="TableParagraph"/>
              <w:spacing w:before="99"/>
              <w:ind w:left="200"/>
              <w:rPr>
                <w:sz w:val="21"/>
              </w:rPr>
            </w:pPr>
            <w:r>
              <w:rPr>
                <w:sz w:val="21"/>
              </w:rPr>
              <w:t>良性脑肿瘤</w:t>
            </w:r>
          </w:p>
        </w:tc>
        <w:tc>
          <w:tcPr>
            <w:tcW w:w="8026" w:type="dxa"/>
          </w:tcPr>
          <w:p>
            <w:pPr>
              <w:pStyle w:val="TableParagraph"/>
              <w:spacing w:line="273" w:lineRule="auto" w:before="99"/>
              <w:ind w:left="102" w:right="198"/>
              <w:rPr>
                <w:sz w:val="21"/>
              </w:rPr>
            </w:pPr>
            <w:r>
              <w:rPr>
                <w:sz w:val="21"/>
              </w:rPr>
              <w:t>指脑的良性肿瘤，已经引起颅内压增高，临床表现为视神经乳头水肿、精神症状、</w:t>
            </w:r>
            <w:r>
              <w:rPr>
                <w:spacing w:val="-13"/>
                <w:w w:val="100"/>
                <w:sz w:val="21"/>
              </w:rPr>
              <w:t>癫痫及运动感觉障碍等，并危及生命。须由头颅断层扫描</w:t>
            </w:r>
            <w:r>
              <w:rPr>
                <w:w w:val="100"/>
                <w:sz w:val="21"/>
              </w:rPr>
              <w:t>（C</w:t>
            </w:r>
            <w:r>
              <w:rPr>
                <w:spacing w:val="-3"/>
                <w:w w:val="100"/>
                <w:sz w:val="21"/>
              </w:rPr>
              <w:t>T</w:t>
            </w:r>
            <w:r>
              <w:rPr>
                <w:spacing w:val="-106"/>
                <w:w w:val="100"/>
                <w:sz w:val="21"/>
              </w:rPr>
              <w:t>）</w:t>
            </w:r>
            <w:r>
              <w:rPr>
                <w:spacing w:val="-18"/>
                <w:w w:val="100"/>
                <w:sz w:val="21"/>
              </w:rPr>
              <w:t>、核磁共振检查</w:t>
            </w:r>
            <w:r>
              <w:rPr>
                <w:w w:val="100"/>
                <w:sz w:val="21"/>
              </w:rPr>
              <w:t>（M</w:t>
            </w:r>
            <w:r>
              <w:rPr>
                <w:spacing w:val="-3"/>
                <w:w w:val="100"/>
                <w:sz w:val="21"/>
              </w:rPr>
              <w:t>R</w:t>
            </w:r>
            <w:r>
              <w:rPr>
                <w:spacing w:val="-1"/>
                <w:w w:val="100"/>
                <w:sz w:val="21"/>
              </w:rPr>
              <w:t>I</w:t>
            </w:r>
            <w:r>
              <w:rPr>
                <w:w w:val="100"/>
                <w:sz w:val="21"/>
              </w:rPr>
              <w:t>）</w:t>
            </w:r>
            <w:r>
              <w:rPr>
                <w:spacing w:val="-3"/>
                <w:sz w:val="21"/>
              </w:rPr>
              <w:t>或正电子发射断层扫描</w:t>
            </w:r>
            <w:r>
              <w:rPr>
                <w:spacing w:val="-1"/>
                <w:sz w:val="21"/>
              </w:rPr>
              <w:t>（PET）</w:t>
            </w:r>
            <w:r>
              <w:rPr>
                <w:spacing w:val="-3"/>
                <w:sz w:val="21"/>
              </w:rPr>
              <w:t>等影像学检查证实，并须满足下列至少一项条件：</w:t>
            </w:r>
          </w:p>
          <w:p>
            <w:pPr>
              <w:pStyle w:val="TableParagraph"/>
              <w:spacing w:before="101"/>
              <w:ind w:left="102"/>
              <w:rPr>
                <w:sz w:val="21"/>
              </w:rPr>
            </w:pPr>
            <w:r>
              <w:rPr>
                <w:sz w:val="21"/>
              </w:rPr>
              <w:t>（1）实际实施了开颅进行的脑肿瘤完全切除或部分切除的手术；</w:t>
            </w:r>
          </w:p>
          <w:p>
            <w:pPr>
              <w:pStyle w:val="TableParagraph"/>
              <w:spacing w:before="131"/>
              <w:ind w:left="102"/>
              <w:rPr>
                <w:sz w:val="21"/>
              </w:rPr>
            </w:pPr>
            <w:r>
              <w:rPr>
                <w:sz w:val="21"/>
              </w:rPr>
              <w:t>（2）实际实施了对脑肿瘤进行的放射治疗。</w:t>
            </w:r>
          </w:p>
          <w:p>
            <w:pPr>
              <w:pStyle w:val="TableParagraph"/>
              <w:spacing w:before="128"/>
              <w:ind w:left="102"/>
              <w:rPr>
                <w:sz w:val="21"/>
              </w:rPr>
            </w:pPr>
            <w:r>
              <w:rPr>
                <w:sz w:val="21"/>
              </w:rPr>
              <w:t>脑垂体瘤、脑囊肿、脑血管性疾病不在保障范围内。</w:t>
            </w:r>
          </w:p>
        </w:tc>
      </w:tr>
      <w:tr>
        <w:trPr>
          <w:trHeight w:val="2564" w:hRule="atLeast"/>
        </w:trPr>
        <w:tc>
          <w:tcPr>
            <w:tcW w:w="1777" w:type="dxa"/>
          </w:tcPr>
          <w:p>
            <w:pPr>
              <w:pStyle w:val="TableParagraph"/>
              <w:spacing w:line="273" w:lineRule="auto" w:before="101"/>
              <w:ind w:left="200" w:right="312"/>
              <w:rPr>
                <w:sz w:val="21"/>
              </w:rPr>
            </w:pPr>
            <w:r>
              <w:rPr>
                <w:sz w:val="21"/>
              </w:rPr>
              <w:t>慢性肝功能衰竭失代偿期</w:t>
            </w:r>
          </w:p>
        </w:tc>
        <w:tc>
          <w:tcPr>
            <w:tcW w:w="8026" w:type="dxa"/>
          </w:tcPr>
          <w:p>
            <w:pPr>
              <w:pStyle w:val="TableParagraph"/>
              <w:spacing w:before="101"/>
              <w:ind w:left="102"/>
              <w:rPr>
                <w:sz w:val="21"/>
              </w:rPr>
            </w:pPr>
            <w:r>
              <w:rPr>
                <w:sz w:val="21"/>
              </w:rPr>
              <w:t>指因慢性肝脏疾病导致肝功能衰竭。须满足下列全部条件：</w:t>
            </w:r>
          </w:p>
          <w:p>
            <w:pPr>
              <w:pStyle w:val="TableParagraph"/>
              <w:spacing w:before="131"/>
              <w:ind w:left="102"/>
              <w:rPr>
                <w:sz w:val="21"/>
              </w:rPr>
            </w:pPr>
            <w:r>
              <w:rPr>
                <w:sz w:val="21"/>
              </w:rPr>
              <w:t>（1）持续性黄疸；</w:t>
            </w:r>
          </w:p>
          <w:p>
            <w:pPr>
              <w:pStyle w:val="TableParagraph"/>
              <w:spacing w:before="131"/>
              <w:ind w:left="102"/>
              <w:rPr>
                <w:sz w:val="21"/>
              </w:rPr>
            </w:pPr>
            <w:r>
              <w:rPr>
                <w:sz w:val="21"/>
              </w:rPr>
              <w:t>（2）腹水；</w:t>
            </w:r>
          </w:p>
          <w:p>
            <w:pPr>
              <w:pStyle w:val="TableParagraph"/>
              <w:spacing w:before="128"/>
              <w:ind w:left="102"/>
              <w:rPr>
                <w:sz w:val="21"/>
              </w:rPr>
            </w:pPr>
            <w:r>
              <w:rPr>
                <w:sz w:val="21"/>
              </w:rPr>
              <w:t>（3）肝性脑病；</w:t>
            </w:r>
          </w:p>
          <w:p>
            <w:pPr>
              <w:pStyle w:val="TableParagraph"/>
              <w:spacing w:line="355" w:lineRule="auto" w:before="130"/>
              <w:ind w:left="102" w:right="2772"/>
              <w:rPr>
                <w:sz w:val="21"/>
              </w:rPr>
            </w:pPr>
            <w:r>
              <w:rPr>
                <w:sz w:val="21"/>
              </w:rPr>
              <w:t>（4）充血性脾肿大伴脾功能亢进或食管胃底静脉曲张。因酗酒或药物滥用导致的肝功能衰竭不在保障范围内。</w:t>
            </w:r>
          </w:p>
        </w:tc>
      </w:tr>
      <w:tr>
        <w:trPr>
          <w:trHeight w:val="2066" w:hRule="atLeast"/>
        </w:trPr>
        <w:tc>
          <w:tcPr>
            <w:tcW w:w="1777" w:type="dxa"/>
          </w:tcPr>
          <w:p>
            <w:pPr>
              <w:pStyle w:val="TableParagraph"/>
              <w:spacing w:line="273" w:lineRule="auto" w:before="99"/>
              <w:ind w:left="200" w:right="312"/>
              <w:rPr>
                <w:sz w:val="21"/>
              </w:rPr>
            </w:pPr>
            <w:r>
              <w:rPr>
                <w:sz w:val="21"/>
              </w:rPr>
              <w:t>脑炎后遗症或脑膜炎后遗症</w:t>
            </w:r>
          </w:p>
        </w:tc>
        <w:tc>
          <w:tcPr>
            <w:tcW w:w="8026" w:type="dxa"/>
          </w:tcPr>
          <w:p>
            <w:pPr>
              <w:pStyle w:val="TableParagraph"/>
              <w:spacing w:line="273" w:lineRule="auto" w:before="99"/>
              <w:ind w:left="102" w:right="309"/>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101"/>
              <w:ind w:left="102"/>
              <w:rPr>
                <w:sz w:val="21"/>
              </w:rPr>
            </w:pPr>
            <w:r>
              <w:rPr>
                <w:sz w:val="21"/>
              </w:rPr>
              <w:t>（1）一肢或一肢以上肢体机能完全丧失；</w:t>
            </w:r>
          </w:p>
          <w:p>
            <w:pPr>
              <w:pStyle w:val="TableParagraph"/>
              <w:spacing w:before="130"/>
              <w:ind w:left="102"/>
              <w:rPr>
                <w:sz w:val="21"/>
              </w:rPr>
            </w:pPr>
            <w:r>
              <w:rPr>
                <w:sz w:val="21"/>
              </w:rPr>
              <w:t>（2）语言能力或咀嚼吞咽能力完全丧失；</w:t>
            </w:r>
          </w:p>
          <w:p>
            <w:pPr>
              <w:pStyle w:val="TableParagraph"/>
              <w:spacing w:before="130"/>
              <w:ind w:left="102"/>
              <w:rPr>
                <w:sz w:val="21"/>
              </w:rPr>
            </w:pPr>
            <w:r>
              <w:rPr>
                <w:spacing w:val="-25"/>
                <w:sz w:val="21"/>
              </w:rPr>
              <w:t>（3）</w:t>
            </w:r>
            <w:r>
              <w:rPr>
                <w:spacing w:val="-22"/>
                <w:sz w:val="21"/>
              </w:rPr>
              <w:t>自主生活能力完全丧失，无法独立完成六项基本日常生活活动中的三项或三项以上。</w:t>
            </w:r>
          </w:p>
        </w:tc>
      </w:tr>
      <w:tr>
        <w:trPr>
          <w:trHeight w:val="1556" w:hRule="atLeast"/>
        </w:trPr>
        <w:tc>
          <w:tcPr>
            <w:tcW w:w="1777" w:type="dxa"/>
          </w:tcPr>
          <w:p>
            <w:pPr>
              <w:pStyle w:val="TableParagraph"/>
              <w:spacing w:before="99"/>
              <w:ind w:left="200"/>
              <w:rPr>
                <w:sz w:val="21"/>
              </w:rPr>
            </w:pPr>
            <w:r>
              <w:rPr>
                <w:sz w:val="21"/>
              </w:rPr>
              <w:t>深度昏迷</w:t>
            </w:r>
          </w:p>
        </w:tc>
        <w:tc>
          <w:tcPr>
            <w:tcW w:w="8026" w:type="dxa"/>
          </w:tcPr>
          <w:p>
            <w:pPr>
              <w:pStyle w:val="TableParagraph"/>
              <w:spacing w:line="273" w:lineRule="auto" w:before="99"/>
              <w:ind w:left="102" w:right="302"/>
              <w:jc w:val="both"/>
              <w:rPr>
                <w:sz w:val="21"/>
              </w:rPr>
            </w:pPr>
            <w:r>
              <w:rPr>
                <w:sz w:val="21"/>
              </w:rPr>
              <w:t>指因疾病或意外伤害导致意识丧失,对外界刺激和体内需求均无反应,昏迷程度按照</w:t>
            </w:r>
            <w:r>
              <w:rPr>
                <w:spacing w:val="-3"/>
                <w:sz w:val="21"/>
              </w:rPr>
              <w:t>格拉斯哥昏迷分级</w:t>
            </w:r>
            <w:r>
              <w:rPr>
                <w:sz w:val="21"/>
              </w:rPr>
              <w:t>（Glasgow coma scale）</w:t>
            </w:r>
            <w:r>
              <w:rPr>
                <w:spacing w:val="-11"/>
                <w:sz w:val="21"/>
              </w:rPr>
              <w:t>结果为 </w:t>
            </w:r>
            <w:r>
              <w:rPr>
                <w:sz w:val="21"/>
              </w:rPr>
              <w:t>5</w:t>
            </w:r>
            <w:r>
              <w:rPr>
                <w:spacing w:val="-20"/>
                <w:sz w:val="21"/>
              </w:rPr>
              <w:t> 分或 </w:t>
            </w:r>
            <w:r>
              <w:rPr>
                <w:sz w:val="21"/>
              </w:rPr>
              <w:t>5</w:t>
            </w:r>
            <w:r>
              <w:rPr>
                <w:spacing w:val="-8"/>
                <w:sz w:val="21"/>
              </w:rPr>
              <w:t> 分以下，且已经持续使用呼吸机及其它生命维持系统 </w:t>
            </w:r>
            <w:r>
              <w:rPr>
                <w:sz w:val="21"/>
              </w:rPr>
              <w:t>96</w:t>
            </w:r>
            <w:r>
              <w:rPr>
                <w:spacing w:val="-10"/>
                <w:sz w:val="21"/>
              </w:rPr>
              <w:t> 小时以上。</w:t>
            </w:r>
          </w:p>
          <w:p>
            <w:pPr>
              <w:pStyle w:val="TableParagraph"/>
              <w:spacing w:before="101"/>
              <w:ind w:left="102"/>
              <w:jc w:val="both"/>
              <w:rPr>
                <w:sz w:val="21"/>
              </w:rPr>
            </w:pPr>
            <w:r>
              <w:rPr>
                <w:sz w:val="21"/>
              </w:rPr>
              <w:t>因酗酒或药物滥用导致的深度昏迷不在保障范围内。</w:t>
            </w:r>
          </w:p>
        </w:tc>
      </w:tr>
      <w:tr>
        <w:trPr>
          <w:trHeight w:val="1175" w:hRule="atLeast"/>
        </w:trPr>
        <w:tc>
          <w:tcPr>
            <w:tcW w:w="1777" w:type="dxa"/>
          </w:tcPr>
          <w:p>
            <w:pPr>
              <w:pStyle w:val="TableParagraph"/>
              <w:spacing w:before="112"/>
              <w:ind w:left="200"/>
              <w:rPr>
                <w:sz w:val="21"/>
              </w:rPr>
            </w:pPr>
            <w:r>
              <w:rPr>
                <w:sz w:val="21"/>
              </w:rPr>
              <w:t>双耳失聪</w:t>
            </w:r>
          </w:p>
        </w:tc>
        <w:tc>
          <w:tcPr>
            <w:tcW w:w="8026" w:type="dxa"/>
          </w:tcPr>
          <w:p>
            <w:pPr>
              <w:pStyle w:val="TableParagraph"/>
              <w:spacing w:before="112"/>
              <w:ind w:left="102"/>
              <w:rPr>
                <w:sz w:val="21"/>
              </w:rPr>
            </w:pPr>
            <w:r>
              <w:rPr>
                <w:sz w:val="21"/>
              </w:rPr>
              <w:t>指因疾病或意外伤害导致双耳听力</w:t>
            </w:r>
            <w:r>
              <w:rPr>
                <w:b/>
                <w:sz w:val="21"/>
              </w:rPr>
              <w:t>永久不可逆 </w:t>
            </w:r>
            <w:r>
              <w:rPr>
                <w:rFonts w:ascii="黑体" w:eastAsia="黑体" w:hint="eastAsia"/>
                <w:position w:val="11"/>
                <w:sz w:val="11"/>
              </w:rPr>
              <w:t>7.9 </w:t>
            </w:r>
            <w:r>
              <w:rPr>
                <w:sz w:val="21"/>
              </w:rPr>
              <w:t>性丧失，在 500 赫兹、1000 赫兹和</w:t>
            </w:r>
          </w:p>
          <w:p>
            <w:pPr>
              <w:pStyle w:val="TableParagraph"/>
              <w:spacing w:line="273" w:lineRule="auto" w:before="37"/>
              <w:ind w:left="102" w:right="239"/>
              <w:rPr>
                <w:sz w:val="21"/>
              </w:rPr>
            </w:pPr>
            <w:r>
              <w:rPr>
                <w:sz w:val="21"/>
              </w:rPr>
              <w:t>2000 赫兹语音频率下，平均听阈大于 90 分贝，且经纯音听力测试、声导抗检测或听觉诱发电位检测等证实。</w:t>
            </w:r>
          </w:p>
        </w:tc>
      </w:tr>
      <w:tr>
        <w:trPr>
          <w:trHeight w:val="374" w:hRule="atLeast"/>
        </w:trPr>
        <w:tc>
          <w:tcPr>
            <w:tcW w:w="1777" w:type="dxa"/>
          </w:tcPr>
          <w:p>
            <w:pPr>
              <w:pStyle w:val="TableParagraph"/>
              <w:spacing w:line="255" w:lineRule="exact" w:before="99"/>
              <w:ind w:left="200"/>
              <w:rPr>
                <w:sz w:val="21"/>
              </w:rPr>
            </w:pPr>
            <w:r>
              <w:rPr>
                <w:sz w:val="21"/>
              </w:rPr>
              <w:t>双目失明</w:t>
            </w:r>
          </w:p>
        </w:tc>
        <w:tc>
          <w:tcPr>
            <w:tcW w:w="8026" w:type="dxa"/>
          </w:tcPr>
          <w:p>
            <w:pPr>
              <w:pStyle w:val="TableParagraph"/>
              <w:spacing w:line="255" w:lineRule="exact" w:before="99"/>
              <w:ind w:left="102"/>
              <w:rPr>
                <w:sz w:val="21"/>
              </w:rPr>
            </w:pPr>
            <w:r>
              <w:rPr>
                <w:sz w:val="21"/>
              </w:rPr>
              <w:t>指因疾病或意外伤害导致双眼视力永久不可逆性丧失，双眼中较好眼须满足下列至</w:t>
            </w:r>
          </w:p>
        </w:tc>
      </w:tr>
    </w:tbl>
    <w:p>
      <w:pPr>
        <w:spacing w:after="0" w:line="255" w:lineRule="exact"/>
        <w:rPr>
          <w:sz w:val="21"/>
        </w:rPr>
        <w:sectPr>
          <w:pgSz w:w="11910" w:h="16840"/>
          <w:pgMar w:header="609" w:footer="320" w:top="780" w:bottom="520" w:left="880" w:right="600"/>
        </w:sectPr>
      </w:pPr>
    </w:p>
    <w:tbl>
      <w:tblPr>
        <w:tblW w:w="0" w:type="auto"/>
        <w:jc w:val="left"/>
        <w:tblInd w:w="5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1"/>
        <w:gridCol w:w="8131"/>
      </w:tblGrid>
      <w:tr>
        <w:trPr>
          <w:trHeight w:val="1974" w:hRule="atLeast"/>
        </w:trPr>
        <w:tc>
          <w:tcPr>
            <w:tcW w:w="1671" w:type="dxa"/>
          </w:tcPr>
          <w:p>
            <w:pPr>
              <w:pStyle w:val="TableParagraph"/>
              <w:rPr>
                <w:rFonts w:ascii="Times New Roman"/>
                <w:sz w:val="20"/>
              </w:rPr>
            </w:pPr>
          </w:p>
        </w:tc>
        <w:tc>
          <w:tcPr>
            <w:tcW w:w="8131" w:type="dxa"/>
          </w:tcPr>
          <w:p>
            <w:pPr>
              <w:pStyle w:val="TableParagraph"/>
              <w:spacing w:before="8"/>
              <w:rPr>
                <w:rFonts w:ascii="Times New Roman"/>
                <w:sz w:val="27"/>
              </w:rPr>
            </w:pPr>
          </w:p>
          <w:p>
            <w:pPr>
              <w:pStyle w:val="TableParagraph"/>
              <w:ind w:left="208"/>
              <w:rPr>
                <w:sz w:val="21"/>
              </w:rPr>
            </w:pPr>
            <w:r>
              <w:rPr>
                <w:sz w:val="21"/>
              </w:rPr>
              <w:t>少一项条件：</w:t>
            </w:r>
          </w:p>
          <w:p>
            <w:pPr>
              <w:pStyle w:val="TableParagraph"/>
              <w:spacing w:before="131"/>
              <w:ind w:left="208"/>
              <w:rPr>
                <w:sz w:val="21"/>
              </w:rPr>
            </w:pPr>
            <w:r>
              <w:rPr>
                <w:sz w:val="21"/>
              </w:rPr>
              <w:t>（1）眼球缺失或摘除；</w:t>
            </w:r>
          </w:p>
          <w:p>
            <w:pPr>
              <w:pStyle w:val="TableParagraph"/>
              <w:spacing w:before="131"/>
              <w:ind w:left="208"/>
              <w:rPr>
                <w:sz w:val="21"/>
              </w:rPr>
            </w:pPr>
            <w:r>
              <w:rPr>
                <w:w w:val="100"/>
                <w:sz w:val="21"/>
              </w:rPr>
              <w:t>（2</w:t>
            </w:r>
            <w:r>
              <w:rPr>
                <w:spacing w:val="-36"/>
                <w:w w:val="100"/>
                <w:sz w:val="21"/>
              </w:rPr>
              <w:t>）</w:t>
            </w:r>
            <w:r>
              <w:rPr>
                <w:spacing w:val="-3"/>
                <w:w w:val="100"/>
                <w:sz w:val="21"/>
              </w:rPr>
              <w:t>矫正视力低于</w:t>
            </w:r>
            <w:r>
              <w:rPr>
                <w:spacing w:val="-52"/>
                <w:sz w:val="21"/>
              </w:rPr>
              <w:t> </w:t>
            </w:r>
            <w:r>
              <w:rPr>
                <w:w w:val="100"/>
                <w:sz w:val="21"/>
              </w:rPr>
              <w:t>0</w:t>
            </w:r>
            <w:r>
              <w:rPr>
                <w:spacing w:val="-3"/>
                <w:w w:val="100"/>
                <w:sz w:val="21"/>
              </w:rPr>
              <w:t>.</w:t>
            </w:r>
            <w:r>
              <w:rPr>
                <w:w w:val="100"/>
                <w:sz w:val="21"/>
              </w:rPr>
              <w:t>0</w:t>
            </w:r>
            <w:r>
              <w:rPr>
                <w:spacing w:val="-37"/>
                <w:w w:val="100"/>
                <w:sz w:val="21"/>
              </w:rPr>
              <w:t>2</w:t>
            </w:r>
            <w:r>
              <w:rPr>
                <w:spacing w:val="-3"/>
                <w:w w:val="100"/>
                <w:sz w:val="21"/>
              </w:rPr>
              <w:t>（</w:t>
            </w:r>
            <w:r>
              <w:rPr>
                <w:spacing w:val="-7"/>
                <w:w w:val="100"/>
                <w:sz w:val="21"/>
              </w:rPr>
              <w:t>采用国际标准视力表，如果使用其它视力表应进行换算</w:t>
            </w:r>
            <w:r>
              <w:rPr>
                <w:spacing w:val="-108"/>
                <w:w w:val="100"/>
                <w:sz w:val="21"/>
              </w:rPr>
              <w:t>）</w:t>
            </w:r>
            <w:r>
              <w:rPr>
                <w:w w:val="100"/>
                <w:sz w:val="21"/>
              </w:rPr>
              <w:t>；</w:t>
            </w:r>
          </w:p>
          <w:p>
            <w:pPr>
              <w:pStyle w:val="TableParagraph"/>
              <w:spacing w:before="131"/>
              <w:ind w:left="208"/>
              <w:rPr>
                <w:sz w:val="21"/>
              </w:rPr>
            </w:pPr>
            <w:r>
              <w:rPr>
                <w:sz w:val="21"/>
              </w:rPr>
              <w:t>（3）视野半径小于 5 度。</w:t>
            </w:r>
          </w:p>
        </w:tc>
      </w:tr>
      <w:tr>
        <w:trPr>
          <w:trHeight w:val="1162" w:hRule="atLeast"/>
        </w:trPr>
        <w:tc>
          <w:tcPr>
            <w:tcW w:w="1671" w:type="dxa"/>
          </w:tcPr>
          <w:p>
            <w:pPr>
              <w:pStyle w:val="TableParagraph"/>
              <w:spacing w:before="99"/>
              <w:ind w:left="200"/>
              <w:rPr>
                <w:sz w:val="21"/>
              </w:rPr>
            </w:pPr>
            <w:r>
              <w:rPr>
                <w:sz w:val="21"/>
              </w:rPr>
              <w:t>瘫痪</w:t>
            </w:r>
          </w:p>
        </w:tc>
        <w:tc>
          <w:tcPr>
            <w:tcW w:w="8131" w:type="dxa"/>
          </w:tcPr>
          <w:p>
            <w:pPr>
              <w:pStyle w:val="TableParagraph"/>
              <w:spacing w:line="273" w:lineRule="auto" w:before="99"/>
              <w:ind w:left="208" w:right="303"/>
              <w:jc w:val="both"/>
              <w:rPr>
                <w:sz w:val="21"/>
              </w:rPr>
            </w:pPr>
            <w:r>
              <w:rPr>
                <w:sz w:val="21"/>
              </w:rPr>
              <w:t>指因疾病或意外伤害导致两肢或两肢以上肢体机能永久完全丧失。肢体机能永久完</w:t>
            </w:r>
            <w:r>
              <w:rPr>
                <w:spacing w:val="-6"/>
                <w:sz w:val="21"/>
              </w:rPr>
              <w:t>全丧失，指疾病确诊 </w:t>
            </w:r>
            <w:r>
              <w:rPr>
                <w:sz w:val="21"/>
              </w:rPr>
              <w:t>180</w:t>
            </w:r>
            <w:r>
              <w:rPr>
                <w:spacing w:val="-10"/>
                <w:sz w:val="21"/>
              </w:rPr>
              <w:t> 天后或意外伤害发生 </w:t>
            </w:r>
            <w:r>
              <w:rPr>
                <w:sz w:val="21"/>
              </w:rPr>
              <w:t>180</w:t>
            </w:r>
            <w:r>
              <w:rPr>
                <w:spacing w:val="-7"/>
                <w:sz w:val="21"/>
              </w:rPr>
              <w:t> 天后，每肢三大关节中的两大关</w:t>
            </w:r>
            <w:r>
              <w:rPr>
                <w:spacing w:val="-5"/>
                <w:sz w:val="21"/>
              </w:rPr>
              <w:t>节仍然完全僵硬，或不能随意识活动。</w:t>
            </w:r>
          </w:p>
        </w:tc>
      </w:tr>
      <w:tr>
        <w:trPr>
          <w:trHeight w:val="538" w:hRule="atLeast"/>
        </w:trPr>
        <w:tc>
          <w:tcPr>
            <w:tcW w:w="1671" w:type="dxa"/>
          </w:tcPr>
          <w:p>
            <w:pPr>
              <w:pStyle w:val="TableParagraph"/>
              <w:spacing w:before="100"/>
              <w:ind w:left="200"/>
              <w:rPr>
                <w:sz w:val="21"/>
              </w:rPr>
            </w:pPr>
            <w:r>
              <w:rPr>
                <w:sz w:val="21"/>
              </w:rPr>
              <w:t>心脏瓣膜手术</w:t>
            </w:r>
          </w:p>
        </w:tc>
        <w:tc>
          <w:tcPr>
            <w:tcW w:w="8131" w:type="dxa"/>
          </w:tcPr>
          <w:p>
            <w:pPr>
              <w:pStyle w:val="TableParagraph"/>
              <w:spacing w:before="100"/>
              <w:ind w:left="208"/>
              <w:rPr>
                <w:sz w:val="21"/>
              </w:rPr>
            </w:pPr>
            <w:r>
              <w:rPr>
                <w:sz w:val="21"/>
              </w:rPr>
              <w:t>指为治疗心脏瓣膜疾病，实际实施了开胸进行的心脏瓣膜置换或修复的手术。</w:t>
            </w:r>
          </w:p>
        </w:tc>
      </w:tr>
      <w:tr>
        <w:trPr>
          <w:trHeight w:val="2193" w:hRule="atLeast"/>
        </w:trPr>
        <w:tc>
          <w:tcPr>
            <w:tcW w:w="1671" w:type="dxa"/>
          </w:tcPr>
          <w:p>
            <w:pPr>
              <w:pStyle w:val="TableParagraph"/>
              <w:spacing w:line="273" w:lineRule="auto" w:before="99"/>
              <w:ind w:left="200" w:right="206"/>
              <w:rPr>
                <w:sz w:val="21"/>
              </w:rPr>
            </w:pPr>
            <w:r>
              <w:rPr>
                <w:sz w:val="21"/>
              </w:rPr>
              <w:t>严重阿尔茨海默病</w:t>
            </w:r>
          </w:p>
        </w:tc>
        <w:tc>
          <w:tcPr>
            <w:tcW w:w="8131" w:type="dxa"/>
          </w:tcPr>
          <w:p>
            <w:pPr>
              <w:pStyle w:val="TableParagraph"/>
              <w:spacing w:line="273" w:lineRule="auto" w:before="99"/>
              <w:ind w:left="208" w:right="303"/>
              <w:jc w:val="both"/>
              <w:rPr>
                <w:sz w:val="21"/>
              </w:rPr>
            </w:pPr>
            <w:r>
              <w:rPr>
                <w:sz w:val="21"/>
              </w:rPr>
              <w:t>指因大脑进行性、不可逆性改变导致智能严重衰退或丧失，临床表现为明显的认知能力障碍、行为异常和社交能力减退，其日常生活必须持续受到他人监护。须由头</w:t>
            </w:r>
            <w:r>
              <w:rPr>
                <w:spacing w:val="-4"/>
                <w:w w:val="100"/>
                <w:sz w:val="21"/>
              </w:rPr>
              <w:t>颅断层扫描</w:t>
            </w:r>
            <w:r>
              <w:rPr>
                <w:w w:val="100"/>
                <w:sz w:val="21"/>
              </w:rPr>
              <w:t>（CT</w:t>
            </w:r>
            <w:r>
              <w:rPr>
                <w:spacing w:val="-108"/>
                <w:w w:val="100"/>
                <w:sz w:val="21"/>
              </w:rPr>
              <w:t>）</w:t>
            </w:r>
            <w:r>
              <w:rPr>
                <w:spacing w:val="-6"/>
                <w:w w:val="100"/>
                <w:sz w:val="21"/>
              </w:rPr>
              <w:t>、核磁共振检查</w:t>
            </w:r>
            <w:r>
              <w:rPr>
                <w:w w:val="100"/>
                <w:sz w:val="21"/>
              </w:rPr>
              <w:t>（MR</w:t>
            </w:r>
            <w:r>
              <w:rPr>
                <w:spacing w:val="-3"/>
                <w:w w:val="100"/>
                <w:sz w:val="21"/>
              </w:rPr>
              <w:t>I</w:t>
            </w:r>
            <w:r>
              <w:rPr>
                <w:spacing w:val="-10"/>
                <w:w w:val="100"/>
                <w:sz w:val="21"/>
              </w:rPr>
              <w:t>）</w:t>
            </w:r>
            <w:r>
              <w:rPr>
                <w:spacing w:val="-4"/>
                <w:w w:val="100"/>
                <w:sz w:val="21"/>
              </w:rPr>
              <w:t>或正电子发射断层扫描</w:t>
            </w:r>
            <w:r>
              <w:rPr>
                <w:w w:val="100"/>
                <w:sz w:val="21"/>
              </w:rPr>
              <w:t>（PE</w:t>
            </w:r>
            <w:r>
              <w:rPr>
                <w:spacing w:val="-3"/>
                <w:w w:val="100"/>
                <w:sz w:val="21"/>
              </w:rPr>
              <w:t>T</w:t>
            </w:r>
            <w:r>
              <w:rPr>
                <w:spacing w:val="-10"/>
                <w:w w:val="100"/>
                <w:sz w:val="21"/>
              </w:rPr>
              <w:t>）</w:t>
            </w:r>
            <w:r>
              <w:rPr>
                <w:spacing w:val="-3"/>
                <w:w w:val="100"/>
                <w:sz w:val="21"/>
              </w:rPr>
              <w:t>等影像学检</w:t>
            </w:r>
            <w:r>
              <w:rPr>
                <w:spacing w:val="-3"/>
                <w:sz w:val="21"/>
              </w:rPr>
              <w:t>查证实，且自主生活能力完全丧失，无法独立完成六项基本日常生活活动中的三项或三项以上。</w:t>
            </w:r>
          </w:p>
          <w:p>
            <w:pPr>
              <w:pStyle w:val="TableParagraph"/>
              <w:spacing w:before="101"/>
              <w:ind w:left="208"/>
              <w:jc w:val="both"/>
              <w:rPr>
                <w:sz w:val="21"/>
              </w:rPr>
            </w:pPr>
            <w:r>
              <w:rPr>
                <w:sz w:val="21"/>
              </w:rPr>
              <w:t>神经官能症和精神疾病不在保障范围内。</w:t>
            </w:r>
          </w:p>
        </w:tc>
      </w:tr>
      <w:tr>
        <w:trPr>
          <w:trHeight w:val="2690" w:hRule="atLeast"/>
        </w:trPr>
        <w:tc>
          <w:tcPr>
            <w:tcW w:w="1671" w:type="dxa"/>
          </w:tcPr>
          <w:p>
            <w:pPr>
              <w:pStyle w:val="TableParagraph"/>
              <w:spacing w:before="100"/>
              <w:ind w:left="200"/>
              <w:rPr>
                <w:sz w:val="21"/>
              </w:rPr>
            </w:pPr>
            <w:r>
              <w:rPr>
                <w:sz w:val="21"/>
              </w:rPr>
              <w:t>严重脑损伤</w:t>
            </w:r>
          </w:p>
        </w:tc>
        <w:tc>
          <w:tcPr>
            <w:tcW w:w="8131" w:type="dxa"/>
          </w:tcPr>
          <w:p>
            <w:pPr>
              <w:pStyle w:val="TableParagraph"/>
              <w:spacing w:line="273" w:lineRule="auto" w:before="100"/>
              <w:ind w:left="208" w:right="197"/>
              <w:rPr>
                <w:sz w:val="21"/>
              </w:rPr>
            </w:pPr>
            <w:r>
              <w:rPr>
                <w:spacing w:val="-7"/>
                <w:sz w:val="21"/>
              </w:rPr>
              <w:t>指因头部遭受机械性外力，引起脑重要部位损伤，导致神经系统永久性的功能障碍。</w:t>
            </w:r>
            <w:r>
              <w:rPr>
                <w:spacing w:val="-6"/>
                <w:w w:val="100"/>
                <w:sz w:val="21"/>
              </w:rPr>
              <w:t>须由头颅断层扫描</w:t>
            </w:r>
            <w:r>
              <w:rPr>
                <w:w w:val="100"/>
                <w:sz w:val="21"/>
              </w:rPr>
              <w:t>（</w:t>
            </w:r>
            <w:r>
              <w:rPr>
                <w:spacing w:val="-3"/>
                <w:w w:val="100"/>
                <w:sz w:val="21"/>
              </w:rPr>
              <w:t>C</w:t>
            </w:r>
            <w:r>
              <w:rPr>
                <w:w w:val="100"/>
                <w:sz w:val="21"/>
              </w:rPr>
              <w:t>T</w:t>
            </w:r>
            <w:r>
              <w:rPr>
                <w:spacing w:val="-106"/>
                <w:w w:val="100"/>
                <w:sz w:val="21"/>
              </w:rPr>
              <w:t>）</w:t>
            </w:r>
            <w:r>
              <w:rPr>
                <w:spacing w:val="-5"/>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13"/>
                <w:w w:val="100"/>
                <w:sz w:val="21"/>
              </w:rPr>
              <w:t>）</w:t>
            </w:r>
            <w:r>
              <w:rPr>
                <w:spacing w:val="-4"/>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spacing w:val="-13"/>
                <w:w w:val="100"/>
                <w:sz w:val="21"/>
              </w:rPr>
              <w:t>）</w:t>
            </w:r>
            <w:r>
              <w:rPr>
                <w:w w:val="100"/>
                <w:sz w:val="21"/>
              </w:rPr>
              <w:t>等影</w:t>
            </w:r>
            <w:r>
              <w:rPr>
                <w:spacing w:val="-4"/>
                <w:sz w:val="21"/>
              </w:rPr>
              <w:t>像学检查证实。神经系统永久性的功能障碍，指脑损伤 </w:t>
            </w:r>
            <w:r>
              <w:rPr>
                <w:sz w:val="21"/>
              </w:rPr>
              <w:t>180</w:t>
            </w:r>
            <w:r>
              <w:rPr>
                <w:spacing w:val="-5"/>
                <w:sz w:val="21"/>
              </w:rPr>
              <w:t> 天后，仍遗留下列一种</w:t>
            </w:r>
            <w:r>
              <w:rPr>
                <w:spacing w:val="-4"/>
                <w:sz w:val="21"/>
              </w:rPr>
              <w:t>或一种以上障碍：</w:t>
            </w:r>
          </w:p>
          <w:p>
            <w:pPr>
              <w:pStyle w:val="TableParagraph"/>
              <w:spacing w:before="101"/>
              <w:ind w:left="208"/>
              <w:rPr>
                <w:sz w:val="21"/>
              </w:rPr>
            </w:pPr>
            <w:r>
              <w:rPr>
                <w:sz w:val="21"/>
              </w:rPr>
              <w:t>（1）一肢或一肢以上肢体机能完全丧失；</w:t>
            </w:r>
          </w:p>
          <w:p>
            <w:pPr>
              <w:pStyle w:val="TableParagraph"/>
              <w:spacing w:before="128"/>
              <w:ind w:left="208"/>
              <w:rPr>
                <w:sz w:val="21"/>
              </w:rPr>
            </w:pPr>
            <w:r>
              <w:rPr>
                <w:sz w:val="21"/>
              </w:rPr>
              <w:t>（2）语言能力或咀嚼吞咽能力完全丧失；</w:t>
            </w:r>
          </w:p>
          <w:p>
            <w:pPr>
              <w:pStyle w:val="TableParagraph"/>
              <w:spacing w:before="130"/>
              <w:ind w:left="208"/>
              <w:rPr>
                <w:sz w:val="21"/>
              </w:rPr>
            </w:pPr>
            <w:r>
              <w:rPr>
                <w:spacing w:val="-25"/>
                <w:sz w:val="21"/>
              </w:rPr>
              <w:t>（3）</w:t>
            </w:r>
            <w:r>
              <w:rPr>
                <w:spacing w:val="-22"/>
                <w:sz w:val="21"/>
              </w:rPr>
              <w:t>自主生活能力完全丧失，无法独立完成六项基本日常生活活动中的三项或三项以上。</w:t>
            </w:r>
          </w:p>
        </w:tc>
      </w:tr>
      <w:tr>
        <w:trPr>
          <w:trHeight w:val="2065" w:hRule="atLeast"/>
        </w:trPr>
        <w:tc>
          <w:tcPr>
            <w:tcW w:w="1671" w:type="dxa"/>
          </w:tcPr>
          <w:p>
            <w:pPr>
              <w:pStyle w:val="TableParagraph"/>
              <w:spacing w:before="100"/>
              <w:ind w:left="200"/>
              <w:rPr>
                <w:sz w:val="21"/>
              </w:rPr>
            </w:pPr>
            <w:r>
              <w:rPr>
                <w:sz w:val="21"/>
              </w:rPr>
              <w:t>严重帕金森病</w:t>
            </w:r>
          </w:p>
        </w:tc>
        <w:tc>
          <w:tcPr>
            <w:tcW w:w="8131" w:type="dxa"/>
          </w:tcPr>
          <w:p>
            <w:pPr>
              <w:pStyle w:val="TableParagraph"/>
              <w:spacing w:line="273" w:lineRule="auto" w:before="100"/>
              <w:ind w:left="208" w:right="308"/>
              <w:rPr>
                <w:sz w:val="21"/>
              </w:rPr>
            </w:pPr>
            <w:r>
              <w:rPr>
                <w:sz w:val="21"/>
              </w:rPr>
              <w:t>是一种中枢神经系统的退行性疾病，临床表现为震颤麻痹、共济失调等。须满足下列全部条件：</w:t>
            </w:r>
          </w:p>
          <w:p>
            <w:pPr>
              <w:pStyle w:val="TableParagraph"/>
              <w:spacing w:before="98"/>
              <w:ind w:left="208"/>
              <w:rPr>
                <w:sz w:val="21"/>
              </w:rPr>
            </w:pPr>
            <w:r>
              <w:rPr>
                <w:sz w:val="21"/>
              </w:rPr>
              <w:t>（1）药物治疗无法控制病情；</w:t>
            </w:r>
          </w:p>
          <w:p>
            <w:pPr>
              <w:pStyle w:val="TableParagraph"/>
              <w:spacing w:line="355" w:lineRule="auto" w:before="130"/>
              <w:ind w:left="208" w:right="199"/>
              <w:rPr>
                <w:sz w:val="21"/>
              </w:rPr>
            </w:pPr>
            <w:r>
              <w:rPr>
                <w:spacing w:val="-31"/>
                <w:sz w:val="21"/>
              </w:rPr>
              <w:t>（2）</w:t>
            </w:r>
            <w:r>
              <w:rPr>
                <w:spacing w:val="-20"/>
                <w:sz w:val="21"/>
              </w:rPr>
              <w:t>自主生活能力完全丧失，无法独立完成六项基本日常生活活动中的三项或三项以上。</w:t>
            </w:r>
            <w:r>
              <w:rPr>
                <w:spacing w:val="-8"/>
                <w:sz w:val="21"/>
              </w:rPr>
              <w:t>继发性帕金森综合征不在保障范围内。</w:t>
            </w:r>
          </w:p>
        </w:tc>
      </w:tr>
      <w:tr>
        <w:trPr>
          <w:trHeight w:val="851" w:hRule="atLeast"/>
        </w:trPr>
        <w:tc>
          <w:tcPr>
            <w:tcW w:w="1671" w:type="dxa"/>
          </w:tcPr>
          <w:p>
            <w:pPr>
              <w:pStyle w:val="TableParagraph"/>
              <w:spacing w:before="99"/>
              <w:ind w:left="200"/>
              <w:rPr>
                <w:sz w:val="21"/>
              </w:rPr>
            </w:pPr>
            <w:r>
              <w:rPr>
                <w:sz w:val="21"/>
              </w:rPr>
              <w:t>严重Ⅲ度烧伤</w:t>
            </w:r>
          </w:p>
        </w:tc>
        <w:tc>
          <w:tcPr>
            <w:tcW w:w="8131" w:type="dxa"/>
          </w:tcPr>
          <w:p>
            <w:pPr>
              <w:pStyle w:val="TableParagraph"/>
              <w:spacing w:line="273" w:lineRule="auto" w:before="99"/>
              <w:ind w:left="208" w:right="303"/>
              <w:rPr>
                <w:sz w:val="21"/>
              </w:rPr>
            </w:pPr>
            <w:r>
              <w:rPr>
                <w:spacing w:val="-8"/>
                <w:sz w:val="21"/>
              </w:rPr>
              <w:t>指烧伤程度为Ⅲ度，且Ⅲ度烧伤的面积达到全身体表面积的 </w:t>
            </w:r>
            <w:r>
              <w:rPr>
                <w:sz w:val="21"/>
              </w:rPr>
              <w:t>20</w:t>
            </w:r>
            <w:r>
              <w:rPr>
                <w:spacing w:val="-13"/>
                <w:sz w:val="21"/>
              </w:rPr>
              <w:t>％或 </w:t>
            </w:r>
            <w:r>
              <w:rPr>
                <w:sz w:val="21"/>
              </w:rPr>
              <w:t>20</w:t>
            </w:r>
            <w:r>
              <w:rPr>
                <w:spacing w:val="-7"/>
                <w:sz w:val="21"/>
              </w:rPr>
              <w:t>％以上。体表</w:t>
            </w:r>
            <w:r>
              <w:rPr>
                <w:spacing w:val="-5"/>
                <w:sz w:val="21"/>
              </w:rPr>
              <w:t>面积根据《中国新九分法》计算。</w:t>
            </w:r>
          </w:p>
        </w:tc>
      </w:tr>
      <w:tr>
        <w:trPr>
          <w:trHeight w:val="1164" w:hRule="atLeast"/>
        </w:trPr>
        <w:tc>
          <w:tcPr>
            <w:tcW w:w="1671" w:type="dxa"/>
          </w:tcPr>
          <w:p>
            <w:pPr>
              <w:pStyle w:val="TableParagraph"/>
              <w:spacing w:line="273" w:lineRule="auto" w:before="100"/>
              <w:ind w:left="200" w:right="206"/>
              <w:rPr>
                <w:sz w:val="21"/>
              </w:rPr>
            </w:pPr>
            <w:r>
              <w:rPr>
                <w:sz w:val="21"/>
              </w:rPr>
              <w:t>严重原发性肺动脉高压</w:t>
            </w:r>
          </w:p>
        </w:tc>
        <w:tc>
          <w:tcPr>
            <w:tcW w:w="8131" w:type="dxa"/>
          </w:tcPr>
          <w:p>
            <w:pPr>
              <w:pStyle w:val="TableParagraph"/>
              <w:spacing w:line="273" w:lineRule="auto" w:before="100"/>
              <w:ind w:left="208" w:right="197"/>
              <w:rPr>
                <w:sz w:val="21"/>
              </w:rPr>
            </w:pPr>
            <w:r>
              <w:rPr>
                <w:sz w:val="21"/>
              </w:rPr>
              <w:t>指不明原因的肺动脉压力持续性增高，进行性发展而导致的慢性疾病，已经造成永</w:t>
            </w:r>
            <w:r>
              <w:rPr>
                <w:spacing w:val="-5"/>
                <w:sz w:val="21"/>
              </w:rPr>
              <w:t>久不可逆性的体力活动能力受限，达到美国纽约心脏病学会心功能状态分级 </w:t>
            </w:r>
            <w:r>
              <w:rPr>
                <w:sz w:val="21"/>
              </w:rPr>
              <w:t>IV</w:t>
            </w:r>
            <w:r>
              <w:rPr>
                <w:spacing w:val="7"/>
                <w:sz w:val="21"/>
              </w:rPr>
              <w:t> 级， </w:t>
            </w:r>
            <w:r>
              <w:rPr>
                <w:spacing w:val="-6"/>
                <w:sz w:val="21"/>
              </w:rPr>
              <w:t>且静息状态下肺动脉平均压超过 </w:t>
            </w:r>
            <w:r>
              <w:rPr>
                <w:sz w:val="21"/>
              </w:rPr>
              <w:t>30mmHg。</w:t>
            </w:r>
          </w:p>
        </w:tc>
      </w:tr>
      <w:tr>
        <w:trPr>
          <w:trHeight w:val="1162" w:hRule="atLeast"/>
        </w:trPr>
        <w:tc>
          <w:tcPr>
            <w:tcW w:w="1671" w:type="dxa"/>
          </w:tcPr>
          <w:p>
            <w:pPr>
              <w:pStyle w:val="TableParagraph"/>
              <w:spacing w:line="273" w:lineRule="auto" w:before="100"/>
              <w:ind w:left="200" w:right="206"/>
              <w:rPr>
                <w:sz w:val="21"/>
              </w:rPr>
            </w:pPr>
            <w:r>
              <w:rPr>
                <w:sz w:val="21"/>
              </w:rPr>
              <w:t>严重运动神经元病</w:t>
            </w:r>
          </w:p>
        </w:tc>
        <w:tc>
          <w:tcPr>
            <w:tcW w:w="8131" w:type="dxa"/>
          </w:tcPr>
          <w:p>
            <w:pPr>
              <w:pStyle w:val="TableParagraph"/>
              <w:spacing w:line="273" w:lineRule="auto" w:before="100"/>
              <w:ind w:left="208" w:right="305"/>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686" w:hRule="atLeast"/>
        </w:trPr>
        <w:tc>
          <w:tcPr>
            <w:tcW w:w="1671" w:type="dxa"/>
          </w:tcPr>
          <w:p>
            <w:pPr>
              <w:pStyle w:val="TableParagraph"/>
              <w:spacing w:before="99"/>
              <w:ind w:left="200"/>
              <w:rPr>
                <w:sz w:val="21"/>
              </w:rPr>
            </w:pPr>
            <w:r>
              <w:rPr>
                <w:sz w:val="21"/>
              </w:rPr>
              <w:t>语言能力丧失</w:t>
            </w:r>
          </w:p>
        </w:tc>
        <w:tc>
          <w:tcPr>
            <w:tcW w:w="8131" w:type="dxa"/>
          </w:tcPr>
          <w:p>
            <w:pPr>
              <w:pStyle w:val="TableParagraph"/>
              <w:spacing w:line="310" w:lineRule="atLeast" w:before="64"/>
              <w:ind w:left="208" w:right="300"/>
              <w:rPr>
                <w:sz w:val="21"/>
              </w:rPr>
            </w:pPr>
            <w:r>
              <w:rPr>
                <w:spacing w:val="-7"/>
                <w:sz w:val="21"/>
              </w:rPr>
              <w:t>指因疾病或意外伤害导致完全丧失语言能力，经过积极治疗至少 </w:t>
            </w:r>
            <w:r>
              <w:rPr>
                <w:sz w:val="21"/>
              </w:rPr>
              <w:t>12</w:t>
            </w:r>
            <w:r>
              <w:rPr>
                <w:spacing w:val="-23"/>
                <w:sz w:val="21"/>
              </w:rPr>
              <w:t> 个月</w:t>
            </w:r>
            <w:r>
              <w:rPr>
                <w:spacing w:val="-3"/>
                <w:sz w:val="21"/>
              </w:rPr>
              <w:t>（</w:t>
            </w:r>
            <w:r>
              <w:rPr>
                <w:spacing w:val="-2"/>
                <w:sz w:val="21"/>
              </w:rPr>
              <w:t>声带完全</w:t>
            </w:r>
            <w:r>
              <w:rPr>
                <w:spacing w:val="-3"/>
                <w:w w:val="100"/>
                <w:sz w:val="21"/>
              </w:rPr>
              <w:t>切除不受此时间限制</w:t>
            </w:r>
            <w:r>
              <w:rPr>
                <w:spacing w:val="-106"/>
                <w:w w:val="100"/>
                <w:sz w:val="21"/>
              </w:rPr>
              <w:t>）</w:t>
            </w:r>
            <w:r>
              <w:rPr>
                <w:spacing w:val="-3"/>
                <w:w w:val="100"/>
                <w:sz w:val="21"/>
              </w:rPr>
              <w:t>，仍无法通过现有医疗手段恢复。</w:t>
            </w:r>
          </w:p>
        </w:tc>
      </w:tr>
    </w:tbl>
    <w:p>
      <w:pPr>
        <w:spacing w:after="0" w:line="310" w:lineRule="atLeast"/>
        <w:rPr>
          <w:sz w:val="21"/>
        </w:rPr>
        <w:sectPr>
          <w:pgSz w:w="11910" w:h="16840"/>
          <w:pgMar w:header="609" w:footer="320" w:top="780" w:bottom="520" w:left="880" w:right="600"/>
        </w:sectPr>
      </w:pPr>
    </w:p>
    <w:tbl>
      <w:tblPr>
        <w:tblW w:w="0" w:type="auto"/>
        <w:jc w:val="left"/>
        <w:tblInd w:w="5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3"/>
        <w:gridCol w:w="8029"/>
      </w:tblGrid>
      <w:tr>
        <w:trPr>
          <w:trHeight w:val="758" w:hRule="atLeast"/>
        </w:trPr>
        <w:tc>
          <w:tcPr>
            <w:tcW w:w="1773" w:type="dxa"/>
          </w:tcPr>
          <w:p>
            <w:pPr>
              <w:pStyle w:val="TableParagraph"/>
              <w:rPr>
                <w:rFonts w:ascii="Times New Roman"/>
                <w:sz w:val="20"/>
              </w:rPr>
            </w:pPr>
          </w:p>
        </w:tc>
        <w:tc>
          <w:tcPr>
            <w:tcW w:w="8029" w:type="dxa"/>
          </w:tcPr>
          <w:p>
            <w:pPr>
              <w:pStyle w:val="TableParagraph"/>
              <w:spacing w:before="8"/>
              <w:rPr>
                <w:rFonts w:ascii="Times New Roman"/>
                <w:sz w:val="27"/>
              </w:rPr>
            </w:pPr>
          </w:p>
          <w:p>
            <w:pPr>
              <w:pStyle w:val="TableParagraph"/>
              <w:ind w:left="106"/>
              <w:rPr>
                <w:sz w:val="21"/>
              </w:rPr>
            </w:pPr>
            <w:r>
              <w:rPr>
                <w:sz w:val="21"/>
              </w:rPr>
              <w:t>精神心理因素所致的语言能力丧失不在保障范围内。</w:t>
            </w:r>
          </w:p>
        </w:tc>
      </w:tr>
      <w:tr>
        <w:trPr>
          <w:trHeight w:val="2876" w:hRule="atLeast"/>
        </w:trPr>
        <w:tc>
          <w:tcPr>
            <w:tcW w:w="1773" w:type="dxa"/>
          </w:tcPr>
          <w:p>
            <w:pPr>
              <w:pStyle w:val="TableParagraph"/>
              <w:spacing w:line="273" w:lineRule="auto" w:before="101"/>
              <w:ind w:left="200" w:right="308"/>
              <w:rPr>
                <w:sz w:val="21"/>
              </w:rPr>
            </w:pPr>
            <w:r>
              <w:rPr>
                <w:sz w:val="21"/>
              </w:rPr>
              <w:t>重型再生障碍性贫血</w:t>
            </w:r>
          </w:p>
        </w:tc>
        <w:tc>
          <w:tcPr>
            <w:tcW w:w="8029" w:type="dxa"/>
          </w:tcPr>
          <w:p>
            <w:pPr>
              <w:pStyle w:val="TableParagraph"/>
              <w:spacing w:line="273" w:lineRule="auto" w:before="101"/>
              <w:ind w:left="106" w:right="308"/>
              <w:rPr>
                <w:sz w:val="21"/>
              </w:rPr>
            </w:pPr>
            <w:r>
              <w:rPr>
                <w:sz w:val="21"/>
              </w:rPr>
              <w:t>指因骨髓造血功能慢性持续性衰竭导致的贫血、中性粒细胞减少及血小板减少。须满足下列全部条件：</w:t>
            </w:r>
          </w:p>
          <w:p>
            <w:pPr>
              <w:pStyle w:val="TableParagraph"/>
              <w:spacing w:before="101"/>
              <w:ind w:left="106"/>
              <w:rPr>
                <w:sz w:val="21"/>
              </w:rPr>
            </w:pPr>
            <w:r>
              <w:rPr>
                <w:sz w:val="21"/>
              </w:rPr>
              <w:t>（1）骨髓穿刺检查或骨髓活检结果支持诊断；</w:t>
            </w:r>
          </w:p>
          <w:p>
            <w:pPr>
              <w:pStyle w:val="TableParagraph"/>
              <w:spacing w:before="130"/>
              <w:ind w:left="106"/>
              <w:rPr>
                <w:sz w:val="21"/>
              </w:rPr>
            </w:pPr>
            <w:r>
              <w:rPr>
                <w:sz w:val="21"/>
              </w:rPr>
              <w:t>（2）外周血象须具备以下三项条件：</w:t>
            </w:r>
          </w:p>
          <w:p>
            <w:pPr>
              <w:pStyle w:val="TableParagraph"/>
              <w:spacing w:before="128"/>
              <w:ind w:left="526"/>
              <w:rPr>
                <w:sz w:val="21"/>
              </w:rPr>
            </w:pPr>
            <w:r>
              <w:rPr>
                <w:sz w:val="21"/>
              </w:rPr>
              <w:t>① 中性粒细胞绝对值≤0.5×10</w:t>
            </w:r>
            <w:r>
              <w:rPr>
                <w:position w:val="11"/>
                <w:sz w:val="11"/>
              </w:rPr>
              <w:t>9</w:t>
            </w:r>
            <w:r>
              <w:rPr>
                <w:sz w:val="21"/>
              </w:rPr>
              <w:t>/L ；</w:t>
            </w:r>
          </w:p>
          <w:p>
            <w:pPr>
              <w:pStyle w:val="TableParagraph"/>
              <w:spacing w:before="130"/>
              <w:ind w:left="526"/>
              <w:rPr>
                <w:sz w:val="21"/>
              </w:rPr>
            </w:pPr>
            <w:r>
              <w:rPr>
                <w:sz w:val="21"/>
              </w:rPr>
              <w:t>② 网织红细胞＜1%；</w:t>
            </w:r>
          </w:p>
          <w:p>
            <w:pPr>
              <w:pStyle w:val="TableParagraph"/>
              <w:spacing w:before="130"/>
              <w:ind w:left="526"/>
              <w:rPr>
                <w:sz w:val="21"/>
              </w:rPr>
            </w:pPr>
            <w:r>
              <w:rPr>
                <w:sz w:val="21"/>
              </w:rPr>
              <w:t>③ 血小板绝对值≤20×10</w:t>
            </w:r>
            <w:r>
              <w:rPr>
                <w:position w:val="11"/>
                <w:sz w:val="11"/>
              </w:rPr>
              <w:t>9</w:t>
            </w:r>
            <w:r>
              <w:rPr>
                <w:sz w:val="21"/>
              </w:rPr>
              <w:t>/L。</w:t>
            </w:r>
          </w:p>
        </w:tc>
      </w:tr>
      <w:tr>
        <w:trPr>
          <w:trHeight w:val="1361" w:hRule="atLeast"/>
        </w:trPr>
        <w:tc>
          <w:tcPr>
            <w:tcW w:w="1773" w:type="dxa"/>
          </w:tcPr>
          <w:p>
            <w:pPr>
              <w:pStyle w:val="TableParagraph"/>
              <w:spacing w:before="99"/>
              <w:ind w:left="200"/>
              <w:rPr>
                <w:sz w:val="21"/>
              </w:rPr>
            </w:pPr>
            <w:r>
              <w:rPr>
                <w:sz w:val="21"/>
              </w:rPr>
              <w:t>主动脉手术</w:t>
            </w:r>
          </w:p>
        </w:tc>
        <w:tc>
          <w:tcPr>
            <w:tcW w:w="8029" w:type="dxa"/>
          </w:tcPr>
          <w:p>
            <w:pPr>
              <w:pStyle w:val="TableParagraph"/>
              <w:spacing w:line="273" w:lineRule="auto" w:before="99"/>
              <w:ind w:left="106" w:right="308"/>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ind w:left="106"/>
              <w:jc w:val="both"/>
              <w:rPr>
                <w:sz w:val="21"/>
              </w:rPr>
            </w:pPr>
            <w:r>
              <w:rPr>
                <w:sz w:val="21"/>
              </w:rPr>
              <w:t>动脉内血管成形术不在保障范围内。</w:t>
            </w:r>
          </w:p>
        </w:tc>
      </w:tr>
      <w:tr>
        <w:trPr>
          <w:trHeight w:val="312" w:hRule="atLeast"/>
        </w:trPr>
        <w:tc>
          <w:tcPr>
            <w:tcW w:w="1773" w:type="dxa"/>
          </w:tcPr>
          <w:p>
            <w:pPr>
              <w:pStyle w:val="TableParagraph"/>
              <w:spacing w:line="261" w:lineRule="exact"/>
              <w:ind w:left="200"/>
              <w:rPr>
                <w:b/>
                <w:sz w:val="21"/>
              </w:rPr>
            </w:pPr>
            <w:r>
              <w:rPr>
                <w:b/>
                <w:sz w:val="21"/>
              </w:rPr>
              <w:t>B 组</w:t>
            </w:r>
          </w:p>
        </w:tc>
        <w:tc>
          <w:tcPr>
            <w:tcW w:w="8029" w:type="dxa"/>
          </w:tcPr>
          <w:p>
            <w:pPr>
              <w:pStyle w:val="TableParagraph"/>
              <w:rPr>
                <w:rFonts w:ascii="Times New Roman"/>
                <w:sz w:val="20"/>
              </w:rPr>
            </w:pPr>
          </w:p>
        </w:tc>
      </w:tr>
      <w:tr>
        <w:trPr>
          <w:trHeight w:val="1205" w:hRule="atLeast"/>
        </w:trPr>
        <w:tc>
          <w:tcPr>
            <w:tcW w:w="1773" w:type="dxa"/>
          </w:tcPr>
          <w:p>
            <w:pPr>
              <w:pStyle w:val="TableParagraph"/>
              <w:spacing w:line="261" w:lineRule="exact"/>
              <w:ind w:left="200"/>
              <w:rPr>
                <w:sz w:val="21"/>
              </w:rPr>
            </w:pPr>
            <w:r>
              <w:rPr>
                <w:sz w:val="21"/>
              </w:rPr>
              <w:t>胰岛素依赖型</w:t>
            </w:r>
          </w:p>
          <w:p>
            <w:pPr>
              <w:pStyle w:val="TableParagraph"/>
              <w:spacing w:before="37"/>
              <w:ind w:left="200"/>
              <w:rPr>
                <w:sz w:val="21"/>
              </w:rPr>
            </w:pPr>
            <w:r>
              <w:rPr>
                <w:sz w:val="21"/>
              </w:rPr>
              <w:t>糖尿病（糖尿病</w:t>
            </w:r>
          </w:p>
          <w:p>
            <w:pPr>
              <w:pStyle w:val="TableParagraph"/>
              <w:spacing w:before="37"/>
              <w:ind w:left="200"/>
              <w:rPr>
                <w:sz w:val="21"/>
              </w:rPr>
            </w:pPr>
            <w:r>
              <w:rPr>
                <w:sz w:val="21"/>
              </w:rPr>
              <w:t>I 型）</w:t>
            </w:r>
          </w:p>
        </w:tc>
        <w:tc>
          <w:tcPr>
            <w:tcW w:w="8029" w:type="dxa"/>
          </w:tcPr>
          <w:p>
            <w:pPr>
              <w:pStyle w:val="TableParagraph"/>
              <w:spacing w:line="261" w:lineRule="exact"/>
              <w:ind w:left="106"/>
              <w:rPr>
                <w:sz w:val="21"/>
              </w:rPr>
            </w:pPr>
            <w:r>
              <w:rPr>
                <w:sz w:val="21"/>
              </w:rPr>
              <w:t>指因严重的胰岛素缺乏导致的一组糖、脂肪、蛋白质代谢异常综合症，并且须依赖外</w:t>
            </w:r>
          </w:p>
          <w:p>
            <w:pPr>
              <w:pStyle w:val="TableParagraph"/>
              <w:spacing w:before="37"/>
              <w:ind w:left="106"/>
              <w:rPr>
                <w:sz w:val="21"/>
              </w:rPr>
            </w:pPr>
            <w:r>
              <w:rPr>
                <w:sz w:val="21"/>
              </w:rPr>
              <w:t>源性胰岛素进行机体的葡萄糖代谢和维持生命。须经血胰岛素测定、血 C 肽测定或尿</w:t>
            </w:r>
          </w:p>
          <w:p>
            <w:pPr>
              <w:pStyle w:val="TableParagraph"/>
              <w:spacing w:before="37"/>
              <w:ind w:left="106"/>
              <w:rPr>
                <w:sz w:val="21"/>
              </w:rPr>
            </w:pPr>
            <w:r>
              <w:rPr>
                <w:sz w:val="21"/>
              </w:rPr>
              <w:t>C 肽测定结果证实，并已经接受了持续的胰岛素治疗 180 天以上。</w:t>
            </w:r>
          </w:p>
        </w:tc>
      </w:tr>
      <w:tr>
        <w:trPr>
          <w:trHeight w:val="1320" w:hRule="atLeast"/>
        </w:trPr>
        <w:tc>
          <w:tcPr>
            <w:tcW w:w="1773" w:type="dxa"/>
          </w:tcPr>
          <w:p>
            <w:pPr>
              <w:pStyle w:val="TableParagraph"/>
              <w:spacing w:before="3"/>
              <w:rPr>
                <w:rFonts w:ascii="Times New Roman"/>
                <w:sz w:val="22"/>
              </w:rPr>
            </w:pPr>
          </w:p>
          <w:p>
            <w:pPr>
              <w:pStyle w:val="TableParagraph"/>
              <w:spacing w:line="273" w:lineRule="auto"/>
              <w:ind w:left="200" w:right="74"/>
              <w:rPr>
                <w:sz w:val="21"/>
              </w:rPr>
            </w:pPr>
            <w:r>
              <w:rPr>
                <w:sz w:val="21"/>
              </w:rPr>
              <w:t>婴儿型脊肌萎缩症（ISMA）</w:t>
            </w:r>
          </w:p>
        </w:tc>
        <w:tc>
          <w:tcPr>
            <w:tcW w:w="8029" w:type="dxa"/>
          </w:tcPr>
          <w:p>
            <w:pPr>
              <w:pStyle w:val="TableParagraph"/>
              <w:spacing w:before="3"/>
              <w:rPr>
                <w:rFonts w:ascii="Times New Roman"/>
                <w:sz w:val="22"/>
              </w:rPr>
            </w:pPr>
          </w:p>
          <w:p>
            <w:pPr>
              <w:pStyle w:val="TableParagraph"/>
              <w:spacing w:line="273" w:lineRule="auto"/>
              <w:ind w:left="106" w:right="301"/>
              <w:jc w:val="both"/>
              <w:rPr>
                <w:sz w:val="21"/>
              </w:rPr>
            </w:pPr>
            <w:r>
              <w:rPr>
                <w:spacing w:val="-8"/>
                <w:sz w:val="21"/>
              </w:rPr>
              <w:t>指一种婴儿期起病的遗传性神经系统疾病。临床表现为出生后两年内出现的脊髓和脑</w:t>
            </w:r>
            <w:r>
              <w:rPr>
                <w:spacing w:val="-9"/>
                <w:sz w:val="21"/>
              </w:rPr>
              <w:t>干颅神经前角细胞进行性机能障碍，伴随肌肉无力和延髓机能障碍。须经肌电图及肌</w:t>
            </w:r>
            <w:r>
              <w:rPr>
                <w:spacing w:val="-7"/>
                <w:sz w:val="21"/>
              </w:rPr>
              <w:t>肉活组织病理检查结果证实。</w:t>
            </w:r>
          </w:p>
        </w:tc>
      </w:tr>
      <w:tr>
        <w:trPr>
          <w:trHeight w:val="850" w:hRule="atLeast"/>
        </w:trPr>
        <w:tc>
          <w:tcPr>
            <w:tcW w:w="1773" w:type="dxa"/>
          </w:tcPr>
          <w:p>
            <w:pPr>
              <w:pStyle w:val="TableParagraph"/>
              <w:spacing w:line="273" w:lineRule="auto" w:before="100"/>
              <w:ind w:left="200" w:right="219"/>
              <w:rPr>
                <w:sz w:val="21"/>
              </w:rPr>
            </w:pPr>
            <w:r>
              <w:rPr>
                <w:spacing w:val="-19"/>
                <w:sz w:val="21"/>
              </w:rPr>
              <w:t>幼年型类风湿性</w:t>
            </w:r>
            <w:r>
              <w:rPr>
                <w:spacing w:val="-14"/>
                <w:sz w:val="21"/>
              </w:rPr>
              <w:t>关节炎</w:t>
            </w:r>
          </w:p>
        </w:tc>
        <w:tc>
          <w:tcPr>
            <w:tcW w:w="8029" w:type="dxa"/>
          </w:tcPr>
          <w:p>
            <w:pPr>
              <w:pStyle w:val="TableParagraph"/>
              <w:spacing w:line="273" w:lineRule="auto" w:before="100"/>
              <w:ind w:left="106" w:right="201"/>
              <w:rPr>
                <w:sz w:val="21"/>
              </w:rPr>
            </w:pPr>
            <w:r>
              <w:rPr>
                <w:spacing w:val="-14"/>
                <w:sz w:val="21"/>
              </w:rPr>
              <w:t>指一种少儿的结缔组织病，以慢性关节炎为其主要特点，并伴有全身多个系统的受累， 包括关节、肌肉、肝、脾、淋巴结等。须已经实施膝关节或髋关节置换手术。</w:t>
            </w:r>
          </w:p>
        </w:tc>
      </w:tr>
      <w:tr>
        <w:trPr>
          <w:trHeight w:val="1470" w:hRule="atLeast"/>
        </w:trPr>
        <w:tc>
          <w:tcPr>
            <w:tcW w:w="1773" w:type="dxa"/>
          </w:tcPr>
          <w:p>
            <w:pPr>
              <w:pStyle w:val="TableParagraph"/>
              <w:spacing w:before="99"/>
              <w:ind w:left="200"/>
              <w:rPr>
                <w:sz w:val="21"/>
              </w:rPr>
            </w:pPr>
            <w:r>
              <w:rPr>
                <w:sz w:val="21"/>
              </w:rPr>
              <w:t>急性脊髓灰质炎</w:t>
            </w:r>
          </w:p>
        </w:tc>
        <w:tc>
          <w:tcPr>
            <w:tcW w:w="8029" w:type="dxa"/>
          </w:tcPr>
          <w:p>
            <w:pPr>
              <w:pStyle w:val="TableParagraph"/>
              <w:spacing w:line="273" w:lineRule="auto" w:before="99"/>
              <w:ind w:left="106" w:right="300"/>
              <w:jc w:val="both"/>
              <w:rPr>
                <w:sz w:val="21"/>
              </w:rPr>
            </w:pPr>
            <w:r>
              <w:rPr>
                <w:spacing w:val="-8"/>
                <w:sz w:val="21"/>
              </w:rPr>
              <w:t>指被保险人被脊髓灰质炎病毒感染，因脊髓前角细胞或相应的脑干细胞受到破坏而引</w:t>
            </w:r>
            <w:r>
              <w:rPr>
                <w:spacing w:val="-9"/>
                <w:sz w:val="21"/>
              </w:rPr>
              <w:t>致的局部或广泛的肌肉无力为特征的疾病。因感染脊髓灰质炎病毒而导致瘫痪，此种</w:t>
            </w:r>
            <w:r>
              <w:rPr>
                <w:spacing w:val="-8"/>
                <w:sz w:val="21"/>
              </w:rPr>
              <w:t>瘫痪必须有明显运动功能损害或者呼吸衰弱瘫痪，且持续至少 </w:t>
            </w:r>
            <w:r>
              <w:rPr>
                <w:sz w:val="21"/>
              </w:rPr>
              <w:t>90</w:t>
            </w:r>
            <w:r>
              <w:rPr>
                <w:spacing w:val="-5"/>
                <w:sz w:val="21"/>
              </w:rPr>
              <w:t> 天。其它病因所致</w:t>
            </w:r>
            <w:r>
              <w:rPr>
                <w:spacing w:val="-7"/>
                <w:sz w:val="21"/>
              </w:rPr>
              <w:t>的瘫痪，如格林巴利综合征不在保障范围内。</w:t>
            </w:r>
          </w:p>
        </w:tc>
      </w:tr>
      <w:tr>
        <w:trPr>
          <w:trHeight w:val="1470" w:hRule="atLeast"/>
        </w:trPr>
        <w:tc>
          <w:tcPr>
            <w:tcW w:w="1773" w:type="dxa"/>
          </w:tcPr>
          <w:p>
            <w:pPr>
              <w:pStyle w:val="TableParagraph"/>
              <w:spacing w:before="96"/>
              <w:ind w:left="200"/>
              <w:rPr>
                <w:sz w:val="21"/>
              </w:rPr>
            </w:pPr>
            <w:r>
              <w:rPr>
                <w:sz w:val="21"/>
              </w:rPr>
              <w:t>川崎病（KD）</w:t>
            </w:r>
          </w:p>
        </w:tc>
        <w:tc>
          <w:tcPr>
            <w:tcW w:w="8029" w:type="dxa"/>
          </w:tcPr>
          <w:p>
            <w:pPr>
              <w:pStyle w:val="TableParagraph"/>
              <w:spacing w:line="273" w:lineRule="auto" w:before="96"/>
              <w:ind w:left="106" w:right="197"/>
              <w:rPr>
                <w:sz w:val="21"/>
              </w:rPr>
            </w:pPr>
            <w:r>
              <w:rPr>
                <w:spacing w:val="-14"/>
                <w:sz w:val="21"/>
              </w:rPr>
              <w:t>指一种原因未明的血管炎综合征，临床表现为急性发热，皮肤粘膜病损和淋巴结肿大。</w:t>
            </w:r>
            <w:r>
              <w:rPr>
                <w:spacing w:val="-8"/>
                <w:sz w:val="21"/>
              </w:rPr>
              <w:t>须由血管造影或超声心动图检查证实，满足下列至少一项条件：</w:t>
            </w:r>
          </w:p>
          <w:p>
            <w:pPr>
              <w:pStyle w:val="TableParagraph"/>
              <w:spacing w:before="8"/>
              <w:ind w:left="106"/>
              <w:rPr>
                <w:sz w:val="21"/>
              </w:rPr>
            </w:pPr>
            <w:r>
              <w:rPr>
                <w:sz w:val="21"/>
              </w:rPr>
              <w:t>（1）伴有冠状动脉瘤，且冠状动脉瘤于最初急性发病后持续至少一百八十天；</w:t>
            </w:r>
          </w:p>
          <w:p>
            <w:pPr>
              <w:pStyle w:val="TableParagraph"/>
              <w:spacing w:before="37"/>
              <w:ind w:left="106"/>
              <w:rPr>
                <w:sz w:val="21"/>
              </w:rPr>
            </w:pPr>
            <w:r>
              <w:rPr>
                <w:sz w:val="21"/>
              </w:rPr>
              <w:t>（2）伴有冠状动脉瘤，且实际接受了对冠状动脉瘤进行的手术治疗。</w:t>
            </w:r>
          </w:p>
        </w:tc>
      </w:tr>
      <w:tr>
        <w:trPr>
          <w:trHeight w:val="847" w:hRule="atLeast"/>
        </w:trPr>
        <w:tc>
          <w:tcPr>
            <w:tcW w:w="1773" w:type="dxa"/>
          </w:tcPr>
          <w:p>
            <w:pPr>
              <w:pStyle w:val="TableParagraph"/>
              <w:spacing w:before="99"/>
              <w:ind w:left="200"/>
              <w:rPr>
                <w:sz w:val="21"/>
              </w:rPr>
            </w:pPr>
            <w:r>
              <w:rPr>
                <w:sz w:val="21"/>
              </w:rPr>
              <w:t>严重心肌炎</w:t>
            </w:r>
          </w:p>
        </w:tc>
        <w:tc>
          <w:tcPr>
            <w:tcW w:w="8029" w:type="dxa"/>
          </w:tcPr>
          <w:p>
            <w:pPr>
              <w:pStyle w:val="TableParagraph"/>
              <w:spacing w:line="273" w:lineRule="auto" w:before="99"/>
              <w:ind w:left="106" w:right="306"/>
              <w:rPr>
                <w:sz w:val="21"/>
              </w:rPr>
            </w:pPr>
            <w:r>
              <w:rPr>
                <w:spacing w:val="-10"/>
                <w:sz w:val="21"/>
              </w:rPr>
              <w:t>指心肌局限性或弥漫性的急性或慢性炎症病变，导致心脏功能障碍，达到美国纽约心</w:t>
            </w:r>
            <w:r>
              <w:rPr>
                <w:spacing w:val="-14"/>
                <w:sz w:val="21"/>
              </w:rPr>
              <w:t>脏病学会心功能状态分级 </w:t>
            </w:r>
            <w:r>
              <w:rPr>
                <w:sz w:val="21"/>
              </w:rPr>
              <w:t>IV</w:t>
            </w:r>
            <w:r>
              <w:rPr>
                <w:spacing w:val="-17"/>
                <w:sz w:val="21"/>
              </w:rPr>
              <w:t> 级，且持续至少 </w:t>
            </w:r>
            <w:r>
              <w:rPr>
                <w:sz w:val="21"/>
              </w:rPr>
              <w:t>90</w:t>
            </w:r>
            <w:r>
              <w:rPr>
                <w:spacing w:val="-21"/>
                <w:sz w:val="21"/>
              </w:rPr>
              <w:t> 天。</w:t>
            </w:r>
          </w:p>
        </w:tc>
      </w:tr>
      <w:tr>
        <w:trPr>
          <w:trHeight w:val="1329" w:hRule="atLeast"/>
        </w:trPr>
        <w:tc>
          <w:tcPr>
            <w:tcW w:w="1773" w:type="dxa"/>
          </w:tcPr>
          <w:p>
            <w:pPr>
              <w:pStyle w:val="TableParagraph"/>
              <w:spacing w:before="97"/>
              <w:ind w:left="200"/>
              <w:rPr>
                <w:sz w:val="21"/>
              </w:rPr>
            </w:pPr>
            <w:r>
              <w:rPr>
                <w:sz w:val="21"/>
              </w:rPr>
              <w:t>严重胃肠炎</w:t>
            </w:r>
          </w:p>
        </w:tc>
        <w:tc>
          <w:tcPr>
            <w:tcW w:w="8029" w:type="dxa"/>
          </w:tcPr>
          <w:p>
            <w:pPr>
              <w:pStyle w:val="TableParagraph"/>
              <w:spacing w:line="273" w:lineRule="auto" w:before="118"/>
              <w:ind w:left="106" w:right="306"/>
              <w:rPr>
                <w:sz w:val="21"/>
              </w:rPr>
            </w:pPr>
            <w:r>
              <w:rPr>
                <w:spacing w:val="-8"/>
                <w:sz w:val="21"/>
              </w:rPr>
              <w:t>指胃肠道严重感染所致疾病，以严重的腹泻、便血和肠段坏死为特征。并需满足以下全部条件：</w:t>
            </w:r>
          </w:p>
          <w:p>
            <w:pPr>
              <w:pStyle w:val="TableParagraph"/>
              <w:numPr>
                <w:ilvl w:val="0"/>
                <w:numId w:val="9"/>
              </w:numPr>
              <w:tabs>
                <w:tab w:pos="691" w:val="left" w:leader="none"/>
              </w:tabs>
              <w:spacing w:line="240" w:lineRule="auto" w:before="7" w:after="0"/>
              <w:ind w:left="690" w:right="0" w:hanging="584"/>
              <w:jc w:val="left"/>
              <w:rPr>
                <w:sz w:val="21"/>
              </w:rPr>
            </w:pPr>
            <w:r>
              <w:rPr>
                <w:spacing w:val="-7"/>
                <w:sz w:val="21"/>
              </w:rPr>
              <w:t>大肠或小肠的一处或多处需手术切除；</w:t>
            </w:r>
          </w:p>
          <w:p>
            <w:pPr>
              <w:pStyle w:val="TableParagraph"/>
              <w:numPr>
                <w:ilvl w:val="0"/>
                <w:numId w:val="9"/>
              </w:numPr>
              <w:tabs>
                <w:tab w:pos="691" w:val="left" w:leader="none"/>
              </w:tabs>
              <w:spacing w:line="255" w:lineRule="exact" w:before="37" w:after="0"/>
              <w:ind w:left="690" w:right="0" w:hanging="584"/>
              <w:jc w:val="left"/>
              <w:rPr>
                <w:sz w:val="21"/>
              </w:rPr>
            </w:pPr>
            <w:r>
              <w:rPr>
                <w:spacing w:val="-7"/>
                <w:sz w:val="21"/>
              </w:rPr>
              <w:t>经病理检查证实存在严重感染和坏死。</w:t>
            </w:r>
          </w:p>
        </w:tc>
      </w:tr>
    </w:tbl>
    <w:p>
      <w:pPr>
        <w:spacing w:after="0" w:line="255" w:lineRule="exact"/>
        <w:jc w:val="left"/>
        <w:rPr>
          <w:sz w:val="21"/>
        </w:rPr>
        <w:sectPr>
          <w:pgSz w:w="11910" w:h="16840"/>
          <w:pgMar w:header="609" w:footer="320" w:top="780" w:bottom="520" w:left="880" w:right="600"/>
        </w:sectPr>
      </w:pPr>
    </w:p>
    <w:p>
      <w:pPr>
        <w:pStyle w:val="BodyText"/>
        <w:rPr>
          <w:rFonts w:ascii="Times New Roman"/>
          <w:sz w:val="20"/>
        </w:rPr>
      </w:pPr>
    </w:p>
    <w:p>
      <w:pPr>
        <w:pStyle w:val="BodyText"/>
        <w:spacing w:before="11"/>
        <w:rPr>
          <w:rFonts w:ascii="Times New Roman"/>
          <w:sz w:val="16"/>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4"/>
        <w:gridCol w:w="1682"/>
        <w:gridCol w:w="7830"/>
      </w:tblGrid>
      <w:tr>
        <w:trPr>
          <w:trHeight w:val="522" w:hRule="atLeast"/>
        </w:trPr>
        <w:tc>
          <w:tcPr>
            <w:tcW w:w="574" w:type="dxa"/>
            <w:tcBorders>
              <w:bottom w:val="single" w:sz="4" w:space="0" w:color="000000"/>
            </w:tcBorders>
          </w:tcPr>
          <w:p>
            <w:pPr>
              <w:pStyle w:val="TableParagraph"/>
              <w:spacing w:line="423" w:lineRule="exact"/>
              <w:jc w:val="center"/>
              <w:rPr>
                <w:rFonts w:ascii="Arial" w:hAnsi="Arial"/>
                <w:b/>
                <w:sz w:val="40"/>
              </w:rPr>
            </w:pPr>
            <w:r>
              <w:rPr>
                <w:rFonts w:ascii="Arial" w:hAnsi="Arial"/>
                <w:b/>
                <w:w w:val="119"/>
                <w:sz w:val="40"/>
              </w:rPr>
              <w:t></w:t>
            </w:r>
          </w:p>
        </w:tc>
        <w:tc>
          <w:tcPr>
            <w:tcW w:w="1682" w:type="dxa"/>
            <w:tcBorders>
              <w:bottom w:val="single" w:sz="4" w:space="0" w:color="000000"/>
            </w:tcBorders>
          </w:tcPr>
          <w:p>
            <w:pPr>
              <w:pStyle w:val="TableParagraph"/>
              <w:spacing w:before="14"/>
              <w:ind w:left="108"/>
              <w:rPr>
                <w:b/>
                <w:sz w:val="24"/>
              </w:rPr>
            </w:pPr>
            <w:r>
              <w:rPr>
                <w:b/>
                <w:sz w:val="24"/>
              </w:rPr>
              <w:t>释义</w:t>
            </w:r>
          </w:p>
        </w:tc>
        <w:tc>
          <w:tcPr>
            <w:tcW w:w="7830" w:type="dxa"/>
            <w:tcBorders>
              <w:bottom w:val="single" w:sz="4" w:space="0" w:color="000000"/>
            </w:tcBorders>
          </w:tcPr>
          <w:p>
            <w:pPr>
              <w:pStyle w:val="TableParagraph"/>
              <w:rPr>
                <w:rFonts w:ascii="Times New Roman"/>
                <w:sz w:val="20"/>
              </w:rPr>
            </w:pPr>
          </w:p>
        </w:tc>
      </w:tr>
      <w:tr>
        <w:trPr>
          <w:trHeight w:val="957" w:hRule="atLeast"/>
        </w:trPr>
        <w:tc>
          <w:tcPr>
            <w:tcW w:w="574" w:type="dxa"/>
            <w:tcBorders>
              <w:top w:val="single" w:sz="4" w:space="0" w:color="000000"/>
            </w:tcBorders>
          </w:tcPr>
          <w:p>
            <w:pPr>
              <w:pStyle w:val="TableParagraph"/>
              <w:spacing w:before="10"/>
              <w:rPr>
                <w:rFonts w:ascii="Times New Roman"/>
                <w:sz w:val="17"/>
              </w:rPr>
            </w:pPr>
          </w:p>
          <w:p>
            <w:pPr>
              <w:pStyle w:val="TableParagraph"/>
              <w:ind w:left="88" w:right="127"/>
              <w:jc w:val="center"/>
              <w:rPr>
                <w:b/>
                <w:sz w:val="21"/>
              </w:rPr>
            </w:pPr>
            <w:r>
              <w:rPr>
                <w:b/>
                <w:sz w:val="21"/>
              </w:rPr>
              <w:t>7.1</w:t>
            </w:r>
          </w:p>
        </w:tc>
        <w:tc>
          <w:tcPr>
            <w:tcW w:w="1682" w:type="dxa"/>
            <w:tcBorders>
              <w:top w:val="single" w:sz="4" w:space="0" w:color="000000"/>
            </w:tcBorders>
          </w:tcPr>
          <w:p>
            <w:pPr>
              <w:pStyle w:val="TableParagraph"/>
              <w:spacing w:before="10"/>
              <w:rPr>
                <w:rFonts w:ascii="Times New Roman"/>
                <w:sz w:val="17"/>
              </w:rPr>
            </w:pPr>
          </w:p>
          <w:p>
            <w:pPr>
              <w:pStyle w:val="TableParagraph"/>
              <w:ind w:left="108"/>
              <w:rPr>
                <w:b/>
                <w:sz w:val="21"/>
              </w:rPr>
            </w:pPr>
            <w:r>
              <w:rPr>
                <w:b/>
                <w:sz w:val="21"/>
              </w:rPr>
              <w:t>遗传性疾病</w:t>
            </w:r>
          </w:p>
        </w:tc>
        <w:tc>
          <w:tcPr>
            <w:tcW w:w="7830" w:type="dxa"/>
            <w:tcBorders>
              <w:top w:val="single" w:sz="4" w:space="0" w:color="000000"/>
            </w:tcBorders>
          </w:tcPr>
          <w:p>
            <w:pPr>
              <w:pStyle w:val="TableParagraph"/>
              <w:spacing w:before="10"/>
              <w:rPr>
                <w:rFonts w:ascii="Times New Roman"/>
                <w:sz w:val="17"/>
              </w:rPr>
            </w:pPr>
          </w:p>
          <w:p>
            <w:pPr>
              <w:pStyle w:val="TableParagraph"/>
              <w:spacing w:line="273" w:lineRule="auto"/>
              <w:ind w:left="106" w:right="153"/>
              <w:rPr>
                <w:sz w:val="21"/>
              </w:rPr>
            </w:pPr>
            <w:r>
              <w:rPr>
                <w:sz w:val="21"/>
              </w:rPr>
              <w:t>指生殖细胞或受精卵的遗传物质（染色体和基因）发生突变或畸变所引起的疾病， 通常具有由亲代传至后代的垂直传递的特征。</w:t>
            </w:r>
          </w:p>
        </w:tc>
      </w:tr>
      <w:tr>
        <w:trPr>
          <w:trHeight w:val="1162" w:hRule="atLeast"/>
        </w:trPr>
        <w:tc>
          <w:tcPr>
            <w:tcW w:w="574" w:type="dxa"/>
          </w:tcPr>
          <w:p>
            <w:pPr>
              <w:pStyle w:val="TableParagraph"/>
              <w:spacing w:before="100"/>
              <w:ind w:left="88" w:right="127"/>
              <w:jc w:val="center"/>
              <w:rPr>
                <w:b/>
                <w:sz w:val="21"/>
              </w:rPr>
            </w:pPr>
            <w:r>
              <w:rPr>
                <w:b/>
                <w:sz w:val="21"/>
              </w:rPr>
              <w:t>7.2</w:t>
            </w:r>
          </w:p>
        </w:tc>
        <w:tc>
          <w:tcPr>
            <w:tcW w:w="1682" w:type="dxa"/>
          </w:tcPr>
          <w:p>
            <w:pPr>
              <w:pStyle w:val="TableParagraph"/>
              <w:spacing w:line="273" w:lineRule="auto" w:before="100"/>
              <w:ind w:left="108" w:right="61"/>
              <w:rPr>
                <w:b/>
                <w:sz w:val="21"/>
              </w:rPr>
            </w:pPr>
            <w:r>
              <w:rPr>
                <w:b/>
                <w:sz w:val="21"/>
              </w:rPr>
              <w:t>先天性畸形、变形或染色体异常</w:t>
            </w:r>
          </w:p>
        </w:tc>
        <w:tc>
          <w:tcPr>
            <w:tcW w:w="7830" w:type="dxa"/>
          </w:tcPr>
          <w:p>
            <w:pPr>
              <w:pStyle w:val="TableParagraph"/>
              <w:spacing w:line="273" w:lineRule="auto" w:before="100"/>
              <w:ind w:left="106" w:right="112"/>
              <w:rPr>
                <w:sz w:val="21"/>
              </w:rPr>
            </w:pPr>
            <w:r>
              <w:rPr>
                <w:sz w:val="21"/>
              </w:rPr>
              <w:t>指被保险人出生时就具有的畸形、变形或染色体异常。先天性畸形、变形和染色体异常依照世界卫生组织《疾病和有关健康问题的国际统计分类》（</w:t>
            </w:r>
            <w:r>
              <w:rPr>
                <w:rFonts w:ascii="Times New Roman" w:eastAsia="Times New Roman"/>
                <w:sz w:val="21"/>
              </w:rPr>
              <w:t>ICD-10</w:t>
            </w:r>
            <w:r>
              <w:rPr>
                <w:sz w:val="21"/>
              </w:rPr>
              <w:t>）确定。</w:t>
            </w:r>
          </w:p>
        </w:tc>
      </w:tr>
      <w:tr>
        <w:trPr>
          <w:trHeight w:val="1475" w:hRule="atLeast"/>
        </w:trPr>
        <w:tc>
          <w:tcPr>
            <w:tcW w:w="574" w:type="dxa"/>
          </w:tcPr>
          <w:p>
            <w:pPr>
              <w:pStyle w:val="TableParagraph"/>
              <w:spacing w:before="99"/>
              <w:ind w:left="88" w:right="127"/>
              <w:jc w:val="center"/>
              <w:rPr>
                <w:b/>
                <w:sz w:val="21"/>
              </w:rPr>
            </w:pPr>
            <w:r>
              <w:rPr>
                <w:b/>
                <w:sz w:val="21"/>
              </w:rPr>
              <w:t>7.3</w:t>
            </w:r>
          </w:p>
        </w:tc>
        <w:tc>
          <w:tcPr>
            <w:tcW w:w="1682" w:type="dxa"/>
          </w:tcPr>
          <w:p>
            <w:pPr>
              <w:pStyle w:val="TableParagraph"/>
              <w:spacing w:line="273" w:lineRule="auto" w:before="99"/>
              <w:ind w:left="108" w:right="304"/>
              <w:rPr>
                <w:b/>
                <w:sz w:val="21"/>
              </w:rPr>
            </w:pPr>
            <w:r>
              <w:rPr>
                <w:b/>
                <w:sz w:val="21"/>
              </w:rPr>
              <w:t>感染艾滋病病毒或患艾滋病</w:t>
            </w:r>
          </w:p>
        </w:tc>
        <w:tc>
          <w:tcPr>
            <w:tcW w:w="7830" w:type="dxa"/>
          </w:tcPr>
          <w:p>
            <w:pPr>
              <w:pStyle w:val="TableParagraph"/>
              <w:spacing w:line="273" w:lineRule="auto" w:before="99"/>
              <w:ind w:left="106" w:right="102"/>
              <w:rPr>
                <w:sz w:val="21"/>
              </w:rPr>
            </w:pPr>
            <w:r>
              <w:rPr>
                <w:spacing w:val="-5"/>
                <w:sz w:val="21"/>
              </w:rPr>
              <w:t>艾滋病病毒指人类免疫缺陷病毒，英文缩写为 </w:t>
            </w:r>
            <w:r>
              <w:rPr>
                <w:sz w:val="21"/>
              </w:rPr>
              <w:t>HIV</w:t>
            </w:r>
            <w:r>
              <w:rPr>
                <w:spacing w:val="-3"/>
                <w:sz w:val="21"/>
              </w:rPr>
              <w:t>。艾滋病指人类免疫缺陷病毒引</w:t>
            </w:r>
            <w:r>
              <w:rPr>
                <w:spacing w:val="-4"/>
                <w:sz w:val="21"/>
              </w:rPr>
              <w:t>起的获得性免疫缺陷综合征，英文缩写为 </w:t>
            </w:r>
            <w:r>
              <w:rPr>
                <w:sz w:val="21"/>
              </w:rPr>
              <w:t>AIDS</w:t>
            </w:r>
            <w:r>
              <w:rPr>
                <w:spacing w:val="-3"/>
                <w:sz w:val="21"/>
              </w:rPr>
              <w:t>。在人体血液或其它样本中检测到艾滋病病毒或其抗体呈阳性，没有出现临床症状或体征的，为感染艾滋病病毒；如果同时出现了明显临床症状或体征的，为患艾滋病。</w:t>
            </w:r>
          </w:p>
        </w:tc>
      </w:tr>
      <w:tr>
        <w:trPr>
          <w:trHeight w:val="847" w:hRule="atLeast"/>
        </w:trPr>
        <w:tc>
          <w:tcPr>
            <w:tcW w:w="574" w:type="dxa"/>
          </w:tcPr>
          <w:p>
            <w:pPr>
              <w:pStyle w:val="TableParagraph"/>
              <w:spacing w:before="100"/>
              <w:ind w:left="88" w:right="127"/>
              <w:jc w:val="center"/>
              <w:rPr>
                <w:b/>
                <w:sz w:val="21"/>
              </w:rPr>
            </w:pPr>
            <w:r>
              <w:rPr>
                <w:b/>
                <w:sz w:val="21"/>
              </w:rPr>
              <w:t>7.4</w:t>
            </w:r>
          </w:p>
        </w:tc>
        <w:tc>
          <w:tcPr>
            <w:tcW w:w="1682" w:type="dxa"/>
          </w:tcPr>
          <w:p>
            <w:pPr>
              <w:pStyle w:val="TableParagraph"/>
              <w:spacing w:line="273" w:lineRule="auto" w:before="100"/>
              <w:ind w:left="108" w:right="304"/>
              <w:rPr>
                <w:b/>
                <w:sz w:val="21"/>
              </w:rPr>
            </w:pPr>
            <w:r>
              <w:rPr>
                <w:b/>
                <w:sz w:val="21"/>
              </w:rPr>
              <w:t>我们认可的医疗机构</w:t>
            </w:r>
          </w:p>
        </w:tc>
        <w:tc>
          <w:tcPr>
            <w:tcW w:w="7830" w:type="dxa"/>
          </w:tcPr>
          <w:p>
            <w:pPr>
              <w:pStyle w:val="TableParagraph"/>
              <w:spacing w:line="273" w:lineRule="auto" w:before="100"/>
              <w:ind w:left="106" w:right="153"/>
              <w:rPr>
                <w:sz w:val="21"/>
              </w:rPr>
            </w:pPr>
            <w:r>
              <w:rPr>
                <w:sz w:val="21"/>
              </w:rPr>
              <w:t>指国家卫生部医院等级分类中的二级或二级以上的医院，但不包括主要提供康复、护理、疗养、戒酒、戒毒或类似服务的医疗机构。</w:t>
            </w:r>
          </w:p>
        </w:tc>
      </w:tr>
      <w:tr>
        <w:trPr>
          <w:trHeight w:val="1486" w:hRule="atLeast"/>
        </w:trPr>
        <w:tc>
          <w:tcPr>
            <w:tcW w:w="574" w:type="dxa"/>
          </w:tcPr>
          <w:p>
            <w:pPr>
              <w:pStyle w:val="TableParagraph"/>
              <w:spacing w:before="102"/>
              <w:ind w:left="88" w:right="127"/>
              <w:jc w:val="center"/>
              <w:rPr>
                <w:b/>
                <w:sz w:val="21"/>
              </w:rPr>
            </w:pPr>
            <w:r>
              <w:rPr>
                <w:b/>
                <w:sz w:val="21"/>
              </w:rPr>
              <w:t>7.5</w:t>
            </w:r>
          </w:p>
        </w:tc>
        <w:tc>
          <w:tcPr>
            <w:tcW w:w="1682" w:type="dxa"/>
          </w:tcPr>
          <w:p>
            <w:pPr>
              <w:pStyle w:val="TableParagraph"/>
              <w:spacing w:before="102"/>
              <w:ind w:left="108"/>
              <w:rPr>
                <w:b/>
                <w:sz w:val="21"/>
              </w:rPr>
            </w:pPr>
            <w:r>
              <w:rPr>
                <w:b/>
                <w:sz w:val="21"/>
              </w:rPr>
              <w:t>专科医生</w:t>
            </w:r>
          </w:p>
        </w:tc>
        <w:tc>
          <w:tcPr>
            <w:tcW w:w="7830" w:type="dxa"/>
          </w:tcPr>
          <w:p>
            <w:pPr>
              <w:pStyle w:val="TableParagraph"/>
              <w:spacing w:line="256" w:lineRule="auto" w:before="102"/>
              <w:ind w:left="106" w:right="153"/>
              <w:jc w:val="both"/>
              <w:rPr>
                <w:sz w:val="21"/>
              </w:rPr>
            </w:pPr>
            <w:r>
              <w:rPr>
                <w:spacing w:val="-9"/>
                <w:w w:val="100"/>
                <w:sz w:val="21"/>
              </w:rPr>
              <w:t>专科医生应当同时满足以下四项资格条件：</w:t>
            </w:r>
            <w:r>
              <w:rPr>
                <w:w w:val="100"/>
                <w:sz w:val="21"/>
              </w:rPr>
              <w:t>（</w:t>
            </w:r>
            <w:r>
              <w:rPr>
                <w:rFonts w:ascii="Times New Roman" w:eastAsia="Times New Roman"/>
                <w:spacing w:val="-3"/>
                <w:w w:val="100"/>
                <w:sz w:val="21"/>
              </w:rPr>
              <w:t>1</w:t>
            </w:r>
            <w:r>
              <w:rPr>
                <w:w w:val="100"/>
                <w:sz w:val="21"/>
              </w:rPr>
              <w:t>）</w:t>
            </w:r>
            <w:r>
              <w:rPr>
                <w:spacing w:val="-3"/>
                <w:w w:val="100"/>
                <w:sz w:val="21"/>
              </w:rPr>
              <w:t>具有有效的中华人民共和国《医师</w:t>
            </w:r>
            <w:r>
              <w:rPr>
                <w:spacing w:val="-38"/>
                <w:w w:val="100"/>
                <w:sz w:val="21"/>
              </w:rPr>
              <w:t>资格证书》；</w:t>
            </w:r>
            <w:r>
              <w:rPr>
                <w:w w:val="100"/>
                <w:sz w:val="21"/>
              </w:rPr>
              <w:t>（</w:t>
            </w:r>
            <w:r>
              <w:rPr>
                <w:rFonts w:ascii="Times New Roman" w:eastAsia="Times New Roman"/>
                <w:spacing w:val="-3"/>
                <w:w w:val="100"/>
                <w:sz w:val="21"/>
              </w:rPr>
              <w:t>2</w:t>
            </w:r>
            <w:r>
              <w:rPr>
                <w:w w:val="100"/>
                <w:sz w:val="21"/>
              </w:rPr>
              <w:t>）</w:t>
            </w:r>
            <w:r>
              <w:rPr>
                <w:spacing w:val="-9"/>
                <w:w w:val="100"/>
                <w:sz w:val="21"/>
              </w:rPr>
              <w:t>具有有效的中华人民共和国《医师执业证书》，并按期到相关部门</w:t>
            </w:r>
            <w:r>
              <w:rPr>
                <w:spacing w:val="-27"/>
                <w:w w:val="100"/>
                <w:sz w:val="21"/>
              </w:rPr>
              <w:t>登记注册；</w:t>
            </w:r>
            <w:r>
              <w:rPr>
                <w:w w:val="100"/>
                <w:sz w:val="21"/>
              </w:rPr>
              <w:t>（</w:t>
            </w:r>
            <w:r>
              <w:rPr>
                <w:rFonts w:ascii="Times New Roman" w:eastAsia="Times New Roman"/>
                <w:w w:val="100"/>
                <w:sz w:val="21"/>
              </w:rPr>
              <w:t>3</w:t>
            </w:r>
            <w:r>
              <w:rPr>
                <w:spacing w:val="-3"/>
                <w:w w:val="100"/>
                <w:sz w:val="21"/>
              </w:rPr>
              <w:t>）具有有效的中华人民共和国主治医师或主治医师以上职称的《医师</w:t>
            </w:r>
            <w:r>
              <w:rPr>
                <w:spacing w:val="-38"/>
                <w:w w:val="100"/>
                <w:sz w:val="21"/>
              </w:rPr>
              <w:t>职称证书》；</w:t>
            </w:r>
            <w:r>
              <w:rPr>
                <w:w w:val="100"/>
                <w:sz w:val="21"/>
              </w:rPr>
              <w:t>（</w:t>
            </w:r>
            <w:r>
              <w:rPr>
                <w:rFonts w:ascii="Times New Roman" w:eastAsia="Times New Roman"/>
                <w:spacing w:val="-3"/>
                <w:w w:val="100"/>
                <w:sz w:val="21"/>
              </w:rPr>
              <w:t>4</w:t>
            </w:r>
            <w:r>
              <w:rPr>
                <w:w w:val="100"/>
                <w:sz w:val="21"/>
              </w:rPr>
              <w:t>）</w:t>
            </w:r>
            <w:r>
              <w:rPr>
                <w:spacing w:val="-3"/>
                <w:w w:val="100"/>
                <w:sz w:val="21"/>
              </w:rPr>
              <w:t>在二级或二级以上医院的相应科室从事临床工作三年以上。</w:t>
            </w:r>
          </w:p>
        </w:tc>
      </w:tr>
      <w:tr>
        <w:trPr>
          <w:trHeight w:val="844" w:hRule="atLeast"/>
        </w:trPr>
        <w:tc>
          <w:tcPr>
            <w:tcW w:w="574" w:type="dxa"/>
          </w:tcPr>
          <w:p>
            <w:pPr>
              <w:pStyle w:val="TableParagraph"/>
              <w:spacing w:before="92"/>
              <w:ind w:left="88" w:right="127"/>
              <w:jc w:val="center"/>
              <w:rPr>
                <w:b/>
                <w:sz w:val="21"/>
              </w:rPr>
            </w:pPr>
            <w:r>
              <w:rPr>
                <w:b/>
                <w:sz w:val="21"/>
              </w:rPr>
              <w:t>7.6</w:t>
            </w:r>
          </w:p>
        </w:tc>
        <w:tc>
          <w:tcPr>
            <w:tcW w:w="1682" w:type="dxa"/>
          </w:tcPr>
          <w:p>
            <w:pPr>
              <w:pStyle w:val="TableParagraph"/>
              <w:spacing w:line="273" w:lineRule="auto" w:before="92"/>
              <w:ind w:left="108" w:right="304"/>
              <w:rPr>
                <w:b/>
                <w:sz w:val="21"/>
              </w:rPr>
            </w:pPr>
            <w:r>
              <w:rPr>
                <w:b/>
                <w:sz w:val="21"/>
              </w:rPr>
              <w:t>肢体机能完全丧失</w:t>
            </w:r>
          </w:p>
        </w:tc>
        <w:tc>
          <w:tcPr>
            <w:tcW w:w="7830" w:type="dxa"/>
          </w:tcPr>
          <w:p>
            <w:pPr>
              <w:pStyle w:val="TableParagraph"/>
              <w:spacing w:line="273" w:lineRule="auto" w:before="92"/>
              <w:ind w:left="106" w:right="153"/>
              <w:rPr>
                <w:sz w:val="21"/>
              </w:rPr>
            </w:pPr>
            <w:r>
              <w:rPr>
                <w:sz w:val="21"/>
              </w:rPr>
              <w:t>指肢体的三大关节中的两大关节僵硬，或不能随意识活动。肢体是指包括肩关节的整个上肢或包括髋关节的整个下肢。</w:t>
            </w:r>
          </w:p>
        </w:tc>
      </w:tr>
      <w:tr>
        <w:trPr>
          <w:trHeight w:val="1471" w:hRule="atLeast"/>
        </w:trPr>
        <w:tc>
          <w:tcPr>
            <w:tcW w:w="574" w:type="dxa"/>
          </w:tcPr>
          <w:p>
            <w:pPr>
              <w:pStyle w:val="TableParagraph"/>
              <w:spacing w:before="100"/>
              <w:ind w:left="88" w:right="127"/>
              <w:jc w:val="center"/>
              <w:rPr>
                <w:b/>
                <w:sz w:val="21"/>
              </w:rPr>
            </w:pPr>
            <w:r>
              <w:rPr>
                <w:b/>
                <w:sz w:val="21"/>
              </w:rPr>
              <w:t>7.7</w:t>
            </w:r>
          </w:p>
        </w:tc>
        <w:tc>
          <w:tcPr>
            <w:tcW w:w="1682" w:type="dxa"/>
          </w:tcPr>
          <w:p>
            <w:pPr>
              <w:pStyle w:val="TableParagraph"/>
              <w:spacing w:line="273" w:lineRule="auto" w:before="100"/>
              <w:ind w:left="108" w:right="304"/>
              <w:jc w:val="both"/>
              <w:rPr>
                <w:b/>
                <w:sz w:val="21"/>
              </w:rPr>
            </w:pPr>
            <w:r>
              <w:rPr>
                <w:b/>
                <w:sz w:val="21"/>
              </w:rPr>
              <w:t>语言能力或咀嚼吞咽能力完全丧失</w:t>
            </w:r>
          </w:p>
        </w:tc>
        <w:tc>
          <w:tcPr>
            <w:tcW w:w="7830" w:type="dxa"/>
          </w:tcPr>
          <w:p>
            <w:pPr>
              <w:pStyle w:val="TableParagraph"/>
              <w:spacing w:line="273" w:lineRule="auto" w:before="100"/>
              <w:ind w:left="106"/>
              <w:rPr>
                <w:sz w:val="21"/>
              </w:rPr>
            </w:pPr>
            <w:r>
              <w:rPr>
                <w:spacing w:val="-6"/>
                <w:sz w:val="21"/>
              </w:rPr>
              <w:t>语言能力完全丧失，指无法发出四种语音</w:t>
            </w:r>
            <w:r>
              <w:rPr>
                <w:spacing w:val="-3"/>
                <w:sz w:val="21"/>
              </w:rPr>
              <w:t>（</w:t>
            </w:r>
            <w:r>
              <w:rPr>
                <w:spacing w:val="-7"/>
                <w:sz w:val="21"/>
              </w:rPr>
              <w:t>包括口唇音、齿舌音、口盖音和喉头音</w:t>
            </w:r>
            <w:r>
              <w:rPr>
                <w:sz w:val="21"/>
              </w:rPr>
              <w:t>） </w:t>
            </w:r>
            <w:r>
              <w:rPr>
                <w:spacing w:val="-3"/>
                <w:sz w:val="21"/>
              </w:rPr>
              <w:t>中的任何三种、或声带全部切除，或因大脑语言中枢受伤害而患失语症。咀嚼吞咽能力完全丧失，指因牙齿以外的原因导致器质障碍或机能障碍，以致不能作咀嚼吞咽运动，除流质食物外不能摄取或吞咽的状态。</w:t>
            </w:r>
          </w:p>
        </w:tc>
      </w:tr>
      <w:tr>
        <w:trPr>
          <w:trHeight w:val="1171" w:hRule="atLeast"/>
        </w:trPr>
        <w:tc>
          <w:tcPr>
            <w:tcW w:w="574" w:type="dxa"/>
          </w:tcPr>
          <w:p>
            <w:pPr>
              <w:pStyle w:val="TableParagraph"/>
              <w:spacing w:before="102"/>
              <w:ind w:left="88" w:right="127"/>
              <w:jc w:val="center"/>
              <w:rPr>
                <w:b/>
                <w:sz w:val="21"/>
              </w:rPr>
            </w:pPr>
            <w:r>
              <w:rPr>
                <w:b/>
                <w:sz w:val="21"/>
              </w:rPr>
              <w:t>7.8</w:t>
            </w:r>
          </w:p>
        </w:tc>
        <w:tc>
          <w:tcPr>
            <w:tcW w:w="1682" w:type="dxa"/>
          </w:tcPr>
          <w:p>
            <w:pPr>
              <w:pStyle w:val="TableParagraph"/>
              <w:spacing w:line="273" w:lineRule="auto" w:before="102"/>
              <w:ind w:left="108" w:right="304"/>
              <w:rPr>
                <w:b/>
                <w:sz w:val="21"/>
              </w:rPr>
            </w:pPr>
            <w:r>
              <w:rPr>
                <w:b/>
                <w:sz w:val="21"/>
              </w:rPr>
              <w:t>六项基本日常生活活动</w:t>
            </w:r>
          </w:p>
        </w:tc>
        <w:tc>
          <w:tcPr>
            <w:tcW w:w="7830" w:type="dxa"/>
          </w:tcPr>
          <w:p>
            <w:pPr>
              <w:pStyle w:val="TableParagraph"/>
              <w:spacing w:line="256" w:lineRule="auto" w:before="102"/>
              <w:ind w:left="106" w:right="1"/>
              <w:rPr>
                <w:sz w:val="21"/>
              </w:rPr>
            </w:pPr>
            <w:r>
              <w:rPr>
                <w:spacing w:val="-22"/>
                <w:w w:val="100"/>
                <w:sz w:val="21"/>
              </w:rPr>
              <w:t>指</w:t>
            </w:r>
            <w:r>
              <w:rPr>
                <w:spacing w:val="-3"/>
                <w:w w:val="100"/>
                <w:sz w:val="21"/>
              </w:rPr>
              <w:t>（</w:t>
            </w:r>
            <w:r>
              <w:rPr>
                <w:rFonts w:ascii="Times New Roman" w:eastAsia="Times New Roman"/>
                <w:spacing w:val="-3"/>
                <w:w w:val="100"/>
                <w:sz w:val="21"/>
              </w:rPr>
              <w:t>1</w:t>
            </w:r>
            <w:r>
              <w:rPr>
                <w:spacing w:val="-22"/>
                <w:w w:val="100"/>
                <w:sz w:val="21"/>
              </w:rPr>
              <w:t>）</w:t>
            </w:r>
            <w:r>
              <w:rPr>
                <w:spacing w:val="-6"/>
                <w:w w:val="100"/>
                <w:sz w:val="21"/>
              </w:rPr>
              <w:t>穿衣：自己能够穿衣及脱衣</w:t>
            </w:r>
            <w:r>
              <w:rPr>
                <w:spacing w:val="-130"/>
                <w:w w:val="100"/>
                <w:sz w:val="21"/>
              </w:rPr>
              <w:t>；</w:t>
            </w:r>
            <w:r>
              <w:rPr>
                <w:w w:val="100"/>
                <w:sz w:val="21"/>
              </w:rPr>
              <w:t>（</w:t>
            </w:r>
            <w:r>
              <w:rPr>
                <w:rFonts w:ascii="Times New Roman" w:eastAsia="Times New Roman"/>
                <w:spacing w:val="-3"/>
                <w:w w:val="100"/>
                <w:sz w:val="21"/>
              </w:rPr>
              <w:t>2</w:t>
            </w:r>
            <w:r>
              <w:rPr>
                <w:spacing w:val="-25"/>
                <w:w w:val="100"/>
                <w:sz w:val="21"/>
              </w:rPr>
              <w:t>）</w:t>
            </w:r>
            <w:r>
              <w:rPr>
                <w:spacing w:val="-6"/>
                <w:w w:val="100"/>
                <w:sz w:val="21"/>
              </w:rPr>
              <w:t>移动：自己从一个房间到另一个房间</w:t>
            </w:r>
            <w:r>
              <w:rPr>
                <w:spacing w:val="-130"/>
                <w:w w:val="100"/>
                <w:sz w:val="21"/>
              </w:rPr>
              <w:t>；</w:t>
            </w:r>
            <w:r>
              <w:rPr>
                <w:w w:val="100"/>
                <w:sz w:val="21"/>
              </w:rPr>
              <w:t>（</w:t>
            </w:r>
            <w:r>
              <w:rPr>
                <w:rFonts w:ascii="Times New Roman" w:eastAsia="Times New Roman"/>
                <w:w w:val="100"/>
                <w:sz w:val="21"/>
              </w:rPr>
              <w:t>3</w:t>
            </w:r>
            <w:r>
              <w:rPr>
                <w:w w:val="100"/>
                <w:sz w:val="21"/>
              </w:rPr>
              <w:t>）</w:t>
            </w:r>
            <w:r>
              <w:rPr>
                <w:spacing w:val="-11"/>
                <w:w w:val="100"/>
                <w:sz w:val="21"/>
              </w:rPr>
              <w:t>行动：自己上下床或上下轮椅；</w:t>
            </w:r>
            <w:r>
              <w:rPr>
                <w:w w:val="100"/>
                <w:sz w:val="21"/>
              </w:rPr>
              <w:t>（</w:t>
            </w:r>
            <w:r>
              <w:rPr>
                <w:rFonts w:ascii="Times New Roman" w:eastAsia="Times New Roman"/>
                <w:w w:val="100"/>
                <w:sz w:val="21"/>
              </w:rPr>
              <w:t>4</w:t>
            </w:r>
            <w:r>
              <w:rPr>
                <w:spacing w:val="-3"/>
                <w:w w:val="100"/>
                <w:sz w:val="21"/>
              </w:rPr>
              <w:t>）</w:t>
            </w:r>
            <w:r>
              <w:rPr>
                <w:spacing w:val="-12"/>
                <w:w w:val="100"/>
                <w:sz w:val="21"/>
              </w:rPr>
              <w:t>如厕：自己控制进行大小便；</w:t>
            </w:r>
            <w:r>
              <w:rPr>
                <w:w w:val="100"/>
                <w:sz w:val="21"/>
              </w:rPr>
              <w:t>（</w:t>
            </w:r>
            <w:r>
              <w:rPr>
                <w:rFonts w:ascii="Times New Roman" w:eastAsia="Times New Roman"/>
                <w:w w:val="100"/>
                <w:sz w:val="21"/>
              </w:rPr>
              <w:t>5</w:t>
            </w:r>
            <w:r>
              <w:rPr>
                <w:spacing w:val="-3"/>
                <w:w w:val="100"/>
                <w:sz w:val="21"/>
              </w:rPr>
              <w:t>）</w:t>
            </w:r>
            <w:r>
              <w:rPr>
                <w:spacing w:val="-2"/>
                <w:w w:val="100"/>
                <w:sz w:val="21"/>
              </w:rPr>
              <w:t>进食：自己</w:t>
            </w:r>
            <w:r>
              <w:rPr>
                <w:spacing w:val="-9"/>
                <w:w w:val="100"/>
                <w:sz w:val="21"/>
              </w:rPr>
              <w:t>从已准备好的碗或碟中取食物放入口中；</w:t>
            </w:r>
            <w:r>
              <w:rPr>
                <w:w w:val="100"/>
                <w:sz w:val="21"/>
              </w:rPr>
              <w:t>（</w:t>
            </w:r>
            <w:r>
              <w:rPr>
                <w:rFonts w:ascii="Times New Roman" w:eastAsia="Times New Roman"/>
                <w:w w:val="100"/>
                <w:sz w:val="21"/>
              </w:rPr>
              <w:t>6</w:t>
            </w:r>
            <w:r>
              <w:rPr>
                <w:spacing w:val="-3"/>
                <w:w w:val="100"/>
                <w:sz w:val="21"/>
              </w:rPr>
              <w:t>）洗澡：自己进行淋浴或盆浴。</w:t>
            </w:r>
          </w:p>
        </w:tc>
      </w:tr>
      <w:tr>
        <w:trPr>
          <w:trHeight w:val="683" w:hRule="atLeast"/>
        </w:trPr>
        <w:tc>
          <w:tcPr>
            <w:tcW w:w="574" w:type="dxa"/>
          </w:tcPr>
          <w:p>
            <w:pPr>
              <w:pStyle w:val="TableParagraph"/>
              <w:spacing w:before="96"/>
              <w:ind w:left="88" w:right="127"/>
              <w:jc w:val="center"/>
              <w:rPr>
                <w:b/>
                <w:sz w:val="21"/>
              </w:rPr>
            </w:pPr>
            <w:r>
              <w:rPr>
                <w:b/>
                <w:sz w:val="21"/>
              </w:rPr>
              <w:t>7.9</w:t>
            </w:r>
          </w:p>
        </w:tc>
        <w:tc>
          <w:tcPr>
            <w:tcW w:w="1682" w:type="dxa"/>
          </w:tcPr>
          <w:p>
            <w:pPr>
              <w:pStyle w:val="TableParagraph"/>
              <w:spacing w:before="96"/>
              <w:ind w:left="108"/>
              <w:rPr>
                <w:b/>
                <w:sz w:val="21"/>
              </w:rPr>
            </w:pPr>
            <w:r>
              <w:rPr>
                <w:b/>
                <w:sz w:val="21"/>
              </w:rPr>
              <w:t>永久不可逆</w:t>
            </w:r>
          </w:p>
        </w:tc>
        <w:tc>
          <w:tcPr>
            <w:tcW w:w="7830" w:type="dxa"/>
          </w:tcPr>
          <w:p>
            <w:pPr>
              <w:pStyle w:val="TableParagraph"/>
              <w:spacing w:line="290" w:lineRule="atLeast" w:before="96"/>
              <w:ind w:left="106" w:right="92"/>
              <w:rPr>
                <w:sz w:val="21"/>
              </w:rPr>
            </w:pPr>
            <w:r>
              <w:rPr>
                <w:sz w:val="21"/>
              </w:rPr>
              <w:t>指自疾病确诊或意外伤害发生之日起，经过积极治疗 </w:t>
            </w:r>
            <w:r>
              <w:rPr>
                <w:rFonts w:ascii="Times New Roman" w:eastAsia="Times New Roman"/>
                <w:sz w:val="21"/>
              </w:rPr>
              <w:t>180 </w:t>
            </w:r>
            <w:r>
              <w:rPr>
                <w:sz w:val="21"/>
              </w:rPr>
              <w:t>天后，仍无法通过现有医疗手段恢复。</w:t>
            </w:r>
          </w:p>
        </w:tc>
      </w:tr>
    </w:tbl>
    <w:p>
      <w:pPr>
        <w:pStyle w:val="BodyText"/>
        <w:rPr>
          <w:rFonts w:ascii="Times New Roman"/>
          <w:sz w:val="20"/>
        </w:rPr>
      </w:pPr>
    </w:p>
    <w:p>
      <w:pPr>
        <w:pStyle w:val="BodyText"/>
        <w:spacing w:before="4"/>
        <w:rPr>
          <w:rFonts w:ascii="Times New Roman"/>
          <w:sz w:val="16"/>
        </w:rPr>
      </w:pPr>
    </w:p>
    <w:p>
      <w:pPr>
        <w:pStyle w:val="Heading2"/>
        <w:ind w:left="220"/>
      </w:pPr>
      <w:r>
        <w:rPr/>
        <w:t>&lt;本条款内容结束&gt;</w:t>
      </w:r>
    </w:p>
    <w:sectPr>
      <w:pgSz w:w="11910" w:h="16840"/>
      <w:pgMar w:header="609" w:footer="320" w:top="800" w:bottom="520" w:left="80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Wingdings">
    <w:altName w:val="Wingdings"/>
    <w:charset w:val="2"/>
    <w:family w:val="auto"/>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91.25pt;margin-top:810.905579pt;width:12.95pt;height:9.2pt;mso-position-horizontal-relative:page;mso-position-vertical-relative:page;z-index:-22120" type="#_x0000_t202" filled="false" stroked="false">
          <v:textbox inset="0,0,0,0">
            <w:txbxContent>
              <w:p>
                <w:pPr>
                  <w:spacing w:before="14"/>
                  <w:ind w:left="20" w:right="0" w:firstLine="0"/>
                  <w:jc w:val="left"/>
                  <w:rPr>
                    <w:rFonts w:ascii="Times New Roman"/>
                    <w:sz w:val="13"/>
                  </w:rPr>
                </w:pPr>
                <w:r>
                  <w:rPr>
                    <w:rFonts w:ascii="Times New Roman"/>
                    <w:sz w:val="13"/>
                  </w:rPr>
                  <w:t>- </w:t>
                </w:r>
                <w:r>
                  <w:rPr/>
                  <w:fldChar w:fldCharType="begin"/>
                </w:r>
                <w:r>
                  <w:rPr>
                    <w:rFonts w:ascii="Times New Roman"/>
                    <w:sz w:val="13"/>
                  </w:rPr>
                  <w:instrText> PAGE </w:instrText>
                </w:r>
                <w:r>
                  <w:rPr/>
                  <w:fldChar w:fldCharType="separate"/>
                </w:r>
                <w:r>
                  <w:rPr/>
                  <w:t>3</w:t>
                </w:r>
                <w:r>
                  <w:rPr/>
                  <w:fldChar w:fldCharType="end"/>
                </w:r>
                <w:r>
                  <w:rPr>
                    <w:rFonts w:ascii="Times New Roman"/>
                    <w:sz w:val="13"/>
                  </w:rPr>
                  <w:t>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5pt;margin-top:810.905579pt;width:12.95pt;height:9.2pt;mso-position-horizontal-relative:page;mso-position-vertical-relative:page;z-index:-22096" type="#_x0000_t202" filled="false" stroked="false">
          <v:textbox inset="0,0,0,0">
            <w:txbxContent>
              <w:p>
                <w:pPr>
                  <w:spacing w:before="14"/>
                  <w:ind w:left="20" w:right="0" w:firstLine="0"/>
                  <w:jc w:val="left"/>
                  <w:rPr>
                    <w:rFonts w:ascii="Times New Roman"/>
                    <w:sz w:val="13"/>
                  </w:rPr>
                </w:pPr>
                <w:r>
                  <w:rPr>
                    <w:rFonts w:ascii="Times New Roman"/>
                    <w:sz w:val="13"/>
                  </w:rPr>
                  <w:t>- </w:t>
                </w:r>
                <w:r>
                  <w:rPr/>
                  <w:fldChar w:fldCharType="begin"/>
                </w:r>
                <w:r>
                  <w:rPr>
                    <w:rFonts w:ascii="Times New Roman"/>
                    <w:sz w:val="13"/>
                  </w:rPr>
                  <w:instrText> PAGE </w:instrText>
                </w:r>
                <w:r>
                  <w:rPr/>
                  <w:fldChar w:fldCharType="separate"/>
                </w:r>
                <w:r>
                  <w:rPr/>
                  <w:t>3</w:t>
                </w:r>
                <w:r>
                  <w:rPr/>
                  <w:fldChar w:fldCharType="end"/>
                </w:r>
                <w:r>
                  <w:rPr>
                    <w:rFonts w:ascii="Times New Roman"/>
                    <w:sz w:val="13"/>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144" from="49.560001pt,40.079983pt" to="545.740001pt,40.079983pt" stroked="true" strokeweight=".72pt" strokecolor="#000000">
          <v:stroke dashstyle="solid"/>
          <w10:wrap type="none"/>
        </v:lin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line style="position:absolute;mso-position-horizontal-relative:page;mso-position-vertical-relative:page;z-index:-22072" from="49.560001pt,40.079983pt" to="545.740001pt,40.079983pt" stroked="true" strokeweight=".72pt" strokecolor="#000000">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690" w:hanging="584"/>
        <w:jc w:val="left"/>
      </w:pPr>
      <w:rPr>
        <w:rFonts w:hint="default" w:ascii="宋体" w:hAnsi="宋体" w:eastAsia="宋体" w:cs="宋体"/>
        <w:spacing w:val="-5"/>
        <w:w w:val="100"/>
        <w:sz w:val="21"/>
        <w:szCs w:val="21"/>
      </w:rPr>
    </w:lvl>
    <w:lvl w:ilvl="1">
      <w:start w:val="0"/>
      <w:numFmt w:val="bullet"/>
      <w:lvlText w:val="•"/>
      <w:lvlJc w:val="left"/>
      <w:pPr>
        <w:ind w:left="1432" w:hanging="584"/>
      </w:pPr>
      <w:rPr>
        <w:rFonts w:hint="default"/>
      </w:rPr>
    </w:lvl>
    <w:lvl w:ilvl="2">
      <w:start w:val="0"/>
      <w:numFmt w:val="bullet"/>
      <w:lvlText w:val="•"/>
      <w:lvlJc w:val="left"/>
      <w:pPr>
        <w:ind w:left="2165" w:hanging="584"/>
      </w:pPr>
      <w:rPr>
        <w:rFonts w:hint="default"/>
      </w:rPr>
    </w:lvl>
    <w:lvl w:ilvl="3">
      <w:start w:val="0"/>
      <w:numFmt w:val="bullet"/>
      <w:lvlText w:val="•"/>
      <w:lvlJc w:val="left"/>
      <w:pPr>
        <w:ind w:left="2898" w:hanging="584"/>
      </w:pPr>
      <w:rPr>
        <w:rFonts w:hint="default"/>
      </w:rPr>
    </w:lvl>
    <w:lvl w:ilvl="4">
      <w:start w:val="0"/>
      <w:numFmt w:val="bullet"/>
      <w:lvlText w:val="•"/>
      <w:lvlJc w:val="left"/>
      <w:pPr>
        <w:ind w:left="3631" w:hanging="584"/>
      </w:pPr>
      <w:rPr>
        <w:rFonts w:hint="default"/>
      </w:rPr>
    </w:lvl>
    <w:lvl w:ilvl="5">
      <w:start w:val="0"/>
      <w:numFmt w:val="bullet"/>
      <w:lvlText w:val="•"/>
      <w:lvlJc w:val="left"/>
      <w:pPr>
        <w:ind w:left="4364" w:hanging="584"/>
      </w:pPr>
      <w:rPr>
        <w:rFonts w:hint="default"/>
      </w:rPr>
    </w:lvl>
    <w:lvl w:ilvl="6">
      <w:start w:val="0"/>
      <w:numFmt w:val="bullet"/>
      <w:lvlText w:val="•"/>
      <w:lvlJc w:val="left"/>
      <w:pPr>
        <w:ind w:left="5097" w:hanging="584"/>
      </w:pPr>
      <w:rPr>
        <w:rFonts w:hint="default"/>
      </w:rPr>
    </w:lvl>
    <w:lvl w:ilvl="7">
      <w:start w:val="0"/>
      <w:numFmt w:val="bullet"/>
      <w:lvlText w:val="•"/>
      <w:lvlJc w:val="left"/>
      <w:pPr>
        <w:ind w:left="5830" w:hanging="584"/>
      </w:pPr>
      <w:rPr>
        <w:rFonts w:hint="default"/>
      </w:rPr>
    </w:lvl>
    <w:lvl w:ilvl="8">
      <w:start w:val="0"/>
      <w:numFmt w:val="bullet"/>
      <w:lvlText w:val="•"/>
      <w:lvlJc w:val="left"/>
      <w:pPr>
        <w:ind w:left="6563" w:hanging="584"/>
      </w:pPr>
      <w:rPr>
        <w:rFonts w:hint="default"/>
      </w:rPr>
    </w:lvl>
  </w:abstractNum>
  <w:abstractNum w:abstractNumId="7">
    <w:multiLevelType w:val="hybridMultilevel"/>
    <w:lvl w:ilvl="0">
      <w:start w:val="2"/>
      <w:numFmt w:val="decimal"/>
      <w:lvlText w:val="%1"/>
      <w:lvlJc w:val="left"/>
      <w:pPr>
        <w:ind w:left="794" w:hanging="575"/>
        <w:jc w:val="left"/>
      </w:pPr>
      <w:rPr>
        <w:rFonts w:hint="default"/>
      </w:rPr>
    </w:lvl>
    <w:lvl w:ilvl="1">
      <w:start w:val="1"/>
      <w:numFmt w:val="decimal"/>
      <w:lvlText w:val="%1.%2"/>
      <w:lvlJc w:val="left"/>
      <w:pPr>
        <w:ind w:left="2394" w:hanging="575"/>
        <w:jc w:val="right"/>
      </w:pPr>
      <w:rPr>
        <w:rFonts w:hint="default" w:ascii="宋体" w:hAnsi="宋体" w:eastAsia="宋体" w:cs="宋体"/>
        <w:b/>
        <w:bCs/>
        <w:w w:val="99"/>
        <w:sz w:val="21"/>
        <w:szCs w:val="21"/>
      </w:rPr>
    </w:lvl>
    <w:lvl w:ilvl="2">
      <w:start w:val="0"/>
      <w:numFmt w:val="bullet"/>
      <w:lvlText w:val="•"/>
      <w:lvlJc w:val="left"/>
      <w:pPr>
        <w:ind w:left="3278" w:hanging="575"/>
      </w:pPr>
      <w:rPr>
        <w:rFonts w:hint="default"/>
      </w:rPr>
    </w:lvl>
    <w:lvl w:ilvl="3">
      <w:start w:val="0"/>
      <w:numFmt w:val="bullet"/>
      <w:lvlText w:val="•"/>
      <w:lvlJc w:val="left"/>
      <w:pPr>
        <w:ind w:left="4156" w:hanging="575"/>
      </w:pPr>
      <w:rPr>
        <w:rFonts w:hint="default"/>
      </w:rPr>
    </w:lvl>
    <w:lvl w:ilvl="4">
      <w:start w:val="0"/>
      <w:numFmt w:val="bullet"/>
      <w:lvlText w:val="•"/>
      <w:lvlJc w:val="left"/>
      <w:pPr>
        <w:ind w:left="5035" w:hanging="575"/>
      </w:pPr>
      <w:rPr>
        <w:rFonts w:hint="default"/>
      </w:rPr>
    </w:lvl>
    <w:lvl w:ilvl="5">
      <w:start w:val="0"/>
      <w:numFmt w:val="bullet"/>
      <w:lvlText w:val="•"/>
      <w:lvlJc w:val="left"/>
      <w:pPr>
        <w:ind w:left="5913" w:hanging="575"/>
      </w:pPr>
      <w:rPr>
        <w:rFonts w:hint="default"/>
      </w:rPr>
    </w:lvl>
    <w:lvl w:ilvl="6">
      <w:start w:val="0"/>
      <w:numFmt w:val="bullet"/>
      <w:lvlText w:val="•"/>
      <w:lvlJc w:val="left"/>
      <w:pPr>
        <w:ind w:left="6792" w:hanging="575"/>
      </w:pPr>
      <w:rPr>
        <w:rFonts w:hint="default"/>
      </w:rPr>
    </w:lvl>
    <w:lvl w:ilvl="7">
      <w:start w:val="0"/>
      <w:numFmt w:val="bullet"/>
      <w:lvlText w:val="•"/>
      <w:lvlJc w:val="left"/>
      <w:pPr>
        <w:ind w:left="7670" w:hanging="575"/>
      </w:pPr>
      <w:rPr>
        <w:rFonts w:hint="default"/>
      </w:rPr>
    </w:lvl>
    <w:lvl w:ilvl="8">
      <w:start w:val="0"/>
      <w:numFmt w:val="bullet"/>
      <w:lvlText w:val="•"/>
      <w:lvlJc w:val="left"/>
      <w:pPr>
        <w:ind w:left="8549" w:hanging="575"/>
      </w:pPr>
      <w:rPr>
        <w:rFonts w:hint="default"/>
      </w:rPr>
    </w:lvl>
  </w:abstractNum>
  <w:abstractNum w:abstractNumId="6">
    <w:multiLevelType w:val="hybridMultilevel"/>
    <w:lvl w:ilvl="0">
      <w:start w:val="1"/>
      <w:numFmt w:val="decimal"/>
      <w:lvlText w:val="%1"/>
      <w:lvlJc w:val="left"/>
      <w:pPr>
        <w:ind w:left="2474" w:hanging="575"/>
        <w:jc w:val="left"/>
      </w:pPr>
      <w:rPr>
        <w:rFonts w:hint="default"/>
      </w:rPr>
    </w:lvl>
    <w:lvl w:ilvl="1">
      <w:start w:val="1"/>
      <w:numFmt w:val="decimal"/>
      <w:lvlText w:val="%1.%2"/>
      <w:lvlJc w:val="left"/>
      <w:pPr>
        <w:ind w:left="2474" w:hanging="575"/>
        <w:jc w:val="left"/>
      </w:pPr>
      <w:rPr>
        <w:rFonts w:hint="default" w:ascii="宋体" w:hAnsi="宋体" w:eastAsia="宋体" w:cs="宋体"/>
        <w:b/>
        <w:bCs/>
        <w:w w:val="99"/>
        <w:sz w:val="21"/>
        <w:szCs w:val="21"/>
      </w:rPr>
    </w:lvl>
    <w:lvl w:ilvl="2">
      <w:start w:val="0"/>
      <w:numFmt w:val="bullet"/>
      <w:lvlText w:val="•"/>
      <w:lvlJc w:val="left"/>
      <w:pPr>
        <w:ind w:left="4045" w:hanging="575"/>
      </w:pPr>
      <w:rPr>
        <w:rFonts w:hint="default"/>
      </w:rPr>
    </w:lvl>
    <w:lvl w:ilvl="3">
      <w:start w:val="0"/>
      <w:numFmt w:val="bullet"/>
      <w:lvlText w:val="•"/>
      <w:lvlJc w:val="left"/>
      <w:pPr>
        <w:ind w:left="4827" w:hanging="575"/>
      </w:pPr>
      <w:rPr>
        <w:rFonts w:hint="default"/>
      </w:rPr>
    </w:lvl>
    <w:lvl w:ilvl="4">
      <w:start w:val="0"/>
      <w:numFmt w:val="bullet"/>
      <w:lvlText w:val="•"/>
      <w:lvlJc w:val="left"/>
      <w:pPr>
        <w:ind w:left="5610" w:hanging="575"/>
      </w:pPr>
      <w:rPr>
        <w:rFonts w:hint="default"/>
      </w:rPr>
    </w:lvl>
    <w:lvl w:ilvl="5">
      <w:start w:val="0"/>
      <w:numFmt w:val="bullet"/>
      <w:lvlText w:val="•"/>
      <w:lvlJc w:val="left"/>
      <w:pPr>
        <w:ind w:left="6393" w:hanging="575"/>
      </w:pPr>
      <w:rPr>
        <w:rFonts w:hint="default"/>
      </w:rPr>
    </w:lvl>
    <w:lvl w:ilvl="6">
      <w:start w:val="0"/>
      <w:numFmt w:val="bullet"/>
      <w:lvlText w:val="•"/>
      <w:lvlJc w:val="left"/>
      <w:pPr>
        <w:ind w:left="7175" w:hanging="575"/>
      </w:pPr>
      <w:rPr>
        <w:rFonts w:hint="default"/>
      </w:rPr>
    </w:lvl>
    <w:lvl w:ilvl="7">
      <w:start w:val="0"/>
      <w:numFmt w:val="bullet"/>
      <w:lvlText w:val="•"/>
      <w:lvlJc w:val="left"/>
      <w:pPr>
        <w:ind w:left="7958" w:hanging="575"/>
      </w:pPr>
      <w:rPr>
        <w:rFonts w:hint="default"/>
      </w:rPr>
    </w:lvl>
    <w:lvl w:ilvl="8">
      <w:start w:val="0"/>
      <w:numFmt w:val="bullet"/>
      <w:lvlText w:val="•"/>
      <w:lvlJc w:val="left"/>
      <w:pPr>
        <w:ind w:left="8741" w:hanging="575"/>
      </w:pPr>
      <w:rPr>
        <w:rFonts w:hint="default"/>
      </w:rPr>
    </w:lvl>
  </w:abstractNum>
  <w:abstractNum w:abstractNumId="5">
    <w:multiLevelType w:val="hybridMultilevel"/>
    <w:lvl w:ilvl="0">
      <w:start w:val="7"/>
      <w:numFmt w:val="decimal"/>
      <w:lvlText w:val="%1"/>
      <w:lvlJc w:val="left"/>
      <w:pPr>
        <w:ind w:left="1777" w:hanging="370"/>
        <w:jc w:val="left"/>
      </w:pPr>
      <w:rPr>
        <w:rFonts w:hint="default"/>
      </w:rPr>
    </w:lvl>
    <w:lvl w:ilvl="1">
      <w:start w:val="1"/>
      <w:numFmt w:val="decimal"/>
      <w:lvlText w:val="%1.%2"/>
      <w:lvlJc w:val="left"/>
      <w:pPr>
        <w:ind w:left="1777" w:hanging="370"/>
        <w:jc w:val="left"/>
      </w:pPr>
      <w:rPr>
        <w:rFonts w:hint="default" w:ascii="宋体" w:hAnsi="宋体" w:eastAsia="宋体" w:cs="宋体"/>
        <w:w w:val="100"/>
        <w:sz w:val="21"/>
        <w:szCs w:val="21"/>
      </w:rPr>
    </w:lvl>
    <w:lvl w:ilvl="2">
      <w:start w:val="0"/>
      <w:numFmt w:val="bullet"/>
      <w:lvlText w:val="•"/>
      <w:lvlJc w:val="left"/>
      <w:pPr>
        <w:ind w:left="2591" w:hanging="370"/>
      </w:pPr>
      <w:rPr>
        <w:rFonts w:hint="default"/>
      </w:rPr>
    </w:lvl>
    <w:lvl w:ilvl="3">
      <w:start w:val="0"/>
      <w:numFmt w:val="bullet"/>
      <w:lvlText w:val="•"/>
      <w:lvlJc w:val="left"/>
      <w:pPr>
        <w:ind w:left="2996" w:hanging="370"/>
      </w:pPr>
      <w:rPr>
        <w:rFonts w:hint="default"/>
      </w:rPr>
    </w:lvl>
    <w:lvl w:ilvl="4">
      <w:start w:val="0"/>
      <w:numFmt w:val="bullet"/>
      <w:lvlText w:val="•"/>
      <w:lvlJc w:val="left"/>
      <w:pPr>
        <w:ind w:left="3402" w:hanging="370"/>
      </w:pPr>
      <w:rPr>
        <w:rFonts w:hint="default"/>
      </w:rPr>
    </w:lvl>
    <w:lvl w:ilvl="5">
      <w:start w:val="0"/>
      <w:numFmt w:val="bullet"/>
      <w:lvlText w:val="•"/>
      <w:lvlJc w:val="left"/>
      <w:pPr>
        <w:ind w:left="3807" w:hanging="370"/>
      </w:pPr>
      <w:rPr>
        <w:rFonts w:hint="default"/>
      </w:rPr>
    </w:lvl>
    <w:lvl w:ilvl="6">
      <w:start w:val="0"/>
      <w:numFmt w:val="bullet"/>
      <w:lvlText w:val="•"/>
      <w:lvlJc w:val="left"/>
      <w:pPr>
        <w:ind w:left="4213" w:hanging="370"/>
      </w:pPr>
      <w:rPr>
        <w:rFonts w:hint="default"/>
      </w:rPr>
    </w:lvl>
    <w:lvl w:ilvl="7">
      <w:start w:val="0"/>
      <w:numFmt w:val="bullet"/>
      <w:lvlText w:val="•"/>
      <w:lvlJc w:val="left"/>
      <w:pPr>
        <w:ind w:left="4619" w:hanging="370"/>
      </w:pPr>
      <w:rPr>
        <w:rFonts w:hint="default"/>
      </w:rPr>
    </w:lvl>
    <w:lvl w:ilvl="8">
      <w:start w:val="0"/>
      <w:numFmt w:val="bullet"/>
      <w:lvlText w:val="•"/>
      <w:lvlJc w:val="left"/>
      <w:pPr>
        <w:ind w:left="5024" w:hanging="370"/>
      </w:pPr>
      <w:rPr>
        <w:rFonts w:hint="default"/>
      </w:rPr>
    </w:lvl>
  </w:abstractNum>
  <w:abstractNum w:abstractNumId="4">
    <w:multiLevelType w:val="hybridMultilevel"/>
    <w:lvl w:ilvl="0">
      <w:start w:val="4"/>
      <w:numFmt w:val="decimal"/>
      <w:lvlText w:val="%1"/>
      <w:lvlJc w:val="left"/>
      <w:pPr>
        <w:ind w:left="2450" w:hanging="423"/>
        <w:jc w:val="left"/>
      </w:pPr>
      <w:rPr>
        <w:rFonts w:hint="default"/>
      </w:rPr>
    </w:lvl>
    <w:lvl w:ilvl="1">
      <w:start w:val="1"/>
      <w:numFmt w:val="decimal"/>
      <w:lvlText w:val="%1.%2"/>
      <w:lvlJc w:val="left"/>
      <w:pPr>
        <w:ind w:left="2450" w:hanging="423"/>
        <w:jc w:val="right"/>
      </w:pPr>
      <w:rPr>
        <w:rFonts w:hint="default" w:ascii="宋体" w:hAnsi="宋体" w:eastAsia="宋体" w:cs="宋体"/>
        <w:w w:val="100"/>
        <w:sz w:val="21"/>
        <w:szCs w:val="21"/>
      </w:rPr>
    </w:lvl>
    <w:lvl w:ilvl="2">
      <w:start w:val="0"/>
      <w:numFmt w:val="bullet"/>
      <w:lvlText w:val="•"/>
      <w:lvlJc w:val="left"/>
      <w:pPr>
        <w:ind w:left="2878" w:hanging="423"/>
      </w:pPr>
      <w:rPr>
        <w:rFonts w:hint="default"/>
      </w:rPr>
    </w:lvl>
    <w:lvl w:ilvl="3">
      <w:start w:val="0"/>
      <w:numFmt w:val="bullet"/>
      <w:lvlText w:val="•"/>
      <w:lvlJc w:val="left"/>
      <w:pPr>
        <w:ind w:left="3087" w:hanging="423"/>
      </w:pPr>
      <w:rPr>
        <w:rFonts w:hint="default"/>
      </w:rPr>
    </w:lvl>
    <w:lvl w:ilvl="4">
      <w:start w:val="0"/>
      <w:numFmt w:val="bullet"/>
      <w:lvlText w:val="•"/>
      <w:lvlJc w:val="left"/>
      <w:pPr>
        <w:ind w:left="3296" w:hanging="423"/>
      </w:pPr>
      <w:rPr>
        <w:rFonts w:hint="default"/>
      </w:rPr>
    </w:lvl>
    <w:lvl w:ilvl="5">
      <w:start w:val="0"/>
      <w:numFmt w:val="bullet"/>
      <w:lvlText w:val="•"/>
      <w:lvlJc w:val="left"/>
      <w:pPr>
        <w:ind w:left="3505" w:hanging="423"/>
      </w:pPr>
      <w:rPr>
        <w:rFonts w:hint="default"/>
      </w:rPr>
    </w:lvl>
    <w:lvl w:ilvl="6">
      <w:start w:val="0"/>
      <w:numFmt w:val="bullet"/>
      <w:lvlText w:val="•"/>
      <w:lvlJc w:val="left"/>
      <w:pPr>
        <w:ind w:left="3714" w:hanging="423"/>
      </w:pPr>
      <w:rPr>
        <w:rFonts w:hint="default"/>
      </w:rPr>
    </w:lvl>
    <w:lvl w:ilvl="7">
      <w:start w:val="0"/>
      <w:numFmt w:val="bullet"/>
      <w:lvlText w:val="•"/>
      <w:lvlJc w:val="left"/>
      <w:pPr>
        <w:ind w:left="3923" w:hanging="423"/>
      </w:pPr>
      <w:rPr>
        <w:rFonts w:hint="default"/>
      </w:rPr>
    </w:lvl>
    <w:lvl w:ilvl="8">
      <w:start w:val="0"/>
      <w:numFmt w:val="bullet"/>
      <w:lvlText w:val="•"/>
      <w:lvlJc w:val="left"/>
      <w:pPr>
        <w:ind w:left="4132" w:hanging="423"/>
      </w:pPr>
      <w:rPr>
        <w:rFonts w:hint="default"/>
      </w:rPr>
    </w:lvl>
  </w:abstractNum>
  <w:abstractNum w:abstractNumId="3">
    <w:multiLevelType w:val="hybridMultilevel"/>
    <w:lvl w:ilvl="0">
      <w:start w:val="3"/>
      <w:numFmt w:val="decimal"/>
      <w:lvlText w:val="%1"/>
      <w:lvlJc w:val="left"/>
      <w:pPr>
        <w:ind w:left="2450" w:hanging="423"/>
        <w:jc w:val="left"/>
      </w:pPr>
      <w:rPr>
        <w:rFonts w:hint="default"/>
      </w:rPr>
    </w:lvl>
    <w:lvl w:ilvl="1">
      <w:start w:val="1"/>
      <w:numFmt w:val="decimal"/>
      <w:lvlText w:val="%1.%2"/>
      <w:lvlJc w:val="left"/>
      <w:pPr>
        <w:ind w:left="2450" w:hanging="423"/>
        <w:jc w:val="left"/>
      </w:pPr>
      <w:rPr>
        <w:rFonts w:hint="default" w:ascii="宋体" w:hAnsi="宋体" w:eastAsia="宋体" w:cs="宋体"/>
        <w:w w:val="100"/>
        <w:sz w:val="21"/>
        <w:szCs w:val="21"/>
      </w:rPr>
    </w:lvl>
    <w:lvl w:ilvl="2">
      <w:start w:val="0"/>
      <w:numFmt w:val="bullet"/>
      <w:lvlText w:val="•"/>
      <w:lvlJc w:val="left"/>
      <w:pPr>
        <w:ind w:left="2878" w:hanging="423"/>
      </w:pPr>
      <w:rPr>
        <w:rFonts w:hint="default"/>
      </w:rPr>
    </w:lvl>
    <w:lvl w:ilvl="3">
      <w:start w:val="0"/>
      <w:numFmt w:val="bullet"/>
      <w:lvlText w:val="•"/>
      <w:lvlJc w:val="left"/>
      <w:pPr>
        <w:ind w:left="3087" w:hanging="423"/>
      </w:pPr>
      <w:rPr>
        <w:rFonts w:hint="default"/>
      </w:rPr>
    </w:lvl>
    <w:lvl w:ilvl="4">
      <w:start w:val="0"/>
      <w:numFmt w:val="bullet"/>
      <w:lvlText w:val="•"/>
      <w:lvlJc w:val="left"/>
      <w:pPr>
        <w:ind w:left="3296" w:hanging="423"/>
      </w:pPr>
      <w:rPr>
        <w:rFonts w:hint="default"/>
      </w:rPr>
    </w:lvl>
    <w:lvl w:ilvl="5">
      <w:start w:val="0"/>
      <w:numFmt w:val="bullet"/>
      <w:lvlText w:val="•"/>
      <w:lvlJc w:val="left"/>
      <w:pPr>
        <w:ind w:left="3505" w:hanging="423"/>
      </w:pPr>
      <w:rPr>
        <w:rFonts w:hint="default"/>
      </w:rPr>
    </w:lvl>
    <w:lvl w:ilvl="6">
      <w:start w:val="0"/>
      <w:numFmt w:val="bullet"/>
      <w:lvlText w:val="•"/>
      <w:lvlJc w:val="left"/>
      <w:pPr>
        <w:ind w:left="3714" w:hanging="423"/>
      </w:pPr>
      <w:rPr>
        <w:rFonts w:hint="default"/>
      </w:rPr>
    </w:lvl>
    <w:lvl w:ilvl="7">
      <w:start w:val="0"/>
      <w:numFmt w:val="bullet"/>
      <w:lvlText w:val="•"/>
      <w:lvlJc w:val="left"/>
      <w:pPr>
        <w:ind w:left="3923" w:hanging="423"/>
      </w:pPr>
      <w:rPr>
        <w:rFonts w:hint="default"/>
      </w:rPr>
    </w:lvl>
    <w:lvl w:ilvl="8">
      <w:start w:val="0"/>
      <w:numFmt w:val="bullet"/>
      <w:lvlText w:val="•"/>
      <w:lvlJc w:val="left"/>
      <w:pPr>
        <w:ind w:left="4132" w:hanging="423"/>
      </w:pPr>
      <w:rPr>
        <w:rFonts w:hint="default"/>
      </w:rPr>
    </w:lvl>
  </w:abstractNum>
  <w:abstractNum w:abstractNumId="2">
    <w:multiLevelType w:val="hybridMultilevel"/>
    <w:lvl w:ilvl="0">
      <w:start w:val="2"/>
      <w:numFmt w:val="decimal"/>
      <w:lvlText w:val="%1"/>
      <w:lvlJc w:val="left"/>
      <w:pPr>
        <w:ind w:left="2450" w:hanging="423"/>
        <w:jc w:val="left"/>
      </w:pPr>
      <w:rPr>
        <w:rFonts w:hint="default"/>
      </w:rPr>
    </w:lvl>
    <w:lvl w:ilvl="1">
      <w:start w:val="1"/>
      <w:numFmt w:val="decimal"/>
      <w:lvlText w:val="%1.%2"/>
      <w:lvlJc w:val="left"/>
      <w:pPr>
        <w:ind w:left="2450" w:hanging="423"/>
        <w:jc w:val="left"/>
      </w:pPr>
      <w:rPr>
        <w:rFonts w:hint="default" w:ascii="宋体" w:hAnsi="宋体" w:eastAsia="宋体" w:cs="宋体"/>
        <w:w w:val="100"/>
        <w:sz w:val="21"/>
        <w:szCs w:val="21"/>
      </w:rPr>
    </w:lvl>
    <w:lvl w:ilvl="2">
      <w:start w:val="0"/>
      <w:numFmt w:val="bullet"/>
      <w:lvlText w:val="•"/>
      <w:lvlJc w:val="left"/>
      <w:pPr>
        <w:ind w:left="2878" w:hanging="423"/>
      </w:pPr>
      <w:rPr>
        <w:rFonts w:hint="default"/>
      </w:rPr>
    </w:lvl>
    <w:lvl w:ilvl="3">
      <w:start w:val="0"/>
      <w:numFmt w:val="bullet"/>
      <w:lvlText w:val="•"/>
      <w:lvlJc w:val="left"/>
      <w:pPr>
        <w:ind w:left="3087" w:hanging="423"/>
      </w:pPr>
      <w:rPr>
        <w:rFonts w:hint="default"/>
      </w:rPr>
    </w:lvl>
    <w:lvl w:ilvl="4">
      <w:start w:val="0"/>
      <w:numFmt w:val="bullet"/>
      <w:lvlText w:val="•"/>
      <w:lvlJc w:val="left"/>
      <w:pPr>
        <w:ind w:left="3296" w:hanging="423"/>
      </w:pPr>
      <w:rPr>
        <w:rFonts w:hint="default"/>
      </w:rPr>
    </w:lvl>
    <w:lvl w:ilvl="5">
      <w:start w:val="0"/>
      <w:numFmt w:val="bullet"/>
      <w:lvlText w:val="•"/>
      <w:lvlJc w:val="left"/>
      <w:pPr>
        <w:ind w:left="3505" w:hanging="423"/>
      </w:pPr>
      <w:rPr>
        <w:rFonts w:hint="default"/>
      </w:rPr>
    </w:lvl>
    <w:lvl w:ilvl="6">
      <w:start w:val="0"/>
      <w:numFmt w:val="bullet"/>
      <w:lvlText w:val="•"/>
      <w:lvlJc w:val="left"/>
      <w:pPr>
        <w:ind w:left="3714" w:hanging="423"/>
      </w:pPr>
      <w:rPr>
        <w:rFonts w:hint="default"/>
      </w:rPr>
    </w:lvl>
    <w:lvl w:ilvl="7">
      <w:start w:val="0"/>
      <w:numFmt w:val="bullet"/>
      <w:lvlText w:val="•"/>
      <w:lvlJc w:val="left"/>
      <w:pPr>
        <w:ind w:left="3923" w:hanging="423"/>
      </w:pPr>
      <w:rPr>
        <w:rFonts w:hint="default"/>
      </w:rPr>
    </w:lvl>
    <w:lvl w:ilvl="8">
      <w:start w:val="0"/>
      <w:numFmt w:val="bullet"/>
      <w:lvlText w:val="•"/>
      <w:lvlJc w:val="left"/>
      <w:pPr>
        <w:ind w:left="4132" w:hanging="423"/>
      </w:pPr>
      <w:rPr>
        <w:rFonts w:hint="default"/>
      </w:rPr>
    </w:lvl>
  </w:abstractNum>
  <w:abstractNum w:abstractNumId="1">
    <w:multiLevelType w:val="hybridMultilevel"/>
    <w:lvl w:ilvl="0">
      <w:start w:val="1"/>
      <w:numFmt w:val="decimal"/>
      <w:lvlText w:val="%1"/>
      <w:lvlJc w:val="left"/>
      <w:pPr>
        <w:ind w:left="2450" w:hanging="423"/>
        <w:jc w:val="left"/>
      </w:pPr>
      <w:rPr>
        <w:rFonts w:hint="default"/>
      </w:rPr>
    </w:lvl>
    <w:lvl w:ilvl="1">
      <w:start w:val="1"/>
      <w:numFmt w:val="decimal"/>
      <w:lvlText w:val="%1.%2"/>
      <w:lvlJc w:val="left"/>
      <w:pPr>
        <w:ind w:left="2450" w:hanging="423"/>
        <w:jc w:val="left"/>
      </w:pPr>
      <w:rPr>
        <w:rFonts w:hint="default" w:ascii="宋体" w:hAnsi="宋体" w:eastAsia="宋体" w:cs="宋体"/>
        <w:w w:val="100"/>
        <w:sz w:val="21"/>
        <w:szCs w:val="21"/>
      </w:rPr>
    </w:lvl>
    <w:lvl w:ilvl="2">
      <w:start w:val="0"/>
      <w:numFmt w:val="bullet"/>
      <w:lvlText w:val="•"/>
      <w:lvlJc w:val="left"/>
      <w:pPr>
        <w:ind w:left="2878" w:hanging="423"/>
      </w:pPr>
      <w:rPr>
        <w:rFonts w:hint="default"/>
      </w:rPr>
    </w:lvl>
    <w:lvl w:ilvl="3">
      <w:start w:val="0"/>
      <w:numFmt w:val="bullet"/>
      <w:lvlText w:val="•"/>
      <w:lvlJc w:val="left"/>
      <w:pPr>
        <w:ind w:left="3087" w:hanging="423"/>
      </w:pPr>
      <w:rPr>
        <w:rFonts w:hint="default"/>
      </w:rPr>
    </w:lvl>
    <w:lvl w:ilvl="4">
      <w:start w:val="0"/>
      <w:numFmt w:val="bullet"/>
      <w:lvlText w:val="•"/>
      <w:lvlJc w:val="left"/>
      <w:pPr>
        <w:ind w:left="3296" w:hanging="423"/>
      </w:pPr>
      <w:rPr>
        <w:rFonts w:hint="default"/>
      </w:rPr>
    </w:lvl>
    <w:lvl w:ilvl="5">
      <w:start w:val="0"/>
      <w:numFmt w:val="bullet"/>
      <w:lvlText w:val="•"/>
      <w:lvlJc w:val="left"/>
      <w:pPr>
        <w:ind w:left="3505" w:hanging="423"/>
      </w:pPr>
      <w:rPr>
        <w:rFonts w:hint="default"/>
      </w:rPr>
    </w:lvl>
    <w:lvl w:ilvl="6">
      <w:start w:val="0"/>
      <w:numFmt w:val="bullet"/>
      <w:lvlText w:val="•"/>
      <w:lvlJc w:val="left"/>
      <w:pPr>
        <w:ind w:left="3714" w:hanging="423"/>
      </w:pPr>
      <w:rPr>
        <w:rFonts w:hint="default"/>
      </w:rPr>
    </w:lvl>
    <w:lvl w:ilvl="7">
      <w:start w:val="0"/>
      <w:numFmt w:val="bullet"/>
      <w:lvlText w:val="•"/>
      <w:lvlJc w:val="left"/>
      <w:pPr>
        <w:ind w:left="3923" w:hanging="423"/>
      </w:pPr>
      <w:rPr>
        <w:rFonts w:hint="default"/>
      </w:rPr>
    </w:lvl>
    <w:lvl w:ilvl="8">
      <w:start w:val="0"/>
      <w:numFmt w:val="bullet"/>
      <w:lvlText w:val="•"/>
      <w:lvlJc w:val="left"/>
      <w:pPr>
        <w:ind w:left="4132" w:hanging="423"/>
      </w:pPr>
      <w:rPr>
        <w:rFonts w:hint="default"/>
      </w:rPr>
    </w:lvl>
  </w:abstractNum>
  <w:abstractNum w:abstractNumId="0">
    <w:multiLevelType w:val="hybridMultilevel"/>
    <w:lvl w:ilvl="0">
      <w:start w:val="0"/>
      <w:numFmt w:val="bullet"/>
      <w:lvlText w:val=""/>
      <w:lvlJc w:val="left"/>
      <w:pPr>
        <w:ind w:left="1648" w:hanging="420"/>
      </w:pPr>
      <w:rPr>
        <w:rFonts w:hint="default" w:ascii="Wingdings" w:hAnsi="Wingdings" w:eastAsia="Wingdings" w:cs="Wingdings"/>
        <w:w w:val="100"/>
        <w:sz w:val="21"/>
        <w:szCs w:val="21"/>
      </w:rPr>
    </w:lvl>
    <w:lvl w:ilvl="1">
      <w:start w:val="0"/>
      <w:numFmt w:val="bullet"/>
      <w:lvlText w:val="•"/>
      <w:lvlJc w:val="left"/>
      <w:pPr>
        <w:ind w:left="2518" w:hanging="420"/>
      </w:pPr>
      <w:rPr>
        <w:rFonts w:hint="default"/>
      </w:rPr>
    </w:lvl>
    <w:lvl w:ilvl="2">
      <w:start w:val="0"/>
      <w:numFmt w:val="bullet"/>
      <w:lvlText w:val="•"/>
      <w:lvlJc w:val="left"/>
      <w:pPr>
        <w:ind w:left="3397" w:hanging="420"/>
      </w:pPr>
      <w:rPr>
        <w:rFonts w:hint="default"/>
      </w:rPr>
    </w:lvl>
    <w:lvl w:ilvl="3">
      <w:start w:val="0"/>
      <w:numFmt w:val="bullet"/>
      <w:lvlText w:val="•"/>
      <w:lvlJc w:val="left"/>
      <w:pPr>
        <w:ind w:left="4275" w:hanging="420"/>
      </w:pPr>
      <w:rPr>
        <w:rFonts w:hint="default"/>
      </w:rPr>
    </w:lvl>
    <w:lvl w:ilvl="4">
      <w:start w:val="0"/>
      <w:numFmt w:val="bullet"/>
      <w:lvlText w:val="•"/>
      <w:lvlJc w:val="left"/>
      <w:pPr>
        <w:ind w:left="5154" w:hanging="420"/>
      </w:pPr>
      <w:rPr>
        <w:rFonts w:hint="default"/>
      </w:rPr>
    </w:lvl>
    <w:lvl w:ilvl="5">
      <w:start w:val="0"/>
      <w:numFmt w:val="bullet"/>
      <w:lvlText w:val="•"/>
      <w:lvlJc w:val="left"/>
      <w:pPr>
        <w:ind w:left="6033" w:hanging="420"/>
      </w:pPr>
      <w:rPr>
        <w:rFonts w:hint="default"/>
      </w:rPr>
    </w:lvl>
    <w:lvl w:ilvl="6">
      <w:start w:val="0"/>
      <w:numFmt w:val="bullet"/>
      <w:lvlText w:val="•"/>
      <w:lvlJc w:val="left"/>
      <w:pPr>
        <w:ind w:left="6911" w:hanging="420"/>
      </w:pPr>
      <w:rPr>
        <w:rFonts w:hint="default"/>
      </w:rPr>
    </w:lvl>
    <w:lvl w:ilvl="7">
      <w:start w:val="0"/>
      <w:numFmt w:val="bullet"/>
      <w:lvlText w:val="•"/>
      <w:lvlJc w:val="left"/>
      <w:pPr>
        <w:ind w:left="7790" w:hanging="420"/>
      </w:pPr>
      <w:rPr>
        <w:rFonts w:hint="default"/>
      </w:rPr>
    </w:lvl>
    <w:lvl w:ilvl="8">
      <w:start w:val="0"/>
      <w:numFmt w:val="bullet"/>
      <w:lvlText w:val="•"/>
      <w:lvlJc w:val="left"/>
      <w:pPr>
        <w:ind w:left="8669" w:hanging="420"/>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7"/>
      <w:ind w:left="2140"/>
      <w:outlineLvl w:val="1"/>
    </w:pPr>
    <w:rPr>
      <w:rFonts w:ascii="黑体" w:hAnsi="黑体" w:eastAsia="黑体" w:cs="黑体"/>
      <w:b/>
      <w:bCs/>
      <w:sz w:val="30"/>
      <w:szCs w:val="30"/>
    </w:rPr>
  </w:style>
  <w:style w:styleId="Heading2" w:type="paragraph">
    <w:name w:val="Heading 2"/>
    <w:basedOn w:val="Normal"/>
    <w:uiPriority w:val="1"/>
    <w:qFormat/>
    <w:pPr>
      <w:ind w:left="1816"/>
      <w:outlineLvl w:val="2"/>
    </w:pPr>
    <w:rPr>
      <w:rFonts w:ascii="宋体" w:hAnsi="宋体" w:eastAsia="宋体" w:cs="宋体"/>
      <w:b/>
      <w:bCs/>
      <w:sz w:val="21"/>
      <w:szCs w:val="21"/>
    </w:rPr>
  </w:style>
  <w:style w:styleId="ListParagraph" w:type="paragraph">
    <w:name w:val="List Paragraph"/>
    <w:basedOn w:val="Normal"/>
    <w:uiPriority w:val="1"/>
    <w:qFormat/>
    <w:pPr>
      <w:spacing w:before="36"/>
      <w:ind w:left="2450" w:hanging="423"/>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汪志国</dc:creator>
  <dc:title>示范条款</dc:title>
  <dcterms:created xsi:type="dcterms:W3CDTF">2018-10-19T22:42:15Z</dcterms:created>
  <dcterms:modified xsi:type="dcterms:W3CDTF">2018-10-19T22:42:15Z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2014-05-09T00:00:00Z</vt:filetime>
  </property>
  <property fmtid="{D5CDD505-2E9C-101B-9397-08002B2CF9AE}" pid="3" name="Creator">
    <vt:lpwstr>Microsoft® Office Word 2007</vt:lpwstr>
  </property>
  <property fmtid="{D5CDD505-2E9C-101B-9397-08002B2CF9AE}" pid="4" name="LastSaved">
    <vt:filetime>2018-10-19T00:00:00Z</vt:filetime>
  </property>
</Properties>
</file>