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4" w:val="left" w:leader="none"/>
        </w:tabs>
        <w:spacing w:before="251"/>
        <w:ind w:left="143"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128"/>
        <w:ind w:left="143"/>
      </w:pPr>
      <w:r>
        <w:rPr/>
        <w:br w:type="column"/>
      </w:r>
      <w:r>
        <w:rPr/>
        <w:t>民生保险</w:t>
      </w:r>
      <w:r>
        <w:rPr>
          <w:rFonts w:ascii="Times New Roman" w:eastAsia="Times New Roman"/>
        </w:rPr>
        <w:t>[2014]</w:t>
      </w:r>
      <w:r>
        <w:rPr/>
        <w:t>疾病保险 </w:t>
      </w:r>
      <w:r>
        <w:rPr>
          <w:rFonts w:ascii="Times New Roman" w:eastAsia="Times New Roman"/>
        </w:rPr>
        <w:t>046 </w:t>
      </w:r>
      <w:r>
        <w:rPr/>
        <w:t>号</w:t>
      </w:r>
    </w:p>
    <w:p>
      <w:pPr>
        <w:spacing w:after="0"/>
        <w:sectPr>
          <w:headerReference w:type="default" r:id="rId5"/>
          <w:footerReference w:type="default" r:id="rId6"/>
          <w:type w:val="continuous"/>
          <w:pgSz w:w="11910" w:h="16840"/>
          <w:pgMar w:header="877" w:footer="977" w:top="1100" w:bottom="1160" w:left="1160" w:right="940"/>
          <w:pgNumType w:start="1"/>
          <w:cols w:num="2" w:equalWidth="0">
            <w:col w:w="5825" w:space="1275"/>
            <w:col w:w="2710"/>
          </w:cols>
        </w:sectPr>
      </w:pPr>
    </w:p>
    <w:p>
      <w:pPr>
        <w:pStyle w:val="BodyText"/>
        <w:spacing w:before="1"/>
        <w:rPr>
          <w:sz w:val="12"/>
        </w:rPr>
      </w:pPr>
    </w:p>
    <w:p>
      <w:pPr>
        <w:spacing w:before="36"/>
        <w:ind w:left="1638" w:right="0" w:firstLine="0"/>
        <w:jc w:val="left"/>
        <w:rPr>
          <w:b/>
          <w:sz w:val="21"/>
        </w:rPr>
      </w:pPr>
      <w:r>
        <w:rPr/>
        <w:drawing>
          <wp:anchor distT="0" distB="0" distL="0" distR="0" allowOverlap="1" layoutInCell="1" locked="0" behindDoc="0" simplePos="0" relativeHeight="1048">
            <wp:simplePos x="0" y="0"/>
            <wp:positionH relativeFrom="page">
              <wp:posOffset>6050279</wp:posOffset>
            </wp:positionH>
            <wp:positionV relativeFrom="paragraph">
              <wp:posOffset>-333403</wp:posOffset>
            </wp:positionV>
            <wp:extent cx="763524" cy="7635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63524" cy="763524"/>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2"/>
          <w:sz w:val="21"/>
        </w:rPr>
        <w:t>您</w:t>
      </w:r>
      <w:r>
        <w:rPr>
          <w:spacing w:val="-63"/>
          <w:position w:val="-7"/>
          <w:sz w:val="21"/>
        </w:rPr>
        <w:t>．</w:t>
      </w:r>
      <w:r>
        <w:rPr>
          <w:b/>
          <w:spacing w:val="-149"/>
          <w:sz w:val="21"/>
        </w:rPr>
        <w:t>理</w:t>
      </w:r>
      <w:r>
        <w:rPr>
          <w:spacing w:val="-63"/>
          <w:position w:val="-7"/>
          <w:sz w:val="21"/>
        </w:rPr>
        <w:t>．</w:t>
      </w:r>
      <w:r>
        <w:rPr>
          <w:b/>
          <w:spacing w:val="-152"/>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9"/>
        <w:rPr>
          <w:b/>
        </w:rPr>
      </w:pPr>
    </w:p>
    <w:p>
      <w:pPr>
        <w:spacing w:after="0"/>
        <w:sectPr>
          <w:type w:val="continuous"/>
          <w:pgSz w:w="11910" w:h="16840"/>
          <w:pgMar w:top="1100" w:bottom="1160" w:left="1160" w:right="940"/>
        </w:sectPr>
      </w:pPr>
    </w:p>
    <w:p>
      <w:pPr>
        <w:pStyle w:val="BodyText"/>
        <w:spacing w:before="9"/>
        <w:rPr>
          <w:b/>
          <w:sz w:val="43"/>
        </w:rPr>
      </w:pPr>
    </w:p>
    <w:p>
      <w:pPr>
        <w:pStyle w:val="Heading3"/>
        <w:tabs>
          <w:tab w:pos="1407" w:val="left" w:leader="none"/>
        </w:tabs>
        <w:spacing w:before="1"/>
        <w:ind w:left="397" w:firstLine="0"/>
      </w:pPr>
      <w:r>
        <w:rPr/>
        <w:drawing>
          <wp:anchor distT="0" distB="0" distL="0" distR="0" allowOverlap="1" layoutInCell="1" locked="0" behindDoc="1" simplePos="0" relativeHeight="268413335">
            <wp:simplePos x="0" y="0"/>
            <wp:positionH relativeFrom="page">
              <wp:posOffset>836675</wp:posOffset>
            </wp:positionH>
            <wp:positionV relativeFrom="paragraph">
              <wp:posOffset>-106335</wp:posOffset>
            </wp:positionV>
            <wp:extent cx="6028944" cy="68686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28944" cy="6868668"/>
                    </a:xfrm>
                    <a:prstGeom prst="rect">
                      <a:avLst/>
                    </a:prstGeom>
                  </pic:spPr>
                </pic:pic>
              </a:graphicData>
            </a:graphic>
          </wp:anchor>
        </w:drawing>
      </w: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BodyText"/>
        <w:spacing w:before="45"/>
        <w:ind w:left="397"/>
      </w:pPr>
      <w:r>
        <w:rPr/>
        <w:br w:type="column"/>
      </w:r>
      <w:r>
        <w:rPr/>
        <w:t>请扫描以查询验证条款</w:t>
      </w:r>
    </w:p>
    <w:p>
      <w:pPr>
        <w:spacing w:after="0"/>
        <w:sectPr>
          <w:type w:val="continuous"/>
          <w:pgSz w:w="11910" w:h="16840"/>
          <w:pgMar w:top="1100" w:bottom="1160" w:left="1160" w:right="940"/>
          <w:cols w:num="2" w:equalWidth="0">
            <w:col w:w="3096" w:space="4294"/>
            <w:col w:w="2420"/>
          </w:cols>
        </w:sectPr>
      </w:pPr>
    </w:p>
    <w:p>
      <w:pPr>
        <w:pStyle w:val="Heading3"/>
        <w:numPr>
          <w:ilvl w:val="0"/>
          <w:numId w:val="1"/>
        </w:numPr>
        <w:tabs>
          <w:tab w:pos="1808" w:val="left" w:leader="none"/>
          <w:tab w:pos="1809" w:val="left" w:leader="none"/>
        </w:tabs>
        <w:spacing w:line="240" w:lineRule="auto" w:before="26" w:after="0"/>
        <w:ind w:left="1808" w:right="0" w:hanging="439"/>
        <w:jc w:val="left"/>
      </w:pPr>
      <w:r>
        <w:rPr>
          <w:spacing w:val="-3"/>
        </w:rPr>
        <w:t>被保险人享受本附加保险合同提供的保障……………………………………第</w:t>
      </w:r>
      <w:r>
        <w:rPr/>
        <w:t>2.2条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签收本附加保险合同次日起十日内您可以要求退还全部保险费……………第</w:t>
      </w:r>
      <w:r>
        <w:rPr>
          <w:b/>
          <w:sz w:val="21"/>
        </w:rPr>
        <w:t>1.3条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2"/>
          <w:sz w:val="21"/>
        </w:rPr>
        <w:t>您有保险单借款的权利…………………………………………………………第</w:t>
      </w:r>
      <w:r>
        <w:rPr>
          <w:b/>
          <w:sz w:val="21"/>
        </w:rPr>
        <w:t>5.3条</w:t>
      </w:r>
    </w:p>
    <w:p>
      <w:pPr>
        <w:pStyle w:val="BodyText"/>
        <w:spacing w:before="10"/>
        <w:rPr>
          <w:b/>
          <w:sz w:val="16"/>
        </w:rPr>
      </w:pPr>
    </w:p>
    <w:p>
      <w:pPr>
        <w:tabs>
          <w:tab w:pos="1410" w:val="left" w:leader="none"/>
        </w:tabs>
        <w:spacing w:before="0"/>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1"/>
          <w:sz w:val="21"/>
        </w:rPr>
        <w:t>您应当特别注意的事项</w:t>
      </w:r>
    </w:p>
    <w:p>
      <w:pPr>
        <w:pStyle w:val="ListParagraph"/>
        <w:numPr>
          <w:ilvl w:val="0"/>
          <w:numId w:val="1"/>
        </w:numPr>
        <w:tabs>
          <w:tab w:pos="1808" w:val="left" w:leader="none"/>
          <w:tab w:pos="1809" w:val="left" w:leader="none"/>
        </w:tabs>
        <w:spacing w:line="240" w:lineRule="auto" w:before="160" w:after="0"/>
        <w:ind w:left="1808" w:right="0" w:hanging="439"/>
        <w:jc w:val="left"/>
        <w:rPr>
          <w:b/>
          <w:sz w:val="21"/>
        </w:rPr>
      </w:pPr>
      <w:r>
        <w:rPr>
          <w:b/>
          <w:spacing w:val="-3"/>
          <w:sz w:val="21"/>
        </w:rPr>
        <w:t>退保会给您造成一定的损失，请您慎重决策…………………………………第</w:t>
      </w:r>
      <w:r>
        <w:rPr>
          <w:b/>
          <w:sz w:val="21"/>
        </w:rPr>
        <w:t>6.1条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在某些情况下，本公司不承担保险责任………………………………………第</w:t>
      </w:r>
      <w:r>
        <w:rPr>
          <w:b/>
          <w:sz w:val="21"/>
        </w:rPr>
        <w:t>2.3条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本公司对一些重要术语进行了解释，并作了显著标识，请您注意…………第 </w:t>
      </w:r>
      <w:r>
        <w:rPr>
          <w:b/>
          <w:sz w:val="21"/>
        </w:rPr>
        <w:t>8 条</w:t>
      </w:r>
    </w:p>
    <w:p>
      <w:pPr>
        <w:pStyle w:val="BodyText"/>
        <w:spacing w:before="9"/>
        <w:rPr>
          <w:b/>
          <w:sz w:val="16"/>
        </w:rPr>
      </w:pPr>
    </w:p>
    <w:p>
      <w:pPr>
        <w:tabs>
          <w:tab w:pos="1410" w:val="left" w:leader="none"/>
        </w:tabs>
        <w:spacing w:before="1"/>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3"/>
          <w:sz w:val="21"/>
        </w:rPr>
        <w:t>条款是保险合同的重要内容，为充分保障您的权益，请您仔细阅读本条款。</w:t>
      </w:r>
    </w:p>
    <w:p>
      <w:pPr>
        <w:tabs>
          <w:tab w:pos="1407" w:val="left" w:leader="none"/>
        </w:tabs>
        <w:spacing w:before="181"/>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pStyle w:val="BodyText"/>
        <w:spacing w:before="6"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4"/>
        <w:gridCol w:w="2670"/>
        <w:gridCol w:w="3042"/>
      </w:tblGrid>
      <w:tr>
        <w:trPr>
          <w:trHeight w:val="268" w:hRule="atLeast"/>
        </w:trPr>
        <w:tc>
          <w:tcPr>
            <w:tcW w:w="2664" w:type="dxa"/>
          </w:tcPr>
          <w:p>
            <w:pPr>
              <w:pStyle w:val="TableParagraph"/>
              <w:spacing w:line="226" w:lineRule="exact"/>
              <w:ind w:left="50"/>
              <w:rPr>
                <w:b/>
                <w:sz w:val="21"/>
              </w:rPr>
            </w:pPr>
            <w:r>
              <w:rPr>
                <w:b/>
                <w:sz w:val="21"/>
              </w:rPr>
              <w:t>1.您与我们的合同</w:t>
            </w:r>
          </w:p>
        </w:tc>
        <w:tc>
          <w:tcPr>
            <w:tcW w:w="2670" w:type="dxa"/>
          </w:tcPr>
          <w:p>
            <w:pPr>
              <w:pStyle w:val="TableParagraph"/>
              <w:spacing w:line="223" w:lineRule="exact"/>
              <w:ind w:left="88"/>
              <w:rPr>
                <w:b/>
                <w:sz w:val="21"/>
              </w:rPr>
            </w:pPr>
            <w:r>
              <w:rPr>
                <w:b/>
                <w:sz w:val="21"/>
              </w:rPr>
              <w:t>4.如何交付保险费</w:t>
            </w:r>
          </w:p>
        </w:tc>
        <w:tc>
          <w:tcPr>
            <w:tcW w:w="3042" w:type="dxa"/>
          </w:tcPr>
          <w:p>
            <w:pPr>
              <w:pStyle w:val="TableParagraph"/>
              <w:spacing w:line="211" w:lineRule="exact"/>
              <w:ind w:left="257"/>
              <w:rPr>
                <w:b/>
                <w:sz w:val="21"/>
              </w:rPr>
            </w:pPr>
            <w:r>
              <w:rPr>
                <w:b/>
                <w:sz w:val="21"/>
              </w:rPr>
              <w:t>8.释义</w:t>
            </w:r>
          </w:p>
        </w:tc>
      </w:tr>
      <w:tr>
        <w:trPr>
          <w:trHeight w:val="311" w:hRule="atLeast"/>
        </w:trPr>
        <w:tc>
          <w:tcPr>
            <w:tcW w:w="2664" w:type="dxa"/>
          </w:tcPr>
          <w:p>
            <w:pPr>
              <w:pStyle w:val="TableParagraph"/>
              <w:spacing w:line="269" w:lineRule="exact"/>
              <w:ind w:left="261"/>
              <w:rPr>
                <w:sz w:val="21"/>
              </w:rPr>
            </w:pPr>
            <w:r>
              <w:rPr>
                <w:sz w:val="21"/>
              </w:rPr>
              <w:t>1.1 合同构成</w:t>
            </w:r>
          </w:p>
        </w:tc>
        <w:tc>
          <w:tcPr>
            <w:tcW w:w="2670" w:type="dxa"/>
          </w:tcPr>
          <w:p>
            <w:pPr>
              <w:pStyle w:val="TableParagraph"/>
              <w:spacing w:line="266" w:lineRule="exact"/>
              <w:ind w:left="299"/>
              <w:rPr>
                <w:sz w:val="21"/>
              </w:rPr>
            </w:pPr>
            <w:r>
              <w:rPr>
                <w:sz w:val="21"/>
              </w:rPr>
              <w:t>4.1 保险费的交付</w:t>
            </w:r>
          </w:p>
        </w:tc>
        <w:tc>
          <w:tcPr>
            <w:tcW w:w="3042" w:type="dxa"/>
          </w:tcPr>
          <w:p>
            <w:pPr>
              <w:pStyle w:val="TableParagraph"/>
              <w:spacing w:line="254" w:lineRule="exact"/>
              <w:ind w:left="468"/>
              <w:rPr>
                <w:sz w:val="21"/>
              </w:rPr>
            </w:pPr>
            <w:r>
              <w:rPr>
                <w:sz w:val="21"/>
              </w:rPr>
              <w:t>8.1 有效身份证件</w:t>
            </w:r>
          </w:p>
        </w:tc>
      </w:tr>
      <w:tr>
        <w:trPr>
          <w:trHeight w:val="311" w:hRule="atLeast"/>
        </w:trPr>
        <w:tc>
          <w:tcPr>
            <w:tcW w:w="2664" w:type="dxa"/>
          </w:tcPr>
          <w:p>
            <w:pPr>
              <w:pStyle w:val="TableParagraph"/>
              <w:spacing w:line="269" w:lineRule="exact"/>
              <w:ind w:left="261"/>
              <w:rPr>
                <w:sz w:val="21"/>
              </w:rPr>
            </w:pPr>
            <w:r>
              <w:rPr>
                <w:sz w:val="21"/>
              </w:rPr>
              <w:t>1.2 合同成立与生效</w:t>
            </w:r>
          </w:p>
        </w:tc>
        <w:tc>
          <w:tcPr>
            <w:tcW w:w="2670" w:type="dxa"/>
          </w:tcPr>
          <w:p>
            <w:pPr>
              <w:pStyle w:val="TableParagraph"/>
              <w:rPr>
                <w:rFonts w:ascii="Times New Roman"/>
                <w:sz w:val="20"/>
              </w:rPr>
            </w:pPr>
          </w:p>
        </w:tc>
        <w:tc>
          <w:tcPr>
            <w:tcW w:w="3042" w:type="dxa"/>
          </w:tcPr>
          <w:p>
            <w:pPr>
              <w:pStyle w:val="TableParagraph"/>
              <w:spacing w:line="254" w:lineRule="exact"/>
              <w:ind w:left="468"/>
              <w:rPr>
                <w:sz w:val="21"/>
              </w:rPr>
            </w:pPr>
            <w:r>
              <w:rPr>
                <w:sz w:val="21"/>
              </w:rPr>
              <w:t>8.2 意外事故</w:t>
            </w:r>
          </w:p>
        </w:tc>
      </w:tr>
      <w:tr>
        <w:trPr>
          <w:trHeight w:val="311" w:hRule="atLeast"/>
        </w:trPr>
        <w:tc>
          <w:tcPr>
            <w:tcW w:w="2664" w:type="dxa"/>
          </w:tcPr>
          <w:p>
            <w:pPr>
              <w:pStyle w:val="TableParagraph"/>
              <w:spacing w:line="269" w:lineRule="exact"/>
              <w:ind w:left="261"/>
              <w:rPr>
                <w:sz w:val="21"/>
              </w:rPr>
            </w:pPr>
            <w:r>
              <w:rPr>
                <w:sz w:val="21"/>
              </w:rPr>
              <w:t>1.3 犹豫期</w:t>
            </w:r>
          </w:p>
        </w:tc>
        <w:tc>
          <w:tcPr>
            <w:tcW w:w="2670" w:type="dxa"/>
          </w:tcPr>
          <w:p>
            <w:pPr>
              <w:pStyle w:val="TableParagraph"/>
              <w:spacing w:line="266" w:lineRule="exact"/>
              <w:ind w:left="88"/>
              <w:rPr>
                <w:b/>
                <w:sz w:val="21"/>
              </w:rPr>
            </w:pPr>
            <w:r>
              <w:rPr>
                <w:b/>
                <w:sz w:val="21"/>
              </w:rPr>
              <w:t>5.现金价值权益</w:t>
            </w:r>
          </w:p>
        </w:tc>
        <w:tc>
          <w:tcPr>
            <w:tcW w:w="3042" w:type="dxa"/>
          </w:tcPr>
          <w:p>
            <w:pPr>
              <w:pStyle w:val="TableParagraph"/>
              <w:spacing w:line="254" w:lineRule="exact"/>
              <w:ind w:right="48"/>
              <w:jc w:val="right"/>
              <w:rPr>
                <w:sz w:val="21"/>
              </w:rPr>
            </w:pPr>
            <w:r>
              <w:rPr>
                <w:sz w:val="21"/>
              </w:rPr>
              <w:t>8.3 指定或认可的医疗机构</w:t>
            </w:r>
          </w:p>
        </w:tc>
      </w:tr>
      <w:tr>
        <w:trPr>
          <w:trHeight w:val="312" w:hRule="atLeast"/>
        </w:trPr>
        <w:tc>
          <w:tcPr>
            <w:tcW w:w="2664" w:type="dxa"/>
          </w:tcPr>
          <w:p>
            <w:pPr>
              <w:pStyle w:val="TableParagraph"/>
              <w:spacing w:line="269" w:lineRule="exact"/>
              <w:ind w:left="261"/>
              <w:rPr>
                <w:sz w:val="21"/>
              </w:rPr>
            </w:pPr>
            <w:r>
              <w:rPr>
                <w:sz w:val="21"/>
              </w:rPr>
              <w:t>1.4 保险期间</w:t>
            </w:r>
          </w:p>
        </w:tc>
        <w:tc>
          <w:tcPr>
            <w:tcW w:w="2670" w:type="dxa"/>
          </w:tcPr>
          <w:p>
            <w:pPr>
              <w:pStyle w:val="TableParagraph"/>
              <w:spacing w:line="266" w:lineRule="exact"/>
              <w:ind w:left="299"/>
              <w:rPr>
                <w:sz w:val="21"/>
              </w:rPr>
            </w:pPr>
            <w:r>
              <w:rPr>
                <w:sz w:val="21"/>
              </w:rPr>
              <w:t>5.1 现金价值</w:t>
            </w:r>
          </w:p>
        </w:tc>
        <w:tc>
          <w:tcPr>
            <w:tcW w:w="3042" w:type="dxa"/>
          </w:tcPr>
          <w:p>
            <w:pPr>
              <w:pStyle w:val="TableParagraph"/>
              <w:spacing w:line="254" w:lineRule="exact"/>
              <w:ind w:left="468"/>
              <w:rPr>
                <w:sz w:val="21"/>
              </w:rPr>
            </w:pPr>
            <w:r>
              <w:rPr>
                <w:sz w:val="21"/>
              </w:rPr>
              <w:t>8.4 毒品</w:t>
            </w:r>
          </w:p>
        </w:tc>
      </w:tr>
      <w:tr>
        <w:trPr>
          <w:trHeight w:val="310" w:hRule="atLeast"/>
        </w:trPr>
        <w:tc>
          <w:tcPr>
            <w:tcW w:w="2664" w:type="dxa"/>
          </w:tcPr>
          <w:p>
            <w:pPr>
              <w:pStyle w:val="TableParagraph"/>
              <w:rPr>
                <w:rFonts w:ascii="Times New Roman"/>
                <w:sz w:val="20"/>
              </w:rPr>
            </w:pPr>
          </w:p>
        </w:tc>
        <w:tc>
          <w:tcPr>
            <w:tcW w:w="2670" w:type="dxa"/>
          </w:tcPr>
          <w:p>
            <w:pPr>
              <w:pStyle w:val="TableParagraph"/>
              <w:spacing w:line="266" w:lineRule="exact"/>
              <w:ind w:left="299"/>
              <w:rPr>
                <w:sz w:val="21"/>
              </w:rPr>
            </w:pPr>
            <w:r>
              <w:rPr>
                <w:sz w:val="21"/>
              </w:rPr>
              <w:t>5.2 自动垫交</w:t>
            </w:r>
          </w:p>
        </w:tc>
        <w:tc>
          <w:tcPr>
            <w:tcW w:w="3042" w:type="dxa"/>
          </w:tcPr>
          <w:p>
            <w:pPr>
              <w:pStyle w:val="TableParagraph"/>
              <w:spacing w:line="254" w:lineRule="exact"/>
              <w:ind w:left="468"/>
              <w:rPr>
                <w:sz w:val="21"/>
              </w:rPr>
            </w:pPr>
            <w:r>
              <w:rPr>
                <w:sz w:val="21"/>
              </w:rPr>
              <w:t>8.5 酒后驾驶</w:t>
            </w:r>
          </w:p>
        </w:tc>
      </w:tr>
      <w:tr>
        <w:trPr>
          <w:trHeight w:val="313" w:hRule="atLeast"/>
        </w:trPr>
        <w:tc>
          <w:tcPr>
            <w:tcW w:w="2664" w:type="dxa"/>
          </w:tcPr>
          <w:p>
            <w:pPr>
              <w:pStyle w:val="TableParagraph"/>
              <w:spacing w:line="270" w:lineRule="exact"/>
              <w:ind w:left="50"/>
              <w:rPr>
                <w:b/>
                <w:sz w:val="21"/>
              </w:rPr>
            </w:pPr>
            <w:r>
              <w:rPr>
                <w:b/>
                <w:sz w:val="21"/>
              </w:rPr>
              <w:t>2.我们提供的保障</w:t>
            </w:r>
          </w:p>
        </w:tc>
        <w:tc>
          <w:tcPr>
            <w:tcW w:w="2670" w:type="dxa"/>
          </w:tcPr>
          <w:p>
            <w:pPr>
              <w:pStyle w:val="TableParagraph"/>
              <w:spacing w:line="267" w:lineRule="exact"/>
              <w:ind w:left="299"/>
              <w:rPr>
                <w:sz w:val="21"/>
              </w:rPr>
            </w:pPr>
            <w:r>
              <w:rPr>
                <w:sz w:val="21"/>
              </w:rPr>
              <w:t>5.3 保险单借款</w:t>
            </w:r>
          </w:p>
        </w:tc>
        <w:tc>
          <w:tcPr>
            <w:tcW w:w="3042" w:type="dxa"/>
          </w:tcPr>
          <w:p>
            <w:pPr>
              <w:pStyle w:val="TableParagraph"/>
              <w:spacing w:line="255" w:lineRule="exact"/>
              <w:ind w:right="48"/>
              <w:jc w:val="right"/>
              <w:rPr>
                <w:sz w:val="21"/>
              </w:rPr>
            </w:pPr>
            <w:r>
              <w:rPr>
                <w:sz w:val="21"/>
              </w:rPr>
              <w:t>8.6 无合法有效驾驶证驾驶</w:t>
            </w:r>
          </w:p>
        </w:tc>
      </w:tr>
      <w:tr>
        <w:trPr>
          <w:trHeight w:val="312" w:hRule="atLeast"/>
        </w:trPr>
        <w:tc>
          <w:tcPr>
            <w:tcW w:w="2664" w:type="dxa"/>
          </w:tcPr>
          <w:p>
            <w:pPr>
              <w:pStyle w:val="TableParagraph"/>
              <w:spacing w:line="269" w:lineRule="exact"/>
              <w:ind w:left="261"/>
              <w:rPr>
                <w:sz w:val="21"/>
              </w:rPr>
            </w:pPr>
            <w:r>
              <w:rPr>
                <w:sz w:val="21"/>
              </w:rPr>
              <w:t>2.1 保险金额</w:t>
            </w:r>
          </w:p>
        </w:tc>
        <w:tc>
          <w:tcPr>
            <w:tcW w:w="2670" w:type="dxa"/>
          </w:tcPr>
          <w:p>
            <w:pPr>
              <w:pStyle w:val="TableParagraph"/>
              <w:rPr>
                <w:rFonts w:ascii="Times New Roman"/>
                <w:sz w:val="20"/>
              </w:rPr>
            </w:pPr>
          </w:p>
        </w:tc>
        <w:tc>
          <w:tcPr>
            <w:tcW w:w="3042" w:type="dxa"/>
          </w:tcPr>
          <w:p>
            <w:pPr>
              <w:pStyle w:val="TableParagraph"/>
              <w:spacing w:line="254" w:lineRule="exact"/>
              <w:ind w:left="468"/>
              <w:rPr>
                <w:sz w:val="21"/>
              </w:rPr>
            </w:pPr>
            <w:r>
              <w:rPr>
                <w:sz w:val="21"/>
              </w:rPr>
              <w:t>8.7 无有效行驶证</w:t>
            </w:r>
          </w:p>
        </w:tc>
      </w:tr>
      <w:tr>
        <w:trPr>
          <w:trHeight w:val="312" w:hRule="atLeast"/>
        </w:trPr>
        <w:tc>
          <w:tcPr>
            <w:tcW w:w="2664" w:type="dxa"/>
          </w:tcPr>
          <w:p>
            <w:pPr>
              <w:pStyle w:val="TableParagraph"/>
              <w:spacing w:line="269" w:lineRule="exact"/>
              <w:ind w:left="261"/>
              <w:rPr>
                <w:sz w:val="21"/>
              </w:rPr>
            </w:pPr>
            <w:r>
              <w:rPr>
                <w:sz w:val="21"/>
              </w:rPr>
              <w:t>2.2 保险责任</w:t>
            </w:r>
          </w:p>
        </w:tc>
        <w:tc>
          <w:tcPr>
            <w:tcW w:w="2670" w:type="dxa"/>
          </w:tcPr>
          <w:p>
            <w:pPr>
              <w:pStyle w:val="TableParagraph"/>
              <w:spacing w:line="266" w:lineRule="exact"/>
              <w:ind w:left="88"/>
              <w:rPr>
                <w:b/>
                <w:sz w:val="21"/>
              </w:rPr>
            </w:pPr>
            <w:r>
              <w:rPr>
                <w:b/>
                <w:sz w:val="21"/>
              </w:rPr>
              <w:t>6.如何解除保险合同</w:t>
            </w:r>
          </w:p>
        </w:tc>
        <w:tc>
          <w:tcPr>
            <w:tcW w:w="3042" w:type="dxa"/>
          </w:tcPr>
          <w:p>
            <w:pPr>
              <w:pStyle w:val="TableParagraph"/>
              <w:spacing w:line="254" w:lineRule="exact"/>
              <w:ind w:left="461"/>
              <w:rPr>
                <w:sz w:val="21"/>
              </w:rPr>
            </w:pPr>
            <w:r>
              <w:rPr>
                <w:sz w:val="21"/>
              </w:rPr>
              <w:t>8.8 艾滋病</w:t>
            </w:r>
          </w:p>
        </w:tc>
      </w:tr>
      <w:tr>
        <w:trPr>
          <w:trHeight w:val="311" w:hRule="atLeast"/>
        </w:trPr>
        <w:tc>
          <w:tcPr>
            <w:tcW w:w="2664" w:type="dxa"/>
          </w:tcPr>
          <w:p>
            <w:pPr>
              <w:pStyle w:val="TableParagraph"/>
              <w:spacing w:line="269" w:lineRule="exact"/>
              <w:ind w:left="261"/>
              <w:rPr>
                <w:sz w:val="21"/>
              </w:rPr>
            </w:pPr>
            <w:r>
              <w:rPr>
                <w:sz w:val="21"/>
              </w:rPr>
              <w:t>2.3 责任免除</w:t>
            </w:r>
          </w:p>
        </w:tc>
        <w:tc>
          <w:tcPr>
            <w:tcW w:w="2670" w:type="dxa"/>
          </w:tcPr>
          <w:p>
            <w:pPr>
              <w:pStyle w:val="TableParagraph"/>
              <w:spacing w:line="266" w:lineRule="exact"/>
              <w:ind w:left="299"/>
              <w:rPr>
                <w:sz w:val="21"/>
              </w:rPr>
            </w:pPr>
            <w:r>
              <w:rPr>
                <w:sz w:val="21"/>
              </w:rPr>
              <w:t>6.1 您解除合同的</w:t>
            </w:r>
          </w:p>
        </w:tc>
        <w:tc>
          <w:tcPr>
            <w:tcW w:w="3042" w:type="dxa"/>
          </w:tcPr>
          <w:p>
            <w:pPr>
              <w:pStyle w:val="TableParagraph"/>
              <w:spacing w:line="254" w:lineRule="exact"/>
              <w:ind w:left="468"/>
              <w:rPr>
                <w:sz w:val="21"/>
              </w:rPr>
            </w:pPr>
            <w:r>
              <w:rPr>
                <w:sz w:val="21"/>
              </w:rPr>
              <w:t>8.9 艾滋病病毒</w:t>
            </w:r>
          </w:p>
        </w:tc>
      </w:tr>
      <w:tr>
        <w:trPr>
          <w:trHeight w:val="310" w:hRule="atLeast"/>
        </w:trPr>
        <w:tc>
          <w:tcPr>
            <w:tcW w:w="2664" w:type="dxa"/>
          </w:tcPr>
          <w:p>
            <w:pPr>
              <w:pStyle w:val="TableParagraph"/>
              <w:rPr>
                <w:rFonts w:ascii="Times New Roman"/>
                <w:sz w:val="20"/>
              </w:rPr>
            </w:pPr>
          </w:p>
        </w:tc>
        <w:tc>
          <w:tcPr>
            <w:tcW w:w="2670" w:type="dxa"/>
          </w:tcPr>
          <w:p>
            <w:pPr>
              <w:pStyle w:val="TableParagraph"/>
              <w:spacing w:line="266" w:lineRule="exact"/>
              <w:ind w:left="719"/>
              <w:rPr>
                <w:sz w:val="21"/>
              </w:rPr>
            </w:pPr>
            <w:r>
              <w:rPr>
                <w:sz w:val="21"/>
              </w:rPr>
              <w:t>手续及风险</w:t>
            </w:r>
          </w:p>
        </w:tc>
        <w:tc>
          <w:tcPr>
            <w:tcW w:w="3042" w:type="dxa"/>
          </w:tcPr>
          <w:p>
            <w:pPr>
              <w:pStyle w:val="TableParagraph"/>
              <w:spacing w:line="254" w:lineRule="exact"/>
              <w:ind w:left="468"/>
              <w:rPr>
                <w:sz w:val="21"/>
              </w:rPr>
            </w:pPr>
            <w:r>
              <w:rPr>
                <w:sz w:val="21"/>
              </w:rPr>
              <w:t>8.10 现金价值</w:t>
            </w:r>
          </w:p>
        </w:tc>
      </w:tr>
      <w:tr>
        <w:trPr>
          <w:trHeight w:val="319" w:hRule="atLeast"/>
        </w:trPr>
        <w:tc>
          <w:tcPr>
            <w:tcW w:w="2664" w:type="dxa"/>
          </w:tcPr>
          <w:p>
            <w:pPr>
              <w:pStyle w:val="TableParagraph"/>
              <w:spacing w:line="270" w:lineRule="exact"/>
              <w:ind w:left="50"/>
              <w:rPr>
                <w:b/>
                <w:sz w:val="21"/>
              </w:rPr>
            </w:pPr>
            <w:r>
              <w:rPr>
                <w:b/>
                <w:sz w:val="21"/>
              </w:rPr>
              <w:t>3.如何申请领取保险金</w:t>
            </w:r>
          </w:p>
        </w:tc>
        <w:tc>
          <w:tcPr>
            <w:tcW w:w="2670" w:type="dxa"/>
          </w:tcPr>
          <w:p>
            <w:pPr>
              <w:pStyle w:val="TableParagraph"/>
              <w:rPr>
                <w:rFonts w:ascii="Times New Roman"/>
                <w:sz w:val="20"/>
              </w:rPr>
            </w:pPr>
          </w:p>
        </w:tc>
        <w:tc>
          <w:tcPr>
            <w:tcW w:w="3042" w:type="dxa"/>
          </w:tcPr>
          <w:p>
            <w:pPr>
              <w:pStyle w:val="TableParagraph"/>
              <w:spacing w:line="255" w:lineRule="exact"/>
              <w:ind w:left="468"/>
              <w:rPr>
                <w:sz w:val="21"/>
              </w:rPr>
            </w:pPr>
            <w:r>
              <w:rPr>
                <w:sz w:val="21"/>
              </w:rPr>
              <w:t>8.11 利息</w:t>
            </w:r>
          </w:p>
        </w:tc>
      </w:tr>
      <w:tr>
        <w:trPr>
          <w:trHeight w:val="312" w:hRule="atLeast"/>
        </w:trPr>
        <w:tc>
          <w:tcPr>
            <w:tcW w:w="2664" w:type="dxa"/>
          </w:tcPr>
          <w:p>
            <w:pPr>
              <w:pStyle w:val="TableParagraph"/>
              <w:spacing w:line="263" w:lineRule="exact"/>
              <w:ind w:left="261"/>
              <w:rPr>
                <w:sz w:val="21"/>
              </w:rPr>
            </w:pPr>
            <w:r>
              <w:rPr>
                <w:sz w:val="21"/>
              </w:rPr>
              <w:t>3.1 受益人的指定和变更</w:t>
            </w:r>
          </w:p>
        </w:tc>
        <w:tc>
          <w:tcPr>
            <w:tcW w:w="2670" w:type="dxa"/>
          </w:tcPr>
          <w:p>
            <w:pPr>
              <w:pStyle w:val="TableParagraph"/>
              <w:spacing w:line="260" w:lineRule="exact"/>
              <w:ind w:left="88"/>
              <w:rPr>
                <w:b/>
                <w:sz w:val="21"/>
              </w:rPr>
            </w:pPr>
            <w:r>
              <w:rPr>
                <w:b/>
                <w:sz w:val="21"/>
              </w:rPr>
              <w:t>7.其他需要您关注的事项</w:t>
            </w:r>
          </w:p>
        </w:tc>
        <w:tc>
          <w:tcPr>
            <w:tcW w:w="3042" w:type="dxa"/>
          </w:tcPr>
          <w:p>
            <w:pPr>
              <w:pStyle w:val="TableParagraph"/>
              <w:rPr>
                <w:rFonts w:ascii="Times New Roman"/>
                <w:sz w:val="20"/>
              </w:rPr>
            </w:pPr>
          </w:p>
        </w:tc>
      </w:tr>
      <w:tr>
        <w:trPr>
          <w:trHeight w:val="311" w:hRule="atLeast"/>
        </w:trPr>
        <w:tc>
          <w:tcPr>
            <w:tcW w:w="2664" w:type="dxa"/>
          </w:tcPr>
          <w:p>
            <w:pPr>
              <w:pStyle w:val="TableParagraph"/>
              <w:spacing w:line="263" w:lineRule="exact"/>
              <w:ind w:left="261"/>
              <w:rPr>
                <w:sz w:val="21"/>
              </w:rPr>
            </w:pPr>
            <w:r>
              <w:rPr>
                <w:sz w:val="21"/>
              </w:rPr>
              <w:t>3.2 保险金的申请</w:t>
            </w:r>
          </w:p>
        </w:tc>
        <w:tc>
          <w:tcPr>
            <w:tcW w:w="2670" w:type="dxa"/>
          </w:tcPr>
          <w:p>
            <w:pPr>
              <w:pStyle w:val="TableParagraph"/>
              <w:spacing w:line="260" w:lineRule="exact"/>
              <w:ind w:left="299"/>
              <w:rPr>
                <w:sz w:val="21"/>
              </w:rPr>
            </w:pPr>
            <w:r>
              <w:rPr>
                <w:sz w:val="21"/>
              </w:rPr>
              <w:t>7.1 投保范围</w:t>
            </w:r>
          </w:p>
        </w:tc>
        <w:tc>
          <w:tcPr>
            <w:tcW w:w="3042" w:type="dxa"/>
          </w:tcPr>
          <w:p>
            <w:pPr>
              <w:pStyle w:val="TableParagraph"/>
              <w:rPr>
                <w:rFonts w:ascii="Times New Roman"/>
                <w:sz w:val="20"/>
              </w:rPr>
            </w:pPr>
          </w:p>
        </w:tc>
      </w:tr>
      <w:tr>
        <w:trPr>
          <w:trHeight w:val="313" w:hRule="atLeast"/>
        </w:trPr>
        <w:tc>
          <w:tcPr>
            <w:tcW w:w="2664" w:type="dxa"/>
          </w:tcPr>
          <w:p>
            <w:pPr>
              <w:pStyle w:val="TableParagraph"/>
              <w:spacing w:line="263" w:lineRule="exact"/>
              <w:ind w:left="261"/>
              <w:rPr>
                <w:sz w:val="21"/>
              </w:rPr>
            </w:pPr>
            <w:r>
              <w:rPr>
                <w:sz w:val="21"/>
              </w:rPr>
              <w:t>3.3 欠款的扣除</w:t>
            </w:r>
          </w:p>
        </w:tc>
        <w:tc>
          <w:tcPr>
            <w:tcW w:w="2670" w:type="dxa"/>
          </w:tcPr>
          <w:p>
            <w:pPr>
              <w:pStyle w:val="TableParagraph"/>
              <w:spacing w:line="260" w:lineRule="exact"/>
              <w:ind w:left="299"/>
              <w:rPr>
                <w:sz w:val="21"/>
              </w:rPr>
            </w:pPr>
            <w:r>
              <w:rPr>
                <w:sz w:val="21"/>
              </w:rPr>
              <w:t>7.2 合同效力</w:t>
            </w:r>
          </w:p>
        </w:tc>
        <w:tc>
          <w:tcPr>
            <w:tcW w:w="3042" w:type="dxa"/>
          </w:tcPr>
          <w:p>
            <w:pPr>
              <w:pStyle w:val="TableParagraph"/>
              <w:rPr>
                <w:rFonts w:ascii="Times New Roman"/>
                <w:sz w:val="20"/>
              </w:rPr>
            </w:pPr>
          </w:p>
        </w:tc>
      </w:tr>
      <w:tr>
        <w:trPr>
          <w:trHeight w:val="261" w:hRule="atLeast"/>
        </w:trPr>
        <w:tc>
          <w:tcPr>
            <w:tcW w:w="2664" w:type="dxa"/>
          </w:tcPr>
          <w:p>
            <w:pPr>
              <w:pStyle w:val="TableParagraph"/>
              <w:spacing w:line="242" w:lineRule="exact"/>
              <w:ind w:left="261"/>
              <w:rPr>
                <w:sz w:val="21"/>
              </w:rPr>
            </w:pPr>
            <w:r>
              <w:rPr>
                <w:sz w:val="21"/>
              </w:rPr>
              <w:t>3.4 诉讼时效</w:t>
            </w:r>
          </w:p>
        </w:tc>
        <w:tc>
          <w:tcPr>
            <w:tcW w:w="2670" w:type="dxa"/>
          </w:tcPr>
          <w:p>
            <w:pPr>
              <w:pStyle w:val="TableParagraph"/>
              <w:rPr>
                <w:rFonts w:ascii="Times New Roman"/>
                <w:sz w:val="18"/>
              </w:rPr>
            </w:pPr>
          </w:p>
        </w:tc>
        <w:tc>
          <w:tcPr>
            <w:tcW w:w="3042" w:type="dxa"/>
          </w:tcPr>
          <w:p>
            <w:pPr>
              <w:pStyle w:val="TableParagraph"/>
              <w:rPr>
                <w:rFonts w:ascii="Times New Roman"/>
                <w:sz w:val="18"/>
              </w:rPr>
            </w:pPr>
          </w:p>
        </w:tc>
      </w:tr>
    </w:tbl>
    <w:p>
      <w:pPr>
        <w:spacing w:after="0"/>
        <w:rPr>
          <w:rFonts w:ascii="Times New Roman"/>
          <w:sz w:val="18"/>
        </w:rPr>
        <w:sectPr>
          <w:type w:val="continuous"/>
          <w:pgSz w:w="11910" w:h="16840"/>
          <w:pgMar w:top="1100" w:bottom="1160" w:left="1160" w:right="940"/>
        </w:sectPr>
      </w:pPr>
    </w:p>
    <w:p>
      <w:pPr>
        <w:pStyle w:val="BodyText"/>
        <w:spacing w:before="0"/>
        <w:rPr>
          <w:b/>
          <w:sz w:val="20"/>
        </w:rPr>
      </w:pPr>
    </w:p>
    <w:p>
      <w:pPr>
        <w:pStyle w:val="BodyText"/>
        <w:spacing w:before="0"/>
        <w:rPr>
          <w:b/>
          <w:sz w:val="20"/>
        </w:rPr>
      </w:pPr>
    </w:p>
    <w:p>
      <w:pPr>
        <w:pStyle w:val="Heading1"/>
        <w:spacing w:before="167"/>
      </w:pPr>
      <w:r>
        <w:rPr/>
        <w:t>民生人寿保险股份有限公司</w:t>
      </w:r>
    </w:p>
    <w:p>
      <w:pPr>
        <w:spacing w:before="128"/>
        <w:ind w:left="2699" w:right="2890" w:firstLine="0"/>
        <w:jc w:val="center"/>
        <w:rPr>
          <w:b/>
          <w:sz w:val="28"/>
        </w:rPr>
      </w:pPr>
      <w:r>
        <w:rPr>
          <w:b/>
          <w:w w:val="95"/>
          <w:sz w:val="28"/>
        </w:rPr>
        <w:t>附加额外给付至尊版重大疾病保险条款</w:t>
      </w:r>
    </w:p>
    <w:p>
      <w:pPr>
        <w:pStyle w:val="BodyText"/>
        <w:spacing w:before="0"/>
        <w:rPr>
          <w:b/>
          <w:sz w:val="28"/>
        </w:rPr>
      </w:pPr>
    </w:p>
    <w:p>
      <w:pPr>
        <w:pStyle w:val="BodyText"/>
        <w:spacing w:before="11"/>
        <w:rPr>
          <w:b/>
          <w:sz w:val="31"/>
        </w:rPr>
      </w:pPr>
    </w:p>
    <w:p>
      <w:pPr>
        <w:spacing w:before="0"/>
        <w:ind w:left="223" w:right="0" w:firstLine="0"/>
        <w:jc w:val="left"/>
        <w:rPr>
          <w:sz w:val="21"/>
        </w:rPr>
      </w:pPr>
      <w:r>
        <w:rPr>
          <w:spacing w:val="-24"/>
          <w:w w:val="100"/>
          <w:sz w:val="21"/>
        </w:rPr>
        <w:t>在本条款中，“您”指投保人，“我们”、“本公司”均指民生人寿保险股份有限公司</w:t>
      </w:r>
    </w:p>
    <w:p>
      <w:pPr>
        <w:pStyle w:val="BodyText"/>
        <w:spacing w:before="0"/>
        <w:rPr>
          <w:sz w:val="20"/>
        </w:rPr>
      </w:pPr>
    </w:p>
    <w:p>
      <w:pPr>
        <w:pStyle w:val="BodyText"/>
        <w:spacing w:before="3"/>
        <w:rPr>
          <w:sz w:val="20"/>
        </w:rPr>
      </w:pPr>
    </w:p>
    <w:p>
      <w:pPr>
        <w:pStyle w:val="Heading2"/>
        <w:numPr>
          <w:ilvl w:val="0"/>
          <w:numId w:val="2"/>
        </w:numPr>
        <w:tabs>
          <w:tab w:pos="907" w:val="left" w:leader="none"/>
          <w:tab w:pos="908" w:val="left" w:leader="none"/>
        </w:tabs>
        <w:spacing w:line="240" w:lineRule="auto" w:before="0" w:after="0"/>
        <w:ind w:left="907" w:right="0" w:hanging="684"/>
        <w:jc w:val="left"/>
      </w:pPr>
      <w:r>
        <w:rPr/>
        <w:pict>
          <v:group style="position:absolute;margin-left:59.759998pt;margin-top:27.372517pt;width:497.4pt;height:.5pt;mso-position-horizontal-relative:page;mso-position-vertical-relative:paragraph;z-index:107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您与我们的合同</w:t>
      </w:r>
    </w:p>
    <w:p>
      <w:pPr>
        <w:pStyle w:val="BodyText"/>
        <w:spacing w:before="7"/>
        <w:rPr>
          <w:b/>
          <w:sz w:val="10"/>
        </w:rPr>
      </w:pPr>
    </w:p>
    <w:p>
      <w:pPr>
        <w:pStyle w:val="ListParagraph"/>
        <w:numPr>
          <w:ilvl w:val="1"/>
          <w:numId w:val="3"/>
        </w:numPr>
        <w:tabs>
          <w:tab w:pos="908" w:val="left" w:leader="none"/>
        </w:tabs>
        <w:spacing w:line="302" w:lineRule="auto" w:before="36" w:after="0"/>
        <w:ind w:left="2613" w:right="258" w:hanging="2390"/>
        <w:jc w:val="both"/>
        <w:rPr>
          <w:sz w:val="18"/>
        </w:rPr>
      </w:pPr>
      <w:r>
        <w:rPr>
          <w:b/>
          <w:w w:val="100"/>
          <w:sz w:val="21"/>
        </w:rPr>
        <w:t>合同构成</w:t>
      </w:r>
      <w:r>
        <w:rPr>
          <w:b/>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9"/>
        <w:ind w:left="2613"/>
      </w:pPr>
      <w:r>
        <w:rPr/>
        <w:t>除本附加合同另有约定外，其他未尽事宜以主险合同条款为准。</w:t>
      </w:r>
    </w:p>
    <w:p>
      <w:pPr>
        <w:pStyle w:val="BodyText"/>
        <w:spacing w:before="8"/>
        <w:rPr>
          <w:sz w:val="21"/>
        </w:rPr>
      </w:pPr>
    </w:p>
    <w:p>
      <w:pPr>
        <w:pStyle w:val="ListParagraph"/>
        <w:numPr>
          <w:ilvl w:val="1"/>
          <w:numId w:val="3"/>
        </w:numPr>
        <w:tabs>
          <w:tab w:pos="907" w:val="left" w:leader="none"/>
          <w:tab w:pos="908" w:val="left" w:leader="none"/>
          <w:tab w:pos="2613" w:val="left" w:leader="none"/>
        </w:tabs>
        <w:spacing w:line="240" w:lineRule="auto" w:before="1" w:after="0"/>
        <w:ind w:left="2613" w:right="0" w:hanging="2390"/>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58"/>
        <w:ind w:left="2613" w:right="152"/>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9" w:lineRule="auto" w:before="18"/>
        <w:ind w:left="2613" w:right="150"/>
      </w:pPr>
      <w:r>
        <w:rPr/>
        <w:t>本附加合同的生效日以后每年的对应日是保险单周年日。保险单年度、保险单月份、保险费到期日和保险单满期日均以该日期计算。</w:t>
      </w:r>
    </w:p>
    <w:p>
      <w:pPr>
        <w:pStyle w:val="BodyText"/>
        <w:spacing w:before="16"/>
        <w:ind w:left="2613"/>
      </w:pPr>
      <w:r>
        <w:rPr/>
        <w:t>如果当月无对应的同一天，则以该月最后一日为对应日。</w:t>
      </w:r>
    </w:p>
    <w:p>
      <w:pPr>
        <w:pStyle w:val="BodyText"/>
        <w:spacing w:before="8"/>
        <w:rPr>
          <w:sz w:val="21"/>
        </w:rPr>
      </w:pPr>
    </w:p>
    <w:p>
      <w:pPr>
        <w:pStyle w:val="ListParagraph"/>
        <w:numPr>
          <w:ilvl w:val="1"/>
          <w:numId w:val="3"/>
        </w:numPr>
        <w:tabs>
          <w:tab w:pos="908" w:val="left" w:leader="none"/>
        </w:tabs>
        <w:spacing w:line="302" w:lineRule="auto" w:before="0" w:after="0"/>
        <w:ind w:left="2613" w:right="205"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BodyText"/>
        <w:spacing w:line="316" w:lineRule="auto" w:before="29"/>
        <w:ind w:left="2613" w:right="205"/>
        <w:jc w:val="both"/>
      </w:pPr>
      <w:r>
        <w:rPr>
          <w:spacing w:val="-6"/>
        </w:rPr>
        <w:t>解除合同时，您需要填写书面申请书，并提供您的合同及</w:t>
      </w:r>
      <w:r>
        <w:rPr>
          <w:b/>
          <w:spacing w:val="-4"/>
          <w:w w:val="99"/>
        </w:rPr>
        <w:t>有效身份证件</w:t>
      </w:r>
      <w:r>
        <w:rPr/>
        <w:t>（</w:t>
      </w:r>
      <w:r>
        <w:rPr>
          <w:spacing w:val="-23"/>
        </w:rPr>
        <w:t>见 </w:t>
      </w:r>
      <w:r>
        <w:rPr/>
        <w:t>8.</w:t>
      </w:r>
      <w:r>
        <w:rPr>
          <w:spacing w:val="0"/>
        </w:rPr>
        <w:t>1</w:t>
      </w:r>
      <w:r>
        <w:rPr>
          <w:spacing w:val="-92"/>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
        <w:rPr>
          <w:sz w:val="17"/>
        </w:rPr>
      </w:pPr>
    </w:p>
    <w:p>
      <w:pPr>
        <w:pStyle w:val="ListParagraph"/>
        <w:numPr>
          <w:ilvl w:val="1"/>
          <w:numId w:val="3"/>
        </w:numPr>
        <w:tabs>
          <w:tab w:pos="908" w:val="left" w:leader="none"/>
        </w:tabs>
        <w:spacing w:line="290" w:lineRule="auto" w:before="0" w:after="0"/>
        <w:ind w:left="2613" w:right="349" w:hanging="2390"/>
        <w:jc w:val="both"/>
        <w:rPr>
          <w:sz w:val="18"/>
        </w:rPr>
      </w:pPr>
      <w:r>
        <w:rPr>
          <w:b/>
          <w:spacing w:val="0"/>
          <w:sz w:val="21"/>
        </w:rPr>
        <w:t>保险期间       </w:t>
      </w:r>
      <w:r>
        <w:rPr>
          <w:position w:val="1"/>
          <w:sz w:val="18"/>
        </w:rPr>
        <w:t>本附加合同保险期间分为二十年期和本附加合同生效日起至被保险人年满六十周岁保险单周</w:t>
      </w:r>
      <w:r>
        <w:rPr>
          <w:sz w:val="18"/>
        </w:rPr>
        <w:t>年日止。</w:t>
      </w:r>
    </w:p>
    <w:p>
      <w:pPr>
        <w:pStyle w:val="BodyText"/>
        <w:spacing w:before="38"/>
        <w:ind w:left="2613"/>
        <w:jc w:val="both"/>
      </w:pPr>
      <w:r>
        <w:rPr/>
        <w:t>本附加合同的保险期间由您与我们约定，并在保险单上载明。</w:t>
      </w:r>
    </w:p>
    <w:p>
      <w:pPr>
        <w:pStyle w:val="BodyText"/>
        <w:spacing w:before="9"/>
        <w:rPr>
          <w:sz w:val="22"/>
        </w:rPr>
      </w:pPr>
    </w:p>
    <w:p>
      <w:pPr>
        <w:pStyle w:val="Heading2"/>
        <w:numPr>
          <w:ilvl w:val="0"/>
          <w:numId w:val="4"/>
        </w:numPr>
        <w:tabs>
          <w:tab w:pos="907" w:val="left" w:leader="none"/>
          <w:tab w:pos="908" w:val="left" w:leader="none"/>
        </w:tabs>
        <w:spacing w:line="240" w:lineRule="auto" w:before="75" w:after="0"/>
        <w:ind w:left="907" w:right="0" w:hanging="684"/>
        <w:jc w:val="left"/>
      </w:pPr>
      <w:r>
        <w:rPr/>
        <w:pict>
          <v:group style="position:absolute;margin-left:59.759998pt;margin-top:31.122517pt;width:497.4pt;height:.5pt;mso-position-horizontal-relative:page;mso-position-vertical-relative:paragraph;z-index:1096;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w w:val="95"/>
        </w:rPr>
        <w:t>我们提供的保障</w:t>
      </w:r>
    </w:p>
    <w:p>
      <w:pPr>
        <w:pStyle w:val="BodyText"/>
        <w:spacing w:before="7"/>
        <w:rPr>
          <w:b/>
          <w:sz w:val="10"/>
        </w:rPr>
      </w:pPr>
    </w:p>
    <w:p>
      <w:pPr>
        <w:pStyle w:val="ListParagraph"/>
        <w:numPr>
          <w:ilvl w:val="1"/>
          <w:numId w:val="5"/>
        </w:numPr>
        <w:tabs>
          <w:tab w:pos="907" w:val="left" w:leader="none"/>
          <w:tab w:pos="908" w:val="left" w:leader="none"/>
          <w:tab w:pos="2613" w:val="left" w:leader="none"/>
        </w:tabs>
        <w:spacing w:line="240" w:lineRule="auto" w:before="36" w:after="0"/>
        <w:ind w:left="907" w:right="0" w:hanging="684"/>
        <w:jc w:val="left"/>
        <w:rPr>
          <w:sz w:val="18"/>
        </w:rPr>
      </w:pPr>
      <w:r>
        <w:rPr>
          <w:b/>
          <w:sz w:val="21"/>
        </w:rPr>
        <w:t>保险金额</w:t>
        <w:tab/>
      </w:r>
      <w:r>
        <w:rPr>
          <w:position w:val="1"/>
          <w:sz w:val="18"/>
        </w:rPr>
        <w:t>本附加合同保险金额由您和本公司约定，并在保险单上载明。</w:t>
      </w:r>
    </w:p>
    <w:p>
      <w:pPr>
        <w:pStyle w:val="BodyText"/>
        <w:spacing w:before="3"/>
        <w:rPr>
          <w:sz w:val="20"/>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保险责任</w:t>
        <w:tab/>
      </w:r>
      <w:r>
        <w:rPr>
          <w:position w:val="1"/>
          <w:sz w:val="18"/>
        </w:rPr>
        <w:t>在本附加合同有效期内，本公司按下列规定承担保险责任：</w:t>
      </w:r>
    </w:p>
    <w:p>
      <w:pPr>
        <w:pStyle w:val="BodyText"/>
        <w:spacing w:before="3"/>
        <w:rPr>
          <w:sz w:val="20"/>
        </w:rPr>
      </w:pPr>
    </w:p>
    <w:p>
      <w:pPr>
        <w:pStyle w:val="BodyText"/>
        <w:spacing w:line="302" w:lineRule="auto" w:before="0"/>
        <w:ind w:left="2613" w:right="208" w:hanging="1707"/>
        <w:jc w:val="both"/>
      </w:pPr>
      <w:r>
        <w:rPr>
          <w:b/>
          <w:spacing w:val="0"/>
          <w:sz w:val="21"/>
        </w:rPr>
        <w:t>等待期         </w:t>
      </w:r>
      <w:r>
        <w:rPr>
          <w:position w:val="1"/>
          <w:shd w:fill="C0C0C0" w:color="auto" w:val="clear"/>
        </w:rPr>
        <w:t>从本附加合同生效（或复效）</w:t>
      </w:r>
      <w:r>
        <w:rPr>
          <w:spacing w:val="-12"/>
          <w:position w:val="1"/>
          <w:shd w:fill="C0C0C0" w:color="auto" w:val="clear"/>
        </w:rPr>
        <w:t>之日起 </w:t>
      </w:r>
      <w:r>
        <w:rPr>
          <w:rFonts w:ascii="Times New Roman" w:eastAsia="Times New Roman"/>
          <w:position w:val="1"/>
          <w:shd w:fill="C0C0C0" w:color="auto" w:val="clear"/>
        </w:rPr>
        <w:t>180 </w:t>
      </w:r>
      <w:r>
        <w:rPr>
          <w:position w:val="1"/>
          <w:shd w:fill="C0C0C0" w:color="auto" w:val="clear"/>
        </w:rPr>
        <w:t>天内</w:t>
      </w:r>
      <w:r>
        <w:rPr>
          <w:rFonts w:ascii="Times New Roman" w:eastAsia="Times New Roman"/>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spacing w:val="-3"/>
          <w:position w:val="1"/>
          <w:shd w:fill="C0C0C0" w:color="auto" w:val="clear"/>
        </w:rPr>
        <w:t>天</w:t>
      </w:r>
      <w:r>
        <w:rPr>
          <w:rFonts w:ascii="Times New Roman" w:eastAsia="Times New Roman"/>
          <w:position w:val="1"/>
          <w:shd w:fill="C0C0C0" w:color="auto" w:val="clear"/>
        </w:rPr>
        <w:t>)</w:t>
      </w:r>
      <w:r>
        <w:rPr>
          <w:position w:val="1"/>
          <w:shd w:fill="C0C0C0" w:color="auto" w:val="clear"/>
        </w:rPr>
        <w:t>，被保险人因疾病首次发生并被</w:t>
      </w:r>
      <w:r>
        <w:rPr>
          <w:spacing w:val="-2"/>
          <w:shd w:fill="C0C0C0" w:color="auto" w:val="clear"/>
        </w:rPr>
        <w:t>确诊患有本附加合同附表一所列的重大疾病，本公司不承担保险责任，并向您无息返还本附加合同已交保险费，</w:t>
      </w:r>
      <w:r>
        <w:rPr>
          <w:spacing w:val="-24"/>
          <w:shd w:fill="C0C0C0" w:color="auto" w:val="clear"/>
        </w:rPr>
        <w:t>本附加合同终止。这 </w:t>
      </w:r>
      <w:r>
        <w:rPr>
          <w:rFonts w:ascii="Times New Roman" w:eastAsia="Times New Roman"/>
          <w:shd w:fill="C0C0C0" w:color="auto" w:val="clear"/>
        </w:rPr>
        <w:t>180 </w:t>
      </w:r>
      <w:r>
        <w:rPr>
          <w:spacing w:val="-1"/>
          <w:shd w:fill="C0C0C0" w:color="auto" w:val="clear"/>
        </w:rPr>
        <w:t>天时间被称为等待期。</w:t>
      </w:r>
      <w:r>
        <w:rPr/>
        <w:t>因</w:t>
      </w:r>
      <w:r>
        <w:rPr>
          <w:b/>
        </w:rPr>
        <w:t>意外事故</w:t>
      </w:r>
      <w:r>
        <w:rPr/>
        <w:t>（</w:t>
      </w:r>
      <w:r>
        <w:rPr>
          <w:spacing w:val="-24"/>
        </w:rPr>
        <w:t>见 </w:t>
      </w:r>
      <w:r>
        <w:rPr>
          <w:rFonts w:ascii="Times New Roman" w:eastAsia="Times New Roman"/>
        </w:rPr>
        <w:t>8.2</w:t>
      </w:r>
      <w:r>
        <w:rPr/>
        <w:t>）</w:t>
      </w:r>
      <w:r>
        <w:rPr>
          <w:spacing w:val="-2"/>
        </w:rPr>
        <w:t>发生上述情形的，无等待期。</w:t>
      </w:r>
    </w:p>
    <w:p>
      <w:pPr>
        <w:spacing w:after="0" w:line="302" w:lineRule="auto"/>
        <w:jc w:val="both"/>
        <w:sectPr>
          <w:pgSz w:w="11910" w:h="16840"/>
          <w:pgMar w:header="877" w:footer="977" w:top="1100" w:bottom="1160" w:left="1080" w:right="660"/>
        </w:sectPr>
      </w:pPr>
    </w:p>
    <w:p>
      <w:pPr>
        <w:pStyle w:val="BodyText"/>
        <w:spacing w:before="2"/>
        <w:rPr>
          <w:sz w:val="19"/>
        </w:rPr>
      </w:pPr>
    </w:p>
    <w:p>
      <w:pPr>
        <w:pStyle w:val="BodyText"/>
        <w:tabs>
          <w:tab w:pos="2613" w:val="left" w:leader="none"/>
        </w:tabs>
        <w:spacing w:line="302" w:lineRule="auto" w:before="37"/>
        <w:ind w:left="2613" w:right="114" w:hanging="1707"/>
      </w:pPr>
      <w:r>
        <w:rPr>
          <w:b/>
          <w:sz w:val="21"/>
        </w:rPr>
        <w:t>重大疾病保险金</w:t>
        <w:tab/>
      </w:r>
      <w:r>
        <w:rPr>
          <w:position w:val="1"/>
        </w:rPr>
        <w:t>若被保险人经诊断于本附加合同等待期后首次发生并经本公司</w:t>
      </w:r>
      <w:r>
        <w:rPr>
          <w:b/>
          <w:position w:val="1"/>
        </w:rPr>
        <w:t>指定或认可的医疗机</w:t>
      </w:r>
      <w:r>
        <w:rPr>
          <w:b/>
          <w:spacing w:val="-87"/>
          <w:position w:val="1"/>
        </w:rPr>
        <w:t>构</w:t>
      </w:r>
      <w:r>
        <w:rPr>
          <w:position w:val="1"/>
        </w:rPr>
        <w:t>（见</w:t>
      </w:r>
      <w:r>
        <w:rPr>
          <w:spacing w:val="-49"/>
          <w:position w:val="1"/>
        </w:rPr>
        <w:t> </w:t>
      </w:r>
      <w:r>
        <w:rPr>
          <w:position w:val="1"/>
        </w:rPr>
        <w:t>8.3）</w:t>
      </w:r>
      <w:r>
        <w:rPr/>
        <w:t>确诊初次患有本附加合同附表一约定的一项或多项重大疾病的</w:t>
      </w:r>
      <w:r>
        <w:rPr>
          <w:spacing w:val="-36"/>
        </w:rPr>
        <w:t>，</w:t>
      </w:r>
      <w:r>
        <w:rPr/>
        <w:t>本公司按确诊当时本附加合同保险金额向重大疾病保险金受益人给付重大疾病保险金，本附加合同效力终止。</w:t>
      </w:r>
    </w:p>
    <w:p>
      <w:pPr>
        <w:pStyle w:val="BodyText"/>
        <w:spacing w:before="12"/>
        <w:rPr>
          <w:sz w:val="17"/>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4"/>
        <w:jc w:val="left"/>
        <w:rPr>
          <w:sz w:val="18"/>
        </w:rPr>
      </w:pPr>
      <w:r>
        <w:rPr>
          <w:b/>
          <w:sz w:val="21"/>
        </w:rPr>
        <w:t>责任免除</w:t>
        <w:tab/>
      </w:r>
      <w:r>
        <w:rPr>
          <w:position w:val="1"/>
          <w:sz w:val="18"/>
          <w:shd w:fill="C0C0C0" w:color="auto" w:val="clear"/>
        </w:rPr>
        <w:t>被保险人因下列情形之一导致患本附加合同约定的重大疾病的，本公司不承担保险责任：</w:t>
      </w:r>
    </w:p>
    <w:p>
      <w:pPr>
        <w:pStyle w:val="Heading4"/>
        <w:spacing w:before="57"/>
        <w:ind w:left="2613"/>
      </w:pPr>
      <w:r>
        <w:rPr>
          <w:shd w:fill="C0C0C0" w:color="auto" w:val="clear"/>
        </w:rPr>
        <w:t>1、 投保人对被保险人的故意杀害、故意伤害；</w:t>
      </w:r>
    </w:p>
    <w:p>
      <w:pPr>
        <w:spacing w:before="75"/>
        <w:ind w:left="2613" w:right="0" w:firstLine="0"/>
        <w:jc w:val="left"/>
        <w:rPr>
          <w:b/>
          <w:sz w:val="18"/>
        </w:rPr>
      </w:pPr>
      <w:r>
        <w:rPr>
          <w:b/>
          <w:sz w:val="18"/>
          <w:shd w:fill="C0C0C0" w:color="auto" w:val="clear"/>
        </w:rPr>
        <w:t>2、 被保险人故意犯罪或者抗拒依法采取的刑事强制措施；</w:t>
      </w:r>
    </w:p>
    <w:p>
      <w:pPr>
        <w:spacing w:before="75"/>
        <w:ind w:left="2613" w:right="0" w:firstLine="0"/>
        <w:jc w:val="left"/>
        <w:rPr>
          <w:b/>
          <w:sz w:val="18"/>
        </w:rPr>
      </w:pPr>
      <w:r>
        <w:rPr>
          <w:b/>
          <w:sz w:val="18"/>
          <w:shd w:fill="C0C0C0" w:color="auto" w:val="clear"/>
        </w:rPr>
        <w:t>3、 被保险人故意自伤；</w:t>
      </w:r>
    </w:p>
    <w:p>
      <w:pPr>
        <w:spacing w:before="76"/>
        <w:ind w:left="2613" w:right="0" w:firstLine="0"/>
        <w:jc w:val="left"/>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before="76"/>
        <w:ind w:left="2613" w:right="0" w:firstLine="0"/>
        <w:jc w:val="left"/>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.5</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6</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（见</w:t>
      </w:r>
    </w:p>
    <w:p>
      <w:pPr>
        <w:spacing w:before="76"/>
        <w:ind w:left="3009" w:right="0" w:firstLine="0"/>
        <w:jc w:val="left"/>
        <w:rPr>
          <w:b/>
          <w:sz w:val="18"/>
        </w:rPr>
      </w:pPr>
      <w:r>
        <w:rPr>
          <w:w w:val="95"/>
          <w:sz w:val="18"/>
          <w:shd w:fill="C0C0C0" w:color="auto" w:val="clear"/>
        </w:rPr>
        <w:t>8.7）</w:t>
      </w:r>
      <w:r>
        <w:rPr>
          <w:b/>
          <w:w w:val="95"/>
          <w:sz w:val="18"/>
          <w:shd w:fill="C0C0C0" w:color="auto" w:val="clear"/>
        </w:rPr>
        <w:t>的机动车；</w:t>
      </w:r>
    </w:p>
    <w:p>
      <w:pPr>
        <w:pStyle w:val="Heading4"/>
        <w:spacing w:before="76"/>
        <w:ind w:left="2613"/>
        <w:rPr>
          <w:b w:val="0"/>
        </w:rPr>
      </w:pPr>
      <w:r>
        <w:rPr>
          <w:spacing w:val="0"/>
          <w:w w:val="99"/>
          <w:shd w:fill="C0C0C0" w:color="auto" w:val="clear"/>
        </w:rPr>
        <w:t>6</w:t>
      </w:r>
      <w:r>
        <w:rPr>
          <w:w w:val="99"/>
          <w:shd w:fill="C0C0C0" w:color="auto" w:val="clear"/>
        </w:rPr>
        <w:t>、</w:t>
      </w:r>
      <w:r>
        <w:rPr>
          <w:spacing w:val="33"/>
          <w:shd w:fill="C0C0C0" w:color="auto" w:val="clear"/>
        </w:rPr>
        <w:t> </w:t>
      </w:r>
      <w:r>
        <w:rPr>
          <w:spacing w:val="-2"/>
          <w:w w:val="99"/>
          <w:shd w:fill="C0C0C0" w:color="auto" w:val="clear"/>
        </w:rPr>
        <w:t>被保险人在本附加合同生效日起二年内患艾滋病</w:t>
      </w:r>
      <w:r>
        <w:rPr>
          <w:w w:val="99"/>
          <w:shd w:fill="C0C0C0" w:color="auto" w:val="clear"/>
        </w:rPr>
        <w:t>（</w:t>
      </w:r>
      <w:r>
        <w:rPr>
          <w:b w:val="0"/>
          <w:spacing w:val="-23"/>
          <w:shd w:fill="C0C0C0" w:color="auto" w:val="clear"/>
        </w:rPr>
        <w:t>见 </w:t>
      </w:r>
      <w:r>
        <w:rPr>
          <w:b w:val="0"/>
          <w:spacing w:val="-2"/>
          <w:shd w:fill="C0C0C0" w:color="auto" w:val="clear"/>
        </w:rPr>
        <w:t>8</w:t>
      </w:r>
      <w:r>
        <w:rPr>
          <w:b w:val="0"/>
          <w:spacing w:val="0"/>
          <w:shd w:fill="C0C0C0" w:color="auto" w:val="clear"/>
        </w:rPr>
        <w:t>.</w:t>
      </w:r>
      <w:r>
        <w:rPr>
          <w:b w:val="0"/>
          <w:spacing w:val="-2"/>
          <w:shd w:fill="C0C0C0" w:color="auto" w:val="clear"/>
        </w:rPr>
        <w:t>8</w:t>
      </w:r>
      <w:r>
        <w:rPr>
          <w:spacing w:val="-125"/>
          <w:w w:val="99"/>
          <w:shd w:fill="C0C0C0" w:color="auto" w:val="clear"/>
        </w:rPr>
        <w:t>）</w:t>
      </w:r>
      <w:r>
        <w:rPr>
          <w:w w:val="99"/>
          <w:shd w:fill="C0C0C0" w:color="auto" w:val="clear"/>
        </w:rPr>
        <w:t>（</w:t>
      </w:r>
      <w:r>
        <w:rPr>
          <w:spacing w:val="-2"/>
          <w:w w:val="99"/>
          <w:shd w:fill="C0C0C0" w:color="auto" w:val="clear"/>
        </w:rPr>
        <w:t>A</w:t>
      </w:r>
      <w:r>
        <w:rPr>
          <w:w w:val="99"/>
          <w:shd w:fill="C0C0C0" w:color="auto" w:val="clear"/>
        </w:rPr>
        <w:t>I</w:t>
      </w:r>
      <w:r>
        <w:rPr>
          <w:spacing w:val="1"/>
          <w:w w:val="99"/>
          <w:shd w:fill="C0C0C0" w:color="auto" w:val="clear"/>
        </w:rPr>
        <w:t>D</w:t>
      </w:r>
      <w:r>
        <w:rPr>
          <w:spacing w:val="0"/>
          <w:w w:val="99"/>
          <w:shd w:fill="C0C0C0" w:color="auto" w:val="clear"/>
        </w:rPr>
        <w:t>S</w:t>
      </w:r>
      <w:r>
        <w:rPr>
          <w:spacing w:val="-36"/>
          <w:w w:val="99"/>
          <w:shd w:fill="C0C0C0" w:color="auto" w:val="clear"/>
        </w:rPr>
        <w:t>）</w:t>
      </w:r>
      <w:r>
        <w:rPr>
          <w:spacing w:val="-5"/>
          <w:w w:val="99"/>
          <w:shd w:fill="C0C0C0" w:color="auto" w:val="clear"/>
        </w:rPr>
        <w:t>或感染艾滋病病毒</w:t>
      </w:r>
      <w:r>
        <w:rPr>
          <w:spacing w:val="1"/>
          <w:w w:val="99"/>
          <w:shd w:fill="C0C0C0" w:color="auto" w:val="clear"/>
        </w:rPr>
        <w:t>（</w:t>
      </w:r>
      <w:r>
        <w:rPr>
          <w:b w:val="0"/>
          <w:shd w:fill="C0C0C0" w:color="auto" w:val="clear"/>
        </w:rPr>
        <w:t>见</w:t>
      </w:r>
    </w:p>
    <w:p>
      <w:pPr>
        <w:spacing w:before="75"/>
        <w:ind w:left="3009" w:right="0" w:firstLine="0"/>
        <w:jc w:val="left"/>
        <w:rPr>
          <w:b/>
          <w:sz w:val="18"/>
        </w:rPr>
      </w:pPr>
      <w:r>
        <w:rPr>
          <w:spacing w:val="0"/>
          <w:sz w:val="18"/>
          <w:shd w:fill="C0C0C0" w:color="auto" w:val="clear"/>
        </w:rPr>
        <w:t>8.</w:t>
      </w:r>
      <w:r>
        <w:rPr>
          <w:spacing w:val="-2"/>
          <w:sz w:val="18"/>
          <w:shd w:fill="C0C0C0" w:color="auto" w:val="clear"/>
        </w:rPr>
        <w:t>9</w:t>
      </w:r>
      <w:r>
        <w:rPr>
          <w:b/>
          <w:spacing w:val="-92"/>
          <w:w w:val="99"/>
          <w:sz w:val="18"/>
          <w:shd w:fill="C0C0C0" w:color="auto" w:val="clear"/>
        </w:rPr>
        <w:t>）</w:t>
      </w:r>
      <w:r>
        <w:rPr>
          <w:b/>
          <w:spacing w:val="-1"/>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0"/>
          <w:sz w:val="18"/>
          <w:shd w:fill="C0C0C0" w:color="auto" w:val="clear"/>
        </w:rPr>
        <w:t> </w:t>
      </w:r>
      <w:r>
        <w:rPr>
          <w:b/>
          <w:w w:val="99"/>
          <w:sz w:val="18"/>
          <w:shd w:fill="C0C0C0" w:color="auto" w:val="clear"/>
        </w:rPr>
        <w:t>呈阳性</w:t>
      </w:r>
      <w:r>
        <w:rPr>
          <w:b/>
          <w:spacing w:val="-92"/>
          <w:w w:val="99"/>
          <w:sz w:val="18"/>
          <w:shd w:fill="C0C0C0" w:color="auto" w:val="clear"/>
        </w:rPr>
        <w:t>）</w:t>
      </w:r>
      <w:r>
        <w:rPr>
          <w:b/>
          <w:w w:val="99"/>
          <w:sz w:val="18"/>
          <w:shd w:fill="C0C0C0" w:color="auto" w:val="clear"/>
        </w:rPr>
        <w:t>；</w:t>
      </w:r>
    </w:p>
    <w:p>
      <w:pPr>
        <w:pStyle w:val="Heading4"/>
        <w:spacing w:before="75"/>
        <w:ind w:left="2613"/>
      </w:pPr>
      <w:r>
        <w:rPr>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pStyle w:val="BodyText"/>
        <w:spacing w:line="316" w:lineRule="auto"/>
        <w:ind w:left="2613" w:right="205"/>
      </w:pPr>
      <w:r>
        <w:rPr>
          <w:spacing w:val="-2"/>
          <w:shd w:fill="C0C0C0" w:color="auto" w:val="clear"/>
        </w:rPr>
        <w:t>因上述情形之一导致被保险人患本附加合同约定的重大疾病的，本公司向您或其他权利人退还本附加合同的</w:t>
      </w:r>
      <w:r>
        <w:rPr>
          <w:b/>
          <w:w w:val="99"/>
          <w:shd w:fill="C0C0C0" w:color="auto" w:val="clear"/>
        </w:rPr>
        <w:t>现金价值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w:t>
      </w:r>
      <w:r>
        <w:rPr>
          <w:spacing w:val="0"/>
          <w:shd w:fill="C0C0C0" w:color="auto" w:val="clear"/>
        </w:rPr>
        <w:t>10</w:t>
      </w:r>
      <w:r>
        <w:rPr>
          <w:spacing w:val="-92"/>
          <w:shd w:fill="C0C0C0" w:color="auto" w:val="clear"/>
        </w:rPr>
        <w:t>）</w:t>
      </w:r>
      <w:r>
        <w:rPr>
          <w:spacing w:val="-1"/>
          <w:shd w:fill="C0C0C0" w:color="auto" w:val="clear"/>
        </w:rPr>
        <w:t>，本附加合同终止。</w:t>
      </w:r>
    </w:p>
    <w:p>
      <w:pPr>
        <w:pStyle w:val="BodyText"/>
        <w:spacing w:before="0"/>
        <w:rPr>
          <w:sz w:val="24"/>
        </w:rPr>
      </w:pPr>
    </w:p>
    <w:p>
      <w:pPr>
        <w:pStyle w:val="Heading2"/>
        <w:numPr>
          <w:ilvl w:val="0"/>
          <w:numId w:val="6"/>
        </w:numPr>
        <w:tabs>
          <w:tab w:pos="907" w:val="left" w:leader="none"/>
          <w:tab w:pos="908" w:val="left" w:leader="none"/>
        </w:tabs>
        <w:spacing w:line="240" w:lineRule="auto" w:before="0" w:after="0"/>
        <w:ind w:left="907" w:right="0" w:hanging="684"/>
        <w:jc w:val="left"/>
      </w:pPr>
      <w:r>
        <w:rPr/>
        <w:pict>
          <v:group style="position:absolute;margin-left:59.759998pt;margin-top:27.372519pt;width:497.4pt;height:.5pt;mso-position-horizontal-relative:page;mso-position-vertical-relative:paragraph;z-index:1120;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如何申请领取保险金</w:t>
      </w:r>
    </w:p>
    <w:p>
      <w:pPr>
        <w:pStyle w:val="BodyText"/>
        <w:spacing w:before="9"/>
        <w:rPr>
          <w:b/>
          <w:sz w:val="10"/>
        </w:rPr>
      </w:pPr>
    </w:p>
    <w:p>
      <w:pPr>
        <w:pStyle w:val="ListParagraph"/>
        <w:numPr>
          <w:ilvl w:val="1"/>
          <w:numId w:val="7"/>
        </w:numPr>
        <w:tabs>
          <w:tab w:pos="907" w:val="left" w:leader="none"/>
          <w:tab w:pos="908" w:val="left" w:leader="none"/>
          <w:tab w:pos="2613" w:val="left" w:leader="none"/>
        </w:tabs>
        <w:spacing w:line="240" w:lineRule="auto" w:before="37" w:after="0"/>
        <w:ind w:left="2613" w:right="0" w:hanging="2390"/>
        <w:jc w:val="left"/>
        <w:rPr>
          <w:sz w:val="18"/>
        </w:rPr>
      </w:pPr>
      <w:r>
        <w:rPr>
          <w:b/>
          <w:sz w:val="21"/>
        </w:rPr>
        <w:t>受益人的指定</w:t>
        <w:tab/>
      </w:r>
      <w:r>
        <w:rPr>
          <w:position w:val="1"/>
          <w:sz w:val="18"/>
        </w:rPr>
        <w:t>除另有指定之外，本附加合同的受益人为被保险人本人。</w:t>
      </w:r>
    </w:p>
    <w:p>
      <w:pPr>
        <w:pStyle w:val="BodyText"/>
        <w:spacing w:before="8"/>
        <w:rPr>
          <w:sz w:val="26"/>
        </w:rPr>
      </w:pPr>
    </w:p>
    <w:p>
      <w:pPr>
        <w:pStyle w:val="ListParagraph"/>
        <w:numPr>
          <w:ilvl w:val="1"/>
          <w:numId w:val="7"/>
        </w:numPr>
        <w:tabs>
          <w:tab w:pos="907" w:val="left" w:leader="none"/>
          <w:tab w:pos="908" w:val="left" w:leader="none"/>
          <w:tab w:pos="2613" w:val="left" w:leader="none"/>
        </w:tabs>
        <w:spacing w:line="240" w:lineRule="auto" w:before="1" w:after="0"/>
        <w:ind w:left="2613" w:right="0" w:hanging="2390"/>
        <w:jc w:val="left"/>
        <w:rPr>
          <w:sz w:val="18"/>
        </w:rPr>
      </w:pPr>
      <w:r>
        <w:rPr>
          <w:b/>
          <w:sz w:val="21"/>
        </w:rPr>
        <w:t>保险金的申请</w:t>
        <w:tab/>
      </w:r>
      <w:r>
        <w:rPr>
          <w:position w:val="1"/>
          <w:sz w:val="18"/>
        </w:rPr>
        <w:t>1、重大疾病保险金</w:t>
      </w:r>
    </w:p>
    <w:p>
      <w:pPr>
        <w:pStyle w:val="BodyText"/>
        <w:spacing w:line="316" w:lineRule="auto" w:before="58"/>
        <w:ind w:left="2613" w:right="152"/>
      </w:pPr>
      <w:r>
        <w:rPr/>
        <w:t>重大疾病保险金受益人申请领取重大疾病保险金时，须填写保险金给付申请书，并提交下列证明材料：</w:t>
      </w:r>
    </w:p>
    <w:p>
      <w:pPr>
        <w:pStyle w:val="ListParagraph"/>
        <w:numPr>
          <w:ilvl w:val="2"/>
          <w:numId w:val="7"/>
        </w:numPr>
        <w:tabs>
          <w:tab w:pos="3034" w:val="left" w:leader="none"/>
        </w:tabs>
        <w:spacing w:line="240" w:lineRule="auto" w:before="18" w:after="0"/>
        <w:ind w:left="3026" w:right="0" w:hanging="413"/>
        <w:jc w:val="left"/>
        <w:rPr>
          <w:sz w:val="18"/>
        </w:rPr>
      </w:pPr>
      <w:r>
        <w:rPr>
          <w:sz w:val="18"/>
        </w:rPr>
        <w:t>保险合同；</w:t>
      </w:r>
    </w:p>
    <w:p>
      <w:pPr>
        <w:pStyle w:val="ListParagraph"/>
        <w:numPr>
          <w:ilvl w:val="2"/>
          <w:numId w:val="7"/>
        </w:numPr>
        <w:tabs>
          <w:tab w:pos="3034" w:val="left" w:leader="none"/>
        </w:tabs>
        <w:spacing w:line="240" w:lineRule="auto" w:before="76" w:after="0"/>
        <w:ind w:left="3026" w:right="0" w:hanging="413"/>
        <w:jc w:val="left"/>
        <w:rPr>
          <w:sz w:val="18"/>
        </w:rPr>
      </w:pPr>
      <w:r>
        <w:rPr>
          <w:sz w:val="18"/>
        </w:rPr>
        <w:t>受益人的有效身份证件；</w:t>
      </w:r>
    </w:p>
    <w:p>
      <w:pPr>
        <w:pStyle w:val="ListParagraph"/>
        <w:numPr>
          <w:ilvl w:val="2"/>
          <w:numId w:val="7"/>
        </w:numPr>
        <w:tabs>
          <w:tab w:pos="3034" w:val="left" w:leader="none"/>
        </w:tabs>
        <w:spacing w:line="316" w:lineRule="auto" w:before="76" w:after="0"/>
        <w:ind w:left="3026" w:right="289"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7"/>
        </w:numPr>
        <w:tabs>
          <w:tab w:pos="3034" w:val="left" w:leader="none"/>
        </w:tabs>
        <w:spacing w:line="240" w:lineRule="auto" w:before="18" w:after="0"/>
        <w:ind w:left="3026" w:right="0" w:hanging="413"/>
        <w:jc w:val="left"/>
        <w:rPr>
          <w:sz w:val="18"/>
        </w:rPr>
      </w:pPr>
      <w:r>
        <w:rPr>
          <w:sz w:val="18"/>
        </w:rPr>
        <w:t>所能提供的与确认保险事故的性质、原因等有关的其它证明文件和资料。</w:t>
      </w:r>
    </w:p>
    <w:p>
      <w:pPr>
        <w:pStyle w:val="BodyText"/>
        <w:spacing w:before="0"/>
        <w:rPr>
          <w:sz w:val="23"/>
        </w:rPr>
      </w:pPr>
    </w:p>
    <w:p>
      <w:pPr>
        <w:pStyle w:val="BodyText"/>
        <w:spacing w:before="0"/>
        <w:ind w:left="2613"/>
      </w:pPr>
      <w:r>
        <w:rPr/>
        <w:t>2、如委托他人代为申领，还应提供授权委托书及受托人的有效身份证件。</w:t>
      </w:r>
    </w:p>
    <w:p>
      <w:pPr>
        <w:pStyle w:val="BodyText"/>
        <w:spacing w:before="2"/>
        <w:rPr>
          <w:sz w:val="23"/>
        </w:rPr>
      </w:pPr>
    </w:p>
    <w:p>
      <w:pPr>
        <w:pStyle w:val="BodyText"/>
        <w:spacing w:before="1"/>
        <w:ind w:left="2613"/>
      </w:pPr>
      <w:r>
        <w:rPr/>
        <w:t>以上证明和资料不完整的，本公司将及时一次性通知申请人补充提供有关证明和资料。</w:t>
      </w:r>
    </w:p>
    <w:p>
      <w:pPr>
        <w:pStyle w:val="BodyText"/>
        <w:spacing w:before="6"/>
        <w:rPr>
          <w:sz w:val="21"/>
        </w:rPr>
      </w:pPr>
    </w:p>
    <w:p>
      <w:pPr>
        <w:pStyle w:val="ListParagraph"/>
        <w:numPr>
          <w:ilvl w:val="1"/>
          <w:numId w:val="7"/>
        </w:numPr>
        <w:tabs>
          <w:tab w:pos="907" w:val="left" w:leader="none"/>
          <w:tab w:pos="908" w:val="left" w:leader="none"/>
          <w:tab w:pos="2613" w:val="left" w:leader="none"/>
        </w:tabs>
        <w:spacing w:line="290" w:lineRule="auto" w:before="0" w:after="0"/>
        <w:ind w:left="2613" w:right="208"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1"/>
          <w:w w:val="99"/>
          <w:sz w:val="18"/>
        </w:rPr>
        <w:t>利息</w:t>
      </w:r>
      <w:r>
        <w:rPr>
          <w:spacing w:val="-3"/>
          <w:sz w:val="18"/>
        </w:rPr>
        <w:t>（</w:t>
      </w:r>
      <w:r>
        <w:rPr>
          <w:sz w:val="18"/>
        </w:rPr>
        <w:t>见</w:t>
      </w:r>
      <w:r>
        <w:rPr>
          <w:spacing w:val="-45"/>
          <w:sz w:val="18"/>
        </w:rPr>
        <w:t> </w:t>
      </w:r>
      <w:r>
        <w:rPr>
          <w:sz w:val="18"/>
        </w:rPr>
        <w:t>8.11</w:t>
      </w:r>
      <w:r>
        <w:rPr>
          <w:spacing w:val="-92"/>
          <w:sz w:val="18"/>
        </w:rPr>
        <w:t>）</w:t>
      </w:r>
      <w:r>
        <w:rPr>
          <w:spacing w:val="-1"/>
          <w:sz w:val="18"/>
        </w:rPr>
        <w:t>、</w:t>
      </w:r>
      <w:r>
        <w:rPr>
          <w:sz w:val="18"/>
        </w:rPr>
        <w:t>欠交的保险费后给付。</w:t>
      </w:r>
    </w:p>
    <w:p>
      <w:pPr>
        <w:pStyle w:val="BodyText"/>
        <w:spacing w:before="9"/>
      </w:pPr>
    </w:p>
    <w:p>
      <w:pPr>
        <w:pStyle w:val="ListParagraph"/>
        <w:numPr>
          <w:ilvl w:val="1"/>
          <w:numId w:val="7"/>
        </w:numPr>
        <w:tabs>
          <w:tab w:pos="907" w:val="left" w:leader="none"/>
          <w:tab w:pos="908" w:val="left" w:leader="none"/>
          <w:tab w:pos="2613" w:val="left" w:leader="none"/>
        </w:tabs>
        <w:spacing w:line="290" w:lineRule="auto" w:before="0" w:after="0"/>
        <w:ind w:left="2613" w:right="205" w:hanging="2390"/>
        <w:jc w:val="left"/>
        <w:rPr>
          <w:sz w:val="18"/>
        </w:rPr>
      </w:pPr>
      <w:r>
        <w:rPr>
          <w:b/>
          <w:sz w:val="21"/>
        </w:rPr>
        <w:t>诉讼时效</w:t>
        <w:tab/>
      </w:r>
      <w:r>
        <w:rPr>
          <w:position w:val="1"/>
          <w:sz w:val="18"/>
        </w:rPr>
        <w:t>本附加合同的受益人向本公司请求给付保险金的诉讼时效期间为二年</w:t>
      </w:r>
      <w:r>
        <w:rPr>
          <w:spacing w:val="-36"/>
          <w:position w:val="1"/>
          <w:sz w:val="18"/>
        </w:rPr>
        <w:t>，</w:t>
      </w:r>
      <w:r>
        <w:rPr>
          <w:position w:val="1"/>
          <w:sz w:val="18"/>
        </w:rPr>
        <w:t>自其知道或者应当知道</w:t>
      </w:r>
      <w:r>
        <w:rPr>
          <w:sz w:val="18"/>
        </w:rPr>
        <w:t>保险事故发生之日起计算。</w:t>
      </w:r>
    </w:p>
    <w:p>
      <w:pPr>
        <w:pStyle w:val="BodyText"/>
        <w:spacing w:before="7"/>
        <w:rPr>
          <w:sz w:val="19"/>
        </w:rPr>
      </w:pPr>
    </w:p>
    <w:p>
      <w:pPr>
        <w:tabs>
          <w:tab w:pos="907" w:val="left" w:leader="none"/>
        </w:tabs>
        <w:spacing w:before="76"/>
        <w:ind w:left="223" w:right="0" w:firstLine="0"/>
        <w:jc w:val="left"/>
        <w:rPr>
          <w:b/>
          <w:sz w:val="24"/>
        </w:rPr>
      </w:pPr>
      <w:r>
        <w:rPr/>
        <w:pict>
          <v:group style="position:absolute;margin-left:59.759998pt;margin-top:31.172522pt;width:497.4pt;height:.5pt;mso-position-horizontal-relative:page;mso-position-vertical-relative:paragraph;z-index:1144;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如何交付保险费</w:t>
      </w:r>
    </w:p>
    <w:p>
      <w:pPr>
        <w:pStyle w:val="BodyText"/>
        <w:spacing w:before="9"/>
        <w:rPr>
          <w:b/>
          <w:sz w:val="10"/>
        </w:rPr>
      </w:pPr>
    </w:p>
    <w:p>
      <w:pPr>
        <w:pStyle w:val="BodyText"/>
        <w:tabs>
          <w:tab w:pos="907" w:val="left" w:leader="none"/>
          <w:tab w:pos="2613" w:val="left" w:leader="none"/>
        </w:tabs>
        <w:spacing w:line="290" w:lineRule="auto" w:before="37"/>
        <w:ind w:left="2613" w:right="1429" w:hanging="2391"/>
      </w:pPr>
      <w:r>
        <w:rPr>
          <w:b/>
          <w:sz w:val="21"/>
        </w:rPr>
        <w:t>4.1</w:t>
        <w:tab/>
        <w:t>保险费的交付</w:t>
        <w:tab/>
      </w:r>
      <w:r>
        <w:rPr>
          <w:position w:val="1"/>
        </w:rPr>
        <w:t>保险费详见费率表，本附加合同采用分期交付方式，保险费交费期间为九年。</w:t>
      </w:r>
      <w:r>
        <w:rPr/>
        <w:t>分期交付方式包括年交、半年交、季交、月交四种。</w:t>
      </w:r>
    </w:p>
    <w:p>
      <w:pPr>
        <w:spacing w:after="0" w:line="290" w:lineRule="auto"/>
        <w:sectPr>
          <w:pgSz w:w="11910" w:h="16840"/>
          <w:pgMar w:header="877" w:footer="977" w:top="1100" w:bottom="1160" w:left="1080" w:right="660"/>
        </w:sectPr>
      </w:pPr>
    </w:p>
    <w:p>
      <w:pPr>
        <w:pStyle w:val="BodyText"/>
        <w:spacing w:before="0"/>
        <w:rPr>
          <w:sz w:val="20"/>
        </w:rPr>
      </w:pPr>
    </w:p>
    <w:p>
      <w:pPr>
        <w:pStyle w:val="BodyText"/>
        <w:spacing w:before="3"/>
        <w:rPr>
          <w:sz w:val="20"/>
        </w:rPr>
      </w:pPr>
    </w:p>
    <w:p>
      <w:pPr>
        <w:tabs>
          <w:tab w:pos="907" w:val="left" w:leader="none"/>
        </w:tabs>
        <w:spacing w:before="75"/>
        <w:ind w:left="223" w:right="0" w:firstLine="0"/>
        <w:jc w:val="left"/>
        <w:rPr>
          <w:b/>
          <w:sz w:val="24"/>
        </w:rPr>
      </w:pPr>
      <w:r>
        <w:rPr/>
        <w:pict>
          <v:group style="position:absolute;margin-left:59.759998pt;margin-top:31.122488pt;width:497.4pt;height:.5pt;mso-position-horizontal-relative:page;mso-position-vertical-relative:paragraph;z-index:1168;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现金价值权益</w:t>
      </w:r>
    </w:p>
    <w:p>
      <w:pPr>
        <w:pStyle w:val="BodyText"/>
        <w:spacing w:before="9"/>
        <w:rPr>
          <w:b/>
          <w:sz w:val="10"/>
        </w:rPr>
      </w:pPr>
    </w:p>
    <w:p>
      <w:pPr>
        <w:pStyle w:val="ListParagraph"/>
        <w:numPr>
          <w:ilvl w:val="1"/>
          <w:numId w:val="8"/>
        </w:numPr>
        <w:tabs>
          <w:tab w:pos="907" w:val="left" w:leader="none"/>
          <w:tab w:pos="908" w:val="left" w:leader="none"/>
          <w:tab w:pos="2613" w:val="left" w:leader="none"/>
        </w:tabs>
        <w:spacing w:line="290" w:lineRule="auto" w:before="37" w:after="0"/>
        <w:ind w:left="2613" w:right="208" w:hanging="2390"/>
        <w:jc w:val="left"/>
        <w:rPr>
          <w:sz w:val="18"/>
        </w:rPr>
      </w:pPr>
      <w:r>
        <w:rPr>
          <w:b/>
          <w:sz w:val="21"/>
        </w:rPr>
        <w:t>现金价值</w:t>
        <w:tab/>
      </w:r>
      <w:r>
        <w:rPr>
          <w:position w:val="1"/>
          <w:sz w:val="18"/>
        </w:rPr>
        <w:t>本附加合同保单年度末的现金价值会在保险单上载明</w:t>
      </w:r>
      <w:r>
        <w:rPr>
          <w:spacing w:val="-20"/>
          <w:position w:val="1"/>
          <w:sz w:val="18"/>
        </w:rPr>
        <w:t>，</w:t>
      </w:r>
      <w:r>
        <w:rPr>
          <w:position w:val="1"/>
          <w:sz w:val="18"/>
        </w:rPr>
        <w:t>保单年度内的现金价值</w:t>
      </w:r>
      <w:r>
        <w:rPr>
          <w:spacing w:val="-20"/>
          <w:position w:val="1"/>
          <w:sz w:val="18"/>
        </w:rPr>
        <w:t>，</w:t>
      </w:r>
      <w:r>
        <w:rPr>
          <w:position w:val="1"/>
          <w:sz w:val="18"/>
        </w:rPr>
        <w:t>您可以向本公</w:t>
      </w:r>
      <w:r>
        <w:rPr>
          <w:sz w:val="18"/>
        </w:rPr>
        <w:t>司咨询。</w:t>
      </w:r>
    </w:p>
    <w:p>
      <w:pPr>
        <w:pStyle w:val="BodyText"/>
        <w:spacing w:before="10"/>
      </w:pPr>
    </w:p>
    <w:p>
      <w:pPr>
        <w:pStyle w:val="ListParagraph"/>
        <w:numPr>
          <w:ilvl w:val="1"/>
          <w:numId w:val="8"/>
        </w:numPr>
        <w:tabs>
          <w:tab w:pos="907" w:val="left" w:leader="none"/>
          <w:tab w:pos="908" w:val="left" w:leader="none"/>
          <w:tab w:pos="2613" w:val="left" w:leader="none"/>
        </w:tabs>
        <w:spacing w:line="290" w:lineRule="auto" w:before="0" w:after="0"/>
        <w:ind w:left="2613" w:right="208" w:hanging="2390"/>
        <w:jc w:val="left"/>
        <w:rPr>
          <w:sz w:val="18"/>
        </w:rPr>
      </w:pPr>
      <w:r>
        <w:rPr>
          <w:b/>
          <w:sz w:val="21"/>
        </w:rPr>
        <w:t>自动垫交</w:t>
        <w:tab/>
      </w:r>
      <w:r>
        <w:rPr>
          <w:position w:val="1"/>
          <w:sz w:val="18"/>
        </w:rPr>
        <w:t>主险合同进行保费自动垫交时</w:t>
      </w:r>
      <w:r>
        <w:rPr>
          <w:spacing w:val="-20"/>
          <w:position w:val="1"/>
          <w:sz w:val="18"/>
        </w:rPr>
        <w:t>，</w:t>
      </w:r>
      <w:r>
        <w:rPr>
          <w:position w:val="1"/>
          <w:sz w:val="18"/>
        </w:rPr>
        <w:t>本附加合同应同时进行保费自动垫交</w:t>
      </w:r>
      <w:r>
        <w:rPr>
          <w:spacing w:val="-20"/>
          <w:position w:val="1"/>
          <w:sz w:val="18"/>
        </w:rPr>
        <w:t>。</w:t>
      </w:r>
      <w:r>
        <w:rPr>
          <w:position w:val="1"/>
          <w:sz w:val="18"/>
        </w:rPr>
        <w:t>本附加合同不能单独进</w:t>
      </w:r>
      <w:r>
        <w:rPr>
          <w:sz w:val="18"/>
        </w:rPr>
        <w:t>行保费自动垫交。</w:t>
      </w:r>
    </w:p>
    <w:p>
      <w:pPr>
        <w:pStyle w:val="BodyText"/>
        <w:spacing w:before="7"/>
      </w:pPr>
    </w:p>
    <w:p>
      <w:pPr>
        <w:pStyle w:val="ListParagraph"/>
        <w:numPr>
          <w:ilvl w:val="1"/>
          <w:numId w:val="8"/>
        </w:numPr>
        <w:tabs>
          <w:tab w:pos="907" w:val="left" w:leader="none"/>
          <w:tab w:pos="908" w:val="left" w:leader="none"/>
          <w:tab w:pos="2613" w:val="left" w:leader="none"/>
        </w:tabs>
        <w:spacing w:line="290" w:lineRule="auto" w:before="0" w:after="0"/>
        <w:ind w:left="2613" w:right="208" w:hanging="2390"/>
        <w:jc w:val="left"/>
        <w:rPr>
          <w:sz w:val="18"/>
        </w:rPr>
      </w:pPr>
      <w:r>
        <w:rPr>
          <w:b/>
          <w:sz w:val="21"/>
        </w:rPr>
        <w:t>保险单借款</w:t>
        <w:tab/>
      </w:r>
      <w:r>
        <w:rPr>
          <w:position w:val="1"/>
          <w:sz w:val="18"/>
        </w:rPr>
        <w:t>您对主险合同申请保单借款时</w:t>
      </w:r>
      <w:r>
        <w:rPr>
          <w:spacing w:val="-20"/>
          <w:position w:val="1"/>
          <w:sz w:val="18"/>
        </w:rPr>
        <w:t>，</w:t>
      </w:r>
      <w:r>
        <w:rPr>
          <w:position w:val="1"/>
          <w:sz w:val="18"/>
        </w:rPr>
        <w:t>本附加合同应同时进行保单借款</w:t>
      </w:r>
      <w:r>
        <w:rPr>
          <w:spacing w:val="-20"/>
          <w:position w:val="1"/>
          <w:sz w:val="18"/>
        </w:rPr>
        <w:t>，</w:t>
      </w:r>
      <w:r>
        <w:rPr>
          <w:position w:val="1"/>
          <w:sz w:val="18"/>
        </w:rPr>
        <w:t>借款比例和利息计算方式与</w:t>
      </w:r>
      <w:r>
        <w:rPr>
          <w:sz w:val="18"/>
        </w:rPr>
        <w:t>主险一致。您不能单独对本附加合同进行保单借款。</w:t>
      </w:r>
    </w:p>
    <w:p>
      <w:pPr>
        <w:pStyle w:val="BodyText"/>
        <w:spacing w:before="7"/>
        <w:rPr>
          <w:sz w:val="25"/>
        </w:rPr>
      </w:pPr>
    </w:p>
    <w:p>
      <w:pPr>
        <w:pStyle w:val="Heading2"/>
        <w:tabs>
          <w:tab w:pos="907" w:val="left" w:leader="none"/>
        </w:tabs>
        <w:ind w:left="223" w:firstLine="0"/>
      </w:pPr>
      <w:r>
        <w:rPr/>
        <w:pict>
          <v:group style="position:absolute;margin-left:59.759998pt;margin-top:27.37252pt;width:497.4pt;height:.5pt;mso-position-horizontal-relative:page;mso-position-vertical-relative:paragraph;z-index:119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如何解除保险合同</w:t>
      </w:r>
    </w:p>
    <w:p>
      <w:pPr>
        <w:pStyle w:val="BodyText"/>
        <w:spacing w:before="7"/>
        <w:rPr>
          <w:b/>
          <w:sz w:val="10"/>
        </w:rPr>
      </w:pPr>
    </w:p>
    <w:p>
      <w:pPr>
        <w:spacing w:after="0"/>
        <w:rPr>
          <w:sz w:val="10"/>
        </w:rPr>
        <w:sectPr>
          <w:pgSz w:w="11910" w:h="16840"/>
          <w:pgMar w:header="877" w:footer="977" w:top="1100" w:bottom="1160" w:left="1080" w:right="660"/>
        </w:sectPr>
      </w:pPr>
    </w:p>
    <w:p>
      <w:pPr>
        <w:pStyle w:val="Heading3"/>
        <w:tabs>
          <w:tab w:pos="907" w:val="left" w:leader="none"/>
        </w:tabs>
        <w:spacing w:line="273" w:lineRule="auto" w:before="36"/>
        <w:ind w:left="907" w:hanging="685"/>
      </w:pPr>
      <w:r>
        <w:rPr/>
        <w:t>6.1</w:t>
        <w:tab/>
        <w:t>您解除合同的手 续及风险</w:t>
      </w:r>
    </w:p>
    <w:p>
      <w:pPr>
        <w:pStyle w:val="BodyText"/>
        <w:spacing w:line="319" w:lineRule="auto" w:before="57"/>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7"/>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429"/>
      </w:pPr>
      <w:r>
        <w:rPr/>
        <w:t>本公司自收到上述证明和材料之日起三十日内，返还本附加合同的现金价值。您在犹豫期后解除合同会遭受一定损失。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60" w:left="1080" w:right="660"/>
          <w:cols w:num="2" w:equalWidth="0">
            <w:col w:w="2400" w:space="40"/>
            <w:col w:w="7730"/>
          </w:cols>
        </w:sectPr>
      </w:pPr>
    </w:p>
    <w:p>
      <w:pPr>
        <w:pStyle w:val="BodyText"/>
        <w:spacing w:before="8"/>
        <w:rPr>
          <w:sz w:val="22"/>
        </w:rPr>
      </w:pPr>
    </w:p>
    <w:p>
      <w:pPr>
        <w:pStyle w:val="Heading2"/>
        <w:tabs>
          <w:tab w:pos="907" w:val="left" w:leader="none"/>
        </w:tabs>
        <w:spacing w:before="76"/>
        <w:ind w:left="223" w:firstLine="0"/>
      </w:pPr>
      <w:r>
        <w:rPr/>
        <w:pict>
          <v:group style="position:absolute;margin-left:59.759998pt;margin-top:31.172527pt;width:497.4pt;height:.5pt;mso-position-horizontal-relative:page;mso-position-vertical-relative:paragraph;z-index:1216;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其他需要您关注的事项</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40" w:lineRule="auto" w:before="36" w:after="0"/>
        <w:ind w:left="907" w:right="0" w:hanging="684"/>
        <w:jc w:val="left"/>
        <w:rPr>
          <w:sz w:val="18"/>
        </w:rPr>
      </w:pPr>
      <w:r>
        <w:rPr>
          <w:b/>
          <w:sz w:val="21"/>
        </w:rPr>
        <w:t>投保范围</w:t>
        <w:tab/>
      </w:r>
      <w:r>
        <w:rPr>
          <w:position w:val="1"/>
          <w:sz w:val="18"/>
        </w:rPr>
        <w:t>1、被保险人条件：</w:t>
      </w:r>
    </w:p>
    <w:p>
      <w:pPr>
        <w:pStyle w:val="BodyText"/>
        <w:spacing w:line="316" w:lineRule="auto" w:before="57"/>
        <w:ind w:left="2613" w:right="150"/>
      </w:pPr>
      <w:r>
        <w:rPr/>
        <w:t>凡投保时出生满二十八天至六十周岁，身体健康，能正常工作或学习的人，均可作为本保险的被保险人。</w:t>
      </w:r>
    </w:p>
    <w:p>
      <w:pPr>
        <w:pStyle w:val="BodyText"/>
        <w:spacing w:before="18"/>
        <w:ind w:left="2613"/>
      </w:pPr>
      <w:r>
        <w:rPr/>
        <w:t>2、投保人条件：</w:t>
      </w:r>
    </w:p>
    <w:p>
      <w:pPr>
        <w:pStyle w:val="BodyText"/>
        <w:spacing w:line="316" w:lineRule="auto"/>
        <w:ind w:left="2613" w:right="169"/>
      </w:pPr>
      <w:r>
        <w:rPr/>
        <w:t>凡订立本附加合同时年满十八周岁，具有完全民事行为能力且对被保险人具有保险利益的人， 均可作为本保险的投保人。</w:t>
      </w:r>
    </w:p>
    <w:p>
      <w:pPr>
        <w:pStyle w:val="BodyText"/>
        <w:spacing w:before="3"/>
        <w:rPr>
          <w:sz w:val="17"/>
        </w:rPr>
      </w:pPr>
    </w:p>
    <w:p>
      <w:pPr>
        <w:pStyle w:val="ListParagraph"/>
        <w:numPr>
          <w:ilvl w:val="1"/>
          <w:numId w:val="9"/>
        </w:numPr>
        <w:tabs>
          <w:tab w:pos="907" w:val="left" w:leader="none"/>
          <w:tab w:pos="908" w:val="left" w:leader="none"/>
          <w:tab w:pos="2613" w:val="left" w:leader="none"/>
        </w:tabs>
        <w:spacing w:line="240" w:lineRule="auto" w:before="1" w:after="0"/>
        <w:ind w:left="907" w:right="0" w:hanging="684"/>
        <w:jc w:val="left"/>
        <w:rPr>
          <w:sz w:val="18"/>
        </w:rPr>
      </w:pPr>
      <w:r>
        <w:rPr>
          <w:b/>
          <w:sz w:val="21"/>
        </w:rPr>
        <w:t>合同效力</w:t>
        <w:tab/>
      </w:r>
      <w:r>
        <w:rPr>
          <w:position w:val="1"/>
          <w:sz w:val="18"/>
        </w:rPr>
        <w:t>本附加合同的效力在发生下列情形之一时自动终止：</w:t>
      </w:r>
    </w:p>
    <w:p>
      <w:pPr>
        <w:pStyle w:val="BodyText"/>
        <w:spacing w:before="58"/>
        <w:ind w:left="2613"/>
      </w:pPr>
      <w:r>
        <w:rPr/>
        <w:t>1、  主险合同期满或终止；</w:t>
      </w:r>
    </w:p>
    <w:p>
      <w:pPr>
        <w:pStyle w:val="BodyText"/>
        <w:ind w:left="2613"/>
      </w:pPr>
      <w:r>
        <w:rPr/>
        <w:t>2、  本附加合同期满；</w:t>
      </w:r>
    </w:p>
    <w:p>
      <w:pPr>
        <w:pStyle w:val="BodyText"/>
        <w:ind w:left="2613"/>
      </w:pPr>
      <w:r>
        <w:rPr/>
        <w:t>3、  出现主险合同或本附加合同内的其它约定终止情况。</w:t>
      </w:r>
    </w:p>
    <w:p>
      <w:pPr>
        <w:pStyle w:val="BodyText"/>
        <w:ind w:left="2613"/>
      </w:pPr>
      <w:r>
        <w:rPr/>
        <w:t>本附加合同效力终止后，除另有规定外，我们不退还本附加合同的现金价值。</w:t>
      </w:r>
    </w:p>
    <w:p>
      <w:pPr>
        <w:pStyle w:val="BodyText"/>
        <w:spacing w:before="9"/>
        <w:rPr>
          <w:sz w:val="22"/>
        </w:rPr>
      </w:pPr>
    </w:p>
    <w:p>
      <w:pPr>
        <w:tabs>
          <w:tab w:pos="907" w:val="left" w:leader="none"/>
        </w:tabs>
        <w:spacing w:before="75"/>
        <w:ind w:left="223" w:right="0" w:firstLine="0"/>
        <w:jc w:val="left"/>
        <w:rPr>
          <w:b/>
          <w:sz w:val="24"/>
        </w:rPr>
      </w:pPr>
      <w:r>
        <w:rPr/>
        <w:pict>
          <v:group style="position:absolute;margin-left:59.759998pt;margin-top:31.122522pt;width:497.4pt;height:.5pt;mso-position-horizontal-relative:page;mso-position-vertical-relative:paragraph;z-index:1240;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sz w:val="24"/>
        </w:rPr>
        <w:t>释义</w:t>
      </w:r>
    </w:p>
    <w:p>
      <w:pPr>
        <w:pStyle w:val="BodyText"/>
        <w:spacing w:before="7"/>
        <w:rPr>
          <w:b/>
          <w:sz w:val="10"/>
        </w:rPr>
      </w:pPr>
    </w:p>
    <w:p>
      <w:pPr>
        <w:pStyle w:val="BodyText"/>
        <w:tabs>
          <w:tab w:pos="907" w:val="left" w:leader="none"/>
          <w:tab w:pos="2613" w:val="left" w:leader="none"/>
        </w:tabs>
        <w:spacing w:line="290" w:lineRule="auto" w:before="36"/>
        <w:ind w:left="2613" w:right="208" w:hanging="2391"/>
      </w:pPr>
      <w:r>
        <w:rPr>
          <w:b/>
          <w:sz w:val="21"/>
        </w:rPr>
        <w:t>8.1</w:t>
        <w:tab/>
        <w:t>有效身份证件</w:t>
        <w:tab/>
      </w:r>
      <w:r>
        <w:rPr>
          <w:position w:val="1"/>
        </w:rPr>
        <w:t>指由政府主管部门规定的证明其身份的证件</w:t>
      </w:r>
      <w:r>
        <w:rPr>
          <w:spacing w:val="-10"/>
          <w:position w:val="1"/>
        </w:rPr>
        <w:t>，</w:t>
      </w:r>
      <w:r>
        <w:rPr>
          <w:position w:val="1"/>
        </w:rPr>
        <w:t>如</w:t>
      </w:r>
      <w:r>
        <w:rPr>
          <w:spacing w:val="-10"/>
          <w:position w:val="1"/>
        </w:rPr>
        <w:t>：</w:t>
      </w:r>
      <w:r>
        <w:rPr>
          <w:position w:val="1"/>
        </w:rPr>
        <w:t>居民身份证</w:t>
      </w:r>
      <w:r>
        <w:rPr>
          <w:spacing w:val="-10"/>
          <w:position w:val="1"/>
        </w:rPr>
        <w:t>、</w:t>
      </w:r>
      <w:r>
        <w:rPr>
          <w:position w:val="1"/>
        </w:rPr>
        <w:t>按规定可使用的有效护照</w:t>
      </w:r>
      <w:r>
        <w:rPr>
          <w:spacing w:val="-10"/>
          <w:position w:val="1"/>
        </w:rPr>
        <w:t>、</w:t>
      </w:r>
      <w:r>
        <w:rPr>
          <w:position w:val="1"/>
        </w:rPr>
        <w:t>军</w:t>
      </w:r>
      <w:r>
        <w:rPr/>
        <w:t>官证、警官证、士兵证、户口簿等证件。</w:t>
      </w:r>
    </w:p>
    <w:p>
      <w:pPr>
        <w:spacing w:after="0" w:line="290" w:lineRule="auto"/>
        <w:sectPr>
          <w:type w:val="continuous"/>
          <w:pgSz w:w="11910" w:h="16840"/>
          <w:pgMar w:top="1100" w:bottom="1160" w:left="1080" w:right="660"/>
        </w:sectPr>
      </w:pPr>
    </w:p>
    <w:p>
      <w:pPr>
        <w:pStyle w:val="BodyText"/>
        <w:spacing w:before="0"/>
        <w:rPr>
          <w:rFonts w:ascii="Times New Roman"/>
          <w:sz w:val="20"/>
        </w:rPr>
      </w:pPr>
    </w:p>
    <w:p>
      <w:pPr>
        <w:pStyle w:val="BodyText"/>
        <w:spacing w:before="6"/>
        <w:rPr>
          <w:rFonts w:ascii="Times New Roman"/>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30"/>
        <w:gridCol w:w="7536"/>
      </w:tblGrid>
      <w:tr>
        <w:trPr>
          <w:trHeight w:val="433" w:hRule="atLeast"/>
        </w:trPr>
        <w:tc>
          <w:tcPr>
            <w:tcW w:w="603" w:type="dxa"/>
          </w:tcPr>
          <w:p>
            <w:pPr>
              <w:pStyle w:val="TableParagraph"/>
              <w:spacing w:line="211" w:lineRule="exact"/>
              <w:ind w:left="50"/>
              <w:rPr>
                <w:b/>
                <w:sz w:val="21"/>
              </w:rPr>
            </w:pPr>
            <w:r>
              <w:rPr>
                <w:b/>
                <w:sz w:val="21"/>
              </w:rPr>
              <w:t>8.2</w:t>
            </w:r>
          </w:p>
        </w:tc>
        <w:tc>
          <w:tcPr>
            <w:tcW w:w="1730" w:type="dxa"/>
          </w:tcPr>
          <w:p>
            <w:pPr>
              <w:pStyle w:val="TableParagraph"/>
              <w:spacing w:line="211" w:lineRule="exact"/>
              <w:ind w:left="131"/>
              <w:rPr>
                <w:b/>
                <w:sz w:val="21"/>
              </w:rPr>
            </w:pPr>
            <w:r>
              <w:rPr>
                <w:b/>
                <w:sz w:val="21"/>
              </w:rPr>
              <w:t>意外事故</w:t>
            </w:r>
          </w:p>
        </w:tc>
        <w:tc>
          <w:tcPr>
            <w:tcW w:w="7536" w:type="dxa"/>
          </w:tcPr>
          <w:p>
            <w:pPr>
              <w:pStyle w:val="TableParagraph"/>
              <w:spacing w:line="192" w:lineRule="exact"/>
              <w:ind w:left="107"/>
              <w:rPr>
                <w:sz w:val="18"/>
              </w:rPr>
            </w:pPr>
            <w:r>
              <w:rPr>
                <w:sz w:val="18"/>
              </w:rPr>
              <w:t>指外来的、非本意的、突然的、剧烈的、非疾病的使被保险人身体受到剧烈伤害的客观事件。</w:t>
            </w:r>
          </w:p>
        </w:tc>
      </w:tr>
      <w:tr>
        <w:trPr>
          <w:trHeight w:val="909" w:hRule="atLeast"/>
        </w:trPr>
        <w:tc>
          <w:tcPr>
            <w:tcW w:w="603" w:type="dxa"/>
          </w:tcPr>
          <w:p>
            <w:pPr>
              <w:pStyle w:val="TableParagraph"/>
              <w:spacing w:before="158"/>
              <w:ind w:left="50"/>
              <w:rPr>
                <w:b/>
                <w:sz w:val="21"/>
              </w:rPr>
            </w:pPr>
            <w:r>
              <w:rPr>
                <w:b/>
                <w:sz w:val="21"/>
              </w:rPr>
              <w:t>8.3</w:t>
            </w:r>
          </w:p>
        </w:tc>
        <w:tc>
          <w:tcPr>
            <w:tcW w:w="1730" w:type="dxa"/>
          </w:tcPr>
          <w:p>
            <w:pPr>
              <w:pStyle w:val="TableParagraph"/>
              <w:spacing w:line="273" w:lineRule="auto" w:before="158"/>
              <w:ind w:left="131" w:right="104"/>
              <w:rPr>
                <w:b/>
                <w:sz w:val="21"/>
              </w:rPr>
            </w:pPr>
            <w:r>
              <w:rPr>
                <w:b/>
                <w:sz w:val="21"/>
              </w:rPr>
              <w:t>指定或认可的医疗机构</w:t>
            </w:r>
          </w:p>
        </w:tc>
        <w:tc>
          <w:tcPr>
            <w:tcW w:w="7536" w:type="dxa"/>
          </w:tcPr>
          <w:p>
            <w:pPr>
              <w:pStyle w:val="TableParagraph"/>
              <w:spacing w:before="6"/>
              <w:rPr>
                <w:rFonts w:ascii="Times New Roman"/>
                <w:sz w:val="15"/>
              </w:rPr>
            </w:pPr>
          </w:p>
          <w:p>
            <w:pPr>
              <w:pStyle w:val="TableParagraph"/>
              <w:spacing w:line="316" w:lineRule="auto"/>
              <w:ind w:left="107" w:right="44"/>
              <w:rPr>
                <w:sz w:val="18"/>
              </w:rPr>
            </w:pPr>
            <w:r>
              <w:rPr>
                <w:sz w:val="18"/>
              </w:rPr>
              <w:t>指中华人民共和国境内(港澳台地区除外)，投保地所在省、市、自治区范围内的卫生行政部门认可的二级甲等以上非营利性医疗机构。</w:t>
            </w:r>
          </w:p>
        </w:tc>
      </w:tr>
      <w:tr>
        <w:trPr>
          <w:trHeight w:val="432" w:hRule="atLeast"/>
        </w:trPr>
        <w:tc>
          <w:tcPr>
            <w:tcW w:w="603" w:type="dxa"/>
          </w:tcPr>
          <w:p>
            <w:pPr>
              <w:pStyle w:val="TableParagraph"/>
              <w:spacing w:before="100"/>
              <w:ind w:left="50"/>
              <w:rPr>
                <w:b/>
                <w:sz w:val="21"/>
              </w:rPr>
            </w:pPr>
            <w:r>
              <w:rPr>
                <w:b/>
                <w:sz w:val="21"/>
              </w:rPr>
              <w:t>8.4</w:t>
            </w:r>
          </w:p>
        </w:tc>
        <w:tc>
          <w:tcPr>
            <w:tcW w:w="1730" w:type="dxa"/>
          </w:tcPr>
          <w:p>
            <w:pPr>
              <w:pStyle w:val="TableParagraph"/>
              <w:spacing w:before="100"/>
              <w:ind w:left="131"/>
              <w:rPr>
                <w:b/>
                <w:sz w:val="21"/>
              </w:rPr>
            </w:pPr>
            <w:r>
              <w:rPr>
                <w:b/>
                <w:sz w:val="21"/>
              </w:rPr>
              <w:t>毒品</w:t>
            </w:r>
          </w:p>
        </w:tc>
        <w:tc>
          <w:tcPr>
            <w:tcW w:w="7536" w:type="dxa"/>
          </w:tcPr>
          <w:p>
            <w:pPr>
              <w:pStyle w:val="TableParagraph"/>
              <w:spacing w:before="121"/>
              <w:ind w:left="107"/>
              <w:rPr>
                <w:sz w:val="18"/>
              </w:rPr>
            </w:pPr>
            <w:r>
              <w:rPr>
                <w:sz w:val="18"/>
              </w:rPr>
              <w:t>指中华人民共和国刑法规定的鸦片、海洛因、甲基苯丙胺（冰毒</w:t>
            </w:r>
            <w:r>
              <w:rPr>
                <w:spacing w:val="-92"/>
                <w:sz w:val="18"/>
              </w:rPr>
              <w:t>）</w:t>
            </w:r>
            <w:r>
              <w:rPr>
                <w:sz w:val="18"/>
              </w:rPr>
              <w:t>、吗啡、大麻、可卡因以及</w:t>
            </w:r>
          </w:p>
        </w:tc>
      </w:tr>
      <w:tr>
        <w:trPr>
          <w:trHeight w:val="30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国家规定管制的其他能够使人形成瘾癖的麻醉药品和精神药品，但不包括由医生开具并遵医嘱</w:t>
            </w:r>
          </w:p>
        </w:tc>
      </w:tr>
      <w:tr>
        <w:trPr>
          <w:trHeight w:val="418"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使用的用于治疗疾病但含有毒品成分的处方药品。</w:t>
            </w:r>
          </w:p>
        </w:tc>
      </w:tr>
      <w:tr>
        <w:trPr>
          <w:trHeight w:val="440" w:hRule="atLeast"/>
        </w:trPr>
        <w:tc>
          <w:tcPr>
            <w:tcW w:w="603" w:type="dxa"/>
          </w:tcPr>
          <w:p>
            <w:pPr>
              <w:pStyle w:val="TableParagraph"/>
              <w:spacing w:before="109"/>
              <w:ind w:left="50"/>
              <w:rPr>
                <w:b/>
                <w:sz w:val="21"/>
              </w:rPr>
            </w:pPr>
            <w:r>
              <w:rPr>
                <w:b/>
                <w:sz w:val="21"/>
              </w:rPr>
              <w:t>8.5</w:t>
            </w:r>
          </w:p>
        </w:tc>
        <w:tc>
          <w:tcPr>
            <w:tcW w:w="1730" w:type="dxa"/>
          </w:tcPr>
          <w:p>
            <w:pPr>
              <w:pStyle w:val="TableParagraph"/>
              <w:spacing w:before="109"/>
              <w:ind w:left="131"/>
              <w:rPr>
                <w:b/>
                <w:sz w:val="21"/>
              </w:rPr>
            </w:pPr>
            <w:r>
              <w:rPr>
                <w:b/>
                <w:sz w:val="21"/>
              </w:rPr>
              <w:t>酒后驾驶</w:t>
            </w:r>
          </w:p>
        </w:tc>
        <w:tc>
          <w:tcPr>
            <w:tcW w:w="7536" w:type="dxa"/>
          </w:tcPr>
          <w:p>
            <w:pPr>
              <w:pStyle w:val="TableParagraph"/>
              <w:spacing w:before="129"/>
              <w:ind w:left="107"/>
              <w:rPr>
                <w:sz w:val="18"/>
              </w:rPr>
            </w:pPr>
            <w:r>
              <w:rPr>
                <w:sz w:val="18"/>
              </w:rPr>
              <w:t>指经检测或鉴定，发生事故时车辆驾驶人员每百毫升血液中的酒精含量或呼气酒精含量达到或</w:t>
            </w:r>
          </w:p>
        </w:tc>
      </w:tr>
      <w:tr>
        <w:trPr>
          <w:trHeight w:val="30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超过一定的标准，公安机关交通管理部门依据《道路交通安全法》的规定认定为饮酒后驾驶或</w:t>
            </w:r>
          </w:p>
        </w:tc>
      </w:tr>
      <w:tr>
        <w:trPr>
          <w:trHeight w:val="419"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醉酒后驾驶。</w:t>
            </w:r>
          </w:p>
        </w:tc>
      </w:tr>
      <w:tr>
        <w:trPr>
          <w:trHeight w:val="753" w:hRule="atLeast"/>
        </w:trPr>
        <w:tc>
          <w:tcPr>
            <w:tcW w:w="603" w:type="dxa"/>
          </w:tcPr>
          <w:p>
            <w:pPr>
              <w:pStyle w:val="TableParagraph"/>
              <w:spacing w:before="110"/>
              <w:ind w:left="50"/>
              <w:rPr>
                <w:b/>
                <w:sz w:val="21"/>
              </w:rPr>
            </w:pPr>
            <w:r>
              <w:rPr>
                <w:b/>
                <w:sz w:val="21"/>
              </w:rPr>
              <w:t>8.6</w:t>
            </w:r>
          </w:p>
        </w:tc>
        <w:tc>
          <w:tcPr>
            <w:tcW w:w="1730" w:type="dxa"/>
          </w:tcPr>
          <w:p>
            <w:pPr>
              <w:pStyle w:val="TableParagraph"/>
              <w:spacing w:line="273" w:lineRule="auto" w:before="110"/>
              <w:ind w:left="131" w:right="104"/>
              <w:rPr>
                <w:b/>
                <w:sz w:val="21"/>
              </w:rPr>
            </w:pPr>
            <w:r>
              <w:rPr>
                <w:b/>
                <w:sz w:val="21"/>
              </w:rPr>
              <w:t>无合法有效驾驶证驾驶</w:t>
            </w:r>
          </w:p>
        </w:tc>
        <w:tc>
          <w:tcPr>
            <w:tcW w:w="7536" w:type="dxa"/>
          </w:tcPr>
          <w:p>
            <w:pPr>
              <w:pStyle w:val="TableParagraph"/>
              <w:spacing w:before="130"/>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(2) 驾驶与驾驶证准驾车型不相符合的车辆；</w:t>
            </w:r>
          </w:p>
        </w:tc>
      </w:tr>
      <w:tr>
        <w:trPr>
          <w:trHeight w:val="31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(3) 持审验不合格的驾驶证驾驶；</w:t>
            </w:r>
          </w:p>
        </w:tc>
      </w:tr>
      <w:tr>
        <w:trPr>
          <w:trHeight w:val="418"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(4) 持学习驾驶证学习驾车时，无教练员随车指导，或不按指定时间、路线学习驾车。</w:t>
            </w:r>
          </w:p>
        </w:tc>
      </w:tr>
      <w:tr>
        <w:trPr>
          <w:trHeight w:val="440" w:hRule="atLeast"/>
        </w:trPr>
        <w:tc>
          <w:tcPr>
            <w:tcW w:w="603" w:type="dxa"/>
          </w:tcPr>
          <w:p>
            <w:pPr>
              <w:pStyle w:val="TableParagraph"/>
              <w:spacing w:before="108"/>
              <w:ind w:left="50"/>
              <w:rPr>
                <w:b/>
                <w:sz w:val="21"/>
              </w:rPr>
            </w:pPr>
            <w:r>
              <w:rPr>
                <w:b/>
                <w:sz w:val="21"/>
              </w:rPr>
              <w:t>8.7</w:t>
            </w:r>
          </w:p>
        </w:tc>
        <w:tc>
          <w:tcPr>
            <w:tcW w:w="1730" w:type="dxa"/>
          </w:tcPr>
          <w:p>
            <w:pPr>
              <w:pStyle w:val="TableParagraph"/>
              <w:spacing w:before="108"/>
              <w:ind w:left="131"/>
              <w:rPr>
                <w:b/>
                <w:sz w:val="21"/>
              </w:rPr>
            </w:pPr>
            <w:r>
              <w:rPr>
                <w:b/>
                <w:sz w:val="21"/>
              </w:rPr>
              <w:t>无有效行驶证</w:t>
            </w:r>
          </w:p>
        </w:tc>
        <w:tc>
          <w:tcPr>
            <w:tcW w:w="7536" w:type="dxa"/>
          </w:tcPr>
          <w:p>
            <w:pPr>
              <w:pStyle w:val="TableParagraph"/>
              <w:spacing w:before="129"/>
              <w:ind w:left="107"/>
              <w:rPr>
                <w:sz w:val="18"/>
              </w:rPr>
            </w:pPr>
            <w:r>
              <w:rPr>
                <w:sz w:val="18"/>
              </w:rPr>
              <w:t>指下列情形之一：</w:t>
            </w:r>
          </w:p>
        </w:tc>
      </w:tr>
      <w:tr>
        <w:trPr>
          <w:trHeight w:val="30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(1) 机动车被依法注销登记的；</w:t>
            </w:r>
          </w:p>
        </w:tc>
      </w:tr>
      <w:tr>
        <w:trPr>
          <w:trHeight w:val="419"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(2) 未依法按时进行或通过机动车安全技术检验。</w:t>
            </w:r>
          </w:p>
        </w:tc>
      </w:tr>
      <w:tr>
        <w:trPr>
          <w:trHeight w:val="549" w:hRule="atLeast"/>
        </w:trPr>
        <w:tc>
          <w:tcPr>
            <w:tcW w:w="603" w:type="dxa"/>
          </w:tcPr>
          <w:p>
            <w:pPr>
              <w:pStyle w:val="TableParagraph"/>
              <w:spacing w:before="110"/>
              <w:ind w:left="50"/>
              <w:rPr>
                <w:b/>
                <w:sz w:val="21"/>
              </w:rPr>
            </w:pPr>
            <w:r>
              <w:rPr>
                <w:b/>
                <w:sz w:val="21"/>
              </w:rPr>
              <w:t>8.8</w:t>
            </w:r>
          </w:p>
        </w:tc>
        <w:tc>
          <w:tcPr>
            <w:tcW w:w="1730" w:type="dxa"/>
          </w:tcPr>
          <w:p>
            <w:pPr>
              <w:pStyle w:val="TableParagraph"/>
              <w:spacing w:before="110"/>
              <w:ind w:left="131"/>
              <w:rPr>
                <w:b/>
                <w:sz w:val="21"/>
              </w:rPr>
            </w:pPr>
            <w:r>
              <w:rPr>
                <w:b/>
                <w:sz w:val="21"/>
              </w:rPr>
              <w:t>艾滋病</w:t>
            </w:r>
          </w:p>
        </w:tc>
        <w:tc>
          <w:tcPr>
            <w:tcW w:w="7536" w:type="dxa"/>
          </w:tcPr>
          <w:p>
            <w:pPr>
              <w:pStyle w:val="TableParagraph"/>
              <w:spacing w:before="130"/>
              <w:ind w:left="107"/>
              <w:rPr>
                <w:sz w:val="18"/>
              </w:rPr>
            </w:pPr>
            <w:r>
              <w:rPr>
                <w:sz w:val="18"/>
              </w:rPr>
              <w:t>获得性免疫力缺乏综合征（AIDS）的简称。</w:t>
            </w:r>
          </w:p>
        </w:tc>
      </w:tr>
      <w:tr>
        <w:trPr>
          <w:trHeight w:val="432" w:hRule="atLeast"/>
        </w:trPr>
        <w:tc>
          <w:tcPr>
            <w:tcW w:w="603" w:type="dxa"/>
          </w:tcPr>
          <w:p>
            <w:pPr>
              <w:pStyle w:val="TableParagraph"/>
              <w:spacing w:before="100"/>
              <w:ind w:left="50"/>
              <w:rPr>
                <w:b/>
                <w:sz w:val="21"/>
              </w:rPr>
            </w:pPr>
            <w:r>
              <w:rPr>
                <w:b/>
                <w:sz w:val="21"/>
              </w:rPr>
              <w:t>8.9</w:t>
            </w:r>
          </w:p>
        </w:tc>
        <w:tc>
          <w:tcPr>
            <w:tcW w:w="1730" w:type="dxa"/>
          </w:tcPr>
          <w:p>
            <w:pPr>
              <w:pStyle w:val="TableParagraph"/>
              <w:spacing w:before="100"/>
              <w:ind w:left="131"/>
              <w:rPr>
                <w:b/>
                <w:sz w:val="21"/>
              </w:rPr>
            </w:pPr>
            <w:r>
              <w:rPr>
                <w:b/>
                <w:sz w:val="21"/>
              </w:rPr>
              <w:t>艾滋病病毒</w:t>
            </w:r>
          </w:p>
        </w:tc>
        <w:tc>
          <w:tcPr>
            <w:tcW w:w="7536" w:type="dxa"/>
          </w:tcPr>
          <w:p>
            <w:pPr>
              <w:pStyle w:val="TableParagraph"/>
              <w:spacing w:before="121"/>
              <w:ind w:left="107"/>
              <w:rPr>
                <w:sz w:val="18"/>
              </w:rPr>
            </w:pPr>
            <w:r>
              <w:rPr>
                <w:sz w:val="18"/>
              </w:rPr>
              <w:t>获得性免疫力缺乏综合征病毒（HIV）的简称。获得性免疫力缺乏综合征的定义应按世界卫生</w:t>
            </w:r>
          </w:p>
        </w:tc>
      </w:tr>
      <w:tr>
        <w:trPr>
          <w:trHeight w:val="302"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组织制定的定义为准，如在血液样本中发现获得性免疫力缺乏综合征病毒或其抗体，则可认定</w:t>
            </w:r>
          </w:p>
        </w:tc>
      </w:tr>
      <w:tr>
        <w:trPr>
          <w:trHeight w:val="418"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0"/>
              <w:ind w:left="107"/>
              <w:rPr>
                <w:sz w:val="18"/>
              </w:rPr>
            </w:pPr>
            <w:r>
              <w:rPr>
                <w:sz w:val="18"/>
              </w:rPr>
              <w:t>为感染艾滋病或艾滋病病毒。</w:t>
            </w:r>
          </w:p>
        </w:tc>
      </w:tr>
      <w:tr>
        <w:trPr>
          <w:trHeight w:val="440" w:hRule="atLeast"/>
        </w:trPr>
        <w:tc>
          <w:tcPr>
            <w:tcW w:w="603" w:type="dxa"/>
          </w:tcPr>
          <w:p>
            <w:pPr>
              <w:pStyle w:val="TableParagraph"/>
              <w:spacing w:before="108"/>
              <w:ind w:left="50"/>
              <w:rPr>
                <w:b/>
                <w:sz w:val="21"/>
              </w:rPr>
            </w:pPr>
            <w:r>
              <w:rPr>
                <w:b/>
                <w:sz w:val="21"/>
              </w:rPr>
              <w:t>8.10</w:t>
            </w:r>
          </w:p>
        </w:tc>
        <w:tc>
          <w:tcPr>
            <w:tcW w:w="1730" w:type="dxa"/>
          </w:tcPr>
          <w:p>
            <w:pPr>
              <w:pStyle w:val="TableParagraph"/>
              <w:spacing w:before="108"/>
              <w:ind w:left="131"/>
              <w:rPr>
                <w:b/>
                <w:sz w:val="21"/>
              </w:rPr>
            </w:pPr>
            <w:r>
              <w:rPr>
                <w:b/>
                <w:sz w:val="21"/>
              </w:rPr>
              <w:t>现金价值</w:t>
            </w:r>
          </w:p>
        </w:tc>
        <w:tc>
          <w:tcPr>
            <w:tcW w:w="7536" w:type="dxa"/>
          </w:tcPr>
          <w:p>
            <w:pPr>
              <w:pStyle w:val="TableParagraph"/>
              <w:spacing w:before="129"/>
              <w:ind w:left="107"/>
              <w:rPr>
                <w:sz w:val="18"/>
              </w:rPr>
            </w:pPr>
            <w:r>
              <w:rPr>
                <w:sz w:val="18"/>
              </w:rPr>
              <w:t>指保险单所具有的价值，通常体现为解除合同时，根据精算原理计算的，由本公司退还的那部</w:t>
            </w:r>
          </w:p>
        </w:tc>
      </w:tr>
      <w:tr>
        <w:trPr>
          <w:trHeight w:val="410" w:hRule="atLeast"/>
        </w:trPr>
        <w:tc>
          <w:tcPr>
            <w:tcW w:w="603" w:type="dxa"/>
          </w:tcPr>
          <w:p>
            <w:pPr>
              <w:pStyle w:val="TableParagraph"/>
              <w:rPr>
                <w:rFonts w:ascii="Times New Roman"/>
                <w:sz w:val="18"/>
              </w:rPr>
            </w:pPr>
          </w:p>
        </w:tc>
        <w:tc>
          <w:tcPr>
            <w:tcW w:w="1730" w:type="dxa"/>
          </w:tcPr>
          <w:p>
            <w:pPr>
              <w:pStyle w:val="TableParagraph"/>
              <w:rPr>
                <w:rFonts w:ascii="Times New Roman"/>
                <w:sz w:val="18"/>
              </w:rPr>
            </w:pPr>
          </w:p>
        </w:tc>
        <w:tc>
          <w:tcPr>
            <w:tcW w:w="7536" w:type="dxa"/>
          </w:tcPr>
          <w:p>
            <w:pPr>
              <w:pStyle w:val="TableParagraph"/>
              <w:spacing w:before="1"/>
              <w:ind w:left="107"/>
              <w:rPr>
                <w:sz w:val="18"/>
              </w:rPr>
            </w:pPr>
            <w:r>
              <w:rPr>
                <w:sz w:val="18"/>
              </w:rPr>
              <w:t>分金额。</w:t>
            </w:r>
          </w:p>
        </w:tc>
      </w:tr>
      <w:tr>
        <w:trPr>
          <w:trHeight w:val="384" w:hRule="atLeast"/>
        </w:trPr>
        <w:tc>
          <w:tcPr>
            <w:tcW w:w="603" w:type="dxa"/>
          </w:tcPr>
          <w:p>
            <w:pPr>
              <w:pStyle w:val="TableParagraph"/>
              <w:spacing w:line="255" w:lineRule="exact" w:before="110"/>
              <w:ind w:left="50"/>
              <w:rPr>
                <w:b/>
                <w:sz w:val="21"/>
              </w:rPr>
            </w:pPr>
            <w:r>
              <w:rPr>
                <w:b/>
                <w:sz w:val="21"/>
              </w:rPr>
              <w:t>8.11</w:t>
            </w:r>
          </w:p>
        </w:tc>
        <w:tc>
          <w:tcPr>
            <w:tcW w:w="1730" w:type="dxa"/>
          </w:tcPr>
          <w:p>
            <w:pPr>
              <w:pStyle w:val="TableParagraph"/>
              <w:spacing w:line="255" w:lineRule="exact" w:before="110"/>
              <w:ind w:left="131"/>
              <w:rPr>
                <w:b/>
                <w:sz w:val="21"/>
              </w:rPr>
            </w:pPr>
            <w:r>
              <w:rPr>
                <w:b/>
                <w:sz w:val="21"/>
              </w:rPr>
              <w:t>利息</w:t>
            </w:r>
          </w:p>
        </w:tc>
        <w:tc>
          <w:tcPr>
            <w:tcW w:w="7536" w:type="dxa"/>
          </w:tcPr>
          <w:p>
            <w:pPr>
              <w:pStyle w:val="TableParagraph"/>
              <w:spacing w:line="234" w:lineRule="exact" w:before="130"/>
              <w:ind w:left="107"/>
              <w:rPr>
                <w:sz w:val="18"/>
              </w:rPr>
            </w:pPr>
            <w:r>
              <w:rPr>
                <w:sz w:val="18"/>
              </w:rPr>
              <w:t>除本附加合同另有约定外,本附加合同中提到的利息一律按年复利方式计算。</w:t>
            </w:r>
          </w:p>
        </w:tc>
      </w:tr>
    </w:tbl>
    <w:p>
      <w:pPr>
        <w:spacing w:after="0" w:line="234" w:lineRule="exact"/>
        <w:rPr>
          <w:sz w:val="18"/>
        </w:rPr>
        <w:sectPr>
          <w:pgSz w:w="11910" w:h="16840"/>
          <w:pgMar w:header="877" w:footer="977" w:top="1100" w:bottom="1160" w:left="1140" w:right="680"/>
        </w:sectPr>
      </w:pPr>
    </w:p>
    <w:p>
      <w:pPr>
        <w:pStyle w:val="BodyText"/>
        <w:spacing w:before="10"/>
        <w:rPr>
          <w:rFonts w:ascii="Times New Roman"/>
          <w:sz w:val="22"/>
        </w:rPr>
      </w:pPr>
    </w:p>
    <w:p>
      <w:pPr>
        <w:pStyle w:val="Heading4"/>
        <w:ind w:left="4318" w:right="3914"/>
        <w:jc w:val="center"/>
      </w:pPr>
      <w:r>
        <w:rPr>
          <w:w w:val="95"/>
        </w:rPr>
        <w:t>附表一：重大疾病说明</w:t>
      </w:r>
    </w:p>
    <w:p>
      <w:pPr>
        <w:pStyle w:val="BodyText"/>
        <w:spacing w:before="11"/>
        <w:rPr>
          <w:b/>
          <w:sz w:val="23"/>
        </w:rPr>
      </w:pPr>
    </w:p>
    <w:p>
      <w:pPr>
        <w:spacing w:before="45"/>
        <w:ind w:left="223" w:right="0" w:firstLine="0"/>
        <w:jc w:val="left"/>
        <w:rPr>
          <w:b/>
          <w:sz w:val="18"/>
        </w:rPr>
      </w:pPr>
      <w:r>
        <w:rPr>
          <w:b/>
          <w:w w:val="95"/>
          <w:sz w:val="18"/>
        </w:rPr>
        <w:t>重大疾病：指下列疾病或手术之一</w:t>
      </w:r>
    </w:p>
    <w:p>
      <w:pPr>
        <w:pStyle w:val="BodyText"/>
        <w:spacing w:before="2"/>
        <w:rPr>
          <w:b/>
          <w:sz w:val="26"/>
        </w:rPr>
      </w:pPr>
    </w:p>
    <w:p>
      <w:pPr>
        <w:spacing w:line="302" w:lineRule="auto" w:before="1"/>
        <w:ind w:left="223" w:right="15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5"/>
        <w:rPr>
          <w:b/>
          <w:i/>
          <w:sz w:val="23"/>
        </w:rPr>
      </w:pPr>
    </w:p>
    <w:p>
      <w:pPr>
        <w:pStyle w:val="ListParagraph"/>
        <w:numPr>
          <w:ilvl w:val="0"/>
          <w:numId w:val="10"/>
        </w:numPr>
        <w:tabs>
          <w:tab w:pos="528" w:val="left" w:leader="none"/>
          <w:tab w:pos="2524" w:val="left" w:leader="none"/>
        </w:tabs>
        <w:spacing w:line="316" w:lineRule="auto" w:before="0" w:after="0"/>
        <w:ind w:left="2524" w:right="114" w:hanging="2416"/>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2"/>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2"/>
          <w:sz w:val="18"/>
        </w:rPr>
        <w:t>》</w:t>
      </w:r>
      <w:r>
        <w:rPr>
          <w:sz w:val="18"/>
        </w:rPr>
        <w:t>（ICD-10）的恶</w:t>
      </w:r>
      <w:r>
        <w:rPr>
          <w:spacing w:val="-3"/>
          <w:sz w:val="18"/>
        </w:rPr>
        <w:t>性</w:t>
      </w:r>
      <w:r>
        <w:rPr>
          <w:sz w:val="18"/>
        </w:rPr>
        <w:t>肿瘤范畴。</w:t>
      </w:r>
    </w:p>
    <w:p>
      <w:pPr>
        <w:pStyle w:val="BodyText"/>
        <w:tabs>
          <w:tab w:pos="9866" w:val="left" w:leader="none"/>
        </w:tabs>
        <w:spacing w:line="316" w:lineRule="auto" w:before="18"/>
        <w:ind w:left="2524" w:right="117"/>
      </w:pPr>
      <w:r>
        <w:rPr>
          <w:shd w:fill="C0C0C0" w:color="auto" w:val="clear"/>
        </w:rPr>
        <w:t>下列疾病不在保障范围内：</w:t>
        <w:tab/>
      </w:r>
      <w:r>
        <w:rPr/>
        <w:t> </w:t>
      </w:r>
      <w:r>
        <w:rPr>
          <w:shd w:fill="C0C0C0" w:color="auto" w:val="clear"/>
        </w:rPr>
        <w:t>(1) 原位癌；</w:t>
      </w:r>
    </w:p>
    <w:p>
      <w:pPr>
        <w:pStyle w:val="BodyText"/>
        <w:spacing w:line="316" w:lineRule="auto" w:before="18"/>
        <w:ind w:left="2524" w:right="2598"/>
      </w:pPr>
      <w:r>
        <w:rPr>
          <w:shd w:fill="C0C0C0" w:color="auto" w:val="clear"/>
        </w:rPr>
        <w:t>(2</w:t>
      </w:r>
      <w:r>
        <w:rPr>
          <w:spacing w:val="7"/>
          <w:shd w:fill="C0C0C0" w:color="auto" w:val="clear"/>
        </w:rPr>
        <w:t>) 相当于</w:t>
      </w:r>
      <w:r>
        <w:rPr>
          <w:shd w:fill="C0C0C0" w:color="auto" w:val="clear"/>
        </w:rPr>
        <w:t>Binet</w:t>
      </w:r>
      <w:r>
        <w:rPr>
          <w:spacing w:val="-2"/>
          <w:shd w:fill="C0C0C0" w:color="auto" w:val="clear"/>
        </w:rPr>
        <w:t> 分期方案</w:t>
      </w:r>
      <w:r>
        <w:rPr>
          <w:shd w:fill="C0C0C0" w:color="auto" w:val="clear"/>
        </w:rPr>
        <w:t>A</w:t>
      </w:r>
      <w:r>
        <w:rPr>
          <w:spacing w:val="-7"/>
          <w:shd w:fill="C0C0C0" w:color="auto" w:val="clear"/>
        </w:rPr>
        <w:t> 期程度的慢性淋巴细胞白血病； (3</w:t>
      </w:r>
      <w:r>
        <w:rPr>
          <w:spacing w:val="5"/>
          <w:shd w:fill="C0C0C0" w:color="auto" w:val="clear"/>
        </w:rPr>
        <w:t>) 相当于</w:t>
      </w:r>
      <w:r>
        <w:rPr>
          <w:shd w:fill="C0C0C0" w:color="auto" w:val="clear"/>
        </w:rPr>
        <w:t>Ann Arbor</w:t>
      </w:r>
      <w:r>
        <w:rPr>
          <w:spacing w:val="-16"/>
          <w:shd w:fill="C0C0C0" w:color="auto" w:val="clear"/>
        </w:rPr>
        <w:t> 分期方案 </w:t>
      </w:r>
      <w:r>
        <w:rPr>
          <w:shd w:fill="C0C0C0" w:color="auto" w:val="clear"/>
        </w:rPr>
        <w:t>I</w:t>
      </w:r>
      <w:r>
        <w:rPr>
          <w:spacing w:val="-7"/>
          <w:shd w:fill="C0C0C0" w:color="auto" w:val="clear"/>
        </w:rPr>
        <w:t> 期程度的何杰金氏病；</w:t>
      </w:r>
      <w:r>
        <w:rPr>
          <w:shd w:fill="C0C0C0" w:color="auto" w:val="clear"/>
        </w:rPr>
        <w:t> (</w:t>
      </w:r>
      <w:r>
        <w:rPr>
          <w:spacing w:val="0"/>
          <w:shd w:fill="C0C0C0" w:color="auto" w:val="clear"/>
        </w:rPr>
        <w:t>4</w:t>
      </w:r>
      <w:r>
        <w:rPr>
          <w:shd w:fill="C0C0C0" w:color="auto" w:val="clear"/>
        </w:rPr>
        <w:t>)</w:t>
      </w:r>
      <w:r>
        <w:rPr>
          <w:spacing w:val="-1"/>
          <w:shd w:fill="C0C0C0" w:color="auto" w:val="clear"/>
        </w:rPr>
        <w:t> </w:t>
      </w:r>
      <w:r>
        <w:rPr>
          <w:shd w:fill="C0C0C0" w:color="auto" w:val="clear"/>
        </w:rPr>
        <w:t>皮肤癌（</w:t>
      </w:r>
      <w:r>
        <w:rPr>
          <w:spacing w:val="-1"/>
          <w:shd w:fill="C0C0C0" w:color="auto" w:val="clear"/>
        </w:rPr>
        <w:t>不包括恶性黑色素瘤及已发生转移的皮肤癌</w:t>
      </w:r>
      <w:r>
        <w:rPr>
          <w:spacing w:val="-92"/>
          <w:shd w:fill="C0C0C0" w:color="auto" w:val="clear"/>
        </w:rPr>
        <w:t>）</w:t>
      </w:r>
      <w:r>
        <w:rPr>
          <w:shd w:fill="C0C0C0" w:color="auto" w:val="clear"/>
        </w:rPr>
        <w:t>；</w:t>
      </w:r>
      <w:r>
        <w:rPr/>
        <w:t> </w:t>
      </w:r>
      <w:r>
        <w:rPr>
          <w:position w:val="1"/>
          <w:shd w:fill="C0C0C0" w:color="auto" w:val="clear"/>
        </w:rPr>
        <w:t>(5)</w:t>
      </w:r>
      <w:r>
        <w:rPr>
          <w:spacing w:val="-2"/>
          <w:position w:val="1"/>
          <w:shd w:fill="C0C0C0" w:color="auto" w:val="clear"/>
        </w:rPr>
        <w:t> </w:t>
      </w:r>
      <w:r>
        <w:rPr>
          <w:position w:val="1"/>
          <w:shd w:fill="C0C0C0" w:color="auto" w:val="clear"/>
        </w:rPr>
        <w:t>TNM</w:t>
      </w:r>
      <w:r>
        <w:rPr>
          <w:spacing w:val="-19"/>
          <w:position w:val="1"/>
          <w:shd w:fill="C0C0C0" w:color="auto" w:val="clear"/>
        </w:rPr>
        <w:t> 分期为 </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spacing w:val="-1"/>
          <w:position w:val="1"/>
          <w:shd w:fill="C0C0C0" w:color="auto" w:val="clear"/>
        </w:rPr>
        <w:t>期或更轻分期的前列腺癌。</w:t>
      </w:r>
    </w:p>
    <w:p>
      <w:pPr>
        <w:pStyle w:val="BodyText"/>
        <w:spacing w:before="8"/>
      </w:pPr>
    </w:p>
    <w:p>
      <w:pPr>
        <w:pStyle w:val="ListParagraph"/>
        <w:numPr>
          <w:ilvl w:val="0"/>
          <w:numId w:val="10"/>
        </w:numPr>
        <w:tabs>
          <w:tab w:pos="527" w:val="left" w:leader="none"/>
          <w:tab w:pos="528" w:val="left" w:leader="none"/>
          <w:tab w:pos="2524" w:val="left" w:leader="none"/>
        </w:tabs>
        <w:spacing w:line="240" w:lineRule="auto" w:before="0" w:after="0"/>
        <w:ind w:left="2524" w:right="0" w:hanging="2416"/>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0"/>
        </w:numPr>
        <w:tabs>
          <w:tab w:pos="2888" w:val="left" w:leader="none"/>
        </w:tabs>
        <w:spacing w:line="240" w:lineRule="auto" w:before="76" w:after="0"/>
        <w:ind w:left="2887" w:right="0" w:hanging="363"/>
        <w:jc w:val="left"/>
        <w:rPr>
          <w:sz w:val="18"/>
        </w:rPr>
      </w:pPr>
      <w:r>
        <w:rPr>
          <w:spacing w:val="-1"/>
          <w:sz w:val="18"/>
        </w:rPr>
        <w:t>典型临床表现，例如急性胸痛等；</w:t>
      </w:r>
    </w:p>
    <w:p>
      <w:pPr>
        <w:pStyle w:val="ListParagraph"/>
        <w:numPr>
          <w:ilvl w:val="1"/>
          <w:numId w:val="10"/>
        </w:numPr>
        <w:tabs>
          <w:tab w:pos="2888" w:val="left" w:leader="none"/>
        </w:tabs>
        <w:spacing w:line="240" w:lineRule="auto" w:before="76" w:after="0"/>
        <w:ind w:left="2887" w:right="0" w:hanging="363"/>
        <w:jc w:val="left"/>
        <w:rPr>
          <w:sz w:val="18"/>
        </w:rPr>
      </w:pPr>
      <w:r>
        <w:rPr>
          <w:spacing w:val="-1"/>
          <w:sz w:val="18"/>
        </w:rPr>
        <w:t>新近的心电图改变提示急性心肌梗塞；</w:t>
      </w:r>
    </w:p>
    <w:p>
      <w:pPr>
        <w:pStyle w:val="ListParagraph"/>
        <w:numPr>
          <w:ilvl w:val="1"/>
          <w:numId w:val="10"/>
        </w:numPr>
        <w:tabs>
          <w:tab w:pos="2888" w:val="left" w:leader="none"/>
        </w:tabs>
        <w:spacing w:line="240" w:lineRule="auto" w:before="76" w:after="0"/>
        <w:ind w:left="2887" w:right="0" w:hanging="363"/>
        <w:jc w:val="left"/>
        <w:rPr>
          <w:sz w:val="18"/>
        </w:rPr>
      </w:pPr>
      <w:r>
        <w:rPr>
          <w:spacing w:val="-1"/>
          <w:sz w:val="18"/>
        </w:rPr>
        <w:t>心肌酶或肌钙蛋白有诊断意义的升高，或呈符合急性心肌梗塞的动态性变化；</w:t>
      </w:r>
    </w:p>
    <w:p>
      <w:pPr>
        <w:pStyle w:val="ListParagraph"/>
        <w:numPr>
          <w:ilvl w:val="1"/>
          <w:numId w:val="10"/>
        </w:numPr>
        <w:tabs>
          <w:tab w:pos="2888" w:val="left" w:leader="none"/>
        </w:tabs>
        <w:spacing w:line="240" w:lineRule="auto" w:before="76" w:after="0"/>
        <w:ind w:left="2887" w:right="0" w:hanging="363"/>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0"/>
        </w:numPr>
        <w:tabs>
          <w:tab w:pos="528" w:val="left" w:leader="none"/>
        </w:tabs>
        <w:spacing w:line="316" w:lineRule="auto" w:before="1" w:after="0"/>
        <w:ind w:left="2524" w:right="114" w:hanging="2416"/>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0"/>
        </w:numPr>
        <w:tabs>
          <w:tab w:pos="2888" w:val="left" w:leader="none"/>
        </w:tabs>
        <w:spacing w:line="240" w:lineRule="auto" w:before="19" w:after="0"/>
        <w:ind w:left="2831"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r>
        <w:rPr>
          <w:sz w:val="18"/>
        </w:rPr>
        <w:t>；</w:t>
      </w:r>
    </w:p>
    <w:p>
      <w:pPr>
        <w:pStyle w:val="ListParagraph"/>
        <w:numPr>
          <w:ilvl w:val="1"/>
          <w:numId w:val="10"/>
        </w:numPr>
        <w:tabs>
          <w:tab w:pos="2888" w:val="left" w:leader="none"/>
        </w:tabs>
        <w:spacing w:line="240" w:lineRule="auto" w:before="76" w:after="0"/>
        <w:ind w:left="2831" w:right="0" w:hanging="307"/>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2"/>
          <w:sz w:val="18"/>
        </w:rPr>
        <w:t>）</w:t>
      </w:r>
      <w:r>
        <w:rPr>
          <w:sz w:val="18"/>
        </w:rPr>
        <w:t>；</w:t>
      </w:r>
    </w:p>
    <w:p>
      <w:pPr>
        <w:pStyle w:val="ListParagraph"/>
        <w:numPr>
          <w:ilvl w:val="1"/>
          <w:numId w:val="10"/>
        </w:numPr>
        <w:tabs>
          <w:tab w:pos="2888" w:val="left" w:leader="none"/>
        </w:tabs>
        <w:spacing w:line="316" w:lineRule="auto" w:before="75" w:after="0"/>
        <w:ind w:left="2831" w:right="117"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p>
      <w:pPr>
        <w:pStyle w:val="BodyText"/>
        <w:spacing w:before="5"/>
        <w:rPr>
          <w:sz w:val="15"/>
        </w:rPr>
      </w:pPr>
    </w:p>
    <w:p>
      <w:pPr>
        <w:spacing w:after="0"/>
        <w:rPr>
          <w:sz w:val="15"/>
        </w:rPr>
        <w:sectPr>
          <w:pgSz w:w="11910" w:h="16840"/>
          <w:pgMar w:header="877" w:footer="977" w:top="1100" w:bottom="1160" w:left="1080" w:right="840"/>
        </w:sectPr>
      </w:pPr>
    </w:p>
    <w:p>
      <w:pPr>
        <w:pStyle w:val="Heading4"/>
        <w:numPr>
          <w:ilvl w:val="0"/>
          <w:numId w:val="10"/>
        </w:numPr>
        <w:tabs>
          <w:tab w:pos="527" w:val="left" w:leader="none"/>
          <w:tab w:pos="528" w:val="left" w:leader="none"/>
        </w:tabs>
        <w:spacing w:line="319" w:lineRule="auto" w:before="45" w:after="0"/>
        <w:ind w:left="527" w:right="0" w:hanging="419"/>
        <w:jc w:val="left"/>
      </w:pPr>
      <w:r>
        <w:rPr>
          <w:spacing w:val="15"/>
        </w:rPr>
        <w:t>重大器官移植术或造</w:t>
      </w:r>
      <w:r>
        <w:rPr>
          <w:spacing w:val="15"/>
          <w:w w:val="95"/>
        </w:rPr>
        <w:t>血干细胞移植术</w:t>
      </w:r>
    </w:p>
    <w:p>
      <w:pPr>
        <w:pStyle w:val="BodyText"/>
        <w:spacing w:line="319" w:lineRule="auto" w:before="45"/>
        <w:ind w:left="108" w:right="117"/>
      </w:pPr>
      <w:r>
        <w:rPr/>
        <w:br w:type="column"/>
      </w:r>
      <w:r>
        <w:rPr>
          <w:spacing w:val="-5"/>
        </w:rPr>
        <w:t>重大器官移植术，指因相应器官功能衰竭，已经实施了肾脏、肝脏、心脏或肺脏的异体移植手术。</w:t>
      </w:r>
    </w:p>
    <w:p>
      <w:pPr>
        <w:pStyle w:val="BodyText"/>
        <w:spacing w:line="316" w:lineRule="auto" w:before="17"/>
        <w:ind w:left="108" w:right="68"/>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60" w:left="1080" w:right="840"/>
          <w:cols w:num="2" w:equalWidth="0">
            <w:col w:w="2309" w:space="108"/>
            <w:col w:w="7573"/>
          </w:cols>
        </w:sectPr>
      </w:pPr>
    </w:p>
    <w:p>
      <w:pPr>
        <w:pStyle w:val="BodyText"/>
        <w:spacing w:before="3"/>
        <w:rPr>
          <w:sz w:val="15"/>
        </w:rPr>
      </w:pPr>
    </w:p>
    <w:p>
      <w:pPr>
        <w:pStyle w:val="ListParagraph"/>
        <w:numPr>
          <w:ilvl w:val="0"/>
          <w:numId w:val="10"/>
        </w:numPr>
        <w:tabs>
          <w:tab w:pos="527" w:val="left" w:leader="none"/>
          <w:tab w:pos="528" w:val="left" w:leader="none"/>
          <w:tab w:pos="2524" w:val="left" w:leader="none"/>
        </w:tabs>
        <w:spacing w:line="240" w:lineRule="auto" w:before="45" w:after="0"/>
        <w:ind w:left="2524" w:right="0" w:hanging="2416"/>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9" w:lineRule="auto"/>
        <w:ind w:left="2524" w:right="79"/>
      </w:pPr>
      <w:r>
        <w:rPr>
          <w:shd w:fill="C0C0C0" w:color="auto" w:val="clear"/>
        </w:rPr>
        <w:t>冠状动脉支架植入术、心导管球囊扩张术、激光射频技术及其它非开胸的介入手术、腔镜手术不在保障范围内。</w:t>
      </w:r>
    </w:p>
    <w:p>
      <w:pPr>
        <w:pStyle w:val="BodyText"/>
        <w:spacing w:before="9"/>
      </w:pPr>
    </w:p>
    <w:p>
      <w:pPr>
        <w:pStyle w:val="ListParagraph"/>
        <w:numPr>
          <w:ilvl w:val="0"/>
          <w:numId w:val="10"/>
        </w:numPr>
        <w:tabs>
          <w:tab w:pos="527" w:val="left" w:leader="none"/>
          <w:tab w:pos="528" w:val="left" w:leader="none"/>
          <w:tab w:pos="2524" w:val="left" w:leader="none"/>
        </w:tabs>
        <w:spacing w:line="316" w:lineRule="auto" w:before="0" w:after="0"/>
        <w:ind w:left="2524" w:right="167" w:hanging="2416"/>
        <w:jc w:val="left"/>
        <w:rPr>
          <w:sz w:val="18"/>
        </w:rPr>
      </w:pPr>
      <w:r>
        <w:rPr>
          <w:b/>
          <w:sz w:val="18"/>
        </w:rPr>
        <w:t>终末期肾病</w:t>
        <w:tab/>
      </w:r>
      <w:r>
        <w:rPr>
          <w:sz w:val="18"/>
        </w:rPr>
        <w:t>指双肾功能慢性不可逆性衰竭，达到尿毒症期，经诊断后已经进行了至少</w:t>
      </w:r>
      <w:r>
        <w:rPr>
          <w:spacing w:val="-45"/>
          <w:sz w:val="18"/>
        </w:rPr>
        <w:t> </w:t>
      </w:r>
      <w:r>
        <w:rPr>
          <w:sz w:val="18"/>
        </w:rPr>
        <w:t>90</w:t>
      </w:r>
      <w:r>
        <w:rPr>
          <w:spacing w:val="-44"/>
          <w:sz w:val="18"/>
        </w:rPr>
        <w:t> </w:t>
      </w:r>
      <w:r>
        <w:rPr>
          <w:sz w:val="18"/>
        </w:rPr>
        <w:t>天的规律性</w:t>
      </w:r>
      <w:r>
        <w:rPr>
          <w:spacing w:val="-3"/>
          <w:sz w:val="18"/>
        </w:rPr>
        <w:t>透</w:t>
      </w:r>
      <w:r>
        <w:rPr>
          <w:sz w:val="18"/>
        </w:rPr>
        <w:t>析治疗或实施了肾脏移植手术。</w:t>
      </w:r>
    </w:p>
    <w:p>
      <w:pPr>
        <w:pStyle w:val="BodyText"/>
        <w:spacing w:before="8"/>
      </w:pPr>
    </w:p>
    <w:p>
      <w:pPr>
        <w:pStyle w:val="ListParagraph"/>
        <w:numPr>
          <w:ilvl w:val="0"/>
          <w:numId w:val="10"/>
        </w:numPr>
        <w:tabs>
          <w:tab w:pos="527" w:val="left" w:leader="none"/>
          <w:tab w:pos="528" w:val="left" w:leader="none"/>
          <w:tab w:pos="2524" w:val="left" w:leader="none"/>
        </w:tabs>
        <w:spacing w:line="316" w:lineRule="auto" w:before="0" w:after="0"/>
        <w:ind w:left="2524" w:right="117" w:hanging="2416"/>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5"/>
        <w:rPr>
          <w:sz w:val="15"/>
        </w:rPr>
      </w:pPr>
    </w:p>
    <w:p>
      <w:pPr>
        <w:spacing w:after="0"/>
        <w:rPr>
          <w:sz w:val="15"/>
        </w:rPr>
        <w:sectPr>
          <w:type w:val="continuous"/>
          <w:pgSz w:w="11910" w:h="16840"/>
          <w:pgMar w:top="1100" w:bottom="1160" w:left="1080" w:right="840"/>
        </w:sectPr>
      </w:pPr>
    </w:p>
    <w:p>
      <w:pPr>
        <w:pStyle w:val="Heading4"/>
        <w:numPr>
          <w:ilvl w:val="0"/>
          <w:numId w:val="10"/>
        </w:numPr>
        <w:tabs>
          <w:tab w:pos="527" w:val="left" w:leader="none"/>
          <w:tab w:pos="528" w:val="left" w:leader="none"/>
        </w:tabs>
        <w:spacing w:line="316" w:lineRule="auto" w:before="45" w:after="0"/>
        <w:ind w:left="527" w:right="0" w:hanging="419"/>
        <w:jc w:val="left"/>
      </w:pPr>
      <w:r>
        <w:rPr>
          <w:spacing w:val="15"/>
        </w:rPr>
        <w:t>急性或亚急性重症肝炎</w:t>
      </w:r>
    </w:p>
    <w:p>
      <w:pPr>
        <w:pStyle w:val="BodyText"/>
        <w:spacing w:line="316" w:lineRule="auto" w:before="45"/>
        <w:ind w:left="108"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60" w:left="1080" w:right="840"/>
          <w:cols w:num="2" w:equalWidth="0">
            <w:col w:w="2309" w:space="108"/>
            <w:col w:w="7573"/>
          </w:cols>
        </w:sectPr>
      </w:pPr>
    </w:p>
    <w:p>
      <w:pPr>
        <w:pStyle w:val="BodyText"/>
        <w:spacing w:before="1"/>
        <w:rPr>
          <w:sz w:val="20"/>
        </w:rPr>
      </w:pPr>
    </w:p>
    <w:p>
      <w:pPr>
        <w:pStyle w:val="ListParagraph"/>
        <w:numPr>
          <w:ilvl w:val="1"/>
          <w:numId w:val="10"/>
        </w:numPr>
        <w:tabs>
          <w:tab w:pos="2921" w:val="left" w:leader="none"/>
        </w:tabs>
        <w:spacing w:line="240" w:lineRule="auto" w:before="45" w:after="0"/>
        <w:ind w:left="2920" w:right="0" w:hanging="396"/>
        <w:jc w:val="left"/>
        <w:rPr>
          <w:sz w:val="18"/>
        </w:rPr>
      </w:pPr>
      <w:r>
        <w:rPr>
          <w:sz w:val="18"/>
        </w:rPr>
        <w:t>重度黄疸或黄疸迅速加重；</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肝性脑病；</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B</w:t>
      </w:r>
      <w:r>
        <w:rPr>
          <w:spacing w:val="-7"/>
          <w:sz w:val="18"/>
        </w:rPr>
        <w:t> 超或其他影像学检查显示肝脏体积急速萎缩；</w:t>
      </w:r>
    </w:p>
    <w:p>
      <w:pPr>
        <w:pStyle w:val="ListParagraph"/>
        <w:numPr>
          <w:ilvl w:val="1"/>
          <w:numId w:val="10"/>
        </w:numPr>
        <w:tabs>
          <w:tab w:pos="2888" w:val="left" w:leader="none"/>
        </w:tabs>
        <w:spacing w:line="240" w:lineRule="auto" w:before="75" w:after="0"/>
        <w:ind w:left="2887" w:right="0" w:hanging="363"/>
        <w:jc w:val="left"/>
        <w:rPr>
          <w:sz w:val="18"/>
        </w:rPr>
      </w:pPr>
      <w:r>
        <w:rPr>
          <w:sz w:val="18"/>
        </w:rPr>
        <w:t>肝功能指标进行性恶化。</w:t>
      </w:r>
    </w:p>
    <w:p>
      <w:pPr>
        <w:pStyle w:val="BodyText"/>
        <w:spacing w:before="0"/>
        <w:rPr>
          <w:sz w:val="23"/>
        </w:rPr>
      </w:pPr>
    </w:p>
    <w:p>
      <w:pPr>
        <w:pStyle w:val="ListParagraph"/>
        <w:numPr>
          <w:ilvl w:val="0"/>
          <w:numId w:val="10"/>
        </w:numPr>
        <w:tabs>
          <w:tab w:pos="528" w:val="left" w:leader="none"/>
          <w:tab w:pos="2524" w:val="left" w:leader="none"/>
        </w:tabs>
        <w:spacing w:line="316" w:lineRule="auto" w:before="0" w:after="0"/>
        <w:ind w:left="2524" w:right="137" w:hanging="2416"/>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8"/>
          <w:sz w:val="18"/>
        </w:rPr>
        <w:t>，</w:t>
      </w:r>
      <w:r>
        <w:rPr>
          <w:sz w:val="18"/>
        </w:rPr>
        <w:t>并危及生命</w:t>
      </w:r>
      <w:r>
        <w:rPr>
          <w:spacing w:val="-8"/>
          <w:sz w:val="18"/>
        </w:rPr>
        <w:t>。</w:t>
      </w:r>
      <w:r>
        <w:rPr>
          <w:spacing w:val="1"/>
          <w:sz w:val="18"/>
        </w:rPr>
        <w:t>须</w:t>
      </w:r>
      <w:r>
        <w:rPr>
          <w:sz w:val="18"/>
        </w:rPr>
        <w:t>由头颅断层扫</w:t>
      </w:r>
      <w:r>
        <w:rPr>
          <w:spacing w:val="-8"/>
          <w:sz w:val="18"/>
        </w:rPr>
        <w:t>描</w:t>
      </w:r>
      <w:r>
        <w:rPr>
          <w:sz w:val="18"/>
        </w:rPr>
        <w:t>（</w:t>
      </w:r>
      <w:r>
        <w:rPr>
          <w:spacing w:val="0"/>
          <w:sz w:val="18"/>
        </w:rPr>
        <w:t>CT</w:t>
      </w:r>
      <w:r>
        <w:rPr>
          <w:spacing w:val="-92"/>
          <w:sz w:val="18"/>
        </w:rPr>
        <w:t>）</w:t>
      </w:r>
      <w:r>
        <w:rPr>
          <w:spacing w:val="-8"/>
          <w:sz w:val="18"/>
        </w:rPr>
        <w:t>、</w:t>
      </w:r>
      <w:r>
        <w:rPr>
          <w:sz w:val="18"/>
        </w:rPr>
        <w:t>核磁共振检</w:t>
      </w:r>
      <w:r>
        <w:rPr>
          <w:spacing w:val="-8"/>
          <w:sz w:val="18"/>
        </w:rPr>
        <w:t>查</w:t>
      </w:r>
      <w:r>
        <w:rPr>
          <w:sz w:val="18"/>
        </w:rPr>
        <w:t>（</w:t>
      </w:r>
      <w:r>
        <w:rPr>
          <w:spacing w:val="0"/>
          <w:sz w:val="18"/>
        </w:rPr>
        <w:t>MRI</w:t>
      </w:r>
      <w:r>
        <w:rPr>
          <w:spacing w:val="-8"/>
          <w:sz w:val="18"/>
        </w:rPr>
        <w:t>）</w:t>
      </w:r>
      <w:r>
        <w:rPr>
          <w:sz w:val="18"/>
        </w:rPr>
        <w:t>或正电子发射</w:t>
      </w:r>
      <w:r>
        <w:rPr>
          <w:spacing w:val="-3"/>
          <w:sz w:val="18"/>
        </w:rPr>
        <w:t>断</w:t>
      </w:r>
      <w:r>
        <w:rPr>
          <w:sz w:val="18"/>
        </w:rPr>
        <w:t>层扫描（PET）等影像学检查证</w:t>
      </w:r>
      <w:r>
        <w:rPr>
          <w:spacing w:val="-3"/>
          <w:sz w:val="18"/>
        </w:rPr>
        <w:t>实</w:t>
      </w:r>
      <w:r>
        <w:rPr>
          <w:sz w:val="18"/>
        </w:rPr>
        <w:t>，并须满足下列至少一项条件：</w:t>
      </w:r>
    </w:p>
    <w:p>
      <w:pPr>
        <w:pStyle w:val="ListParagraph"/>
        <w:numPr>
          <w:ilvl w:val="1"/>
          <w:numId w:val="10"/>
        </w:numPr>
        <w:tabs>
          <w:tab w:pos="2921" w:val="left" w:leader="none"/>
        </w:tabs>
        <w:spacing w:line="240" w:lineRule="auto" w:before="18" w:after="0"/>
        <w:ind w:left="2920" w:right="0" w:hanging="396"/>
        <w:jc w:val="left"/>
        <w:rPr>
          <w:sz w:val="18"/>
        </w:rPr>
      </w:pPr>
      <w:r>
        <w:rPr>
          <w:sz w:val="18"/>
        </w:rPr>
        <w:t>实际实施了开颅进行的脑肿瘤完全切除或部分切除的手术；</w:t>
      </w:r>
    </w:p>
    <w:p>
      <w:pPr>
        <w:pStyle w:val="ListParagraph"/>
        <w:numPr>
          <w:ilvl w:val="1"/>
          <w:numId w:val="10"/>
        </w:numPr>
        <w:tabs>
          <w:tab w:pos="2921" w:val="left" w:leader="none"/>
        </w:tabs>
        <w:spacing w:line="240" w:lineRule="auto" w:before="75" w:after="0"/>
        <w:ind w:left="2920" w:right="0" w:hanging="396"/>
        <w:jc w:val="left"/>
        <w:rPr>
          <w:sz w:val="18"/>
        </w:rPr>
      </w:pPr>
      <w:r>
        <w:rPr>
          <w:sz w:val="18"/>
        </w:rPr>
        <w:t>实际实施了对脑肿瘤进行的放射治疗。</w:t>
      </w:r>
    </w:p>
    <w:p>
      <w:pPr>
        <w:pStyle w:val="BodyText"/>
        <w:spacing w:before="75"/>
        <w:ind w:left="2524"/>
      </w:pPr>
      <w:r>
        <w:rPr>
          <w:shd w:fill="C0C0C0" w:color="auto" w:val="clear"/>
        </w:rPr>
        <w:t>脑垂体瘤、脑囊肿、脑血管性疾病不在保障范围内。</w:t>
      </w:r>
    </w:p>
    <w:p>
      <w:pPr>
        <w:pStyle w:val="BodyText"/>
        <w:spacing w:before="10"/>
        <w:rPr>
          <w:sz w:val="19"/>
        </w:rPr>
      </w:pPr>
    </w:p>
    <w:p>
      <w:pPr>
        <w:spacing w:after="0"/>
        <w:rPr>
          <w:sz w:val="19"/>
        </w:rPr>
        <w:sectPr>
          <w:pgSz w:w="11910" w:h="16840"/>
          <w:pgMar w:header="877" w:footer="977" w:top="1100" w:bottom="1160" w:left="1080" w:right="820"/>
        </w:sectPr>
      </w:pPr>
    </w:p>
    <w:p>
      <w:pPr>
        <w:pStyle w:val="Heading4"/>
        <w:numPr>
          <w:ilvl w:val="0"/>
          <w:numId w:val="10"/>
        </w:numPr>
        <w:tabs>
          <w:tab w:pos="528" w:val="left" w:leader="none"/>
        </w:tabs>
        <w:spacing w:line="319" w:lineRule="auto" w:before="45" w:after="0"/>
        <w:ind w:left="527" w:right="0" w:hanging="419"/>
        <w:jc w:val="left"/>
      </w:pPr>
      <w:r>
        <w:rPr>
          <w:spacing w:val="15"/>
        </w:rPr>
        <w:t>慢性肝功能衰竭失代偿期</w:t>
      </w:r>
    </w:p>
    <w:p>
      <w:pPr>
        <w:pStyle w:val="BodyText"/>
        <w:spacing w:before="45"/>
        <w:ind w:left="108"/>
      </w:pPr>
      <w:r>
        <w:rPr/>
        <w:br w:type="column"/>
      </w:r>
      <w:r>
        <w:rPr/>
        <w:t>指因慢性肝脏疾病导致肝功能衰竭。须满足下列全部条件：</w:t>
      </w:r>
    </w:p>
    <w:p>
      <w:pPr>
        <w:pStyle w:val="ListParagraph"/>
        <w:numPr>
          <w:ilvl w:val="0"/>
          <w:numId w:val="11"/>
        </w:numPr>
        <w:tabs>
          <w:tab w:pos="504" w:val="left" w:leader="none"/>
        </w:tabs>
        <w:spacing w:line="240" w:lineRule="auto" w:before="76" w:after="0"/>
        <w:ind w:left="108" w:right="0" w:firstLine="0"/>
        <w:jc w:val="left"/>
        <w:rPr>
          <w:sz w:val="18"/>
        </w:rPr>
      </w:pPr>
      <w:r>
        <w:rPr>
          <w:sz w:val="18"/>
        </w:rPr>
        <w:t>持续性黄疸；</w:t>
      </w:r>
    </w:p>
    <w:p>
      <w:pPr>
        <w:pStyle w:val="ListParagraph"/>
        <w:numPr>
          <w:ilvl w:val="0"/>
          <w:numId w:val="11"/>
        </w:numPr>
        <w:tabs>
          <w:tab w:pos="504" w:val="left" w:leader="none"/>
        </w:tabs>
        <w:spacing w:line="240" w:lineRule="auto" w:before="76" w:after="0"/>
        <w:ind w:left="108" w:right="0" w:firstLine="0"/>
        <w:jc w:val="left"/>
        <w:rPr>
          <w:sz w:val="18"/>
        </w:rPr>
      </w:pPr>
      <w:r>
        <w:rPr>
          <w:sz w:val="18"/>
        </w:rPr>
        <w:t>腹水；</w:t>
      </w:r>
    </w:p>
    <w:p>
      <w:pPr>
        <w:pStyle w:val="ListParagraph"/>
        <w:numPr>
          <w:ilvl w:val="0"/>
          <w:numId w:val="11"/>
        </w:numPr>
        <w:tabs>
          <w:tab w:pos="504" w:val="left" w:leader="none"/>
        </w:tabs>
        <w:spacing w:line="240" w:lineRule="auto" w:before="76" w:after="0"/>
        <w:ind w:left="108" w:right="0" w:firstLine="0"/>
        <w:jc w:val="left"/>
        <w:rPr>
          <w:sz w:val="18"/>
        </w:rPr>
      </w:pPr>
      <w:r>
        <w:rPr>
          <w:sz w:val="18"/>
        </w:rPr>
        <w:t>肝性脑病；</w:t>
      </w:r>
    </w:p>
    <w:p>
      <w:pPr>
        <w:pStyle w:val="ListParagraph"/>
        <w:numPr>
          <w:ilvl w:val="0"/>
          <w:numId w:val="11"/>
        </w:numPr>
        <w:tabs>
          <w:tab w:pos="504" w:val="left" w:leader="none"/>
        </w:tabs>
        <w:spacing w:line="316" w:lineRule="auto" w:before="76" w:after="0"/>
        <w:ind w:left="108" w:right="3122"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100" w:bottom="1160" w:left="1080" w:right="820"/>
          <w:cols w:num="2" w:equalWidth="0">
            <w:col w:w="2309" w:space="108"/>
            <w:col w:w="7593"/>
          </w:cols>
        </w:sectPr>
      </w:pPr>
    </w:p>
    <w:p>
      <w:pPr>
        <w:pStyle w:val="BodyText"/>
        <w:spacing w:before="5"/>
        <w:rPr>
          <w:sz w:val="15"/>
        </w:rPr>
      </w:pPr>
    </w:p>
    <w:p>
      <w:pPr>
        <w:spacing w:after="0"/>
        <w:rPr>
          <w:sz w:val="15"/>
        </w:rPr>
        <w:sectPr>
          <w:type w:val="continuous"/>
          <w:pgSz w:w="11910" w:h="16840"/>
          <w:pgMar w:top="1100" w:bottom="1160" w:left="1080" w:right="820"/>
        </w:sectPr>
      </w:pPr>
    </w:p>
    <w:p>
      <w:pPr>
        <w:pStyle w:val="Heading4"/>
        <w:numPr>
          <w:ilvl w:val="0"/>
          <w:numId w:val="10"/>
        </w:numPr>
        <w:tabs>
          <w:tab w:pos="528" w:val="left" w:leader="none"/>
        </w:tabs>
        <w:spacing w:line="316" w:lineRule="auto" w:before="45" w:after="0"/>
        <w:ind w:left="527" w:right="0" w:hanging="419"/>
        <w:jc w:val="left"/>
      </w:pPr>
      <w:r>
        <w:rPr>
          <w:spacing w:val="15"/>
        </w:rPr>
        <w:t>脑炎后遗症或脑膜炎</w:t>
      </w:r>
      <w:r>
        <w:rPr>
          <w:spacing w:val="15"/>
          <w:w w:val="95"/>
        </w:rPr>
        <w:t>后遗症</w:t>
      </w:r>
    </w:p>
    <w:p>
      <w:pPr>
        <w:pStyle w:val="BodyText"/>
        <w:spacing w:line="316" w:lineRule="auto" w:before="45"/>
        <w:ind w:left="108"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2"/>
        </w:numPr>
        <w:tabs>
          <w:tab w:pos="504" w:val="left" w:leader="none"/>
        </w:tabs>
        <w:spacing w:line="240" w:lineRule="auto" w:before="18" w:after="0"/>
        <w:ind w:left="504" w:right="0" w:hanging="396"/>
        <w:jc w:val="left"/>
        <w:rPr>
          <w:sz w:val="18"/>
        </w:rPr>
      </w:pPr>
      <w:r>
        <w:rPr>
          <w:sz w:val="18"/>
        </w:rPr>
        <w:t>一肢或一肢以上肢体机能完全丧失；</w:t>
      </w:r>
    </w:p>
    <w:p>
      <w:pPr>
        <w:pStyle w:val="ListParagraph"/>
        <w:numPr>
          <w:ilvl w:val="0"/>
          <w:numId w:val="12"/>
        </w:numPr>
        <w:tabs>
          <w:tab w:pos="504" w:val="left" w:leader="none"/>
        </w:tabs>
        <w:spacing w:line="240" w:lineRule="auto" w:before="75" w:after="0"/>
        <w:ind w:left="504" w:right="0" w:hanging="396"/>
        <w:jc w:val="left"/>
        <w:rPr>
          <w:sz w:val="18"/>
        </w:rPr>
      </w:pPr>
      <w:r>
        <w:rPr>
          <w:sz w:val="18"/>
        </w:rPr>
        <w:t>语言能力或咀嚼吞咽能力完全丧失；</w:t>
      </w:r>
    </w:p>
    <w:p>
      <w:pPr>
        <w:pStyle w:val="ListParagraph"/>
        <w:numPr>
          <w:ilvl w:val="0"/>
          <w:numId w:val="12"/>
        </w:numPr>
        <w:tabs>
          <w:tab w:pos="471" w:val="left" w:leader="none"/>
        </w:tabs>
        <w:spacing w:line="240" w:lineRule="auto" w:before="75" w:after="0"/>
        <w:ind w:left="470" w:right="0" w:hanging="362"/>
        <w:jc w:val="left"/>
        <w:rPr>
          <w:sz w:val="18"/>
        </w:rPr>
      </w:pPr>
      <w:r>
        <w:rPr>
          <w:spacing w:val="-1"/>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60" w:left="1080" w:right="820"/>
          <w:cols w:num="2" w:equalWidth="0">
            <w:col w:w="2309" w:space="108"/>
            <w:col w:w="7593"/>
          </w:cols>
        </w:sectPr>
      </w:pPr>
    </w:p>
    <w:p>
      <w:pPr>
        <w:pStyle w:val="BodyText"/>
        <w:spacing w:before="8"/>
        <w:rPr>
          <w:sz w:val="19"/>
        </w:rPr>
      </w:pPr>
    </w:p>
    <w:p>
      <w:pPr>
        <w:pStyle w:val="ListParagraph"/>
        <w:numPr>
          <w:ilvl w:val="0"/>
          <w:numId w:val="10"/>
        </w:numPr>
        <w:tabs>
          <w:tab w:pos="528" w:val="left" w:leader="none"/>
          <w:tab w:pos="2524" w:val="left" w:leader="none"/>
        </w:tabs>
        <w:spacing w:line="316" w:lineRule="auto" w:before="45" w:after="0"/>
        <w:ind w:left="2524" w:right="134" w:hanging="2416"/>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21"/>
          <w:sz w:val="18"/>
        </w:rPr>
        <w:t> </w:t>
      </w:r>
      <w:r>
        <w:rPr>
          <w:sz w:val="18"/>
        </w:rPr>
        <w:t>coma</w:t>
      </w:r>
      <w:r>
        <w:rPr>
          <w:spacing w:val="-21"/>
          <w:sz w:val="18"/>
        </w:rPr>
        <w:t> </w:t>
      </w:r>
      <w:r>
        <w:rPr>
          <w:sz w:val="18"/>
        </w:rPr>
        <w:t>scale）结果为</w:t>
      </w:r>
      <w:r>
        <w:rPr>
          <w:spacing w:val="-46"/>
          <w:sz w:val="18"/>
        </w:rPr>
        <w:t> </w:t>
      </w:r>
      <w:r>
        <w:rPr>
          <w:sz w:val="18"/>
        </w:rPr>
        <w:t>5</w:t>
      </w:r>
      <w:r>
        <w:rPr>
          <w:spacing w:val="-45"/>
          <w:sz w:val="18"/>
        </w:rPr>
        <w:t> </w:t>
      </w:r>
      <w:r>
        <w:rPr>
          <w:spacing w:val="-3"/>
          <w:sz w:val="18"/>
        </w:rPr>
        <w:t>分</w:t>
      </w:r>
      <w:r>
        <w:rPr>
          <w:sz w:val="18"/>
        </w:rPr>
        <w:t>或</w:t>
      </w:r>
      <w:r>
        <w:rPr>
          <w:spacing w:val="-46"/>
          <w:sz w:val="18"/>
        </w:rPr>
        <w:t> </w:t>
      </w:r>
      <w:r>
        <w:rPr>
          <w:sz w:val="18"/>
        </w:rPr>
        <w:t>5</w:t>
      </w:r>
      <w:r>
        <w:rPr>
          <w:spacing w:val="-45"/>
          <w:sz w:val="18"/>
        </w:rPr>
        <w:t> </w:t>
      </w:r>
      <w:r>
        <w:rPr>
          <w:sz w:val="18"/>
        </w:rPr>
        <w:t>分以下，</w:t>
      </w:r>
      <w:r>
        <w:rPr>
          <w:spacing w:val="-3"/>
          <w:sz w:val="18"/>
        </w:rPr>
        <w:t>且</w:t>
      </w:r>
      <w:r>
        <w:rPr>
          <w:sz w:val="18"/>
        </w:rPr>
        <w:t>已经持续使用呼吸机及其它生命维持系统</w:t>
      </w:r>
      <w:r>
        <w:rPr>
          <w:spacing w:val="-45"/>
          <w:sz w:val="18"/>
        </w:rPr>
        <w:t> </w:t>
      </w:r>
      <w:r>
        <w:rPr>
          <w:sz w:val="18"/>
        </w:rPr>
        <w:t>96</w:t>
      </w:r>
      <w:r>
        <w:rPr>
          <w:spacing w:val="-42"/>
          <w:sz w:val="18"/>
        </w:rPr>
        <w:t> </w:t>
      </w:r>
      <w:r>
        <w:rPr>
          <w:sz w:val="18"/>
        </w:rPr>
        <w:t>小时以上。</w:t>
      </w:r>
    </w:p>
    <w:p>
      <w:pPr>
        <w:pStyle w:val="BodyText"/>
        <w:spacing w:before="19"/>
        <w:ind w:left="2524"/>
      </w:pPr>
      <w:r>
        <w:rPr>
          <w:shd w:fill="C0C0C0" w:color="auto" w:val="clear"/>
        </w:rPr>
        <w:t>因酗酒或药物滥用导致的深度昏迷不在保障范围内。</w:t>
      </w:r>
    </w:p>
    <w:p>
      <w:pPr>
        <w:pStyle w:val="BodyText"/>
        <w:spacing w:before="3"/>
        <w:rPr>
          <w:sz w:val="23"/>
        </w:rPr>
      </w:pPr>
    </w:p>
    <w:p>
      <w:pPr>
        <w:pStyle w:val="ListParagraph"/>
        <w:numPr>
          <w:ilvl w:val="0"/>
          <w:numId w:val="10"/>
        </w:numPr>
        <w:tabs>
          <w:tab w:pos="528" w:val="left" w:leader="none"/>
          <w:tab w:pos="2524" w:val="left" w:leader="none"/>
        </w:tabs>
        <w:spacing w:line="316" w:lineRule="auto" w:before="0" w:after="0"/>
        <w:ind w:left="2524" w:right="134" w:hanging="2416"/>
        <w:jc w:val="both"/>
        <w:rPr>
          <w:sz w:val="18"/>
        </w:rPr>
      </w:pPr>
      <w:r>
        <w:rPr>
          <w:b/>
          <w:sz w:val="18"/>
        </w:rPr>
        <w:t>双耳失聪</w:t>
        <w:tab/>
      </w:r>
      <w:r>
        <w:rPr>
          <w:sz w:val="18"/>
        </w:rPr>
        <w:t>指因疾病或意外伤害导致双耳听力</w:t>
      </w:r>
      <w:r>
        <w:rPr>
          <w:b/>
          <w:sz w:val="18"/>
        </w:rPr>
        <w:t>永久不可</w:t>
      </w:r>
      <w:r>
        <w:rPr>
          <w:b/>
          <w:spacing w:val="-22"/>
          <w:sz w:val="18"/>
        </w:rPr>
        <w:t>逆</w:t>
      </w:r>
      <w:r>
        <w:rPr>
          <w:sz w:val="18"/>
        </w:rPr>
        <w:t>（注</w:t>
      </w:r>
      <w:r>
        <w:rPr>
          <w:spacing w:val="-46"/>
          <w:sz w:val="18"/>
        </w:rPr>
        <w:t> </w:t>
      </w:r>
      <w:r>
        <w:rPr>
          <w:spacing w:val="-11"/>
          <w:sz w:val="18"/>
        </w:rPr>
        <w:t>6）</w:t>
      </w:r>
      <w:r>
        <w:rPr>
          <w:sz w:val="18"/>
        </w:rPr>
        <w:t>性丧</w:t>
      </w:r>
      <w:r>
        <w:rPr>
          <w:spacing w:val="-3"/>
          <w:sz w:val="18"/>
        </w:rPr>
        <w:t>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5"/>
          <w:sz w:val="18"/>
        </w:rPr>
        <w:t> </w:t>
      </w:r>
      <w:r>
        <w:rPr>
          <w:sz w:val="18"/>
        </w:rPr>
        <w:t>赫兹和</w:t>
      </w:r>
      <w:r>
        <w:rPr>
          <w:spacing w:val="-48"/>
          <w:sz w:val="18"/>
        </w:rPr>
        <w:t> </w:t>
      </w:r>
      <w:r>
        <w:rPr>
          <w:sz w:val="18"/>
        </w:rPr>
        <w:t>2000赫兹语音频率下，平均听阈大于</w:t>
      </w:r>
      <w:r>
        <w:rPr>
          <w:spacing w:val="-45"/>
          <w:sz w:val="18"/>
        </w:rPr>
        <w:t> </w:t>
      </w:r>
      <w:r>
        <w:rPr>
          <w:sz w:val="18"/>
        </w:rPr>
        <w:t>90</w:t>
      </w:r>
      <w:r>
        <w:rPr>
          <w:spacing w:val="-42"/>
          <w:sz w:val="18"/>
        </w:rPr>
        <w:t> </w:t>
      </w:r>
      <w:r>
        <w:rPr>
          <w:sz w:val="18"/>
        </w:rPr>
        <w:t>分贝，且经纯音听力测</w:t>
      </w:r>
      <w:r>
        <w:rPr>
          <w:spacing w:val="-3"/>
          <w:sz w:val="18"/>
        </w:rPr>
        <w:t>试</w:t>
      </w:r>
      <w:r>
        <w:rPr>
          <w:sz w:val="18"/>
        </w:rPr>
        <w:t>、声导抗检测或听觉诱发电位检测等证实。</w:t>
      </w:r>
    </w:p>
    <w:p>
      <w:pPr>
        <w:pStyle w:val="BodyText"/>
        <w:spacing w:before="8"/>
      </w:pPr>
    </w:p>
    <w:p>
      <w:pPr>
        <w:pStyle w:val="ListParagraph"/>
        <w:numPr>
          <w:ilvl w:val="0"/>
          <w:numId w:val="10"/>
        </w:numPr>
        <w:tabs>
          <w:tab w:pos="528" w:val="left" w:leader="none"/>
          <w:tab w:pos="2524" w:val="left" w:leader="none"/>
        </w:tabs>
        <w:spacing w:line="319" w:lineRule="auto" w:before="0" w:after="0"/>
        <w:ind w:left="2524" w:right="278" w:hanging="2416"/>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0"/>
        </w:numPr>
        <w:tabs>
          <w:tab w:pos="2921" w:val="left" w:leader="none"/>
        </w:tabs>
        <w:spacing w:line="240" w:lineRule="auto" w:before="16" w:after="0"/>
        <w:ind w:left="2920" w:right="0" w:hanging="396"/>
        <w:jc w:val="left"/>
        <w:rPr>
          <w:sz w:val="18"/>
        </w:rPr>
      </w:pPr>
      <w:r>
        <w:rPr>
          <w:sz w:val="18"/>
        </w:rPr>
        <w:t>眼球缺失或摘除；</w:t>
      </w:r>
    </w:p>
    <w:p>
      <w:pPr>
        <w:pStyle w:val="ListParagraph"/>
        <w:numPr>
          <w:ilvl w:val="1"/>
          <w:numId w:val="10"/>
        </w:numPr>
        <w:tabs>
          <w:tab w:pos="2921" w:val="left" w:leader="none"/>
        </w:tabs>
        <w:spacing w:line="240" w:lineRule="auto" w:before="75" w:after="0"/>
        <w:ind w:left="2920"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ListParagraph"/>
        <w:numPr>
          <w:ilvl w:val="1"/>
          <w:numId w:val="10"/>
        </w:numPr>
        <w:tabs>
          <w:tab w:pos="2888" w:val="left" w:leader="none"/>
        </w:tabs>
        <w:spacing w:line="240" w:lineRule="auto" w:before="76" w:after="0"/>
        <w:ind w:left="2887" w:right="0" w:hanging="363"/>
        <w:jc w:val="left"/>
        <w:rPr>
          <w:sz w:val="18"/>
        </w:rPr>
      </w:pPr>
      <w:r>
        <w:rPr>
          <w:spacing w:val="-7"/>
          <w:sz w:val="18"/>
        </w:rPr>
        <w:t>视野半径小于 </w:t>
      </w:r>
      <w:r>
        <w:rPr>
          <w:sz w:val="18"/>
        </w:rPr>
        <w:t>5</w:t>
      </w:r>
      <w:r>
        <w:rPr>
          <w:spacing w:val="-15"/>
          <w:sz w:val="18"/>
        </w:rPr>
        <w:t> 度。</w:t>
      </w:r>
    </w:p>
    <w:p>
      <w:pPr>
        <w:pStyle w:val="BodyText"/>
        <w:spacing w:before="3"/>
        <w:rPr>
          <w:sz w:val="23"/>
        </w:rPr>
      </w:pPr>
    </w:p>
    <w:p>
      <w:pPr>
        <w:pStyle w:val="ListParagraph"/>
        <w:numPr>
          <w:ilvl w:val="0"/>
          <w:numId w:val="10"/>
        </w:numPr>
        <w:tabs>
          <w:tab w:pos="528" w:val="left" w:leader="none"/>
          <w:tab w:pos="2524" w:val="left" w:leader="none"/>
        </w:tabs>
        <w:spacing w:line="316" w:lineRule="auto" w:before="0" w:after="0"/>
        <w:ind w:left="2524" w:right="137" w:hanging="2416"/>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5"/>
          <w:sz w:val="18"/>
        </w:rPr>
        <w:t> </w:t>
      </w:r>
      <w:r>
        <w:rPr>
          <w:sz w:val="18"/>
        </w:rPr>
        <w:t>180</w:t>
      </w:r>
      <w:r>
        <w:rPr>
          <w:spacing w:val="-44"/>
          <w:sz w:val="18"/>
        </w:rPr>
        <w:t> </w:t>
      </w:r>
      <w:r>
        <w:rPr>
          <w:sz w:val="18"/>
        </w:rPr>
        <w:t>天后或意外伤</w:t>
      </w:r>
      <w:r>
        <w:rPr>
          <w:spacing w:val="-3"/>
          <w:sz w:val="18"/>
        </w:rPr>
        <w:t>害</w:t>
      </w:r>
      <w:r>
        <w:rPr>
          <w:sz w:val="18"/>
        </w:rPr>
        <w:t>发生</w:t>
      </w:r>
      <w:r>
        <w:rPr>
          <w:spacing w:val="-45"/>
          <w:sz w:val="18"/>
        </w:rPr>
        <w:t> </w:t>
      </w:r>
      <w:r>
        <w:rPr>
          <w:sz w:val="18"/>
        </w:rPr>
        <w:t>180</w:t>
      </w:r>
      <w:r>
        <w:rPr>
          <w:spacing w:val="-44"/>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或不能随意识活动。</w:t>
      </w:r>
    </w:p>
    <w:p>
      <w:pPr>
        <w:pStyle w:val="BodyText"/>
        <w:spacing w:before="8"/>
      </w:pPr>
    </w:p>
    <w:p>
      <w:pPr>
        <w:pStyle w:val="ListParagraph"/>
        <w:numPr>
          <w:ilvl w:val="0"/>
          <w:numId w:val="10"/>
        </w:numPr>
        <w:tabs>
          <w:tab w:pos="528" w:val="left" w:leader="none"/>
          <w:tab w:pos="2524" w:val="left" w:leader="none"/>
        </w:tabs>
        <w:spacing w:line="240" w:lineRule="auto" w:before="0" w:after="0"/>
        <w:ind w:left="2524" w:right="0" w:hanging="2416"/>
        <w:jc w:val="left"/>
        <w:rPr>
          <w:sz w:val="18"/>
        </w:rPr>
      </w:pPr>
      <w:r>
        <w:rPr>
          <w:b/>
          <w:sz w:val="18"/>
        </w:rPr>
        <w:t>心脏瓣膜手术</w:t>
        <w:tab/>
      </w:r>
      <w:r>
        <w:rPr>
          <w:sz w:val="18"/>
        </w:rPr>
        <w:t>指为治疗心脏瓣膜疾病，实际实施了开胸进行的心脏瓣膜置换或修复的手术。</w:t>
      </w:r>
    </w:p>
    <w:p>
      <w:pPr>
        <w:pStyle w:val="BodyText"/>
        <w:spacing w:before="3"/>
        <w:rPr>
          <w:sz w:val="23"/>
        </w:rPr>
      </w:pPr>
    </w:p>
    <w:p>
      <w:pPr>
        <w:pStyle w:val="ListParagraph"/>
        <w:numPr>
          <w:ilvl w:val="0"/>
          <w:numId w:val="10"/>
        </w:numPr>
        <w:tabs>
          <w:tab w:pos="528" w:val="left" w:leader="none"/>
          <w:tab w:pos="2524" w:val="left" w:leader="none"/>
        </w:tabs>
        <w:spacing w:line="240" w:lineRule="auto" w:before="0" w:after="0"/>
        <w:ind w:left="2524" w:right="0" w:hanging="2416"/>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100" w:bottom="1160" w:left="1080" w:right="820"/>
        </w:sectPr>
      </w:pPr>
    </w:p>
    <w:p>
      <w:pPr>
        <w:pStyle w:val="BodyText"/>
        <w:spacing w:before="1"/>
        <w:rPr>
          <w:sz w:val="20"/>
        </w:rPr>
      </w:pPr>
    </w:p>
    <w:p>
      <w:pPr>
        <w:pStyle w:val="BodyText"/>
        <w:spacing w:line="316" w:lineRule="auto" w:before="45"/>
        <w:ind w:left="2524" w:right="197"/>
        <w:jc w:val="both"/>
      </w:pPr>
      <w:r>
        <w:rPr/>
        <w:t>行为异常和社交能力减退，其日常生活必须持续受到他人监护。须由头颅断层扫描（</w:t>
      </w:r>
      <w:r>
        <w:rPr>
          <w:spacing w:val="0"/>
        </w:rPr>
        <w:t>CT</w:t>
      </w:r>
      <w:r>
        <w:rPr>
          <w:spacing w:val="-92"/>
        </w:rPr>
        <w:t>）</w:t>
      </w:r>
      <w:r>
        <w:rPr>
          <w:spacing w:val="-1"/>
        </w:rPr>
        <w:t>、核</w:t>
      </w:r>
      <w:r>
        <w:rPr>
          <w:spacing w:val="-3"/>
        </w:rPr>
        <w:t>磁共振检查</w:t>
      </w:r>
      <w:r>
        <w:rPr>
          <w:spacing w:val="-1"/>
        </w:rPr>
        <w:t>（MRI）</w:t>
      </w:r>
      <w:r>
        <w:rPr>
          <w:spacing w:val="-2"/>
        </w:rPr>
        <w:t>或正电子发射断层扫描</w:t>
      </w:r>
      <w:r>
        <w:rPr/>
        <w:t>（PET）</w:t>
      </w:r>
      <w:r>
        <w:rPr>
          <w:spacing w:val="-2"/>
        </w:rPr>
        <w:t>等影像学检查证实，且自主生活能力完全丧失，无法独立完成六项基本日常生活活动中的三项或三项以上。</w:t>
      </w:r>
    </w:p>
    <w:p>
      <w:pPr>
        <w:pStyle w:val="BodyText"/>
        <w:spacing w:before="18"/>
        <w:ind w:left="2524"/>
      </w:pPr>
      <w:r>
        <w:rPr>
          <w:shd w:fill="C0C0C0" w:color="auto" w:val="clear"/>
        </w:rPr>
        <w:t>神经官能症和精神疾病不在保障范围内。</w:t>
      </w:r>
    </w:p>
    <w:p>
      <w:pPr>
        <w:pStyle w:val="BodyText"/>
        <w:spacing w:before="0"/>
        <w:rPr>
          <w:sz w:val="23"/>
        </w:rPr>
      </w:pPr>
    </w:p>
    <w:p>
      <w:pPr>
        <w:pStyle w:val="ListParagraph"/>
        <w:numPr>
          <w:ilvl w:val="0"/>
          <w:numId w:val="10"/>
        </w:numPr>
        <w:tabs>
          <w:tab w:pos="528" w:val="left" w:leader="none"/>
          <w:tab w:pos="2524" w:val="left" w:leader="none"/>
        </w:tabs>
        <w:spacing w:line="316" w:lineRule="auto" w:before="0" w:after="0"/>
        <w:ind w:left="2524" w:right="194" w:hanging="2416"/>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2"/>
          <w:sz w:val="18"/>
        </w:rPr>
        <w:t>。</w:t>
      </w:r>
      <w:r>
        <w:rPr>
          <w:sz w:val="18"/>
        </w:rPr>
        <w:t>须由头颅断层扫描（</w:t>
      </w:r>
      <w:r>
        <w:rPr>
          <w:spacing w:val="0"/>
          <w:sz w:val="18"/>
        </w:rPr>
        <w:t>CT</w:t>
      </w:r>
      <w:r>
        <w:rPr>
          <w:spacing w:val="-92"/>
          <w:sz w:val="18"/>
        </w:rPr>
        <w:t>）</w:t>
      </w:r>
      <w:r>
        <w:rPr>
          <w:spacing w:val="-1"/>
          <w:sz w:val="18"/>
        </w:rPr>
        <w:t>、</w:t>
      </w:r>
      <w:r>
        <w:rPr>
          <w:sz w:val="18"/>
        </w:rPr>
        <w:t>核磁共振检查（</w:t>
      </w:r>
      <w:r>
        <w:rPr>
          <w:spacing w:val="0"/>
          <w:sz w:val="18"/>
        </w:rPr>
        <w:t>M</w:t>
      </w:r>
      <w:r>
        <w:rPr>
          <w:sz w:val="18"/>
        </w:rPr>
        <w:t>R</w:t>
      </w:r>
      <w:r>
        <w:rPr>
          <w:spacing w:val="1"/>
          <w:sz w:val="18"/>
        </w:rPr>
        <w:t>I</w:t>
      </w:r>
      <w:r>
        <w:rPr>
          <w:sz w:val="18"/>
        </w:rPr>
        <w:t>）或正电子发射断层扫</w:t>
      </w:r>
      <w:r>
        <w:rPr>
          <w:spacing w:val="-3"/>
          <w:sz w:val="18"/>
        </w:rPr>
        <w:t>描</w:t>
      </w:r>
      <w:r>
        <w:rPr>
          <w:sz w:val="18"/>
        </w:rPr>
        <w:t>（P</w:t>
      </w:r>
      <w:r>
        <w:rPr>
          <w:spacing w:val="1"/>
          <w:sz w:val="18"/>
        </w:rPr>
        <w:t>E</w:t>
      </w:r>
      <w:r>
        <w:rPr>
          <w:spacing w:val="0"/>
          <w:sz w:val="18"/>
        </w:rPr>
        <w:t>T</w:t>
      </w:r>
      <w:r>
        <w:rPr>
          <w:sz w:val="18"/>
        </w:rPr>
        <w:t>）等影像学检查证实。神经系统永久性的功能障碍，指脑损伤</w:t>
      </w:r>
      <w:r>
        <w:rPr>
          <w:spacing w:val="-45"/>
          <w:sz w:val="18"/>
        </w:rPr>
        <w:t> </w:t>
      </w:r>
      <w:r>
        <w:rPr>
          <w:sz w:val="18"/>
        </w:rPr>
        <w:t>180</w:t>
      </w:r>
      <w:r>
        <w:rPr>
          <w:spacing w:val="-44"/>
          <w:sz w:val="18"/>
        </w:rPr>
        <w:t> </w:t>
      </w:r>
      <w:r>
        <w:rPr>
          <w:sz w:val="18"/>
        </w:rPr>
        <w:t>天后，仍遗留下</w:t>
      </w:r>
      <w:r>
        <w:rPr>
          <w:spacing w:val="-3"/>
          <w:sz w:val="18"/>
        </w:rPr>
        <w:t>列</w:t>
      </w:r>
      <w:r>
        <w:rPr>
          <w:sz w:val="18"/>
        </w:rPr>
        <w:t>一种或一种以上障碍：</w:t>
      </w:r>
    </w:p>
    <w:p>
      <w:pPr>
        <w:pStyle w:val="ListParagraph"/>
        <w:numPr>
          <w:ilvl w:val="1"/>
          <w:numId w:val="10"/>
        </w:numPr>
        <w:tabs>
          <w:tab w:pos="2921" w:val="left" w:leader="none"/>
        </w:tabs>
        <w:spacing w:line="240" w:lineRule="auto" w:before="18" w:after="0"/>
        <w:ind w:left="2920" w:right="0" w:hanging="396"/>
        <w:jc w:val="both"/>
        <w:rPr>
          <w:sz w:val="18"/>
        </w:rPr>
      </w:pPr>
      <w:r>
        <w:rPr>
          <w:sz w:val="18"/>
        </w:rPr>
        <w:t>一肢或一肢以上肢体机能完全丧失；</w:t>
      </w:r>
    </w:p>
    <w:p>
      <w:pPr>
        <w:pStyle w:val="ListParagraph"/>
        <w:numPr>
          <w:ilvl w:val="1"/>
          <w:numId w:val="10"/>
        </w:numPr>
        <w:tabs>
          <w:tab w:pos="2921" w:val="left" w:leader="none"/>
        </w:tabs>
        <w:spacing w:line="240" w:lineRule="auto" w:before="76" w:after="0"/>
        <w:ind w:left="2920" w:right="0" w:hanging="396"/>
        <w:jc w:val="both"/>
        <w:rPr>
          <w:sz w:val="18"/>
        </w:rPr>
      </w:pPr>
      <w:r>
        <w:rPr>
          <w:sz w:val="18"/>
        </w:rPr>
        <w:t>语言能力或咀嚼吞咽能力完全丧失；</w:t>
      </w:r>
    </w:p>
    <w:p>
      <w:pPr>
        <w:pStyle w:val="ListParagraph"/>
        <w:numPr>
          <w:ilvl w:val="1"/>
          <w:numId w:val="10"/>
        </w:numPr>
        <w:tabs>
          <w:tab w:pos="2888" w:val="left" w:leader="none"/>
        </w:tabs>
        <w:spacing w:line="240" w:lineRule="auto" w:before="76" w:after="0"/>
        <w:ind w:left="2887" w:right="0" w:hanging="363"/>
        <w:jc w:val="both"/>
        <w:rPr>
          <w:sz w:val="18"/>
        </w:rPr>
      </w:pPr>
      <w:r>
        <w:rPr>
          <w:spacing w:val="-1"/>
          <w:sz w:val="18"/>
        </w:rPr>
        <w:t>自主生活能力完全丧失，无法独立完成六项基本日常生活活动中的三项或三项以上。</w:t>
      </w:r>
    </w:p>
    <w:p>
      <w:pPr>
        <w:pStyle w:val="BodyText"/>
        <w:spacing w:before="3"/>
        <w:rPr>
          <w:sz w:val="23"/>
        </w:rPr>
      </w:pPr>
    </w:p>
    <w:p>
      <w:pPr>
        <w:pStyle w:val="ListParagraph"/>
        <w:numPr>
          <w:ilvl w:val="0"/>
          <w:numId w:val="10"/>
        </w:numPr>
        <w:tabs>
          <w:tab w:pos="528" w:val="left" w:leader="none"/>
          <w:tab w:pos="2524" w:val="left" w:leader="none"/>
        </w:tabs>
        <w:spacing w:line="240" w:lineRule="auto" w:before="0" w:after="0"/>
        <w:ind w:left="2524" w:right="0" w:hanging="2416"/>
        <w:jc w:val="left"/>
        <w:rPr>
          <w:sz w:val="18"/>
        </w:rPr>
      </w:pPr>
      <w:r>
        <w:rPr>
          <w:b/>
          <w:sz w:val="18"/>
        </w:rPr>
        <w:t>严重帕金森病</w:t>
        <w:tab/>
      </w:r>
      <w:r>
        <w:rPr>
          <w:sz w:val="18"/>
        </w:rPr>
        <w:t>是一种中枢神经系统的退行性疾病</w:t>
      </w:r>
      <w:r>
        <w:rPr>
          <w:spacing w:val="-44"/>
          <w:sz w:val="18"/>
        </w:rPr>
        <w:t>，</w:t>
      </w:r>
      <w:r>
        <w:rPr>
          <w:sz w:val="18"/>
        </w:rPr>
        <w:t>临床表现为震颤麻痹</w:t>
      </w:r>
      <w:r>
        <w:rPr>
          <w:spacing w:val="-44"/>
          <w:sz w:val="18"/>
        </w:rPr>
        <w:t>、</w:t>
      </w:r>
      <w:r>
        <w:rPr>
          <w:sz w:val="18"/>
        </w:rPr>
        <w:t>共济失调等</w:t>
      </w:r>
      <w:r>
        <w:rPr>
          <w:spacing w:val="-44"/>
          <w:sz w:val="18"/>
        </w:rPr>
        <w:t>。</w:t>
      </w:r>
      <w:r>
        <w:rPr>
          <w:sz w:val="18"/>
        </w:rPr>
        <w:t>须满足下列全部条件：</w:t>
      </w:r>
    </w:p>
    <w:p>
      <w:pPr>
        <w:pStyle w:val="ListParagraph"/>
        <w:numPr>
          <w:ilvl w:val="1"/>
          <w:numId w:val="10"/>
        </w:numPr>
        <w:tabs>
          <w:tab w:pos="2888" w:val="left" w:leader="none"/>
        </w:tabs>
        <w:spacing w:line="240" w:lineRule="auto" w:before="76" w:after="0"/>
        <w:ind w:left="2524" w:right="0" w:firstLine="0"/>
        <w:jc w:val="both"/>
        <w:rPr>
          <w:sz w:val="18"/>
        </w:rPr>
      </w:pPr>
      <w:r>
        <w:rPr>
          <w:sz w:val="18"/>
        </w:rPr>
        <w:t>药物治疗无法控制病情；</w:t>
      </w:r>
    </w:p>
    <w:p>
      <w:pPr>
        <w:pStyle w:val="ListParagraph"/>
        <w:numPr>
          <w:ilvl w:val="1"/>
          <w:numId w:val="10"/>
        </w:numPr>
        <w:tabs>
          <w:tab w:pos="2888" w:val="left" w:leader="none"/>
        </w:tabs>
        <w:spacing w:line="316" w:lineRule="auto" w:before="76" w:after="0"/>
        <w:ind w:left="2524" w:right="518" w:firstLine="0"/>
        <w:jc w:val="left"/>
        <w:rPr>
          <w:sz w:val="18"/>
        </w:rPr>
      </w:pPr>
      <w:r>
        <w:rPr>
          <w:spacing w:val="-1"/>
          <w:sz w:val="18"/>
        </w:rPr>
        <w:t>自主生活能力完全丧失，无法独立完成六项基本日常生活活动中的三项或三项以上。</w:t>
      </w:r>
      <w:r>
        <w:rPr>
          <w:spacing w:val="-1"/>
          <w:sz w:val="18"/>
          <w:shd w:fill="C0C0C0" w:color="auto" w:val="clear"/>
        </w:rPr>
        <w:t>继发性帕金森综合征不在保障范围内。</w:t>
      </w:r>
    </w:p>
    <w:p>
      <w:pPr>
        <w:pStyle w:val="BodyText"/>
        <w:spacing w:before="11"/>
      </w:pPr>
    </w:p>
    <w:p>
      <w:pPr>
        <w:pStyle w:val="ListParagraph"/>
        <w:numPr>
          <w:ilvl w:val="0"/>
          <w:numId w:val="10"/>
        </w:numPr>
        <w:tabs>
          <w:tab w:pos="528" w:val="left" w:leader="none"/>
        </w:tabs>
        <w:spacing w:line="319" w:lineRule="auto" w:before="0" w:after="0"/>
        <w:ind w:left="2524" w:right="194" w:hanging="2416"/>
        <w:jc w:val="both"/>
        <w:rPr>
          <w:sz w:val="18"/>
        </w:rPr>
      </w:pPr>
      <w:r>
        <w:rPr>
          <w:b/>
          <w:sz w:val="18"/>
        </w:rPr>
        <w:t>严重Ⅲ度烧伤         </w:t>
      </w: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％以上。体表面积根据《中国新九分法》计算。</w:t>
      </w:r>
    </w:p>
    <w:p>
      <w:pPr>
        <w:pStyle w:val="BodyText"/>
        <w:spacing w:before="1"/>
        <w:rPr>
          <w:sz w:val="15"/>
        </w:rPr>
      </w:pPr>
    </w:p>
    <w:p>
      <w:pPr>
        <w:spacing w:after="0"/>
        <w:rPr>
          <w:sz w:val="15"/>
        </w:rPr>
        <w:sectPr>
          <w:pgSz w:w="11910" w:h="16840"/>
          <w:pgMar w:header="877" w:footer="977" w:top="1100" w:bottom="1160" w:left="1080" w:right="760"/>
        </w:sectPr>
      </w:pPr>
    </w:p>
    <w:p>
      <w:pPr>
        <w:pStyle w:val="Heading4"/>
        <w:numPr>
          <w:ilvl w:val="0"/>
          <w:numId w:val="10"/>
        </w:numPr>
        <w:tabs>
          <w:tab w:pos="528" w:val="left" w:leader="none"/>
        </w:tabs>
        <w:spacing w:line="319" w:lineRule="auto" w:before="45" w:after="0"/>
        <w:ind w:left="527" w:right="0" w:hanging="419"/>
        <w:jc w:val="left"/>
      </w:pPr>
      <w:r>
        <w:rPr>
          <w:spacing w:val="15"/>
        </w:rPr>
        <w:t>严重原发性肺动脉高压</w:t>
      </w:r>
    </w:p>
    <w:p>
      <w:pPr>
        <w:pStyle w:val="BodyText"/>
        <w:spacing w:line="316" w:lineRule="auto" w:before="45"/>
        <w:ind w:left="108" w:right="197"/>
        <w:jc w:val="both"/>
      </w:pPr>
      <w:r>
        <w:rPr/>
        <w:br w:type="column"/>
      </w:r>
      <w:r>
        <w:rPr>
          <w:spacing w:val="-3"/>
        </w:rPr>
        <w:t>指不明原因的肺动脉压力持续性增高，进行性发展而导致的慢性疾病，已经造成永久不可逆性</w:t>
      </w:r>
      <w:r>
        <w:rPr>
          <w:spacing w:val="-5"/>
        </w:rPr>
        <w:t>的体力活动能力受限，达到美国纽约心脏病学会心功能状态分级 </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60" w:left="1080" w:right="760"/>
          <w:cols w:num="2" w:equalWidth="0">
            <w:col w:w="2309" w:space="108"/>
            <w:col w:w="7653"/>
          </w:cols>
        </w:sectPr>
      </w:pPr>
    </w:p>
    <w:p>
      <w:pPr>
        <w:pStyle w:val="BodyText"/>
        <w:spacing w:before="6"/>
        <w:rPr>
          <w:sz w:val="15"/>
        </w:rPr>
      </w:pPr>
    </w:p>
    <w:p>
      <w:pPr>
        <w:pStyle w:val="ListParagraph"/>
        <w:numPr>
          <w:ilvl w:val="0"/>
          <w:numId w:val="10"/>
        </w:numPr>
        <w:tabs>
          <w:tab w:pos="528" w:val="left" w:leader="none"/>
        </w:tabs>
        <w:spacing w:line="316" w:lineRule="auto" w:before="44" w:after="0"/>
        <w:ind w:left="2524" w:right="197" w:hanging="2416"/>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8"/>
      </w:pPr>
    </w:p>
    <w:p>
      <w:pPr>
        <w:pStyle w:val="ListParagraph"/>
        <w:numPr>
          <w:ilvl w:val="0"/>
          <w:numId w:val="10"/>
        </w:numPr>
        <w:tabs>
          <w:tab w:pos="528" w:val="left" w:leader="none"/>
        </w:tabs>
        <w:spacing w:line="319" w:lineRule="auto" w:before="0" w:after="0"/>
        <w:ind w:left="2524" w:right="247" w:hanging="2416"/>
        <w:jc w:val="both"/>
        <w:rPr>
          <w:sz w:val="18"/>
        </w:rPr>
      </w:pPr>
      <w:r>
        <w:rPr>
          <w:b/>
          <w:sz w:val="18"/>
        </w:rPr>
        <w:t>语言能力丧失 </w:t>
      </w:r>
      <w:r>
        <w:rPr>
          <w:spacing w:val="-2"/>
          <w:sz w:val="18"/>
        </w:rPr>
        <w:t>指因疾病或意外伤害导致完全丧失语言能力，经过积极治疗至少 </w:t>
      </w:r>
      <w:r>
        <w:rPr>
          <w:sz w:val="18"/>
        </w:rPr>
        <w:t>12</w:t>
      </w:r>
      <w:r>
        <w:rPr>
          <w:spacing w:val="-15"/>
          <w:sz w:val="18"/>
        </w:rPr>
        <w:t> 个月</w:t>
      </w:r>
      <w:r>
        <w:rPr>
          <w:sz w:val="18"/>
        </w:rPr>
        <w:t>（</w:t>
      </w:r>
      <w:r>
        <w:rPr>
          <w:spacing w:val="-1"/>
          <w:sz w:val="18"/>
        </w:rPr>
        <w:t>声带完全切除不受此时间限制</w:t>
      </w:r>
      <w:r>
        <w:rPr>
          <w:spacing w:val="-92"/>
          <w:sz w:val="18"/>
        </w:rPr>
        <w:t>）</w:t>
      </w:r>
      <w:r>
        <w:rPr>
          <w:spacing w:val="-1"/>
          <w:sz w:val="18"/>
        </w:rPr>
        <w:t>，仍无法通过现有医疗手段恢复。</w:t>
      </w:r>
    </w:p>
    <w:p>
      <w:pPr>
        <w:pStyle w:val="BodyText"/>
        <w:spacing w:before="16"/>
        <w:ind w:left="2524"/>
      </w:pPr>
      <w:r>
        <w:rPr>
          <w:shd w:fill="C0C0C0" w:color="auto" w:val="clear"/>
        </w:rPr>
        <w:t>精神心理因素所致的语言能力丧失不在保障范围内。</w:t>
      </w:r>
    </w:p>
    <w:p>
      <w:pPr>
        <w:pStyle w:val="BodyText"/>
        <w:spacing w:before="2"/>
        <w:rPr>
          <w:sz w:val="23"/>
        </w:rPr>
      </w:pPr>
    </w:p>
    <w:p>
      <w:pPr>
        <w:pStyle w:val="ListParagraph"/>
        <w:numPr>
          <w:ilvl w:val="0"/>
          <w:numId w:val="10"/>
        </w:numPr>
        <w:tabs>
          <w:tab w:pos="528" w:val="left" w:leader="none"/>
        </w:tabs>
        <w:spacing w:line="316" w:lineRule="auto" w:before="0" w:after="0"/>
        <w:ind w:left="2524" w:right="197" w:hanging="2416"/>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0"/>
        </w:numPr>
        <w:tabs>
          <w:tab w:pos="2888" w:val="left" w:leader="none"/>
        </w:tabs>
        <w:spacing w:line="240" w:lineRule="auto" w:before="18" w:after="0"/>
        <w:ind w:left="2887" w:right="0" w:hanging="363"/>
        <w:jc w:val="left"/>
        <w:rPr>
          <w:sz w:val="18"/>
        </w:rPr>
      </w:pPr>
      <w:r>
        <w:rPr>
          <w:spacing w:val="-1"/>
          <w:sz w:val="18"/>
        </w:rPr>
        <w:t>骨髓穿刺检查或骨髓活检结果支持诊断；</w:t>
      </w:r>
    </w:p>
    <w:p>
      <w:pPr>
        <w:pStyle w:val="ListParagraph"/>
        <w:numPr>
          <w:ilvl w:val="1"/>
          <w:numId w:val="10"/>
        </w:numPr>
        <w:tabs>
          <w:tab w:pos="2888" w:val="left" w:leader="none"/>
        </w:tabs>
        <w:spacing w:line="240" w:lineRule="auto" w:before="76" w:after="0"/>
        <w:ind w:left="2887" w:right="0" w:hanging="363"/>
        <w:jc w:val="left"/>
        <w:rPr>
          <w:sz w:val="18"/>
        </w:rPr>
      </w:pPr>
      <w:r>
        <w:rPr>
          <w:spacing w:val="-1"/>
          <w:sz w:val="18"/>
        </w:rPr>
        <w:t>外周血象必须具备以下三项条件：</w:t>
      </w:r>
    </w:p>
    <w:p>
      <w:pPr>
        <w:pStyle w:val="BodyText"/>
        <w:ind w:left="2975"/>
      </w:pPr>
      <w:r>
        <w:rPr/>
        <w:t>① 中性粒细胞绝对值≤0.5×10</w:t>
      </w:r>
      <w:r>
        <w:rPr>
          <w:b/>
          <w:position w:val="9"/>
          <w:sz w:val="9"/>
        </w:rPr>
        <w:t>9</w:t>
      </w:r>
      <w:r>
        <w:rPr/>
        <w:t>/L ；</w:t>
      </w:r>
    </w:p>
    <w:p>
      <w:pPr>
        <w:pStyle w:val="BodyText"/>
        <w:ind w:left="2975"/>
      </w:pPr>
      <w:r>
        <w:rPr/>
        <w:t>② 网织红细胞＜1%；</w:t>
      </w:r>
    </w:p>
    <w:p>
      <w:pPr>
        <w:pStyle w:val="BodyText"/>
        <w:ind w:left="2975"/>
      </w:pPr>
      <w:r>
        <w:rPr/>
        <w:t>③ 血小板绝对值≤20×10</w:t>
      </w:r>
      <w:r>
        <w:rPr>
          <w:b/>
          <w:position w:val="9"/>
          <w:sz w:val="9"/>
        </w:rPr>
        <w:t>9</w:t>
      </w:r>
      <w:r>
        <w:rPr/>
        <w:t>/L。</w:t>
      </w:r>
    </w:p>
    <w:p>
      <w:pPr>
        <w:pStyle w:val="BodyText"/>
        <w:spacing w:before="1"/>
        <w:rPr>
          <w:sz w:val="23"/>
        </w:rPr>
      </w:pPr>
    </w:p>
    <w:p>
      <w:pPr>
        <w:pStyle w:val="ListParagraph"/>
        <w:numPr>
          <w:ilvl w:val="0"/>
          <w:numId w:val="10"/>
        </w:numPr>
        <w:tabs>
          <w:tab w:pos="528" w:val="left" w:leader="none"/>
          <w:tab w:pos="2524" w:val="left" w:leader="none"/>
        </w:tabs>
        <w:spacing w:line="316" w:lineRule="auto" w:before="0" w:after="0"/>
        <w:ind w:left="2524" w:right="108" w:hanging="2416"/>
        <w:jc w:val="both"/>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4"/>
      </w:pPr>
      <w:r>
        <w:rPr>
          <w:shd w:fill="C0C0C0" w:color="auto" w:val="clear"/>
        </w:rPr>
        <w:t>动脉内血管成形术不在保障范围内。</w:t>
      </w:r>
    </w:p>
    <w:p>
      <w:pPr>
        <w:pStyle w:val="BodyText"/>
        <w:spacing w:before="2"/>
        <w:rPr>
          <w:sz w:val="23"/>
        </w:rPr>
      </w:pPr>
    </w:p>
    <w:p>
      <w:pPr>
        <w:pStyle w:val="ListParagraph"/>
        <w:numPr>
          <w:ilvl w:val="0"/>
          <w:numId w:val="10"/>
        </w:numPr>
        <w:tabs>
          <w:tab w:pos="528" w:val="left" w:leader="none"/>
          <w:tab w:pos="2524" w:val="left" w:leader="none"/>
        </w:tabs>
        <w:spacing w:line="319" w:lineRule="auto" w:before="0" w:after="0"/>
        <w:ind w:left="2524" w:right="158" w:hanging="2416"/>
        <w:jc w:val="both"/>
        <w:rPr>
          <w:sz w:val="18"/>
        </w:rPr>
      </w:pPr>
      <w:r>
        <w:rPr>
          <w:b/>
          <w:sz w:val="18"/>
        </w:rPr>
        <w:t>植物人</w:t>
        <w:tab/>
      </w:r>
      <w:r>
        <w:rPr>
          <w:sz w:val="18"/>
        </w:rPr>
        <w:t>指经本公司认可的神经科医生确诊，大脑皮质全面坏死，意识完全丧失，但脑干仍保持完好，且此情况维持</w:t>
      </w:r>
      <w:r>
        <w:rPr>
          <w:spacing w:val="-45"/>
          <w:sz w:val="18"/>
        </w:rPr>
        <w:t> </w:t>
      </w:r>
      <w:r>
        <w:rPr>
          <w:sz w:val="18"/>
        </w:rPr>
        <w:t>30</w:t>
      </w:r>
      <w:r>
        <w:rPr>
          <w:spacing w:val="-42"/>
          <w:sz w:val="18"/>
        </w:rPr>
        <w:t> </w:t>
      </w:r>
      <w:r>
        <w:rPr>
          <w:sz w:val="18"/>
        </w:rPr>
        <w:t>天以上。</w:t>
      </w:r>
    </w:p>
    <w:p>
      <w:pPr>
        <w:spacing w:after="0" w:line="319" w:lineRule="auto"/>
        <w:jc w:val="both"/>
        <w:rPr>
          <w:sz w:val="18"/>
        </w:rPr>
        <w:sectPr>
          <w:type w:val="continuous"/>
          <w:pgSz w:w="11910" w:h="16840"/>
          <w:pgMar w:top="1100" w:bottom="1160" w:left="1080" w:right="760"/>
        </w:sectPr>
      </w:pPr>
    </w:p>
    <w:p>
      <w:pPr>
        <w:pStyle w:val="BodyText"/>
        <w:spacing w:before="1"/>
        <w:rPr>
          <w:sz w:val="20"/>
        </w:rPr>
      </w:pPr>
    </w:p>
    <w:p>
      <w:pPr>
        <w:spacing w:after="0"/>
        <w:rPr>
          <w:sz w:val="20"/>
        </w:rPr>
        <w:sectPr>
          <w:pgSz w:w="11910" w:h="16840"/>
          <w:pgMar w:header="877" w:footer="977" w:top="1100" w:bottom="1160" w:left="1080" w:right="820"/>
        </w:sectPr>
      </w:pPr>
    </w:p>
    <w:p>
      <w:pPr>
        <w:pStyle w:val="Heading4"/>
        <w:numPr>
          <w:ilvl w:val="0"/>
          <w:numId w:val="10"/>
        </w:numPr>
        <w:tabs>
          <w:tab w:pos="528" w:val="left" w:leader="none"/>
        </w:tabs>
        <w:spacing w:line="316" w:lineRule="auto" w:before="45" w:after="0"/>
        <w:ind w:left="527" w:right="0" w:hanging="419"/>
        <w:jc w:val="left"/>
      </w:pPr>
      <w:r>
        <w:rPr/>
        <w:t>系统性红斑狼疮并发</w:t>
      </w:r>
      <w:r>
        <w:rPr>
          <w:w w:val="95"/>
        </w:rPr>
        <w:t>重度的肾功能损害</w:t>
      </w:r>
    </w:p>
    <w:p>
      <w:pPr>
        <w:pStyle w:val="BodyText"/>
        <w:spacing w:line="316" w:lineRule="auto" w:before="45"/>
        <w:ind w:left="108" w:right="87"/>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13"/>
        </w:numPr>
        <w:tabs>
          <w:tab w:pos="528" w:val="left" w:leader="none"/>
        </w:tabs>
        <w:spacing w:line="240" w:lineRule="auto" w:before="18" w:after="0"/>
        <w:ind w:left="527" w:right="0" w:hanging="419"/>
        <w:jc w:val="left"/>
        <w:rPr>
          <w:sz w:val="18"/>
        </w:rPr>
      </w:pPr>
      <w:r>
        <w:rPr>
          <w:sz w:val="18"/>
        </w:rPr>
        <w:t>临床表现至少具备如下条件的四个：</w:t>
      </w:r>
    </w:p>
    <w:p>
      <w:pPr>
        <w:pStyle w:val="BodyText"/>
        <w:ind w:left="527"/>
      </w:pPr>
      <w:r>
        <w:rPr/>
        <w:t>①  蝶形红斑或盘形红斑；</w:t>
      </w:r>
    </w:p>
    <w:p>
      <w:pPr>
        <w:pStyle w:val="BodyText"/>
        <w:ind w:left="527"/>
      </w:pPr>
      <w:r>
        <w:rPr/>
        <w:t>②  光敏感；</w:t>
      </w:r>
    </w:p>
    <w:p>
      <w:pPr>
        <w:pStyle w:val="BodyText"/>
        <w:ind w:left="527"/>
      </w:pPr>
      <w:r>
        <w:rPr/>
        <w:t>③  口腔溃疡；</w:t>
      </w:r>
    </w:p>
    <w:p>
      <w:pPr>
        <w:pStyle w:val="BodyText"/>
        <w:ind w:left="527"/>
      </w:pPr>
      <w:r>
        <w:rPr/>
        <w:t>④  非畸形关节炎或关节痛；</w:t>
      </w:r>
    </w:p>
    <w:p>
      <w:pPr>
        <w:pStyle w:val="BodyText"/>
        <w:ind w:left="527"/>
      </w:pPr>
      <w:r>
        <w:rPr/>
        <w:t>⑤  浆膜炎、胸膜炎或心包炎；</w:t>
      </w:r>
    </w:p>
    <w:p>
      <w:pPr>
        <w:pStyle w:val="BodyText"/>
        <w:ind w:left="527"/>
      </w:pPr>
      <w:r>
        <w:rPr/>
        <w:t>⑥  神经系统损伤（抽搐或精神症状</w:t>
      </w:r>
      <w:r>
        <w:rPr>
          <w:spacing w:val="-92"/>
        </w:rPr>
        <w:t>）</w:t>
      </w:r>
      <w:r>
        <w:rPr/>
        <w:t>；</w:t>
      </w:r>
    </w:p>
    <w:p>
      <w:pPr>
        <w:pStyle w:val="BodyText"/>
        <w:ind w:left="527"/>
      </w:pPr>
      <w:r>
        <w:rPr>
          <w:spacing w:val="12"/>
        </w:rPr>
        <w:t>⑦ 血象异常</w:t>
      </w:r>
      <w:r>
        <w:rPr/>
        <w:t>（WBC&lt;4000/μl</w:t>
      </w:r>
      <w:r>
        <w:rPr>
          <w:spacing w:val="-11"/>
        </w:rPr>
        <w:t> 或血小板</w:t>
      </w:r>
      <w:r>
        <w:rPr/>
        <w:t>&lt;100000/μl</w:t>
      </w:r>
      <w:r>
        <w:rPr>
          <w:spacing w:val="-8"/>
        </w:rPr>
        <w:t> 或溶血性贫血</w:t>
      </w:r>
      <w:r>
        <w:rPr>
          <w:spacing w:val="-92"/>
        </w:rPr>
        <w:t>）</w:t>
      </w:r>
      <w:r>
        <w:rPr/>
        <w:t>。</w:t>
      </w:r>
    </w:p>
    <w:p>
      <w:pPr>
        <w:pStyle w:val="ListParagraph"/>
        <w:numPr>
          <w:ilvl w:val="0"/>
          <w:numId w:val="13"/>
        </w:numPr>
        <w:tabs>
          <w:tab w:pos="528" w:val="left" w:leader="none"/>
        </w:tabs>
        <w:spacing w:line="240" w:lineRule="auto" w:before="76" w:after="0"/>
        <w:ind w:left="527" w:right="0" w:hanging="419"/>
        <w:jc w:val="left"/>
        <w:rPr>
          <w:sz w:val="18"/>
        </w:rPr>
      </w:pPr>
      <w:r>
        <w:rPr>
          <w:sz w:val="18"/>
        </w:rPr>
        <w:t>检测结果至少具备如下条件的两个：</w:t>
      </w:r>
    </w:p>
    <w:p>
      <w:pPr>
        <w:pStyle w:val="BodyText"/>
        <w:ind w:left="527"/>
      </w:pPr>
      <w:r>
        <w:rPr/>
        <w:t>① 狼疮细胞或抗双链 DNA 抗体阳性；</w:t>
      </w:r>
    </w:p>
    <w:p>
      <w:pPr>
        <w:pStyle w:val="BodyText"/>
        <w:ind w:left="527"/>
      </w:pPr>
      <w:r>
        <w:rPr/>
        <w:t>②  抗 Sm 抗体阳性；</w:t>
      </w:r>
    </w:p>
    <w:p>
      <w:pPr>
        <w:pStyle w:val="BodyText"/>
        <w:ind w:left="527"/>
      </w:pPr>
      <w:r>
        <w:rPr/>
        <w:t>③  抗核抗体阳性；</w:t>
      </w:r>
    </w:p>
    <w:p>
      <w:pPr>
        <w:pStyle w:val="BodyText"/>
        <w:ind w:left="527"/>
      </w:pPr>
      <w:r>
        <w:rPr/>
        <w:t>④  狼疮带试验阳性；</w:t>
      </w:r>
    </w:p>
    <w:p>
      <w:pPr>
        <w:pStyle w:val="BodyText"/>
        <w:ind w:left="527"/>
      </w:pPr>
      <w:r>
        <w:rPr/>
        <w:t>⑤  C3 补体低于正常。</w:t>
      </w:r>
    </w:p>
    <w:p>
      <w:pPr>
        <w:pStyle w:val="ListParagraph"/>
        <w:numPr>
          <w:ilvl w:val="0"/>
          <w:numId w:val="13"/>
        </w:numPr>
        <w:tabs>
          <w:tab w:pos="562" w:val="left" w:leader="none"/>
        </w:tabs>
        <w:spacing w:line="240" w:lineRule="auto" w:before="76" w:after="0"/>
        <w:ind w:left="561" w:right="0" w:hanging="453"/>
        <w:jc w:val="left"/>
        <w:rPr>
          <w:sz w:val="18"/>
        </w:rPr>
      </w:pPr>
      <w:r>
        <w:rPr>
          <w:spacing w:val="-3"/>
          <w:sz w:val="18"/>
        </w:rPr>
        <w:t>狼疮肾炎致使肾功能减弱，血肌酐的清除率低于每分钟 </w:t>
      </w:r>
      <w:r>
        <w:rPr>
          <w:sz w:val="18"/>
        </w:rPr>
        <w:t>30ml。</w:t>
      </w:r>
    </w:p>
    <w:p>
      <w:pPr>
        <w:spacing w:after="0" w:line="240" w:lineRule="auto"/>
        <w:jc w:val="left"/>
        <w:rPr>
          <w:sz w:val="18"/>
        </w:rPr>
        <w:sectPr>
          <w:type w:val="continuous"/>
          <w:pgSz w:w="11910" w:h="16840"/>
          <w:pgMar w:top="1100" w:bottom="1160" w:left="1080" w:right="820"/>
          <w:cols w:num="2" w:equalWidth="0">
            <w:col w:w="2156" w:space="261"/>
            <w:col w:w="7593"/>
          </w:cols>
        </w:sectPr>
      </w:pPr>
    </w:p>
    <w:p>
      <w:pPr>
        <w:pStyle w:val="BodyText"/>
        <w:spacing w:before="8"/>
        <w:rPr>
          <w:sz w:val="19"/>
        </w:rPr>
      </w:pPr>
    </w:p>
    <w:p>
      <w:pPr>
        <w:pStyle w:val="ListParagraph"/>
        <w:numPr>
          <w:ilvl w:val="0"/>
          <w:numId w:val="10"/>
        </w:numPr>
        <w:tabs>
          <w:tab w:pos="528" w:val="left" w:leader="none"/>
          <w:tab w:pos="2524" w:val="left" w:leader="none"/>
        </w:tabs>
        <w:spacing w:line="316" w:lineRule="auto" w:before="45" w:after="0"/>
        <w:ind w:left="2524" w:right="137" w:hanging="2416"/>
        <w:jc w:val="both"/>
        <w:rPr>
          <w:sz w:val="18"/>
        </w:rPr>
      </w:pPr>
      <w:r>
        <w:rPr>
          <w:b/>
          <w:sz w:val="18"/>
        </w:rPr>
        <w:t>多发性硬化</w:t>
        <w:tab/>
      </w:r>
      <w:r>
        <w:rPr>
          <w:sz w:val="18"/>
        </w:rPr>
        <w:t>指因中枢神经系统脱髓鞘而导致的不可逆的身体部位的功能障碍</w:t>
      </w:r>
      <w:r>
        <w:rPr>
          <w:spacing w:val="-39"/>
          <w:sz w:val="18"/>
        </w:rPr>
        <w:t>，</w:t>
      </w:r>
      <w:r>
        <w:rPr>
          <w:sz w:val="18"/>
        </w:rPr>
        <w:t>需由神经科专家提供明确诊断，并有</w:t>
      </w:r>
      <w:r>
        <w:rPr>
          <w:spacing w:val="-46"/>
          <w:sz w:val="18"/>
        </w:rPr>
        <w:t> </w:t>
      </w:r>
      <w:r>
        <w:rPr>
          <w:sz w:val="18"/>
        </w:rPr>
        <w:t>CT</w:t>
      </w:r>
      <w:r>
        <w:rPr>
          <w:spacing w:val="-43"/>
          <w:sz w:val="18"/>
        </w:rPr>
        <w:t> </w:t>
      </w:r>
      <w:r>
        <w:rPr>
          <w:sz w:val="18"/>
        </w:rPr>
        <w:t>或核磁共振检查</w:t>
      </w:r>
      <w:r>
        <w:rPr>
          <w:spacing w:val="-3"/>
          <w:sz w:val="18"/>
        </w:rPr>
        <w:t>结</w:t>
      </w:r>
      <w:r>
        <w:rPr>
          <w:sz w:val="18"/>
        </w:rPr>
        <w:t>果诊断报告。所谓不可逆的身体部位功能障碍指初次诊断为功能障碍后需持续</w:t>
      </w:r>
      <w:r>
        <w:rPr>
          <w:spacing w:val="-45"/>
          <w:sz w:val="18"/>
        </w:rPr>
        <w:t> </w:t>
      </w:r>
      <w:r>
        <w:rPr>
          <w:sz w:val="18"/>
        </w:rPr>
        <w:t>180</w:t>
      </w:r>
      <w:r>
        <w:rPr>
          <w:spacing w:val="-44"/>
          <w:sz w:val="18"/>
        </w:rPr>
        <w:t> </w:t>
      </w:r>
      <w:r>
        <w:rPr>
          <w:sz w:val="18"/>
        </w:rPr>
        <w:t>天以上。</w:t>
      </w:r>
    </w:p>
    <w:p>
      <w:pPr>
        <w:pStyle w:val="BodyText"/>
        <w:spacing w:before="19"/>
        <w:ind w:left="2524"/>
      </w:pPr>
      <w:r>
        <w:rPr/>
        <w:t>由神经科专家提供的明确诊断必须包含以下全部三项内容：</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明确出现因视神经、脑干和脊髓损伤而导致的临床表现；</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散在的身体损害的多样性；</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有明确的上述症状及神经损伤反复恶化、减轻的病史纪录。</w:t>
      </w:r>
    </w:p>
    <w:p>
      <w:pPr>
        <w:pStyle w:val="BodyText"/>
        <w:spacing w:before="3"/>
        <w:rPr>
          <w:sz w:val="23"/>
        </w:rPr>
      </w:pPr>
    </w:p>
    <w:p>
      <w:pPr>
        <w:pStyle w:val="ListParagraph"/>
        <w:numPr>
          <w:ilvl w:val="0"/>
          <w:numId w:val="10"/>
        </w:numPr>
        <w:tabs>
          <w:tab w:pos="528" w:val="left" w:leader="none"/>
          <w:tab w:pos="2524" w:val="left" w:leader="none"/>
        </w:tabs>
        <w:spacing w:line="316" w:lineRule="auto" w:before="0" w:after="0"/>
        <w:ind w:left="2524" w:right="137" w:hanging="2416"/>
        <w:jc w:val="both"/>
        <w:rPr>
          <w:sz w:val="18"/>
        </w:rPr>
      </w:pPr>
      <w:r>
        <w:rPr>
          <w:b/>
          <w:sz w:val="18"/>
        </w:rPr>
        <w:t>1</w:t>
      </w:r>
      <w:r>
        <w:rPr>
          <w:b/>
          <w:spacing w:val="-45"/>
          <w:sz w:val="18"/>
        </w:rPr>
        <w:t> </w:t>
      </w:r>
      <w:r>
        <w:rPr>
          <w:b/>
          <w:sz w:val="18"/>
        </w:rPr>
        <w:t>型糖尿病</w:t>
        <w:tab/>
      </w:r>
      <w:r>
        <w:rPr>
          <w:sz w:val="18"/>
        </w:rPr>
        <w:t>1</w:t>
      </w:r>
      <w:r>
        <w:rPr>
          <w:spacing w:val="-45"/>
          <w:sz w:val="18"/>
        </w:rPr>
        <w:t> </w:t>
      </w:r>
      <w:r>
        <w:rPr>
          <w:sz w:val="18"/>
        </w:rPr>
        <w:t>型糖尿病是由于胰岛素分</w:t>
      </w:r>
      <w:r>
        <w:rPr>
          <w:spacing w:val="-3"/>
          <w:sz w:val="18"/>
        </w:rPr>
        <w:t>泌</w:t>
      </w:r>
      <w:r>
        <w:rPr>
          <w:sz w:val="18"/>
        </w:rPr>
        <w:t>绝对不足引起的慢性血糖升高，需要持续性地依赖外源性胰岛素控制血糖的一种慢性内分泌系统疾病</w:t>
      </w:r>
      <w:r>
        <w:rPr>
          <w:spacing w:val="-20"/>
          <w:sz w:val="18"/>
        </w:rPr>
        <w:t>。</w:t>
      </w:r>
      <w:r>
        <w:rPr>
          <w:sz w:val="18"/>
        </w:rPr>
        <w:t>本病须经本公司认可的有资格的内分泌医生确诊</w:t>
      </w:r>
      <w:r>
        <w:rPr>
          <w:spacing w:val="-20"/>
          <w:sz w:val="18"/>
        </w:rPr>
        <w:t>，</w:t>
      </w:r>
      <w:r>
        <w:rPr>
          <w:sz w:val="18"/>
        </w:rPr>
        <w:t>并提供胰岛β细胞自身抗体或胰岛功能测定的相关实验室检查报告，满足下述至少一个条件：</w:t>
      </w:r>
    </w:p>
    <w:p>
      <w:pPr>
        <w:pStyle w:val="ListParagraph"/>
        <w:numPr>
          <w:ilvl w:val="1"/>
          <w:numId w:val="10"/>
        </w:numPr>
        <w:tabs>
          <w:tab w:pos="2921" w:val="left" w:leader="none"/>
        </w:tabs>
        <w:spacing w:line="240" w:lineRule="auto" w:before="18" w:after="0"/>
        <w:ind w:left="2920" w:right="0" w:hanging="396"/>
        <w:jc w:val="left"/>
        <w:rPr>
          <w:sz w:val="18"/>
        </w:rPr>
      </w:pPr>
      <w:r>
        <w:rPr>
          <w:sz w:val="18"/>
        </w:rPr>
        <w:t>本公司认可的内分泌医生确诊已出现糖尿病视网膜病变；</w:t>
      </w:r>
    </w:p>
    <w:p>
      <w:pPr>
        <w:pStyle w:val="ListParagraph"/>
        <w:numPr>
          <w:ilvl w:val="1"/>
          <w:numId w:val="10"/>
        </w:numPr>
        <w:tabs>
          <w:tab w:pos="2921" w:val="left" w:leader="none"/>
        </w:tabs>
        <w:spacing w:line="240" w:lineRule="auto" w:before="75" w:after="0"/>
        <w:ind w:left="2920" w:right="0" w:hanging="396"/>
        <w:jc w:val="left"/>
        <w:rPr>
          <w:sz w:val="18"/>
        </w:rPr>
      </w:pPr>
      <w:r>
        <w:rPr>
          <w:sz w:val="18"/>
        </w:rPr>
        <w:t>本公司认可的内分泌医生确诊已出现Ⅳ期及以上的糖尿病肾病；</w:t>
      </w:r>
    </w:p>
    <w:p>
      <w:pPr>
        <w:pStyle w:val="ListParagraph"/>
        <w:numPr>
          <w:ilvl w:val="1"/>
          <w:numId w:val="10"/>
        </w:numPr>
        <w:tabs>
          <w:tab w:pos="2921" w:val="left" w:leader="none"/>
        </w:tabs>
        <w:spacing w:line="240" w:lineRule="auto" w:before="76" w:after="0"/>
        <w:ind w:left="2920" w:right="0" w:hanging="396"/>
        <w:jc w:val="left"/>
        <w:rPr>
          <w:sz w:val="18"/>
        </w:rPr>
      </w:pPr>
      <w:r>
        <w:rPr>
          <w:sz w:val="18"/>
        </w:rPr>
        <w:t>本公司认可的内分泌医生确诊糖尿病足，并因坏疽需切除一只或以上脚趾。</w:t>
      </w:r>
    </w:p>
    <w:p>
      <w:pPr>
        <w:pStyle w:val="BodyText"/>
        <w:spacing w:before="0"/>
      </w:pPr>
    </w:p>
    <w:p>
      <w:pPr>
        <w:pStyle w:val="ListParagraph"/>
        <w:numPr>
          <w:ilvl w:val="0"/>
          <w:numId w:val="10"/>
        </w:numPr>
        <w:tabs>
          <w:tab w:pos="528" w:val="left" w:leader="none"/>
        </w:tabs>
        <w:spacing w:line="316" w:lineRule="auto" w:before="153" w:after="0"/>
        <w:ind w:left="2524" w:right="242" w:hanging="2416"/>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5"/>
          <w:sz w:val="18"/>
        </w:rPr>
        <w:t> 天。</w:t>
      </w:r>
    </w:p>
    <w:p>
      <w:pPr>
        <w:pStyle w:val="BodyText"/>
        <w:spacing w:line="316" w:lineRule="auto" w:before="19"/>
        <w:ind w:left="2524" w:right="278"/>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11"/>
      </w:pPr>
    </w:p>
    <w:p>
      <w:pPr>
        <w:pStyle w:val="ListParagraph"/>
        <w:numPr>
          <w:ilvl w:val="0"/>
          <w:numId w:val="10"/>
        </w:numPr>
        <w:tabs>
          <w:tab w:pos="528" w:val="left" w:leader="none"/>
          <w:tab w:pos="2524" w:val="left" w:leader="none"/>
        </w:tabs>
        <w:spacing w:line="316" w:lineRule="auto" w:before="0" w:after="0"/>
        <w:ind w:left="2524" w:right="98" w:hanging="2416"/>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0"/>
        </w:numPr>
        <w:tabs>
          <w:tab w:pos="2945" w:val="left" w:leader="none"/>
        </w:tabs>
        <w:spacing w:line="240" w:lineRule="auto" w:before="18" w:after="0"/>
        <w:ind w:left="2944" w:right="0" w:hanging="420"/>
        <w:jc w:val="left"/>
        <w:rPr>
          <w:sz w:val="18"/>
        </w:rPr>
      </w:pPr>
      <w:r>
        <w:rPr>
          <w:sz w:val="18"/>
        </w:rPr>
        <w:t>经药物、胸腺手术治疗一年以上无法控制病情，丧失正常工作能力；</w:t>
      </w:r>
    </w:p>
    <w:p>
      <w:pPr>
        <w:spacing w:after="0" w:line="240" w:lineRule="auto"/>
        <w:jc w:val="left"/>
        <w:rPr>
          <w:sz w:val="18"/>
        </w:rPr>
        <w:sectPr>
          <w:type w:val="continuous"/>
          <w:pgSz w:w="11910" w:h="16840"/>
          <w:pgMar w:top="1100" w:bottom="1160" w:left="1080" w:right="820"/>
        </w:sectPr>
      </w:pPr>
    </w:p>
    <w:p>
      <w:pPr>
        <w:pStyle w:val="BodyText"/>
        <w:spacing w:before="1"/>
        <w:rPr>
          <w:sz w:val="20"/>
        </w:rPr>
      </w:pPr>
    </w:p>
    <w:p>
      <w:pPr>
        <w:pStyle w:val="ListParagraph"/>
        <w:numPr>
          <w:ilvl w:val="1"/>
          <w:numId w:val="10"/>
        </w:numPr>
        <w:tabs>
          <w:tab w:pos="2945" w:val="left" w:leader="none"/>
        </w:tabs>
        <w:spacing w:line="316" w:lineRule="auto" w:before="45" w:after="0"/>
        <w:ind w:left="2944" w:right="27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0"/>
        </w:numPr>
        <w:tabs>
          <w:tab w:pos="2945" w:val="left" w:leader="none"/>
        </w:tabs>
        <w:spacing w:line="240" w:lineRule="auto" w:before="18" w:after="0"/>
        <w:ind w:left="2944" w:right="0" w:hanging="420"/>
        <w:jc w:val="left"/>
        <w:rPr>
          <w:sz w:val="18"/>
        </w:rPr>
      </w:pPr>
      <w:r>
        <w:rPr>
          <w:sz w:val="18"/>
        </w:rPr>
        <w:t>症状缓解、复发及恶化交替出现，临床接受新斯的明等抗胆碱酯酶药物治疗的病史。</w:t>
      </w:r>
    </w:p>
    <w:p>
      <w:pPr>
        <w:pStyle w:val="BodyText"/>
        <w:spacing w:before="0"/>
        <w:rPr>
          <w:sz w:val="23"/>
        </w:rPr>
      </w:pPr>
    </w:p>
    <w:p>
      <w:pPr>
        <w:pStyle w:val="ListParagraph"/>
        <w:numPr>
          <w:ilvl w:val="0"/>
          <w:numId w:val="10"/>
        </w:numPr>
        <w:tabs>
          <w:tab w:pos="528" w:val="left" w:leader="none"/>
          <w:tab w:pos="2524" w:val="left" w:leader="none"/>
        </w:tabs>
        <w:spacing w:line="316" w:lineRule="auto" w:before="0" w:after="0"/>
        <w:ind w:left="2524" w:right="197" w:hanging="2416"/>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5"/>
        <w:rPr>
          <w:sz w:val="15"/>
        </w:rPr>
      </w:pPr>
    </w:p>
    <w:p>
      <w:pPr>
        <w:spacing w:after="0"/>
        <w:rPr>
          <w:sz w:val="15"/>
        </w:rPr>
        <w:sectPr>
          <w:footerReference w:type="default" r:id="rId9"/>
          <w:pgSz w:w="11910" w:h="16840"/>
          <w:pgMar w:footer="977" w:header="877" w:top="1100" w:bottom="1160" w:left="1080" w:right="760"/>
          <w:pgNumType w:start="10"/>
        </w:sectPr>
      </w:pPr>
    </w:p>
    <w:p>
      <w:pPr>
        <w:pStyle w:val="Heading4"/>
        <w:numPr>
          <w:ilvl w:val="0"/>
          <w:numId w:val="10"/>
        </w:numPr>
        <w:tabs>
          <w:tab w:pos="528" w:val="left" w:leader="none"/>
        </w:tabs>
        <w:spacing w:line="316" w:lineRule="auto" w:before="45" w:after="0"/>
        <w:ind w:left="468" w:right="0" w:hanging="360"/>
        <w:jc w:val="left"/>
      </w:pPr>
      <w:r>
        <w:rPr>
          <w:w w:val="95"/>
        </w:rPr>
        <w:t>急性坏死性胰腺炎</w:t>
      </w:r>
    </w:p>
    <w:p>
      <w:pPr>
        <w:pStyle w:val="BodyText"/>
        <w:spacing w:line="316" w:lineRule="auto" w:before="45"/>
        <w:ind w:left="108" w:right="158"/>
      </w:pPr>
      <w:r>
        <w:rPr/>
        <w:br w:type="column"/>
      </w:r>
      <w:r>
        <w:rPr/>
        <w:t>由本公司指定或认可的医师确诊为急性坏死性胰腺炎，并需进行手术治疗，以进行组织清除、病灶切除或胰腺切除。</w:t>
      </w:r>
      <w:r>
        <w:rPr>
          <w:shd w:fill="C0C0C0" w:color="auto" w:val="clear"/>
        </w:rPr>
        <w:t>但因酒精中毒所致的急性坏死性胰腺炎除外。</w:t>
      </w:r>
    </w:p>
    <w:p>
      <w:pPr>
        <w:spacing w:after="0" w:line="316" w:lineRule="auto"/>
        <w:sectPr>
          <w:type w:val="continuous"/>
          <w:pgSz w:w="11910" w:h="16840"/>
          <w:pgMar w:top="1100" w:bottom="1160" w:left="1080" w:right="760"/>
          <w:cols w:num="2" w:equalWidth="0">
            <w:col w:w="1431" w:space="986"/>
            <w:col w:w="7653"/>
          </w:cols>
        </w:sectPr>
      </w:pPr>
    </w:p>
    <w:p>
      <w:pPr>
        <w:pStyle w:val="BodyText"/>
        <w:spacing w:before="5"/>
        <w:rPr>
          <w:sz w:val="15"/>
        </w:rPr>
      </w:pPr>
    </w:p>
    <w:p>
      <w:pPr>
        <w:pStyle w:val="ListParagraph"/>
        <w:numPr>
          <w:ilvl w:val="0"/>
          <w:numId w:val="10"/>
        </w:numPr>
        <w:tabs>
          <w:tab w:pos="528" w:val="left" w:leader="none"/>
          <w:tab w:pos="2524" w:val="left" w:leader="none"/>
        </w:tabs>
        <w:spacing w:line="319" w:lineRule="auto" w:before="45" w:after="0"/>
        <w:ind w:left="2524" w:right="197" w:hanging="2416"/>
        <w:jc w:val="left"/>
        <w:rPr>
          <w:sz w:val="18"/>
        </w:rPr>
      </w:pPr>
      <w:r>
        <w:rPr>
          <w:b/>
          <w:sz w:val="18"/>
        </w:rPr>
        <w:t>肌营养不良症</w:t>
        <w:tab/>
      </w:r>
      <w:r>
        <w:rPr>
          <w:sz w:val="18"/>
        </w:rPr>
        <w:t>是一组原发于肌肉的遗传性疾病</w:t>
      </w:r>
      <w:r>
        <w:rPr>
          <w:spacing w:val="-20"/>
          <w:sz w:val="18"/>
        </w:rPr>
        <w:t>。</w:t>
      </w:r>
      <w:r>
        <w:rPr>
          <w:sz w:val="18"/>
        </w:rPr>
        <w:t>主要临床特征为受累骨骼肌肉的无力和萎缩</w:t>
      </w:r>
      <w:r>
        <w:rPr>
          <w:spacing w:val="-20"/>
          <w:sz w:val="18"/>
        </w:rPr>
        <w:t>。</w:t>
      </w:r>
      <w:r>
        <w:rPr>
          <w:sz w:val="18"/>
        </w:rPr>
        <w:t>经本公司认可的神经专科医生确认符合以下四项诊断指标中的三项：</w:t>
      </w:r>
    </w:p>
    <w:p>
      <w:pPr>
        <w:pStyle w:val="ListParagraph"/>
        <w:numPr>
          <w:ilvl w:val="1"/>
          <w:numId w:val="10"/>
        </w:numPr>
        <w:tabs>
          <w:tab w:pos="2945" w:val="left" w:leader="none"/>
        </w:tabs>
        <w:spacing w:line="240" w:lineRule="auto" w:before="16" w:after="0"/>
        <w:ind w:left="2944" w:right="0" w:hanging="420"/>
        <w:jc w:val="left"/>
        <w:rPr>
          <w:sz w:val="18"/>
        </w:rPr>
      </w:pPr>
      <w:r>
        <w:rPr>
          <w:sz w:val="18"/>
        </w:rPr>
        <w:t>家族史中有其他成员患相同疾病；</w:t>
      </w:r>
    </w:p>
    <w:p>
      <w:pPr>
        <w:pStyle w:val="ListParagraph"/>
        <w:numPr>
          <w:ilvl w:val="1"/>
          <w:numId w:val="10"/>
        </w:numPr>
        <w:tabs>
          <w:tab w:pos="2945" w:val="left" w:leader="none"/>
        </w:tabs>
        <w:spacing w:line="240" w:lineRule="auto" w:before="76" w:after="0"/>
        <w:ind w:left="2944" w:right="0" w:hanging="420"/>
        <w:jc w:val="left"/>
        <w:rPr>
          <w:sz w:val="18"/>
        </w:rPr>
      </w:pPr>
      <w:r>
        <w:rPr>
          <w:sz w:val="18"/>
        </w:rPr>
        <w:t>临床表现包括：无感觉神经紊乱，正常脑脊液及轻微腱反射的减退；</w:t>
      </w:r>
    </w:p>
    <w:p>
      <w:pPr>
        <w:pStyle w:val="ListParagraph"/>
        <w:numPr>
          <w:ilvl w:val="1"/>
          <w:numId w:val="10"/>
        </w:numPr>
        <w:tabs>
          <w:tab w:pos="2945" w:val="left" w:leader="none"/>
        </w:tabs>
        <w:spacing w:line="240" w:lineRule="auto" w:before="76" w:after="0"/>
        <w:ind w:left="2944" w:right="0" w:hanging="420"/>
        <w:jc w:val="left"/>
        <w:rPr>
          <w:sz w:val="18"/>
        </w:rPr>
      </w:pPr>
      <w:r>
        <w:rPr>
          <w:sz w:val="18"/>
        </w:rPr>
        <w:t>典型的肌电图；</w:t>
      </w:r>
    </w:p>
    <w:p>
      <w:pPr>
        <w:pStyle w:val="ListParagraph"/>
        <w:numPr>
          <w:ilvl w:val="1"/>
          <w:numId w:val="10"/>
        </w:numPr>
        <w:tabs>
          <w:tab w:pos="2979" w:val="left" w:leader="none"/>
        </w:tabs>
        <w:spacing w:line="240" w:lineRule="auto" w:before="75" w:after="0"/>
        <w:ind w:left="2978" w:right="0" w:hanging="454"/>
        <w:jc w:val="left"/>
        <w:rPr>
          <w:sz w:val="18"/>
        </w:rPr>
      </w:pPr>
      <w:r>
        <w:rPr>
          <w:spacing w:val="-2"/>
          <w:sz w:val="18"/>
        </w:rPr>
        <w:t>临床推测必须有肌肉或组织检查加以证实。</w:t>
      </w:r>
    </w:p>
    <w:p>
      <w:pPr>
        <w:pStyle w:val="BodyText"/>
        <w:spacing w:before="0"/>
        <w:rPr>
          <w:sz w:val="23"/>
        </w:rPr>
      </w:pPr>
    </w:p>
    <w:p>
      <w:pPr>
        <w:pStyle w:val="ListParagraph"/>
        <w:numPr>
          <w:ilvl w:val="0"/>
          <w:numId w:val="10"/>
        </w:numPr>
        <w:tabs>
          <w:tab w:pos="528" w:val="left" w:leader="none"/>
          <w:tab w:pos="2524" w:val="left" w:leader="none"/>
        </w:tabs>
        <w:spacing w:line="316" w:lineRule="auto" w:before="0" w:after="0"/>
        <w:ind w:left="2524" w:right="197" w:hanging="2416"/>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0"/>
        </w:numPr>
        <w:tabs>
          <w:tab w:pos="2979" w:val="left" w:leader="none"/>
        </w:tabs>
        <w:spacing w:line="240" w:lineRule="auto" w:before="18" w:after="0"/>
        <w:ind w:left="2978" w:right="0" w:hanging="454"/>
        <w:jc w:val="left"/>
        <w:rPr>
          <w:sz w:val="18"/>
        </w:rPr>
      </w:pPr>
      <w:r>
        <w:rPr>
          <w:spacing w:val="-8"/>
          <w:sz w:val="18"/>
        </w:rPr>
        <w:t>肺功能测试其 </w:t>
      </w:r>
      <w:r>
        <w:rPr>
          <w:sz w:val="18"/>
        </w:rPr>
        <w:t>FEVl</w:t>
      </w:r>
      <w:r>
        <w:rPr>
          <w:spacing w:val="-17"/>
          <w:sz w:val="18"/>
        </w:rPr>
        <w:t> 持续低于 </w:t>
      </w:r>
      <w:r>
        <w:rPr>
          <w:sz w:val="18"/>
        </w:rPr>
        <w:t>0.75</w:t>
      </w:r>
      <w:r>
        <w:rPr>
          <w:spacing w:val="-15"/>
          <w:sz w:val="18"/>
        </w:rPr>
        <w:t> 升；</w:t>
      </w:r>
    </w:p>
    <w:p>
      <w:pPr>
        <w:pStyle w:val="ListParagraph"/>
        <w:numPr>
          <w:ilvl w:val="1"/>
          <w:numId w:val="10"/>
        </w:numPr>
        <w:tabs>
          <w:tab w:pos="2979" w:val="left" w:leader="none"/>
        </w:tabs>
        <w:spacing w:line="240" w:lineRule="auto" w:before="76" w:after="0"/>
        <w:ind w:left="2978" w:right="0" w:hanging="454"/>
        <w:jc w:val="left"/>
        <w:rPr>
          <w:sz w:val="18"/>
        </w:rPr>
      </w:pPr>
      <w:r>
        <w:rPr>
          <w:spacing w:val="-2"/>
          <w:sz w:val="18"/>
        </w:rPr>
        <w:t>病人缺氧必须广泛而持续地进行输氧治疗；</w:t>
      </w:r>
    </w:p>
    <w:p>
      <w:pPr>
        <w:pStyle w:val="ListParagraph"/>
        <w:numPr>
          <w:ilvl w:val="1"/>
          <w:numId w:val="10"/>
        </w:numPr>
        <w:tabs>
          <w:tab w:pos="2979" w:val="left" w:leader="none"/>
        </w:tabs>
        <w:spacing w:line="240" w:lineRule="auto" w:before="76" w:after="0"/>
        <w:ind w:left="2978" w:right="0" w:hanging="454"/>
        <w:jc w:val="left"/>
        <w:rPr>
          <w:sz w:val="18"/>
        </w:rPr>
      </w:pPr>
      <w:r>
        <w:rPr>
          <w:spacing w:val="-5"/>
          <w:sz w:val="18"/>
        </w:rPr>
        <w:t>动脉血气分析氧分压低于 </w:t>
      </w:r>
      <w:r>
        <w:rPr>
          <w:sz w:val="18"/>
        </w:rPr>
        <w:t>55mmHg。</w:t>
      </w:r>
    </w:p>
    <w:p>
      <w:pPr>
        <w:pStyle w:val="BodyText"/>
        <w:ind w:left="2524"/>
      </w:pPr>
      <w:r>
        <w:rPr/>
        <w:t>理赔时必须提供以上各项中相应的医院证明文件或检查报告。</w:t>
      </w:r>
    </w:p>
    <w:p>
      <w:pPr>
        <w:pStyle w:val="BodyText"/>
        <w:spacing w:before="11"/>
        <w:rPr>
          <w:sz w:val="19"/>
        </w:rPr>
      </w:pPr>
    </w:p>
    <w:p>
      <w:pPr>
        <w:spacing w:after="0"/>
        <w:rPr>
          <w:sz w:val="19"/>
        </w:rPr>
        <w:sectPr>
          <w:type w:val="continuous"/>
          <w:pgSz w:w="11910" w:h="16840"/>
          <w:pgMar w:top="1100" w:bottom="1160" w:left="1080" w:right="760"/>
        </w:sectPr>
      </w:pPr>
    </w:p>
    <w:p>
      <w:pPr>
        <w:pStyle w:val="Heading4"/>
        <w:numPr>
          <w:ilvl w:val="0"/>
          <w:numId w:val="10"/>
        </w:numPr>
        <w:tabs>
          <w:tab w:pos="528" w:val="left" w:leader="none"/>
        </w:tabs>
        <w:spacing w:line="319" w:lineRule="auto" w:before="44" w:after="0"/>
        <w:ind w:left="527" w:right="0" w:hanging="419"/>
        <w:jc w:val="left"/>
      </w:pPr>
      <w:r>
        <w:rPr>
          <w:spacing w:val="15"/>
        </w:rPr>
        <w:t>经输血感染艾滋病病毒</w:t>
      </w:r>
    </w:p>
    <w:p>
      <w:pPr>
        <w:pStyle w:val="BodyText"/>
        <w:spacing w:before="44"/>
        <w:ind w:left="108"/>
      </w:pPr>
      <w:r>
        <w:rPr/>
        <w:br w:type="column"/>
      </w:r>
      <w:r>
        <w:rPr/>
        <w:t>因输血而被艾滋病病毒（</w:t>
      </w:r>
      <w:r>
        <w:rPr>
          <w:spacing w:val="0"/>
        </w:rPr>
        <w:t>HIV</w:t>
      </w:r>
      <w:r>
        <w:rPr>
          <w:spacing w:val="-3"/>
        </w:rPr>
        <w:t>）</w:t>
      </w:r>
      <w:r>
        <w:rPr/>
        <w:t>感染或成为艾滋病患者（</w:t>
      </w:r>
      <w:r>
        <w:rPr>
          <w:spacing w:val="0"/>
        </w:rPr>
        <w:t>A</w:t>
      </w:r>
      <w:r>
        <w:rPr/>
        <w:t>ID</w:t>
      </w:r>
      <w:r>
        <w:rPr>
          <w:spacing w:val="0"/>
        </w:rPr>
        <w:t>S</w:t>
      </w:r>
      <w:r>
        <w:rPr>
          <w:spacing w:val="-92"/>
        </w:rPr>
        <w:t>）</w:t>
      </w:r>
      <w:r>
        <w:rPr>
          <w:spacing w:val="-1"/>
        </w:rPr>
        <w:t>，需要满足下列所有条件：</w:t>
      </w:r>
    </w:p>
    <w:p>
      <w:pPr>
        <w:pStyle w:val="ListParagraph"/>
        <w:numPr>
          <w:ilvl w:val="0"/>
          <w:numId w:val="14"/>
        </w:numPr>
        <w:tabs>
          <w:tab w:pos="528" w:val="left" w:leader="none"/>
        </w:tabs>
        <w:spacing w:line="316" w:lineRule="auto" w:before="76" w:after="0"/>
        <w:ind w:left="527" w:right="278" w:hanging="419"/>
        <w:jc w:val="left"/>
        <w:rPr>
          <w:sz w:val="18"/>
        </w:rPr>
      </w:pPr>
      <w:r>
        <w:rPr>
          <w:sz w:val="18"/>
        </w:rPr>
        <w:t>感染是由于必要的医疗性输血引起的，且医疗性输血是在保单生效日后或复效日后发生的；</w:t>
      </w:r>
    </w:p>
    <w:p>
      <w:pPr>
        <w:pStyle w:val="ListParagraph"/>
        <w:numPr>
          <w:ilvl w:val="0"/>
          <w:numId w:val="14"/>
        </w:numPr>
        <w:tabs>
          <w:tab w:pos="528" w:val="left" w:leader="none"/>
        </w:tabs>
        <w:spacing w:line="240" w:lineRule="auto" w:before="18" w:after="0"/>
        <w:ind w:left="527" w:right="0" w:hanging="419"/>
        <w:jc w:val="left"/>
        <w:rPr>
          <w:sz w:val="18"/>
        </w:rPr>
      </w:pPr>
      <w:r>
        <w:rPr>
          <w:sz w:val="18"/>
        </w:rPr>
        <w:t>提供输血的医疗机构承认该项输血感染为医疗责任事故；</w:t>
      </w:r>
    </w:p>
    <w:p>
      <w:pPr>
        <w:pStyle w:val="ListParagraph"/>
        <w:numPr>
          <w:ilvl w:val="0"/>
          <w:numId w:val="14"/>
        </w:numPr>
        <w:tabs>
          <w:tab w:pos="528" w:val="left" w:leader="none"/>
        </w:tabs>
        <w:spacing w:line="240" w:lineRule="auto" w:before="75" w:after="0"/>
        <w:ind w:left="527" w:right="0" w:hanging="419"/>
        <w:jc w:val="left"/>
        <w:rPr>
          <w:sz w:val="18"/>
        </w:rPr>
      </w:pPr>
      <w:r>
        <w:rPr>
          <w:sz w:val="18"/>
        </w:rPr>
        <w:t>被保险人不是血友病患者。</w:t>
      </w:r>
    </w:p>
    <w:p>
      <w:pPr>
        <w:spacing w:after="0" w:line="240" w:lineRule="auto"/>
        <w:jc w:val="left"/>
        <w:rPr>
          <w:sz w:val="18"/>
        </w:rPr>
        <w:sectPr>
          <w:type w:val="continuous"/>
          <w:pgSz w:w="11910" w:h="16840"/>
          <w:pgMar w:top="1100" w:bottom="1160" w:left="1080" w:right="760"/>
          <w:cols w:num="2" w:equalWidth="0">
            <w:col w:w="2309" w:space="108"/>
            <w:col w:w="7653"/>
          </w:cols>
        </w:sectPr>
      </w:pPr>
    </w:p>
    <w:p>
      <w:pPr>
        <w:pStyle w:val="BodyText"/>
        <w:spacing w:before="8"/>
        <w:rPr>
          <w:sz w:val="19"/>
        </w:rPr>
      </w:pPr>
    </w:p>
    <w:p>
      <w:pPr>
        <w:pStyle w:val="ListParagraph"/>
        <w:numPr>
          <w:ilvl w:val="0"/>
          <w:numId w:val="10"/>
        </w:numPr>
        <w:tabs>
          <w:tab w:pos="528" w:val="left" w:leader="none"/>
          <w:tab w:pos="2524" w:val="left" w:leader="none"/>
        </w:tabs>
        <w:spacing w:line="316" w:lineRule="auto" w:before="44" w:after="0"/>
        <w:ind w:left="2524" w:right="105" w:hanging="2416"/>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BodyText"/>
        <w:spacing w:before="18"/>
        <w:ind w:left="2524"/>
      </w:pPr>
      <w:r>
        <w:rPr/>
        <w:t>上述疾病需由专科医生确诊，并提供相应医疗记录以证实上述病情已经存在至少 3 个月。</w:t>
      </w:r>
    </w:p>
    <w:p>
      <w:pPr>
        <w:pStyle w:val="BodyText"/>
        <w:spacing w:before="3"/>
        <w:rPr>
          <w:sz w:val="23"/>
        </w:rPr>
      </w:pPr>
    </w:p>
    <w:p>
      <w:pPr>
        <w:pStyle w:val="ListParagraph"/>
        <w:numPr>
          <w:ilvl w:val="0"/>
          <w:numId w:val="10"/>
        </w:numPr>
        <w:tabs>
          <w:tab w:pos="528" w:val="left" w:leader="none"/>
          <w:tab w:pos="2524" w:val="left" w:leader="none"/>
        </w:tabs>
        <w:spacing w:line="240" w:lineRule="auto" w:before="0" w:after="0"/>
        <w:ind w:left="2524" w:right="0" w:hanging="2416"/>
        <w:jc w:val="left"/>
        <w:rPr>
          <w:sz w:val="18"/>
        </w:rPr>
      </w:pPr>
      <w:r>
        <w:rPr>
          <w:b/>
          <w:sz w:val="18"/>
        </w:rPr>
        <w:t>肾髓质囊性病</w:t>
        <w:tab/>
      </w:r>
      <w:r>
        <w:rPr>
          <w:sz w:val="18"/>
        </w:rPr>
        <w:t>肾髓质囊性病的诊断必须同时符合下列要求：</w:t>
      </w:r>
    </w:p>
    <w:p>
      <w:pPr>
        <w:pStyle w:val="ListParagraph"/>
        <w:numPr>
          <w:ilvl w:val="1"/>
          <w:numId w:val="10"/>
        </w:numPr>
        <w:tabs>
          <w:tab w:pos="2945" w:val="left" w:leader="none"/>
        </w:tabs>
        <w:spacing w:line="240" w:lineRule="auto" w:before="76" w:after="0"/>
        <w:ind w:left="2944" w:right="0" w:hanging="420"/>
        <w:jc w:val="left"/>
        <w:rPr>
          <w:sz w:val="18"/>
        </w:rPr>
      </w:pPr>
      <w:r>
        <w:rPr>
          <w:sz w:val="18"/>
        </w:rPr>
        <w:t>肾髓质有囊肿、肾小管萎缩及间质纤维化等病理改变；</w:t>
      </w:r>
    </w:p>
    <w:p>
      <w:pPr>
        <w:pStyle w:val="ListParagraph"/>
        <w:numPr>
          <w:ilvl w:val="1"/>
          <w:numId w:val="10"/>
        </w:numPr>
        <w:tabs>
          <w:tab w:pos="2945" w:val="left" w:leader="none"/>
        </w:tabs>
        <w:spacing w:line="240" w:lineRule="auto" w:before="76" w:after="0"/>
        <w:ind w:left="2944" w:right="0" w:hanging="420"/>
        <w:jc w:val="left"/>
        <w:rPr>
          <w:sz w:val="18"/>
        </w:rPr>
      </w:pPr>
      <w:r>
        <w:rPr>
          <w:sz w:val="18"/>
        </w:rPr>
        <w:t>贫血、多尿及肾功能衰竭等临床表现；</w:t>
      </w:r>
    </w:p>
    <w:p>
      <w:pPr>
        <w:pStyle w:val="ListParagraph"/>
        <w:numPr>
          <w:ilvl w:val="1"/>
          <w:numId w:val="10"/>
        </w:numPr>
        <w:tabs>
          <w:tab w:pos="2945" w:val="left" w:leader="none"/>
        </w:tabs>
        <w:spacing w:line="240" w:lineRule="auto" w:before="76" w:after="0"/>
        <w:ind w:left="2944" w:right="0" w:hanging="420"/>
        <w:jc w:val="left"/>
        <w:rPr>
          <w:sz w:val="18"/>
        </w:rPr>
      </w:pPr>
      <w:r>
        <w:rPr>
          <w:sz w:val="18"/>
        </w:rPr>
        <w:t>诊断须由肾组织活检确定。</w:t>
      </w:r>
    </w:p>
    <w:p>
      <w:pPr>
        <w:pStyle w:val="BodyText"/>
        <w:spacing w:before="0"/>
        <w:rPr>
          <w:sz w:val="23"/>
        </w:rPr>
      </w:pPr>
    </w:p>
    <w:p>
      <w:pPr>
        <w:pStyle w:val="ListParagraph"/>
        <w:numPr>
          <w:ilvl w:val="0"/>
          <w:numId w:val="10"/>
        </w:numPr>
        <w:tabs>
          <w:tab w:pos="528" w:val="left" w:leader="none"/>
        </w:tabs>
        <w:spacing w:line="316" w:lineRule="auto" w:before="0" w:after="0"/>
        <w:ind w:left="2524" w:right="194" w:hanging="2416"/>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pacing w:val="0"/>
          <w:sz w:val="18"/>
        </w:rPr>
        <w:t>CT</w:t>
      </w:r>
      <w:r>
        <w:rPr>
          <w:spacing w:val="-92"/>
          <w:sz w:val="18"/>
        </w:rPr>
        <w:t>）</w:t>
      </w:r>
      <w:r>
        <w:rPr>
          <w:spacing w:val="-1"/>
          <w:sz w:val="18"/>
        </w:rPr>
        <w:t>、磁共振扫描</w:t>
      </w:r>
      <w:r>
        <w:rPr>
          <w:sz w:val="18"/>
        </w:rPr>
        <w:t>（</w:t>
      </w:r>
      <w:r>
        <w:rPr>
          <w:spacing w:val="0"/>
          <w:sz w:val="18"/>
        </w:rPr>
        <w:t>M</w:t>
      </w:r>
      <w:r>
        <w:rPr>
          <w:spacing w:val="-2"/>
          <w:sz w:val="18"/>
        </w:rPr>
        <w:t>R</w:t>
      </w:r>
      <w:r>
        <w:rPr>
          <w:spacing w:val="0"/>
          <w:sz w:val="18"/>
        </w:rPr>
        <w:t>I</w:t>
      </w:r>
      <w:r>
        <w:rPr>
          <w:spacing w:val="-92"/>
          <w:sz w:val="18"/>
        </w:rPr>
        <w:t>）</w:t>
      </w:r>
      <w:r>
        <w:rPr>
          <w:spacing w:val="-1"/>
          <w:sz w:val="18"/>
        </w:rPr>
        <w:t>、磁共振血管检验法</w:t>
      </w:r>
      <w:r>
        <w:rPr>
          <w:sz w:val="18"/>
        </w:rPr>
        <w:t>（</w:t>
      </w:r>
      <w:r>
        <w:rPr>
          <w:spacing w:val="0"/>
          <w:sz w:val="18"/>
        </w:rPr>
        <w:t>M</w:t>
      </w:r>
      <w:r>
        <w:rPr>
          <w:sz w:val="18"/>
        </w:rPr>
        <w:t>R</w:t>
      </w:r>
      <w:r>
        <w:rPr>
          <w:spacing w:val="1"/>
          <w:sz w:val="18"/>
        </w:rPr>
        <w:t>A</w:t>
      </w:r>
      <w:r>
        <w:rPr>
          <w:spacing w:val="-3"/>
          <w:sz w:val="18"/>
        </w:rPr>
        <w:t>）</w:t>
      </w:r>
      <w:r>
        <w:rPr>
          <w:sz w:val="18"/>
        </w:rPr>
        <w:t>或血管扫描等检查,并须经本公司指定或认可的医疗机构的心血管专科医师确诊。</w:t>
      </w:r>
    </w:p>
    <w:p>
      <w:pPr>
        <w:pStyle w:val="BodyText"/>
        <w:spacing w:before="10"/>
      </w:pPr>
    </w:p>
    <w:p>
      <w:pPr>
        <w:pStyle w:val="ListParagraph"/>
        <w:numPr>
          <w:ilvl w:val="0"/>
          <w:numId w:val="10"/>
        </w:numPr>
        <w:tabs>
          <w:tab w:pos="528" w:val="left" w:leader="none"/>
          <w:tab w:pos="2524" w:val="left" w:leader="none"/>
        </w:tabs>
        <w:spacing w:line="240" w:lineRule="auto" w:before="0" w:after="0"/>
        <w:ind w:left="2524" w:right="0" w:hanging="2416"/>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spacing w:after="0" w:line="240" w:lineRule="auto"/>
        <w:jc w:val="left"/>
        <w:rPr>
          <w:sz w:val="18"/>
        </w:rPr>
        <w:sectPr>
          <w:type w:val="continuous"/>
          <w:pgSz w:w="11910" w:h="16840"/>
          <w:pgMar w:top="1100" w:bottom="1160" w:left="1080" w:right="76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9"/>
        </w:rPr>
      </w:pPr>
    </w:p>
    <w:p>
      <w:pPr>
        <w:pStyle w:val="BodyText"/>
        <w:spacing w:before="45"/>
        <w:ind w:left="143"/>
      </w:pPr>
      <w:r>
        <w:rPr/>
        <w:t>注：</w:t>
      </w:r>
    </w:p>
    <w:p>
      <w:pPr>
        <w:pStyle w:val="ListParagraph"/>
        <w:numPr>
          <w:ilvl w:val="0"/>
          <w:numId w:val="15"/>
        </w:numPr>
        <w:tabs>
          <w:tab w:pos="563" w:val="left" w:leader="none"/>
          <w:tab w:pos="564" w:val="left" w:leader="none"/>
        </w:tabs>
        <w:spacing w:line="240" w:lineRule="auto" w:before="76" w:after="0"/>
        <w:ind w:left="563" w:right="0" w:hanging="420"/>
        <w:jc w:val="left"/>
        <w:rPr>
          <w:sz w:val="18"/>
        </w:rPr>
      </w:pPr>
      <w:r>
        <w:rPr>
          <w:sz w:val="18"/>
        </w:rPr>
        <w:t>专科医生</w:t>
      </w:r>
    </w:p>
    <w:p>
      <w:pPr>
        <w:pStyle w:val="BodyText"/>
        <w:ind w:left="563"/>
      </w:pPr>
      <w:r>
        <w:rPr/>
        <w:t>专科医生应当同时满足以下四项资格条件：</w:t>
      </w:r>
    </w:p>
    <w:p>
      <w:pPr>
        <w:pStyle w:val="ListParagraph"/>
        <w:numPr>
          <w:ilvl w:val="1"/>
          <w:numId w:val="15"/>
        </w:numPr>
        <w:tabs>
          <w:tab w:pos="984" w:val="left" w:leader="none"/>
        </w:tabs>
        <w:spacing w:line="240" w:lineRule="auto" w:before="76" w:after="0"/>
        <w:ind w:left="983" w:right="0" w:hanging="444"/>
        <w:jc w:val="left"/>
        <w:rPr>
          <w:sz w:val="18"/>
        </w:rPr>
      </w:pPr>
      <w:r>
        <w:rPr>
          <w:spacing w:val="-5"/>
          <w:sz w:val="18"/>
        </w:rPr>
        <w:t>具有有效的中华人民共和国《医师资格证书》；</w:t>
      </w:r>
    </w:p>
    <w:p>
      <w:pPr>
        <w:pStyle w:val="ListParagraph"/>
        <w:numPr>
          <w:ilvl w:val="1"/>
          <w:numId w:val="15"/>
        </w:numPr>
        <w:tabs>
          <w:tab w:pos="984" w:val="left" w:leader="none"/>
        </w:tabs>
        <w:spacing w:line="240" w:lineRule="auto" w:before="76" w:after="0"/>
        <w:ind w:left="983" w:right="0" w:hanging="444"/>
        <w:jc w:val="left"/>
        <w:rPr>
          <w:sz w:val="18"/>
        </w:rPr>
      </w:pPr>
      <w:r>
        <w:rPr>
          <w:spacing w:val="-5"/>
          <w:sz w:val="18"/>
        </w:rPr>
        <w:t>具有有效的中华人民共和国《医师执业证书》，并按期到相关部门登记注册；</w:t>
      </w:r>
    </w:p>
    <w:p>
      <w:pPr>
        <w:pStyle w:val="ListParagraph"/>
        <w:numPr>
          <w:ilvl w:val="1"/>
          <w:numId w:val="15"/>
        </w:numPr>
        <w:tabs>
          <w:tab w:pos="984" w:val="left" w:leader="none"/>
        </w:tabs>
        <w:spacing w:line="240" w:lineRule="auto" w:before="76" w:after="0"/>
        <w:ind w:left="983" w:right="0" w:hanging="444"/>
        <w:jc w:val="left"/>
        <w:rPr>
          <w:sz w:val="18"/>
        </w:rPr>
      </w:pPr>
      <w:r>
        <w:rPr>
          <w:spacing w:val="-3"/>
          <w:sz w:val="18"/>
        </w:rPr>
        <w:t>具有有效的中华人民共和国主治医师或主治医师以上职称的《医师职称证书》；</w:t>
      </w:r>
    </w:p>
    <w:p>
      <w:pPr>
        <w:pStyle w:val="ListParagraph"/>
        <w:numPr>
          <w:ilvl w:val="1"/>
          <w:numId w:val="15"/>
        </w:numPr>
        <w:tabs>
          <w:tab w:pos="984" w:val="left" w:leader="none"/>
        </w:tabs>
        <w:spacing w:line="240" w:lineRule="auto" w:before="76" w:after="0"/>
        <w:ind w:left="983" w:right="0" w:hanging="444"/>
        <w:jc w:val="left"/>
        <w:rPr>
          <w:sz w:val="18"/>
        </w:rPr>
      </w:pPr>
      <w:r>
        <w:rPr>
          <w:sz w:val="18"/>
        </w:rPr>
        <w:t>在二级或二级以上医院的相应科室从事临床工作三年以上。</w:t>
      </w:r>
    </w:p>
    <w:p>
      <w:pPr>
        <w:pStyle w:val="ListParagraph"/>
        <w:numPr>
          <w:ilvl w:val="0"/>
          <w:numId w:val="15"/>
        </w:numPr>
        <w:tabs>
          <w:tab w:pos="563" w:val="left" w:leader="none"/>
          <w:tab w:pos="564" w:val="left" w:leader="none"/>
        </w:tabs>
        <w:spacing w:line="240" w:lineRule="auto" w:before="76" w:after="0"/>
        <w:ind w:left="563" w:right="0" w:hanging="420"/>
        <w:jc w:val="left"/>
        <w:rPr>
          <w:sz w:val="18"/>
        </w:rPr>
      </w:pPr>
      <w:r>
        <w:rPr>
          <w:sz w:val="18"/>
        </w:rPr>
        <w:t>肢体机能完全丧失</w:t>
      </w:r>
    </w:p>
    <w:p>
      <w:pPr>
        <w:pStyle w:val="BodyText"/>
        <w:ind w:left="563"/>
      </w:pPr>
      <w:r>
        <w:rPr>
          <w:spacing w:val="-9"/>
        </w:rPr>
        <w:t>指肢体的三大关节中的两大关节僵硬，或不能随意识活动。肢体是指包括肩关节的整个上肢或包括髋关节的整个下肢。</w:t>
      </w:r>
    </w:p>
    <w:p>
      <w:pPr>
        <w:pStyle w:val="ListParagraph"/>
        <w:numPr>
          <w:ilvl w:val="0"/>
          <w:numId w:val="15"/>
        </w:numPr>
        <w:tabs>
          <w:tab w:pos="563" w:val="left" w:leader="none"/>
          <w:tab w:pos="564" w:val="left" w:leader="none"/>
        </w:tabs>
        <w:spacing w:line="240" w:lineRule="auto" w:before="76" w:after="0"/>
        <w:ind w:left="563" w:right="0" w:hanging="420"/>
        <w:jc w:val="left"/>
        <w:rPr>
          <w:sz w:val="18"/>
        </w:rPr>
      </w:pPr>
      <w:r>
        <w:rPr>
          <w:sz w:val="18"/>
        </w:rPr>
        <w:t>咀嚼吞咽能力完全丧失</w:t>
      </w:r>
    </w:p>
    <w:p>
      <w:pPr>
        <w:pStyle w:val="BodyText"/>
        <w:ind w:left="563"/>
      </w:pPr>
      <w:r>
        <w:rPr/>
        <w:t>指因牙齿以外的原因导致器质障碍或机能障碍，以致不能作咀嚼吞咽运动，除流质食物外不能摄取或吞咽的状态。</w:t>
      </w:r>
    </w:p>
    <w:p>
      <w:pPr>
        <w:pStyle w:val="ListParagraph"/>
        <w:numPr>
          <w:ilvl w:val="0"/>
          <w:numId w:val="15"/>
        </w:numPr>
        <w:tabs>
          <w:tab w:pos="563" w:val="left" w:leader="none"/>
          <w:tab w:pos="564" w:val="left" w:leader="none"/>
        </w:tabs>
        <w:spacing w:line="240" w:lineRule="auto" w:before="76" w:after="0"/>
        <w:ind w:left="563" w:right="0" w:hanging="420"/>
        <w:jc w:val="left"/>
        <w:rPr>
          <w:sz w:val="18"/>
        </w:rPr>
      </w:pPr>
      <w:r>
        <w:rPr>
          <w:sz w:val="18"/>
        </w:rPr>
        <w:t>语言能力完全丧失</w:t>
      </w:r>
    </w:p>
    <w:p>
      <w:pPr>
        <w:pStyle w:val="BodyText"/>
        <w:spacing w:line="319" w:lineRule="auto"/>
        <w:ind w:left="563" w:right="121"/>
      </w:pPr>
      <w:r>
        <w:rPr/>
        <w:t>指无法发出四种语音（包括口唇音、齿舌音、口盖音和喉头音）中的任何三种、或声带全部切除，或因大脑语言中枢受伤害而患失语症。</w:t>
      </w:r>
    </w:p>
    <w:p>
      <w:pPr>
        <w:pStyle w:val="ListParagraph"/>
        <w:numPr>
          <w:ilvl w:val="0"/>
          <w:numId w:val="15"/>
        </w:numPr>
        <w:tabs>
          <w:tab w:pos="563" w:val="left" w:leader="none"/>
          <w:tab w:pos="564" w:val="left" w:leader="none"/>
        </w:tabs>
        <w:spacing w:line="240" w:lineRule="auto" w:before="17" w:after="0"/>
        <w:ind w:left="563" w:right="0" w:hanging="420"/>
        <w:jc w:val="left"/>
        <w:rPr>
          <w:sz w:val="18"/>
        </w:rPr>
      </w:pPr>
      <w:r>
        <w:rPr>
          <w:sz w:val="18"/>
        </w:rPr>
        <w:t>六项基本日常生活活动</w:t>
      </w:r>
    </w:p>
    <w:p>
      <w:pPr>
        <w:pStyle w:val="ListParagraph"/>
        <w:numPr>
          <w:ilvl w:val="1"/>
          <w:numId w:val="15"/>
        </w:numPr>
        <w:tabs>
          <w:tab w:pos="984" w:val="left" w:leader="none"/>
        </w:tabs>
        <w:spacing w:line="240" w:lineRule="auto" w:before="76" w:after="0"/>
        <w:ind w:left="983" w:right="0" w:hanging="444"/>
        <w:jc w:val="left"/>
        <w:rPr>
          <w:sz w:val="18"/>
        </w:rPr>
      </w:pPr>
      <w:r>
        <w:rPr>
          <w:sz w:val="18"/>
        </w:rPr>
        <w:t>穿衣：自己能够穿衣及脱衣；</w:t>
      </w:r>
    </w:p>
    <w:p>
      <w:pPr>
        <w:pStyle w:val="ListParagraph"/>
        <w:numPr>
          <w:ilvl w:val="1"/>
          <w:numId w:val="15"/>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1"/>
          <w:numId w:val="15"/>
        </w:numPr>
        <w:tabs>
          <w:tab w:pos="984" w:val="left" w:leader="none"/>
        </w:tabs>
        <w:spacing w:line="240" w:lineRule="auto" w:before="76" w:after="0"/>
        <w:ind w:left="983" w:right="0" w:hanging="444"/>
        <w:jc w:val="left"/>
        <w:rPr>
          <w:sz w:val="18"/>
        </w:rPr>
      </w:pPr>
      <w:r>
        <w:rPr>
          <w:sz w:val="18"/>
        </w:rPr>
        <w:t>行动：自己上下床或上下轮椅；</w:t>
      </w:r>
    </w:p>
    <w:p>
      <w:pPr>
        <w:pStyle w:val="ListParagraph"/>
        <w:numPr>
          <w:ilvl w:val="1"/>
          <w:numId w:val="15"/>
        </w:numPr>
        <w:tabs>
          <w:tab w:pos="984" w:val="left" w:leader="none"/>
        </w:tabs>
        <w:spacing w:line="240" w:lineRule="auto" w:before="76" w:after="0"/>
        <w:ind w:left="983" w:right="0" w:hanging="444"/>
        <w:jc w:val="left"/>
        <w:rPr>
          <w:sz w:val="18"/>
        </w:rPr>
      </w:pPr>
      <w:r>
        <w:rPr>
          <w:sz w:val="18"/>
        </w:rPr>
        <w:t>如厕：自己控制进行大小便；</w:t>
      </w:r>
    </w:p>
    <w:p>
      <w:pPr>
        <w:pStyle w:val="ListParagraph"/>
        <w:numPr>
          <w:ilvl w:val="1"/>
          <w:numId w:val="15"/>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1"/>
          <w:numId w:val="15"/>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0"/>
          <w:numId w:val="15"/>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ind w:left="563"/>
      </w:pPr>
      <w:r>
        <w:rPr/>
        <w:t>指自疾病确诊或意外伤害发生之日起，经过积极治疗 180 天后，仍无法通过现有医疗手段恢复。</w:t>
      </w:r>
    </w:p>
    <w:sectPr>
      <w:pgSz w:w="11910" w:h="16840"/>
      <w:pgMar w:header="877" w:footer="977" w:top="1100" w:bottom="116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988pt;margin-top:782.02002pt;width:29.15pt;height:12pt;mso-position-horizontal-relative:page;mso-position-vertical-relative:page;z-index:-220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301pt;margin-top:782.02002pt;width:33.7pt;height:12pt;mso-position-horizontal-relative:page;mso-position-vertical-relative:page;z-index:-2202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2120" from="63.720001pt,55.560013pt" to="542.880001pt,55.56001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60004pt;margin-top:42.865639pt;width:174pt;height:11pt;mso-position-horizontal-relative:page;mso-position-vertical-relative:page;z-index:-22096" type="#_x0000_t202" filled="false" stroked="false">
          <v:textbox inset="0,0,0,0">
            <w:txbxContent>
              <w:p>
                <w:pPr>
                  <w:pStyle w:val="BodyText"/>
                  <w:spacing w:line="200" w:lineRule="exact" w:before="0"/>
                  <w:ind w:left="20"/>
                </w:pPr>
                <w:r>
                  <w:rPr/>
                  <w:t>民生附加额外给付至尊版重大疾病保险条款</w:t>
                </w:r>
              </w:p>
            </w:txbxContent>
          </v:textbox>
          <w10:wrap type="none"/>
        </v:shape>
      </w:pict>
    </w:r>
    <w:r>
      <w:rPr/>
      <w:pict>
        <v:shape style="position:absolute;margin-left:431.963013pt;margin-top:42.865639pt;width:110.5pt;height:11pt;mso-position-horizontal-relative:page;mso-position-vertical-relative:page;z-index:-220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563" w:hanging="420"/>
        <w:jc w:val="left"/>
      </w:pPr>
      <w:rPr>
        <w:rFonts w:hint="default" w:ascii="宋体" w:hAnsi="宋体" w:eastAsia="宋体" w:cs="宋体"/>
        <w:w w:val="100"/>
        <w:sz w:val="18"/>
        <w:szCs w:val="18"/>
      </w:rPr>
    </w:lvl>
    <w:lvl w:ilvl="1">
      <w:start w:val="1"/>
      <w:numFmt w:val="decimal"/>
      <w:lvlText w:val="(%2)"/>
      <w:lvlJc w:val="left"/>
      <w:pPr>
        <w:ind w:left="983" w:hanging="445"/>
        <w:jc w:val="left"/>
      </w:pPr>
      <w:rPr>
        <w:rFonts w:hint="default" w:ascii="宋体" w:hAnsi="宋体" w:eastAsia="宋体" w:cs="宋体"/>
        <w:spacing w:val="-92"/>
        <w:w w:val="100"/>
        <w:sz w:val="18"/>
        <w:szCs w:val="18"/>
      </w:rPr>
    </w:lvl>
    <w:lvl w:ilvl="2">
      <w:start w:val="0"/>
      <w:numFmt w:val="bullet"/>
      <w:lvlText w:val="•"/>
      <w:lvlJc w:val="left"/>
      <w:pPr>
        <w:ind w:left="1967" w:hanging="445"/>
      </w:pPr>
      <w:rPr>
        <w:rFonts w:hint="default"/>
      </w:rPr>
    </w:lvl>
    <w:lvl w:ilvl="3">
      <w:start w:val="0"/>
      <w:numFmt w:val="bullet"/>
      <w:lvlText w:val="•"/>
      <w:lvlJc w:val="left"/>
      <w:pPr>
        <w:ind w:left="2954" w:hanging="445"/>
      </w:pPr>
      <w:rPr>
        <w:rFonts w:hint="default"/>
      </w:rPr>
    </w:lvl>
    <w:lvl w:ilvl="4">
      <w:start w:val="0"/>
      <w:numFmt w:val="bullet"/>
      <w:lvlText w:val="•"/>
      <w:lvlJc w:val="left"/>
      <w:pPr>
        <w:ind w:left="3941" w:hanging="445"/>
      </w:pPr>
      <w:rPr>
        <w:rFonts w:hint="default"/>
      </w:rPr>
    </w:lvl>
    <w:lvl w:ilvl="5">
      <w:start w:val="0"/>
      <w:numFmt w:val="bullet"/>
      <w:lvlText w:val="•"/>
      <w:lvlJc w:val="left"/>
      <w:pPr>
        <w:ind w:left="4929" w:hanging="445"/>
      </w:pPr>
      <w:rPr>
        <w:rFonts w:hint="default"/>
      </w:rPr>
    </w:lvl>
    <w:lvl w:ilvl="6">
      <w:start w:val="0"/>
      <w:numFmt w:val="bullet"/>
      <w:lvlText w:val="•"/>
      <w:lvlJc w:val="left"/>
      <w:pPr>
        <w:ind w:left="5916" w:hanging="445"/>
      </w:pPr>
      <w:rPr>
        <w:rFonts w:hint="default"/>
      </w:rPr>
    </w:lvl>
    <w:lvl w:ilvl="7">
      <w:start w:val="0"/>
      <w:numFmt w:val="bullet"/>
      <w:lvlText w:val="•"/>
      <w:lvlJc w:val="left"/>
      <w:pPr>
        <w:ind w:left="6903" w:hanging="445"/>
      </w:pPr>
      <w:rPr>
        <w:rFonts w:hint="default"/>
      </w:rPr>
    </w:lvl>
    <w:lvl w:ilvl="8">
      <w:start w:val="0"/>
      <w:numFmt w:val="bullet"/>
      <w:lvlText w:val="•"/>
      <w:lvlJc w:val="left"/>
      <w:pPr>
        <w:ind w:left="7890" w:hanging="445"/>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7" w:hanging="420"/>
      </w:pPr>
      <w:rPr>
        <w:rFonts w:hint="default"/>
      </w:rPr>
    </w:lvl>
    <w:lvl w:ilvl="7">
      <w:start w:val="0"/>
      <w:numFmt w:val="bullet"/>
      <w:lvlText w:val="•"/>
      <w:lvlJc w:val="left"/>
      <w:pPr>
        <w:ind w:left="5510" w:hanging="420"/>
      </w:pPr>
      <w:rPr>
        <w:rFonts w:hint="default"/>
      </w:rPr>
    </w:lvl>
    <w:lvl w:ilvl="8">
      <w:start w:val="0"/>
      <w:numFmt w:val="bullet"/>
      <w:lvlText w:val="•"/>
      <w:lvlJc w:val="left"/>
      <w:pPr>
        <w:ind w:left="6222"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4" w:hanging="420"/>
      </w:pPr>
      <w:rPr>
        <w:rFonts w:hint="default"/>
      </w:rPr>
    </w:lvl>
    <w:lvl w:ilvl="6">
      <w:start w:val="0"/>
      <w:numFmt w:val="bullet"/>
      <w:lvlText w:val="•"/>
      <w:lvlJc w:val="left"/>
      <w:pPr>
        <w:ind w:left="4761" w:hanging="420"/>
      </w:pPr>
      <w:rPr>
        <w:rFonts w:hint="default"/>
      </w:rPr>
    </w:lvl>
    <w:lvl w:ilvl="7">
      <w:start w:val="0"/>
      <w:numFmt w:val="bullet"/>
      <w:lvlText w:val="•"/>
      <w:lvlJc w:val="left"/>
      <w:pPr>
        <w:ind w:left="5468" w:hanging="420"/>
      </w:pPr>
      <w:rPr>
        <w:rFonts w:hint="default"/>
      </w:rPr>
    </w:lvl>
    <w:lvl w:ilvl="8">
      <w:start w:val="0"/>
      <w:numFmt w:val="bullet"/>
      <w:lvlText w:val="•"/>
      <w:lvlJc w:val="left"/>
      <w:pPr>
        <w:ind w:left="6174" w:hanging="420"/>
      </w:pPr>
      <w:rPr>
        <w:rFonts w:hint="default"/>
      </w:rPr>
    </w:lvl>
  </w:abstractNum>
  <w:abstractNum w:abstractNumId="11">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08" w:hanging="396"/>
      </w:pPr>
      <w:rPr>
        <w:rFonts w:hint="default"/>
      </w:rPr>
    </w:lvl>
    <w:lvl w:ilvl="2">
      <w:start w:val="0"/>
      <w:numFmt w:val="bullet"/>
      <w:lvlText w:val="•"/>
      <w:lvlJc w:val="left"/>
      <w:pPr>
        <w:ind w:left="1917" w:hanging="396"/>
      </w:pPr>
      <w:rPr>
        <w:rFonts w:hint="default"/>
      </w:rPr>
    </w:lvl>
    <w:lvl w:ilvl="3">
      <w:start w:val="0"/>
      <w:numFmt w:val="bullet"/>
      <w:lvlText w:val="•"/>
      <w:lvlJc w:val="left"/>
      <w:pPr>
        <w:ind w:left="2626" w:hanging="396"/>
      </w:pPr>
      <w:rPr>
        <w:rFonts w:hint="default"/>
      </w:rPr>
    </w:lvl>
    <w:lvl w:ilvl="4">
      <w:start w:val="0"/>
      <w:numFmt w:val="bullet"/>
      <w:lvlText w:val="•"/>
      <w:lvlJc w:val="left"/>
      <w:pPr>
        <w:ind w:left="3335" w:hanging="396"/>
      </w:pPr>
      <w:rPr>
        <w:rFonts w:hint="default"/>
      </w:rPr>
    </w:lvl>
    <w:lvl w:ilvl="5">
      <w:start w:val="0"/>
      <w:numFmt w:val="bullet"/>
      <w:lvlText w:val="•"/>
      <w:lvlJc w:val="left"/>
      <w:pPr>
        <w:ind w:left="4044" w:hanging="396"/>
      </w:pPr>
      <w:rPr>
        <w:rFonts w:hint="default"/>
      </w:rPr>
    </w:lvl>
    <w:lvl w:ilvl="6">
      <w:start w:val="0"/>
      <w:numFmt w:val="bullet"/>
      <w:lvlText w:val="•"/>
      <w:lvlJc w:val="left"/>
      <w:pPr>
        <w:ind w:left="4753" w:hanging="396"/>
      </w:pPr>
      <w:rPr>
        <w:rFonts w:hint="default"/>
      </w:rPr>
    </w:lvl>
    <w:lvl w:ilvl="7">
      <w:start w:val="0"/>
      <w:numFmt w:val="bullet"/>
      <w:lvlText w:val="•"/>
      <w:lvlJc w:val="left"/>
      <w:pPr>
        <w:ind w:left="5462" w:hanging="396"/>
      </w:pPr>
      <w:rPr>
        <w:rFonts w:hint="default"/>
      </w:rPr>
    </w:lvl>
    <w:lvl w:ilvl="8">
      <w:start w:val="0"/>
      <w:numFmt w:val="bullet"/>
      <w:lvlText w:val="•"/>
      <w:lvlJc w:val="left"/>
      <w:pPr>
        <w:ind w:left="6170" w:hanging="396"/>
      </w:pPr>
      <w:rPr>
        <w:rFonts w:hint="default"/>
      </w:rPr>
    </w:lvl>
  </w:abstractNum>
  <w:abstractNum w:abstractNumId="10">
    <w:multiLevelType w:val="hybridMultilevel"/>
    <w:lvl w:ilvl="0">
      <w:start w:val="1"/>
      <w:numFmt w:val="decimal"/>
      <w:lvlText w:val="(%1)"/>
      <w:lvlJc w:val="left"/>
      <w:pPr>
        <w:ind w:left="108" w:hanging="396"/>
        <w:jc w:val="left"/>
      </w:pPr>
      <w:rPr>
        <w:rFonts w:hint="default" w:ascii="宋体" w:hAnsi="宋体" w:eastAsia="宋体" w:cs="宋体"/>
        <w:spacing w:val="0"/>
        <w:w w:val="100"/>
        <w:sz w:val="18"/>
        <w:szCs w:val="18"/>
      </w:rPr>
    </w:lvl>
    <w:lvl w:ilvl="1">
      <w:start w:val="0"/>
      <w:numFmt w:val="bullet"/>
      <w:lvlText w:val="•"/>
      <w:lvlJc w:val="left"/>
      <w:pPr>
        <w:ind w:left="848" w:hanging="396"/>
      </w:pPr>
      <w:rPr>
        <w:rFonts w:hint="default"/>
      </w:rPr>
    </w:lvl>
    <w:lvl w:ilvl="2">
      <w:start w:val="0"/>
      <w:numFmt w:val="bullet"/>
      <w:lvlText w:val="•"/>
      <w:lvlJc w:val="left"/>
      <w:pPr>
        <w:ind w:left="1597" w:hanging="396"/>
      </w:pPr>
      <w:rPr>
        <w:rFonts w:hint="default"/>
      </w:rPr>
    </w:lvl>
    <w:lvl w:ilvl="3">
      <w:start w:val="0"/>
      <w:numFmt w:val="bullet"/>
      <w:lvlText w:val="•"/>
      <w:lvlJc w:val="left"/>
      <w:pPr>
        <w:ind w:left="2346" w:hanging="396"/>
      </w:pPr>
      <w:rPr>
        <w:rFonts w:hint="default"/>
      </w:rPr>
    </w:lvl>
    <w:lvl w:ilvl="4">
      <w:start w:val="0"/>
      <w:numFmt w:val="bullet"/>
      <w:lvlText w:val="•"/>
      <w:lvlJc w:val="left"/>
      <w:pPr>
        <w:ind w:left="3095" w:hanging="396"/>
      </w:pPr>
      <w:rPr>
        <w:rFonts w:hint="default"/>
      </w:rPr>
    </w:lvl>
    <w:lvl w:ilvl="5">
      <w:start w:val="0"/>
      <w:numFmt w:val="bullet"/>
      <w:lvlText w:val="•"/>
      <w:lvlJc w:val="left"/>
      <w:pPr>
        <w:ind w:left="3844" w:hanging="396"/>
      </w:pPr>
      <w:rPr>
        <w:rFonts w:hint="default"/>
      </w:rPr>
    </w:lvl>
    <w:lvl w:ilvl="6">
      <w:start w:val="0"/>
      <w:numFmt w:val="bullet"/>
      <w:lvlText w:val="•"/>
      <w:lvlJc w:val="left"/>
      <w:pPr>
        <w:ind w:left="4593" w:hanging="396"/>
      </w:pPr>
      <w:rPr>
        <w:rFonts w:hint="default"/>
      </w:rPr>
    </w:lvl>
    <w:lvl w:ilvl="7">
      <w:start w:val="0"/>
      <w:numFmt w:val="bullet"/>
      <w:lvlText w:val="•"/>
      <w:lvlJc w:val="left"/>
      <w:pPr>
        <w:ind w:left="5342" w:hanging="396"/>
      </w:pPr>
      <w:rPr>
        <w:rFonts w:hint="default"/>
      </w:rPr>
    </w:lvl>
    <w:lvl w:ilvl="8">
      <w:start w:val="0"/>
      <w:numFmt w:val="bullet"/>
      <w:lvlText w:val="•"/>
      <w:lvlJc w:val="left"/>
      <w:pPr>
        <w:ind w:left="6090" w:hanging="396"/>
      </w:pPr>
      <w:rPr>
        <w:rFonts w:hint="default"/>
      </w:rPr>
    </w:lvl>
  </w:abstractNum>
  <w:abstractNum w:abstractNumId="9">
    <w:multiLevelType w:val="hybridMultilevel"/>
    <w:lvl w:ilvl="0">
      <w:start w:val="1"/>
      <w:numFmt w:val="decimal"/>
      <w:lvlText w:val="%1."/>
      <w:lvlJc w:val="left"/>
      <w:pPr>
        <w:ind w:left="2524" w:hanging="420"/>
        <w:jc w:val="left"/>
      </w:pPr>
      <w:rPr>
        <w:rFonts w:hint="default" w:ascii="宋体" w:hAnsi="宋体" w:eastAsia="宋体" w:cs="宋体"/>
        <w:b/>
        <w:bCs/>
        <w:w w:val="99"/>
        <w:sz w:val="18"/>
        <w:szCs w:val="18"/>
      </w:rPr>
    </w:lvl>
    <w:lvl w:ilvl="1">
      <w:start w:val="1"/>
      <w:numFmt w:val="decimal"/>
      <w:lvlText w:val="(%2)"/>
      <w:lvlJc w:val="left"/>
      <w:pPr>
        <w:ind w:left="2887" w:hanging="363"/>
        <w:jc w:val="left"/>
      </w:pPr>
      <w:rPr>
        <w:rFonts w:hint="default" w:ascii="宋体" w:hAnsi="宋体" w:eastAsia="宋体" w:cs="宋体"/>
        <w:spacing w:val="0"/>
        <w:w w:val="100"/>
        <w:sz w:val="18"/>
        <w:szCs w:val="18"/>
      </w:rPr>
    </w:lvl>
    <w:lvl w:ilvl="2">
      <w:start w:val="0"/>
      <w:numFmt w:val="bullet"/>
      <w:lvlText w:val="•"/>
      <w:lvlJc w:val="left"/>
      <w:pPr>
        <w:ind w:left="2880" w:hanging="363"/>
      </w:pPr>
      <w:rPr>
        <w:rFonts w:hint="default"/>
      </w:rPr>
    </w:lvl>
    <w:lvl w:ilvl="3">
      <w:start w:val="0"/>
      <w:numFmt w:val="bullet"/>
      <w:lvlText w:val="•"/>
      <w:lvlJc w:val="left"/>
      <w:pPr>
        <w:ind w:left="2920" w:hanging="363"/>
      </w:pPr>
      <w:rPr>
        <w:rFonts w:hint="default"/>
      </w:rPr>
    </w:lvl>
    <w:lvl w:ilvl="4">
      <w:start w:val="0"/>
      <w:numFmt w:val="bullet"/>
      <w:lvlText w:val="•"/>
      <w:lvlJc w:val="left"/>
      <w:pPr>
        <w:ind w:left="2940" w:hanging="363"/>
      </w:pPr>
      <w:rPr>
        <w:rFonts w:hint="default"/>
      </w:rPr>
    </w:lvl>
    <w:lvl w:ilvl="5">
      <w:start w:val="0"/>
      <w:numFmt w:val="bullet"/>
      <w:lvlText w:val="•"/>
      <w:lvlJc w:val="left"/>
      <w:pPr>
        <w:ind w:left="2980" w:hanging="363"/>
      </w:pPr>
      <w:rPr>
        <w:rFonts w:hint="default"/>
      </w:rPr>
    </w:lvl>
    <w:lvl w:ilvl="6">
      <w:start w:val="0"/>
      <w:numFmt w:val="bullet"/>
      <w:lvlText w:val="•"/>
      <w:lvlJc w:val="left"/>
      <w:pPr>
        <w:ind w:left="4381" w:hanging="363"/>
      </w:pPr>
      <w:rPr>
        <w:rFonts w:hint="default"/>
      </w:rPr>
    </w:lvl>
    <w:lvl w:ilvl="7">
      <w:start w:val="0"/>
      <w:numFmt w:val="bullet"/>
      <w:lvlText w:val="•"/>
      <w:lvlJc w:val="left"/>
      <w:pPr>
        <w:ind w:left="5782" w:hanging="363"/>
      </w:pPr>
      <w:rPr>
        <w:rFonts w:hint="default"/>
      </w:rPr>
    </w:lvl>
    <w:lvl w:ilvl="8">
      <w:start w:val="0"/>
      <w:numFmt w:val="bullet"/>
      <w:lvlText w:val="•"/>
      <w:lvlJc w:val="left"/>
      <w:pPr>
        <w:ind w:left="7183" w:hanging="363"/>
      </w:pPr>
      <w:rPr>
        <w:rFonts w:hint="default"/>
      </w:rPr>
    </w:lvl>
  </w:abstractNum>
  <w:abstractNum w:abstractNumId="8">
    <w:multiLevelType w:val="hybridMultilevel"/>
    <w:lvl w:ilvl="0">
      <w:start w:val="7"/>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7">
    <w:multiLevelType w:val="hybridMultilevel"/>
    <w:lvl w:ilvl="0">
      <w:start w:val="5"/>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6">
    <w:multiLevelType w:val="hybridMultilevel"/>
    <w:lvl w:ilvl="0">
      <w:start w:val="3"/>
      <w:numFmt w:val="decimal"/>
      <w:lvlText w:val="%1"/>
      <w:lvlJc w:val="left"/>
      <w:pPr>
        <w:ind w:left="907"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1"/>
      <w:numFmt w:val="decimal"/>
      <w:lvlText w:val="(%3)"/>
      <w:lvlJc w:val="left"/>
      <w:pPr>
        <w:ind w:left="3026" w:hanging="420"/>
        <w:jc w:val="left"/>
      </w:pPr>
      <w:rPr>
        <w:rFonts w:hint="default" w:ascii="宋体" w:hAnsi="宋体" w:eastAsia="宋体" w:cs="宋体"/>
        <w:spacing w:val="-33"/>
        <w:w w:val="100"/>
        <w:sz w:val="18"/>
        <w:szCs w:val="18"/>
      </w:rPr>
    </w:lvl>
    <w:lvl w:ilvl="3">
      <w:start w:val="0"/>
      <w:numFmt w:val="bullet"/>
      <w:lvlText w:val="•"/>
      <w:lvlJc w:val="left"/>
      <w:pPr>
        <w:ind w:left="3913" w:hanging="420"/>
      </w:pPr>
      <w:rPr>
        <w:rFonts w:hint="default"/>
      </w:rPr>
    </w:lvl>
    <w:lvl w:ilvl="4">
      <w:start w:val="0"/>
      <w:numFmt w:val="bullet"/>
      <w:lvlText w:val="•"/>
      <w:lvlJc w:val="left"/>
      <w:pPr>
        <w:ind w:left="4806" w:hanging="420"/>
      </w:pPr>
      <w:rPr>
        <w:rFonts w:hint="default"/>
      </w:rPr>
    </w:lvl>
    <w:lvl w:ilvl="5">
      <w:start w:val="0"/>
      <w:numFmt w:val="bullet"/>
      <w:lvlText w:val="•"/>
      <w:lvlJc w:val="left"/>
      <w:pPr>
        <w:ind w:left="5699" w:hanging="420"/>
      </w:pPr>
      <w:rPr>
        <w:rFonts w:hint="default"/>
      </w:rPr>
    </w:lvl>
    <w:lvl w:ilvl="6">
      <w:start w:val="0"/>
      <w:numFmt w:val="bullet"/>
      <w:lvlText w:val="•"/>
      <w:lvlJc w:val="left"/>
      <w:pPr>
        <w:ind w:left="6592" w:hanging="420"/>
      </w:pPr>
      <w:rPr>
        <w:rFonts w:hint="default"/>
      </w:rPr>
    </w:lvl>
    <w:lvl w:ilvl="7">
      <w:start w:val="0"/>
      <w:numFmt w:val="bullet"/>
      <w:lvlText w:val="•"/>
      <w:lvlJc w:val="left"/>
      <w:pPr>
        <w:ind w:left="7485" w:hanging="420"/>
      </w:pPr>
      <w:rPr>
        <w:rFonts w:hint="default"/>
      </w:rPr>
    </w:lvl>
    <w:lvl w:ilvl="8">
      <w:start w:val="0"/>
      <w:numFmt w:val="bullet"/>
      <w:lvlText w:val="•"/>
      <w:lvlJc w:val="left"/>
      <w:pPr>
        <w:ind w:left="8379" w:hanging="420"/>
      </w:pPr>
      <w:rPr>
        <w:rFonts w:hint="default"/>
      </w:rPr>
    </w:lvl>
  </w:abstractNum>
  <w:abstractNum w:abstractNumId="5">
    <w:multiLevelType w:val="hybridMultilevel"/>
    <w:lvl w:ilvl="0">
      <w:start w:val="0"/>
      <w:numFmt w:val="bullet"/>
      <w:lvlText w:val=""/>
      <w:lvlJc w:val="left"/>
      <w:pPr>
        <w:ind w:left="907" w:hanging="685"/>
      </w:pPr>
      <w:rPr>
        <w:rFonts w:hint="default" w:ascii="Wingdings" w:hAnsi="Wingdings" w:eastAsia="Wingdings" w:cs="Wingdings"/>
        <w:b/>
        <w:bCs/>
        <w:w w:val="154"/>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4">
    <w:multiLevelType w:val="hybridMultilevel"/>
    <w:lvl w:ilvl="0">
      <w:start w:val="2"/>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3">
    <w:multiLevelType w:val="hybridMultilevel"/>
    <w:lvl w:ilvl="0">
      <w:start w:val="0"/>
      <w:numFmt w:val="bullet"/>
      <w:lvlText w:val=""/>
      <w:lvlJc w:val="left"/>
      <w:pPr>
        <w:ind w:left="907" w:hanging="685"/>
      </w:pPr>
      <w:rPr>
        <w:rFonts w:hint="default" w:ascii="Wingdings" w:hAnsi="Wingdings" w:eastAsia="Wingdings" w:cs="Wingdings"/>
        <w:b/>
        <w:bCs/>
        <w:w w:val="10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2">
    <w:multiLevelType w:val="hybridMultilevel"/>
    <w:lvl w:ilvl="0">
      <w:start w:val="1"/>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1">
    <w:multiLevelType w:val="hybridMultilevel"/>
    <w:lvl w:ilvl="0">
      <w:start w:val="0"/>
      <w:numFmt w:val="bullet"/>
      <w:lvlText w:val=""/>
      <w:lvlJc w:val="left"/>
      <w:pPr>
        <w:ind w:left="907" w:hanging="685"/>
      </w:pPr>
      <w:rPr>
        <w:rFonts w:hint="default" w:ascii="Wingdings" w:hAnsi="Wingdings" w:eastAsia="Wingdings" w:cs="Wingdings"/>
        <w:b/>
        <w:bCs/>
        <w:w w:val="9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0">
    <w:multiLevelType w:val="hybridMultilevel"/>
    <w:lvl w:ilvl="0">
      <w:start w:val="0"/>
      <w:numFmt w:val="bullet"/>
      <w:lvlText w:val=""/>
      <w:lvlJc w:val="left"/>
      <w:pPr>
        <w:ind w:left="1808"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2"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3" w:hanging="440"/>
      </w:pPr>
      <w:rPr>
        <w:rFonts w:hint="default"/>
      </w:rPr>
    </w:lvl>
    <w:lvl w:ilvl="8">
      <w:start w:val="0"/>
      <w:numFmt w:val="bullet"/>
      <w:lvlText w:val="•"/>
      <w:lvlJc w:val="left"/>
      <w:pPr>
        <w:ind w:left="8204" w:hanging="44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28"/>
      <w:ind w:left="2697" w:right="2890"/>
      <w:jc w:val="center"/>
      <w:outlineLvl w:val="1"/>
    </w:pPr>
    <w:rPr>
      <w:rFonts w:ascii="宋体" w:hAnsi="宋体" w:eastAsia="宋体" w:cs="宋体"/>
      <w:b/>
      <w:bCs/>
      <w:sz w:val="28"/>
      <w:szCs w:val="28"/>
    </w:rPr>
  </w:style>
  <w:style w:styleId="Heading2" w:type="paragraph">
    <w:name w:val="Heading 2"/>
    <w:basedOn w:val="Normal"/>
    <w:uiPriority w:val="1"/>
    <w:qFormat/>
    <w:pPr>
      <w:ind w:left="907" w:hanging="684"/>
      <w:outlineLvl w:val="2"/>
    </w:pPr>
    <w:rPr>
      <w:rFonts w:ascii="宋体" w:hAnsi="宋体" w:eastAsia="宋体" w:cs="宋体"/>
      <w:b/>
      <w:bCs/>
      <w:sz w:val="24"/>
      <w:szCs w:val="24"/>
    </w:rPr>
  </w:style>
  <w:style w:styleId="Heading3" w:type="paragraph">
    <w:name w:val="Heading 3"/>
    <w:basedOn w:val="Normal"/>
    <w:uiPriority w:val="1"/>
    <w:qFormat/>
    <w:pPr>
      <w:spacing w:before="22"/>
      <w:ind w:left="1808" w:hanging="439"/>
      <w:outlineLvl w:val="3"/>
    </w:pPr>
    <w:rPr>
      <w:rFonts w:ascii="宋体" w:hAnsi="宋体" w:eastAsia="宋体" w:cs="宋体"/>
      <w:b/>
      <w:bCs/>
      <w:sz w:val="21"/>
      <w:szCs w:val="21"/>
    </w:rPr>
  </w:style>
  <w:style w:styleId="Heading4" w:type="paragraph">
    <w:name w:val="Heading 4"/>
    <w:basedOn w:val="Normal"/>
    <w:uiPriority w:val="1"/>
    <w:qFormat/>
    <w:pPr>
      <w:spacing w:before="45"/>
      <w:ind w:left="527"/>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4" w:hanging="24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2018-10-19T22:45:35Z</dcterms:created>
  <dcterms:modified xsi:type="dcterms:W3CDTF">2018-10-19T22:45:35Z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2014-12-29T00:00:00Z</vt:filetime>
  </property>
  <property fmtid="{D5CDD505-2E9C-101B-9397-08002B2CF9AE}" pid="3" name="LastSaved">
    <vt:filetime>2018-10-19T00:00:00Z</vt:filetime>
  </property>
</Properties>
</file>