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791" w:firstLine="0"/>
        <w:jc w:val="right"/>
        <w:rPr>
          <w:sz w:val="16"/>
        </w:rPr>
      </w:pPr>
      <w:r>
        <w:rPr/>
        <w:drawing>
          <wp:anchor distT="0" distB="0" distL="0" distR="0" allowOverlap="1" layoutInCell="1" locked="0" behindDoc="0" simplePos="0" relativeHeight="1048">
            <wp:simplePos x="0" y="0"/>
            <wp:positionH relativeFrom="page">
              <wp:posOffset>5700059</wp:posOffset>
            </wp:positionH>
            <wp:positionV relativeFrom="paragraph">
              <wp:posOffset>172433</wp:posOffset>
            </wp:positionV>
            <wp:extent cx="431800" cy="4317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800" cy="431799"/>
                    </a:xfrm>
                    <a:prstGeom prst="rect">
                      <a:avLst/>
                    </a:prstGeom>
                  </pic:spPr>
                </pic:pic>
              </a:graphicData>
            </a:graphic>
          </wp:anchor>
        </w:drawing>
      </w:r>
      <w:r>
        <w:rPr>
          <w:sz w:val="16"/>
        </w:rPr>
        <w:t>平安人寿[2012]疾病保险 010 号</w:t>
      </w:r>
    </w:p>
    <w:p>
      <w:pPr>
        <w:pStyle w:val="BodyText"/>
        <w:spacing w:before="0"/>
        <w:rPr>
          <w:sz w:val="20"/>
        </w:rPr>
      </w:pPr>
    </w:p>
    <w:p>
      <w:pPr>
        <w:spacing w:after="0"/>
        <w:rPr>
          <w:sz w:val="20"/>
        </w:rPr>
        <w:sectPr>
          <w:type w:val="continuous"/>
          <w:pgSz w:w="11910" w:h="16840"/>
          <w:pgMar w:top="440" w:bottom="280" w:left="880" w:right="680"/>
        </w:sectPr>
      </w:pPr>
    </w:p>
    <w:p>
      <w:pPr>
        <w:pStyle w:val="Heading1"/>
        <w:spacing w:before="122"/>
        <w:jc w:val="right"/>
      </w:pPr>
      <w:r>
        <w:rPr/>
        <w:t>阅  读  指 引</w:t>
      </w:r>
    </w:p>
    <w:p>
      <w:pPr>
        <w:pStyle w:val="BodyText"/>
        <w:spacing w:before="0"/>
        <w:rPr>
          <w:rFonts w:ascii="微软雅黑"/>
          <w:b/>
          <w:sz w:val="16"/>
        </w:rPr>
      </w:pPr>
      <w:r>
        <w:rPr/>
        <w:br w:type="column"/>
      </w:r>
      <w:r>
        <w:rPr>
          <w:rFonts w:ascii="微软雅黑"/>
          <w:b/>
          <w:sz w:val="16"/>
        </w:rPr>
      </w:r>
    </w:p>
    <w:p>
      <w:pPr>
        <w:pStyle w:val="BodyText"/>
        <w:spacing w:before="1"/>
        <w:rPr>
          <w:rFonts w:ascii="微软雅黑"/>
          <w:b/>
          <w:sz w:val="14"/>
        </w:rPr>
      </w:pPr>
    </w:p>
    <w:p>
      <w:pPr>
        <w:spacing w:before="0"/>
        <w:ind w:left="1635" w:right="0" w:firstLine="0"/>
        <w:jc w:val="left"/>
        <w:rPr>
          <w:sz w:val="16"/>
        </w:rPr>
      </w:pPr>
      <w:r>
        <w:rPr>
          <w:sz w:val="16"/>
        </w:rPr>
        <w:t>请扫描以查询验证条款</w:t>
      </w:r>
    </w:p>
    <w:p>
      <w:pPr>
        <w:spacing w:after="0"/>
        <w:jc w:val="left"/>
        <w:rPr>
          <w:sz w:val="16"/>
        </w:rPr>
        <w:sectPr>
          <w:type w:val="continuous"/>
          <w:pgSz w:w="11910" w:h="16840"/>
          <w:pgMar w:top="440" w:bottom="280" w:left="880" w:right="680"/>
          <w:cols w:num="2" w:equalWidth="0">
            <w:col w:w="5953" w:space="40"/>
            <w:col w:w="4357"/>
          </w:cols>
        </w:sectPr>
      </w:pPr>
    </w:p>
    <w:p>
      <w:pPr>
        <w:spacing w:before="60"/>
        <w:ind w:left="140" w:right="0" w:firstLine="0"/>
        <w:jc w:val="left"/>
        <w:rPr>
          <w:sz w:val="20"/>
        </w:rPr>
      </w:pPr>
      <w:r>
        <w:rPr/>
        <w:drawing>
          <wp:anchor distT="0" distB="0" distL="0" distR="0" allowOverlap="1" layoutInCell="1" locked="0" behindDoc="1" simplePos="0" relativeHeight="268379135">
            <wp:simplePos x="0" y="0"/>
            <wp:positionH relativeFrom="page">
              <wp:posOffset>627887</wp:posOffset>
            </wp:positionH>
            <wp:positionV relativeFrom="paragraph">
              <wp:posOffset>282443</wp:posOffset>
            </wp:positionV>
            <wp:extent cx="6419087" cy="845819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9087" cy="8458199"/>
                    </a:xfrm>
                    <a:prstGeom prst="rect">
                      <a:avLst/>
                    </a:prstGeom>
                  </pic:spPr>
                </pic:pic>
              </a:graphicData>
            </a:graphic>
          </wp:anchor>
        </w:drawing>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71"/>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平</w:t>
      </w:r>
      <w:r>
        <w:rPr>
          <w:spacing w:val="-58"/>
          <w:w w:val="99"/>
          <w:position w:val="-7"/>
          <w:sz w:val="20"/>
        </w:rPr>
        <w:t>．</w:t>
      </w:r>
      <w:r>
        <w:rPr>
          <w:b/>
          <w:spacing w:val="-140"/>
          <w:w w:val="99"/>
          <w:sz w:val="20"/>
        </w:rPr>
        <w:t>安</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无</w:t>
      </w:r>
      <w:r>
        <w:rPr>
          <w:spacing w:val="-58"/>
          <w:w w:val="99"/>
          <w:position w:val="-7"/>
          <w:sz w:val="20"/>
        </w:rPr>
        <w:t>．</w:t>
      </w:r>
      <w:r>
        <w:rPr>
          <w:b/>
          <w:spacing w:val="-142"/>
          <w:w w:val="99"/>
          <w:sz w:val="20"/>
        </w:rPr>
        <w:t>忧</w:t>
      </w:r>
      <w:r>
        <w:rPr>
          <w:spacing w:val="-58"/>
          <w:w w:val="99"/>
          <w:position w:val="-7"/>
          <w:sz w:val="20"/>
        </w:rPr>
        <w:t>．</w:t>
      </w:r>
      <w:r>
        <w:rPr>
          <w:b/>
          <w:spacing w:val="-140"/>
          <w:w w:val="99"/>
          <w:sz w:val="20"/>
        </w:rPr>
        <w:t>豁</w:t>
      </w:r>
      <w:r>
        <w:rPr>
          <w:spacing w:val="-58"/>
          <w:w w:val="99"/>
          <w:position w:val="-7"/>
          <w:sz w:val="20"/>
        </w:rPr>
        <w:t>．</w:t>
      </w:r>
      <w:r>
        <w:rPr>
          <w:b/>
          <w:spacing w:val="-142"/>
          <w:w w:val="99"/>
          <w:sz w:val="20"/>
        </w:rPr>
        <w:t>免</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费</w:t>
      </w:r>
      <w:r>
        <w:rPr>
          <w:spacing w:val="-58"/>
          <w:w w:val="99"/>
          <w:position w:val="-7"/>
          <w:sz w:val="20"/>
        </w:rPr>
        <w:t>．</w:t>
      </w:r>
      <w:r>
        <w:rPr>
          <w:b/>
          <w:spacing w:val="-142"/>
          <w:w w:val="99"/>
          <w:sz w:val="20"/>
        </w:rPr>
        <w:t>重</w:t>
      </w:r>
      <w:r>
        <w:rPr>
          <w:spacing w:val="-58"/>
          <w:w w:val="99"/>
          <w:position w:val="-7"/>
          <w:sz w:val="20"/>
        </w:rPr>
        <w:t>．</w:t>
      </w:r>
      <w:r>
        <w:rPr>
          <w:b/>
          <w:spacing w:val="-140"/>
          <w:w w:val="99"/>
          <w:sz w:val="20"/>
        </w:rPr>
        <w:t>大</w:t>
      </w:r>
      <w:r>
        <w:rPr>
          <w:spacing w:val="-58"/>
          <w:w w:val="99"/>
          <w:position w:val="-7"/>
          <w:sz w:val="20"/>
        </w:rPr>
        <w:t>．</w:t>
      </w:r>
      <w:r>
        <w:rPr>
          <w:b/>
          <w:spacing w:val="-140"/>
          <w:w w:val="99"/>
          <w:sz w:val="20"/>
        </w:rPr>
        <w:t>疾</w:t>
      </w:r>
      <w:r>
        <w:rPr>
          <w:spacing w:val="-58"/>
          <w:w w:val="99"/>
          <w:position w:val="-7"/>
          <w:sz w:val="20"/>
        </w:rPr>
        <w:t>．</w:t>
      </w:r>
      <w:r>
        <w:rPr>
          <w:b/>
          <w:spacing w:val="-142"/>
          <w:w w:val="99"/>
          <w:sz w:val="20"/>
        </w:rPr>
        <w:t>病</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w:t>
      </w:r>
      <w:r>
        <w:rPr>
          <w:spacing w:val="-58"/>
          <w:w w:val="99"/>
          <w:position w:val="-7"/>
          <w:sz w:val="20"/>
        </w:rPr>
        <w:t>．</w:t>
      </w:r>
      <w:r>
        <w:rPr>
          <w:rFonts w:ascii="Times New Roman" w:hAnsi="Times New Roman" w:eastAsia="Times New Roman"/>
          <w:b/>
          <w:spacing w:val="-113"/>
          <w:w w:val="99"/>
          <w:sz w:val="20"/>
        </w:rPr>
        <w:t>C</w:t>
      </w:r>
      <w:r>
        <w:rPr>
          <w:spacing w:val="-87"/>
          <w:w w:val="99"/>
          <w:position w:val="-7"/>
          <w:sz w:val="20"/>
        </w:rPr>
        <w:t>．</w:t>
      </w:r>
      <w:r>
        <w:rPr>
          <w:b/>
          <w:spacing w:val="-142"/>
          <w:w w:val="99"/>
          <w:sz w:val="20"/>
        </w:rPr>
        <w:t>）</w:t>
      </w:r>
      <w:r>
        <w:rPr>
          <w:spacing w:val="-58"/>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Heading4"/>
        <w:tabs>
          <w:tab w:pos="1359" w:val="left" w:leader="none"/>
        </w:tabs>
        <w:spacing w:before="188"/>
      </w:pPr>
      <w:r>
        <w:rPr>
          <w:rFonts w:ascii="Arial" w:hAnsi="Arial" w:eastAsia="Arial"/>
          <w:w w:val="105"/>
          <w:position w:val="-11"/>
          <w:sz w:val="52"/>
        </w:rPr>
        <w:t></w:t>
        <w:tab/>
      </w:r>
      <w:r>
        <w:rPr>
          <w:spacing w:val="-1"/>
        </w:rPr>
        <w:t>您拥有的重要权益</w:t>
      </w:r>
    </w:p>
    <w:p>
      <w:pPr>
        <w:pStyle w:val="ListParagraph"/>
        <w:numPr>
          <w:ilvl w:val="0"/>
          <w:numId w:val="1"/>
        </w:numPr>
        <w:tabs>
          <w:tab w:pos="1740" w:val="left" w:leader="none"/>
          <w:tab w:pos="1741" w:val="left" w:leader="none"/>
          <w:tab w:pos="9622" w:val="right" w:leader="dot"/>
        </w:tabs>
        <w:spacing w:line="240" w:lineRule="auto" w:before="25" w:after="0"/>
        <w:ind w:left="1740"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1.4</w:t>
      </w:r>
    </w:p>
    <w:p>
      <w:pPr>
        <w:pStyle w:val="ListParagraph"/>
        <w:numPr>
          <w:ilvl w:val="0"/>
          <w:numId w:val="1"/>
        </w:numPr>
        <w:tabs>
          <w:tab w:pos="1740" w:val="left" w:leader="none"/>
          <w:tab w:pos="1741" w:val="left" w:leader="none"/>
          <w:tab w:pos="9622" w:val="right" w:leader="dot"/>
        </w:tabs>
        <w:spacing w:line="240" w:lineRule="auto" w:before="22" w:after="0"/>
        <w:ind w:left="1740"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40" w:val="left" w:leader="none"/>
          <w:tab w:pos="1742" w:val="left" w:leader="none"/>
          <w:tab w:pos="9622" w:val="right" w:leader="dot"/>
        </w:tabs>
        <w:spacing w:line="240" w:lineRule="auto" w:before="22" w:after="0"/>
        <w:ind w:left="1741"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9" w:val="left" w:leader="none"/>
        </w:tabs>
        <w:spacing w:before="22"/>
        <w:ind w:left="348"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40" w:val="left" w:leader="none"/>
          <w:tab w:pos="1741" w:val="left" w:leader="none"/>
        </w:tabs>
        <w:spacing w:line="240" w:lineRule="auto" w:before="26" w:after="0"/>
        <w:ind w:left="1740" w:right="0" w:hanging="420"/>
        <w:jc w:val="left"/>
        <w:rPr>
          <w:sz w:val="21"/>
        </w:rPr>
      </w:pPr>
      <w:r>
        <w:rPr>
          <w:spacing w:val="-3"/>
          <w:sz w:val="21"/>
        </w:rPr>
        <w:t>在某些情况下，我们不承担保险责任，详见条款正文中背景突出显示的内容</w:t>
      </w:r>
    </w:p>
    <w:p>
      <w:pPr>
        <w:pStyle w:val="BodyText"/>
        <w:spacing w:before="22"/>
        <w:ind w:right="724"/>
        <w:jc w:val="right"/>
      </w:pPr>
      <w:r>
        <w:rPr/>
        <w:t>………………………………………………………………………… 2.1、2.2、7.2、8.2</w:t>
      </w:r>
    </w:p>
    <w:p>
      <w:pPr>
        <w:pStyle w:val="ListParagraph"/>
        <w:numPr>
          <w:ilvl w:val="0"/>
          <w:numId w:val="1"/>
        </w:numPr>
        <w:tabs>
          <w:tab w:pos="1740" w:val="left" w:leader="none"/>
          <w:tab w:pos="1741" w:val="left" w:leader="none"/>
          <w:tab w:pos="9622" w:val="right" w:leader="dot"/>
        </w:tabs>
        <w:spacing w:line="240" w:lineRule="auto" w:before="37" w:after="0"/>
        <w:ind w:left="1740"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40" w:val="left" w:leader="none"/>
          <w:tab w:pos="1741" w:val="left" w:leader="none"/>
          <w:tab w:pos="9411" w:val="right" w:leader="dot"/>
        </w:tabs>
        <w:spacing w:line="240" w:lineRule="auto" w:before="22" w:after="0"/>
        <w:ind w:left="174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40" w:val="left" w:leader="none"/>
          <w:tab w:pos="1741" w:val="left" w:leader="none"/>
          <w:tab w:pos="9622" w:val="right" w:leader="dot"/>
        </w:tabs>
        <w:spacing w:line="240" w:lineRule="auto" w:before="22" w:after="0"/>
        <w:ind w:left="1740"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40" w:val="left" w:leader="none"/>
          <w:tab w:pos="1741" w:val="left" w:leader="none"/>
          <w:tab w:pos="9622" w:val="right" w:leader="dot"/>
        </w:tabs>
        <w:spacing w:line="240" w:lineRule="auto" w:before="22" w:after="0"/>
        <w:ind w:left="1740"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7.4</w:t>
      </w:r>
    </w:p>
    <w:p>
      <w:pPr>
        <w:pStyle w:val="Heading4"/>
        <w:tabs>
          <w:tab w:pos="1359" w:val="left" w:leader="none"/>
        </w:tabs>
      </w:pPr>
      <w:r>
        <w:rPr>
          <w:rFonts w:ascii="Arial" w:hAnsi="Arial" w:eastAsia="Arial"/>
          <w:w w:val="105"/>
          <w:position w:val="-11"/>
          <w:sz w:val="52"/>
        </w:rPr>
        <w:t></w:t>
        <w:tab/>
      </w:r>
      <w:r>
        <w:rPr>
          <w:spacing w:val="-3"/>
        </w:rPr>
        <w:t>条款是保险合同的重要内容，为充分保障您的权益，请您仔细阅读本条款。</w:t>
      </w:r>
    </w:p>
    <w:p>
      <w:pPr>
        <w:tabs>
          <w:tab w:pos="1359" w:val="left" w:leader="none"/>
        </w:tabs>
        <w:spacing w:before="26" w:after="32"/>
        <w:ind w:left="348"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3"/>
        <w:gridCol w:w="1304"/>
        <w:gridCol w:w="3618"/>
      </w:tblGrid>
      <w:tr>
        <w:trPr>
          <w:trHeight w:val="452" w:hRule="atLeast"/>
        </w:trPr>
        <w:tc>
          <w:tcPr>
            <w:tcW w:w="3463" w:type="dxa"/>
            <w:tcBorders>
              <w:top w:val="dotted" w:sz="6" w:space="0" w:color="000000"/>
              <w:left w:val="dotted" w:sz="6" w:space="0" w:color="000000"/>
            </w:tcBorders>
          </w:tcPr>
          <w:p>
            <w:pPr>
              <w:pStyle w:val="TableParagraph"/>
              <w:spacing w:line="364" w:lineRule="exact" w:before="68"/>
              <w:ind w:left="46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304" w:type="dxa"/>
            <w:tcBorders>
              <w:top w:val="dotted" w:sz="6" w:space="0" w:color="000000"/>
            </w:tcBorders>
          </w:tcPr>
          <w:p>
            <w:pPr>
              <w:pStyle w:val="TableParagraph"/>
              <w:spacing w:line="240" w:lineRule="auto" w:before="149"/>
              <w:ind w:right="95"/>
              <w:jc w:val="right"/>
              <w:rPr>
                <w:sz w:val="21"/>
              </w:rPr>
            </w:pPr>
            <w:r>
              <w:rPr>
                <w:sz w:val="21"/>
              </w:rPr>
              <w:t>7.4</w:t>
            </w:r>
          </w:p>
        </w:tc>
        <w:tc>
          <w:tcPr>
            <w:tcW w:w="3618" w:type="dxa"/>
            <w:tcBorders>
              <w:top w:val="dotted" w:sz="6" w:space="0" w:color="000000"/>
              <w:right w:val="dotted" w:sz="6" w:space="0" w:color="000000"/>
            </w:tcBorders>
          </w:tcPr>
          <w:p>
            <w:pPr>
              <w:pStyle w:val="TableParagraph"/>
              <w:spacing w:line="240" w:lineRule="auto" w:before="149"/>
              <w:ind w:left="8"/>
              <w:rPr>
                <w:sz w:val="21"/>
              </w:rPr>
            </w:pPr>
            <w:r>
              <w:rPr>
                <w:sz w:val="21"/>
              </w:rPr>
              <w:t>效力终止</w:t>
            </w:r>
          </w:p>
        </w:tc>
      </w:tr>
      <w:tr>
        <w:trPr>
          <w:trHeight w:val="280" w:hRule="atLeast"/>
        </w:trPr>
        <w:tc>
          <w:tcPr>
            <w:tcW w:w="3463" w:type="dxa"/>
            <w:tcBorders>
              <w:left w:val="dotted" w:sz="6" w:space="0" w:color="000000"/>
            </w:tcBorders>
          </w:tcPr>
          <w:p>
            <w:pPr>
              <w:pStyle w:val="TableParagraph"/>
              <w:spacing w:line="239" w:lineRule="exact"/>
              <w:ind w:left="680"/>
              <w:rPr>
                <w:sz w:val="21"/>
              </w:rPr>
            </w:pPr>
            <w:r>
              <w:rPr>
                <w:sz w:val="21"/>
              </w:rPr>
              <w:t>1.1 合同订立</w:t>
            </w:r>
          </w:p>
        </w:tc>
        <w:tc>
          <w:tcPr>
            <w:tcW w:w="1304" w:type="dxa"/>
          </w:tcPr>
          <w:p>
            <w:pPr>
              <w:pStyle w:val="TableParagraph"/>
              <w:spacing w:line="253" w:lineRule="exact"/>
              <w:ind w:right="95"/>
              <w:jc w:val="right"/>
              <w:rPr>
                <w:sz w:val="21"/>
              </w:rPr>
            </w:pPr>
            <w:r>
              <w:rPr>
                <w:sz w:val="21"/>
              </w:rPr>
              <w:t>7.5</w:t>
            </w:r>
          </w:p>
        </w:tc>
        <w:tc>
          <w:tcPr>
            <w:tcW w:w="3618" w:type="dxa"/>
            <w:tcBorders>
              <w:right w:val="dotted" w:sz="6" w:space="0" w:color="000000"/>
            </w:tcBorders>
          </w:tcPr>
          <w:p>
            <w:pPr>
              <w:pStyle w:val="TableParagraph"/>
              <w:spacing w:line="253" w:lineRule="exact"/>
              <w:ind w:left="8"/>
              <w:rPr>
                <w:sz w:val="21"/>
              </w:rPr>
            </w:pPr>
            <w:r>
              <w:rPr>
                <w:sz w:val="21"/>
              </w:rPr>
              <w:t>适用主险合同条款</w:t>
            </w:r>
          </w:p>
        </w:tc>
      </w:tr>
      <w:tr>
        <w:trPr>
          <w:trHeight w:val="279" w:hRule="atLeast"/>
        </w:trPr>
        <w:tc>
          <w:tcPr>
            <w:tcW w:w="3463" w:type="dxa"/>
            <w:tcBorders>
              <w:left w:val="dotted" w:sz="6" w:space="0" w:color="000000"/>
            </w:tcBorders>
          </w:tcPr>
          <w:p>
            <w:pPr>
              <w:pStyle w:val="TableParagraph"/>
              <w:spacing w:line="239" w:lineRule="exact"/>
              <w:ind w:left="680"/>
              <w:rPr>
                <w:sz w:val="21"/>
              </w:rPr>
            </w:pPr>
            <w:r>
              <w:rPr>
                <w:sz w:val="21"/>
              </w:rPr>
              <w:t>1.2 合同生效</w:t>
            </w:r>
          </w:p>
        </w:tc>
        <w:tc>
          <w:tcPr>
            <w:tcW w:w="1304" w:type="dxa"/>
          </w:tcPr>
          <w:p>
            <w:pPr>
              <w:pStyle w:val="TableParagraph"/>
              <w:spacing w:line="260"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18" w:type="dxa"/>
            <w:tcBorders>
              <w:right w:val="dotted" w:sz="6" w:space="0" w:color="000000"/>
            </w:tcBorders>
          </w:tcPr>
          <w:p>
            <w:pPr>
              <w:pStyle w:val="TableParagraph"/>
              <w:spacing w:line="240" w:lineRule="auto"/>
              <w:rPr>
                <w:rFonts w:ascii="Times New Roman"/>
                <w:sz w:val="20"/>
              </w:rPr>
            </w:pP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1.3 投保对象</w:t>
            </w:r>
          </w:p>
        </w:tc>
        <w:tc>
          <w:tcPr>
            <w:tcW w:w="1304" w:type="dxa"/>
          </w:tcPr>
          <w:p>
            <w:pPr>
              <w:pStyle w:val="TableParagraph"/>
              <w:spacing w:line="252" w:lineRule="exact"/>
              <w:ind w:right="95"/>
              <w:jc w:val="right"/>
              <w:rPr>
                <w:sz w:val="21"/>
              </w:rPr>
            </w:pPr>
            <w:r>
              <w:rPr>
                <w:sz w:val="21"/>
              </w:rPr>
              <w:t>8.1</w:t>
            </w:r>
          </w:p>
        </w:tc>
        <w:tc>
          <w:tcPr>
            <w:tcW w:w="3618" w:type="dxa"/>
            <w:tcBorders>
              <w:right w:val="dotted" w:sz="6" w:space="0" w:color="000000"/>
            </w:tcBorders>
          </w:tcPr>
          <w:p>
            <w:pPr>
              <w:pStyle w:val="TableParagraph"/>
              <w:spacing w:line="252" w:lineRule="exact"/>
              <w:ind w:left="8"/>
              <w:rPr>
                <w:sz w:val="21"/>
              </w:rPr>
            </w:pPr>
            <w:r>
              <w:rPr>
                <w:sz w:val="21"/>
              </w:rPr>
              <w:t>有效身份证件</w:t>
            </w:r>
          </w:p>
        </w:tc>
      </w:tr>
      <w:tr>
        <w:trPr>
          <w:trHeight w:val="280" w:hRule="atLeast"/>
        </w:trPr>
        <w:tc>
          <w:tcPr>
            <w:tcW w:w="3463" w:type="dxa"/>
            <w:tcBorders>
              <w:left w:val="dotted" w:sz="6" w:space="0" w:color="000000"/>
            </w:tcBorders>
          </w:tcPr>
          <w:p>
            <w:pPr>
              <w:pStyle w:val="TableParagraph"/>
              <w:spacing w:line="239" w:lineRule="exact"/>
              <w:ind w:left="680"/>
              <w:rPr>
                <w:sz w:val="21"/>
              </w:rPr>
            </w:pPr>
            <w:r>
              <w:rPr>
                <w:sz w:val="21"/>
              </w:rPr>
              <w:t>1.4 犹豫期</w:t>
            </w:r>
          </w:p>
        </w:tc>
        <w:tc>
          <w:tcPr>
            <w:tcW w:w="1304" w:type="dxa"/>
          </w:tcPr>
          <w:p>
            <w:pPr>
              <w:pStyle w:val="TableParagraph"/>
              <w:spacing w:line="253" w:lineRule="exact"/>
              <w:ind w:right="95"/>
              <w:jc w:val="right"/>
              <w:rPr>
                <w:sz w:val="21"/>
              </w:rPr>
            </w:pPr>
            <w:r>
              <w:rPr>
                <w:sz w:val="21"/>
              </w:rPr>
              <w:t>8.2</w:t>
            </w:r>
          </w:p>
        </w:tc>
        <w:tc>
          <w:tcPr>
            <w:tcW w:w="3618" w:type="dxa"/>
            <w:tcBorders>
              <w:right w:val="dotted" w:sz="6" w:space="0" w:color="000000"/>
            </w:tcBorders>
          </w:tcPr>
          <w:p>
            <w:pPr>
              <w:pStyle w:val="TableParagraph"/>
              <w:spacing w:line="253" w:lineRule="exact"/>
              <w:ind w:left="8"/>
              <w:rPr>
                <w:sz w:val="21"/>
              </w:rPr>
            </w:pPr>
            <w:r>
              <w:rPr>
                <w:sz w:val="21"/>
              </w:rPr>
              <w:t>重大疾病</w:t>
            </w:r>
          </w:p>
        </w:tc>
      </w:tr>
      <w:tr>
        <w:trPr>
          <w:trHeight w:val="279" w:hRule="atLeast"/>
        </w:trPr>
        <w:tc>
          <w:tcPr>
            <w:tcW w:w="3463" w:type="dxa"/>
            <w:tcBorders>
              <w:left w:val="dotted" w:sz="6" w:space="0" w:color="000000"/>
            </w:tcBorders>
          </w:tcPr>
          <w:p>
            <w:pPr>
              <w:pStyle w:val="TableParagraph"/>
              <w:spacing w:line="239" w:lineRule="exact"/>
              <w:ind w:left="680"/>
              <w:rPr>
                <w:sz w:val="21"/>
              </w:rPr>
            </w:pPr>
            <w:r>
              <w:rPr>
                <w:sz w:val="21"/>
              </w:rPr>
              <w:t>1.5 保险期间</w:t>
            </w:r>
          </w:p>
        </w:tc>
        <w:tc>
          <w:tcPr>
            <w:tcW w:w="1304" w:type="dxa"/>
          </w:tcPr>
          <w:p>
            <w:pPr>
              <w:pStyle w:val="TableParagraph"/>
              <w:spacing w:line="253" w:lineRule="exact"/>
              <w:ind w:right="95"/>
              <w:jc w:val="right"/>
              <w:rPr>
                <w:sz w:val="21"/>
              </w:rPr>
            </w:pPr>
            <w:r>
              <w:rPr>
                <w:sz w:val="21"/>
              </w:rPr>
              <w:t>8.3</w:t>
            </w:r>
          </w:p>
        </w:tc>
        <w:tc>
          <w:tcPr>
            <w:tcW w:w="3618" w:type="dxa"/>
            <w:tcBorders>
              <w:right w:val="dotted" w:sz="6" w:space="0" w:color="000000"/>
            </w:tcBorders>
          </w:tcPr>
          <w:p>
            <w:pPr>
              <w:pStyle w:val="TableParagraph"/>
              <w:spacing w:line="253" w:lineRule="exact"/>
              <w:ind w:left="8"/>
              <w:rPr>
                <w:sz w:val="21"/>
              </w:rPr>
            </w:pPr>
            <w:r>
              <w:rPr>
                <w:sz w:val="21"/>
              </w:rPr>
              <w:t>专科医生</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304" w:type="dxa"/>
          </w:tcPr>
          <w:p>
            <w:pPr>
              <w:pStyle w:val="TableParagraph"/>
              <w:spacing w:line="252" w:lineRule="exact"/>
              <w:ind w:right="95"/>
              <w:jc w:val="right"/>
              <w:rPr>
                <w:sz w:val="21"/>
              </w:rPr>
            </w:pPr>
            <w:r>
              <w:rPr>
                <w:sz w:val="21"/>
              </w:rPr>
              <w:t>8.4</w:t>
            </w:r>
          </w:p>
        </w:tc>
        <w:tc>
          <w:tcPr>
            <w:tcW w:w="3618" w:type="dxa"/>
            <w:tcBorders>
              <w:right w:val="dotted" w:sz="6" w:space="0" w:color="000000"/>
            </w:tcBorders>
          </w:tcPr>
          <w:p>
            <w:pPr>
              <w:pStyle w:val="TableParagraph"/>
              <w:spacing w:line="252" w:lineRule="exact"/>
              <w:ind w:left="8"/>
              <w:rPr>
                <w:sz w:val="21"/>
              </w:rPr>
            </w:pPr>
            <w:r>
              <w:rPr>
                <w:sz w:val="21"/>
              </w:rPr>
              <w:t>肢体机能完全丧失</w:t>
            </w:r>
          </w:p>
        </w:tc>
      </w:tr>
      <w:tr>
        <w:trPr>
          <w:trHeight w:val="280" w:hRule="atLeast"/>
        </w:trPr>
        <w:tc>
          <w:tcPr>
            <w:tcW w:w="3463" w:type="dxa"/>
            <w:tcBorders>
              <w:left w:val="dotted" w:sz="6" w:space="0" w:color="000000"/>
            </w:tcBorders>
          </w:tcPr>
          <w:p>
            <w:pPr>
              <w:pStyle w:val="TableParagraph"/>
              <w:spacing w:line="239" w:lineRule="exact"/>
              <w:ind w:left="680"/>
              <w:rPr>
                <w:sz w:val="21"/>
              </w:rPr>
            </w:pPr>
            <w:r>
              <w:rPr>
                <w:sz w:val="21"/>
              </w:rPr>
              <w:t>2.1 保险责任</w:t>
            </w:r>
          </w:p>
        </w:tc>
        <w:tc>
          <w:tcPr>
            <w:tcW w:w="1304" w:type="dxa"/>
          </w:tcPr>
          <w:p>
            <w:pPr>
              <w:pStyle w:val="TableParagraph"/>
              <w:spacing w:line="253" w:lineRule="exact"/>
              <w:ind w:right="95"/>
              <w:jc w:val="right"/>
              <w:rPr>
                <w:sz w:val="21"/>
              </w:rPr>
            </w:pPr>
            <w:r>
              <w:rPr>
                <w:sz w:val="21"/>
              </w:rPr>
              <w:t>8.5</w:t>
            </w:r>
          </w:p>
        </w:tc>
        <w:tc>
          <w:tcPr>
            <w:tcW w:w="3618" w:type="dxa"/>
            <w:tcBorders>
              <w:right w:val="dotted" w:sz="6" w:space="0" w:color="000000"/>
            </w:tcBorders>
          </w:tcPr>
          <w:p>
            <w:pPr>
              <w:pStyle w:val="TableParagraph"/>
              <w:spacing w:line="253" w:lineRule="exact"/>
              <w:ind w:left="8"/>
              <w:rPr>
                <w:sz w:val="21"/>
              </w:rPr>
            </w:pPr>
            <w:r>
              <w:rPr>
                <w:sz w:val="21"/>
              </w:rPr>
              <w:t>语言能力或咀嚼吞咽能力完全丧失</w:t>
            </w:r>
          </w:p>
        </w:tc>
      </w:tr>
      <w:tr>
        <w:trPr>
          <w:trHeight w:val="279" w:hRule="atLeast"/>
        </w:trPr>
        <w:tc>
          <w:tcPr>
            <w:tcW w:w="3463" w:type="dxa"/>
            <w:tcBorders>
              <w:left w:val="dotted" w:sz="6" w:space="0" w:color="000000"/>
            </w:tcBorders>
          </w:tcPr>
          <w:p>
            <w:pPr>
              <w:pStyle w:val="TableParagraph"/>
              <w:spacing w:line="239" w:lineRule="exact"/>
              <w:ind w:left="680"/>
              <w:rPr>
                <w:sz w:val="21"/>
              </w:rPr>
            </w:pPr>
            <w:r>
              <w:rPr>
                <w:sz w:val="21"/>
              </w:rPr>
              <w:t>2.2 责任免除</w:t>
            </w:r>
          </w:p>
        </w:tc>
        <w:tc>
          <w:tcPr>
            <w:tcW w:w="1304" w:type="dxa"/>
          </w:tcPr>
          <w:p>
            <w:pPr>
              <w:pStyle w:val="TableParagraph"/>
              <w:spacing w:line="253" w:lineRule="exact"/>
              <w:ind w:right="95"/>
              <w:jc w:val="right"/>
              <w:rPr>
                <w:sz w:val="21"/>
              </w:rPr>
            </w:pPr>
            <w:r>
              <w:rPr>
                <w:sz w:val="21"/>
              </w:rPr>
              <w:t>8.6</w:t>
            </w:r>
          </w:p>
        </w:tc>
        <w:tc>
          <w:tcPr>
            <w:tcW w:w="3618" w:type="dxa"/>
            <w:tcBorders>
              <w:right w:val="dotted" w:sz="6" w:space="0" w:color="000000"/>
            </w:tcBorders>
          </w:tcPr>
          <w:p>
            <w:pPr>
              <w:pStyle w:val="TableParagraph"/>
              <w:spacing w:line="253" w:lineRule="exact"/>
              <w:ind w:left="8"/>
              <w:rPr>
                <w:sz w:val="21"/>
              </w:rPr>
            </w:pPr>
            <w:r>
              <w:rPr>
                <w:sz w:val="21"/>
              </w:rPr>
              <w:t>六项基本日常生活活动</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tc>
        <w:tc>
          <w:tcPr>
            <w:tcW w:w="1304" w:type="dxa"/>
          </w:tcPr>
          <w:p>
            <w:pPr>
              <w:pStyle w:val="TableParagraph"/>
              <w:spacing w:line="252" w:lineRule="exact"/>
              <w:ind w:right="95"/>
              <w:jc w:val="right"/>
              <w:rPr>
                <w:sz w:val="21"/>
              </w:rPr>
            </w:pPr>
            <w:r>
              <w:rPr>
                <w:sz w:val="21"/>
              </w:rPr>
              <w:t>8.7</w:t>
            </w:r>
          </w:p>
        </w:tc>
        <w:tc>
          <w:tcPr>
            <w:tcW w:w="3618" w:type="dxa"/>
            <w:tcBorders>
              <w:right w:val="dotted" w:sz="6" w:space="0" w:color="000000"/>
            </w:tcBorders>
          </w:tcPr>
          <w:p>
            <w:pPr>
              <w:pStyle w:val="TableParagraph"/>
              <w:spacing w:line="252" w:lineRule="exact"/>
              <w:ind w:left="8"/>
              <w:rPr>
                <w:sz w:val="21"/>
              </w:rPr>
            </w:pPr>
            <w:r>
              <w:rPr>
                <w:sz w:val="21"/>
              </w:rPr>
              <w:t>永久不可逆</w:t>
            </w:r>
          </w:p>
        </w:tc>
      </w:tr>
      <w:tr>
        <w:trPr>
          <w:trHeight w:val="280" w:hRule="atLeast"/>
        </w:trPr>
        <w:tc>
          <w:tcPr>
            <w:tcW w:w="3463" w:type="dxa"/>
            <w:tcBorders>
              <w:left w:val="dotted" w:sz="6" w:space="0" w:color="000000"/>
            </w:tcBorders>
          </w:tcPr>
          <w:p>
            <w:pPr>
              <w:pStyle w:val="TableParagraph"/>
              <w:spacing w:line="238" w:lineRule="exact"/>
              <w:ind w:left="680"/>
              <w:rPr>
                <w:sz w:val="21"/>
              </w:rPr>
            </w:pPr>
            <w:r>
              <w:rPr>
                <w:sz w:val="21"/>
              </w:rPr>
              <w:t>3.1 豁免保险费申请</w:t>
            </w:r>
          </w:p>
        </w:tc>
        <w:tc>
          <w:tcPr>
            <w:tcW w:w="1304" w:type="dxa"/>
          </w:tcPr>
          <w:p>
            <w:pPr>
              <w:pStyle w:val="TableParagraph"/>
              <w:spacing w:line="253" w:lineRule="exact"/>
              <w:ind w:right="95"/>
              <w:jc w:val="right"/>
              <w:rPr>
                <w:sz w:val="21"/>
              </w:rPr>
            </w:pPr>
            <w:r>
              <w:rPr>
                <w:sz w:val="21"/>
              </w:rPr>
              <w:t>8.8</w:t>
            </w:r>
          </w:p>
        </w:tc>
        <w:tc>
          <w:tcPr>
            <w:tcW w:w="3618" w:type="dxa"/>
            <w:tcBorders>
              <w:right w:val="dotted" w:sz="6" w:space="0" w:color="000000"/>
            </w:tcBorders>
          </w:tcPr>
          <w:p>
            <w:pPr>
              <w:pStyle w:val="TableParagraph"/>
              <w:spacing w:line="253" w:lineRule="exact"/>
              <w:ind w:left="8"/>
              <w:rPr>
                <w:sz w:val="21"/>
              </w:rPr>
            </w:pPr>
            <w:r>
              <w:rPr>
                <w:sz w:val="21"/>
              </w:rPr>
              <w:t>心功能状态分级</w:t>
            </w:r>
          </w:p>
        </w:tc>
      </w:tr>
      <w:tr>
        <w:trPr>
          <w:trHeight w:val="279" w:hRule="atLeast"/>
        </w:trPr>
        <w:tc>
          <w:tcPr>
            <w:tcW w:w="3463" w:type="dxa"/>
            <w:tcBorders>
              <w:left w:val="dotted" w:sz="6" w:space="0" w:color="000000"/>
            </w:tcBorders>
          </w:tcPr>
          <w:p>
            <w:pPr>
              <w:pStyle w:val="TableParagraph"/>
              <w:spacing w:line="238" w:lineRule="exact"/>
              <w:ind w:left="680"/>
              <w:rPr>
                <w:sz w:val="21"/>
              </w:rPr>
            </w:pPr>
            <w:r>
              <w:rPr>
                <w:sz w:val="21"/>
              </w:rPr>
              <w:t>3.2 保险费的豁免</w:t>
            </w:r>
          </w:p>
        </w:tc>
        <w:tc>
          <w:tcPr>
            <w:tcW w:w="1304" w:type="dxa"/>
          </w:tcPr>
          <w:p>
            <w:pPr>
              <w:pStyle w:val="TableParagraph"/>
              <w:spacing w:line="253" w:lineRule="exact"/>
              <w:ind w:right="95"/>
              <w:jc w:val="right"/>
              <w:rPr>
                <w:sz w:val="21"/>
              </w:rPr>
            </w:pPr>
            <w:r>
              <w:rPr>
                <w:sz w:val="21"/>
              </w:rPr>
              <w:t>8.9</w:t>
            </w:r>
          </w:p>
        </w:tc>
        <w:tc>
          <w:tcPr>
            <w:tcW w:w="3618" w:type="dxa"/>
            <w:tcBorders>
              <w:right w:val="dotted" w:sz="6" w:space="0" w:color="000000"/>
            </w:tcBorders>
          </w:tcPr>
          <w:p>
            <w:pPr>
              <w:pStyle w:val="TableParagraph"/>
              <w:spacing w:line="253" w:lineRule="exact"/>
              <w:ind w:left="8"/>
              <w:rPr>
                <w:sz w:val="21"/>
              </w:rPr>
            </w:pPr>
            <w:r>
              <w:rPr>
                <w:sz w:val="21"/>
              </w:rPr>
              <w:t>意外伤害</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3.3 诉讼时效</w:t>
            </w:r>
          </w:p>
        </w:tc>
        <w:tc>
          <w:tcPr>
            <w:tcW w:w="1304" w:type="dxa"/>
          </w:tcPr>
          <w:p>
            <w:pPr>
              <w:pStyle w:val="TableParagraph"/>
              <w:spacing w:line="252" w:lineRule="exact"/>
              <w:ind w:right="-15"/>
              <w:jc w:val="right"/>
              <w:rPr>
                <w:sz w:val="21"/>
              </w:rPr>
            </w:pPr>
            <w:r>
              <w:rPr>
                <w:sz w:val="21"/>
              </w:rPr>
              <w:t>8.10</w:t>
            </w:r>
          </w:p>
        </w:tc>
        <w:tc>
          <w:tcPr>
            <w:tcW w:w="3618" w:type="dxa"/>
            <w:tcBorders>
              <w:right w:val="dotted" w:sz="6" w:space="0" w:color="000000"/>
            </w:tcBorders>
          </w:tcPr>
          <w:p>
            <w:pPr>
              <w:pStyle w:val="TableParagraph"/>
              <w:spacing w:line="252" w:lineRule="exact"/>
              <w:ind w:left="111"/>
              <w:rPr>
                <w:sz w:val="21"/>
              </w:rPr>
            </w:pPr>
            <w:r>
              <w:rPr>
                <w:sz w:val="21"/>
              </w:rPr>
              <w:t>医院</w:t>
            </w:r>
          </w:p>
        </w:tc>
      </w:tr>
      <w:tr>
        <w:trPr>
          <w:trHeight w:val="280" w:hRule="atLeast"/>
        </w:trPr>
        <w:tc>
          <w:tcPr>
            <w:tcW w:w="3463" w:type="dxa"/>
            <w:tcBorders>
              <w:left w:val="dotted" w:sz="6" w:space="0" w:color="000000"/>
            </w:tcBorders>
          </w:tcPr>
          <w:p>
            <w:pPr>
              <w:pStyle w:val="TableParagraph"/>
              <w:spacing w:line="261" w:lineRule="exact"/>
              <w:ind w:left="469"/>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304" w:type="dxa"/>
          </w:tcPr>
          <w:p>
            <w:pPr>
              <w:pStyle w:val="TableParagraph"/>
              <w:spacing w:line="253" w:lineRule="exact"/>
              <w:ind w:right="-15"/>
              <w:jc w:val="right"/>
              <w:rPr>
                <w:sz w:val="21"/>
              </w:rPr>
            </w:pPr>
            <w:r>
              <w:rPr>
                <w:sz w:val="21"/>
              </w:rPr>
              <w:t>8.11</w:t>
            </w:r>
          </w:p>
        </w:tc>
        <w:tc>
          <w:tcPr>
            <w:tcW w:w="3618" w:type="dxa"/>
            <w:tcBorders>
              <w:right w:val="dotted" w:sz="6" w:space="0" w:color="000000"/>
            </w:tcBorders>
          </w:tcPr>
          <w:p>
            <w:pPr>
              <w:pStyle w:val="TableParagraph"/>
              <w:spacing w:line="253" w:lineRule="exact"/>
              <w:ind w:left="111"/>
              <w:rPr>
                <w:sz w:val="21"/>
              </w:rPr>
            </w:pPr>
            <w:r>
              <w:rPr>
                <w:sz w:val="21"/>
              </w:rPr>
              <w:t>本条款约定确诊日</w:t>
            </w:r>
          </w:p>
        </w:tc>
      </w:tr>
      <w:tr>
        <w:trPr>
          <w:trHeight w:val="279" w:hRule="atLeast"/>
        </w:trPr>
        <w:tc>
          <w:tcPr>
            <w:tcW w:w="3463" w:type="dxa"/>
            <w:tcBorders>
              <w:left w:val="dotted" w:sz="6" w:space="0" w:color="000000"/>
            </w:tcBorders>
          </w:tcPr>
          <w:p>
            <w:pPr>
              <w:pStyle w:val="TableParagraph"/>
              <w:spacing w:line="238" w:lineRule="exact"/>
              <w:ind w:left="680"/>
              <w:rPr>
                <w:sz w:val="21"/>
              </w:rPr>
            </w:pPr>
            <w:r>
              <w:rPr>
                <w:sz w:val="21"/>
              </w:rPr>
              <w:t>4.1 保障成本</w:t>
            </w:r>
          </w:p>
        </w:tc>
        <w:tc>
          <w:tcPr>
            <w:tcW w:w="1304" w:type="dxa"/>
          </w:tcPr>
          <w:p>
            <w:pPr>
              <w:pStyle w:val="TableParagraph"/>
              <w:spacing w:line="253" w:lineRule="exact"/>
              <w:ind w:right="-15"/>
              <w:jc w:val="right"/>
              <w:rPr>
                <w:sz w:val="21"/>
              </w:rPr>
            </w:pPr>
            <w:r>
              <w:rPr>
                <w:sz w:val="21"/>
              </w:rPr>
              <w:t>8.12</w:t>
            </w:r>
          </w:p>
        </w:tc>
        <w:tc>
          <w:tcPr>
            <w:tcW w:w="3618" w:type="dxa"/>
            <w:tcBorders>
              <w:right w:val="dotted" w:sz="6" w:space="0" w:color="000000"/>
            </w:tcBorders>
          </w:tcPr>
          <w:p>
            <w:pPr>
              <w:pStyle w:val="TableParagraph"/>
              <w:spacing w:line="253" w:lineRule="exact"/>
              <w:ind w:left="111"/>
              <w:rPr>
                <w:sz w:val="21"/>
              </w:rPr>
            </w:pPr>
            <w:r>
              <w:rPr>
                <w:sz w:val="21"/>
              </w:rPr>
              <w:t>毒品</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4.2 宽限期</w:t>
            </w:r>
          </w:p>
        </w:tc>
        <w:tc>
          <w:tcPr>
            <w:tcW w:w="1304" w:type="dxa"/>
          </w:tcPr>
          <w:p>
            <w:pPr>
              <w:pStyle w:val="TableParagraph"/>
              <w:spacing w:line="252" w:lineRule="exact"/>
              <w:ind w:right="-15"/>
              <w:jc w:val="right"/>
              <w:rPr>
                <w:sz w:val="21"/>
              </w:rPr>
            </w:pPr>
            <w:r>
              <w:rPr>
                <w:sz w:val="21"/>
              </w:rPr>
              <w:t>8.13</w:t>
            </w:r>
          </w:p>
        </w:tc>
        <w:tc>
          <w:tcPr>
            <w:tcW w:w="3618" w:type="dxa"/>
            <w:tcBorders>
              <w:right w:val="dotted" w:sz="6" w:space="0" w:color="000000"/>
            </w:tcBorders>
          </w:tcPr>
          <w:p>
            <w:pPr>
              <w:pStyle w:val="TableParagraph"/>
              <w:spacing w:line="252" w:lineRule="exact"/>
              <w:ind w:left="112"/>
              <w:rPr>
                <w:sz w:val="21"/>
              </w:rPr>
            </w:pPr>
            <w:r>
              <w:rPr>
                <w:sz w:val="21"/>
              </w:rPr>
              <w:t>酒后驾驶</w:t>
            </w:r>
          </w:p>
        </w:tc>
      </w:tr>
      <w:tr>
        <w:trPr>
          <w:trHeight w:val="280" w:hRule="atLeast"/>
        </w:trPr>
        <w:tc>
          <w:tcPr>
            <w:tcW w:w="3463" w:type="dxa"/>
            <w:tcBorders>
              <w:left w:val="dotted" w:sz="6" w:space="0" w:color="000000"/>
            </w:tcBorders>
          </w:tcPr>
          <w:p>
            <w:pPr>
              <w:pStyle w:val="TableParagraph"/>
              <w:spacing w:line="238" w:lineRule="exact"/>
              <w:ind w:left="680"/>
              <w:rPr>
                <w:sz w:val="21"/>
              </w:rPr>
            </w:pPr>
            <w:r>
              <w:rPr>
                <w:sz w:val="21"/>
              </w:rPr>
              <w:t>4.3 保障成本调整</w:t>
            </w:r>
          </w:p>
        </w:tc>
        <w:tc>
          <w:tcPr>
            <w:tcW w:w="1304" w:type="dxa"/>
          </w:tcPr>
          <w:p>
            <w:pPr>
              <w:pStyle w:val="TableParagraph"/>
              <w:spacing w:line="253" w:lineRule="exact"/>
              <w:ind w:right="-15"/>
              <w:jc w:val="right"/>
              <w:rPr>
                <w:sz w:val="21"/>
              </w:rPr>
            </w:pPr>
            <w:r>
              <w:rPr>
                <w:sz w:val="21"/>
              </w:rPr>
              <w:t>8.14</w:t>
            </w:r>
          </w:p>
        </w:tc>
        <w:tc>
          <w:tcPr>
            <w:tcW w:w="3618" w:type="dxa"/>
            <w:tcBorders>
              <w:right w:val="dotted" w:sz="6" w:space="0" w:color="000000"/>
            </w:tcBorders>
          </w:tcPr>
          <w:p>
            <w:pPr>
              <w:pStyle w:val="TableParagraph"/>
              <w:spacing w:line="253" w:lineRule="exact"/>
              <w:ind w:left="112"/>
              <w:rPr>
                <w:sz w:val="21"/>
              </w:rPr>
            </w:pPr>
            <w:r>
              <w:rPr>
                <w:sz w:val="21"/>
              </w:rPr>
              <w:t>无合法有效驾驶证驾驶</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5.</w:t>
            </w:r>
            <w:r>
              <w:rPr>
                <w:rFonts w:ascii="Microsoft JhengHei" w:eastAsia="Microsoft JhengHei" w:hint="eastAsia"/>
                <w:b/>
                <w:sz w:val="21"/>
              </w:rPr>
              <w:t>合同效力的中止与恢复</w:t>
            </w:r>
          </w:p>
        </w:tc>
        <w:tc>
          <w:tcPr>
            <w:tcW w:w="1304" w:type="dxa"/>
          </w:tcPr>
          <w:p>
            <w:pPr>
              <w:pStyle w:val="TableParagraph"/>
              <w:spacing w:line="253" w:lineRule="exact"/>
              <w:ind w:right="-15"/>
              <w:jc w:val="right"/>
              <w:rPr>
                <w:sz w:val="21"/>
              </w:rPr>
            </w:pPr>
            <w:r>
              <w:rPr>
                <w:sz w:val="21"/>
              </w:rPr>
              <w:t>8.15</w:t>
            </w:r>
          </w:p>
        </w:tc>
        <w:tc>
          <w:tcPr>
            <w:tcW w:w="3618" w:type="dxa"/>
            <w:tcBorders>
              <w:right w:val="dotted" w:sz="6" w:space="0" w:color="000000"/>
            </w:tcBorders>
          </w:tcPr>
          <w:p>
            <w:pPr>
              <w:pStyle w:val="TableParagraph"/>
              <w:spacing w:line="253" w:lineRule="exact"/>
              <w:ind w:left="112"/>
              <w:rPr>
                <w:sz w:val="21"/>
              </w:rPr>
            </w:pPr>
            <w:r>
              <w:rPr>
                <w:sz w:val="21"/>
              </w:rPr>
              <w:t>无有效行驶证</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5.1 效力中止</w:t>
            </w:r>
          </w:p>
        </w:tc>
        <w:tc>
          <w:tcPr>
            <w:tcW w:w="1304" w:type="dxa"/>
          </w:tcPr>
          <w:p>
            <w:pPr>
              <w:pStyle w:val="TableParagraph"/>
              <w:spacing w:line="252" w:lineRule="exact"/>
              <w:ind w:right="-15"/>
              <w:jc w:val="right"/>
              <w:rPr>
                <w:sz w:val="21"/>
              </w:rPr>
            </w:pPr>
            <w:r>
              <w:rPr>
                <w:sz w:val="21"/>
              </w:rPr>
              <w:t>8.16</w:t>
            </w:r>
          </w:p>
        </w:tc>
        <w:tc>
          <w:tcPr>
            <w:tcW w:w="3618" w:type="dxa"/>
            <w:tcBorders>
              <w:right w:val="dotted" w:sz="6" w:space="0" w:color="000000"/>
            </w:tcBorders>
          </w:tcPr>
          <w:p>
            <w:pPr>
              <w:pStyle w:val="TableParagraph"/>
              <w:spacing w:line="252" w:lineRule="exact"/>
              <w:ind w:left="112"/>
              <w:rPr>
                <w:sz w:val="21"/>
              </w:rPr>
            </w:pPr>
            <w:r>
              <w:rPr>
                <w:sz w:val="21"/>
              </w:rPr>
              <w:t>机动车</w:t>
            </w:r>
          </w:p>
        </w:tc>
      </w:tr>
      <w:tr>
        <w:trPr>
          <w:trHeight w:val="280" w:hRule="atLeast"/>
        </w:trPr>
        <w:tc>
          <w:tcPr>
            <w:tcW w:w="3463" w:type="dxa"/>
            <w:tcBorders>
              <w:left w:val="dotted" w:sz="6" w:space="0" w:color="000000"/>
            </w:tcBorders>
          </w:tcPr>
          <w:p>
            <w:pPr>
              <w:pStyle w:val="TableParagraph"/>
              <w:spacing w:line="238" w:lineRule="exact"/>
              <w:ind w:left="680"/>
              <w:rPr>
                <w:sz w:val="21"/>
              </w:rPr>
            </w:pPr>
            <w:r>
              <w:rPr>
                <w:sz w:val="21"/>
              </w:rPr>
              <w:t>5.2 效力恢复</w:t>
            </w:r>
          </w:p>
        </w:tc>
        <w:tc>
          <w:tcPr>
            <w:tcW w:w="1304" w:type="dxa"/>
          </w:tcPr>
          <w:p>
            <w:pPr>
              <w:pStyle w:val="TableParagraph"/>
              <w:spacing w:line="253" w:lineRule="exact"/>
              <w:ind w:right="-15"/>
              <w:jc w:val="right"/>
              <w:rPr>
                <w:sz w:val="21"/>
              </w:rPr>
            </w:pPr>
            <w:r>
              <w:rPr>
                <w:sz w:val="21"/>
              </w:rPr>
              <w:t>8.17</w:t>
            </w:r>
          </w:p>
        </w:tc>
        <w:tc>
          <w:tcPr>
            <w:tcW w:w="3618" w:type="dxa"/>
            <w:tcBorders>
              <w:right w:val="dotted" w:sz="6" w:space="0" w:color="000000"/>
            </w:tcBorders>
          </w:tcPr>
          <w:p>
            <w:pPr>
              <w:pStyle w:val="TableParagraph"/>
              <w:spacing w:line="253" w:lineRule="exact"/>
              <w:ind w:left="112"/>
              <w:rPr>
                <w:sz w:val="21"/>
              </w:rPr>
            </w:pPr>
            <w:r>
              <w:rPr>
                <w:sz w:val="21"/>
              </w:rPr>
              <w:t>感染艾滋病病毒或患艾滋病</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1304" w:type="dxa"/>
          </w:tcPr>
          <w:p>
            <w:pPr>
              <w:pStyle w:val="TableParagraph"/>
              <w:spacing w:line="254" w:lineRule="exact"/>
              <w:ind w:right="-15"/>
              <w:jc w:val="right"/>
              <w:rPr>
                <w:sz w:val="21"/>
              </w:rPr>
            </w:pPr>
            <w:r>
              <w:rPr>
                <w:sz w:val="21"/>
              </w:rPr>
              <w:t>8.18</w:t>
            </w:r>
          </w:p>
        </w:tc>
        <w:tc>
          <w:tcPr>
            <w:tcW w:w="3618" w:type="dxa"/>
            <w:tcBorders>
              <w:right w:val="dotted" w:sz="6" w:space="0" w:color="000000"/>
            </w:tcBorders>
          </w:tcPr>
          <w:p>
            <w:pPr>
              <w:pStyle w:val="TableParagraph"/>
              <w:spacing w:line="254" w:lineRule="exact"/>
              <w:ind w:left="112"/>
              <w:rPr>
                <w:sz w:val="21"/>
              </w:rPr>
            </w:pPr>
            <w:r>
              <w:rPr>
                <w:sz w:val="21"/>
              </w:rPr>
              <w:t>遗传性疾病</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6.1 合同解除</w:t>
            </w:r>
          </w:p>
        </w:tc>
        <w:tc>
          <w:tcPr>
            <w:tcW w:w="1304" w:type="dxa"/>
          </w:tcPr>
          <w:p>
            <w:pPr>
              <w:pStyle w:val="TableParagraph"/>
              <w:spacing w:line="252" w:lineRule="exact"/>
              <w:ind w:right="-15"/>
              <w:jc w:val="right"/>
              <w:rPr>
                <w:sz w:val="21"/>
              </w:rPr>
            </w:pPr>
            <w:r>
              <w:rPr>
                <w:sz w:val="21"/>
              </w:rPr>
              <w:t>8.19</w:t>
            </w:r>
          </w:p>
        </w:tc>
        <w:tc>
          <w:tcPr>
            <w:tcW w:w="3618" w:type="dxa"/>
            <w:tcBorders>
              <w:right w:val="dotted" w:sz="6" w:space="0" w:color="000000"/>
            </w:tcBorders>
          </w:tcPr>
          <w:p>
            <w:pPr>
              <w:pStyle w:val="TableParagraph"/>
              <w:spacing w:line="252" w:lineRule="exact"/>
              <w:ind w:left="112"/>
              <w:rPr>
                <w:sz w:val="21"/>
              </w:rPr>
            </w:pPr>
            <w:r>
              <w:rPr>
                <w:sz w:val="21"/>
              </w:rPr>
              <w:t>先天性畸形、变形或染色体异常</w:t>
            </w:r>
          </w:p>
        </w:tc>
      </w:tr>
      <w:tr>
        <w:trPr>
          <w:trHeight w:val="263" w:hRule="atLeast"/>
        </w:trPr>
        <w:tc>
          <w:tcPr>
            <w:tcW w:w="3463" w:type="dxa"/>
            <w:tcBorders>
              <w:left w:val="dotted" w:sz="6" w:space="0" w:color="000000"/>
            </w:tcBorders>
          </w:tcPr>
          <w:p>
            <w:pPr>
              <w:pStyle w:val="TableParagraph"/>
              <w:spacing w:line="243" w:lineRule="exact"/>
              <w:ind w:left="469"/>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1304" w:type="dxa"/>
          </w:tcPr>
          <w:p>
            <w:pPr>
              <w:pStyle w:val="TableParagraph"/>
              <w:spacing w:line="239" w:lineRule="exact"/>
              <w:ind w:right="-15"/>
              <w:jc w:val="right"/>
              <w:rPr>
                <w:sz w:val="21"/>
              </w:rPr>
            </w:pPr>
            <w:r>
              <w:rPr>
                <w:sz w:val="21"/>
              </w:rPr>
              <w:t>8.20</w:t>
            </w:r>
          </w:p>
        </w:tc>
        <w:tc>
          <w:tcPr>
            <w:tcW w:w="3618" w:type="dxa"/>
            <w:tcBorders>
              <w:right w:val="dotted" w:sz="6" w:space="0" w:color="000000"/>
            </w:tcBorders>
          </w:tcPr>
          <w:p>
            <w:pPr>
              <w:pStyle w:val="TableParagraph"/>
              <w:spacing w:line="239" w:lineRule="exact"/>
              <w:ind w:left="112"/>
              <w:rPr>
                <w:sz w:val="21"/>
              </w:rPr>
            </w:pPr>
            <w:r>
              <w:rPr>
                <w:sz w:val="21"/>
              </w:rPr>
              <w:t>危险保额</w:t>
            </w:r>
          </w:p>
        </w:tc>
      </w:tr>
      <w:tr>
        <w:trPr>
          <w:trHeight w:val="270" w:hRule="atLeast"/>
        </w:trPr>
        <w:tc>
          <w:tcPr>
            <w:tcW w:w="3463" w:type="dxa"/>
            <w:tcBorders>
              <w:left w:val="dotted" w:sz="6" w:space="0" w:color="000000"/>
            </w:tcBorders>
          </w:tcPr>
          <w:p>
            <w:pPr>
              <w:pStyle w:val="TableParagraph"/>
              <w:spacing w:line="251" w:lineRule="exact"/>
              <w:ind w:left="680"/>
              <w:rPr>
                <w:sz w:val="21"/>
              </w:rPr>
            </w:pPr>
            <w:r>
              <w:rPr>
                <w:sz w:val="21"/>
              </w:rPr>
              <w:t>7.1 投保年龄</w:t>
            </w:r>
          </w:p>
        </w:tc>
        <w:tc>
          <w:tcPr>
            <w:tcW w:w="1304" w:type="dxa"/>
          </w:tcPr>
          <w:p>
            <w:pPr>
              <w:pStyle w:val="TableParagraph"/>
              <w:spacing w:line="235" w:lineRule="exact"/>
              <w:ind w:right="-15"/>
              <w:jc w:val="right"/>
              <w:rPr>
                <w:sz w:val="21"/>
              </w:rPr>
            </w:pPr>
            <w:r>
              <w:rPr>
                <w:sz w:val="21"/>
              </w:rPr>
              <w:t>8.21</w:t>
            </w:r>
          </w:p>
        </w:tc>
        <w:tc>
          <w:tcPr>
            <w:tcW w:w="3618" w:type="dxa"/>
            <w:tcBorders>
              <w:right w:val="dotted" w:sz="6" w:space="0" w:color="000000"/>
            </w:tcBorders>
          </w:tcPr>
          <w:p>
            <w:pPr>
              <w:pStyle w:val="TableParagraph"/>
              <w:spacing w:line="235" w:lineRule="exact"/>
              <w:ind w:left="112"/>
              <w:rPr>
                <w:sz w:val="21"/>
              </w:rPr>
            </w:pPr>
            <w:r>
              <w:rPr>
                <w:sz w:val="21"/>
              </w:rPr>
              <w:t>周岁</w:t>
            </w:r>
          </w:p>
        </w:tc>
      </w:tr>
      <w:tr>
        <w:trPr>
          <w:trHeight w:val="298" w:hRule="atLeast"/>
        </w:trPr>
        <w:tc>
          <w:tcPr>
            <w:tcW w:w="3463" w:type="dxa"/>
            <w:tcBorders>
              <w:left w:val="dotted" w:sz="6" w:space="0" w:color="000000"/>
            </w:tcBorders>
          </w:tcPr>
          <w:p>
            <w:pPr>
              <w:pStyle w:val="TableParagraph"/>
              <w:spacing w:line="263" w:lineRule="exact"/>
              <w:ind w:left="680"/>
              <w:rPr>
                <w:sz w:val="21"/>
              </w:rPr>
            </w:pPr>
            <w:r>
              <w:rPr>
                <w:sz w:val="21"/>
              </w:rPr>
              <w:t>7.2 年龄错误</w:t>
            </w:r>
          </w:p>
        </w:tc>
        <w:tc>
          <w:tcPr>
            <w:tcW w:w="1304" w:type="dxa"/>
          </w:tcPr>
          <w:p>
            <w:pPr>
              <w:pStyle w:val="TableParagraph"/>
              <w:spacing w:line="226" w:lineRule="exact"/>
              <w:ind w:right="-15"/>
              <w:jc w:val="right"/>
              <w:rPr>
                <w:sz w:val="21"/>
              </w:rPr>
            </w:pPr>
            <w:r>
              <w:rPr>
                <w:sz w:val="21"/>
              </w:rPr>
              <w:t>8.22</w:t>
            </w:r>
          </w:p>
        </w:tc>
        <w:tc>
          <w:tcPr>
            <w:tcW w:w="3618" w:type="dxa"/>
            <w:tcBorders>
              <w:right w:val="dotted" w:sz="6" w:space="0" w:color="000000"/>
            </w:tcBorders>
          </w:tcPr>
          <w:p>
            <w:pPr>
              <w:pStyle w:val="TableParagraph"/>
              <w:spacing w:line="226" w:lineRule="exact"/>
              <w:ind w:left="112"/>
              <w:rPr>
                <w:sz w:val="21"/>
              </w:rPr>
            </w:pPr>
            <w:r>
              <w:rPr>
                <w:sz w:val="21"/>
              </w:rPr>
              <w:t>剩余保单年度</w:t>
            </w:r>
          </w:p>
        </w:tc>
      </w:tr>
      <w:tr>
        <w:trPr>
          <w:trHeight w:val="371" w:hRule="atLeast"/>
        </w:trPr>
        <w:tc>
          <w:tcPr>
            <w:tcW w:w="3463" w:type="dxa"/>
            <w:tcBorders>
              <w:left w:val="dotted" w:sz="6" w:space="0" w:color="000000"/>
              <w:bottom w:val="dotted" w:sz="6" w:space="0" w:color="000000"/>
            </w:tcBorders>
          </w:tcPr>
          <w:p>
            <w:pPr>
              <w:pStyle w:val="TableParagraph"/>
              <w:spacing w:line="246" w:lineRule="exact"/>
              <w:ind w:left="680"/>
              <w:rPr>
                <w:sz w:val="21"/>
              </w:rPr>
            </w:pPr>
            <w:r>
              <w:rPr>
                <w:sz w:val="21"/>
              </w:rPr>
              <w:t>7.3 合同内容变更</w:t>
            </w:r>
          </w:p>
        </w:tc>
        <w:tc>
          <w:tcPr>
            <w:tcW w:w="1304" w:type="dxa"/>
            <w:tcBorders>
              <w:bottom w:val="dotted" w:sz="6" w:space="0" w:color="000000"/>
            </w:tcBorders>
          </w:tcPr>
          <w:p>
            <w:pPr>
              <w:pStyle w:val="TableParagraph"/>
              <w:spacing w:line="240" w:lineRule="auto"/>
              <w:rPr>
                <w:rFonts w:ascii="Times New Roman"/>
                <w:sz w:val="20"/>
              </w:rPr>
            </w:pPr>
          </w:p>
        </w:tc>
        <w:tc>
          <w:tcPr>
            <w:tcW w:w="3618" w:type="dxa"/>
            <w:tcBorders>
              <w:bottom w:val="dotted" w:sz="6" w:space="0" w:color="000000"/>
              <w:right w:val="dotted" w:sz="6" w:space="0" w:color="000000"/>
            </w:tcBorders>
          </w:tcPr>
          <w:p>
            <w:pPr>
              <w:pStyle w:val="TableParagraph"/>
              <w:spacing w:line="240" w:lineRule="auto"/>
              <w:rPr>
                <w:rFonts w:ascii="Times New Roman"/>
                <w:sz w:val="20"/>
              </w:rPr>
            </w:pPr>
          </w:p>
        </w:tc>
      </w:tr>
    </w:tbl>
    <w:p>
      <w:pPr>
        <w:spacing w:before="422"/>
        <w:ind w:left="0" w:right="114" w:firstLine="0"/>
        <w:jc w:val="right"/>
        <w:rPr>
          <w:rFonts w:ascii="Times New Roman" w:eastAsia="Times New Roman"/>
          <w:sz w:val="18"/>
        </w:rPr>
      </w:pPr>
      <w:r>
        <w:rPr>
          <w:sz w:val="18"/>
        </w:rPr>
        <w:t>险种简称：无忧豁免 </w:t>
      </w:r>
      <w:r>
        <w:rPr>
          <w:rFonts w:ascii="Times New Roman" w:eastAsia="Times New Roman"/>
          <w:sz w:val="18"/>
        </w:rPr>
        <w:t>C</w:t>
      </w:r>
    </w:p>
    <w:p>
      <w:pPr>
        <w:spacing w:before="59"/>
        <w:ind w:left="0" w:right="726" w:firstLine="0"/>
        <w:jc w:val="right"/>
        <w:rPr>
          <w:rFonts w:ascii="Times New Roman" w:eastAsia="Times New Roman"/>
          <w:sz w:val="18"/>
        </w:rPr>
      </w:pPr>
      <w:r>
        <w:rPr>
          <w:sz w:val="18"/>
        </w:rPr>
        <w:t>险种代码：</w:t>
      </w:r>
      <w:r>
        <w:rPr>
          <w:rFonts w:ascii="Times New Roman" w:eastAsia="Times New Roman"/>
          <w:sz w:val="18"/>
        </w:rPr>
        <w:t>836</w:t>
      </w:r>
    </w:p>
    <w:p>
      <w:pPr>
        <w:spacing w:after="0"/>
        <w:jc w:val="right"/>
        <w:rPr>
          <w:rFonts w:ascii="Times New Roman" w:eastAsia="Times New Roman"/>
          <w:sz w:val="18"/>
        </w:rPr>
        <w:sectPr>
          <w:type w:val="continuous"/>
          <w:pgSz w:w="11910" w:h="16840"/>
          <w:pgMar w:top="440" w:bottom="280" w:left="880" w:right="680"/>
        </w:sectPr>
      </w:pPr>
    </w:p>
    <w:p>
      <w:pPr>
        <w:pStyle w:val="BodyText"/>
        <w:spacing w:before="0"/>
        <w:ind w:left="223"/>
        <w:rPr>
          <w:rFonts w:ascii="Times New Roman"/>
          <w:sz w:val="20"/>
        </w:rPr>
      </w:pPr>
      <w:r>
        <w:rPr/>
        <w:pict>
          <v:shape style="position:absolute;margin-left:178.200012pt;margin-top:728.639954pt;width:343.95pt;height:76.1pt;mso-position-horizontal-relative:page;mso-position-vertical-relative:page;z-index:-56248" coordorigin="3564,14573" coordsize="6879,1522" path="m10025,15821l3564,15821,3564,16094,10025,16094,10025,15821m10442,15509l3564,15509,3564,15782,10442,15782,10442,15509m10442,15197l3564,15197,3564,15470,10442,15470,10442,15197m10442,14885l3564,14885,3564,15158,10442,15158,10442,14885m10442,14573l3564,14573,3564,14846,10442,14846,10442,14573e" filled="true" fillcolor="#dadada" stroked="false">
            <v:path arrowok="t"/>
            <v:fill type="solid"/>
            <w10:wrap type="none"/>
          </v:shape>
        </w:pict>
      </w:r>
      <w:r>
        <w:rPr>
          <w:rFonts w:ascii="Times New Roman"/>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rFonts w:ascii="Times New Roman"/>
          <w:sz w:val="20"/>
        </w:rPr>
      </w: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3"/>
        </w:rPr>
      </w:pPr>
      <w:r>
        <w:rPr/>
        <w:drawing>
          <wp:anchor distT="0" distB="0" distL="0" distR="0" allowOverlap="1" layoutInCell="1" locked="0" behindDoc="0" simplePos="0" relativeHeight="1072">
            <wp:simplePos x="0" y="0"/>
            <wp:positionH relativeFrom="page">
              <wp:posOffset>1442973</wp:posOffset>
            </wp:positionH>
            <wp:positionV relativeFrom="paragraph">
              <wp:posOffset>121330</wp:posOffset>
            </wp:positionV>
            <wp:extent cx="4614417"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spacing w:before="0"/>
        <w:rPr>
          <w:rFonts w:ascii="Times New Roman"/>
          <w:sz w:val="11"/>
        </w:rPr>
      </w:pPr>
    </w:p>
    <w:p>
      <w:pPr>
        <w:pStyle w:val="Heading1"/>
        <w:spacing w:line="505" w:lineRule="exact"/>
        <w:ind w:left="1664" w:right="1229"/>
      </w:pPr>
      <w:r>
        <w:rPr/>
        <w:t>平安附加无忧豁免保险费重大疾病保险（C）条款</w:t>
      </w:r>
    </w:p>
    <w:p>
      <w:pPr>
        <w:pStyle w:val="BodyText"/>
        <w:spacing w:before="107"/>
        <w:ind w:left="1664" w:right="1224"/>
        <w:jc w:val="center"/>
      </w:pPr>
      <w:r>
        <w:rPr/>
        <w:t>（平保寿发［2012］155 号，2012 年 6 月呈报中国保监会备案）</w:t>
      </w:r>
    </w:p>
    <w:p>
      <w:pPr>
        <w:pStyle w:val="BodyText"/>
        <w:spacing w:before="0"/>
        <w:rPr>
          <w:sz w:val="20"/>
        </w:rPr>
      </w:pPr>
    </w:p>
    <w:p>
      <w:pPr>
        <w:pStyle w:val="BodyText"/>
        <w:spacing w:before="0"/>
        <w:rPr>
          <w:sz w:val="20"/>
        </w:rPr>
      </w:pPr>
    </w:p>
    <w:p>
      <w:pPr>
        <w:pStyle w:val="BodyText"/>
        <w:spacing w:before="137"/>
        <w:ind w:left="220"/>
      </w:pPr>
      <w:r>
        <w:rPr/>
        <w:t>在本条款中，“您”指投保人，“我们”、“本公司”均指中国平安人寿保险股份有限公司。</w:t>
      </w:r>
    </w:p>
    <w:p>
      <w:pPr>
        <w:pStyle w:val="BodyText"/>
        <w:spacing w:before="0"/>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886"/>
        <w:gridCol w:w="6986"/>
      </w:tblGrid>
      <w:tr>
        <w:trPr>
          <w:trHeight w:val="522" w:hRule="atLeast"/>
        </w:trPr>
        <w:tc>
          <w:tcPr>
            <w:tcW w:w="76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line="240" w:lineRule="auto" w:before="14"/>
              <w:ind w:left="300"/>
              <w:rPr>
                <w:b/>
                <w:sz w:val="24"/>
              </w:rPr>
            </w:pPr>
            <w:r>
              <w:rPr>
                <w:b/>
                <w:w w:val="95"/>
                <w:sz w:val="24"/>
              </w:rPr>
              <w:t>您与我们的合同</w:t>
            </w:r>
          </w:p>
        </w:tc>
      </w:tr>
      <w:tr>
        <w:trPr>
          <w:trHeight w:val="1342" w:hRule="atLeast"/>
        </w:trPr>
        <w:tc>
          <w:tcPr>
            <w:tcW w:w="765" w:type="dxa"/>
            <w:tcBorders>
              <w:top w:val="single" w:sz="8" w:space="0" w:color="000000"/>
            </w:tcBorders>
          </w:tcPr>
          <w:p>
            <w:pPr>
              <w:pStyle w:val="TableParagraph"/>
              <w:spacing w:line="240" w:lineRule="auto" w:before="2"/>
              <w:rPr>
                <w:sz w:val="19"/>
              </w:rPr>
            </w:pPr>
          </w:p>
          <w:p>
            <w:pPr>
              <w:pStyle w:val="TableParagraph"/>
              <w:spacing w:line="240" w:lineRule="auto"/>
              <w:ind w:left="107"/>
              <w:rPr>
                <w:b/>
                <w:sz w:val="21"/>
              </w:rPr>
            </w:pPr>
            <w:r>
              <w:rPr>
                <w:b/>
                <w:sz w:val="21"/>
              </w:rPr>
              <w:t>1.1</w:t>
            </w:r>
          </w:p>
        </w:tc>
        <w:tc>
          <w:tcPr>
            <w:tcW w:w="1886" w:type="dxa"/>
            <w:tcBorders>
              <w:top w:val="single" w:sz="8" w:space="0" w:color="000000"/>
            </w:tcBorders>
          </w:tcPr>
          <w:p>
            <w:pPr>
              <w:pStyle w:val="TableParagraph"/>
              <w:spacing w:line="240" w:lineRule="auto" w:before="2"/>
              <w:rPr>
                <w:sz w:val="19"/>
              </w:rPr>
            </w:pPr>
          </w:p>
          <w:p>
            <w:pPr>
              <w:pStyle w:val="TableParagraph"/>
              <w:spacing w:line="240" w:lineRule="auto"/>
              <w:ind w:left="300"/>
              <w:rPr>
                <w:b/>
                <w:sz w:val="21"/>
              </w:rPr>
            </w:pPr>
            <w:r>
              <w:rPr>
                <w:b/>
                <w:sz w:val="21"/>
              </w:rPr>
              <w:t>合同订立</w:t>
            </w:r>
          </w:p>
        </w:tc>
        <w:tc>
          <w:tcPr>
            <w:tcW w:w="6986" w:type="dxa"/>
            <w:tcBorders>
              <w:top w:val="single" w:sz="8" w:space="0" w:color="000000"/>
            </w:tcBorders>
          </w:tcPr>
          <w:p>
            <w:pPr>
              <w:pStyle w:val="TableParagraph"/>
              <w:spacing w:line="240" w:lineRule="auto" w:before="2"/>
              <w:rPr>
                <w:sz w:val="19"/>
              </w:rPr>
            </w:pPr>
          </w:p>
          <w:p>
            <w:pPr>
              <w:pStyle w:val="TableParagraph"/>
              <w:spacing w:line="273" w:lineRule="auto"/>
              <w:ind w:left="1" w:right="99"/>
              <w:jc w:val="both"/>
              <w:rPr>
                <w:sz w:val="21"/>
              </w:rPr>
            </w:pPr>
            <w:r>
              <w:rPr>
                <w:spacing w:val="-4"/>
                <w:w w:val="100"/>
                <w:sz w:val="21"/>
              </w:rPr>
              <w:t>“平安附加无忧豁免保险费重大疾病保险</w:t>
            </w:r>
            <w:r>
              <w:rPr>
                <w:spacing w:val="-3"/>
                <w:w w:val="100"/>
                <w:sz w:val="21"/>
              </w:rPr>
              <w:t>（</w:t>
            </w:r>
            <w:r>
              <w:rPr>
                <w:spacing w:val="-1"/>
                <w:w w:val="100"/>
                <w:sz w:val="21"/>
              </w:rPr>
              <w:t>C</w:t>
            </w:r>
            <w:r>
              <w:rPr>
                <w:spacing w:val="-15"/>
                <w:w w:val="100"/>
                <w:sz w:val="21"/>
              </w:rPr>
              <w:t>）</w:t>
            </w:r>
            <w:r>
              <w:rPr>
                <w:spacing w:val="-41"/>
                <w:w w:val="100"/>
                <w:sz w:val="21"/>
              </w:rPr>
              <w:t>合同”</w:t>
            </w:r>
            <w:r>
              <w:rPr>
                <w:spacing w:val="-3"/>
                <w:w w:val="100"/>
                <w:sz w:val="21"/>
              </w:rPr>
              <w:t>（</w:t>
            </w:r>
            <w:r>
              <w:rPr>
                <w:spacing w:val="-5"/>
                <w:w w:val="100"/>
                <w:sz w:val="21"/>
              </w:rPr>
              <w:t>以下简称“本附加险</w:t>
            </w:r>
            <w:r>
              <w:rPr>
                <w:spacing w:val="-37"/>
                <w:w w:val="100"/>
                <w:sz w:val="21"/>
              </w:rPr>
              <w:t>合同”</w:t>
            </w:r>
            <w:r>
              <w:rPr>
                <w:spacing w:val="-10"/>
                <w:w w:val="100"/>
                <w:sz w:val="21"/>
              </w:rPr>
              <w:t>）</w:t>
            </w:r>
            <w:r>
              <w:rPr>
                <w:spacing w:val="-5"/>
                <w:w w:val="100"/>
                <w:sz w:val="21"/>
              </w:rPr>
              <w:t>由主保险合同</w:t>
            </w:r>
            <w:r>
              <w:rPr>
                <w:w w:val="100"/>
                <w:sz w:val="21"/>
              </w:rPr>
              <w:t>（</w:t>
            </w:r>
            <w:r>
              <w:rPr>
                <w:spacing w:val="-16"/>
                <w:w w:val="100"/>
                <w:sz w:val="21"/>
              </w:rPr>
              <w:t>以下简称“主险合同”</w:t>
            </w:r>
            <w:r>
              <w:rPr>
                <w:spacing w:val="-12"/>
                <w:w w:val="100"/>
                <w:sz w:val="21"/>
              </w:rPr>
              <w:t>）</w:t>
            </w:r>
            <w:r>
              <w:rPr>
                <w:spacing w:val="-5"/>
                <w:w w:val="100"/>
                <w:sz w:val="21"/>
              </w:rPr>
              <w:t>投保人提出申请，经我们同</w:t>
            </w:r>
            <w:r>
              <w:rPr>
                <w:spacing w:val="-4"/>
                <w:sz w:val="21"/>
              </w:rPr>
              <w:t>意而订立。</w:t>
            </w:r>
          </w:p>
        </w:tc>
      </w:tr>
      <w:tr>
        <w:trPr>
          <w:trHeight w:val="1843" w:hRule="atLeast"/>
        </w:trPr>
        <w:tc>
          <w:tcPr>
            <w:tcW w:w="765" w:type="dxa"/>
          </w:tcPr>
          <w:p>
            <w:pPr>
              <w:pStyle w:val="TableParagraph"/>
              <w:spacing w:line="240" w:lineRule="auto" w:before="128"/>
              <w:ind w:left="107"/>
              <w:rPr>
                <w:b/>
                <w:sz w:val="21"/>
              </w:rPr>
            </w:pPr>
            <w:r>
              <w:rPr>
                <w:b/>
                <w:sz w:val="21"/>
              </w:rPr>
              <w:t>1.2</w:t>
            </w:r>
          </w:p>
        </w:tc>
        <w:tc>
          <w:tcPr>
            <w:tcW w:w="1886" w:type="dxa"/>
          </w:tcPr>
          <w:p>
            <w:pPr>
              <w:pStyle w:val="TableParagraph"/>
              <w:spacing w:line="240" w:lineRule="auto" w:before="128"/>
              <w:ind w:left="300"/>
              <w:rPr>
                <w:b/>
                <w:sz w:val="21"/>
              </w:rPr>
            </w:pPr>
            <w:r>
              <w:rPr>
                <w:b/>
                <w:sz w:val="21"/>
              </w:rPr>
              <w:t>合同生效</w:t>
            </w:r>
          </w:p>
        </w:tc>
        <w:tc>
          <w:tcPr>
            <w:tcW w:w="6986" w:type="dxa"/>
          </w:tcPr>
          <w:p>
            <w:pPr>
              <w:pStyle w:val="TableParagraph"/>
              <w:spacing w:line="273" w:lineRule="auto" w:before="128"/>
              <w:ind w:left="1" w:right="51"/>
              <w:rPr>
                <w:sz w:val="21"/>
              </w:rPr>
            </w:pPr>
            <w:r>
              <w:rPr>
                <w:sz w:val="21"/>
              </w:rPr>
              <w:t>如果本附加险合同与主险合同同时投保，本附加险合同的生效日与主险合同相同。</w:t>
            </w:r>
          </w:p>
          <w:p>
            <w:pPr>
              <w:pStyle w:val="TableParagraph"/>
              <w:spacing w:line="273" w:lineRule="auto" w:before="7"/>
              <w:ind w:left="1" w:right="50"/>
              <w:rPr>
                <w:sz w:val="21"/>
              </w:rPr>
            </w:pPr>
            <w:r>
              <w:rPr>
                <w:sz w:val="21"/>
              </w:rPr>
              <w:t>如果您在主险合同有效期内投保本附加险合同，本附加险合同生效日以批注所载的日期为准。</w:t>
            </w:r>
          </w:p>
          <w:p>
            <w:pPr>
              <w:pStyle w:val="TableParagraph"/>
              <w:spacing w:line="240" w:lineRule="auto" w:before="7"/>
              <w:ind w:left="1"/>
              <w:rPr>
                <w:sz w:val="21"/>
              </w:rPr>
            </w:pPr>
            <w:r>
              <w:rPr>
                <w:sz w:val="21"/>
              </w:rPr>
              <w:t>本附加险合同的保单周年日同主险合同的保单周年日。</w:t>
            </w:r>
          </w:p>
        </w:tc>
      </w:tr>
      <w:tr>
        <w:trPr>
          <w:trHeight w:val="727" w:hRule="atLeast"/>
        </w:trPr>
        <w:tc>
          <w:tcPr>
            <w:tcW w:w="765" w:type="dxa"/>
          </w:tcPr>
          <w:p>
            <w:pPr>
              <w:pStyle w:val="TableParagraph"/>
              <w:spacing w:line="240" w:lineRule="auto" w:before="128"/>
              <w:ind w:left="107"/>
              <w:rPr>
                <w:b/>
                <w:sz w:val="21"/>
              </w:rPr>
            </w:pPr>
            <w:r>
              <w:rPr>
                <w:b/>
                <w:sz w:val="21"/>
              </w:rPr>
              <w:t>1.3</w:t>
            </w:r>
          </w:p>
        </w:tc>
        <w:tc>
          <w:tcPr>
            <w:tcW w:w="1886" w:type="dxa"/>
          </w:tcPr>
          <w:p>
            <w:pPr>
              <w:pStyle w:val="TableParagraph"/>
              <w:spacing w:line="240" w:lineRule="auto" w:before="128"/>
              <w:ind w:left="300"/>
              <w:rPr>
                <w:b/>
                <w:sz w:val="21"/>
              </w:rPr>
            </w:pPr>
            <w:r>
              <w:rPr>
                <w:b/>
                <w:sz w:val="21"/>
              </w:rPr>
              <w:t>投保对象</w:t>
            </w:r>
          </w:p>
        </w:tc>
        <w:tc>
          <w:tcPr>
            <w:tcW w:w="6986" w:type="dxa"/>
          </w:tcPr>
          <w:p>
            <w:pPr>
              <w:pStyle w:val="TableParagraph"/>
              <w:spacing w:line="240" w:lineRule="auto" w:before="128"/>
              <w:ind w:left="1"/>
              <w:rPr>
                <w:sz w:val="21"/>
              </w:rPr>
            </w:pPr>
            <w:r>
              <w:rPr>
                <w:sz w:val="21"/>
              </w:rPr>
              <w:t>主险合同的被保险人作为本附加险合同的被保险人。</w:t>
            </w:r>
          </w:p>
        </w:tc>
      </w:tr>
      <w:tr>
        <w:trPr>
          <w:trHeight w:val="2599" w:hRule="atLeast"/>
        </w:trPr>
        <w:tc>
          <w:tcPr>
            <w:tcW w:w="765" w:type="dxa"/>
          </w:tcPr>
          <w:p>
            <w:pPr>
              <w:pStyle w:val="TableParagraph"/>
              <w:spacing w:line="240" w:lineRule="auto" w:before="11"/>
              <w:rPr>
                <w:sz w:val="19"/>
              </w:rPr>
            </w:pPr>
          </w:p>
          <w:p>
            <w:pPr>
              <w:pStyle w:val="TableParagraph"/>
              <w:spacing w:line="240" w:lineRule="auto"/>
              <w:ind w:left="107"/>
              <w:rPr>
                <w:b/>
                <w:sz w:val="21"/>
              </w:rPr>
            </w:pPr>
            <w:r>
              <w:rPr>
                <w:b/>
                <w:sz w:val="21"/>
              </w:rPr>
              <w:t>1.4</w:t>
            </w:r>
          </w:p>
        </w:tc>
        <w:tc>
          <w:tcPr>
            <w:tcW w:w="1886" w:type="dxa"/>
          </w:tcPr>
          <w:p>
            <w:pPr>
              <w:pStyle w:val="TableParagraph"/>
              <w:spacing w:line="240" w:lineRule="auto" w:before="11"/>
              <w:rPr>
                <w:sz w:val="19"/>
              </w:rPr>
            </w:pPr>
          </w:p>
          <w:p>
            <w:pPr>
              <w:pStyle w:val="TableParagraph"/>
              <w:spacing w:line="240" w:lineRule="auto"/>
              <w:ind w:left="300"/>
              <w:rPr>
                <w:b/>
                <w:sz w:val="21"/>
              </w:rPr>
            </w:pPr>
            <w:r>
              <w:rPr>
                <w:b/>
                <w:sz w:val="21"/>
              </w:rPr>
              <w:t>犹豫期</w:t>
            </w:r>
          </w:p>
        </w:tc>
        <w:tc>
          <w:tcPr>
            <w:tcW w:w="6986" w:type="dxa"/>
          </w:tcPr>
          <w:p>
            <w:pPr>
              <w:pStyle w:val="TableParagraph"/>
              <w:spacing w:line="240" w:lineRule="auto" w:before="11"/>
              <w:rPr>
                <w:sz w:val="19"/>
              </w:rPr>
            </w:pPr>
          </w:p>
          <w:p>
            <w:pPr>
              <w:pStyle w:val="TableParagraph"/>
              <w:spacing w:line="273" w:lineRule="auto"/>
              <w:ind w:left="1" w:right="99"/>
              <w:rPr>
                <w:sz w:val="21"/>
              </w:rPr>
            </w:pPr>
            <w:r>
              <w:rPr>
                <w:spacing w:val="-6"/>
                <w:sz w:val="21"/>
              </w:rPr>
              <w:t>自您签收本附加险合同次日起，有 </w:t>
            </w:r>
            <w:r>
              <w:rPr>
                <w:sz w:val="21"/>
              </w:rPr>
              <w:t>10</w:t>
            </w:r>
            <w:r>
              <w:rPr>
                <w:spacing w:val="-8"/>
                <w:sz w:val="21"/>
              </w:rPr>
              <w:t> 日的犹豫期。在此期间请您认真审视</w:t>
            </w:r>
            <w:r>
              <w:rPr>
                <w:spacing w:val="-7"/>
                <w:sz w:val="21"/>
              </w:rPr>
              <w:t>本附加险合同，如果您认为本附加险合同与您的需求不相符，您可以在此期</w:t>
            </w:r>
            <w:r>
              <w:rPr>
                <w:spacing w:val="-9"/>
                <w:sz w:val="21"/>
              </w:rPr>
              <w:t>间提出解除本附加险合同。我们将无息退还已收取的本附加险合同的保障成</w:t>
            </w:r>
            <w:r>
              <w:rPr>
                <w:spacing w:val="-5"/>
                <w:sz w:val="21"/>
              </w:rPr>
              <w:t>本至主险合同保单账户，主险合同保单账户价值按退还的金额等额增加。</w:t>
            </w:r>
            <w:r>
              <w:rPr>
                <w:spacing w:val="-9"/>
                <w:sz w:val="21"/>
              </w:rPr>
              <w:t>解除本附加险合同时，您需要填写申请书，并提供您的保险合同及</w:t>
            </w:r>
            <w:r>
              <w:rPr>
                <w:rFonts w:ascii="黑体" w:eastAsia="黑体" w:hint="eastAsia"/>
                <w:b/>
                <w:sz w:val="21"/>
              </w:rPr>
              <w:t>有效身份</w:t>
            </w:r>
            <w:r>
              <w:rPr>
                <w:rFonts w:ascii="黑体" w:eastAsia="黑体" w:hint="eastAsia"/>
                <w:b/>
                <w:w w:val="100"/>
                <w:sz w:val="21"/>
              </w:rPr>
              <w:t>证件</w:t>
            </w:r>
            <w:r>
              <w:rPr>
                <w:w w:val="100"/>
                <w:sz w:val="21"/>
              </w:rPr>
              <w:t>（见</w:t>
            </w:r>
            <w:r>
              <w:rPr>
                <w:spacing w:val="-55"/>
                <w:sz w:val="21"/>
              </w:rPr>
              <w:t> </w:t>
            </w:r>
            <w:r>
              <w:rPr>
                <w:w w:val="100"/>
                <w:sz w:val="21"/>
              </w:rPr>
              <w:t>8.1</w:t>
            </w:r>
            <w:r>
              <w:rPr>
                <w:spacing w:val="-108"/>
                <w:w w:val="100"/>
                <w:sz w:val="21"/>
              </w:rPr>
              <w:t>）</w:t>
            </w:r>
            <w:r>
              <w:rPr>
                <w:spacing w:val="-3"/>
                <w:w w:val="100"/>
                <w:sz w:val="21"/>
              </w:rPr>
              <w:t>。自我们收到您解除合同的书面申请时起，本附加险合同即</w:t>
            </w:r>
            <w:r>
              <w:rPr>
                <w:spacing w:val="-3"/>
                <w:sz w:val="21"/>
              </w:rPr>
              <w:t>被解除，合同解除前发生的保险事故我们不承担保险责任。</w:t>
            </w:r>
          </w:p>
        </w:tc>
      </w:tr>
      <w:tr>
        <w:trPr>
          <w:trHeight w:val="1244" w:hRule="atLeast"/>
        </w:trPr>
        <w:tc>
          <w:tcPr>
            <w:tcW w:w="765" w:type="dxa"/>
          </w:tcPr>
          <w:p>
            <w:pPr>
              <w:pStyle w:val="TableParagraph"/>
              <w:spacing w:line="240" w:lineRule="auto" w:before="128"/>
              <w:ind w:left="107"/>
              <w:rPr>
                <w:b/>
                <w:sz w:val="21"/>
              </w:rPr>
            </w:pPr>
            <w:r>
              <w:rPr>
                <w:b/>
                <w:sz w:val="21"/>
              </w:rPr>
              <w:t>1.5</w:t>
            </w:r>
          </w:p>
        </w:tc>
        <w:tc>
          <w:tcPr>
            <w:tcW w:w="1886" w:type="dxa"/>
          </w:tcPr>
          <w:p>
            <w:pPr>
              <w:pStyle w:val="TableParagraph"/>
              <w:spacing w:line="240" w:lineRule="auto" w:before="128"/>
              <w:ind w:left="300"/>
              <w:rPr>
                <w:b/>
                <w:sz w:val="21"/>
              </w:rPr>
            </w:pPr>
            <w:r>
              <w:rPr>
                <w:b/>
                <w:sz w:val="21"/>
              </w:rPr>
              <w:t>保险期间</w:t>
            </w:r>
          </w:p>
        </w:tc>
        <w:tc>
          <w:tcPr>
            <w:tcW w:w="6986" w:type="dxa"/>
          </w:tcPr>
          <w:p>
            <w:pPr>
              <w:pStyle w:val="TableParagraph"/>
              <w:spacing w:line="273" w:lineRule="auto" w:before="128"/>
              <w:ind w:left="1" w:right="101" w:hanging="1"/>
              <w:rPr>
                <w:sz w:val="21"/>
              </w:rPr>
            </w:pPr>
            <w:r>
              <w:rPr>
                <w:spacing w:val="-5"/>
                <w:sz w:val="21"/>
              </w:rPr>
              <w:t>本附加险合同可附加于主险合同或保险期间超过 </w:t>
            </w:r>
            <w:r>
              <w:rPr>
                <w:sz w:val="21"/>
              </w:rPr>
              <w:t>1</w:t>
            </w:r>
            <w:r>
              <w:rPr>
                <w:spacing w:val="-12"/>
                <w:sz w:val="21"/>
              </w:rPr>
              <w:t> 年的附加险合同，但收取</w:t>
            </w:r>
            <w:r>
              <w:rPr>
                <w:spacing w:val="-3"/>
                <w:sz w:val="21"/>
              </w:rPr>
              <w:t>保障成本的附加险除外。</w:t>
            </w:r>
          </w:p>
          <w:p>
            <w:pPr>
              <w:pStyle w:val="TableParagraph"/>
              <w:spacing w:line="240" w:lineRule="auto" w:before="7"/>
              <w:ind w:left="1"/>
              <w:rPr>
                <w:sz w:val="21"/>
              </w:rPr>
            </w:pPr>
            <w:r>
              <w:rPr>
                <w:sz w:val="21"/>
              </w:rPr>
              <w:t>本附加险合同的保险期间由您与我们约定并在保险单上载明。</w:t>
            </w:r>
          </w:p>
        </w:tc>
      </w:tr>
      <w:tr>
        <w:trPr>
          <w:trHeight w:val="739" w:hRule="atLeast"/>
        </w:trPr>
        <w:tc>
          <w:tcPr>
            <w:tcW w:w="765" w:type="dxa"/>
            <w:tcBorders>
              <w:bottom w:val="single" w:sz="8" w:space="0" w:color="000000"/>
            </w:tcBorders>
          </w:tcPr>
          <w:p>
            <w:pPr>
              <w:pStyle w:val="TableParagraph"/>
              <w:spacing w:line="240" w:lineRule="auto" w:before="180"/>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line="240" w:lineRule="auto" w:before="9"/>
              <w:rPr>
                <w:sz w:val="17"/>
              </w:rPr>
            </w:pPr>
          </w:p>
          <w:p>
            <w:pPr>
              <w:pStyle w:val="TableParagraph"/>
              <w:spacing w:line="240" w:lineRule="auto"/>
              <w:ind w:left="300"/>
              <w:rPr>
                <w:b/>
                <w:sz w:val="24"/>
              </w:rPr>
            </w:pPr>
            <w:r>
              <w:rPr>
                <w:b/>
                <w:w w:val="95"/>
                <w:sz w:val="24"/>
              </w:rPr>
              <w:t>我们提供的保障</w:t>
            </w:r>
          </w:p>
        </w:tc>
      </w:tr>
      <w:tr>
        <w:trPr>
          <w:trHeight w:val="877" w:hRule="atLeast"/>
        </w:trPr>
        <w:tc>
          <w:tcPr>
            <w:tcW w:w="765" w:type="dxa"/>
            <w:tcBorders>
              <w:top w:val="single" w:sz="8" w:space="0" w:color="000000"/>
            </w:tcBorders>
          </w:tcPr>
          <w:p>
            <w:pPr>
              <w:pStyle w:val="TableParagraph"/>
              <w:spacing w:line="240" w:lineRule="auto" w:before="2"/>
              <w:rPr>
                <w:sz w:val="19"/>
              </w:rPr>
            </w:pPr>
          </w:p>
          <w:p>
            <w:pPr>
              <w:pStyle w:val="TableParagraph"/>
              <w:spacing w:line="240" w:lineRule="auto"/>
              <w:ind w:left="107"/>
              <w:rPr>
                <w:b/>
                <w:sz w:val="21"/>
              </w:rPr>
            </w:pPr>
            <w:r>
              <w:rPr>
                <w:b/>
                <w:sz w:val="21"/>
              </w:rPr>
              <w:t>2.1</w:t>
            </w:r>
          </w:p>
        </w:tc>
        <w:tc>
          <w:tcPr>
            <w:tcW w:w="1886" w:type="dxa"/>
            <w:tcBorders>
              <w:top w:val="single" w:sz="8" w:space="0" w:color="000000"/>
            </w:tcBorders>
          </w:tcPr>
          <w:p>
            <w:pPr>
              <w:pStyle w:val="TableParagraph"/>
              <w:spacing w:line="240" w:lineRule="auto" w:before="2"/>
              <w:rPr>
                <w:sz w:val="19"/>
              </w:rPr>
            </w:pPr>
          </w:p>
          <w:p>
            <w:pPr>
              <w:pStyle w:val="TableParagraph"/>
              <w:spacing w:line="240" w:lineRule="auto"/>
              <w:ind w:left="300"/>
              <w:rPr>
                <w:b/>
                <w:sz w:val="21"/>
              </w:rPr>
            </w:pPr>
            <w:r>
              <w:rPr>
                <w:b/>
                <w:sz w:val="21"/>
              </w:rPr>
              <w:t>保险责任</w:t>
            </w:r>
          </w:p>
        </w:tc>
        <w:tc>
          <w:tcPr>
            <w:tcW w:w="6986" w:type="dxa"/>
            <w:tcBorders>
              <w:top w:val="single" w:sz="8" w:space="0" w:color="000000"/>
            </w:tcBorders>
          </w:tcPr>
          <w:p>
            <w:pPr>
              <w:pStyle w:val="TableParagraph"/>
              <w:spacing w:line="240" w:lineRule="auto" w:before="2"/>
              <w:rPr>
                <w:sz w:val="19"/>
              </w:rPr>
            </w:pPr>
          </w:p>
          <w:p>
            <w:pPr>
              <w:pStyle w:val="TableParagraph"/>
              <w:spacing w:line="240" w:lineRule="auto"/>
              <w:ind w:left="1"/>
              <w:rPr>
                <w:sz w:val="21"/>
              </w:rPr>
            </w:pPr>
            <w:r>
              <w:rPr>
                <w:sz w:val="21"/>
              </w:rPr>
              <w:t>在本附加险合同有效期内，我们承担如下保险责任：</w:t>
            </w:r>
          </w:p>
        </w:tc>
      </w:tr>
      <w:tr>
        <w:trPr>
          <w:trHeight w:val="1521" w:hRule="atLeast"/>
        </w:trPr>
        <w:tc>
          <w:tcPr>
            <w:tcW w:w="765" w:type="dxa"/>
          </w:tcPr>
          <w:p>
            <w:pPr>
              <w:pStyle w:val="TableParagraph"/>
              <w:spacing w:line="240" w:lineRule="auto"/>
              <w:rPr>
                <w:rFonts w:ascii="Times New Roman"/>
                <w:sz w:val="20"/>
              </w:rPr>
            </w:pPr>
          </w:p>
        </w:tc>
        <w:tc>
          <w:tcPr>
            <w:tcW w:w="1886" w:type="dxa"/>
          </w:tcPr>
          <w:p>
            <w:pPr>
              <w:pStyle w:val="TableParagraph"/>
              <w:spacing w:line="293" w:lineRule="exact"/>
              <w:ind w:left="300"/>
              <w:rPr>
                <w:rFonts w:ascii="等线" w:eastAsia="等线" w:hint="eastAsia"/>
                <w:b/>
                <w:sz w:val="24"/>
              </w:rPr>
            </w:pPr>
            <w:r>
              <w:rPr>
                <w:rFonts w:ascii="等线" w:eastAsia="等线" w:hint="eastAsia"/>
                <w:b/>
                <w:sz w:val="24"/>
              </w:rPr>
              <w:t>等待期</w:t>
            </w:r>
          </w:p>
        </w:tc>
        <w:tc>
          <w:tcPr>
            <w:tcW w:w="6986" w:type="dxa"/>
          </w:tcPr>
          <w:p>
            <w:pPr>
              <w:pStyle w:val="TableParagraph"/>
              <w:spacing w:line="243" w:lineRule="exact"/>
              <w:ind w:left="1"/>
              <w:rPr>
                <w:sz w:val="21"/>
              </w:rPr>
            </w:pPr>
            <w:r>
              <w:rPr>
                <w:sz w:val="21"/>
              </w:rPr>
              <w:t>从本附加险合同生效（或最后复效）之日起 90 日内，被保险人因疾病发生</w:t>
            </w:r>
          </w:p>
          <w:p>
            <w:pPr>
              <w:pStyle w:val="TableParagraph"/>
              <w:spacing w:line="310" w:lineRule="atLeast" w:before="2"/>
              <w:ind w:left="1" w:right="99"/>
              <w:jc w:val="both"/>
              <w:rPr>
                <w:sz w:val="21"/>
              </w:rPr>
            </w:pPr>
            <w:r>
              <w:rPr>
                <w:spacing w:val="-14"/>
                <w:w w:val="100"/>
                <w:sz w:val="21"/>
              </w:rPr>
              <w:t>下列情形之一的：</w:t>
            </w:r>
            <w:r>
              <w:rPr>
                <w:spacing w:val="1"/>
                <w:w w:val="100"/>
                <w:sz w:val="21"/>
              </w:rPr>
              <w:t>（</w:t>
            </w:r>
            <w:r>
              <w:rPr>
                <w:w w:val="100"/>
                <w:sz w:val="21"/>
              </w:rPr>
              <w:t>一</w:t>
            </w:r>
            <w:r>
              <w:rPr>
                <w:spacing w:val="-106"/>
                <w:w w:val="100"/>
                <w:sz w:val="21"/>
              </w:rPr>
              <w:t>）</w:t>
            </w:r>
            <w:r>
              <w:rPr>
                <w:rFonts w:ascii="黑体" w:hAnsi="黑体" w:eastAsia="黑体" w:hint="eastAsia"/>
                <w:b/>
                <w:spacing w:val="-18"/>
                <w:w w:val="100"/>
                <w:sz w:val="21"/>
              </w:rPr>
              <w:t>“重大疾病”</w:t>
            </w:r>
            <w:r>
              <w:rPr>
                <w:w w:val="100"/>
                <w:sz w:val="21"/>
              </w:rPr>
              <w:t>（见</w:t>
            </w:r>
            <w:r>
              <w:rPr>
                <w:sz w:val="21"/>
              </w:rPr>
              <w:t> </w:t>
            </w:r>
            <w:r>
              <w:rPr>
                <w:w w:val="100"/>
                <w:sz w:val="21"/>
              </w:rPr>
              <w:t>8</w:t>
            </w:r>
            <w:r>
              <w:rPr>
                <w:spacing w:val="-3"/>
                <w:w w:val="100"/>
                <w:sz w:val="21"/>
              </w:rPr>
              <w:t>.</w:t>
            </w:r>
            <w:r>
              <w:rPr>
                <w:spacing w:val="1"/>
                <w:w w:val="100"/>
                <w:sz w:val="21"/>
              </w:rPr>
              <w:t>2</w:t>
            </w:r>
            <w:r>
              <w:rPr>
                <w:spacing w:val="-106"/>
                <w:w w:val="100"/>
                <w:sz w:val="21"/>
              </w:rPr>
              <w:t>），</w:t>
            </w:r>
            <w:r>
              <w:rPr>
                <w:w w:val="100"/>
                <w:sz w:val="21"/>
              </w:rPr>
              <w:t>（二）因导致“重大疾病”</w:t>
            </w:r>
            <w:r>
              <w:rPr>
                <w:spacing w:val="-8"/>
                <w:sz w:val="21"/>
              </w:rPr>
              <w:t>的相关疾病就诊，我们不承担保险责任，本附加险合同终止，我们将已收取</w:t>
            </w:r>
            <w:r>
              <w:rPr>
                <w:spacing w:val="-5"/>
                <w:sz w:val="21"/>
              </w:rPr>
              <w:t>的本附加险合同终止日之后的保障成本无息退还至主险合同保单账户，主险</w:t>
            </w:r>
            <w:r>
              <w:rPr>
                <w:spacing w:val="-4"/>
                <w:sz w:val="21"/>
              </w:rPr>
              <w:t>合同保单账户价值按退还的金额等额增加。这 </w:t>
            </w:r>
            <w:r>
              <w:rPr>
                <w:sz w:val="21"/>
              </w:rPr>
              <w:t>90</w:t>
            </w:r>
            <w:r>
              <w:rPr>
                <w:spacing w:val="-4"/>
                <w:sz w:val="21"/>
              </w:rPr>
              <w:t> 日的时间称为等待期；被</w:t>
            </w:r>
          </w:p>
        </w:tc>
      </w:tr>
    </w:tbl>
    <w:p>
      <w:pPr>
        <w:spacing w:after="0" w:line="310" w:lineRule="atLeast"/>
        <w:jc w:val="both"/>
        <w:rPr>
          <w:sz w:val="21"/>
        </w:rPr>
        <w:sectPr>
          <w:pgSz w:w="11910" w:h="16840"/>
          <w:pgMar w:top="660" w:bottom="280" w:left="800" w:right="1240"/>
        </w:sectPr>
      </w:pPr>
    </w:p>
    <w:p>
      <w:pPr>
        <w:pStyle w:val="BodyText"/>
        <w:spacing w:before="22"/>
        <w:ind w:left="2764"/>
      </w:pPr>
      <w:r>
        <w:rPr/>
        <w:t>保险人因</w:t>
      </w:r>
      <w:r>
        <w:rPr>
          <w:rFonts w:ascii="黑体" w:eastAsia="黑体" w:hint="eastAsia"/>
          <w:b/>
        </w:rPr>
        <w:t>意外伤害</w:t>
      </w:r>
      <w:r>
        <w:rPr/>
        <w:t>（见 8.9）发生上述两项情形之一的，无等待期。</w:t>
      </w:r>
    </w:p>
    <w:p>
      <w:pPr>
        <w:pStyle w:val="BodyText"/>
        <w:spacing w:line="273" w:lineRule="auto"/>
        <w:ind w:left="2764" w:right="216"/>
        <w:jc w:val="both"/>
      </w:pPr>
      <w:r>
        <w:rPr>
          <w:spacing w:val="-6"/>
        </w:rPr>
        <w:t>若由于主险或保险期间超过 </w:t>
      </w:r>
      <w:r>
        <w:rPr/>
        <w:t>1</w:t>
      </w:r>
      <w:r>
        <w:rPr>
          <w:spacing w:val="-11"/>
        </w:rPr>
        <w:t> 年的附加险合同的期交保险费变更，导致本附</w:t>
      </w:r>
      <w:r>
        <w:rPr/>
        <w:t>加险合同所豁免的保险费增加，则对于增加的部分也适用上述等待期的约定。</w:t>
      </w:r>
    </w:p>
    <w:p>
      <w:pPr>
        <w:pStyle w:val="BodyText"/>
        <w:spacing w:before="7"/>
        <w:ind w:left="2764"/>
      </w:pPr>
      <w:r>
        <w:rPr/>
        <w:t>如果在等待期后发生保险事故，我们按照下列方式豁免保险费：</w:t>
      </w:r>
    </w:p>
    <w:p>
      <w:pPr>
        <w:pStyle w:val="BodyText"/>
        <w:spacing w:before="6"/>
        <w:rPr>
          <w:sz w:val="20"/>
        </w:rPr>
      </w:pPr>
    </w:p>
    <w:p>
      <w:pPr>
        <w:tabs>
          <w:tab w:pos="2763" w:val="left" w:leader="none"/>
        </w:tabs>
        <w:spacing w:line="232" w:lineRule="auto" w:before="0"/>
        <w:ind w:left="2764" w:right="222" w:hanging="1587"/>
        <w:jc w:val="left"/>
        <w:rPr>
          <w:sz w:val="21"/>
        </w:rPr>
      </w:pPr>
      <w:r>
        <w:rPr>
          <w:rFonts w:ascii="等线" w:hAnsi="等线" w:eastAsia="等线" w:hint="eastAsia"/>
          <w:b/>
          <w:position w:val="-1"/>
          <w:sz w:val="24"/>
        </w:rPr>
        <w:t>豁免保</w:t>
      </w:r>
      <w:r>
        <w:rPr>
          <w:rFonts w:ascii="等线" w:hAnsi="等线" w:eastAsia="等线" w:hint="eastAsia"/>
          <w:b/>
          <w:spacing w:val="1"/>
          <w:position w:val="-1"/>
          <w:sz w:val="24"/>
        </w:rPr>
        <w:t>险</w:t>
      </w:r>
      <w:r>
        <w:rPr>
          <w:rFonts w:ascii="等线" w:hAnsi="等线" w:eastAsia="等线" w:hint="eastAsia"/>
          <w:b/>
          <w:position w:val="-1"/>
          <w:sz w:val="24"/>
        </w:rPr>
        <w:t>费</w:t>
        <w:tab/>
      </w:r>
      <w:r>
        <w:rPr>
          <w:w w:val="100"/>
          <w:sz w:val="21"/>
        </w:rPr>
        <w:t>被保</w:t>
      </w:r>
      <w:r>
        <w:rPr>
          <w:spacing w:val="-3"/>
          <w:w w:val="100"/>
          <w:sz w:val="21"/>
        </w:rPr>
        <w:t>险</w:t>
      </w:r>
      <w:r>
        <w:rPr>
          <w:w w:val="100"/>
          <w:sz w:val="21"/>
        </w:rPr>
        <w:t>人</w:t>
      </w:r>
      <w:r>
        <w:rPr>
          <w:spacing w:val="-3"/>
          <w:w w:val="100"/>
          <w:sz w:val="21"/>
        </w:rPr>
        <w:t>经</w:t>
      </w:r>
      <w:r>
        <w:rPr>
          <w:rFonts w:ascii="黑体" w:hAnsi="黑体" w:eastAsia="黑体" w:hint="eastAsia"/>
          <w:b/>
          <w:w w:val="100"/>
          <w:sz w:val="21"/>
        </w:rPr>
        <w:t>医院</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1</w:t>
      </w:r>
      <w:r>
        <w:rPr>
          <w:spacing w:val="-3"/>
          <w:w w:val="100"/>
          <w:sz w:val="21"/>
        </w:rPr>
        <w:t>0</w:t>
      </w:r>
      <w:r>
        <w:rPr>
          <w:w w:val="100"/>
          <w:sz w:val="21"/>
        </w:rPr>
        <w:t>）</w:t>
      </w:r>
      <w:r>
        <w:rPr>
          <w:spacing w:val="-3"/>
          <w:w w:val="100"/>
          <w:sz w:val="21"/>
        </w:rPr>
        <w:t>诊</w:t>
      </w:r>
      <w:r>
        <w:rPr>
          <w:w w:val="100"/>
          <w:sz w:val="21"/>
        </w:rPr>
        <w:t>断</w:t>
      </w:r>
      <w:r>
        <w:rPr>
          <w:spacing w:val="-3"/>
          <w:w w:val="100"/>
          <w:sz w:val="21"/>
        </w:rPr>
        <w:t>初</w:t>
      </w:r>
      <w:r>
        <w:rPr>
          <w:w w:val="100"/>
          <w:sz w:val="21"/>
        </w:rPr>
        <w:t>次</w:t>
      </w:r>
      <w:r>
        <w:rPr>
          <w:spacing w:val="-3"/>
          <w:w w:val="100"/>
          <w:sz w:val="21"/>
        </w:rPr>
        <w:t>发</w:t>
      </w:r>
      <w:r>
        <w:rPr>
          <w:w w:val="100"/>
          <w:sz w:val="21"/>
        </w:rPr>
        <w:t>生</w:t>
      </w:r>
      <w:r>
        <w:rPr>
          <w:spacing w:val="-3"/>
          <w:w w:val="100"/>
          <w:sz w:val="21"/>
        </w:rPr>
        <w:t>“</w:t>
      </w:r>
      <w:r>
        <w:rPr>
          <w:w w:val="100"/>
          <w:sz w:val="21"/>
        </w:rPr>
        <w:t>重</w:t>
      </w:r>
      <w:r>
        <w:rPr>
          <w:spacing w:val="-3"/>
          <w:w w:val="100"/>
          <w:sz w:val="21"/>
        </w:rPr>
        <w:t>大疾</w:t>
      </w:r>
      <w:r>
        <w:rPr>
          <w:w w:val="100"/>
          <w:sz w:val="21"/>
        </w:rPr>
        <w:t>病</w:t>
      </w:r>
      <w:r>
        <w:rPr>
          <w:spacing w:val="-107"/>
          <w:w w:val="100"/>
          <w:sz w:val="21"/>
        </w:rPr>
        <w:t>”</w:t>
      </w:r>
      <w:r>
        <w:rPr>
          <w:spacing w:val="-3"/>
          <w:w w:val="100"/>
          <w:sz w:val="21"/>
        </w:rPr>
        <w:t>，</w:t>
      </w:r>
      <w:r>
        <w:rPr>
          <w:w w:val="100"/>
          <w:sz w:val="21"/>
        </w:rPr>
        <w:t>我</w:t>
      </w:r>
      <w:r>
        <w:rPr>
          <w:spacing w:val="-3"/>
          <w:w w:val="100"/>
          <w:sz w:val="21"/>
        </w:rPr>
        <w:t>们</w:t>
      </w:r>
      <w:r>
        <w:rPr>
          <w:spacing w:val="-1"/>
          <w:w w:val="100"/>
          <w:sz w:val="21"/>
        </w:rPr>
        <w:t>免</w:t>
      </w:r>
      <w:r>
        <w:rPr>
          <w:spacing w:val="-3"/>
          <w:w w:val="100"/>
          <w:sz w:val="21"/>
        </w:rPr>
        <w:t>予</w:t>
      </w:r>
      <w:r>
        <w:rPr>
          <w:w w:val="100"/>
          <w:sz w:val="21"/>
        </w:rPr>
        <w:t>收</w:t>
      </w:r>
      <w:r>
        <w:rPr>
          <w:spacing w:val="-3"/>
          <w:w w:val="100"/>
          <w:sz w:val="21"/>
        </w:rPr>
        <w:t>取自</w:t>
      </w:r>
      <w:r>
        <w:rPr>
          <w:rFonts w:ascii="黑体" w:hAnsi="黑体" w:eastAsia="黑体" w:hint="eastAsia"/>
          <w:b/>
          <w:w w:val="100"/>
          <w:sz w:val="21"/>
        </w:rPr>
        <w:t>本</w:t>
      </w:r>
      <w:r>
        <w:rPr>
          <w:rFonts w:ascii="黑体" w:hAnsi="黑体" w:eastAsia="黑体" w:hint="eastAsia"/>
          <w:b/>
          <w:sz w:val="21"/>
        </w:rPr>
        <w:t>条款约定确诊日</w:t>
      </w:r>
      <w:r>
        <w:rPr>
          <w:spacing w:val="-3"/>
          <w:sz w:val="21"/>
        </w:rPr>
        <w:t>（</w:t>
      </w:r>
      <w:r>
        <w:rPr>
          <w:sz w:val="21"/>
        </w:rPr>
        <w:t>见</w:t>
      </w:r>
      <w:r>
        <w:rPr>
          <w:spacing w:val="-33"/>
          <w:sz w:val="21"/>
        </w:rPr>
        <w:t> </w:t>
      </w:r>
      <w:r>
        <w:rPr>
          <w:sz w:val="21"/>
        </w:rPr>
        <w:t>8.11）起</w:t>
      </w:r>
      <w:r>
        <w:rPr>
          <w:spacing w:val="-3"/>
          <w:sz w:val="21"/>
        </w:rPr>
        <w:t>保</w:t>
      </w:r>
      <w:r>
        <w:rPr>
          <w:sz w:val="21"/>
        </w:rPr>
        <w:t>险</w:t>
      </w:r>
      <w:r>
        <w:rPr>
          <w:spacing w:val="-3"/>
          <w:sz w:val="21"/>
        </w:rPr>
        <w:t>期</w:t>
      </w:r>
      <w:r>
        <w:rPr>
          <w:sz w:val="21"/>
        </w:rPr>
        <w:t>间</w:t>
      </w:r>
      <w:r>
        <w:rPr>
          <w:spacing w:val="-3"/>
          <w:sz w:val="21"/>
        </w:rPr>
        <w:t>内</w:t>
      </w:r>
      <w:r>
        <w:rPr>
          <w:sz w:val="21"/>
        </w:rPr>
        <w:t>剩</w:t>
      </w:r>
      <w:r>
        <w:rPr>
          <w:spacing w:val="-3"/>
          <w:sz w:val="21"/>
        </w:rPr>
        <w:t>余</w:t>
      </w:r>
      <w:r>
        <w:rPr>
          <w:sz w:val="21"/>
        </w:rPr>
        <w:t>的</w:t>
      </w:r>
      <w:r>
        <w:rPr>
          <w:spacing w:val="-3"/>
          <w:sz w:val="21"/>
        </w:rPr>
        <w:t>各</w:t>
      </w:r>
      <w:r>
        <w:rPr>
          <w:sz w:val="21"/>
        </w:rPr>
        <w:t>期保</w:t>
      </w:r>
      <w:r>
        <w:rPr>
          <w:spacing w:val="-3"/>
          <w:sz w:val="21"/>
        </w:rPr>
        <w:t>险</w:t>
      </w:r>
      <w:r>
        <w:rPr>
          <w:sz w:val="21"/>
        </w:rPr>
        <w:t>费。</w:t>
      </w:r>
    </w:p>
    <w:p>
      <w:pPr>
        <w:pStyle w:val="BodyText"/>
        <w:spacing w:line="273" w:lineRule="auto"/>
        <w:ind w:left="2764" w:right="217"/>
        <w:jc w:val="both"/>
      </w:pPr>
      <w:r>
        <w:rPr>
          <w:spacing w:val="-6"/>
        </w:rPr>
        <w:t>本附加险合同所豁免保险费的金额将在保险单上载明，</w:t>
      </w:r>
      <w:r>
        <w:rPr>
          <w:spacing w:val="-3"/>
          <w:shd w:fill="DADADA" w:color="auto" w:val="clear"/>
        </w:rPr>
        <w:t>所豁免保险费的金额不包含保险期间</w:t>
      </w:r>
      <w:r>
        <w:rPr>
          <w:spacing w:val="-62"/>
          <w:shd w:fill="DADADA" w:color="auto" w:val="clear"/>
        </w:rPr>
        <w:t>不超过 </w:t>
      </w:r>
      <w:r>
        <w:rPr>
          <w:shd w:fill="DADADA" w:color="auto" w:val="clear"/>
        </w:rPr>
        <w:t>1</w:t>
      </w:r>
      <w:r>
        <w:rPr>
          <w:spacing w:val="-12"/>
          <w:shd w:fill="DADADA" w:color="auto" w:val="clear"/>
        </w:rPr>
        <w:t> 年的附加险的保险费、万能保险或投资连结保险的追</w:t>
      </w:r>
      <w:r>
        <w:rPr>
          <w:spacing w:val="-8"/>
          <w:shd w:fill="DADADA" w:color="auto" w:val="clear"/>
        </w:rPr>
        <w:t>加保险费和本条款约定确诊日以前的缓交保险费，以及主险或附加险的保障</w:t>
      </w:r>
      <w:r>
        <w:rPr>
          <w:spacing w:val="-4"/>
          <w:shd w:fill="DADADA" w:color="auto" w:val="clear"/>
        </w:rPr>
        <w:t>成本。</w:t>
      </w:r>
    </w:p>
    <w:p>
      <w:pPr>
        <w:pStyle w:val="BodyText"/>
        <w:spacing w:before="0"/>
        <w:rPr>
          <w:sz w:val="18"/>
        </w:rPr>
      </w:pPr>
    </w:p>
    <w:p>
      <w:pPr>
        <w:pStyle w:val="BodyText"/>
        <w:tabs>
          <w:tab w:pos="1177" w:val="left" w:leader="none"/>
          <w:tab w:pos="2763" w:val="left" w:leader="none"/>
        </w:tabs>
        <w:spacing w:line="273" w:lineRule="auto" w:before="0"/>
        <w:ind w:left="2764" w:right="220" w:hanging="2544"/>
      </w:pPr>
      <w:r>
        <w:rPr>
          <w:b/>
        </w:rPr>
        <w:t>2.2</w:t>
        <w:tab/>
        <w:t>责任免除</w:t>
        <w:tab/>
      </w:r>
      <w:r>
        <w:rPr>
          <w:shd w:fill="DADADA" w:color="auto" w:val="clear"/>
        </w:rPr>
        <w:t>因下</w:t>
      </w:r>
      <w:r>
        <w:rPr>
          <w:spacing w:val="-3"/>
          <w:shd w:fill="DADADA" w:color="auto" w:val="clear"/>
        </w:rPr>
        <w:t>列</w:t>
      </w:r>
      <w:r>
        <w:rPr>
          <w:shd w:fill="DADADA" w:color="auto" w:val="clear"/>
        </w:rPr>
        <w:t>情</w:t>
      </w:r>
      <w:r>
        <w:rPr>
          <w:spacing w:val="-3"/>
          <w:shd w:fill="DADADA" w:color="auto" w:val="clear"/>
        </w:rPr>
        <w:t>形</w:t>
      </w:r>
      <w:r>
        <w:rPr>
          <w:shd w:fill="DADADA" w:color="auto" w:val="clear"/>
        </w:rPr>
        <w:t>之</w:t>
      </w:r>
      <w:r>
        <w:rPr>
          <w:spacing w:val="-3"/>
          <w:shd w:fill="DADADA" w:color="auto" w:val="clear"/>
        </w:rPr>
        <w:t>一</w:t>
      </w:r>
      <w:r>
        <w:rPr>
          <w:shd w:fill="DADADA" w:color="auto" w:val="clear"/>
        </w:rPr>
        <w:t>导</w:t>
      </w:r>
      <w:r>
        <w:rPr>
          <w:spacing w:val="-3"/>
          <w:shd w:fill="DADADA" w:color="auto" w:val="clear"/>
        </w:rPr>
        <w:t>致</w:t>
      </w:r>
      <w:r>
        <w:rPr>
          <w:shd w:fill="DADADA" w:color="auto" w:val="clear"/>
        </w:rPr>
        <w:t>被</w:t>
      </w:r>
      <w:r>
        <w:rPr>
          <w:spacing w:val="-3"/>
          <w:shd w:fill="DADADA" w:color="auto" w:val="clear"/>
        </w:rPr>
        <w:t>保</w:t>
      </w:r>
      <w:r>
        <w:rPr>
          <w:shd w:fill="DADADA" w:color="auto" w:val="clear"/>
        </w:rPr>
        <w:t>险人</w:t>
      </w:r>
      <w:r>
        <w:rPr>
          <w:spacing w:val="-3"/>
          <w:shd w:fill="DADADA" w:color="auto" w:val="clear"/>
        </w:rPr>
        <w:t>初</w:t>
      </w:r>
      <w:r>
        <w:rPr>
          <w:shd w:fill="DADADA" w:color="auto" w:val="clear"/>
        </w:rPr>
        <w:t>次</w:t>
      </w:r>
      <w:r>
        <w:rPr>
          <w:spacing w:val="-3"/>
          <w:shd w:fill="DADADA" w:color="auto" w:val="clear"/>
        </w:rPr>
        <w:t>发</w:t>
      </w:r>
      <w:r>
        <w:rPr>
          <w:spacing w:val="-20"/>
          <w:shd w:fill="DADADA" w:color="auto" w:val="clear"/>
        </w:rPr>
        <w:t>生</w:t>
      </w:r>
      <w:r>
        <w:rPr>
          <w:shd w:fill="DADADA" w:color="auto" w:val="clear"/>
        </w:rPr>
        <w:t>“</w:t>
      </w:r>
      <w:r>
        <w:rPr>
          <w:spacing w:val="-3"/>
          <w:shd w:fill="DADADA" w:color="auto" w:val="clear"/>
        </w:rPr>
        <w:t>重</w:t>
      </w:r>
      <w:r>
        <w:rPr>
          <w:shd w:fill="DADADA" w:color="auto" w:val="clear"/>
        </w:rPr>
        <w:t>大</w:t>
      </w:r>
      <w:r>
        <w:rPr>
          <w:spacing w:val="-3"/>
          <w:shd w:fill="DADADA" w:color="auto" w:val="clear"/>
        </w:rPr>
        <w:t>疾病</w:t>
      </w:r>
      <w:r>
        <w:rPr>
          <w:spacing w:val="-17"/>
          <w:shd w:fill="DADADA" w:color="auto" w:val="clear"/>
        </w:rPr>
        <w:t>”</w:t>
      </w:r>
      <w:r>
        <w:rPr>
          <w:spacing w:val="-3"/>
          <w:shd w:fill="DADADA" w:color="auto" w:val="clear"/>
        </w:rPr>
        <w:t>的</w:t>
      </w:r>
      <w:r>
        <w:rPr>
          <w:spacing w:val="-17"/>
          <w:shd w:fill="DADADA" w:color="auto" w:val="clear"/>
        </w:rPr>
        <w:t>，</w:t>
      </w:r>
      <w:r>
        <w:rPr>
          <w:spacing w:val="-3"/>
          <w:shd w:fill="DADADA" w:color="auto" w:val="clear"/>
        </w:rPr>
        <w:t>我</w:t>
      </w:r>
      <w:r>
        <w:rPr>
          <w:shd w:fill="DADADA" w:color="auto" w:val="clear"/>
        </w:rPr>
        <w:t>们</w:t>
      </w:r>
      <w:r>
        <w:rPr>
          <w:spacing w:val="-3"/>
          <w:shd w:fill="DADADA" w:color="auto" w:val="clear"/>
        </w:rPr>
        <w:t>不</w:t>
      </w:r>
      <w:r>
        <w:rPr>
          <w:shd w:fill="DADADA" w:color="auto" w:val="clear"/>
        </w:rPr>
        <w:t>承</w:t>
      </w:r>
      <w:r>
        <w:rPr>
          <w:spacing w:val="-3"/>
          <w:shd w:fill="DADADA" w:color="auto" w:val="clear"/>
        </w:rPr>
        <w:t>担</w:t>
      </w:r>
      <w:r>
        <w:rPr>
          <w:shd w:fill="DADADA" w:color="auto" w:val="clear"/>
        </w:rPr>
        <w:t>豁</w:t>
      </w:r>
      <w:r>
        <w:rPr>
          <w:spacing w:val="-3"/>
          <w:shd w:fill="DADADA" w:color="auto" w:val="clear"/>
        </w:rPr>
        <w:t>免保 </w:t>
      </w:r>
      <w:r>
        <w:rPr>
          <w:shd w:fill="DADADA" w:color="auto" w:val="clear"/>
        </w:rPr>
        <w:t>险费</w:t>
      </w:r>
      <w:r>
        <w:rPr>
          <w:spacing w:val="-3"/>
          <w:shd w:fill="DADADA" w:color="auto" w:val="clear"/>
        </w:rPr>
        <w:t>的</w:t>
      </w:r>
      <w:r>
        <w:rPr>
          <w:shd w:fill="DADADA" w:color="auto" w:val="clear"/>
        </w:rPr>
        <w:t>责</w:t>
      </w:r>
      <w:r>
        <w:rPr>
          <w:spacing w:val="-3"/>
          <w:shd w:fill="DADADA" w:color="auto" w:val="clear"/>
        </w:rPr>
        <w:t>任</w:t>
      </w:r>
      <w:r>
        <w:rPr>
          <w:shd w:fill="DADADA" w:color="auto" w:val="clear"/>
        </w:rPr>
        <w:t>：</w:t>
      </w:r>
    </w:p>
    <w:p>
      <w:pPr>
        <w:pStyle w:val="BodyText"/>
        <w:spacing w:before="7"/>
        <w:ind w:left="2764"/>
      </w:pPr>
      <w:r>
        <w:rPr>
          <w:shd w:fill="DADADA" w:color="auto" w:val="clear"/>
        </w:rPr>
        <w:t>（1）投保人对被保险人的故意杀害、故意伤害；</w:t>
      </w:r>
    </w:p>
    <w:p>
      <w:pPr>
        <w:pStyle w:val="BodyText"/>
        <w:spacing w:before="36"/>
        <w:ind w:left="2764"/>
      </w:pPr>
      <w:r>
        <w:rPr>
          <w:shd w:fill="DADADA" w:color="auto" w:val="clear"/>
        </w:rPr>
        <w:t>（2）被保险人故意自伤、故意犯罪、抗拒依法采取的刑事强制措施；</w:t>
      </w:r>
    </w:p>
    <w:p>
      <w:pPr>
        <w:pStyle w:val="BodyText"/>
        <w:spacing w:before="36"/>
        <w:ind w:left="2764"/>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2</w:t>
      </w:r>
      <w:r>
        <w:rPr>
          <w:spacing w:val="-106"/>
          <w:w w:val="100"/>
          <w:shd w:fill="DADADA" w:color="auto" w:val="clear"/>
        </w:rPr>
        <w:t>）</w:t>
      </w:r>
      <w:r>
        <w:rPr>
          <w:w w:val="100"/>
          <w:shd w:fill="DADADA" w:color="auto" w:val="clear"/>
        </w:rPr>
        <w:t>；</w:t>
      </w:r>
    </w:p>
    <w:p>
      <w:pPr>
        <w:spacing w:line="273" w:lineRule="auto" w:before="36"/>
        <w:ind w:left="3268" w:right="229" w:hanging="504"/>
        <w:jc w:val="left"/>
        <w:rPr>
          <w:sz w:val="21"/>
        </w:rPr>
      </w:pPr>
      <w:r>
        <w:rPr>
          <w:w w:val="100"/>
          <w:sz w:val="21"/>
          <w:shd w:fill="DADADA" w:color="auto" w:val="clear"/>
        </w:rPr>
        <w:t>（4</w:t>
      </w:r>
      <w:r>
        <w:rPr>
          <w:spacing w:val="-15"/>
          <w:w w:val="100"/>
          <w:sz w:val="21"/>
          <w:shd w:fill="DADADA" w:color="auto" w:val="clear"/>
        </w:rPr>
        <w:t>）</w:t>
      </w:r>
      <w:r>
        <w:rPr>
          <w:spacing w:val="-3"/>
          <w:w w:val="100"/>
          <w:sz w:val="21"/>
          <w:shd w:fill="DADADA" w:color="auto" w:val="clear"/>
        </w:rPr>
        <w:t>被保险人</w:t>
      </w:r>
      <w:r>
        <w:rPr>
          <w:rFonts w:ascii="黑体" w:eastAsia="黑体" w:hint="eastAsia"/>
          <w:b/>
          <w:spacing w:val="-3"/>
          <w:w w:val="100"/>
          <w:sz w:val="21"/>
          <w:shd w:fill="DADADA" w:color="auto" w:val="clear"/>
        </w:rPr>
        <w:t>酒后驾驶</w:t>
      </w:r>
      <w:r>
        <w:rPr>
          <w:spacing w:val="-5"/>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1</w:t>
      </w:r>
      <w:r>
        <w:rPr>
          <w:spacing w:val="-1"/>
          <w:w w:val="100"/>
          <w:sz w:val="21"/>
          <w:shd w:fill="DADADA" w:color="auto" w:val="clear"/>
        </w:rPr>
        <w:t>3</w:t>
      </w:r>
      <w:r>
        <w:rPr>
          <w:spacing w:val="-108"/>
          <w:w w:val="100"/>
          <w:sz w:val="21"/>
          <w:shd w:fill="DADADA" w:color="auto" w:val="clear"/>
        </w:rPr>
        <w:t>）</w:t>
      </w:r>
      <w:r>
        <w:rPr>
          <w:spacing w:val="-15"/>
          <w:w w:val="100"/>
          <w:sz w:val="21"/>
          <w:shd w:fill="DADADA" w:color="auto" w:val="clear"/>
        </w:rPr>
        <w:t>、</w:t>
      </w:r>
      <w:r>
        <w:rPr>
          <w:rFonts w:ascii="黑体" w:eastAsia="黑体" w:hint="eastAsia"/>
          <w:b/>
          <w:spacing w:val="-2"/>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4</w:t>
      </w:r>
      <w:r>
        <w:rPr>
          <w:spacing w:val="-108"/>
          <w:w w:val="100"/>
          <w:sz w:val="21"/>
          <w:shd w:fill="DADADA" w:color="auto" w:val="clear"/>
        </w:rPr>
        <w:t>）</w:t>
      </w:r>
      <w:r>
        <w:rPr>
          <w:spacing w:val="-13"/>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5</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.16</w:t>
      </w:r>
      <w:r>
        <w:rPr>
          <w:spacing w:val="-108"/>
          <w:w w:val="100"/>
          <w:sz w:val="21"/>
          <w:shd w:fill="DADADA" w:color="auto" w:val="clear"/>
        </w:rPr>
        <w:t>）</w:t>
      </w:r>
      <w:r>
        <w:rPr>
          <w:w w:val="100"/>
          <w:sz w:val="21"/>
          <w:shd w:fill="DADADA" w:color="auto" w:val="clear"/>
        </w:rPr>
        <w:t>；</w:t>
      </w:r>
    </w:p>
    <w:p>
      <w:pPr>
        <w:spacing w:before="7"/>
        <w:ind w:left="2764"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r>
        <w:rPr>
          <w:w w:val="100"/>
          <w:sz w:val="21"/>
          <w:shd w:fill="DADADA" w:color="auto" w:val="clear"/>
        </w:rPr>
        <w:t>；</w:t>
      </w:r>
    </w:p>
    <w:p>
      <w:pPr>
        <w:pStyle w:val="BodyText"/>
        <w:ind w:left="2764"/>
      </w:pPr>
      <w:r>
        <w:rPr>
          <w:shd w:fill="DADADA" w:color="auto" w:val="clear"/>
        </w:rPr>
        <w:t>（6）战争、军事冲突、暴乱或武装叛乱；</w:t>
      </w:r>
    </w:p>
    <w:p>
      <w:pPr>
        <w:pStyle w:val="BodyText"/>
        <w:ind w:left="2764"/>
      </w:pPr>
      <w:r>
        <w:rPr>
          <w:shd w:fill="DADADA" w:color="auto" w:val="clear"/>
        </w:rPr>
        <w:t>（7）核爆炸、核辐射或核污染；</w:t>
      </w:r>
    </w:p>
    <w:p>
      <w:pPr>
        <w:pStyle w:val="BodyText"/>
        <w:spacing w:line="273" w:lineRule="auto"/>
        <w:ind w:left="2764" w:right="217"/>
        <w:jc w:val="both"/>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8</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19</w:t>
      </w:r>
      <w:r>
        <w:rPr>
          <w:spacing w:val="-108"/>
          <w:w w:val="100"/>
          <w:shd w:fill="DADADA" w:color="auto" w:val="clear"/>
        </w:rPr>
        <w:t>）。</w:t>
      </w:r>
      <w:r>
        <w:rPr>
          <w:spacing w:val="-8"/>
          <w:shd w:fill="DADADA" w:color="auto" w:val="clear"/>
        </w:rPr>
        <w:t>发生上述情形，本附加险合同终止，我们将已收取的本附加险合同终止日之</w:t>
      </w:r>
      <w:r>
        <w:rPr>
          <w:spacing w:val="-212"/>
          <w:shd w:fill="DADADA" w:color="auto" w:val="clear"/>
        </w:rPr>
        <w:t>后</w:t>
      </w:r>
      <w:r>
        <w:rPr>
          <w:spacing w:val="-6"/>
          <w:shd w:fill="DADADA" w:color="auto" w:val="clear"/>
        </w:rPr>
        <w:t>的保障成本无息退还至主险合同保单账户，主险合同保单账户价值按退还的</w:t>
      </w:r>
      <w:r>
        <w:rPr>
          <w:spacing w:val="-4"/>
          <w:shd w:fill="DADADA" w:color="auto" w:val="clear"/>
        </w:rPr>
        <w:t>金额等额增加。</w:t>
      </w:r>
    </w:p>
    <w:p>
      <w:pPr>
        <w:pStyle w:val="BodyText"/>
        <w:spacing w:before="5"/>
        <w:rPr>
          <w:sz w:val="23"/>
        </w:rPr>
      </w:pPr>
    </w:p>
    <w:p>
      <w:pPr>
        <w:pStyle w:val="Heading3"/>
        <w:tabs>
          <w:tab w:pos="1177" w:val="left" w:leader="none"/>
        </w:tabs>
        <w:spacing w:before="0"/>
        <w:ind w:left="220"/>
        <w:rPr>
          <w:rFonts w:ascii="宋体" w:hAnsi="宋体" w:eastAsia="宋体" w:hint="eastAsia"/>
        </w:rPr>
      </w:pPr>
      <w:r>
        <w:rPr/>
        <w:pict>
          <v:group style="position:absolute;margin-left:45.599998pt;margin-top:28.15976pt;width:481.95pt;height:1pt;mso-position-horizontal-relative:page;mso-position-vertical-relative:paragraph;z-index:1120;mso-wrap-distance-left:0;mso-wrap-distance-right:0" coordorigin="912,563" coordsize="9639,20">
            <v:line style="position:absolute" from="912,573" to="1870,573" stroked="true" strokeweight=".96pt" strokecolor="#000000">
              <v:stroke dashstyle="solid"/>
            </v:line>
            <v:rect style="position:absolute;left:1869;top:563;width:20;height:20" filled="true" fillcolor="#000000" stroked="false">
              <v:fill type="solid"/>
            </v:rect>
            <v:line style="position:absolute" from="1889,573" to="3456,573" stroked="true" strokeweight=".96pt" strokecolor="#000000">
              <v:stroke dashstyle="solid"/>
            </v:line>
            <v:rect style="position:absolute;left:3456;top:563;width:20;height:20" filled="true" fillcolor="#000000" stroked="false">
              <v:fill type="solid"/>
            </v:rect>
            <v:line style="position:absolute" from="3475,573" to="10550,57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如何申请豁免保险费</w:t>
      </w:r>
    </w:p>
    <w:p>
      <w:pPr>
        <w:pStyle w:val="BodyText"/>
        <w:spacing w:before="12"/>
        <w:rPr>
          <w:b/>
          <w:sz w:val="9"/>
        </w:rPr>
      </w:pPr>
    </w:p>
    <w:p>
      <w:pPr>
        <w:spacing w:after="0"/>
        <w:rPr>
          <w:sz w:val="9"/>
        </w:rPr>
        <w:sectPr>
          <w:pgSz w:w="11910" w:h="16840"/>
          <w:pgMar w:top="1080" w:bottom="280" w:left="800" w:right="1240"/>
        </w:sectPr>
      </w:pPr>
    </w:p>
    <w:p>
      <w:pPr>
        <w:pStyle w:val="Heading4"/>
        <w:numPr>
          <w:ilvl w:val="1"/>
          <w:numId w:val="2"/>
        </w:numPr>
        <w:tabs>
          <w:tab w:pos="1177" w:val="left" w:leader="none"/>
          <w:tab w:pos="1178" w:val="left" w:leader="none"/>
        </w:tabs>
        <w:spacing w:line="273" w:lineRule="auto" w:before="37" w:after="0"/>
        <w:ind w:left="1177" w:right="0" w:hanging="957"/>
        <w:jc w:val="left"/>
      </w:pPr>
      <w:r>
        <w:rPr>
          <w:spacing w:val="18"/>
        </w:rPr>
        <w:t>豁免保险费申</w:t>
      </w:r>
      <w:r>
        <w:rPr/>
        <w:t>请</w:t>
      </w:r>
    </w:p>
    <w:p>
      <w:pPr>
        <w:pStyle w:val="BodyText"/>
        <w:ind w:left="152"/>
      </w:pPr>
      <w:r>
        <w:rPr/>
        <w:br w:type="column"/>
      </w:r>
      <w:r>
        <w:rPr/>
        <w:t>在申请豁免保险费时，请按照下列方式办理：</w:t>
      </w:r>
    </w:p>
    <w:p>
      <w:pPr>
        <w:pStyle w:val="BodyText"/>
        <w:spacing w:line="273" w:lineRule="auto"/>
        <w:ind w:left="152" w:right="217"/>
      </w:pPr>
      <w:r>
        <w:rPr>
          <w:spacing w:val="-7"/>
        </w:rPr>
        <w:t>由您、被保险人或主险合同受益人填写豁免保险费申请书，并提供下列证明</w:t>
      </w:r>
      <w:r>
        <w:rPr>
          <w:spacing w:val="-5"/>
        </w:rPr>
        <w:t>和资料：</w:t>
      </w:r>
    </w:p>
    <w:p>
      <w:pPr>
        <w:pStyle w:val="BodyText"/>
        <w:spacing w:before="7"/>
        <w:ind w:left="152"/>
      </w:pPr>
      <w:r>
        <w:rPr/>
        <w:t>（1）保险合同；</w:t>
      </w:r>
    </w:p>
    <w:p>
      <w:pPr>
        <w:pStyle w:val="BodyText"/>
        <w:spacing w:before="36"/>
        <w:ind w:left="152"/>
      </w:pPr>
      <w:r>
        <w:rPr/>
        <w:t>（2）申请人的有效身份证件；</w:t>
      </w:r>
    </w:p>
    <w:p>
      <w:pPr>
        <w:pStyle w:val="BodyText"/>
        <w:spacing w:line="273" w:lineRule="auto" w:before="36"/>
        <w:ind w:left="656" w:right="219" w:hanging="504"/>
      </w:pPr>
      <w:r>
        <w:rPr/>
        <w:t>（3）医院出具的附有病理显微镜检查、血液检验及其他科学方法检验报告的疾病诊断证明书；</w:t>
      </w:r>
    </w:p>
    <w:p>
      <w:pPr>
        <w:pStyle w:val="BodyText"/>
        <w:spacing w:line="273" w:lineRule="auto" w:before="7"/>
        <w:ind w:left="152" w:right="216"/>
        <w:jc w:val="both"/>
      </w:pPr>
      <w:r>
        <w:rPr/>
        <w:t>（4）</w:t>
      </w:r>
      <w:r>
        <w:rPr>
          <w:spacing w:val="-3"/>
        </w:rPr>
        <w:t>所能提供的与确认保险事故的性质、原因等有关的其他证明和资料。</w:t>
      </w:r>
      <w:r>
        <w:rPr>
          <w:spacing w:val="-7"/>
        </w:rPr>
        <w:t>以上证明和资料不完整的，我们将一次性通知申请人补充提供有关证明和资料。</w:t>
      </w:r>
    </w:p>
    <w:p>
      <w:pPr>
        <w:spacing w:after="0" w:line="273" w:lineRule="auto"/>
        <w:jc w:val="both"/>
        <w:sectPr>
          <w:type w:val="continuous"/>
          <w:pgSz w:w="11910" w:h="16840"/>
          <w:pgMar w:top="440" w:bottom="280" w:left="800" w:right="1240"/>
          <w:cols w:num="2" w:equalWidth="0">
            <w:col w:w="2572" w:space="40"/>
            <w:col w:w="7258"/>
          </w:cols>
        </w:sectPr>
      </w:pPr>
    </w:p>
    <w:p>
      <w:pPr>
        <w:pStyle w:val="BodyText"/>
        <w:spacing w:before="1"/>
        <w:rPr>
          <w:sz w:val="15"/>
        </w:rPr>
      </w:pPr>
    </w:p>
    <w:p>
      <w:pPr>
        <w:pStyle w:val="ListParagraph"/>
        <w:numPr>
          <w:ilvl w:val="1"/>
          <w:numId w:val="2"/>
        </w:numPr>
        <w:tabs>
          <w:tab w:pos="1177" w:val="left" w:leader="none"/>
          <w:tab w:pos="1178" w:val="left" w:leader="none"/>
          <w:tab w:pos="2763" w:val="left" w:leader="none"/>
        </w:tabs>
        <w:spacing w:line="273" w:lineRule="auto" w:before="36" w:after="0"/>
        <w:ind w:left="2764" w:right="219" w:hanging="2544"/>
        <w:jc w:val="left"/>
        <w:rPr>
          <w:sz w:val="21"/>
        </w:rPr>
      </w:pPr>
      <w:r>
        <w:rPr>
          <w:b/>
          <w:sz w:val="21"/>
        </w:rPr>
        <w:t>保险费的豁免</w:t>
        <w:tab/>
      </w:r>
      <w:r>
        <w:rPr>
          <w:sz w:val="21"/>
        </w:rPr>
        <w:t>我们</w:t>
      </w:r>
      <w:r>
        <w:rPr>
          <w:spacing w:val="-3"/>
          <w:sz w:val="21"/>
        </w:rPr>
        <w:t>在</w:t>
      </w:r>
      <w:r>
        <w:rPr>
          <w:sz w:val="21"/>
        </w:rPr>
        <w:t>收</w:t>
      </w:r>
      <w:r>
        <w:rPr>
          <w:spacing w:val="-3"/>
          <w:sz w:val="21"/>
        </w:rPr>
        <w:t>到</w:t>
      </w:r>
      <w:r>
        <w:rPr>
          <w:sz w:val="21"/>
        </w:rPr>
        <w:t>豁</w:t>
      </w:r>
      <w:r>
        <w:rPr>
          <w:spacing w:val="-3"/>
          <w:sz w:val="21"/>
        </w:rPr>
        <w:t>免</w:t>
      </w:r>
      <w:r>
        <w:rPr>
          <w:sz w:val="21"/>
        </w:rPr>
        <w:t>保</w:t>
      </w:r>
      <w:r>
        <w:rPr>
          <w:spacing w:val="-3"/>
          <w:sz w:val="21"/>
        </w:rPr>
        <w:t>险</w:t>
      </w:r>
      <w:r>
        <w:rPr>
          <w:sz w:val="21"/>
        </w:rPr>
        <w:t>费</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证</w:t>
      </w:r>
      <w:r>
        <w:rPr>
          <w:spacing w:val="-3"/>
          <w:sz w:val="21"/>
        </w:rPr>
        <w:t>明</w:t>
      </w:r>
      <w:r>
        <w:rPr>
          <w:sz w:val="21"/>
        </w:rPr>
        <w:t>和</w:t>
      </w:r>
      <w:r>
        <w:rPr>
          <w:spacing w:val="-3"/>
          <w:sz w:val="21"/>
        </w:rPr>
        <w:t>资</w:t>
      </w:r>
      <w:r>
        <w:rPr>
          <w:sz w:val="21"/>
        </w:rPr>
        <w:t>料</w:t>
      </w:r>
      <w:r>
        <w:rPr>
          <w:spacing w:val="-3"/>
          <w:sz w:val="21"/>
        </w:rPr>
        <w:t>后</w:t>
      </w:r>
      <w:r>
        <w:rPr>
          <w:spacing w:val="-51"/>
          <w:sz w:val="21"/>
        </w:rPr>
        <w:t>，</w:t>
      </w:r>
      <w:r>
        <w:rPr>
          <w:spacing w:val="-3"/>
          <w:sz w:val="21"/>
        </w:rPr>
        <w:t>将</w:t>
      </w:r>
      <w:r>
        <w:rPr>
          <w:sz w:val="21"/>
        </w:rPr>
        <w:t>在</w:t>
      </w:r>
      <w:r>
        <w:rPr>
          <w:spacing w:val="-34"/>
          <w:sz w:val="21"/>
        </w:rPr>
        <w:t> </w:t>
      </w:r>
      <w:r>
        <w:rPr>
          <w:sz w:val="21"/>
        </w:rPr>
        <w:t>5</w:t>
      </w:r>
      <w:r>
        <w:rPr>
          <w:spacing w:val="-36"/>
          <w:sz w:val="21"/>
        </w:rPr>
        <w:t> </w:t>
      </w:r>
      <w:r>
        <w:rPr>
          <w:sz w:val="21"/>
        </w:rPr>
        <w:t>日</w:t>
      </w:r>
      <w:r>
        <w:rPr>
          <w:spacing w:val="-3"/>
          <w:sz w:val="21"/>
        </w:rPr>
        <w:t>内</w:t>
      </w:r>
      <w:r>
        <w:rPr>
          <w:sz w:val="21"/>
        </w:rPr>
        <w:t>作</w:t>
      </w:r>
      <w:r>
        <w:rPr>
          <w:spacing w:val="-3"/>
          <w:sz w:val="21"/>
        </w:rPr>
        <w:t>出核</w:t>
      </w:r>
      <w:r>
        <w:rPr>
          <w:sz w:val="21"/>
        </w:rPr>
        <w:t>定；</w:t>
      </w:r>
      <w:r>
        <w:rPr>
          <w:spacing w:val="-3"/>
          <w:sz w:val="21"/>
        </w:rPr>
        <w:t>情</w:t>
      </w:r>
      <w:r>
        <w:rPr>
          <w:sz w:val="21"/>
        </w:rPr>
        <w:t>形</w:t>
      </w:r>
      <w:r>
        <w:rPr>
          <w:spacing w:val="-3"/>
          <w:sz w:val="21"/>
        </w:rPr>
        <w:t>复</w:t>
      </w:r>
      <w:r>
        <w:rPr>
          <w:sz w:val="21"/>
        </w:rPr>
        <w:t>杂</w:t>
      </w:r>
      <w:r>
        <w:rPr>
          <w:spacing w:val="-3"/>
          <w:sz w:val="21"/>
        </w:rPr>
        <w:t>的，</w:t>
      </w:r>
      <w:r>
        <w:rPr>
          <w:sz w:val="21"/>
        </w:rPr>
        <w:t>在</w:t>
      </w:r>
      <w:r>
        <w:rPr>
          <w:spacing w:val="-43"/>
          <w:sz w:val="21"/>
        </w:rPr>
        <w:t> </w:t>
      </w:r>
      <w:r>
        <w:rPr>
          <w:sz w:val="21"/>
        </w:rPr>
        <w:t>30</w:t>
      </w:r>
      <w:r>
        <w:rPr>
          <w:spacing w:val="-45"/>
          <w:sz w:val="21"/>
        </w:rPr>
        <w:t> </w:t>
      </w:r>
      <w:r>
        <w:rPr>
          <w:spacing w:val="-3"/>
          <w:sz w:val="21"/>
        </w:rPr>
        <w:t>日</w:t>
      </w:r>
      <w:r>
        <w:rPr>
          <w:sz w:val="21"/>
        </w:rPr>
        <w:t>内作</w:t>
      </w:r>
      <w:r>
        <w:rPr>
          <w:spacing w:val="-3"/>
          <w:sz w:val="21"/>
        </w:rPr>
        <w:t>出</w:t>
      </w:r>
      <w:r>
        <w:rPr>
          <w:sz w:val="21"/>
        </w:rPr>
        <w:t>核</w:t>
      </w:r>
      <w:r>
        <w:rPr>
          <w:spacing w:val="-3"/>
          <w:sz w:val="21"/>
        </w:rPr>
        <w:t>定。</w:t>
      </w:r>
    </w:p>
    <w:p>
      <w:pPr>
        <w:pStyle w:val="BodyText"/>
        <w:spacing w:before="7"/>
        <w:ind w:left="2764"/>
      </w:pPr>
      <w:r>
        <w:rPr>
          <w:spacing w:val="-10"/>
        </w:rPr>
        <w:t>对属于保险责任的，我们在与申请人达成有关豁免保险费的协议后 </w:t>
      </w:r>
      <w:r>
        <w:rPr/>
        <w:t>10</w:t>
      </w:r>
      <w:r>
        <w:rPr>
          <w:spacing w:val="-9"/>
        </w:rPr>
        <w:t> 日内，</w:t>
      </w:r>
    </w:p>
    <w:p>
      <w:pPr>
        <w:pStyle w:val="BodyText"/>
        <w:ind w:left="2764"/>
      </w:pPr>
      <w:r>
        <w:rPr/>
        <w:t>履行豁免保险费责任；若我们在收齐相关证明和资料后第 30 日仍未作出核</w:t>
      </w:r>
    </w:p>
    <w:p>
      <w:pPr>
        <w:pStyle w:val="BodyText"/>
        <w:spacing w:line="273" w:lineRule="auto"/>
        <w:ind w:left="2764" w:right="216" w:hanging="1"/>
        <w:jc w:val="both"/>
      </w:pPr>
      <w:r>
        <w:rPr>
          <w:spacing w:val="-4"/>
        </w:rPr>
        <w:t>定，除豁免保险费外，我们将从第 </w:t>
      </w:r>
      <w:r>
        <w:rPr/>
        <w:t>31</w:t>
      </w:r>
      <w:r>
        <w:rPr>
          <w:spacing w:val="-5"/>
        </w:rPr>
        <w:t> 日起按超过天数赔偿申请人因此受到</w:t>
      </w:r>
      <w:r>
        <w:rPr>
          <w:spacing w:val="-8"/>
        </w:rPr>
        <w:t>的利息损失。利息按照我们公示的利率按单利计算，且保证该利率不低于中</w:t>
      </w:r>
      <w:r>
        <w:rPr>
          <w:spacing w:val="-3"/>
        </w:rPr>
        <w:t>国人民银行公布的同期金融机构人民币活期存款基准利率。</w:t>
      </w:r>
    </w:p>
    <w:p>
      <w:pPr>
        <w:spacing w:after="0" w:line="273" w:lineRule="auto"/>
        <w:jc w:val="both"/>
        <w:sectPr>
          <w:type w:val="continuous"/>
          <w:pgSz w:w="11910" w:h="16840"/>
          <w:pgMar w:top="440" w:bottom="280" w:left="800" w:right="1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26"/>
        <w:gridCol w:w="7145"/>
      </w:tblGrid>
      <w:tr>
        <w:trPr>
          <w:trHeight w:val="658" w:hRule="atLeast"/>
        </w:trPr>
        <w:tc>
          <w:tcPr>
            <w:tcW w:w="765" w:type="dxa"/>
          </w:tcPr>
          <w:p>
            <w:pPr>
              <w:pStyle w:val="TableParagraph"/>
              <w:spacing w:line="240" w:lineRule="auto"/>
              <w:rPr>
                <w:rFonts w:ascii="Times New Roman"/>
                <w:sz w:val="20"/>
              </w:rPr>
            </w:pPr>
          </w:p>
        </w:tc>
        <w:tc>
          <w:tcPr>
            <w:tcW w:w="1726" w:type="dxa"/>
          </w:tcPr>
          <w:p>
            <w:pPr>
              <w:pStyle w:val="TableParagraph"/>
              <w:spacing w:line="240" w:lineRule="auto"/>
              <w:rPr>
                <w:rFonts w:ascii="Times New Roman"/>
                <w:sz w:val="20"/>
              </w:rPr>
            </w:pPr>
          </w:p>
        </w:tc>
        <w:tc>
          <w:tcPr>
            <w:tcW w:w="7145" w:type="dxa"/>
          </w:tcPr>
          <w:p>
            <w:pPr>
              <w:pStyle w:val="TableParagraph"/>
              <w:spacing w:line="211" w:lineRule="exact"/>
              <w:ind w:left="161"/>
              <w:rPr>
                <w:sz w:val="21"/>
              </w:rPr>
            </w:pPr>
            <w:r>
              <w:rPr>
                <w:spacing w:val="-10"/>
                <w:sz w:val="21"/>
              </w:rPr>
              <w:t>对不属于保险责任的，我们自作出核定之日起 </w:t>
            </w:r>
            <w:r>
              <w:rPr>
                <w:sz w:val="21"/>
              </w:rPr>
              <w:t>3</w:t>
            </w:r>
            <w:r>
              <w:rPr>
                <w:spacing w:val="-7"/>
                <w:sz w:val="21"/>
              </w:rPr>
              <w:t> 日内向申请人发出拒绝豁免</w:t>
            </w:r>
          </w:p>
          <w:p>
            <w:pPr>
              <w:pStyle w:val="TableParagraph"/>
              <w:spacing w:line="240" w:lineRule="auto" w:before="37"/>
              <w:ind w:left="161"/>
              <w:rPr>
                <w:sz w:val="21"/>
              </w:rPr>
            </w:pPr>
            <w:r>
              <w:rPr>
                <w:sz w:val="21"/>
              </w:rPr>
              <w:t>保险费通知书并说明理由。</w:t>
            </w:r>
          </w:p>
        </w:tc>
      </w:tr>
      <w:tr>
        <w:trPr>
          <w:trHeight w:val="875" w:hRule="atLeast"/>
        </w:trPr>
        <w:tc>
          <w:tcPr>
            <w:tcW w:w="765" w:type="dxa"/>
          </w:tcPr>
          <w:p>
            <w:pPr>
              <w:pStyle w:val="TableParagraph"/>
              <w:spacing w:line="240" w:lineRule="auto" w:before="72"/>
              <w:ind w:left="107"/>
              <w:rPr>
                <w:b/>
                <w:sz w:val="21"/>
              </w:rPr>
            </w:pPr>
            <w:r>
              <w:rPr>
                <w:b/>
                <w:sz w:val="21"/>
              </w:rPr>
              <w:t>3.3</w:t>
            </w:r>
          </w:p>
        </w:tc>
        <w:tc>
          <w:tcPr>
            <w:tcW w:w="1726" w:type="dxa"/>
          </w:tcPr>
          <w:p>
            <w:pPr>
              <w:pStyle w:val="TableParagraph"/>
              <w:spacing w:line="240" w:lineRule="auto" w:before="72"/>
              <w:ind w:left="300"/>
              <w:rPr>
                <w:b/>
                <w:sz w:val="21"/>
              </w:rPr>
            </w:pPr>
            <w:r>
              <w:rPr>
                <w:b/>
                <w:sz w:val="21"/>
              </w:rPr>
              <w:t>诉讼时效</w:t>
            </w:r>
          </w:p>
        </w:tc>
        <w:tc>
          <w:tcPr>
            <w:tcW w:w="7145" w:type="dxa"/>
          </w:tcPr>
          <w:p>
            <w:pPr>
              <w:pStyle w:val="TableParagraph"/>
              <w:spacing w:line="273" w:lineRule="auto" w:before="72"/>
              <w:ind w:left="161" w:right="98" w:hanging="1"/>
              <w:rPr>
                <w:sz w:val="21"/>
              </w:rPr>
            </w:pPr>
            <w:r>
              <w:rPr>
                <w:spacing w:val="-5"/>
                <w:sz w:val="21"/>
              </w:rPr>
              <w:t>申请人向我们请求豁免保险费的诉讼时效期间为 </w:t>
            </w:r>
            <w:r>
              <w:rPr>
                <w:sz w:val="21"/>
              </w:rPr>
              <w:t>2</w:t>
            </w:r>
            <w:r>
              <w:rPr>
                <w:spacing w:val="-11"/>
                <w:sz w:val="21"/>
              </w:rPr>
              <w:t> 年，自其知道或者应当知</w:t>
            </w:r>
            <w:r>
              <w:rPr>
                <w:spacing w:val="-6"/>
                <w:sz w:val="21"/>
              </w:rPr>
              <w:t>道保险事故发生之日起计算。</w:t>
            </w:r>
          </w:p>
        </w:tc>
      </w:tr>
      <w:tr>
        <w:trPr>
          <w:trHeight w:val="739" w:hRule="atLeast"/>
        </w:trPr>
        <w:tc>
          <w:tcPr>
            <w:tcW w:w="765" w:type="dxa"/>
            <w:tcBorders>
              <w:bottom w:val="single" w:sz="8" w:space="0" w:color="000000"/>
            </w:tcBorders>
          </w:tcPr>
          <w:p>
            <w:pPr>
              <w:pStyle w:val="TableParagraph"/>
              <w:spacing w:line="240" w:lineRule="auto" w:before="179"/>
              <w:ind w:left="107"/>
              <w:rPr>
                <w:rFonts w:ascii="Arial" w:hAnsi="Arial"/>
                <w:b/>
                <w:sz w:val="40"/>
              </w:rPr>
            </w:pPr>
            <w:r>
              <w:rPr>
                <w:rFonts w:ascii="Arial" w:hAnsi="Arial"/>
                <w:b/>
                <w:w w:val="119"/>
                <w:sz w:val="40"/>
              </w:rPr>
              <w:t></w:t>
            </w:r>
          </w:p>
        </w:tc>
        <w:tc>
          <w:tcPr>
            <w:tcW w:w="8871" w:type="dxa"/>
            <w:gridSpan w:val="2"/>
            <w:tcBorders>
              <w:bottom w:val="single" w:sz="8" w:space="0" w:color="000000"/>
            </w:tcBorders>
          </w:tcPr>
          <w:p>
            <w:pPr>
              <w:pStyle w:val="TableParagraph"/>
              <w:spacing w:line="240" w:lineRule="auto" w:before="8"/>
              <w:rPr>
                <w:sz w:val="17"/>
              </w:rPr>
            </w:pPr>
          </w:p>
          <w:p>
            <w:pPr>
              <w:pStyle w:val="TableParagraph"/>
              <w:spacing w:line="240" w:lineRule="auto" w:before="1"/>
              <w:ind w:left="300"/>
              <w:rPr>
                <w:b/>
                <w:sz w:val="24"/>
              </w:rPr>
            </w:pPr>
            <w:r>
              <w:rPr>
                <w:b/>
                <w:w w:val="95"/>
                <w:sz w:val="24"/>
              </w:rPr>
              <w:t>如何收取保障成本</w:t>
            </w:r>
          </w:p>
        </w:tc>
      </w:tr>
      <w:tr>
        <w:trPr>
          <w:trHeight w:val="3837" w:hRule="atLeast"/>
        </w:trPr>
        <w:tc>
          <w:tcPr>
            <w:tcW w:w="765" w:type="dxa"/>
            <w:tcBorders>
              <w:top w:val="single" w:sz="8" w:space="0" w:color="000000"/>
            </w:tcBorders>
          </w:tcPr>
          <w:p>
            <w:pPr>
              <w:pStyle w:val="TableParagraph"/>
              <w:spacing w:line="240" w:lineRule="auto" w:before="2"/>
              <w:rPr>
                <w:sz w:val="19"/>
              </w:rPr>
            </w:pPr>
          </w:p>
          <w:p>
            <w:pPr>
              <w:pStyle w:val="TableParagraph"/>
              <w:spacing w:line="240" w:lineRule="auto"/>
              <w:ind w:left="107"/>
              <w:rPr>
                <w:b/>
                <w:sz w:val="21"/>
              </w:rPr>
            </w:pPr>
            <w:r>
              <w:rPr>
                <w:b/>
                <w:sz w:val="21"/>
              </w:rPr>
              <w:t>4.1</w:t>
            </w:r>
          </w:p>
        </w:tc>
        <w:tc>
          <w:tcPr>
            <w:tcW w:w="1726" w:type="dxa"/>
            <w:tcBorders>
              <w:top w:val="single" w:sz="8" w:space="0" w:color="000000"/>
            </w:tcBorders>
          </w:tcPr>
          <w:p>
            <w:pPr>
              <w:pStyle w:val="TableParagraph"/>
              <w:spacing w:line="240" w:lineRule="auto" w:before="2"/>
              <w:rPr>
                <w:sz w:val="19"/>
              </w:rPr>
            </w:pPr>
          </w:p>
          <w:p>
            <w:pPr>
              <w:pStyle w:val="TableParagraph"/>
              <w:spacing w:line="240" w:lineRule="auto"/>
              <w:ind w:left="300"/>
              <w:rPr>
                <w:b/>
                <w:sz w:val="21"/>
              </w:rPr>
            </w:pPr>
            <w:r>
              <w:rPr>
                <w:b/>
                <w:sz w:val="21"/>
              </w:rPr>
              <w:t>保障成本</w:t>
            </w:r>
          </w:p>
        </w:tc>
        <w:tc>
          <w:tcPr>
            <w:tcW w:w="7145" w:type="dxa"/>
            <w:tcBorders>
              <w:top w:val="single" w:sz="8" w:space="0" w:color="000000"/>
            </w:tcBorders>
          </w:tcPr>
          <w:p>
            <w:pPr>
              <w:pStyle w:val="TableParagraph"/>
              <w:spacing w:line="240" w:lineRule="auto" w:before="2"/>
              <w:rPr>
                <w:sz w:val="19"/>
              </w:rPr>
            </w:pPr>
          </w:p>
          <w:p>
            <w:pPr>
              <w:pStyle w:val="TableParagraph"/>
              <w:spacing w:line="240" w:lineRule="auto"/>
              <w:ind w:left="161"/>
              <w:rPr>
                <w:sz w:val="21"/>
              </w:rPr>
            </w:pPr>
            <w:r>
              <w:rPr>
                <w:sz w:val="21"/>
              </w:rPr>
              <w:t>（1）保障成本</w:t>
            </w:r>
          </w:p>
          <w:p>
            <w:pPr>
              <w:pStyle w:val="TableParagraph"/>
              <w:spacing w:line="273" w:lineRule="auto" w:before="36"/>
              <w:ind w:left="160" w:right="98"/>
              <w:jc w:val="both"/>
              <w:rPr>
                <w:sz w:val="21"/>
              </w:rPr>
            </w:pPr>
            <w:r>
              <w:rPr>
                <w:spacing w:val="-5"/>
                <w:sz w:val="21"/>
              </w:rPr>
              <w:t>我们对本附加险合同承担的保险责任收取相应的保障成本，本附加险合同的</w:t>
            </w:r>
            <w:r>
              <w:rPr>
                <w:spacing w:val="-7"/>
                <w:sz w:val="21"/>
              </w:rPr>
              <w:t>保障成本必须随主险合同的保障成本一起收取。本附加险合同年保障成本根据被保险人的年龄、性别、</w:t>
            </w:r>
            <w:r>
              <w:rPr>
                <w:rFonts w:ascii="黑体" w:eastAsia="黑体" w:hint="eastAsia"/>
                <w:b/>
                <w:spacing w:val="-7"/>
                <w:sz w:val="21"/>
              </w:rPr>
              <w:t>危险保额</w:t>
            </w:r>
            <w:r>
              <w:rPr>
                <w:spacing w:val="-7"/>
                <w:sz w:val="21"/>
              </w:rPr>
              <w:t>（</w:t>
            </w:r>
            <w:r>
              <w:rPr>
                <w:spacing w:val="16"/>
                <w:sz w:val="21"/>
              </w:rPr>
              <w:t>见 </w:t>
            </w:r>
            <w:r>
              <w:rPr>
                <w:sz w:val="21"/>
              </w:rPr>
              <w:t>8.20）及风险程度确定，每千元</w:t>
            </w:r>
            <w:r>
              <w:rPr>
                <w:spacing w:val="-6"/>
                <w:sz w:val="21"/>
              </w:rPr>
              <w:t>危险保额应收取的年保障成本会在保险单中载明。如果根据被保险人的风险</w:t>
            </w:r>
            <w:r>
              <w:rPr>
                <w:spacing w:val="-4"/>
                <w:sz w:val="21"/>
              </w:rPr>
              <w:t>程度需要增加年保障成本的，将会在保险单上批注。</w:t>
            </w:r>
          </w:p>
          <w:p>
            <w:pPr>
              <w:pStyle w:val="TableParagraph"/>
              <w:spacing w:line="240" w:lineRule="auto" w:before="7"/>
              <w:ind w:left="160"/>
              <w:rPr>
                <w:sz w:val="21"/>
              </w:rPr>
            </w:pPr>
            <w:r>
              <w:rPr>
                <w:sz w:val="21"/>
              </w:rPr>
              <w:t>（2）保障成本的收取</w:t>
            </w:r>
          </w:p>
          <w:p>
            <w:pPr>
              <w:pStyle w:val="TableParagraph"/>
              <w:spacing w:line="273" w:lineRule="auto" w:before="37"/>
              <w:ind w:left="160" w:right="98"/>
              <w:jc w:val="both"/>
              <w:rPr>
                <w:sz w:val="21"/>
              </w:rPr>
            </w:pPr>
            <w:r>
              <w:rPr>
                <w:spacing w:val="-7"/>
                <w:sz w:val="21"/>
              </w:rPr>
              <w:t>在每月结算日，我们按照该月的实际天数收取本附加险合同的保障成本。每日的保障成本为年保障成本的 </w:t>
            </w:r>
            <w:r>
              <w:rPr>
                <w:sz w:val="21"/>
              </w:rPr>
              <w:t>1/365</w:t>
            </w:r>
            <w:r>
              <w:rPr>
                <w:spacing w:val="-3"/>
                <w:sz w:val="21"/>
              </w:rPr>
              <w:t>。如果有欠交的保障成本，我们也同时</w:t>
            </w:r>
            <w:r>
              <w:rPr>
                <w:spacing w:val="-9"/>
                <w:sz w:val="21"/>
              </w:rPr>
              <w:t>收取。我们每月收取保障成本后，主险合同保单账户价值按收取的保障成本</w:t>
            </w:r>
            <w:r>
              <w:rPr>
                <w:spacing w:val="-5"/>
                <w:sz w:val="21"/>
              </w:rPr>
              <w:t>等额减少。</w:t>
            </w:r>
          </w:p>
        </w:tc>
      </w:tr>
      <w:tr>
        <w:trPr>
          <w:trHeight w:val="2779" w:hRule="atLeast"/>
        </w:trPr>
        <w:tc>
          <w:tcPr>
            <w:tcW w:w="765" w:type="dxa"/>
          </w:tcPr>
          <w:p>
            <w:pPr>
              <w:pStyle w:val="TableParagraph"/>
              <w:spacing w:line="240" w:lineRule="auto" w:before="128"/>
              <w:ind w:left="107"/>
              <w:rPr>
                <w:b/>
                <w:sz w:val="21"/>
              </w:rPr>
            </w:pPr>
            <w:r>
              <w:rPr>
                <w:b/>
                <w:sz w:val="21"/>
              </w:rPr>
              <w:t>4.2</w:t>
            </w:r>
          </w:p>
        </w:tc>
        <w:tc>
          <w:tcPr>
            <w:tcW w:w="1726" w:type="dxa"/>
          </w:tcPr>
          <w:p>
            <w:pPr>
              <w:pStyle w:val="TableParagraph"/>
              <w:spacing w:line="240" w:lineRule="auto" w:before="128"/>
              <w:ind w:left="300"/>
              <w:rPr>
                <w:b/>
                <w:sz w:val="21"/>
              </w:rPr>
            </w:pPr>
            <w:r>
              <w:rPr>
                <w:b/>
                <w:sz w:val="21"/>
              </w:rPr>
              <w:t>宽限期</w:t>
            </w:r>
          </w:p>
        </w:tc>
        <w:tc>
          <w:tcPr>
            <w:tcW w:w="7145" w:type="dxa"/>
          </w:tcPr>
          <w:p>
            <w:pPr>
              <w:pStyle w:val="TableParagraph"/>
              <w:spacing w:line="273" w:lineRule="auto" w:before="128"/>
              <w:ind w:left="161" w:right="98"/>
              <w:jc w:val="both"/>
              <w:rPr>
                <w:sz w:val="21"/>
              </w:rPr>
            </w:pPr>
            <w:r>
              <w:rPr>
                <w:spacing w:val="-8"/>
                <w:sz w:val="21"/>
              </w:rPr>
              <w:t>投保了本附加险合同后，主险合同及本附加险合同的宽限期按照以下约定确定。</w:t>
            </w:r>
          </w:p>
          <w:p>
            <w:pPr>
              <w:pStyle w:val="TableParagraph"/>
              <w:spacing w:line="273" w:lineRule="auto" w:before="7"/>
              <w:ind w:left="161" w:right="98"/>
              <w:jc w:val="both"/>
              <w:rPr>
                <w:sz w:val="21"/>
              </w:rPr>
            </w:pPr>
            <w:r>
              <w:rPr>
                <w:spacing w:val="-8"/>
                <w:sz w:val="21"/>
              </w:rPr>
              <w:t>在主险合同有效期内，在结算日零时如果主险合同的保单账户价值不足以同</w:t>
            </w:r>
            <w:r>
              <w:rPr>
                <w:spacing w:val="-11"/>
                <w:sz w:val="21"/>
              </w:rPr>
              <w:t>时支付主险合同及其附加险合同的保障成本，则自该结算日的次日零时起 </w:t>
            </w:r>
            <w:r>
              <w:rPr>
                <w:sz w:val="21"/>
              </w:rPr>
              <w:t>60 </w:t>
            </w:r>
            <w:r>
              <w:rPr>
                <w:spacing w:val="-3"/>
                <w:sz w:val="21"/>
              </w:rPr>
              <w:t>日为主险合同及本附加险合同的宽限期。</w:t>
            </w:r>
          </w:p>
          <w:p>
            <w:pPr>
              <w:pStyle w:val="TableParagraph"/>
              <w:spacing w:line="273" w:lineRule="auto" w:before="7"/>
              <w:ind w:left="161" w:right="98"/>
              <w:jc w:val="both"/>
              <w:rPr>
                <w:sz w:val="21"/>
              </w:rPr>
            </w:pPr>
            <w:r>
              <w:rPr>
                <w:spacing w:val="-6"/>
                <w:sz w:val="21"/>
              </w:rPr>
              <w:t>宽限期内发生的保险事故，我们仍会承担保险责任，但您应补交欠交的保障</w:t>
            </w:r>
            <w:r>
              <w:rPr>
                <w:spacing w:val="-9"/>
                <w:sz w:val="21"/>
              </w:rPr>
              <w:t>成本。如果您宽限期结束之后仍未支付主险合同保险费，则本附加险合同自</w:t>
            </w:r>
            <w:r>
              <w:rPr>
                <w:spacing w:val="-5"/>
                <w:sz w:val="21"/>
              </w:rPr>
              <w:t>宽限期满的次日零时起效力中止。</w:t>
            </w:r>
          </w:p>
        </w:tc>
      </w:tr>
      <w:tr>
        <w:trPr>
          <w:trHeight w:val="2492" w:hRule="atLeast"/>
        </w:trPr>
        <w:tc>
          <w:tcPr>
            <w:tcW w:w="765" w:type="dxa"/>
          </w:tcPr>
          <w:p>
            <w:pPr>
              <w:pStyle w:val="TableParagraph"/>
              <w:spacing w:line="240" w:lineRule="auto" w:before="128"/>
              <w:ind w:left="107"/>
              <w:rPr>
                <w:b/>
                <w:sz w:val="21"/>
              </w:rPr>
            </w:pPr>
            <w:r>
              <w:rPr>
                <w:b/>
                <w:sz w:val="21"/>
              </w:rPr>
              <w:t>4.3</w:t>
            </w:r>
          </w:p>
        </w:tc>
        <w:tc>
          <w:tcPr>
            <w:tcW w:w="1726" w:type="dxa"/>
          </w:tcPr>
          <w:p>
            <w:pPr>
              <w:pStyle w:val="TableParagraph"/>
              <w:spacing w:line="240" w:lineRule="auto" w:before="128"/>
              <w:ind w:left="300"/>
              <w:rPr>
                <w:b/>
                <w:sz w:val="21"/>
              </w:rPr>
            </w:pPr>
            <w:r>
              <w:rPr>
                <w:b/>
                <w:sz w:val="21"/>
              </w:rPr>
              <w:t>保障成本调整</w:t>
            </w:r>
          </w:p>
        </w:tc>
        <w:tc>
          <w:tcPr>
            <w:tcW w:w="7145" w:type="dxa"/>
          </w:tcPr>
          <w:p>
            <w:pPr>
              <w:pStyle w:val="TableParagraph"/>
              <w:spacing w:line="240" w:lineRule="auto" w:before="128"/>
              <w:ind w:left="161"/>
              <w:rPr>
                <w:sz w:val="21"/>
              </w:rPr>
            </w:pPr>
            <w:r>
              <w:rPr>
                <w:sz w:val="21"/>
              </w:rPr>
              <w:t>我们保留提高或降低每千元危险保额年保障成本的权利。</w:t>
            </w:r>
          </w:p>
          <w:p>
            <w:pPr>
              <w:pStyle w:val="TableParagraph"/>
              <w:spacing w:line="273" w:lineRule="auto" w:before="36"/>
              <w:ind w:left="161" w:right="98"/>
              <w:jc w:val="both"/>
              <w:rPr>
                <w:sz w:val="21"/>
              </w:rPr>
            </w:pPr>
            <w:r>
              <w:rPr>
                <w:sz w:val="21"/>
              </w:rPr>
              <w:t>我们将根据本附加险合同计算每千元危险保额年保障成本所用的重大疾病</w:t>
            </w:r>
            <w:r>
              <w:rPr>
                <w:spacing w:val="-6"/>
                <w:sz w:val="21"/>
              </w:rPr>
              <w:t>发生率与实际情况的偏差程度，决定年保障成本是否调整。本附加险合同年</w:t>
            </w:r>
            <w:r>
              <w:rPr>
                <w:spacing w:val="-4"/>
                <w:sz w:val="21"/>
              </w:rPr>
              <w:t>保障成本的调整针对所有被保险人或同一投保年龄的所有被保险人。</w:t>
            </w:r>
          </w:p>
          <w:p>
            <w:pPr>
              <w:pStyle w:val="TableParagraph"/>
              <w:spacing w:line="273" w:lineRule="auto" w:before="7"/>
              <w:ind w:left="161" w:right="98"/>
              <w:jc w:val="both"/>
              <w:rPr>
                <w:sz w:val="21"/>
              </w:rPr>
            </w:pPr>
            <w:r>
              <w:rPr>
                <w:spacing w:val="-5"/>
                <w:sz w:val="21"/>
              </w:rPr>
              <w:t>我们进行年保障成本的调整并向国务院保险监督管理机构备案后，每月收取</w:t>
            </w:r>
            <w:r>
              <w:rPr>
                <w:spacing w:val="-7"/>
                <w:sz w:val="21"/>
              </w:rPr>
              <w:t>的保障成本将按调整后的年保障成本计算，年保障成本调整前我们已经收取</w:t>
            </w:r>
            <w:r>
              <w:rPr>
                <w:spacing w:val="-5"/>
                <w:sz w:val="21"/>
              </w:rPr>
              <w:t>的保障成本不受影响。</w:t>
            </w:r>
          </w:p>
        </w:tc>
      </w:tr>
      <w:tr>
        <w:trPr>
          <w:trHeight w:val="739" w:hRule="atLeast"/>
        </w:trPr>
        <w:tc>
          <w:tcPr>
            <w:tcW w:w="765" w:type="dxa"/>
            <w:tcBorders>
              <w:bottom w:val="single" w:sz="8" w:space="0" w:color="000000"/>
            </w:tcBorders>
          </w:tcPr>
          <w:p>
            <w:pPr>
              <w:pStyle w:val="TableParagraph"/>
              <w:spacing w:line="240" w:lineRule="auto" w:before="180"/>
              <w:ind w:left="107"/>
              <w:rPr>
                <w:rFonts w:ascii="Arial" w:hAnsi="Arial"/>
                <w:b/>
                <w:sz w:val="40"/>
              </w:rPr>
            </w:pPr>
            <w:r>
              <w:rPr>
                <w:rFonts w:ascii="Arial" w:hAnsi="Arial"/>
                <w:b/>
                <w:w w:val="119"/>
                <w:sz w:val="40"/>
              </w:rPr>
              <w:t></w:t>
            </w:r>
          </w:p>
        </w:tc>
        <w:tc>
          <w:tcPr>
            <w:tcW w:w="8871" w:type="dxa"/>
            <w:gridSpan w:val="2"/>
            <w:tcBorders>
              <w:bottom w:val="single" w:sz="8" w:space="0" w:color="000000"/>
            </w:tcBorders>
          </w:tcPr>
          <w:p>
            <w:pPr>
              <w:pStyle w:val="TableParagraph"/>
              <w:spacing w:line="240" w:lineRule="auto" w:before="9"/>
              <w:rPr>
                <w:sz w:val="17"/>
              </w:rPr>
            </w:pPr>
          </w:p>
          <w:p>
            <w:pPr>
              <w:pStyle w:val="TableParagraph"/>
              <w:spacing w:line="240" w:lineRule="auto"/>
              <w:ind w:left="300"/>
              <w:rPr>
                <w:b/>
                <w:sz w:val="24"/>
              </w:rPr>
            </w:pPr>
            <w:r>
              <w:rPr>
                <w:b/>
                <w:w w:val="95"/>
                <w:sz w:val="24"/>
              </w:rPr>
              <w:t>合同效力的中止及恢复</w:t>
            </w:r>
          </w:p>
        </w:tc>
      </w:tr>
      <w:tr>
        <w:trPr>
          <w:trHeight w:val="1032" w:hRule="atLeast"/>
        </w:trPr>
        <w:tc>
          <w:tcPr>
            <w:tcW w:w="765" w:type="dxa"/>
            <w:tcBorders>
              <w:top w:val="single" w:sz="8" w:space="0" w:color="000000"/>
            </w:tcBorders>
          </w:tcPr>
          <w:p>
            <w:pPr>
              <w:pStyle w:val="TableParagraph"/>
              <w:spacing w:line="240" w:lineRule="auto" w:before="4"/>
              <w:rPr>
                <w:sz w:val="19"/>
              </w:rPr>
            </w:pPr>
          </w:p>
          <w:p>
            <w:pPr>
              <w:pStyle w:val="TableParagraph"/>
              <w:spacing w:line="240" w:lineRule="auto" w:before="1"/>
              <w:ind w:left="107"/>
              <w:rPr>
                <w:b/>
                <w:sz w:val="21"/>
              </w:rPr>
            </w:pPr>
            <w:r>
              <w:rPr>
                <w:b/>
                <w:sz w:val="21"/>
              </w:rPr>
              <w:t>5.1</w:t>
            </w:r>
          </w:p>
        </w:tc>
        <w:tc>
          <w:tcPr>
            <w:tcW w:w="1726" w:type="dxa"/>
            <w:tcBorders>
              <w:top w:val="single" w:sz="8" w:space="0" w:color="000000"/>
            </w:tcBorders>
          </w:tcPr>
          <w:p>
            <w:pPr>
              <w:pStyle w:val="TableParagraph"/>
              <w:spacing w:line="240" w:lineRule="auto" w:before="4"/>
              <w:rPr>
                <w:sz w:val="19"/>
              </w:rPr>
            </w:pPr>
          </w:p>
          <w:p>
            <w:pPr>
              <w:pStyle w:val="TableParagraph"/>
              <w:spacing w:line="240" w:lineRule="auto" w:before="1"/>
              <w:ind w:left="300"/>
              <w:rPr>
                <w:b/>
                <w:sz w:val="21"/>
              </w:rPr>
            </w:pPr>
            <w:r>
              <w:rPr>
                <w:b/>
                <w:sz w:val="21"/>
              </w:rPr>
              <w:t>效力中止</w:t>
            </w:r>
          </w:p>
        </w:tc>
        <w:tc>
          <w:tcPr>
            <w:tcW w:w="7145" w:type="dxa"/>
            <w:tcBorders>
              <w:top w:val="single" w:sz="8" w:space="0" w:color="000000"/>
            </w:tcBorders>
          </w:tcPr>
          <w:p>
            <w:pPr>
              <w:pStyle w:val="TableParagraph"/>
              <w:spacing w:line="240" w:lineRule="auto" w:before="4"/>
              <w:rPr>
                <w:sz w:val="19"/>
              </w:rPr>
            </w:pPr>
          </w:p>
          <w:p>
            <w:pPr>
              <w:pStyle w:val="TableParagraph"/>
              <w:spacing w:line="240" w:lineRule="auto" w:before="1"/>
              <w:ind w:left="161"/>
              <w:rPr>
                <w:sz w:val="21"/>
              </w:rPr>
            </w:pPr>
            <w:r>
              <w:rPr>
                <w:sz w:val="21"/>
              </w:rPr>
              <w:t>在主险合同效力中止时，本附加险合同效力中止。</w:t>
            </w:r>
          </w:p>
          <w:p>
            <w:pPr>
              <w:pStyle w:val="TableParagraph"/>
              <w:spacing w:line="240" w:lineRule="auto" w:before="37"/>
              <w:ind w:left="161"/>
              <w:rPr>
                <w:sz w:val="21"/>
              </w:rPr>
            </w:pPr>
            <w:r>
              <w:rPr>
                <w:sz w:val="21"/>
              </w:rPr>
              <w:t>在本附加险合同效力中止期间，我们不承担保险责任。</w:t>
            </w:r>
          </w:p>
        </w:tc>
      </w:tr>
      <w:tr>
        <w:trPr>
          <w:trHeight w:val="1650" w:hRule="atLeast"/>
        </w:trPr>
        <w:tc>
          <w:tcPr>
            <w:tcW w:w="765" w:type="dxa"/>
          </w:tcPr>
          <w:p>
            <w:pPr>
              <w:pStyle w:val="TableParagraph"/>
              <w:spacing w:line="240" w:lineRule="auto" w:before="128"/>
              <w:ind w:left="107"/>
              <w:rPr>
                <w:b/>
                <w:sz w:val="21"/>
              </w:rPr>
            </w:pPr>
            <w:r>
              <w:rPr>
                <w:b/>
                <w:sz w:val="21"/>
              </w:rPr>
              <w:t>5.2</w:t>
            </w:r>
          </w:p>
        </w:tc>
        <w:tc>
          <w:tcPr>
            <w:tcW w:w="1726" w:type="dxa"/>
          </w:tcPr>
          <w:p>
            <w:pPr>
              <w:pStyle w:val="TableParagraph"/>
              <w:spacing w:line="240" w:lineRule="auto" w:before="128"/>
              <w:ind w:left="300"/>
              <w:rPr>
                <w:b/>
                <w:sz w:val="21"/>
              </w:rPr>
            </w:pPr>
            <w:r>
              <w:rPr>
                <w:b/>
                <w:sz w:val="21"/>
              </w:rPr>
              <w:t>效力恢复</w:t>
            </w:r>
          </w:p>
        </w:tc>
        <w:tc>
          <w:tcPr>
            <w:tcW w:w="7145" w:type="dxa"/>
          </w:tcPr>
          <w:p>
            <w:pPr>
              <w:pStyle w:val="TableParagraph"/>
              <w:spacing w:line="273" w:lineRule="auto" w:before="128"/>
              <w:ind w:left="161" w:right="103"/>
              <w:jc w:val="both"/>
              <w:rPr>
                <w:sz w:val="21"/>
              </w:rPr>
            </w:pPr>
            <w:r>
              <w:rPr>
                <w:spacing w:val="-6"/>
                <w:sz w:val="21"/>
              </w:rPr>
              <w:t>本附加险合同效力中止后 </w:t>
            </w:r>
            <w:r>
              <w:rPr>
                <w:sz w:val="21"/>
              </w:rPr>
              <w:t>2</w:t>
            </w:r>
            <w:r>
              <w:rPr>
                <w:spacing w:val="-12"/>
                <w:sz w:val="21"/>
              </w:rPr>
              <w:t> 年内，您可以申请恢复合同效力。经您与我们协</w:t>
            </w:r>
            <w:r>
              <w:rPr>
                <w:spacing w:val="-7"/>
                <w:sz w:val="21"/>
              </w:rPr>
              <w:t>商并达成协议，在您补交主险合同保险费之日起，合同效力恢复。主险合同</w:t>
            </w:r>
            <w:r>
              <w:rPr>
                <w:spacing w:val="-3"/>
                <w:sz w:val="21"/>
              </w:rPr>
              <w:t>效力中止期间，本附加险合同不得单独申请复效。</w:t>
            </w:r>
          </w:p>
          <w:p>
            <w:pPr>
              <w:pStyle w:val="TableParagraph"/>
              <w:spacing w:line="312" w:lineRule="exact" w:before="3"/>
              <w:ind w:left="160" w:right="100"/>
              <w:jc w:val="both"/>
              <w:rPr>
                <w:sz w:val="21"/>
              </w:rPr>
            </w:pPr>
            <w:r>
              <w:rPr>
                <w:spacing w:val="-6"/>
                <w:sz w:val="21"/>
              </w:rPr>
              <w:t>自本附加险合同效力中止之日起满 </w:t>
            </w:r>
            <w:r>
              <w:rPr>
                <w:sz w:val="21"/>
              </w:rPr>
              <w:t>2</w:t>
            </w:r>
            <w:r>
              <w:rPr>
                <w:spacing w:val="-12"/>
                <w:sz w:val="21"/>
              </w:rPr>
              <w:t> 年您和我们未达成协议的，本附加险合</w:t>
            </w:r>
            <w:r>
              <w:rPr>
                <w:spacing w:val="-1"/>
                <w:sz w:val="21"/>
              </w:rPr>
              <w:t>同终止。</w:t>
            </w:r>
          </w:p>
        </w:tc>
      </w:tr>
    </w:tbl>
    <w:p>
      <w:pPr>
        <w:spacing w:after="0" w:line="312" w:lineRule="exact"/>
        <w:jc w:val="both"/>
        <w:rPr>
          <w:sz w:val="21"/>
        </w:rPr>
        <w:sectPr>
          <w:pgSz w:w="11910" w:h="16840"/>
          <w:pgMar w:top="1160" w:bottom="280" w:left="800" w:right="1240"/>
        </w:sectPr>
      </w:pPr>
    </w:p>
    <w:p>
      <w:pPr>
        <w:pStyle w:val="Heading3"/>
        <w:tabs>
          <w:tab w:pos="1177" w:val="left" w:leader="none"/>
        </w:tabs>
        <w:spacing w:before="47"/>
        <w:ind w:left="220"/>
        <w:rPr>
          <w:rFonts w:ascii="宋体" w:hAnsi="宋体" w:eastAsia="宋体" w:hint="eastAsia"/>
        </w:rPr>
      </w:pPr>
      <w:r>
        <w:rPr/>
        <w:pict>
          <v:group style="position:absolute;margin-left:45.599998pt;margin-top:30.510771pt;width:481.95pt;height:1pt;mso-position-horizontal-relative:page;mso-position-vertical-relative:paragraph;z-index:1144;mso-wrap-distance-left:0;mso-wrap-distance-right:0" coordorigin="912,610" coordsize="9639,20">
            <v:line style="position:absolute" from="912,620" to="1870,620" stroked="true" strokeweight=".959pt" strokecolor="#000000">
              <v:stroke dashstyle="solid"/>
            </v:line>
            <v:rect style="position:absolute;left:1869;top:610;width:20;height:20" filled="true" fillcolor="#000000" stroked="false">
              <v:fill type="solid"/>
            </v:rect>
            <v:line style="position:absolute" from="1889,620" to="3456,620" stroked="true" strokeweight=".959pt" strokecolor="#000000">
              <v:stroke dashstyle="solid"/>
            </v:line>
            <v:rect style="position:absolute;left:3456;top:610;width:20;height:20" filled="true" fillcolor="#000000" stroked="false">
              <v:fill type="solid"/>
            </v:rect>
            <v:line style="position:absolute" from="3475,620" to="10550,620"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2"/>
        <w:rPr>
          <w:b/>
          <w:sz w:val="14"/>
        </w:rPr>
      </w:pPr>
    </w:p>
    <w:p>
      <w:pPr>
        <w:pStyle w:val="BodyText"/>
        <w:tabs>
          <w:tab w:pos="1177" w:val="left" w:leader="none"/>
          <w:tab w:pos="2763" w:val="left" w:leader="none"/>
        </w:tabs>
        <w:spacing w:line="273" w:lineRule="auto"/>
        <w:ind w:left="2764" w:right="217" w:hanging="2544"/>
      </w:pPr>
      <w:r>
        <w:rPr>
          <w:b/>
        </w:rPr>
        <w:t>6.1</w:t>
        <w:tab/>
        <w:t>合同解除</w:t>
        <w:tab/>
      </w:r>
      <w:r>
        <w:rPr/>
        <w:t>您在</w:t>
      </w:r>
      <w:r>
        <w:rPr>
          <w:spacing w:val="-3"/>
        </w:rPr>
        <w:t>犹</w:t>
      </w:r>
      <w:r>
        <w:rPr/>
        <w:t>豫</w:t>
      </w:r>
      <w:r>
        <w:rPr>
          <w:spacing w:val="-3"/>
        </w:rPr>
        <w:t>期</w:t>
      </w:r>
      <w:r>
        <w:rPr/>
        <w:t>后</w:t>
      </w:r>
      <w:r>
        <w:rPr>
          <w:spacing w:val="-3"/>
        </w:rPr>
        <w:t>可</w:t>
      </w:r>
      <w:r>
        <w:rPr/>
        <w:t>以</w:t>
      </w:r>
      <w:r>
        <w:rPr>
          <w:spacing w:val="-3"/>
        </w:rPr>
        <w:t>申</w:t>
      </w:r>
      <w:r>
        <w:rPr/>
        <w:t>请</w:t>
      </w:r>
      <w:r>
        <w:rPr>
          <w:spacing w:val="-3"/>
        </w:rPr>
        <w:t>解</w:t>
      </w:r>
      <w:r>
        <w:rPr/>
        <w:t>除本</w:t>
      </w:r>
      <w:r>
        <w:rPr>
          <w:spacing w:val="-3"/>
        </w:rPr>
        <w:t>附</w:t>
      </w:r>
      <w:r>
        <w:rPr/>
        <w:t>加</w:t>
      </w:r>
      <w:r>
        <w:rPr>
          <w:spacing w:val="-3"/>
        </w:rPr>
        <w:t>险</w:t>
      </w:r>
      <w:r>
        <w:rPr/>
        <w:t>合</w:t>
      </w:r>
      <w:r>
        <w:rPr>
          <w:spacing w:val="-3"/>
        </w:rPr>
        <w:t>同</w:t>
      </w:r>
      <w:r>
        <w:rPr>
          <w:spacing w:val="-53"/>
        </w:rPr>
        <w:t>，</w:t>
      </w:r>
      <w:r>
        <w:rPr/>
        <w:t>请</w:t>
      </w:r>
      <w:r>
        <w:rPr>
          <w:spacing w:val="-3"/>
        </w:rPr>
        <w:t>填写</w:t>
      </w:r>
      <w:r>
        <w:rPr/>
        <w:t>解除</w:t>
      </w:r>
      <w:r>
        <w:rPr>
          <w:spacing w:val="-3"/>
        </w:rPr>
        <w:t>合</w:t>
      </w:r>
      <w:r>
        <w:rPr/>
        <w:t>同</w:t>
      </w:r>
      <w:r>
        <w:rPr>
          <w:spacing w:val="-3"/>
        </w:rPr>
        <w:t>申</w:t>
      </w:r>
      <w:r>
        <w:rPr/>
        <w:t>请</w:t>
      </w:r>
      <w:r>
        <w:rPr>
          <w:spacing w:val="-3"/>
        </w:rPr>
        <w:t>书</w:t>
      </w:r>
      <w:r>
        <w:rPr/>
        <w:t>并</w:t>
      </w:r>
      <w:r>
        <w:rPr>
          <w:spacing w:val="-3"/>
        </w:rPr>
        <w:t>向</w:t>
      </w:r>
      <w:r>
        <w:rPr/>
        <w:t>我们 提供</w:t>
      </w:r>
      <w:r>
        <w:rPr>
          <w:spacing w:val="-3"/>
        </w:rPr>
        <w:t>下</w:t>
      </w:r>
      <w:r>
        <w:rPr/>
        <w:t>列</w:t>
      </w:r>
      <w:r>
        <w:rPr>
          <w:spacing w:val="-3"/>
        </w:rPr>
        <w:t>资</w:t>
      </w:r>
      <w:r>
        <w:rPr/>
        <w:t>料：</w:t>
      </w:r>
    </w:p>
    <w:p>
      <w:pPr>
        <w:pStyle w:val="BodyText"/>
        <w:spacing w:before="8"/>
        <w:ind w:left="2764"/>
      </w:pPr>
      <w:r>
        <w:rPr/>
        <w:t>（1）保险合同；</w:t>
      </w:r>
    </w:p>
    <w:p>
      <w:pPr>
        <w:pStyle w:val="BodyText"/>
        <w:ind w:left="2764"/>
      </w:pPr>
      <w:r>
        <w:rPr/>
        <w:t>（2）您的有效身份证件。</w:t>
      </w:r>
    </w:p>
    <w:p>
      <w:pPr>
        <w:pStyle w:val="BodyText"/>
        <w:spacing w:line="273" w:lineRule="auto"/>
        <w:ind w:left="2764" w:right="216"/>
        <w:jc w:val="both"/>
      </w:pPr>
      <w:r>
        <w:rPr>
          <w:spacing w:val="-6"/>
        </w:rPr>
        <w:t>自我们收到解除合同申请书时起，本附加险合同终止。我们将已收取的本附加险合同终止日之后的保障成本无息退还至主险合同保单账户，主险合同保</w:t>
      </w:r>
      <w:r>
        <w:rPr>
          <w:spacing w:val="-3"/>
        </w:rPr>
        <w:t>单账户价值按退还的金额等额增加。</w:t>
      </w:r>
    </w:p>
    <w:p>
      <w:pPr>
        <w:pStyle w:val="BodyText"/>
        <w:spacing w:before="0"/>
        <w:rPr>
          <w:sz w:val="20"/>
        </w:rPr>
      </w:pPr>
    </w:p>
    <w:p>
      <w:pPr>
        <w:pStyle w:val="BodyText"/>
        <w:spacing w:before="8"/>
        <w:rPr>
          <w:sz w:val="16"/>
        </w:rPr>
      </w:pPr>
    </w:p>
    <w:p>
      <w:pPr>
        <w:pStyle w:val="Heading3"/>
        <w:tabs>
          <w:tab w:pos="1177" w:val="left" w:leader="none"/>
        </w:tabs>
        <w:spacing w:before="1"/>
        <w:ind w:left="220"/>
        <w:rPr>
          <w:rFonts w:ascii="宋体" w:hAnsi="宋体" w:eastAsia="宋体" w:hint="eastAsia"/>
        </w:rPr>
      </w:pPr>
      <w:r>
        <w:rPr/>
        <w:pict>
          <v:group style="position:absolute;margin-left:45.599998pt;margin-top:28.209789pt;width:481.95pt;height:1pt;mso-position-horizontal-relative:page;mso-position-vertical-relative:paragraph;z-index:1168;mso-wrap-distance-left:0;mso-wrap-distance-right:0" coordorigin="912,564" coordsize="9639,20">
            <v:line style="position:absolute" from="912,574" to="1870,574" stroked="true" strokeweight=".96pt" strokecolor="#000000">
              <v:stroke dashstyle="solid"/>
            </v:line>
            <v:rect style="position:absolute;left:1869;top:564;width:20;height:20" filled="true" fillcolor="#000000" stroked="false">
              <v:fill type="solid"/>
            </v:rect>
            <v:line style="position:absolute" from="1889,574" to="3456,574" stroked="true" strokeweight=".96pt" strokecolor="#000000">
              <v:stroke dashstyle="solid"/>
            </v:line>
            <v:rect style="position:absolute;left:3456;top:564;width:20;height:20" filled="true" fillcolor="#000000" stroked="false">
              <v:fill type="solid"/>
            </v:rect>
            <v:line style="position:absolute" from="3475,574" to="10550,57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3"/>
        </w:numPr>
        <w:tabs>
          <w:tab w:pos="1178" w:val="left" w:leader="none"/>
        </w:tabs>
        <w:spacing w:line="273" w:lineRule="auto" w:before="37" w:after="0"/>
        <w:ind w:left="2763" w:right="217" w:hanging="2543"/>
        <w:jc w:val="both"/>
        <w:rPr>
          <w:sz w:val="21"/>
        </w:rPr>
      </w:pPr>
      <w:r>
        <w:rPr>
          <w:b/>
          <w:spacing w:val="3"/>
          <w:sz w:val="21"/>
        </w:rPr>
        <w:t>投保年龄      </w:t>
      </w:r>
      <w:r>
        <w:rPr>
          <w:sz w:val="21"/>
        </w:rPr>
        <w:t>指投保时被保险人的年龄，投保年龄以</w:t>
      </w:r>
      <w:r>
        <w:rPr>
          <w:rFonts w:ascii="黑体" w:eastAsia="黑体" w:hint="eastAsia"/>
          <w:b/>
          <w:sz w:val="21"/>
        </w:rPr>
        <w:t>周岁</w:t>
      </w:r>
      <w:r>
        <w:rPr>
          <w:sz w:val="21"/>
        </w:rPr>
        <w:t>（</w:t>
      </w:r>
      <w:r>
        <w:rPr>
          <w:spacing w:val="2"/>
          <w:sz w:val="21"/>
        </w:rPr>
        <w:t>见 </w:t>
      </w:r>
      <w:r>
        <w:rPr>
          <w:sz w:val="21"/>
        </w:rPr>
        <w:t>8.21）计算，本附加险合</w:t>
      </w:r>
      <w:r>
        <w:rPr>
          <w:spacing w:val="-7"/>
          <w:sz w:val="21"/>
        </w:rPr>
        <w:t>同接受的投保年龄为 </w:t>
      </w:r>
      <w:r>
        <w:rPr>
          <w:sz w:val="21"/>
        </w:rPr>
        <w:t>0</w:t>
      </w:r>
      <w:r>
        <w:rPr>
          <w:spacing w:val="-18"/>
          <w:sz w:val="21"/>
        </w:rPr>
        <w:t> 周岁至 </w:t>
      </w:r>
      <w:r>
        <w:rPr>
          <w:sz w:val="21"/>
        </w:rPr>
        <w:t>60</w:t>
      </w:r>
      <w:r>
        <w:rPr>
          <w:spacing w:val="-11"/>
          <w:sz w:val="21"/>
        </w:rPr>
        <w:t> 周岁，投保时被保险人为 </w:t>
      </w:r>
      <w:r>
        <w:rPr>
          <w:sz w:val="21"/>
        </w:rPr>
        <w:t>0</w:t>
      </w:r>
      <w:r>
        <w:rPr>
          <w:spacing w:val="-9"/>
          <w:sz w:val="21"/>
        </w:rPr>
        <w:t> 周岁的，应当</w:t>
      </w:r>
      <w:r>
        <w:rPr>
          <w:spacing w:val="-14"/>
          <w:sz w:val="21"/>
        </w:rPr>
        <w:t>为出生满 </w:t>
      </w:r>
      <w:r>
        <w:rPr>
          <w:sz w:val="21"/>
        </w:rPr>
        <w:t>28</w:t>
      </w:r>
      <w:r>
        <w:rPr>
          <w:spacing w:val="-8"/>
          <w:sz w:val="21"/>
        </w:rPr>
        <w:t> 日且已健康出院的婴儿。</w:t>
      </w:r>
    </w:p>
    <w:p>
      <w:pPr>
        <w:pStyle w:val="BodyText"/>
        <w:spacing w:before="8"/>
        <w:rPr>
          <w:sz w:val="26"/>
        </w:rPr>
      </w:pPr>
    </w:p>
    <w:p>
      <w:pPr>
        <w:pStyle w:val="ListParagraph"/>
        <w:numPr>
          <w:ilvl w:val="1"/>
          <w:numId w:val="3"/>
        </w:numPr>
        <w:tabs>
          <w:tab w:pos="1178" w:val="left" w:leader="none"/>
        </w:tabs>
        <w:spacing w:line="273" w:lineRule="auto" w:before="0" w:after="0"/>
        <w:ind w:left="2764" w:right="217" w:hanging="2544"/>
        <w:jc w:val="both"/>
        <w:rPr>
          <w:sz w:val="21"/>
        </w:rPr>
      </w:pPr>
      <w:r>
        <w:rPr>
          <w:b/>
          <w:spacing w:val="3"/>
          <w:sz w:val="21"/>
        </w:rPr>
        <w:t>年龄错误      </w:t>
      </w:r>
      <w:r>
        <w:rPr>
          <w:spacing w:val="-9"/>
          <w:sz w:val="21"/>
        </w:rPr>
        <w:t>您在申请投保时，应将与有效身份证件相符的被保险人的出生日期在投保书</w:t>
      </w:r>
      <w:r>
        <w:rPr>
          <w:spacing w:val="-5"/>
          <w:sz w:val="21"/>
        </w:rPr>
        <w:t>上填明，如果发生错误按照下列方式办理：</w:t>
      </w:r>
    </w:p>
    <w:p>
      <w:pPr>
        <w:pStyle w:val="BodyText"/>
        <w:spacing w:line="273" w:lineRule="auto" w:before="7"/>
        <w:ind w:left="3268" w:right="217" w:hanging="504"/>
        <w:jc w:val="both"/>
      </w:pPr>
      <w:r>
        <w:rPr/>
        <w:t>（1）</w:t>
      </w:r>
      <w:r>
        <w:rPr>
          <w:shd w:fill="DADADA" w:color="auto" w:val="clear"/>
        </w:rPr>
        <w:t>您申报的被保险人年龄不真实，我们有权更正并根据被保险人的真实年龄收取以后各月的保障成本。如果真实年龄不符合本附加险合同约定投保年龄限制的，我们有权解除合同。</w:t>
      </w:r>
      <w:r>
        <w:rPr/>
        <w:t>我们行使合同解除权适用“7. </w:t>
      </w:r>
      <w:r>
        <w:rPr>
          <w:rFonts w:ascii="Times New Roman" w:hAnsi="Times New Roman" w:eastAsia="Times New Roman"/>
        </w:rPr>
        <w:t>5</w:t>
      </w:r>
      <w:r>
        <w:rPr/>
        <w:t>（</w:t>
      </w:r>
      <w:r>
        <w:rPr>
          <w:rFonts w:ascii="Times New Roman" w:hAnsi="Times New Roman" w:eastAsia="Times New Roman"/>
        </w:rPr>
        <w:t>4</w:t>
      </w:r>
      <w:r>
        <w:rPr/>
        <w:t>）本公司合同解除权的限制”的规定。</w:t>
      </w:r>
    </w:p>
    <w:p>
      <w:pPr>
        <w:pStyle w:val="BodyText"/>
        <w:spacing w:line="273" w:lineRule="auto" w:before="0"/>
        <w:ind w:left="3267" w:right="217" w:hanging="504"/>
        <w:jc w:val="both"/>
      </w:pPr>
      <w:r>
        <w:rPr/>
        <w:t>（2）如果我们已收取的保障成本高于应收取的保障成本，且被保险人未发生主险合同规定的保险事故，多收的保障成本将无息计入保单账户。如果被保险人已发生主险合同规定的保险事故，则多收的保障成本无息随身故保险金退还给身故保险金受益人。</w:t>
      </w:r>
    </w:p>
    <w:p>
      <w:pPr>
        <w:pStyle w:val="BodyText"/>
        <w:spacing w:line="273" w:lineRule="auto" w:before="19"/>
        <w:ind w:left="3289" w:right="219" w:hanging="526"/>
        <w:jc w:val="both"/>
      </w:pPr>
      <w:r>
        <w:rPr/>
        <w:t>（3）如果被保险人发生保险事故，并且距保险事故发生时最近一次已收取的保障成本低于应收取的保障成本，我们有权要求您补交该次的保障成本。</w:t>
      </w:r>
    </w:p>
    <w:p>
      <w:pPr>
        <w:pStyle w:val="BodyText"/>
        <w:spacing w:before="6"/>
        <w:rPr>
          <w:sz w:val="26"/>
        </w:rPr>
      </w:pPr>
    </w:p>
    <w:p>
      <w:pPr>
        <w:pStyle w:val="ListParagraph"/>
        <w:numPr>
          <w:ilvl w:val="1"/>
          <w:numId w:val="3"/>
        </w:numPr>
        <w:tabs>
          <w:tab w:pos="1178" w:val="left" w:leader="none"/>
        </w:tabs>
        <w:spacing w:line="273" w:lineRule="auto" w:before="0" w:after="0"/>
        <w:ind w:left="2764" w:right="217" w:hanging="2544"/>
        <w:jc w:val="both"/>
        <w:rPr>
          <w:sz w:val="21"/>
        </w:rPr>
      </w:pPr>
      <w:r>
        <w:rPr>
          <w:b/>
          <w:spacing w:val="5"/>
          <w:sz w:val="21"/>
        </w:rPr>
        <w:t>合同内容变更  </w:t>
      </w:r>
      <w:r>
        <w:rPr>
          <w:spacing w:val="-7"/>
          <w:sz w:val="21"/>
        </w:rPr>
        <w:t>在本附加险合同有效期内，经您与我们协商一致，可以变更本附加险合同的</w:t>
      </w:r>
      <w:r>
        <w:rPr>
          <w:spacing w:val="-10"/>
          <w:sz w:val="21"/>
        </w:rPr>
        <w:t>有关内容。变更本附加险合同的，应当由我们在保险单或者其他保险凭证上</w:t>
      </w:r>
      <w:r>
        <w:rPr>
          <w:spacing w:val="-5"/>
          <w:sz w:val="21"/>
        </w:rPr>
        <w:t>批注或者附贴批单，或者由您与我们订立书面的变更协议。</w:t>
      </w:r>
    </w:p>
    <w:p>
      <w:pPr>
        <w:pStyle w:val="BodyText"/>
        <w:spacing w:line="273" w:lineRule="auto" w:before="7"/>
        <w:ind w:left="2764" w:right="217"/>
        <w:jc w:val="both"/>
      </w:pPr>
      <w:r>
        <w:rPr>
          <w:spacing w:val="-6"/>
        </w:rPr>
        <w:t>当主险合同或附加险合同已豁免保险费时，您不得变更本附加险合同的保险</w:t>
      </w:r>
      <w:r>
        <w:rPr>
          <w:spacing w:val="-9"/>
        </w:rPr>
        <w:t>期间。对于已豁免保险费的主险合同或附加险合同，如果是万能保险或投资连结保险，在本附加险合同的保险期间内，您不得变更主险合同及附加险合同的期交保险费；如果不是万能保险或投资连结保险，您不得变更主险合同</w:t>
      </w:r>
      <w:r>
        <w:rPr>
          <w:spacing w:val="-5"/>
        </w:rPr>
        <w:t>及附加险合同的基本保险金额、交费年期、档次、份数等。</w:t>
      </w:r>
    </w:p>
    <w:p>
      <w:pPr>
        <w:pStyle w:val="BodyText"/>
        <w:spacing w:before="8"/>
        <w:rPr>
          <w:sz w:val="26"/>
        </w:rPr>
      </w:pPr>
    </w:p>
    <w:p>
      <w:pPr>
        <w:pStyle w:val="ListParagraph"/>
        <w:numPr>
          <w:ilvl w:val="1"/>
          <w:numId w:val="3"/>
        </w:numPr>
        <w:tabs>
          <w:tab w:pos="1177" w:val="left" w:leader="none"/>
          <w:tab w:pos="1178" w:val="left" w:leader="none"/>
          <w:tab w:pos="2763" w:val="left" w:leader="none"/>
        </w:tabs>
        <w:spacing w:line="240" w:lineRule="auto" w:before="0" w:after="0"/>
        <w:ind w:left="2763" w:right="0" w:hanging="2543"/>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ind w:left="2763"/>
        <w:jc w:val="both"/>
      </w:pPr>
      <w:r>
        <w:rPr/>
        <w:t>（1）主险合同效力终止；</w:t>
      </w:r>
    </w:p>
    <w:p>
      <w:pPr>
        <w:pStyle w:val="BodyText"/>
        <w:ind w:left="2763"/>
        <w:jc w:val="both"/>
      </w:pPr>
      <w:r>
        <w:rPr/>
        <w:t>（2）主险合同保险费已豁免；</w:t>
      </w:r>
    </w:p>
    <w:p>
      <w:pPr>
        <w:pStyle w:val="BodyText"/>
        <w:ind w:left="2763"/>
        <w:jc w:val="both"/>
      </w:pPr>
      <w:r>
        <w:rPr/>
        <w:t>（3）您申请解除本附加险合同。</w:t>
      </w:r>
    </w:p>
    <w:p>
      <w:pPr>
        <w:spacing w:after="0"/>
        <w:jc w:val="both"/>
        <w:sectPr>
          <w:pgSz w:w="11910" w:h="16840"/>
          <w:pgMar w:top="1440" w:bottom="280" w:left="800" w:right="1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801"/>
        <w:gridCol w:w="7071"/>
      </w:tblGrid>
      <w:tr>
        <w:trPr>
          <w:trHeight w:val="261" w:hRule="atLeast"/>
        </w:trPr>
        <w:tc>
          <w:tcPr>
            <w:tcW w:w="765" w:type="dxa"/>
          </w:tcPr>
          <w:p>
            <w:pPr>
              <w:pStyle w:val="TableParagraph"/>
              <w:spacing w:line="211" w:lineRule="exact"/>
              <w:ind w:left="107"/>
              <w:rPr>
                <w:b/>
                <w:sz w:val="21"/>
              </w:rPr>
            </w:pPr>
            <w:r>
              <w:rPr>
                <w:b/>
                <w:sz w:val="21"/>
              </w:rPr>
              <w:t>7.5</w:t>
            </w:r>
          </w:p>
        </w:tc>
        <w:tc>
          <w:tcPr>
            <w:tcW w:w="1801" w:type="dxa"/>
          </w:tcPr>
          <w:p>
            <w:pPr>
              <w:pStyle w:val="TableParagraph"/>
              <w:spacing w:line="211" w:lineRule="exact"/>
              <w:ind w:left="300"/>
              <w:rPr>
                <w:b/>
                <w:sz w:val="21"/>
              </w:rPr>
            </w:pPr>
            <w:r>
              <w:rPr>
                <w:b/>
                <w:sz w:val="21"/>
              </w:rPr>
              <w:t>适用主险合同</w:t>
            </w:r>
          </w:p>
        </w:tc>
        <w:tc>
          <w:tcPr>
            <w:tcW w:w="7071" w:type="dxa"/>
          </w:tcPr>
          <w:p>
            <w:pPr>
              <w:pStyle w:val="TableParagraph"/>
              <w:spacing w:line="211" w:lineRule="exact"/>
              <w:ind w:left="86"/>
              <w:rPr>
                <w:sz w:val="21"/>
              </w:rPr>
            </w:pPr>
            <w:r>
              <w:rPr>
                <w:sz w:val="21"/>
              </w:rPr>
              <w:t>下列各项条款，适用主险合同条款：</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61" w:lineRule="exact"/>
              <w:ind w:left="300"/>
              <w:rPr>
                <w:b/>
                <w:sz w:val="21"/>
              </w:rPr>
            </w:pPr>
            <w:r>
              <w:rPr>
                <w:b/>
                <w:sz w:val="21"/>
              </w:rPr>
              <w:t>条款</w:t>
            </w:r>
          </w:p>
        </w:tc>
        <w:tc>
          <w:tcPr>
            <w:tcW w:w="7071" w:type="dxa"/>
          </w:tcPr>
          <w:p>
            <w:pPr>
              <w:pStyle w:val="TableParagraph"/>
              <w:spacing w:line="261" w:lineRule="exact"/>
              <w:ind w:left="86"/>
              <w:rPr>
                <w:sz w:val="21"/>
              </w:rPr>
            </w:pPr>
            <w:r>
              <w:rPr>
                <w:sz w:val="21"/>
              </w:rPr>
              <w:t>（1）保险事故通知；</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rPr>
              <w:t>（2）未还款项；</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rPr>
              <w:t>（3）明确说明与如实告知；</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rPr>
              <w:t>（4）本公司合同解除权的限制；</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rPr>
              <w:t>（5）联系方式变更；</w:t>
            </w:r>
          </w:p>
        </w:tc>
      </w:tr>
      <w:tr>
        <w:trPr>
          <w:trHeight w:val="478"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rPr>
              <w:t>（6）争议处理。</w:t>
            </w:r>
          </w:p>
        </w:tc>
      </w:tr>
      <w:tr>
        <w:trPr>
          <w:trHeight w:val="739" w:hRule="atLeast"/>
        </w:trPr>
        <w:tc>
          <w:tcPr>
            <w:tcW w:w="765" w:type="dxa"/>
            <w:tcBorders>
              <w:bottom w:val="single" w:sz="8" w:space="0" w:color="000000"/>
            </w:tcBorders>
          </w:tcPr>
          <w:p>
            <w:pPr>
              <w:pStyle w:val="TableParagraph"/>
              <w:spacing w:line="240" w:lineRule="auto" w:before="180"/>
              <w:ind w:left="107"/>
              <w:rPr>
                <w:rFonts w:ascii="Arial" w:hAnsi="Arial"/>
                <w:b/>
                <w:sz w:val="40"/>
              </w:rPr>
            </w:pPr>
            <w:r>
              <w:rPr>
                <w:rFonts w:ascii="Arial" w:hAnsi="Arial"/>
                <w:b/>
                <w:w w:val="119"/>
                <w:sz w:val="40"/>
              </w:rPr>
              <w:t></w:t>
            </w:r>
          </w:p>
        </w:tc>
        <w:tc>
          <w:tcPr>
            <w:tcW w:w="1801" w:type="dxa"/>
            <w:tcBorders>
              <w:bottom w:val="single" w:sz="8" w:space="0" w:color="000000"/>
            </w:tcBorders>
          </w:tcPr>
          <w:p>
            <w:pPr>
              <w:pStyle w:val="TableParagraph"/>
              <w:spacing w:line="240" w:lineRule="auto" w:before="9"/>
              <w:rPr>
                <w:sz w:val="17"/>
              </w:rPr>
            </w:pPr>
          </w:p>
          <w:p>
            <w:pPr>
              <w:pStyle w:val="TableParagraph"/>
              <w:spacing w:line="240" w:lineRule="auto"/>
              <w:ind w:left="300"/>
              <w:rPr>
                <w:b/>
                <w:sz w:val="24"/>
              </w:rPr>
            </w:pPr>
            <w:r>
              <w:rPr>
                <w:b/>
                <w:sz w:val="24"/>
              </w:rPr>
              <w:t>释义</w:t>
            </w:r>
          </w:p>
        </w:tc>
        <w:tc>
          <w:tcPr>
            <w:tcW w:w="7071" w:type="dxa"/>
            <w:tcBorders>
              <w:bottom w:val="single" w:sz="8" w:space="0" w:color="000000"/>
            </w:tcBorders>
          </w:tcPr>
          <w:p>
            <w:pPr>
              <w:pStyle w:val="TableParagraph"/>
              <w:spacing w:line="240" w:lineRule="auto"/>
              <w:rPr>
                <w:rFonts w:ascii="Times New Roman"/>
                <w:sz w:val="20"/>
              </w:rPr>
            </w:pPr>
          </w:p>
        </w:tc>
      </w:tr>
      <w:tr>
        <w:trPr>
          <w:trHeight w:val="576" w:hRule="atLeast"/>
        </w:trPr>
        <w:tc>
          <w:tcPr>
            <w:tcW w:w="765" w:type="dxa"/>
            <w:tcBorders>
              <w:top w:val="single" w:sz="8" w:space="0" w:color="000000"/>
            </w:tcBorders>
          </w:tcPr>
          <w:p>
            <w:pPr>
              <w:pStyle w:val="TableParagraph"/>
              <w:spacing w:line="240" w:lineRule="auto" w:before="2"/>
              <w:rPr>
                <w:sz w:val="19"/>
              </w:rPr>
            </w:pPr>
          </w:p>
          <w:p>
            <w:pPr>
              <w:pStyle w:val="TableParagraph"/>
              <w:spacing w:line="240" w:lineRule="auto"/>
              <w:ind w:left="107"/>
              <w:rPr>
                <w:b/>
                <w:sz w:val="21"/>
              </w:rPr>
            </w:pPr>
            <w:r>
              <w:rPr>
                <w:b/>
                <w:sz w:val="21"/>
              </w:rPr>
              <w:t>8.1</w:t>
            </w:r>
          </w:p>
        </w:tc>
        <w:tc>
          <w:tcPr>
            <w:tcW w:w="1801" w:type="dxa"/>
            <w:tcBorders>
              <w:top w:val="single" w:sz="8" w:space="0" w:color="000000"/>
            </w:tcBorders>
          </w:tcPr>
          <w:p>
            <w:pPr>
              <w:pStyle w:val="TableParagraph"/>
              <w:spacing w:line="240" w:lineRule="auto" w:before="2"/>
              <w:rPr>
                <w:sz w:val="19"/>
              </w:rPr>
            </w:pPr>
          </w:p>
          <w:p>
            <w:pPr>
              <w:pStyle w:val="TableParagraph"/>
              <w:spacing w:line="240" w:lineRule="auto"/>
              <w:ind w:left="300"/>
              <w:rPr>
                <w:b/>
                <w:sz w:val="21"/>
              </w:rPr>
            </w:pPr>
            <w:r>
              <w:rPr>
                <w:b/>
                <w:sz w:val="21"/>
              </w:rPr>
              <w:t>有效身份证件</w:t>
            </w:r>
          </w:p>
        </w:tc>
        <w:tc>
          <w:tcPr>
            <w:tcW w:w="7071" w:type="dxa"/>
            <w:tcBorders>
              <w:top w:val="single" w:sz="8" w:space="0" w:color="000000"/>
            </w:tcBorders>
          </w:tcPr>
          <w:p>
            <w:pPr>
              <w:pStyle w:val="TableParagraph"/>
              <w:spacing w:line="240" w:lineRule="auto" w:before="2"/>
              <w:rPr>
                <w:sz w:val="19"/>
              </w:rPr>
            </w:pPr>
          </w:p>
          <w:p>
            <w:pPr>
              <w:pStyle w:val="TableParagraph"/>
              <w:spacing w:line="240" w:lineRule="auto"/>
              <w:ind w:left="86"/>
              <w:rPr>
                <w:sz w:val="21"/>
              </w:rPr>
            </w:pPr>
            <w:r>
              <w:rPr>
                <w:sz w:val="21"/>
              </w:rPr>
              <w:t>指由政府主管部门规定的证明个人身份的证件，如：居民身份证、按规定可</w:t>
            </w:r>
          </w:p>
        </w:tc>
      </w:tr>
      <w:tr>
        <w:trPr>
          <w:trHeight w:val="453"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rPr>
              <w:t>使用的有效护照、军官证、警官证、士兵证等证件。</w:t>
            </w:r>
          </w:p>
        </w:tc>
      </w:tr>
      <w:tr>
        <w:trPr>
          <w:trHeight w:val="465" w:hRule="atLeast"/>
        </w:trPr>
        <w:tc>
          <w:tcPr>
            <w:tcW w:w="765" w:type="dxa"/>
          </w:tcPr>
          <w:p>
            <w:pPr>
              <w:pStyle w:val="TableParagraph"/>
              <w:spacing w:line="240" w:lineRule="auto" w:before="128"/>
              <w:ind w:left="107"/>
              <w:rPr>
                <w:b/>
                <w:sz w:val="21"/>
              </w:rPr>
            </w:pPr>
            <w:r>
              <w:rPr>
                <w:b/>
                <w:sz w:val="21"/>
              </w:rPr>
              <w:t>8.2</w:t>
            </w:r>
          </w:p>
        </w:tc>
        <w:tc>
          <w:tcPr>
            <w:tcW w:w="1801" w:type="dxa"/>
          </w:tcPr>
          <w:p>
            <w:pPr>
              <w:pStyle w:val="TableParagraph"/>
              <w:spacing w:line="240" w:lineRule="auto" w:before="152"/>
              <w:ind w:left="300"/>
              <w:rPr>
                <w:b/>
                <w:sz w:val="21"/>
              </w:rPr>
            </w:pPr>
            <w:r>
              <w:rPr>
                <w:b/>
                <w:sz w:val="21"/>
              </w:rPr>
              <w:t>重大疾病</w:t>
            </w:r>
          </w:p>
        </w:tc>
        <w:tc>
          <w:tcPr>
            <w:tcW w:w="7071" w:type="dxa"/>
          </w:tcPr>
          <w:p>
            <w:pPr>
              <w:pStyle w:val="TableParagraph"/>
              <w:spacing w:line="240" w:lineRule="auto" w:before="128"/>
              <w:ind w:left="86"/>
              <w:rPr>
                <w:sz w:val="21"/>
              </w:rPr>
            </w:pPr>
            <w:r>
              <w:rPr>
                <w:sz w:val="21"/>
              </w:rPr>
              <w:t>重大疾病是指被保险人初次发生符合下列定义的疾病，或初次接受符合下列</w:t>
            </w:r>
          </w:p>
        </w:tc>
      </w:tr>
      <w:tr>
        <w:trPr>
          <w:trHeight w:val="44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49" w:lineRule="exact"/>
              <w:ind w:left="86"/>
              <w:rPr>
                <w:sz w:val="21"/>
              </w:rPr>
            </w:pPr>
            <w:r>
              <w:rPr>
                <w:sz w:val="21"/>
              </w:rPr>
              <w:t>定义的手术。该疾病或手术应当由</w:t>
            </w:r>
            <w:r>
              <w:rPr>
                <w:rFonts w:ascii="黑体" w:eastAsia="黑体" w:hint="eastAsia"/>
                <w:b/>
                <w:sz w:val="21"/>
              </w:rPr>
              <w:t>专科医Th</w:t>
            </w:r>
            <w:r>
              <w:rPr>
                <w:sz w:val="21"/>
              </w:rPr>
              <w:t>（见 8.3）明确诊断。</w:t>
            </w:r>
          </w:p>
        </w:tc>
      </w:tr>
      <w:tr>
        <w:trPr>
          <w:trHeight w:val="598"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40" w:lineRule="auto" w:before="128"/>
              <w:ind w:left="86"/>
              <w:rPr>
                <w:sz w:val="21"/>
              </w:rPr>
            </w:pPr>
            <w:r>
              <w:rPr>
                <w:sz w:val="21"/>
              </w:rPr>
              <w:t>以下重大疾病是中国保险行业协会与中国医师协会制定了规范定义的疾病。</w:t>
            </w:r>
          </w:p>
        </w:tc>
      </w:tr>
      <w:tr>
        <w:trPr>
          <w:trHeight w:val="482"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before="129"/>
              <w:ind w:left="300"/>
              <w:rPr>
                <w:rFonts w:ascii="等线" w:eastAsia="等线" w:hint="eastAsia"/>
                <w:b/>
                <w:sz w:val="24"/>
              </w:rPr>
            </w:pPr>
            <w:r>
              <w:rPr>
                <w:rFonts w:ascii="等线" w:eastAsia="等线" w:hint="eastAsia"/>
                <w:b/>
                <w:sz w:val="24"/>
              </w:rPr>
              <w:t>恶性肿瘤</w:t>
            </w:r>
          </w:p>
        </w:tc>
        <w:tc>
          <w:tcPr>
            <w:tcW w:w="7071" w:type="dxa"/>
          </w:tcPr>
          <w:p>
            <w:pPr>
              <w:pStyle w:val="TableParagraph"/>
              <w:spacing w:line="240" w:lineRule="auto" w:before="132"/>
              <w:ind w:left="86"/>
              <w:rPr>
                <w:sz w:val="21"/>
              </w:rPr>
            </w:pPr>
            <w:r>
              <w:rPr>
                <w:sz w:val="21"/>
              </w:rPr>
              <w:t>指恶性细胞不受控制的进行性增长和扩散，浸润和破坏周围正常组织，可以</w:t>
            </w:r>
          </w:p>
        </w:tc>
      </w:tr>
      <w:tr>
        <w:trPr>
          <w:trHeight w:val="286"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36" w:lineRule="exact"/>
              <w:ind w:left="86"/>
              <w:rPr>
                <w:sz w:val="21"/>
              </w:rPr>
            </w:pPr>
            <w:r>
              <w:rPr>
                <w:sz w:val="21"/>
              </w:rPr>
              <w:t>经血管、淋巴管和体腔扩散转移到身体其它部位的疾病。经病理学检查结果</w:t>
            </w:r>
          </w:p>
        </w:tc>
      </w:tr>
      <w:tr>
        <w:trPr>
          <w:trHeight w:val="312"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rPr>
              <w:t>明确诊断，临床诊断属于世界卫生组织《疾病和有关健康问题的国际统计分</w:t>
            </w:r>
          </w:p>
        </w:tc>
      </w:tr>
      <w:tr>
        <w:trPr>
          <w:trHeight w:val="312"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shd w:fill="DADADA" w:color="auto" w:val="clear"/>
              </w:rPr>
              <w:t>（1）原位癌；</w:t>
            </w:r>
          </w:p>
        </w:tc>
      </w:tr>
      <w:tr>
        <w:trPr>
          <w:trHeight w:val="312"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shd w:fill="DADADA" w:color="auto" w:val="clear"/>
              </w:rPr>
              <w:t>（2）相当于 Binet 分期方案 A 期程度的慢性淋巴细胞白血病；</w:t>
            </w:r>
          </w:p>
        </w:tc>
      </w:tr>
      <w:tr>
        <w:trPr>
          <w:trHeight w:val="312"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shd w:fill="DADADA" w:color="auto" w:val="clear"/>
              </w:rPr>
              <w:t>（3）相当于 Ann Arbor 分期方案 I 期程度的何杰金氏病；</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2"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6"/>
              <w:rPr>
                <w:sz w:val="21"/>
              </w:rPr>
            </w:pPr>
            <w:r>
              <w:rPr>
                <w:sz w:val="21"/>
                <w:shd w:fill="DADADA" w:color="auto" w:val="clear"/>
              </w:rPr>
              <w:t>（6）感染艾滋病病毒或患艾滋病期间所患恶性肿瘤。</w:t>
            </w:r>
          </w:p>
        </w:tc>
      </w:tr>
      <w:tr>
        <w:trPr>
          <w:trHeight w:val="479"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before="126"/>
              <w:ind w:left="300"/>
              <w:rPr>
                <w:rFonts w:ascii="等线" w:eastAsia="等线" w:hint="eastAsia"/>
                <w:b/>
                <w:sz w:val="24"/>
              </w:rPr>
            </w:pPr>
            <w:r>
              <w:rPr>
                <w:rFonts w:ascii="等线" w:eastAsia="等线" w:hint="eastAsia"/>
                <w:b/>
                <w:w w:val="105"/>
                <w:sz w:val="24"/>
              </w:rPr>
              <w:t>急性心ft梗 </w:t>
            </w:r>
          </w:p>
        </w:tc>
        <w:tc>
          <w:tcPr>
            <w:tcW w:w="7071" w:type="dxa"/>
          </w:tcPr>
          <w:p>
            <w:pPr>
              <w:pStyle w:val="TableParagraph"/>
              <w:spacing w:line="240" w:lineRule="auto" w:before="128"/>
              <w:ind w:left="86"/>
              <w:rPr>
                <w:sz w:val="21"/>
              </w:rPr>
            </w:pPr>
            <w:r>
              <w:rPr>
                <w:sz w:val="21"/>
              </w:rPr>
              <w:t>指因冠状动脉阻塞导致的相应区域供血不足造成部分心肌坏死。须满足下列</w:t>
            </w:r>
          </w:p>
        </w:tc>
      </w:tr>
      <w:tr>
        <w:trPr>
          <w:trHeight w:val="598" w:hRule="atLeast"/>
        </w:trPr>
        <w:tc>
          <w:tcPr>
            <w:tcW w:w="765" w:type="dxa"/>
          </w:tcPr>
          <w:p>
            <w:pPr>
              <w:pStyle w:val="TableParagraph"/>
              <w:spacing w:line="240" w:lineRule="auto"/>
              <w:rPr>
                <w:rFonts w:ascii="Times New Roman"/>
                <w:sz w:val="20"/>
              </w:rPr>
            </w:pPr>
          </w:p>
        </w:tc>
        <w:tc>
          <w:tcPr>
            <w:tcW w:w="1801" w:type="dxa"/>
          </w:tcPr>
          <w:p>
            <w:pPr>
              <w:pStyle w:val="TableParagraph"/>
              <w:spacing w:line="296" w:lineRule="exact"/>
              <w:ind w:left="300"/>
              <w:rPr>
                <w:rFonts w:ascii="等线" w:eastAsia="等线" w:hint="eastAsia"/>
                <w:b/>
                <w:sz w:val="24"/>
              </w:rPr>
            </w:pPr>
            <w:r>
              <w:rPr>
                <w:rFonts w:ascii="等线" w:eastAsia="等线" w:hint="eastAsia"/>
                <w:b/>
                <w:sz w:val="24"/>
              </w:rPr>
              <w:t>塞</w:t>
            </w:r>
          </w:p>
        </w:tc>
        <w:tc>
          <w:tcPr>
            <w:tcW w:w="7071" w:type="dxa"/>
          </w:tcPr>
          <w:p>
            <w:pPr>
              <w:pStyle w:val="TableParagraph"/>
              <w:spacing w:line="236" w:lineRule="exact"/>
              <w:ind w:left="85"/>
              <w:rPr>
                <w:sz w:val="21"/>
              </w:rPr>
            </w:pPr>
            <w:r>
              <w:rPr>
                <w:sz w:val="21"/>
              </w:rPr>
              <w:t>至少三项条件：</w:t>
            </w:r>
          </w:p>
          <w:p>
            <w:pPr>
              <w:pStyle w:val="TableParagraph"/>
              <w:spacing w:line="240" w:lineRule="auto" w:before="37"/>
              <w:ind w:left="85"/>
              <w:rPr>
                <w:sz w:val="21"/>
              </w:rPr>
            </w:pPr>
            <w:r>
              <w:rPr>
                <w:sz w:val="21"/>
              </w:rPr>
              <w:t>( 1) 典型临床表现，例如急性胸痛等；</w:t>
            </w:r>
          </w:p>
        </w:tc>
      </w:tr>
      <w:tr>
        <w:trPr>
          <w:trHeight w:val="311" w:hRule="atLeast"/>
        </w:trPr>
        <w:tc>
          <w:tcPr>
            <w:tcW w:w="765" w:type="dxa"/>
          </w:tcPr>
          <w:p>
            <w:pPr>
              <w:pStyle w:val="TableParagraph"/>
              <w:spacing w:line="240" w:lineRule="auto"/>
              <w:rPr>
                <w:rFonts w:ascii="Times New Roman"/>
                <w:sz w:val="20"/>
              </w:rPr>
            </w:pPr>
          </w:p>
        </w:tc>
        <w:tc>
          <w:tcPr>
            <w:tcW w:w="1801" w:type="dxa"/>
          </w:tcPr>
          <w:p>
            <w:pPr>
              <w:pStyle w:val="TableParagraph"/>
              <w:spacing w:line="240" w:lineRule="auto"/>
              <w:rPr>
                <w:rFonts w:ascii="Times New Roman"/>
                <w:sz w:val="20"/>
              </w:rPr>
            </w:pPr>
          </w:p>
        </w:tc>
        <w:tc>
          <w:tcPr>
            <w:tcW w:w="7071" w:type="dxa"/>
          </w:tcPr>
          <w:p>
            <w:pPr>
              <w:pStyle w:val="TableParagraph"/>
              <w:spacing w:line="261" w:lineRule="exact"/>
              <w:ind w:left="85"/>
              <w:rPr>
                <w:sz w:val="21"/>
              </w:rPr>
            </w:pPr>
            <w:r>
              <w:rPr>
                <w:sz w:val="21"/>
              </w:rPr>
              <w:t>( 2) 新近的心电图改变提示急性心肌梗塞；</w:t>
            </w:r>
          </w:p>
        </w:tc>
      </w:tr>
      <w:tr>
        <w:trPr>
          <w:trHeight w:val="261" w:hRule="atLeast"/>
        </w:trPr>
        <w:tc>
          <w:tcPr>
            <w:tcW w:w="765" w:type="dxa"/>
          </w:tcPr>
          <w:p>
            <w:pPr>
              <w:pStyle w:val="TableParagraph"/>
              <w:spacing w:line="240" w:lineRule="auto"/>
              <w:rPr>
                <w:rFonts w:ascii="Times New Roman"/>
                <w:sz w:val="18"/>
              </w:rPr>
            </w:pPr>
          </w:p>
        </w:tc>
        <w:tc>
          <w:tcPr>
            <w:tcW w:w="1801" w:type="dxa"/>
          </w:tcPr>
          <w:p>
            <w:pPr>
              <w:pStyle w:val="TableParagraph"/>
              <w:spacing w:line="240" w:lineRule="auto"/>
              <w:rPr>
                <w:rFonts w:ascii="Times New Roman"/>
                <w:sz w:val="18"/>
              </w:rPr>
            </w:pPr>
          </w:p>
        </w:tc>
        <w:tc>
          <w:tcPr>
            <w:tcW w:w="7071" w:type="dxa"/>
          </w:tcPr>
          <w:p>
            <w:pPr>
              <w:pStyle w:val="TableParagraph"/>
              <w:spacing w:line="242" w:lineRule="exact"/>
              <w:ind w:left="85"/>
              <w:rPr>
                <w:sz w:val="21"/>
              </w:rPr>
            </w:pPr>
            <w:r>
              <w:rPr>
                <w:spacing w:val="-29"/>
                <w:sz w:val="21"/>
              </w:rPr>
              <w:t>( </w:t>
            </w:r>
            <w:r>
              <w:rPr>
                <w:spacing w:val="12"/>
                <w:sz w:val="21"/>
              </w:rPr>
              <w:t>3</w:t>
            </w:r>
            <w:r>
              <w:rPr>
                <w:spacing w:val="-9"/>
                <w:sz w:val="21"/>
              </w:rPr>
              <w:t>) 心肌酶或肌钙蛋白有诊断意义的升高，或呈符合急性心肌梗塞的动态性</w:t>
            </w:r>
          </w:p>
        </w:tc>
      </w:tr>
    </w:tbl>
    <w:p>
      <w:pPr>
        <w:pStyle w:val="BodyText"/>
        <w:spacing w:before="46"/>
        <w:ind w:left="3184"/>
      </w:pPr>
      <w:r>
        <w:rPr/>
        <w:t>变化；</w:t>
      </w:r>
    </w:p>
    <w:p>
      <w:pPr>
        <w:pStyle w:val="BodyText"/>
        <w:ind w:left="2764"/>
      </w:pPr>
      <w:r>
        <w:rPr>
          <w:spacing w:val="-35"/>
        </w:rPr>
        <w:t>( </w:t>
      </w:r>
      <w:r>
        <w:rPr>
          <w:spacing w:val="12"/>
        </w:rPr>
        <w:t>4</w:t>
      </w:r>
      <w:r>
        <w:rPr>
          <w:spacing w:val="-19"/>
        </w:rPr>
        <w:t>) 发病 </w:t>
      </w:r>
      <w:r>
        <w:rPr/>
        <w:t>90</w:t>
      </w:r>
      <w:r>
        <w:rPr>
          <w:spacing w:val="-20"/>
        </w:rPr>
        <w:t> 日后，经检查证实左心室功能降低，如左心室射血分数低于 </w:t>
      </w:r>
      <w:r>
        <w:rPr/>
        <w:t>50%。</w:t>
      </w:r>
    </w:p>
    <w:p>
      <w:pPr>
        <w:pStyle w:val="BodyText"/>
        <w:spacing w:before="8"/>
      </w:pPr>
    </w:p>
    <w:p>
      <w:pPr>
        <w:spacing w:after="0"/>
        <w:sectPr>
          <w:pgSz w:w="11910" w:h="16840"/>
          <w:pgMar w:top="1440" w:bottom="280" w:left="800" w:right="1240"/>
        </w:sectPr>
      </w:pPr>
    </w:p>
    <w:p>
      <w:pPr>
        <w:pStyle w:val="Heading3"/>
        <w:spacing w:line="235" w:lineRule="auto"/>
        <w:ind w:left="1177"/>
      </w:pPr>
      <w:r>
        <w:rPr/>
        <w:t>脑中风后遗症</w:t>
      </w:r>
    </w:p>
    <w:p>
      <w:pPr>
        <w:pStyle w:val="BodyText"/>
        <w:spacing w:line="273" w:lineRule="auto"/>
        <w:ind w:left="130" w:right="217"/>
        <w:jc w:val="both"/>
      </w:pPr>
      <w:r>
        <w:rPr/>
        <w:br w:type="column"/>
      </w:r>
      <w:r>
        <w:rPr>
          <w:spacing w:val="-6"/>
        </w:rPr>
        <w:t>指因脑血管的突发病变引起脑血管出血、栓塞或梗塞，并导致神经系统永久</w:t>
      </w:r>
      <w:r>
        <w:rPr>
          <w:spacing w:val="-9"/>
        </w:rPr>
        <w:t>性的功能障碍。神经系统永久性的功能障碍，指疾病确诊 </w:t>
      </w:r>
      <w:r>
        <w:rPr/>
        <w:t>180</w:t>
      </w:r>
      <w:r>
        <w:rPr>
          <w:spacing w:val="-12"/>
        </w:rPr>
        <w:t> 日后，仍遗留</w:t>
      </w:r>
      <w:r>
        <w:rPr>
          <w:spacing w:val="-3"/>
        </w:rPr>
        <w:t>下列一种或一种以上障碍：</w:t>
      </w:r>
    </w:p>
    <w:p>
      <w:pPr>
        <w:spacing w:before="7"/>
        <w:ind w:left="130" w:right="0" w:firstLine="0"/>
        <w:jc w:val="left"/>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spacing w:before="36"/>
        <w:ind w:left="130"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spacing w:line="273" w:lineRule="auto" w:before="36"/>
        <w:ind w:left="655" w:right="114" w:hanging="526"/>
        <w:jc w:val="left"/>
        <w:rPr>
          <w:sz w:val="21"/>
        </w:rPr>
      </w:pPr>
      <w:r>
        <w:rPr>
          <w:spacing w:val="-26"/>
          <w:sz w:val="21"/>
        </w:rPr>
        <w:t>（3）</w:t>
      </w:r>
      <w:r>
        <w:rPr>
          <w:spacing w:val="-10"/>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24"/>
          <w:sz w:val="21"/>
        </w:rPr>
        <w:t>活活动</w:t>
      </w:r>
      <w:r>
        <w:rPr>
          <w:spacing w:val="-3"/>
          <w:sz w:val="21"/>
        </w:rPr>
        <w:t>（</w:t>
      </w:r>
      <w:r>
        <w:rPr>
          <w:spacing w:val="-16"/>
          <w:sz w:val="21"/>
        </w:rPr>
        <w:t>见 </w:t>
      </w:r>
      <w:r>
        <w:rPr>
          <w:sz w:val="21"/>
        </w:rPr>
        <w:t>8.6） </w:t>
      </w:r>
      <w:r>
        <w:rPr>
          <w:spacing w:val="-3"/>
          <w:sz w:val="21"/>
        </w:rPr>
        <w:t>中的三项或三项以上。</w:t>
      </w:r>
    </w:p>
    <w:p>
      <w:pPr>
        <w:spacing w:after="0" w:line="273" w:lineRule="auto"/>
        <w:jc w:val="left"/>
        <w:rPr>
          <w:sz w:val="21"/>
        </w:rPr>
        <w:sectPr>
          <w:type w:val="continuous"/>
          <w:pgSz w:w="11910" w:h="16840"/>
          <w:pgMar w:top="440" w:bottom="280" w:left="800" w:right="1240"/>
          <w:cols w:num="2" w:equalWidth="0">
            <w:col w:w="2594" w:space="40"/>
            <w:col w:w="723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169"/>
      </w:tblGrid>
      <w:tr>
        <w:trPr>
          <w:trHeight w:val="1651" w:hRule="atLeast"/>
        </w:trPr>
        <w:tc>
          <w:tcPr>
            <w:tcW w:w="1701" w:type="dxa"/>
          </w:tcPr>
          <w:p>
            <w:pPr>
              <w:pStyle w:val="TableParagraph"/>
              <w:spacing w:line="258" w:lineRule="exact"/>
              <w:ind w:left="200"/>
              <w:rPr>
                <w:rFonts w:ascii="等线" w:eastAsia="等线" w:hint="eastAsia"/>
                <w:b/>
                <w:sz w:val="24"/>
              </w:rPr>
            </w:pPr>
            <w:r>
              <w:rPr>
                <w:rFonts w:ascii="等线" w:eastAsia="等线" w:hint="eastAsia"/>
                <w:b/>
                <w:sz w:val="24"/>
              </w:rPr>
              <w:t>重大器官移 </w:t>
            </w:r>
          </w:p>
          <w:p>
            <w:pPr>
              <w:pStyle w:val="TableParagraph"/>
              <w:spacing w:line="235" w:lineRule="auto" w:before="3"/>
              <w:ind w:left="200" w:right="84"/>
              <w:jc w:val="both"/>
              <w:rPr>
                <w:rFonts w:ascii="等线" w:eastAsia="等线" w:hint="eastAsia"/>
                <w:b/>
                <w:sz w:val="24"/>
              </w:rPr>
            </w:pPr>
            <w:r>
              <w:rPr>
                <w:rFonts w:ascii="等线" w:eastAsia="等线" w:hint="eastAsia"/>
                <w:b/>
                <w:sz w:val="24"/>
              </w:rPr>
              <w:t>植术或造血干细胞移植术</w:t>
            </w:r>
          </w:p>
        </w:tc>
        <w:tc>
          <w:tcPr>
            <w:tcW w:w="7169" w:type="dxa"/>
          </w:tcPr>
          <w:p>
            <w:pPr>
              <w:pStyle w:val="TableParagraph"/>
              <w:spacing w:line="211" w:lineRule="exact"/>
              <w:ind w:left="85"/>
              <w:rPr>
                <w:sz w:val="21"/>
              </w:rPr>
            </w:pPr>
            <w:r>
              <w:rPr>
                <w:sz w:val="21"/>
              </w:rPr>
              <w:t>重大器官移植术，指因相应器官功能衰竭，已经实施了肾脏、肝脏、心脏或</w:t>
            </w:r>
          </w:p>
          <w:p>
            <w:pPr>
              <w:pStyle w:val="TableParagraph"/>
              <w:spacing w:line="240" w:lineRule="auto" w:before="37"/>
              <w:ind w:left="85"/>
              <w:rPr>
                <w:sz w:val="21"/>
              </w:rPr>
            </w:pPr>
            <w:r>
              <w:rPr>
                <w:sz w:val="21"/>
              </w:rPr>
              <w:t>肺脏的异体移植手术。</w:t>
            </w:r>
          </w:p>
          <w:p>
            <w:pPr>
              <w:pStyle w:val="TableParagraph"/>
              <w:spacing w:line="273" w:lineRule="auto" w:before="37"/>
              <w:ind w:left="85" w:right="198"/>
              <w:jc w:val="both"/>
              <w:rPr>
                <w:sz w:val="21"/>
              </w:rPr>
            </w:pPr>
            <w:r>
              <w:rPr>
                <w:spacing w:val="-7"/>
                <w:sz w:val="21"/>
              </w:rPr>
              <w:t>造血干细胞移植术，指因造血功能损害或造血系统恶性肿瘤，已经实施了造</w:t>
            </w:r>
            <w:r>
              <w:rPr>
                <w:spacing w:val="-10"/>
                <w:sz w:val="21"/>
              </w:rPr>
              <w:t>血干细胞</w:t>
            </w:r>
            <w:r>
              <w:rPr>
                <w:sz w:val="21"/>
              </w:rPr>
              <w:t>（</w:t>
            </w:r>
            <w:r>
              <w:rPr>
                <w:spacing w:val="-5"/>
                <w:sz w:val="21"/>
              </w:rPr>
              <w:t>包括骨髓造血干细胞、外周血造血干细胞和脐血造血干细胞</w:t>
            </w:r>
            <w:r>
              <w:rPr>
                <w:spacing w:val="-20"/>
                <w:sz w:val="21"/>
              </w:rPr>
              <w:t>）</w:t>
            </w:r>
            <w:r>
              <w:rPr>
                <w:sz w:val="21"/>
              </w:rPr>
              <w:t>的</w:t>
            </w:r>
            <w:r>
              <w:rPr>
                <w:spacing w:val="-2"/>
                <w:sz w:val="21"/>
              </w:rPr>
              <w:t>异体移植手术。</w:t>
            </w:r>
          </w:p>
        </w:tc>
      </w:tr>
      <w:tr>
        <w:trPr>
          <w:trHeight w:val="1585" w:hRule="atLeast"/>
        </w:trPr>
        <w:tc>
          <w:tcPr>
            <w:tcW w:w="1701" w:type="dxa"/>
          </w:tcPr>
          <w:p>
            <w:pPr>
              <w:pStyle w:val="TableParagraph"/>
              <w:spacing w:line="235" w:lineRule="auto" w:before="132"/>
              <w:ind w:left="200" w:right="84"/>
              <w:jc w:val="both"/>
              <w:rPr>
                <w:rFonts w:ascii="等线" w:eastAsia="等线" w:hint="eastAsia"/>
                <w:b/>
                <w:sz w:val="24"/>
              </w:rPr>
            </w:pPr>
            <w:r>
              <w:rPr>
                <w:rFonts w:ascii="等线" w:eastAsia="等线" w:hint="eastAsia"/>
                <w:b/>
                <w:spacing w:val="32"/>
                <w:sz w:val="24"/>
              </w:rPr>
              <w:t>冠状动脉搭</w:t>
            </w:r>
            <w:r>
              <w:rPr>
                <w:rFonts w:ascii="等线" w:eastAsia="等线" w:hint="eastAsia"/>
                <w:b/>
                <w:spacing w:val="-19"/>
                <w:sz w:val="24"/>
              </w:rPr>
              <w:t>桥术</w:t>
            </w:r>
            <w:r>
              <w:rPr>
                <w:rFonts w:ascii="等线" w:eastAsia="等线" w:hint="eastAsia"/>
                <w:b/>
                <w:sz w:val="24"/>
              </w:rPr>
              <w:t>（或称冠</w:t>
            </w:r>
            <w:r>
              <w:rPr>
                <w:rFonts w:ascii="等线" w:eastAsia="等线" w:hint="eastAsia"/>
                <w:b/>
                <w:spacing w:val="32"/>
                <w:sz w:val="24"/>
              </w:rPr>
              <w:t>状动脉旁路移植术）</w:t>
            </w:r>
          </w:p>
        </w:tc>
        <w:tc>
          <w:tcPr>
            <w:tcW w:w="7169" w:type="dxa"/>
          </w:tcPr>
          <w:p>
            <w:pPr>
              <w:pStyle w:val="TableParagraph"/>
              <w:spacing w:line="273" w:lineRule="auto" w:before="128"/>
              <w:ind w:left="85" w:right="198"/>
              <w:rPr>
                <w:sz w:val="21"/>
              </w:rPr>
            </w:pPr>
            <w:r>
              <w:rPr>
                <w:spacing w:val="-8"/>
                <w:sz w:val="21"/>
              </w:rPr>
              <w:t>指为治疗严重的冠心病，实际实施了开胸进行的冠状动脉血管旁路移植的手术。</w:t>
            </w:r>
          </w:p>
          <w:p>
            <w:pPr>
              <w:pStyle w:val="TableParagraph"/>
              <w:spacing w:line="273" w:lineRule="auto" w:before="7"/>
              <w:ind w:left="85" w:right="198"/>
              <w:rPr>
                <w:sz w:val="21"/>
              </w:rPr>
            </w:pPr>
            <w:r>
              <w:rPr>
                <w:spacing w:val="-8"/>
                <w:sz w:val="21"/>
                <w:shd w:fill="DADADA" w:color="auto" w:val="clear"/>
              </w:rPr>
              <w:t>冠状动脉支架植入术、心导管球囊扩张术、激光射频技术及其它非开胸的介</w:t>
            </w:r>
            <w:r>
              <w:rPr>
                <w:spacing w:val="-5"/>
                <w:sz w:val="21"/>
                <w:shd w:fill="DADADA" w:color="auto" w:val="clear"/>
              </w:rPr>
              <w:t>入手术、腔镜手术不在保障范围内。</w:t>
            </w:r>
          </w:p>
        </w:tc>
      </w:tr>
      <w:tr>
        <w:trPr>
          <w:trHeight w:val="1563" w:hRule="atLeast"/>
        </w:trPr>
        <w:tc>
          <w:tcPr>
            <w:tcW w:w="1701" w:type="dxa"/>
          </w:tcPr>
          <w:p>
            <w:pPr>
              <w:pStyle w:val="TableParagraph"/>
              <w:spacing w:line="323" w:lineRule="exact" w:before="105"/>
              <w:ind w:left="200"/>
              <w:rPr>
                <w:rFonts w:ascii="等线" w:eastAsia="等线" w:hint="eastAsia"/>
                <w:b/>
                <w:sz w:val="24"/>
              </w:rPr>
            </w:pPr>
            <w:r>
              <w:rPr>
                <w:rFonts w:ascii="等线" w:eastAsia="等线" w:hint="eastAsia"/>
                <w:b/>
                <w:sz w:val="24"/>
              </w:rPr>
              <w:t>终末期肾病 </w:t>
            </w:r>
          </w:p>
          <w:p>
            <w:pPr>
              <w:pStyle w:val="TableParagraph"/>
              <w:spacing w:line="235" w:lineRule="auto" w:before="2"/>
              <w:ind w:left="200" w:right="84"/>
              <w:jc w:val="both"/>
              <w:rPr>
                <w:rFonts w:ascii="等线" w:eastAsia="等线" w:hint="eastAsia"/>
                <w:b/>
                <w:sz w:val="24"/>
              </w:rPr>
            </w:pPr>
            <w:r>
              <w:rPr>
                <w:rFonts w:ascii="等线" w:eastAsia="等线" w:hint="eastAsia"/>
                <w:b/>
                <w:sz w:val="24"/>
              </w:rPr>
              <w:t>（或称慢性肾功能衰竭尿毒症期）</w:t>
            </w:r>
          </w:p>
        </w:tc>
        <w:tc>
          <w:tcPr>
            <w:tcW w:w="7169" w:type="dxa"/>
          </w:tcPr>
          <w:p>
            <w:pPr>
              <w:pStyle w:val="TableParagraph"/>
              <w:spacing w:line="240" w:lineRule="auto" w:before="107"/>
              <w:ind w:left="85"/>
              <w:rPr>
                <w:sz w:val="21"/>
              </w:rPr>
            </w:pPr>
            <w:r>
              <w:rPr>
                <w:sz w:val="21"/>
              </w:rPr>
              <w:t>指双肾功能慢性不可逆性衰竭，达到尿毒症期，经诊断后已经进行了至少 90</w:t>
            </w:r>
          </w:p>
          <w:p>
            <w:pPr>
              <w:pStyle w:val="TableParagraph"/>
              <w:spacing w:line="240" w:lineRule="auto" w:before="36"/>
              <w:ind w:left="85"/>
              <w:rPr>
                <w:sz w:val="21"/>
              </w:rPr>
            </w:pPr>
            <w:r>
              <w:rPr>
                <w:sz w:val="21"/>
              </w:rPr>
              <w:t>日的规律性透析治疗或实施了肾脏移植手术。</w:t>
            </w:r>
          </w:p>
        </w:tc>
      </w:tr>
      <w:tr>
        <w:trPr>
          <w:trHeight w:val="908" w:hRule="atLeast"/>
        </w:trPr>
        <w:tc>
          <w:tcPr>
            <w:tcW w:w="1701" w:type="dxa"/>
          </w:tcPr>
          <w:p>
            <w:pPr>
              <w:pStyle w:val="TableParagraph"/>
              <w:spacing w:line="235" w:lineRule="auto" w:before="110"/>
              <w:ind w:left="200" w:right="84"/>
              <w:rPr>
                <w:rFonts w:ascii="等线" w:eastAsia="等线" w:hint="eastAsia"/>
                <w:b/>
                <w:sz w:val="24"/>
              </w:rPr>
            </w:pPr>
            <w:r>
              <w:rPr>
                <w:rFonts w:ascii="等线" w:eastAsia="等线" w:hint="eastAsia"/>
                <w:b/>
                <w:sz w:val="24"/>
              </w:rPr>
              <w:t>多个肢体缺失</w:t>
            </w:r>
          </w:p>
        </w:tc>
        <w:tc>
          <w:tcPr>
            <w:tcW w:w="7169" w:type="dxa"/>
          </w:tcPr>
          <w:p>
            <w:pPr>
              <w:pStyle w:val="TableParagraph"/>
              <w:spacing w:line="273" w:lineRule="auto" w:before="106"/>
              <w:ind w:left="85" w:right="135"/>
              <w:rPr>
                <w:sz w:val="21"/>
              </w:rPr>
            </w:pPr>
            <w:r>
              <w:rPr>
                <w:sz w:val="21"/>
              </w:rPr>
              <w:t>指因疾病或意外伤害导致两个或两个以上肢体自腕关节或踝关节近端（靠近躯干端）以上完全性断离。</w:t>
            </w:r>
          </w:p>
        </w:tc>
      </w:tr>
      <w:tr>
        <w:trPr>
          <w:trHeight w:val="2105" w:hRule="atLeast"/>
        </w:trPr>
        <w:tc>
          <w:tcPr>
            <w:tcW w:w="1701" w:type="dxa"/>
          </w:tcPr>
          <w:p>
            <w:pPr>
              <w:pStyle w:val="TableParagraph"/>
              <w:spacing w:line="235" w:lineRule="auto" w:before="97"/>
              <w:ind w:left="200" w:right="84"/>
              <w:rPr>
                <w:rFonts w:ascii="等线" w:eastAsia="等线" w:hint="eastAsia"/>
                <w:b/>
                <w:sz w:val="24"/>
              </w:rPr>
            </w:pPr>
            <w:r>
              <w:rPr>
                <w:rFonts w:ascii="等线" w:eastAsia="等线" w:hint="eastAsia"/>
                <w:b/>
                <w:sz w:val="24"/>
              </w:rPr>
              <w:t>急性或亚急性重症肝炎</w:t>
            </w:r>
          </w:p>
        </w:tc>
        <w:tc>
          <w:tcPr>
            <w:tcW w:w="7169" w:type="dxa"/>
          </w:tcPr>
          <w:p>
            <w:pPr>
              <w:pStyle w:val="TableParagraph"/>
              <w:spacing w:line="273" w:lineRule="auto" w:before="93"/>
              <w:ind w:left="85" w:right="149"/>
              <w:rPr>
                <w:sz w:val="21"/>
              </w:rPr>
            </w:pPr>
            <w:r>
              <w:rPr>
                <w:sz w:val="21"/>
              </w:rPr>
              <w:t>指因肝炎病毒感染引起肝脏组织弥漫性坏死，导致急性肝功能衰竭，且经血清学或病毒学检查证实，并须满足下列全部条件：</w:t>
            </w:r>
          </w:p>
          <w:p>
            <w:pPr>
              <w:pStyle w:val="TableParagraph"/>
              <w:spacing w:line="240" w:lineRule="auto" w:before="7"/>
              <w:ind w:left="85"/>
              <w:rPr>
                <w:sz w:val="21"/>
              </w:rPr>
            </w:pPr>
            <w:r>
              <w:rPr>
                <w:sz w:val="21"/>
              </w:rPr>
              <w:t>（1）重度黄疸或黄疸迅速加重；</w:t>
            </w:r>
          </w:p>
          <w:p>
            <w:pPr>
              <w:pStyle w:val="TableParagraph"/>
              <w:spacing w:line="240" w:lineRule="auto" w:before="36"/>
              <w:ind w:left="85"/>
              <w:rPr>
                <w:sz w:val="21"/>
              </w:rPr>
            </w:pPr>
            <w:r>
              <w:rPr>
                <w:sz w:val="21"/>
              </w:rPr>
              <w:t>（2）肝性脑病；</w:t>
            </w:r>
          </w:p>
          <w:p>
            <w:pPr>
              <w:pStyle w:val="TableParagraph"/>
              <w:spacing w:line="240" w:lineRule="auto" w:before="36"/>
              <w:ind w:left="85"/>
              <w:rPr>
                <w:sz w:val="21"/>
              </w:rPr>
            </w:pPr>
            <w:r>
              <w:rPr>
                <w:sz w:val="21"/>
              </w:rPr>
              <w:t>（3）B 超或其它影像学检查显示肝脏体积急速萎缩；</w:t>
            </w:r>
          </w:p>
          <w:p>
            <w:pPr>
              <w:pStyle w:val="TableParagraph"/>
              <w:spacing w:line="240" w:lineRule="auto" w:before="36"/>
              <w:ind w:left="85"/>
              <w:rPr>
                <w:sz w:val="21"/>
              </w:rPr>
            </w:pPr>
            <w:r>
              <w:rPr>
                <w:sz w:val="21"/>
              </w:rPr>
              <w:t>（4）肝功能指标进行性恶化。</w:t>
            </w:r>
          </w:p>
        </w:tc>
      </w:tr>
      <w:tr>
        <w:trPr>
          <w:trHeight w:val="2452" w:hRule="atLeast"/>
        </w:trPr>
        <w:tc>
          <w:tcPr>
            <w:tcW w:w="1701" w:type="dxa"/>
          </w:tcPr>
          <w:p>
            <w:pPr>
              <w:pStyle w:val="TableParagraph"/>
              <w:spacing w:line="240" w:lineRule="auto" w:before="111"/>
              <w:ind w:left="200"/>
              <w:rPr>
                <w:rFonts w:ascii="等线" w:eastAsia="等线" w:hint="eastAsia"/>
                <w:b/>
                <w:sz w:val="24"/>
              </w:rPr>
            </w:pPr>
            <w:r>
              <w:rPr>
                <w:rFonts w:ascii="等线" w:eastAsia="等线" w:hint="eastAsia"/>
                <w:b/>
                <w:sz w:val="24"/>
              </w:rPr>
              <w:t>良性脑肿瘤</w:t>
            </w:r>
          </w:p>
        </w:tc>
        <w:tc>
          <w:tcPr>
            <w:tcW w:w="7169" w:type="dxa"/>
          </w:tcPr>
          <w:p>
            <w:pPr>
              <w:pStyle w:val="TableParagraph"/>
              <w:spacing w:line="273" w:lineRule="auto" w:before="114"/>
              <w:ind w:left="85" w:right="198"/>
              <w:jc w:val="both"/>
              <w:rPr>
                <w:sz w:val="21"/>
              </w:rPr>
            </w:pPr>
            <w:r>
              <w:rPr>
                <w:spacing w:val="-8"/>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6"/>
                <w:w w:val="100"/>
                <w:sz w:val="21"/>
              </w:rPr>
              <w:t>）</w:t>
            </w:r>
            <w:r>
              <w:rPr>
                <w:w w:val="100"/>
                <w:sz w:val="21"/>
              </w:rPr>
              <w:t>、核</w:t>
            </w:r>
            <w:r>
              <w:rPr>
                <w:spacing w:val="-4"/>
                <w:sz w:val="21"/>
              </w:rPr>
              <w:t>磁共振检查（MRI）或正电子发射断层扫描（PET）等影像学检查证实，并须</w:t>
            </w:r>
            <w:r>
              <w:rPr>
                <w:spacing w:val="-3"/>
                <w:sz w:val="21"/>
              </w:rPr>
              <w:t>满足下列至少一项条件：</w:t>
            </w:r>
          </w:p>
          <w:p>
            <w:pPr>
              <w:pStyle w:val="TableParagraph"/>
              <w:spacing w:line="240" w:lineRule="auto" w:before="7"/>
              <w:ind w:left="85"/>
              <w:jc w:val="both"/>
              <w:rPr>
                <w:sz w:val="21"/>
              </w:rPr>
            </w:pPr>
            <w:r>
              <w:rPr>
                <w:sz w:val="21"/>
              </w:rPr>
              <w:t>（1）实际实施了开颅进行的脑肿瘤完全切除或部分切除的手术；</w:t>
            </w:r>
          </w:p>
          <w:p>
            <w:pPr>
              <w:pStyle w:val="TableParagraph"/>
              <w:spacing w:line="240" w:lineRule="auto" w:before="36"/>
              <w:ind w:left="85"/>
              <w:jc w:val="both"/>
              <w:rPr>
                <w:sz w:val="21"/>
              </w:rPr>
            </w:pPr>
            <w:r>
              <w:rPr>
                <w:sz w:val="21"/>
              </w:rPr>
              <w:t>（2）实际实施了对脑肿瘤进行的放射治疗。</w:t>
            </w:r>
          </w:p>
          <w:p>
            <w:pPr>
              <w:pStyle w:val="TableParagraph"/>
              <w:spacing w:line="240" w:lineRule="auto" w:before="37"/>
              <w:ind w:left="85"/>
              <w:jc w:val="both"/>
              <w:rPr>
                <w:sz w:val="21"/>
              </w:rPr>
            </w:pPr>
            <w:r>
              <w:rPr>
                <w:sz w:val="21"/>
                <w:shd w:fill="DADADA" w:color="auto" w:val="clear"/>
              </w:rPr>
              <w:t>脑垂体瘤、脑囊肿、脑血管性疾病不在保障范围内。</w:t>
            </w:r>
          </w:p>
        </w:tc>
      </w:tr>
      <w:tr>
        <w:trPr>
          <w:trHeight w:val="2155" w:hRule="atLeast"/>
        </w:trPr>
        <w:tc>
          <w:tcPr>
            <w:tcW w:w="1701" w:type="dxa"/>
          </w:tcPr>
          <w:p>
            <w:pPr>
              <w:pStyle w:val="TableParagraph"/>
              <w:spacing w:line="235" w:lineRule="auto" w:before="132"/>
              <w:ind w:left="200" w:right="84"/>
              <w:jc w:val="both"/>
              <w:rPr>
                <w:rFonts w:ascii="等线" w:eastAsia="等线" w:hint="eastAsia"/>
                <w:b/>
                <w:sz w:val="24"/>
              </w:rPr>
            </w:pPr>
            <w:r>
              <w:rPr>
                <w:rFonts w:ascii="等线" w:eastAsia="等线" w:hint="eastAsia"/>
                <w:b/>
                <w:sz w:val="24"/>
              </w:rPr>
              <w:t>慢性肝功能衰竭失代偿期</w:t>
            </w:r>
          </w:p>
        </w:tc>
        <w:tc>
          <w:tcPr>
            <w:tcW w:w="7169" w:type="dxa"/>
          </w:tcPr>
          <w:p>
            <w:pPr>
              <w:pStyle w:val="TableParagraph"/>
              <w:spacing w:line="240" w:lineRule="auto" w:before="128"/>
              <w:ind w:left="85"/>
              <w:rPr>
                <w:sz w:val="21"/>
              </w:rPr>
            </w:pPr>
            <w:r>
              <w:rPr>
                <w:sz w:val="21"/>
              </w:rPr>
              <w:t>指因慢性肝脏疾病导致肝功能衰竭。须满足下列全部条件：</w:t>
            </w:r>
          </w:p>
          <w:p>
            <w:pPr>
              <w:pStyle w:val="TableParagraph"/>
              <w:spacing w:line="240" w:lineRule="auto" w:before="37"/>
              <w:ind w:left="85"/>
              <w:rPr>
                <w:sz w:val="21"/>
              </w:rPr>
            </w:pPr>
            <w:r>
              <w:rPr>
                <w:sz w:val="21"/>
              </w:rPr>
              <w:t>（1）持续性黄疸；</w:t>
            </w:r>
          </w:p>
          <w:p>
            <w:pPr>
              <w:pStyle w:val="TableParagraph"/>
              <w:spacing w:line="240" w:lineRule="auto" w:before="37"/>
              <w:ind w:left="85"/>
              <w:rPr>
                <w:sz w:val="21"/>
              </w:rPr>
            </w:pPr>
            <w:r>
              <w:rPr>
                <w:sz w:val="21"/>
              </w:rPr>
              <w:t>（2）腹水；</w:t>
            </w:r>
          </w:p>
          <w:p>
            <w:pPr>
              <w:pStyle w:val="TableParagraph"/>
              <w:spacing w:line="240" w:lineRule="auto" w:before="37"/>
              <w:ind w:left="85"/>
              <w:rPr>
                <w:sz w:val="21"/>
              </w:rPr>
            </w:pPr>
            <w:r>
              <w:rPr>
                <w:sz w:val="21"/>
              </w:rPr>
              <w:t>（3）肝性脑病；</w:t>
            </w:r>
          </w:p>
          <w:p>
            <w:pPr>
              <w:pStyle w:val="TableParagraph"/>
              <w:spacing w:line="273" w:lineRule="auto" w:before="37"/>
              <w:ind w:left="85" w:right="1932"/>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62" w:hRule="atLeast"/>
        </w:trPr>
        <w:tc>
          <w:tcPr>
            <w:tcW w:w="1701" w:type="dxa"/>
          </w:tcPr>
          <w:p>
            <w:pPr>
              <w:pStyle w:val="TableParagraph"/>
              <w:spacing w:line="235" w:lineRule="auto" w:before="132"/>
              <w:ind w:left="200" w:right="84"/>
              <w:jc w:val="both"/>
              <w:rPr>
                <w:rFonts w:ascii="等线" w:eastAsia="等线" w:hint="eastAsia"/>
                <w:b/>
                <w:sz w:val="24"/>
              </w:rPr>
            </w:pPr>
            <w:r>
              <w:rPr>
                <w:rFonts w:ascii="等线" w:eastAsia="等线" w:hint="eastAsia"/>
                <w:b/>
                <w:sz w:val="24"/>
              </w:rPr>
              <w:t>脑炎后遗症或脑膜炎后遗症</w:t>
            </w:r>
          </w:p>
        </w:tc>
        <w:tc>
          <w:tcPr>
            <w:tcW w:w="7169" w:type="dxa"/>
          </w:tcPr>
          <w:p>
            <w:pPr>
              <w:pStyle w:val="TableParagraph"/>
              <w:spacing w:line="273" w:lineRule="auto" w:before="128"/>
              <w:ind w:left="85" w:right="136"/>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40" w:lineRule="auto" w:before="7"/>
              <w:ind w:left="85"/>
              <w:rPr>
                <w:sz w:val="21"/>
              </w:rPr>
            </w:pPr>
            <w:r>
              <w:rPr>
                <w:sz w:val="21"/>
              </w:rPr>
              <w:t>（1）一肢或一肢以上肢体机能完全丧失；</w:t>
            </w:r>
          </w:p>
          <w:p>
            <w:pPr>
              <w:pStyle w:val="TableParagraph"/>
              <w:spacing w:line="240" w:lineRule="auto" w:before="36"/>
              <w:ind w:left="85"/>
              <w:rPr>
                <w:sz w:val="21"/>
              </w:rPr>
            </w:pPr>
            <w:r>
              <w:rPr>
                <w:sz w:val="21"/>
              </w:rPr>
              <w:t>（2）语言能力或咀嚼吞咽能力完全丧失；</w:t>
            </w:r>
          </w:p>
          <w:p>
            <w:pPr>
              <w:pStyle w:val="TableParagraph"/>
              <w:spacing w:line="310" w:lineRule="atLeast" w:before="1"/>
              <w:ind w:left="610" w:right="200"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60" w:bottom="280" w:left="1660" w:right="11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4"/>
      </w:tblGrid>
      <w:tr>
        <w:trPr>
          <w:trHeight w:val="1339" w:hRule="atLeast"/>
        </w:trPr>
        <w:tc>
          <w:tcPr>
            <w:tcW w:w="1701" w:type="dxa"/>
          </w:tcPr>
          <w:p>
            <w:pPr>
              <w:pStyle w:val="TableParagraph"/>
              <w:spacing w:line="261" w:lineRule="exact"/>
              <w:ind w:left="200"/>
              <w:rPr>
                <w:rFonts w:ascii="等线" w:eastAsia="等线" w:hint="eastAsia"/>
                <w:b/>
                <w:sz w:val="24"/>
              </w:rPr>
            </w:pPr>
            <w:r>
              <w:rPr>
                <w:rFonts w:ascii="等线" w:eastAsia="等线" w:hint="eastAsia"/>
                <w:b/>
                <w:sz w:val="24"/>
              </w:rPr>
              <w:t>深度昏迷</w:t>
            </w:r>
          </w:p>
        </w:tc>
        <w:tc>
          <w:tcPr>
            <w:tcW w:w="7274" w:type="dxa"/>
          </w:tcPr>
          <w:p>
            <w:pPr>
              <w:pStyle w:val="TableParagraph"/>
              <w:spacing w:line="211" w:lineRule="exact"/>
              <w:ind w:left="85"/>
              <w:rPr>
                <w:sz w:val="21"/>
              </w:rPr>
            </w:pPr>
            <w:r>
              <w:rPr>
                <w:sz w:val="21"/>
              </w:rPr>
              <w:t>指因疾病或意外伤害导致意识丧失，对外界刺激和体内需求均无反应，昏迷</w:t>
            </w:r>
          </w:p>
          <w:p>
            <w:pPr>
              <w:pStyle w:val="TableParagraph"/>
              <w:spacing w:line="273" w:lineRule="auto" w:before="37"/>
              <w:ind w:left="85" w:right="133"/>
              <w:rPr>
                <w:sz w:val="21"/>
              </w:rPr>
            </w:pPr>
            <w:r>
              <w:rPr>
                <w:spacing w:val="-5"/>
                <w:sz w:val="21"/>
              </w:rPr>
              <w:t>程度按照格拉斯哥昏迷分级</w:t>
            </w:r>
            <w:r>
              <w:rPr>
                <w:sz w:val="21"/>
              </w:rPr>
              <w:t>（Glasgow coma </w:t>
            </w:r>
            <w:r>
              <w:rPr>
                <w:spacing w:val="-6"/>
                <w:sz w:val="21"/>
              </w:rPr>
              <w:t>scale）</w:t>
            </w:r>
            <w:r>
              <w:rPr>
                <w:spacing w:val="-14"/>
                <w:sz w:val="21"/>
              </w:rPr>
              <w:t>结果为 </w:t>
            </w:r>
            <w:r>
              <w:rPr>
                <w:sz w:val="21"/>
              </w:rPr>
              <w:t>5</w:t>
            </w:r>
            <w:r>
              <w:rPr>
                <w:spacing w:val="-25"/>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line="240" w:lineRule="auto" w:before="7"/>
              <w:ind w:left="85"/>
              <w:rPr>
                <w:sz w:val="21"/>
              </w:rPr>
            </w:pPr>
            <w:r>
              <w:rPr>
                <w:sz w:val="21"/>
                <w:shd w:fill="DADADA" w:color="auto" w:val="clear"/>
              </w:rPr>
              <w:t>因酗酒或药物滥用导致的深度昏迷不在保障范围内。</w:t>
            </w:r>
          </w:p>
        </w:tc>
      </w:tr>
      <w:tr>
        <w:trPr>
          <w:trHeight w:val="2155" w:hRule="atLeast"/>
        </w:trPr>
        <w:tc>
          <w:tcPr>
            <w:tcW w:w="1701" w:type="dxa"/>
          </w:tcPr>
          <w:p>
            <w:pPr>
              <w:pStyle w:val="TableParagraph"/>
              <w:spacing w:line="240" w:lineRule="auto" w:before="126"/>
              <w:ind w:left="200"/>
              <w:rPr>
                <w:rFonts w:ascii="等线" w:eastAsia="等线" w:hint="eastAsia"/>
                <w:b/>
                <w:sz w:val="24"/>
              </w:rPr>
            </w:pPr>
            <w:r>
              <w:rPr>
                <w:rFonts w:ascii="等线" w:eastAsia="等线" w:hint="eastAsia"/>
                <w:b/>
                <w:sz w:val="24"/>
              </w:rPr>
              <w:t>双耳失聪</w:t>
            </w:r>
          </w:p>
        </w:tc>
        <w:tc>
          <w:tcPr>
            <w:tcW w:w="7274" w:type="dxa"/>
          </w:tcPr>
          <w:p>
            <w:pPr>
              <w:pStyle w:val="TableParagraph"/>
              <w:spacing w:line="240" w:lineRule="auto" w:before="128"/>
              <w:ind w:left="85"/>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7"/>
              <w:ind w:left="85" w:right="199"/>
              <w:rPr>
                <w:sz w:val="21"/>
              </w:rPr>
            </w:pPr>
            <w:r>
              <w:rPr>
                <w:sz w:val="21"/>
              </w:rPr>
              <w:t>1000</w:t>
            </w:r>
            <w:r>
              <w:rPr>
                <w:spacing w:val="-3"/>
                <w:sz w:val="21"/>
              </w:rPr>
              <w:t>赫兹和</w:t>
            </w:r>
            <w:r>
              <w:rPr>
                <w:sz w:val="21"/>
              </w:rPr>
              <w:t>2000</w:t>
            </w:r>
            <w:r>
              <w:rPr>
                <w:spacing w:val="-11"/>
                <w:sz w:val="21"/>
              </w:rPr>
              <w:t>赫兹语音频率下，平均听阈大于</w:t>
            </w:r>
            <w:r>
              <w:rPr>
                <w:sz w:val="21"/>
              </w:rPr>
              <w:t>90</w:t>
            </w:r>
            <w:r>
              <w:rPr>
                <w:spacing w:val="-11"/>
                <w:sz w:val="21"/>
              </w:rPr>
              <w:t>分贝，且经纯音听力测试、</w:t>
            </w:r>
            <w:r>
              <w:rPr>
                <w:spacing w:val="-3"/>
                <w:sz w:val="21"/>
              </w:rPr>
              <w:t>声导抗检测或听觉诱发电位检测等证实。</w:t>
            </w:r>
          </w:p>
          <w:p>
            <w:pPr>
              <w:pStyle w:val="TableParagraph"/>
              <w:spacing w:line="240" w:lineRule="auto" w:before="5"/>
              <w:rPr>
                <w:sz w:val="24"/>
              </w:rPr>
            </w:pPr>
          </w:p>
          <w:p>
            <w:pPr>
              <w:pStyle w:val="TableParagraph"/>
              <w:spacing w:line="273" w:lineRule="auto"/>
              <w:ind w:left="85" w:right="304"/>
              <w:rPr>
                <w:sz w:val="21"/>
              </w:rPr>
            </w:pPr>
            <w:r>
              <w:rPr>
                <w:spacing w:val="-8"/>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1"/>
                <w:sz w:val="21"/>
                <w:shd w:fill="DADADA" w:color="auto" w:val="clear"/>
              </w:rPr>
              <w:t> 周岁保单周年日期间双耳失聪，在本附加险合同有效期</w:t>
            </w:r>
            <w:r>
              <w:rPr>
                <w:spacing w:val="-3"/>
                <w:sz w:val="21"/>
                <w:shd w:fill="DADADA" w:color="auto" w:val="clear"/>
              </w:rPr>
              <w:t>内我们对双耳失聪不</w:t>
            </w:r>
            <w:r>
              <w:rPr>
                <w:spacing w:val="-31"/>
                <w:sz w:val="21"/>
                <w:shd w:fill="DADADA" w:color="auto" w:val="clear"/>
              </w:rPr>
              <w:t>承担保险责任。</w:t>
            </w:r>
          </w:p>
        </w:tc>
      </w:tr>
      <w:tr>
        <w:trPr>
          <w:trHeight w:val="2155" w:hRule="atLeast"/>
        </w:trPr>
        <w:tc>
          <w:tcPr>
            <w:tcW w:w="1701" w:type="dxa"/>
          </w:tcPr>
          <w:p>
            <w:pPr>
              <w:pStyle w:val="TableParagraph"/>
              <w:spacing w:line="240" w:lineRule="auto" w:before="126"/>
              <w:ind w:left="200"/>
              <w:rPr>
                <w:rFonts w:ascii="等线" w:eastAsia="等线" w:hint="eastAsia"/>
                <w:b/>
                <w:sz w:val="24"/>
              </w:rPr>
            </w:pPr>
            <w:r>
              <w:rPr>
                <w:rFonts w:ascii="等线" w:eastAsia="等线" w:hint="eastAsia"/>
                <w:b/>
                <w:sz w:val="24"/>
              </w:rPr>
              <w:t>双目失明</w:t>
            </w:r>
          </w:p>
        </w:tc>
        <w:tc>
          <w:tcPr>
            <w:tcW w:w="7274" w:type="dxa"/>
          </w:tcPr>
          <w:p>
            <w:pPr>
              <w:pStyle w:val="TableParagraph"/>
              <w:spacing w:line="273" w:lineRule="auto" w:before="128"/>
              <w:ind w:left="85" w:right="254"/>
              <w:rPr>
                <w:sz w:val="21"/>
              </w:rPr>
            </w:pPr>
            <w:r>
              <w:rPr>
                <w:sz w:val="21"/>
              </w:rPr>
              <w:t>指因疾病或意外伤害导致双眼视力永久不可逆性丧失，双眼中较好眼须满足下列至少一项条件：</w:t>
            </w:r>
          </w:p>
          <w:p>
            <w:pPr>
              <w:pStyle w:val="TableParagraph"/>
              <w:spacing w:line="240" w:lineRule="auto" w:before="7"/>
              <w:ind w:left="85"/>
              <w:rPr>
                <w:sz w:val="21"/>
              </w:rPr>
            </w:pPr>
            <w:r>
              <w:rPr>
                <w:sz w:val="21"/>
              </w:rPr>
              <w:t>（1）眼球缺失或摘除；</w:t>
            </w:r>
          </w:p>
          <w:p>
            <w:pPr>
              <w:pStyle w:val="TableParagraph"/>
              <w:spacing w:line="273" w:lineRule="auto" w:before="36"/>
              <w:ind w:left="611" w:right="303" w:hanging="526"/>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line="240" w:lineRule="auto" w:before="7"/>
              <w:ind w:left="85"/>
              <w:rPr>
                <w:sz w:val="21"/>
              </w:rPr>
            </w:pPr>
            <w:r>
              <w:rPr>
                <w:sz w:val="21"/>
              </w:rPr>
              <w:t>（3）视野半径小于 5 度。</w:t>
            </w:r>
          </w:p>
        </w:tc>
      </w:tr>
      <w:tr>
        <w:trPr>
          <w:trHeight w:val="1204" w:hRule="atLeast"/>
        </w:trPr>
        <w:tc>
          <w:tcPr>
            <w:tcW w:w="1701" w:type="dxa"/>
          </w:tcPr>
          <w:p>
            <w:pPr>
              <w:pStyle w:val="TableParagraph"/>
              <w:spacing w:line="240" w:lineRule="auto" w:before="126"/>
              <w:ind w:left="200"/>
              <w:rPr>
                <w:rFonts w:ascii="等线" w:eastAsia="等线" w:hint="eastAsia"/>
                <w:b/>
                <w:sz w:val="24"/>
              </w:rPr>
            </w:pPr>
            <w:r>
              <w:rPr>
                <w:rFonts w:ascii="等线" w:eastAsia="等线" w:hint="eastAsia"/>
                <w:b/>
                <w:sz w:val="24"/>
              </w:rPr>
              <w:t>瘫痪</w:t>
            </w:r>
          </w:p>
        </w:tc>
        <w:tc>
          <w:tcPr>
            <w:tcW w:w="7274" w:type="dxa"/>
          </w:tcPr>
          <w:p>
            <w:pPr>
              <w:pStyle w:val="TableParagraph"/>
              <w:spacing w:line="273" w:lineRule="auto" w:before="128"/>
              <w:ind w:left="85" w:right="302"/>
              <w:jc w:val="both"/>
              <w:rPr>
                <w:sz w:val="21"/>
              </w:rPr>
            </w:pPr>
            <w:r>
              <w:rPr>
                <w:spacing w:val="-5"/>
                <w:sz w:val="21"/>
              </w:rPr>
              <w:t>指因疾病或意外伤害导致两肢或两肢以上肢体机能永久完全丧失。肢体机能</w:t>
            </w:r>
            <w:r>
              <w:rPr>
                <w:spacing w:val="-10"/>
                <w:sz w:val="21"/>
              </w:rPr>
              <w:t>永久完全丧失，指疾病确诊 </w:t>
            </w:r>
            <w:r>
              <w:rPr>
                <w:sz w:val="21"/>
              </w:rPr>
              <w:t>180</w:t>
            </w:r>
            <w:r>
              <w:rPr>
                <w:spacing w:val="-12"/>
                <w:sz w:val="21"/>
              </w:rPr>
              <w:t> 日后或意外伤害发生 </w:t>
            </w:r>
            <w:r>
              <w:rPr>
                <w:sz w:val="21"/>
              </w:rPr>
              <w:t>180</w:t>
            </w:r>
            <w:r>
              <w:rPr>
                <w:spacing w:val="-12"/>
                <w:sz w:val="21"/>
              </w:rPr>
              <w:t> 日后，每肢三大关</w:t>
            </w:r>
            <w:r>
              <w:rPr>
                <w:spacing w:val="-6"/>
                <w:sz w:val="21"/>
              </w:rPr>
              <w:t>节中的两大关节仍然完全僵硬，或不能随意识活动。</w:t>
            </w:r>
          </w:p>
        </w:tc>
      </w:tr>
      <w:tr>
        <w:trPr>
          <w:trHeight w:val="917" w:hRule="atLeast"/>
        </w:trPr>
        <w:tc>
          <w:tcPr>
            <w:tcW w:w="1701" w:type="dxa"/>
          </w:tcPr>
          <w:p>
            <w:pPr>
              <w:pStyle w:val="TableParagraph"/>
              <w:spacing w:line="235" w:lineRule="auto" w:before="118"/>
              <w:ind w:left="200" w:right="84"/>
              <w:rPr>
                <w:rFonts w:ascii="等线" w:eastAsia="等线" w:hint="eastAsia"/>
                <w:b/>
                <w:sz w:val="24"/>
              </w:rPr>
            </w:pPr>
            <w:r>
              <w:rPr>
                <w:rFonts w:ascii="等线" w:eastAsia="等线" w:hint="eastAsia"/>
                <w:b/>
                <w:sz w:val="24"/>
              </w:rPr>
              <w:t>心脏瓣膜手术</w:t>
            </w:r>
          </w:p>
        </w:tc>
        <w:tc>
          <w:tcPr>
            <w:tcW w:w="7274" w:type="dxa"/>
          </w:tcPr>
          <w:p>
            <w:pPr>
              <w:pStyle w:val="TableParagraph"/>
              <w:spacing w:line="273" w:lineRule="auto" w:before="114"/>
              <w:ind w:left="85" w:right="304"/>
              <w:rPr>
                <w:sz w:val="21"/>
              </w:rPr>
            </w:pPr>
            <w:r>
              <w:rPr>
                <w:sz w:val="21"/>
              </w:rPr>
              <w:t>指为治疗心脏瓣膜疾病，实际实施了开胸进行的心脏瓣膜置换或修复的手术。</w:t>
            </w:r>
          </w:p>
        </w:tc>
      </w:tr>
      <w:tr>
        <w:trPr>
          <w:trHeight w:val="2105" w:hRule="atLeast"/>
        </w:trPr>
        <w:tc>
          <w:tcPr>
            <w:tcW w:w="1701" w:type="dxa"/>
          </w:tcPr>
          <w:p>
            <w:pPr>
              <w:pStyle w:val="TableParagraph"/>
              <w:spacing w:line="235" w:lineRule="auto" w:before="96"/>
              <w:ind w:left="200" w:right="84"/>
              <w:rPr>
                <w:rFonts w:ascii="等线" w:eastAsia="等线" w:hint="eastAsia"/>
                <w:b/>
                <w:sz w:val="24"/>
              </w:rPr>
            </w:pPr>
            <w:r>
              <w:rPr>
                <w:rFonts w:ascii="等线" w:eastAsia="等线" w:hint="eastAsia"/>
                <w:b/>
                <w:sz w:val="24"/>
              </w:rPr>
              <w:t>严重阿尔茨海默病</w:t>
            </w:r>
          </w:p>
        </w:tc>
        <w:tc>
          <w:tcPr>
            <w:tcW w:w="7274" w:type="dxa"/>
          </w:tcPr>
          <w:p>
            <w:pPr>
              <w:pStyle w:val="TableParagraph"/>
              <w:spacing w:line="273" w:lineRule="auto" w:before="92"/>
              <w:ind w:left="85" w:right="303"/>
              <w:jc w:val="both"/>
              <w:rPr>
                <w:sz w:val="21"/>
              </w:rPr>
            </w:pPr>
            <w:r>
              <w:rPr>
                <w:spacing w:val="-7"/>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7"/>
                <w:w w:val="100"/>
                <w:sz w:val="21"/>
              </w:rPr>
              <w:t>监护。须由头颅断层扫描</w:t>
            </w:r>
            <w:r>
              <w:rPr>
                <w:w w:val="100"/>
                <w:sz w:val="21"/>
              </w:rPr>
              <w:t>（CT</w:t>
            </w:r>
            <w:r>
              <w:rPr>
                <w:spacing w:val="-109"/>
                <w:w w:val="100"/>
                <w:sz w:val="21"/>
              </w:rPr>
              <w:t>）</w:t>
            </w:r>
            <w:r>
              <w:rPr>
                <w:spacing w:val="-6"/>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line="240" w:lineRule="auto" w:before="8"/>
              <w:ind w:left="85"/>
              <w:jc w:val="both"/>
              <w:rPr>
                <w:sz w:val="21"/>
              </w:rPr>
            </w:pPr>
            <w:r>
              <w:rPr>
                <w:sz w:val="21"/>
                <w:shd w:fill="DADADA" w:color="auto" w:val="clear"/>
              </w:rPr>
              <w:t>神经官能症和精神疾病不在保障范围内。</w:t>
            </w:r>
          </w:p>
        </w:tc>
      </w:tr>
      <w:tr>
        <w:trPr>
          <w:trHeight w:val="2765" w:hRule="atLeast"/>
        </w:trPr>
        <w:tc>
          <w:tcPr>
            <w:tcW w:w="1701" w:type="dxa"/>
          </w:tcPr>
          <w:p>
            <w:pPr>
              <w:pStyle w:val="TableParagraph"/>
              <w:spacing w:line="240" w:lineRule="auto" w:before="112"/>
              <w:ind w:left="200"/>
              <w:rPr>
                <w:rFonts w:ascii="等线" w:eastAsia="等线" w:hint="eastAsia"/>
                <w:b/>
                <w:sz w:val="24"/>
              </w:rPr>
            </w:pPr>
            <w:r>
              <w:rPr>
                <w:rFonts w:ascii="等线" w:eastAsia="等线" w:hint="eastAsia"/>
                <w:b/>
                <w:sz w:val="24"/>
              </w:rPr>
              <w:t>严重脑损伤</w:t>
            </w:r>
          </w:p>
        </w:tc>
        <w:tc>
          <w:tcPr>
            <w:tcW w:w="7274" w:type="dxa"/>
          </w:tcPr>
          <w:p>
            <w:pPr>
              <w:pStyle w:val="TableParagraph"/>
              <w:spacing w:line="273" w:lineRule="auto" w:before="115"/>
              <w:ind w:left="85" w:right="303"/>
              <w:jc w:val="both"/>
              <w:rPr>
                <w:sz w:val="21"/>
              </w:rPr>
            </w:pPr>
            <w:r>
              <w:rPr>
                <w:spacing w:val="-7"/>
                <w:sz w:val="21"/>
              </w:rPr>
              <w:t>指因头部遭受机械性外力，引起脑重要部位损伤，导致神经系统永久性的功</w:t>
            </w:r>
            <w:r>
              <w:rPr>
                <w:spacing w:val="-7"/>
                <w:w w:val="100"/>
                <w:sz w:val="21"/>
              </w:rPr>
              <w:t>能障碍。须由头颅断层扫描</w:t>
            </w:r>
            <w:r>
              <w:rPr>
                <w:spacing w:val="-1"/>
                <w:w w:val="100"/>
                <w:sz w:val="21"/>
              </w:rPr>
              <w:t>（</w:t>
            </w:r>
            <w:r>
              <w:rPr>
                <w:spacing w:val="-3"/>
                <w:w w:val="100"/>
                <w:sz w:val="21"/>
              </w:rPr>
              <w:t>C</w:t>
            </w:r>
            <w:r>
              <w:rPr>
                <w:w w:val="100"/>
                <w:sz w:val="21"/>
              </w:rPr>
              <w:t>T</w:t>
            </w:r>
            <w:r>
              <w:rPr>
                <w:spacing w:val="-109"/>
                <w:w w:val="100"/>
                <w:sz w:val="21"/>
              </w:rPr>
              <w:t>）</w:t>
            </w:r>
            <w:r>
              <w:rPr>
                <w:spacing w:val="-5"/>
                <w:w w:val="100"/>
                <w:sz w:val="21"/>
              </w:rPr>
              <w:t>、核磁共振检查</w:t>
            </w:r>
            <w:r>
              <w:rPr>
                <w:spacing w:val="-3"/>
                <w:w w:val="100"/>
                <w:sz w:val="21"/>
              </w:rPr>
              <w:t>（</w:t>
            </w:r>
            <w:r>
              <w:rPr>
                <w:w w:val="100"/>
                <w:sz w:val="21"/>
              </w:rPr>
              <w:t>MRI</w:t>
            </w:r>
            <w:r>
              <w:rPr>
                <w:spacing w:val="-12"/>
                <w:w w:val="100"/>
                <w:sz w:val="21"/>
              </w:rPr>
              <w:t>）</w:t>
            </w:r>
            <w:r>
              <w:rPr>
                <w:spacing w:val="-3"/>
                <w:w w:val="100"/>
                <w:sz w:val="21"/>
              </w:rPr>
              <w:t>或正电子发射断层</w:t>
            </w:r>
            <w:r>
              <w:rPr>
                <w:spacing w:val="-15"/>
                <w:sz w:val="21"/>
              </w:rPr>
              <w:t>扫描</w:t>
            </w:r>
            <w:r>
              <w:rPr>
                <w:spacing w:val="-7"/>
                <w:sz w:val="21"/>
              </w:rPr>
              <w:t>（PET）</w:t>
            </w:r>
            <w:r>
              <w:rPr>
                <w:spacing w:val="-9"/>
                <w:sz w:val="21"/>
              </w:rPr>
              <w:t>等影像学检查证实。神经系统永久性的功能障碍，指脑损伤 </w:t>
            </w:r>
            <w:r>
              <w:rPr>
                <w:sz w:val="21"/>
              </w:rPr>
              <w:t>180 </w:t>
            </w:r>
            <w:r>
              <w:rPr>
                <w:spacing w:val="-3"/>
                <w:sz w:val="21"/>
              </w:rPr>
              <w:t>日后，仍遗留下列一种或一种以上障碍：</w:t>
            </w:r>
          </w:p>
          <w:p>
            <w:pPr>
              <w:pStyle w:val="TableParagraph"/>
              <w:spacing w:line="240" w:lineRule="auto" w:before="7"/>
              <w:ind w:left="85"/>
              <w:rPr>
                <w:sz w:val="21"/>
              </w:rPr>
            </w:pPr>
            <w:r>
              <w:rPr>
                <w:sz w:val="21"/>
              </w:rPr>
              <w:t>（1）一肢或一肢以上肢体机能完全丧失；</w:t>
            </w:r>
          </w:p>
          <w:p>
            <w:pPr>
              <w:pStyle w:val="TableParagraph"/>
              <w:spacing w:line="240" w:lineRule="auto" w:before="36"/>
              <w:ind w:left="85"/>
              <w:rPr>
                <w:sz w:val="21"/>
              </w:rPr>
            </w:pPr>
            <w:r>
              <w:rPr>
                <w:sz w:val="21"/>
              </w:rPr>
              <w:t>（2）语言能力或咀嚼吞咽能力完全丧失；</w:t>
            </w:r>
          </w:p>
          <w:p>
            <w:pPr>
              <w:pStyle w:val="TableParagraph"/>
              <w:spacing w:line="273" w:lineRule="auto" w:before="36"/>
              <w:ind w:left="610" w:right="305" w:hanging="526"/>
              <w:rPr>
                <w:sz w:val="21"/>
              </w:rPr>
            </w:pPr>
            <w:r>
              <w:rPr>
                <w:sz w:val="21"/>
              </w:rPr>
              <w:t>（3）自主生活能力完全丧失，无法独立完成六项基本日常生活活动中的三项或三项以上。</w:t>
            </w:r>
          </w:p>
        </w:tc>
      </w:tr>
      <w:tr>
        <w:trPr>
          <w:trHeight w:val="1963" w:hRule="atLeast"/>
        </w:trPr>
        <w:tc>
          <w:tcPr>
            <w:tcW w:w="1701" w:type="dxa"/>
          </w:tcPr>
          <w:p>
            <w:pPr>
              <w:pStyle w:val="TableParagraph"/>
              <w:spacing w:line="235" w:lineRule="auto" w:before="132"/>
              <w:ind w:left="200" w:right="84"/>
              <w:rPr>
                <w:rFonts w:ascii="等线" w:eastAsia="等线" w:hint="eastAsia"/>
                <w:b/>
                <w:sz w:val="24"/>
              </w:rPr>
            </w:pPr>
            <w:r>
              <w:rPr>
                <w:rFonts w:ascii="等线" w:eastAsia="等线" w:hint="eastAsia"/>
                <w:b/>
                <w:sz w:val="24"/>
              </w:rPr>
              <w:t>严重帕金森病</w:t>
            </w:r>
          </w:p>
        </w:tc>
        <w:tc>
          <w:tcPr>
            <w:tcW w:w="7274" w:type="dxa"/>
          </w:tcPr>
          <w:p>
            <w:pPr>
              <w:pStyle w:val="TableParagraph"/>
              <w:spacing w:line="273" w:lineRule="auto" w:before="128"/>
              <w:ind w:left="85" w:right="254"/>
              <w:rPr>
                <w:sz w:val="21"/>
              </w:rPr>
            </w:pPr>
            <w:r>
              <w:rPr>
                <w:sz w:val="21"/>
              </w:rPr>
              <w:t>是一种中枢神经系统的退行性疾病，临床表现为震颤麻痹、共济失调等。须满足下列全部条件：</w:t>
            </w:r>
          </w:p>
          <w:p>
            <w:pPr>
              <w:pStyle w:val="TableParagraph"/>
              <w:spacing w:line="240" w:lineRule="auto" w:before="7"/>
              <w:ind w:left="85"/>
              <w:rPr>
                <w:sz w:val="21"/>
              </w:rPr>
            </w:pPr>
            <w:r>
              <w:rPr>
                <w:sz w:val="21"/>
              </w:rPr>
              <w:t>（1）药物治疗无法控制病情；</w:t>
            </w:r>
          </w:p>
          <w:p>
            <w:pPr>
              <w:pStyle w:val="TableParagraph"/>
              <w:spacing w:line="273" w:lineRule="auto" w:before="37"/>
              <w:ind w:left="611" w:right="305" w:hanging="526"/>
              <w:rPr>
                <w:sz w:val="21"/>
              </w:rPr>
            </w:pPr>
            <w:r>
              <w:rPr>
                <w:sz w:val="21"/>
              </w:rPr>
              <w:t>（2）自主生活能力完全丧失，无法独立完成六项基本日常生活活动中的三项或三项以上。</w:t>
            </w:r>
          </w:p>
          <w:p>
            <w:pPr>
              <w:pStyle w:val="TableParagraph"/>
              <w:spacing w:line="255" w:lineRule="exact" w:before="8"/>
              <w:ind w:left="85"/>
              <w:rPr>
                <w:sz w:val="21"/>
              </w:rPr>
            </w:pPr>
            <w:r>
              <w:rPr>
                <w:sz w:val="21"/>
                <w:shd w:fill="DADADA" w:color="auto" w:val="clear"/>
              </w:rPr>
              <w:t>继发性帕金森综合征不在保障范围内。</w:t>
            </w:r>
          </w:p>
        </w:tc>
      </w:tr>
    </w:tbl>
    <w:p>
      <w:pPr>
        <w:spacing w:after="0" w:line="255" w:lineRule="exact"/>
        <w:rPr>
          <w:sz w:val="21"/>
        </w:rPr>
        <w:sectPr>
          <w:pgSz w:w="11910" w:h="16840"/>
          <w:pgMar w:top="1160" w:bottom="280" w:left="1660" w:right="1040"/>
        </w:sectPr>
      </w:pPr>
    </w:p>
    <w:p>
      <w:pPr>
        <w:pStyle w:val="Heading3"/>
        <w:spacing w:line="235" w:lineRule="auto" w:before="26"/>
      </w:pPr>
      <w:r>
        <w:rPr/>
        <w:t>严重Ⅲ度烧伤</w:t>
      </w:r>
    </w:p>
    <w:p>
      <w:pPr>
        <w:pStyle w:val="BodyText"/>
        <w:spacing w:line="273" w:lineRule="auto" w:before="22"/>
        <w:ind w:left="130" w:right="111"/>
      </w:pPr>
      <w:r>
        <w:rPr/>
        <w:br w:type="column"/>
      </w:r>
      <w:r>
        <w:rPr>
          <w:spacing w:val="-11"/>
        </w:rPr>
        <w:t>指烧伤程度为Ⅲ度，且Ⅲ度烧伤的面积达到全身体表面积的 </w:t>
      </w:r>
      <w:r>
        <w:rPr/>
        <w:t>20%</w:t>
      </w:r>
      <w:r>
        <w:rPr>
          <w:spacing w:val="-21"/>
        </w:rPr>
        <w:t>或 </w:t>
      </w:r>
      <w:r>
        <w:rPr/>
        <w:t>20%以上。</w:t>
      </w:r>
      <w:r>
        <w:rPr>
          <w:spacing w:val="-3"/>
        </w:rPr>
        <w:t>体表面积根据《中国新九分法》计算。</w:t>
      </w:r>
    </w:p>
    <w:p>
      <w:pPr>
        <w:spacing w:after="0" w:line="273" w:lineRule="auto"/>
        <w:sectPr>
          <w:pgSz w:w="11910" w:h="16840"/>
          <w:pgMar w:top="1080" w:bottom="280" w:left="1680" w:right="1240"/>
          <w:cols w:num="2" w:equalWidth="0">
            <w:col w:w="1714" w:space="40"/>
            <w:col w:w="7236"/>
          </w:cols>
        </w:sectPr>
      </w:pPr>
    </w:p>
    <w:p>
      <w:pPr>
        <w:pStyle w:val="BodyText"/>
        <w:spacing w:before="5"/>
        <w:rPr>
          <w:sz w:val="18"/>
        </w:rPr>
      </w:pPr>
    </w:p>
    <w:p>
      <w:pPr>
        <w:spacing w:after="0"/>
        <w:rPr>
          <w:sz w:val="18"/>
        </w:rPr>
        <w:sectPr>
          <w:type w:val="continuous"/>
          <w:pgSz w:w="11910" w:h="16840"/>
          <w:pgMar w:top="440" w:bottom="280" w:left="1680" w:right="1240"/>
        </w:sectPr>
      </w:pPr>
    </w:p>
    <w:p>
      <w:pPr>
        <w:pStyle w:val="Heading3"/>
        <w:spacing w:line="235" w:lineRule="auto"/>
      </w:pPr>
      <w:r>
        <w:rPr/>
        <w:t>严重原发性肺动脉高压</w:t>
      </w:r>
    </w:p>
    <w:p>
      <w:pPr>
        <w:pStyle w:val="BodyText"/>
        <w:spacing w:line="273" w:lineRule="auto" w:before="36"/>
        <w:ind w:left="130" w:right="217"/>
        <w:jc w:val="both"/>
      </w:pPr>
      <w:r>
        <w:rPr/>
        <w:br w:type="column"/>
      </w:r>
      <w:r>
        <w:rPr>
          <w:spacing w:val="-6"/>
        </w:rPr>
        <w:t>指不明原因的肺动脉压力持续性增高，进行性发展而导致的慢性疾病，已经</w:t>
      </w:r>
      <w:r>
        <w:rPr>
          <w:spacing w:val="-7"/>
        </w:rPr>
        <w:t>造成永久不可逆性的体力活动能力受限，达到美国纽约心脏病学会</w:t>
      </w:r>
      <w:r>
        <w:rPr>
          <w:rFonts w:ascii="黑体" w:eastAsia="黑体" w:hint="eastAsia"/>
          <w:b/>
        </w:rPr>
        <w:t>心功能状态分级</w:t>
      </w:r>
      <w:r>
        <w:rPr>
          <w:spacing w:val="-3"/>
        </w:rPr>
        <w:t>（</w:t>
      </w:r>
      <w:r>
        <w:rPr>
          <w:spacing w:val="-23"/>
        </w:rPr>
        <w:t>见 </w:t>
      </w:r>
      <w:r>
        <w:rPr/>
        <w:t>8.8）IV</w:t>
      </w:r>
      <w:r>
        <w:rPr>
          <w:spacing w:val="-11"/>
        </w:rPr>
        <w:t> 级，且静息状态下肺动脉平均压超过 </w:t>
      </w:r>
      <w:r>
        <w:rPr/>
        <w:t>30mmHg。</w:t>
      </w:r>
    </w:p>
    <w:p>
      <w:pPr>
        <w:spacing w:after="0" w:line="273" w:lineRule="auto"/>
        <w:jc w:val="both"/>
        <w:sectPr>
          <w:type w:val="continuous"/>
          <w:pgSz w:w="11910" w:h="16840"/>
          <w:pgMar w:top="440" w:bottom="280" w:left="1680" w:right="1240"/>
          <w:cols w:num="2" w:equalWidth="0">
            <w:col w:w="1714" w:space="40"/>
            <w:col w:w="7236"/>
          </w:cols>
        </w:sectPr>
      </w:pPr>
    </w:p>
    <w:p>
      <w:pPr>
        <w:pStyle w:val="BodyText"/>
        <w:spacing w:before="5"/>
        <w:rPr>
          <w:sz w:val="19"/>
        </w:rPr>
      </w:pPr>
    </w:p>
    <w:p>
      <w:pPr>
        <w:spacing w:after="0"/>
        <w:rPr>
          <w:sz w:val="19"/>
        </w:rPr>
        <w:sectPr>
          <w:type w:val="continuous"/>
          <w:pgSz w:w="11910" w:h="16840"/>
          <w:pgMar w:top="440" w:bottom="280" w:left="1680" w:right="1240"/>
        </w:sectPr>
      </w:pPr>
    </w:p>
    <w:p>
      <w:pPr>
        <w:pStyle w:val="Heading3"/>
        <w:spacing w:line="235" w:lineRule="auto"/>
      </w:pPr>
      <w:r>
        <w:rPr/>
        <w:t>严重运动神经元病</w:t>
      </w:r>
    </w:p>
    <w:p>
      <w:pPr>
        <w:pStyle w:val="BodyText"/>
        <w:spacing w:line="273" w:lineRule="auto" w:before="36"/>
        <w:ind w:left="130" w:right="217"/>
        <w:jc w:val="both"/>
      </w:pPr>
      <w:r>
        <w:rPr/>
        <w:br w:type="column"/>
      </w:r>
      <w:r>
        <w:rPr/>
        <w:t>是一组中枢神经系统运动神经元的进行性变性疾病，包括进行性脊肌萎缩</w:t>
      </w:r>
      <w:r>
        <w:rPr>
          <w:spacing w:val="-8"/>
        </w:rPr>
        <w:t>症、进行性延髓麻痹症、原发性侧索硬化症、肌萎缩性侧索硬化症。须满足自主生活能力完全丧失，无法独立完成六项基本日常生活活动中的三项或三</w:t>
      </w:r>
      <w:r>
        <w:rPr>
          <w:spacing w:val="-5"/>
        </w:rPr>
        <w:t>项以上的条件。</w:t>
      </w:r>
    </w:p>
    <w:p>
      <w:pPr>
        <w:spacing w:after="0" w:line="273" w:lineRule="auto"/>
        <w:jc w:val="both"/>
        <w:sectPr>
          <w:type w:val="continuous"/>
          <w:pgSz w:w="11910" w:h="16840"/>
          <w:pgMar w:top="440" w:bottom="280" w:left="1680" w:right="1240"/>
          <w:cols w:num="2" w:equalWidth="0">
            <w:col w:w="1714" w:space="40"/>
            <w:col w:w="7236"/>
          </w:cols>
        </w:sectPr>
      </w:pPr>
    </w:p>
    <w:p>
      <w:pPr>
        <w:pStyle w:val="BodyText"/>
        <w:spacing w:before="5"/>
        <w:rPr>
          <w:sz w:val="19"/>
        </w:rPr>
      </w:pPr>
    </w:p>
    <w:p>
      <w:pPr>
        <w:spacing w:after="0"/>
        <w:rPr>
          <w:sz w:val="19"/>
        </w:rPr>
        <w:sectPr>
          <w:type w:val="continuous"/>
          <w:pgSz w:w="11910" w:h="16840"/>
          <w:pgMar w:top="440" w:bottom="280" w:left="1680" w:right="1240"/>
        </w:sectPr>
      </w:pPr>
    </w:p>
    <w:p>
      <w:pPr>
        <w:pStyle w:val="Heading3"/>
        <w:spacing w:line="235" w:lineRule="auto"/>
      </w:pPr>
      <w:r>
        <w:rPr/>
        <w:t>语言能力丧失</w:t>
      </w:r>
    </w:p>
    <w:p>
      <w:pPr>
        <w:pStyle w:val="BodyText"/>
        <w:spacing w:line="273" w:lineRule="auto"/>
        <w:ind w:left="130" w:right="217" w:hanging="1"/>
      </w:pPr>
      <w:r>
        <w:rPr/>
        <w:br w:type="column"/>
      </w:r>
      <w:r>
        <w:rPr>
          <w:spacing w:val="-8"/>
        </w:rPr>
        <w:t>指因疾病或意外伤害导致完全丧失语言能力，经过积极治疗至少 </w:t>
      </w:r>
      <w:r>
        <w:rPr/>
        <w:t>12</w:t>
      </w:r>
      <w:r>
        <w:rPr>
          <w:spacing w:val="-40"/>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8"/>
        <w:ind w:left="130"/>
      </w:pPr>
      <w:r>
        <w:rPr>
          <w:shd w:fill="DADADA" w:color="auto" w:val="clear"/>
        </w:rPr>
        <w:t>精神心理因素所致的语言能力丧失不在保障范围内。</w:t>
      </w:r>
    </w:p>
    <w:p>
      <w:pPr>
        <w:pStyle w:val="BodyText"/>
        <w:spacing w:line="273" w:lineRule="auto"/>
        <w:ind w:left="130" w:right="218"/>
      </w:pPr>
      <w:r>
        <w:rPr>
          <w:spacing w:val="-8"/>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1"/>
          <w:shd w:fill="DADADA" w:color="auto" w:val="clear"/>
        </w:rPr>
        <w:t> 周岁保单周年日期间语言能力丧失，在本附加险合同有</w:t>
      </w:r>
      <w:r>
        <w:rPr>
          <w:spacing w:val="-3"/>
          <w:shd w:fill="DADADA" w:color="auto" w:val="clear"/>
        </w:rPr>
        <w:t>效期内我们对语</w:t>
      </w:r>
      <w:r>
        <w:rPr>
          <w:spacing w:val="-21"/>
          <w:shd w:fill="DADADA" w:color="auto" w:val="clear"/>
        </w:rPr>
        <w:t>言能力丧失不承担保险责任。</w:t>
      </w:r>
    </w:p>
    <w:p>
      <w:pPr>
        <w:spacing w:after="0" w:line="273" w:lineRule="auto"/>
        <w:sectPr>
          <w:type w:val="continuous"/>
          <w:pgSz w:w="11910" w:h="16840"/>
          <w:pgMar w:top="440" w:bottom="280" w:left="1680" w:right="1240"/>
          <w:cols w:num="2" w:equalWidth="0">
            <w:col w:w="1714" w:space="40"/>
            <w:col w:w="7236"/>
          </w:cols>
        </w:sectPr>
      </w:pPr>
    </w:p>
    <w:p>
      <w:pPr>
        <w:pStyle w:val="BodyText"/>
        <w:spacing w:before="8"/>
        <w:rPr>
          <w:sz w:val="19"/>
        </w:rPr>
      </w:pPr>
    </w:p>
    <w:p>
      <w:pPr>
        <w:spacing w:after="0"/>
        <w:rPr>
          <w:sz w:val="19"/>
        </w:rPr>
        <w:sectPr>
          <w:type w:val="continuous"/>
          <w:pgSz w:w="11910" w:h="16840"/>
          <w:pgMar w:top="440" w:bottom="280" w:left="1680" w:right="1240"/>
        </w:sectPr>
      </w:pPr>
    </w:p>
    <w:p>
      <w:pPr>
        <w:pStyle w:val="Heading3"/>
        <w:spacing w:line="235" w:lineRule="auto" w:before="40"/>
      </w:pPr>
      <w:r>
        <w:rPr/>
        <w:t>重型再生障碍性贫血</w:t>
      </w:r>
    </w:p>
    <w:p>
      <w:pPr>
        <w:pStyle w:val="BodyText"/>
        <w:spacing w:line="273" w:lineRule="auto" w:before="36"/>
        <w:ind w:left="130" w:right="171"/>
      </w:pPr>
      <w:r>
        <w:rPr/>
        <w:br w:type="column"/>
      </w:r>
      <w:r>
        <w:rPr/>
        <w:t>指因骨髓造血功能慢性持续性衰竭导致的贫血、中性粒细胞减少及血小板减少。须满足下列全部条件：</w:t>
      </w:r>
    </w:p>
    <w:p>
      <w:pPr>
        <w:pStyle w:val="BodyText"/>
        <w:spacing w:before="7"/>
        <w:ind w:left="130"/>
      </w:pPr>
      <w:r>
        <w:rPr/>
        <w:t>（1）骨髓穿刺检查或骨髓活检结果支持诊断；</w:t>
      </w:r>
    </w:p>
    <w:p>
      <w:pPr>
        <w:pStyle w:val="BodyText"/>
        <w:ind w:left="130"/>
      </w:pPr>
      <w:r>
        <w:rPr/>
        <w:t>（2）外周血象须具备以下三项条件：</w:t>
      </w:r>
    </w:p>
    <w:p>
      <w:pPr>
        <w:pStyle w:val="BodyText"/>
        <w:ind w:left="341"/>
      </w:pPr>
      <w:r>
        <w:rPr/>
        <w:t>① 中性粒细胞绝对值≤0.5×10</w:t>
      </w:r>
      <w:r>
        <w:rPr>
          <w:position w:val="11"/>
          <w:sz w:val="11"/>
        </w:rPr>
        <w:t>9</w:t>
      </w:r>
      <w:r>
        <w:rPr/>
        <w:t>/L；</w:t>
      </w:r>
    </w:p>
    <w:p>
      <w:pPr>
        <w:pStyle w:val="BodyText"/>
        <w:spacing w:before="36"/>
        <w:ind w:left="341"/>
      </w:pPr>
      <w:r>
        <w:rPr/>
        <w:t>② 网织红细胞＜1%；</w:t>
      </w:r>
    </w:p>
    <w:p>
      <w:pPr>
        <w:pStyle w:val="BodyText"/>
        <w:spacing w:before="36"/>
        <w:ind w:left="341"/>
      </w:pPr>
      <w:r>
        <w:rPr/>
        <w:t>③ 血小板绝对值≤20×10</w:t>
      </w:r>
      <w:r>
        <w:rPr>
          <w:position w:val="11"/>
          <w:sz w:val="11"/>
        </w:rPr>
        <w:t>9</w:t>
      </w:r>
      <w:r>
        <w:rPr/>
        <w:t>/L。</w:t>
      </w:r>
    </w:p>
    <w:p>
      <w:pPr>
        <w:spacing w:after="0"/>
        <w:sectPr>
          <w:type w:val="continuous"/>
          <w:pgSz w:w="11910" w:h="16840"/>
          <w:pgMar w:top="440" w:bottom="280" w:left="1680" w:right="1240"/>
          <w:cols w:num="2" w:equalWidth="0">
            <w:col w:w="1714" w:space="40"/>
            <w:col w:w="7236"/>
          </w:cols>
        </w:sectPr>
      </w:pPr>
    </w:p>
    <w:p>
      <w:pPr>
        <w:pStyle w:val="BodyText"/>
        <w:spacing w:before="9"/>
      </w:pPr>
    </w:p>
    <w:p>
      <w:pPr>
        <w:pStyle w:val="BodyText"/>
        <w:spacing w:line="252" w:lineRule="auto" w:before="30"/>
        <w:ind w:left="1883" w:right="217" w:hanging="1587"/>
        <w:jc w:val="both"/>
      </w:pPr>
      <w:r>
        <w:rPr>
          <w:rFonts w:ascii="等线" w:eastAsia="等线" w:hint="eastAsia"/>
          <w:b/>
          <w:spacing w:val="1"/>
          <w:position w:val="-1"/>
          <w:sz w:val="24"/>
        </w:rPr>
        <w:t>主动脉手术    </w:t>
      </w:r>
      <w:r>
        <w:rPr>
          <w:spacing w:val="-7"/>
        </w:rPr>
        <w:t>指为治疗主动脉疾病，实际实施了开胸或开腹进行的切除、置换、修补病损</w:t>
      </w:r>
      <w:r>
        <w:rPr>
          <w:spacing w:val="-9"/>
        </w:rPr>
        <w:t>主动脉血管的手术。主动脉指胸主动脉和腹主动脉，不包括胸主动脉和腹主</w:t>
      </w:r>
      <w:r>
        <w:rPr>
          <w:spacing w:val="-5"/>
        </w:rPr>
        <w:t>动脉的分支血管。</w:t>
      </w:r>
    </w:p>
    <w:p>
      <w:pPr>
        <w:pStyle w:val="BodyText"/>
        <w:spacing w:before="27"/>
        <w:ind w:left="1883"/>
      </w:pPr>
      <w:r>
        <w:rPr>
          <w:shd w:fill="DADADA" w:color="auto" w:val="clear"/>
        </w:rPr>
        <w:t>动脉内血管成形术不在保障范围内。</w:t>
      </w:r>
    </w:p>
    <w:p>
      <w:pPr>
        <w:pStyle w:val="BodyText"/>
        <w:spacing w:before="6"/>
        <w:rPr>
          <w:sz w:val="24"/>
        </w:rPr>
      </w:pPr>
    </w:p>
    <w:p>
      <w:pPr>
        <w:pStyle w:val="BodyText"/>
        <w:spacing w:line="273" w:lineRule="auto" w:before="0"/>
        <w:ind w:left="1883" w:right="218"/>
      </w:pPr>
      <w:r>
        <w:rPr/>
        <w:t>以下重大疾病是本公司在中国保险行业协会与中国医师协会制定了规范定义的疾病范围之外增加的疾病。</w:t>
      </w:r>
    </w:p>
    <w:p>
      <w:pPr>
        <w:pStyle w:val="BodyText"/>
        <w:spacing w:before="8"/>
        <w:rPr>
          <w:sz w:val="19"/>
        </w:rPr>
      </w:pPr>
    </w:p>
    <w:p>
      <w:pPr>
        <w:spacing w:after="0"/>
        <w:rPr>
          <w:sz w:val="19"/>
        </w:rPr>
        <w:sectPr>
          <w:type w:val="continuous"/>
          <w:pgSz w:w="11910" w:h="16840"/>
          <w:pgMar w:top="440" w:bottom="280" w:left="1680" w:right="1240"/>
        </w:sectPr>
      </w:pPr>
    </w:p>
    <w:p>
      <w:pPr>
        <w:pStyle w:val="Heading3"/>
        <w:spacing w:line="235" w:lineRule="auto" w:before="40"/>
      </w:pPr>
      <w:r>
        <w:rPr/>
        <w:t>严重的多发性硬化</w:t>
      </w:r>
    </w:p>
    <w:p>
      <w:pPr>
        <w:pStyle w:val="BodyText"/>
        <w:spacing w:line="273" w:lineRule="auto" w:before="36"/>
        <w:ind w:left="130" w:right="111"/>
      </w:pPr>
      <w:r>
        <w:rPr/>
        <w:br w:type="column"/>
      </w:r>
      <w:r>
        <w:rPr>
          <w:spacing w:val="-5"/>
        </w:rPr>
        <w:t>指因中枢神经系统脱髓鞘而导致的不可逆的身体部位的功能障碍，需由神经</w:t>
      </w:r>
      <w:r>
        <w:rPr>
          <w:spacing w:val="-6"/>
        </w:rPr>
        <w:t>科专科医生提供明确诊断，并有头颅断层扫描</w:t>
      </w:r>
      <w:r>
        <w:rPr>
          <w:spacing w:val="-5"/>
        </w:rPr>
        <w:t>（CT）或核磁共振检查</w:t>
      </w:r>
      <w:r>
        <w:rPr/>
        <w:t>（MRI） </w:t>
      </w:r>
      <w:r>
        <w:rPr>
          <w:spacing w:val="-9"/>
        </w:rPr>
        <w:t>检查结果诊断报告。不可逆的身体部位功能障碍指诊断为功能障碍后需已经</w:t>
      </w:r>
      <w:r>
        <w:rPr>
          <w:spacing w:val="-23"/>
        </w:rPr>
        <w:t>持续 </w:t>
      </w:r>
      <w:r>
        <w:rPr/>
        <w:t>180</w:t>
      </w:r>
      <w:r>
        <w:rPr>
          <w:spacing w:val="-13"/>
        </w:rPr>
        <w:t> 日以上。</w:t>
      </w:r>
    </w:p>
    <w:p>
      <w:pPr>
        <w:pStyle w:val="BodyText"/>
        <w:spacing w:before="7"/>
        <w:ind w:left="130"/>
      </w:pPr>
      <w:r>
        <w:rPr/>
        <w:t>由神经科专科医生提供的明确诊断必须同时包含下列内容：</w:t>
      </w:r>
    </w:p>
    <w:p>
      <w:pPr>
        <w:pStyle w:val="BodyText"/>
        <w:spacing w:before="36"/>
        <w:ind w:left="130"/>
      </w:pPr>
      <w:r>
        <w:rPr/>
        <w:t>（1）明确出现因视神经、脑干和脊髓损伤而导致的临床表现；</w:t>
      </w:r>
    </w:p>
    <w:p>
      <w:pPr>
        <w:pStyle w:val="BodyText"/>
        <w:spacing w:before="36"/>
        <w:ind w:left="130"/>
      </w:pPr>
      <w:r>
        <w:rPr/>
        <w:t>（2）神经系统散在的多部位病变；</w:t>
      </w:r>
    </w:p>
    <w:p>
      <w:pPr>
        <w:pStyle w:val="BodyText"/>
        <w:spacing w:before="36"/>
        <w:ind w:left="130"/>
      </w:pPr>
      <w:r>
        <w:rPr/>
        <w:t>（3）有明确的上述症状及神经损伤反复恶化、减轻的病史纪录。</w:t>
      </w:r>
    </w:p>
    <w:p>
      <w:pPr>
        <w:spacing w:after="0"/>
        <w:sectPr>
          <w:type w:val="continuous"/>
          <w:pgSz w:w="11910" w:h="16840"/>
          <w:pgMar w:top="440" w:bottom="280" w:left="1680" w:right="1240"/>
          <w:cols w:num="2" w:equalWidth="0">
            <w:col w:w="1714" w:space="40"/>
            <w:col w:w="7236"/>
          </w:cols>
        </w:sectPr>
      </w:pPr>
    </w:p>
    <w:p>
      <w:pPr>
        <w:pStyle w:val="BodyText"/>
        <w:spacing w:before="8"/>
      </w:pPr>
    </w:p>
    <w:p>
      <w:pPr>
        <w:spacing w:after="0"/>
        <w:sectPr>
          <w:type w:val="continuous"/>
          <w:pgSz w:w="11910" w:h="16840"/>
          <w:pgMar w:top="440" w:bottom="280" w:left="1680" w:right="1240"/>
        </w:sectPr>
      </w:pPr>
    </w:p>
    <w:p>
      <w:pPr>
        <w:pStyle w:val="Heading3"/>
        <w:spacing w:line="235" w:lineRule="auto"/>
      </w:pPr>
      <w:r>
        <w:rPr>
          <w:w w:val="95"/>
        </w:rPr>
        <w:t>严重的1 型糖</w:t>
      </w:r>
      <w:r>
        <w:rPr/>
        <w:t>尿病</w:t>
      </w:r>
    </w:p>
    <w:p>
      <w:pPr>
        <w:pStyle w:val="BodyText"/>
        <w:spacing w:line="273" w:lineRule="auto"/>
        <w:ind w:left="175" w:right="216"/>
        <w:jc w:val="both"/>
      </w:pPr>
      <w:r>
        <w:rPr/>
        <w:br w:type="column"/>
      </w:r>
      <w:r>
        <w:rPr>
          <w:spacing w:val="-11"/>
        </w:rPr>
        <w:t>严重的 </w:t>
      </w:r>
      <w:r>
        <w:rPr/>
        <w:t>1</w:t>
      </w:r>
      <w:r>
        <w:rPr>
          <w:spacing w:val="-10"/>
        </w:rPr>
        <w:t> 型糖尿病为由于胰岛素分泌绝对不足引起的慢性血糖升高，且已经</w:t>
      </w:r>
      <w:r>
        <w:rPr>
          <w:spacing w:val="-8"/>
        </w:rPr>
        <w:t>持续性地依赖外源性胰岛素维持 </w:t>
      </w:r>
      <w:r>
        <w:rPr/>
        <w:t>180</w:t>
      </w:r>
      <w:r>
        <w:rPr>
          <w:spacing w:val="-15"/>
        </w:rPr>
        <w:t> 日以上。须经血胰岛素测定、血 </w:t>
      </w:r>
      <w:r>
        <w:rPr/>
        <w:t>C</w:t>
      </w:r>
      <w:r>
        <w:rPr>
          <w:spacing w:val="-16"/>
        </w:rPr>
        <w:t> 肽测</w:t>
      </w:r>
      <w:r>
        <w:rPr>
          <w:spacing w:val="-15"/>
        </w:rPr>
        <w:t>定或尿 </w:t>
      </w:r>
      <w:r>
        <w:rPr/>
        <w:t>C</w:t>
      </w:r>
      <w:r>
        <w:rPr>
          <w:spacing w:val="-11"/>
        </w:rPr>
        <w:t> 肽测定，结果异常，并由内分泌科专科医生明确诊断。并须在本附</w:t>
      </w:r>
      <w:r>
        <w:rPr>
          <w:spacing w:val="-6"/>
        </w:rPr>
        <w:t>加险合同有效期内，满足下述至少 </w:t>
      </w:r>
      <w:r>
        <w:rPr/>
        <w:t>1</w:t>
      </w:r>
      <w:r>
        <w:rPr>
          <w:spacing w:val="-10"/>
        </w:rPr>
        <w:t> 个条件：</w:t>
      </w:r>
    </w:p>
    <w:p>
      <w:pPr>
        <w:pStyle w:val="BodyText"/>
        <w:spacing w:before="7"/>
        <w:ind w:left="176"/>
        <w:jc w:val="both"/>
      </w:pPr>
      <w:r>
        <w:rPr/>
        <w:t>（1）已出现增殖性视网膜病变；</w:t>
      </w:r>
    </w:p>
    <w:p>
      <w:pPr>
        <w:spacing w:after="0"/>
        <w:jc w:val="both"/>
        <w:sectPr>
          <w:type w:val="continuous"/>
          <w:pgSz w:w="11910" w:h="16840"/>
          <w:pgMar w:top="440" w:bottom="280" w:left="1680" w:right="1240"/>
          <w:cols w:num="2" w:equalWidth="0">
            <w:col w:w="1669" w:space="40"/>
            <w:col w:w="7281"/>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21"/>
        <w:gridCol w:w="7168"/>
      </w:tblGrid>
      <w:tr>
        <w:trPr>
          <w:trHeight w:val="715" w:hRule="atLeast"/>
        </w:trPr>
        <w:tc>
          <w:tcPr>
            <w:tcW w:w="837" w:type="dxa"/>
          </w:tcPr>
          <w:p>
            <w:pPr>
              <w:pStyle w:val="TableParagraph"/>
              <w:spacing w:line="240" w:lineRule="auto"/>
              <w:rPr>
                <w:rFonts w:ascii="Times New Roman"/>
                <w:sz w:val="20"/>
              </w:rPr>
            </w:pPr>
          </w:p>
        </w:tc>
        <w:tc>
          <w:tcPr>
            <w:tcW w:w="1821" w:type="dxa"/>
          </w:tcPr>
          <w:p>
            <w:pPr>
              <w:pStyle w:val="TableParagraph"/>
              <w:spacing w:line="240" w:lineRule="auto"/>
              <w:rPr>
                <w:rFonts w:ascii="Times New Roman"/>
                <w:sz w:val="20"/>
              </w:rPr>
            </w:pPr>
          </w:p>
        </w:tc>
        <w:tc>
          <w:tcPr>
            <w:tcW w:w="7168" w:type="dxa"/>
          </w:tcPr>
          <w:p>
            <w:pPr>
              <w:pStyle w:val="TableParagraph"/>
              <w:spacing w:line="211" w:lineRule="exact"/>
              <w:ind w:left="86"/>
              <w:rPr>
                <w:sz w:val="21"/>
              </w:rPr>
            </w:pPr>
            <w:r>
              <w:rPr>
                <w:sz w:val="21"/>
              </w:rPr>
              <w:t>（2）须植入心脏起搏器治疗心脏病；</w:t>
            </w:r>
          </w:p>
          <w:p>
            <w:pPr>
              <w:pStyle w:val="TableParagraph"/>
              <w:spacing w:line="240" w:lineRule="auto" w:before="37"/>
              <w:ind w:left="86"/>
              <w:rPr>
                <w:sz w:val="21"/>
              </w:rPr>
            </w:pPr>
            <w:r>
              <w:rPr>
                <w:sz w:val="21"/>
              </w:rPr>
              <w:t>（3）因坏疽需切除至少一个脚趾。</w:t>
            </w:r>
          </w:p>
        </w:tc>
      </w:tr>
      <w:tr>
        <w:trPr>
          <w:trHeight w:val="1265" w:hRule="atLeast"/>
        </w:trPr>
        <w:tc>
          <w:tcPr>
            <w:tcW w:w="837" w:type="dxa"/>
          </w:tcPr>
          <w:p>
            <w:pPr>
              <w:pStyle w:val="TableParagraph"/>
              <w:spacing w:line="240" w:lineRule="auto"/>
              <w:rPr>
                <w:rFonts w:ascii="Times New Roman"/>
                <w:sz w:val="20"/>
              </w:rPr>
            </w:pPr>
          </w:p>
        </w:tc>
        <w:tc>
          <w:tcPr>
            <w:tcW w:w="1821" w:type="dxa"/>
          </w:tcPr>
          <w:p>
            <w:pPr>
              <w:pStyle w:val="TableParagraph"/>
              <w:spacing w:line="235" w:lineRule="auto" w:before="132"/>
              <w:ind w:left="320" w:right="82"/>
              <w:jc w:val="both"/>
              <w:rPr>
                <w:rFonts w:ascii="等线" w:eastAsia="等线" w:hint="eastAsia"/>
                <w:b/>
                <w:sz w:val="24"/>
              </w:rPr>
            </w:pPr>
            <w:r>
              <w:rPr>
                <w:rFonts w:ascii="等线" w:eastAsia="等线" w:hint="eastAsia"/>
                <w:b/>
                <w:spacing w:val="32"/>
                <w:sz w:val="24"/>
              </w:rPr>
              <w:t>侵蚀性葡萄</w:t>
            </w:r>
            <w:r>
              <w:rPr>
                <w:rFonts w:ascii="等线" w:eastAsia="等线" w:hint="eastAsia"/>
                <w:b/>
                <w:spacing w:val="-72"/>
                <w:sz w:val="24"/>
              </w:rPr>
              <w:t>胎</w:t>
            </w:r>
            <w:r>
              <w:rPr>
                <w:rFonts w:ascii="等线" w:eastAsia="等线" w:hint="eastAsia"/>
                <w:b/>
                <w:sz w:val="24"/>
              </w:rPr>
              <w:t>（或称恶性葡萄胎）</w:t>
            </w:r>
          </w:p>
        </w:tc>
        <w:tc>
          <w:tcPr>
            <w:tcW w:w="7168" w:type="dxa"/>
          </w:tcPr>
          <w:p>
            <w:pPr>
              <w:pStyle w:val="TableParagraph"/>
              <w:spacing w:line="273" w:lineRule="auto" w:before="128"/>
              <w:ind w:left="86" w:right="197"/>
              <w:rPr>
                <w:sz w:val="21"/>
              </w:rPr>
            </w:pPr>
            <w:r>
              <w:rPr>
                <w:sz w:val="21"/>
              </w:rPr>
              <w:t>该类疾病是指异常增生的绒毛组织浸润性生长浸入子宫肌层或转移至其他器官或组织的葡萄胎，并已经进行化疗或手术治疗的。</w:t>
            </w:r>
          </w:p>
        </w:tc>
      </w:tr>
      <w:tr>
        <w:trPr>
          <w:trHeight w:val="6500" w:hRule="atLeast"/>
        </w:trPr>
        <w:tc>
          <w:tcPr>
            <w:tcW w:w="837" w:type="dxa"/>
          </w:tcPr>
          <w:p>
            <w:pPr>
              <w:pStyle w:val="TableParagraph"/>
              <w:spacing w:line="240" w:lineRule="auto"/>
              <w:rPr>
                <w:rFonts w:ascii="Times New Roman"/>
                <w:sz w:val="20"/>
              </w:rPr>
            </w:pPr>
          </w:p>
        </w:tc>
        <w:tc>
          <w:tcPr>
            <w:tcW w:w="1821" w:type="dxa"/>
          </w:tcPr>
          <w:p>
            <w:pPr>
              <w:pStyle w:val="TableParagraph"/>
              <w:spacing w:line="235" w:lineRule="auto" w:before="110"/>
              <w:ind w:left="320" w:right="82"/>
              <w:jc w:val="both"/>
              <w:rPr>
                <w:rFonts w:ascii="等线" w:eastAsia="等线" w:hint="eastAsia"/>
                <w:b/>
                <w:sz w:val="24"/>
              </w:rPr>
            </w:pPr>
            <w:r>
              <w:rPr>
                <w:rFonts w:ascii="等线" w:eastAsia="等线" w:hint="eastAsia"/>
                <w:b/>
                <w:sz w:val="24"/>
              </w:rPr>
              <w:t>系统性红斑狼疮并发重度的肾功能损害</w:t>
            </w:r>
          </w:p>
        </w:tc>
        <w:tc>
          <w:tcPr>
            <w:tcW w:w="7168" w:type="dxa"/>
          </w:tcPr>
          <w:p>
            <w:pPr>
              <w:pStyle w:val="TableParagraph"/>
              <w:spacing w:line="240" w:lineRule="auto" w:before="106"/>
              <w:ind w:left="86"/>
              <w:rPr>
                <w:sz w:val="21"/>
              </w:rPr>
            </w:pPr>
            <w:r>
              <w:rPr>
                <w:sz w:val="21"/>
              </w:rPr>
              <w:t>该类疾病保障仅限于女性。</w:t>
            </w:r>
          </w:p>
          <w:p>
            <w:pPr>
              <w:pStyle w:val="TableParagraph"/>
              <w:spacing w:line="273" w:lineRule="auto" w:before="36"/>
              <w:ind w:left="86" w:right="196"/>
              <w:jc w:val="both"/>
              <w:rPr>
                <w:sz w:val="21"/>
              </w:rPr>
            </w:pPr>
            <w:r>
              <w:rPr>
                <w:spacing w:val="-6"/>
                <w:sz w:val="21"/>
              </w:rPr>
              <w:t>该类疾病是指一种自身免疫性结缔组织病，于体内有大量致病性自身抗体和</w:t>
            </w:r>
            <w:r>
              <w:rPr>
                <w:spacing w:val="-9"/>
                <w:sz w:val="21"/>
              </w:rPr>
              <w:t>免疫复合物，造成组织损伤。系统性红斑狼疮的诊断必须经专科医生明确诊</w:t>
            </w:r>
            <w:r>
              <w:rPr>
                <w:spacing w:val="-5"/>
                <w:sz w:val="21"/>
              </w:rPr>
              <w:t>断，并须同时满足下列条件：</w:t>
            </w:r>
          </w:p>
          <w:p>
            <w:pPr>
              <w:pStyle w:val="TableParagraph"/>
              <w:spacing w:line="240" w:lineRule="auto" w:before="7"/>
              <w:ind w:left="86"/>
              <w:jc w:val="both"/>
              <w:rPr>
                <w:sz w:val="21"/>
              </w:rPr>
            </w:pPr>
            <w:r>
              <w:rPr>
                <w:sz w:val="21"/>
              </w:rPr>
              <w:t>（1）临床表现至少具备下列条件中的 4 个：</w:t>
            </w:r>
          </w:p>
          <w:p>
            <w:pPr>
              <w:pStyle w:val="TableParagraph"/>
              <w:spacing w:line="240" w:lineRule="auto" w:before="37"/>
              <w:ind w:left="297"/>
              <w:rPr>
                <w:sz w:val="21"/>
              </w:rPr>
            </w:pPr>
            <w:r>
              <w:rPr>
                <w:sz w:val="21"/>
              </w:rPr>
              <w:t>① 蝶形红斑或盘形红斑；</w:t>
            </w:r>
          </w:p>
          <w:p>
            <w:pPr>
              <w:pStyle w:val="TableParagraph"/>
              <w:spacing w:line="240" w:lineRule="auto" w:before="37"/>
              <w:ind w:left="297"/>
              <w:rPr>
                <w:sz w:val="21"/>
              </w:rPr>
            </w:pPr>
            <w:r>
              <w:rPr>
                <w:sz w:val="21"/>
              </w:rPr>
              <w:t>② 光敏感；</w:t>
            </w:r>
          </w:p>
          <w:p>
            <w:pPr>
              <w:pStyle w:val="TableParagraph"/>
              <w:spacing w:line="240" w:lineRule="auto" w:before="37"/>
              <w:ind w:left="297"/>
              <w:rPr>
                <w:sz w:val="21"/>
              </w:rPr>
            </w:pPr>
            <w:r>
              <w:rPr>
                <w:sz w:val="21"/>
              </w:rPr>
              <w:t>③ 口鼻腔黏膜溃疡；</w:t>
            </w:r>
          </w:p>
          <w:p>
            <w:pPr>
              <w:pStyle w:val="TableParagraph"/>
              <w:spacing w:line="240" w:lineRule="auto" w:before="37"/>
              <w:ind w:left="297"/>
              <w:rPr>
                <w:sz w:val="21"/>
              </w:rPr>
            </w:pPr>
            <w:r>
              <w:rPr>
                <w:sz w:val="21"/>
              </w:rPr>
              <w:t>④ 非畸形性关节炎或多关节痛；</w:t>
            </w:r>
          </w:p>
          <w:p>
            <w:pPr>
              <w:pStyle w:val="TableParagraph"/>
              <w:spacing w:line="240" w:lineRule="auto" w:before="37"/>
              <w:ind w:left="297"/>
              <w:rPr>
                <w:sz w:val="21"/>
              </w:rPr>
            </w:pPr>
            <w:r>
              <w:rPr>
                <w:sz w:val="21"/>
              </w:rPr>
              <w:t>⑤ 胸膜炎或心包炎；</w:t>
            </w:r>
          </w:p>
          <w:p>
            <w:pPr>
              <w:pStyle w:val="TableParagraph"/>
              <w:spacing w:line="240" w:lineRule="auto" w:before="37"/>
              <w:ind w:left="297"/>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7"/>
              <w:ind w:left="640" w:right="198" w:hanging="315"/>
              <w:rPr>
                <w:sz w:val="21"/>
              </w:rPr>
            </w:pPr>
            <w:r>
              <w:rPr>
                <w:spacing w:val="-1"/>
                <w:sz w:val="21"/>
              </w:rPr>
              <w:t>⑦ 血象异常</w:t>
            </w:r>
            <w:r>
              <w:rPr>
                <w:spacing w:val="-3"/>
                <w:sz w:val="21"/>
              </w:rPr>
              <w:t>（</w:t>
            </w:r>
            <w:r>
              <w:rPr>
                <w:spacing w:val="-10"/>
                <w:sz w:val="21"/>
              </w:rPr>
              <w:t>白细胞小于 </w:t>
            </w:r>
            <w:r>
              <w:rPr>
                <w:sz w:val="21"/>
              </w:rPr>
              <w:t>4000/μl</w:t>
            </w:r>
            <w:r>
              <w:rPr>
                <w:spacing w:val="-14"/>
                <w:sz w:val="21"/>
              </w:rPr>
              <w:t> 或血小板小于 </w:t>
            </w:r>
            <w:r>
              <w:rPr>
                <w:sz w:val="21"/>
              </w:rPr>
              <w:t>100000/μl</w:t>
            </w:r>
            <w:r>
              <w:rPr>
                <w:spacing w:val="-11"/>
                <w:sz w:val="21"/>
              </w:rPr>
              <w:t> 或溶血性</w:t>
            </w:r>
            <w:r>
              <w:rPr>
                <w:sz w:val="21"/>
              </w:rPr>
              <w:t>贫血</w:t>
            </w:r>
            <w:r>
              <w:rPr>
                <w:spacing w:val="-109"/>
                <w:sz w:val="21"/>
              </w:rPr>
              <w:t>）</w:t>
            </w:r>
            <w:r>
              <w:rPr>
                <w:sz w:val="21"/>
              </w:rPr>
              <w:t>。</w:t>
            </w:r>
          </w:p>
          <w:p>
            <w:pPr>
              <w:pStyle w:val="TableParagraph"/>
              <w:spacing w:line="240" w:lineRule="auto" w:before="7"/>
              <w:ind w:left="86"/>
              <w:jc w:val="both"/>
              <w:rPr>
                <w:sz w:val="21"/>
              </w:rPr>
            </w:pPr>
            <w:r>
              <w:rPr>
                <w:sz w:val="21"/>
              </w:rPr>
              <w:t>（2）检测结果至少具备下列条件中的 2 个：</w:t>
            </w:r>
          </w:p>
          <w:p>
            <w:pPr>
              <w:pStyle w:val="TableParagraph"/>
              <w:spacing w:line="240" w:lineRule="auto" w:before="36"/>
              <w:ind w:left="297"/>
              <w:rPr>
                <w:sz w:val="21"/>
              </w:rPr>
            </w:pPr>
            <w:r>
              <w:rPr>
                <w:sz w:val="21"/>
              </w:rPr>
              <w:t>① 抗 dsDNA 抗体阳性；</w:t>
            </w:r>
          </w:p>
          <w:p>
            <w:pPr>
              <w:pStyle w:val="TableParagraph"/>
              <w:spacing w:line="240" w:lineRule="auto" w:before="36"/>
              <w:ind w:left="297"/>
              <w:rPr>
                <w:sz w:val="21"/>
              </w:rPr>
            </w:pPr>
            <w:r>
              <w:rPr>
                <w:sz w:val="21"/>
              </w:rPr>
              <w:t>② 抗 Sm 抗体阳性；</w:t>
            </w:r>
          </w:p>
          <w:p>
            <w:pPr>
              <w:pStyle w:val="TableParagraph"/>
              <w:spacing w:line="240" w:lineRule="auto" w:before="36"/>
              <w:ind w:left="297"/>
              <w:rPr>
                <w:sz w:val="21"/>
              </w:rPr>
            </w:pPr>
            <w:r>
              <w:rPr>
                <w:sz w:val="21"/>
              </w:rPr>
              <w:t>③ 抗核抗体阳性；</w:t>
            </w:r>
          </w:p>
          <w:p>
            <w:pPr>
              <w:pStyle w:val="TableParagraph"/>
              <w:spacing w:line="240" w:lineRule="auto" w:before="36"/>
              <w:ind w:left="297"/>
              <w:rPr>
                <w:sz w:val="21"/>
              </w:rPr>
            </w:pPr>
            <w:r>
              <w:rPr>
                <w:sz w:val="21"/>
              </w:rPr>
              <w:t>④ 皮肤狼疮带试验（非病损部位）或肾活检阳性；</w:t>
            </w:r>
          </w:p>
          <w:p>
            <w:pPr>
              <w:pStyle w:val="TableParagraph"/>
              <w:spacing w:line="240" w:lineRule="auto" w:before="36"/>
              <w:ind w:left="297"/>
              <w:rPr>
                <w:sz w:val="21"/>
              </w:rPr>
            </w:pPr>
            <w:r>
              <w:rPr>
                <w:sz w:val="21"/>
              </w:rPr>
              <w:t>⑤ C3 低于正常值。</w:t>
            </w:r>
          </w:p>
          <w:p>
            <w:pPr>
              <w:pStyle w:val="TableParagraph"/>
              <w:spacing w:line="240" w:lineRule="auto" w:before="36"/>
              <w:ind w:left="86"/>
              <w:jc w:val="both"/>
              <w:rPr>
                <w:sz w:val="21"/>
              </w:rPr>
            </w:pPr>
            <w:r>
              <w:rPr>
                <w:sz w:val="21"/>
              </w:rPr>
              <w:t>（3）狼疮肾炎致使肾功能减弱，内生肌酐清除率低于每分钟 30ml。</w:t>
            </w:r>
          </w:p>
        </w:tc>
      </w:tr>
      <w:tr>
        <w:trPr>
          <w:trHeight w:val="2468" w:hRule="atLeast"/>
        </w:trPr>
        <w:tc>
          <w:tcPr>
            <w:tcW w:w="837" w:type="dxa"/>
          </w:tcPr>
          <w:p>
            <w:pPr>
              <w:pStyle w:val="TableParagraph"/>
              <w:spacing w:line="240" w:lineRule="auto"/>
              <w:rPr>
                <w:rFonts w:ascii="Times New Roman"/>
                <w:sz w:val="20"/>
              </w:rPr>
            </w:pPr>
          </w:p>
        </w:tc>
        <w:tc>
          <w:tcPr>
            <w:tcW w:w="1821" w:type="dxa"/>
          </w:tcPr>
          <w:p>
            <w:pPr>
              <w:pStyle w:val="TableParagraph"/>
              <w:spacing w:line="235" w:lineRule="auto" w:before="133"/>
              <w:ind w:left="320" w:right="82"/>
              <w:rPr>
                <w:rFonts w:ascii="等线" w:eastAsia="等线" w:hint="eastAsia"/>
                <w:b/>
                <w:sz w:val="24"/>
              </w:rPr>
            </w:pPr>
            <w:r>
              <w:rPr>
                <w:rFonts w:ascii="等线" w:eastAsia="等线" w:hint="eastAsia"/>
                <w:b/>
                <w:sz w:val="24"/>
              </w:rPr>
              <w:t>严重的原发</w:t>
            </w:r>
            <w:r>
              <w:rPr>
                <w:rFonts w:ascii="等线" w:eastAsia="等线" w:hint="eastAsia"/>
                <w:b/>
                <w:w w:val="105"/>
                <w:sz w:val="24"/>
              </w:rPr>
              <w:t>性心ft病</w:t>
            </w:r>
          </w:p>
        </w:tc>
        <w:tc>
          <w:tcPr>
            <w:tcW w:w="7168" w:type="dxa"/>
          </w:tcPr>
          <w:p>
            <w:pPr>
              <w:pStyle w:val="TableParagraph"/>
              <w:spacing w:line="273" w:lineRule="auto" w:before="128"/>
              <w:ind w:left="85" w:right="196"/>
              <w:jc w:val="both"/>
              <w:rPr>
                <w:sz w:val="21"/>
              </w:rPr>
            </w:pPr>
            <w:r>
              <w:rPr>
                <w:spacing w:val="-6"/>
                <w:sz w:val="21"/>
              </w:rPr>
              <w:t>指不明原因引起的一类心肌病变，包括原发性扩张型心肌病、原发性肥厚型</w:t>
            </w:r>
            <w:r>
              <w:rPr>
                <w:spacing w:val="-7"/>
                <w:sz w:val="21"/>
              </w:rPr>
              <w:t>心肌病及原发性限制型心肌病三种，病变必须已造成事实上心室功能障碍而</w:t>
            </w:r>
            <w:r>
              <w:rPr>
                <w:spacing w:val="-10"/>
                <w:sz w:val="21"/>
              </w:rPr>
              <w:t>出现明显的心功能衰竭</w:t>
            </w:r>
            <w:r>
              <w:rPr>
                <w:spacing w:val="-3"/>
                <w:sz w:val="21"/>
              </w:rPr>
              <w:t>（指按照美国纽约心脏病学会提出的心功能状态分级</w:t>
            </w:r>
            <w:r>
              <w:rPr>
                <w:spacing w:val="-1"/>
                <w:w w:val="100"/>
                <w:sz w:val="21"/>
              </w:rPr>
              <w:t>的标准判定，心功能状态已达到Ⅳ级</w:t>
            </w:r>
            <w:r>
              <w:rPr>
                <w:spacing w:val="-106"/>
                <w:w w:val="100"/>
                <w:sz w:val="21"/>
              </w:rPr>
              <w:t>）</w:t>
            </w:r>
            <w:r>
              <w:rPr>
                <w:w w:val="100"/>
                <w:sz w:val="21"/>
              </w:rPr>
              <w:t>，且有相关住院医疗记录显示Ⅳ级心</w:t>
            </w:r>
            <w:r>
              <w:rPr>
                <w:spacing w:val="-7"/>
                <w:sz w:val="21"/>
              </w:rPr>
              <w:t>功能衰竭状态已持续至少 </w:t>
            </w:r>
            <w:r>
              <w:rPr>
                <w:sz w:val="21"/>
              </w:rPr>
              <w:t>180</w:t>
            </w:r>
            <w:r>
              <w:rPr>
                <w:spacing w:val="-17"/>
                <w:sz w:val="21"/>
              </w:rPr>
              <w:t> 日。</w:t>
            </w:r>
          </w:p>
          <w:p>
            <w:pPr>
              <w:pStyle w:val="TableParagraph"/>
              <w:spacing w:line="273" w:lineRule="auto" w:before="7"/>
              <w:ind w:left="86" w:right="196"/>
              <w:jc w:val="both"/>
              <w:rPr>
                <w:sz w:val="21"/>
              </w:rPr>
            </w:pPr>
            <w:r>
              <w:rPr>
                <w:spacing w:val="-7"/>
                <w:sz w:val="21"/>
              </w:rPr>
              <w:t>本病须经专科医生明确诊断。</w:t>
            </w:r>
            <w:r>
              <w:rPr>
                <w:spacing w:val="-3"/>
                <w:sz w:val="21"/>
                <w:shd w:fill="DADADA" w:color="auto" w:val="clear"/>
              </w:rPr>
              <w:t>继发于全身性疾病或其它器官系统疾病造成的心肌病变不在保障范围</w:t>
            </w:r>
            <w:r>
              <w:rPr>
                <w:spacing w:val="-105"/>
                <w:sz w:val="21"/>
                <w:shd w:fill="DADADA" w:color="auto" w:val="clear"/>
              </w:rPr>
              <w:t>内。</w:t>
            </w:r>
          </w:p>
        </w:tc>
      </w:tr>
      <w:tr>
        <w:trPr>
          <w:trHeight w:val="2495" w:hRule="atLeast"/>
        </w:trPr>
        <w:tc>
          <w:tcPr>
            <w:tcW w:w="837" w:type="dxa"/>
          </w:tcPr>
          <w:p>
            <w:pPr>
              <w:pStyle w:val="TableParagraph"/>
              <w:spacing w:line="240" w:lineRule="auto" w:before="129"/>
              <w:ind w:left="200"/>
              <w:rPr>
                <w:b/>
                <w:sz w:val="21"/>
              </w:rPr>
            </w:pPr>
            <w:r>
              <w:rPr>
                <w:b/>
                <w:sz w:val="21"/>
              </w:rPr>
              <w:t>8.3</w:t>
            </w:r>
          </w:p>
        </w:tc>
        <w:tc>
          <w:tcPr>
            <w:tcW w:w="1821" w:type="dxa"/>
          </w:tcPr>
          <w:p>
            <w:pPr>
              <w:pStyle w:val="TableParagraph"/>
              <w:spacing w:line="240" w:lineRule="auto" w:before="129"/>
              <w:ind w:left="320"/>
              <w:rPr>
                <w:b/>
                <w:sz w:val="21"/>
              </w:rPr>
            </w:pPr>
            <w:r>
              <w:rPr>
                <w:b/>
                <w:sz w:val="21"/>
              </w:rPr>
              <w:t>专科医生</w:t>
            </w:r>
          </w:p>
        </w:tc>
        <w:tc>
          <w:tcPr>
            <w:tcW w:w="7168" w:type="dxa"/>
          </w:tcPr>
          <w:p>
            <w:pPr>
              <w:pStyle w:val="TableParagraph"/>
              <w:spacing w:line="240" w:lineRule="auto" w:before="129"/>
              <w:ind w:left="86"/>
              <w:rPr>
                <w:sz w:val="21"/>
              </w:rPr>
            </w:pPr>
            <w:r>
              <w:rPr>
                <w:sz w:val="21"/>
              </w:rPr>
              <w:t>专科医生应当同时满足以下四项资格条件：</w:t>
            </w:r>
          </w:p>
          <w:p>
            <w:pPr>
              <w:pStyle w:val="TableParagraph"/>
              <w:spacing w:line="240" w:lineRule="auto" w:before="36"/>
              <w:ind w:left="86"/>
              <w:rPr>
                <w:sz w:val="21"/>
              </w:rPr>
            </w:pPr>
            <w:r>
              <w:rPr>
                <w:sz w:val="21"/>
              </w:rPr>
              <w:t>（1）具有有效的中华人民共和国《医师资格证书》；</w:t>
            </w:r>
          </w:p>
          <w:p>
            <w:pPr>
              <w:pStyle w:val="TableParagraph"/>
              <w:spacing w:line="273" w:lineRule="auto" w:before="36"/>
              <w:ind w:left="611" w:right="199"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11" w:right="199" w:hanging="526"/>
              <w:rPr>
                <w:sz w:val="21"/>
              </w:rPr>
            </w:pPr>
            <w:r>
              <w:rPr>
                <w:sz w:val="21"/>
              </w:rPr>
              <w:t>（3）具有有效的中华人民共和国主治医师或主治医师以上职称的《医师职称证书》；</w:t>
            </w:r>
          </w:p>
          <w:p>
            <w:pPr>
              <w:pStyle w:val="TableParagraph"/>
              <w:spacing w:line="240" w:lineRule="auto" w:before="7"/>
              <w:ind w:left="86"/>
              <w:rPr>
                <w:sz w:val="21"/>
              </w:rPr>
            </w:pPr>
            <w:r>
              <w:rPr>
                <w:sz w:val="21"/>
              </w:rPr>
              <w:t>（4）在二级或二级以上医院的相应科室从事临床工作三年以上。</w:t>
            </w:r>
          </w:p>
        </w:tc>
      </w:tr>
      <w:tr>
        <w:trPr>
          <w:trHeight w:val="742" w:hRule="atLeast"/>
        </w:trPr>
        <w:tc>
          <w:tcPr>
            <w:tcW w:w="837" w:type="dxa"/>
          </w:tcPr>
          <w:p>
            <w:pPr>
              <w:pStyle w:val="TableParagraph"/>
              <w:spacing w:line="240" w:lineRule="auto" w:before="156"/>
              <w:ind w:left="200"/>
              <w:rPr>
                <w:b/>
                <w:sz w:val="21"/>
              </w:rPr>
            </w:pPr>
            <w:r>
              <w:rPr>
                <w:b/>
                <w:sz w:val="21"/>
              </w:rPr>
              <w:t>8.4</w:t>
            </w:r>
          </w:p>
        </w:tc>
        <w:tc>
          <w:tcPr>
            <w:tcW w:w="1821" w:type="dxa"/>
          </w:tcPr>
          <w:p>
            <w:pPr>
              <w:pStyle w:val="TableParagraph"/>
              <w:spacing w:line="310" w:lineRule="atLeast" w:before="121"/>
              <w:ind w:left="320" w:right="104"/>
              <w:rPr>
                <w:b/>
                <w:sz w:val="21"/>
              </w:rPr>
            </w:pPr>
            <w:r>
              <w:rPr>
                <w:b/>
                <w:sz w:val="21"/>
              </w:rPr>
              <w:t>肢体机能完全丧失</w:t>
            </w:r>
          </w:p>
        </w:tc>
        <w:tc>
          <w:tcPr>
            <w:tcW w:w="7168" w:type="dxa"/>
          </w:tcPr>
          <w:p>
            <w:pPr>
              <w:pStyle w:val="TableParagraph"/>
              <w:spacing w:line="310" w:lineRule="atLeast" w:before="121"/>
              <w:ind w:left="86" w:right="147"/>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top="1160" w:bottom="280" w:left="720" w:right="11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30"/>
      </w:tblGrid>
      <w:tr>
        <w:trPr>
          <w:trHeight w:val="1679" w:hRule="atLeast"/>
        </w:trPr>
        <w:tc>
          <w:tcPr>
            <w:tcW w:w="890" w:type="dxa"/>
          </w:tcPr>
          <w:p>
            <w:pPr>
              <w:pStyle w:val="TableParagraph"/>
              <w:spacing w:line="211" w:lineRule="exact"/>
              <w:ind w:left="74" w:right="245"/>
              <w:jc w:val="center"/>
              <w:rPr>
                <w:b/>
                <w:sz w:val="21"/>
              </w:rPr>
            </w:pPr>
            <w:r>
              <w:rPr>
                <w:b/>
                <w:sz w:val="21"/>
              </w:rPr>
              <w:t>8.5</w:t>
            </w:r>
          </w:p>
        </w:tc>
        <w:tc>
          <w:tcPr>
            <w:tcW w:w="1758" w:type="dxa"/>
          </w:tcPr>
          <w:p>
            <w:pPr>
              <w:pStyle w:val="TableParagraph"/>
              <w:spacing w:line="211" w:lineRule="exact"/>
              <w:ind w:left="267"/>
              <w:rPr>
                <w:b/>
                <w:sz w:val="21"/>
              </w:rPr>
            </w:pPr>
            <w:r>
              <w:rPr>
                <w:b/>
                <w:sz w:val="21"/>
              </w:rPr>
              <w:t>语言能力或咀</w:t>
            </w:r>
          </w:p>
          <w:p>
            <w:pPr>
              <w:pStyle w:val="TableParagraph"/>
              <w:spacing w:line="273" w:lineRule="auto" w:before="37"/>
              <w:ind w:left="267" w:right="94"/>
              <w:rPr>
                <w:b/>
                <w:sz w:val="21"/>
              </w:rPr>
            </w:pPr>
            <w:r>
              <w:rPr>
                <w:b/>
                <w:sz w:val="21"/>
              </w:rPr>
              <w:t>嚼吞咽能力完全丧失</w:t>
            </w:r>
          </w:p>
        </w:tc>
        <w:tc>
          <w:tcPr>
            <w:tcW w:w="7230" w:type="dxa"/>
          </w:tcPr>
          <w:p>
            <w:pPr>
              <w:pStyle w:val="TableParagraph"/>
              <w:spacing w:line="211" w:lineRule="exact"/>
              <w:ind w:left="95"/>
              <w:rPr>
                <w:sz w:val="21"/>
              </w:rPr>
            </w:pPr>
            <w:r>
              <w:rPr>
                <w:sz w:val="21"/>
              </w:rPr>
              <w:t>语言能力完全丧失，指无法发出四种语音（包括口唇音、齿舌音、口盖音和</w:t>
            </w:r>
          </w:p>
          <w:p>
            <w:pPr>
              <w:pStyle w:val="TableParagraph"/>
              <w:spacing w:line="273" w:lineRule="auto" w:before="37"/>
              <w:ind w:left="95" w:right="251"/>
              <w:rPr>
                <w:sz w:val="21"/>
              </w:rPr>
            </w:pPr>
            <w:r>
              <w:rPr>
                <w:spacing w:val="-1"/>
                <w:sz w:val="21"/>
              </w:rPr>
              <w:t>喉头音</w:t>
            </w:r>
            <w:r>
              <w:rPr>
                <w:spacing w:val="-20"/>
                <w:sz w:val="21"/>
              </w:rPr>
              <w:t>）</w:t>
            </w:r>
            <w:r>
              <w:rPr>
                <w:spacing w:val="-7"/>
                <w:sz w:val="21"/>
              </w:rPr>
              <w:t>中的任何三种、或声带全部切除，或因大脑语言中枢受伤害而患失语症。</w:t>
            </w:r>
          </w:p>
          <w:p>
            <w:pPr>
              <w:pStyle w:val="TableParagraph"/>
              <w:spacing w:line="273" w:lineRule="auto" w:before="7"/>
              <w:ind w:left="95" w:right="248"/>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2495" w:hRule="atLeast"/>
        </w:trPr>
        <w:tc>
          <w:tcPr>
            <w:tcW w:w="890" w:type="dxa"/>
          </w:tcPr>
          <w:p>
            <w:pPr>
              <w:pStyle w:val="TableParagraph"/>
              <w:spacing w:line="240" w:lineRule="auto" w:before="157"/>
              <w:ind w:left="74" w:right="245"/>
              <w:jc w:val="center"/>
              <w:rPr>
                <w:b/>
                <w:sz w:val="21"/>
              </w:rPr>
            </w:pPr>
            <w:r>
              <w:rPr>
                <w:b/>
                <w:sz w:val="21"/>
              </w:rPr>
              <w:t>8.6</w:t>
            </w:r>
          </w:p>
        </w:tc>
        <w:tc>
          <w:tcPr>
            <w:tcW w:w="1758" w:type="dxa"/>
          </w:tcPr>
          <w:p>
            <w:pPr>
              <w:pStyle w:val="TableParagraph"/>
              <w:spacing w:line="273" w:lineRule="auto" w:before="157"/>
              <w:ind w:left="267" w:right="94"/>
              <w:rPr>
                <w:b/>
                <w:sz w:val="21"/>
              </w:rPr>
            </w:pPr>
            <w:r>
              <w:rPr>
                <w:b/>
                <w:sz w:val="21"/>
              </w:rPr>
              <w:t>六项基本日常生活活动</w:t>
            </w:r>
          </w:p>
        </w:tc>
        <w:tc>
          <w:tcPr>
            <w:tcW w:w="7230" w:type="dxa"/>
          </w:tcPr>
          <w:p>
            <w:pPr>
              <w:pStyle w:val="TableParagraph"/>
              <w:spacing w:line="240" w:lineRule="auto" w:before="157"/>
              <w:ind w:left="95"/>
              <w:rPr>
                <w:sz w:val="21"/>
              </w:rPr>
            </w:pPr>
            <w:r>
              <w:rPr>
                <w:sz w:val="21"/>
              </w:rPr>
              <w:t>六项基本日常生活活动是指：</w:t>
            </w:r>
          </w:p>
          <w:p>
            <w:pPr>
              <w:pStyle w:val="TableParagraph"/>
              <w:spacing w:line="240" w:lineRule="auto" w:before="37"/>
              <w:ind w:left="96"/>
              <w:rPr>
                <w:sz w:val="21"/>
              </w:rPr>
            </w:pPr>
            <w:r>
              <w:rPr>
                <w:sz w:val="21"/>
              </w:rPr>
              <w:t>（1）穿衣：自己能够穿衣及脱衣；</w:t>
            </w:r>
          </w:p>
          <w:p>
            <w:pPr>
              <w:pStyle w:val="TableParagraph"/>
              <w:spacing w:line="240" w:lineRule="auto" w:before="37"/>
              <w:ind w:left="96"/>
              <w:rPr>
                <w:sz w:val="21"/>
              </w:rPr>
            </w:pPr>
            <w:r>
              <w:rPr>
                <w:sz w:val="21"/>
              </w:rPr>
              <w:t>（2）移动：自己从一个房间到另一个房间；</w:t>
            </w:r>
          </w:p>
          <w:p>
            <w:pPr>
              <w:pStyle w:val="TableParagraph"/>
              <w:spacing w:line="240" w:lineRule="auto" w:before="37"/>
              <w:ind w:left="96"/>
              <w:rPr>
                <w:sz w:val="21"/>
              </w:rPr>
            </w:pPr>
            <w:r>
              <w:rPr>
                <w:sz w:val="21"/>
              </w:rPr>
              <w:t>（3）行动：自己上下床或上下轮椅；</w:t>
            </w:r>
          </w:p>
          <w:p>
            <w:pPr>
              <w:pStyle w:val="TableParagraph"/>
              <w:spacing w:line="240" w:lineRule="auto" w:before="37"/>
              <w:ind w:left="96"/>
              <w:rPr>
                <w:sz w:val="21"/>
              </w:rPr>
            </w:pPr>
            <w:r>
              <w:rPr>
                <w:sz w:val="21"/>
              </w:rPr>
              <w:t>（4）如厕：自己控制进行大小便；</w:t>
            </w:r>
          </w:p>
          <w:p>
            <w:pPr>
              <w:pStyle w:val="TableParagraph"/>
              <w:spacing w:line="240" w:lineRule="auto" w:before="37"/>
              <w:ind w:left="96"/>
              <w:rPr>
                <w:sz w:val="21"/>
              </w:rPr>
            </w:pPr>
            <w:r>
              <w:rPr>
                <w:sz w:val="21"/>
              </w:rPr>
              <w:t>（5）进食：自己从已准备好的碗或碟中取食物放入口中；</w:t>
            </w:r>
          </w:p>
          <w:p>
            <w:pPr>
              <w:pStyle w:val="TableParagraph"/>
              <w:spacing w:line="240" w:lineRule="auto" w:before="37"/>
              <w:ind w:left="96"/>
              <w:rPr>
                <w:sz w:val="21"/>
              </w:rPr>
            </w:pPr>
            <w:r>
              <w:rPr>
                <w:sz w:val="21"/>
              </w:rPr>
              <w:t>（6）洗澡：自己进行淋浴或盆浴。</w:t>
            </w:r>
          </w:p>
        </w:tc>
      </w:tr>
      <w:tr>
        <w:trPr>
          <w:trHeight w:val="908" w:hRule="atLeast"/>
        </w:trPr>
        <w:tc>
          <w:tcPr>
            <w:tcW w:w="890" w:type="dxa"/>
          </w:tcPr>
          <w:p>
            <w:pPr>
              <w:pStyle w:val="TableParagraph"/>
              <w:spacing w:line="240" w:lineRule="auto" w:before="128"/>
              <w:ind w:left="74" w:right="245"/>
              <w:jc w:val="center"/>
              <w:rPr>
                <w:b/>
                <w:sz w:val="21"/>
              </w:rPr>
            </w:pPr>
            <w:r>
              <w:rPr>
                <w:b/>
                <w:sz w:val="21"/>
              </w:rPr>
              <w:t>8.7</w:t>
            </w:r>
          </w:p>
        </w:tc>
        <w:tc>
          <w:tcPr>
            <w:tcW w:w="1758" w:type="dxa"/>
          </w:tcPr>
          <w:p>
            <w:pPr>
              <w:pStyle w:val="TableParagraph"/>
              <w:spacing w:line="240" w:lineRule="auto" w:before="128"/>
              <w:ind w:left="267"/>
              <w:rPr>
                <w:b/>
                <w:sz w:val="21"/>
              </w:rPr>
            </w:pPr>
            <w:r>
              <w:rPr>
                <w:b/>
                <w:sz w:val="21"/>
              </w:rPr>
              <w:t>永久不可逆</w:t>
            </w:r>
          </w:p>
        </w:tc>
        <w:tc>
          <w:tcPr>
            <w:tcW w:w="7230" w:type="dxa"/>
          </w:tcPr>
          <w:p>
            <w:pPr>
              <w:pStyle w:val="TableParagraph"/>
              <w:spacing w:line="273" w:lineRule="auto" w:before="128"/>
              <w:ind w:left="95" w:right="248"/>
              <w:rPr>
                <w:sz w:val="21"/>
              </w:rPr>
            </w:pPr>
            <w:r>
              <w:rPr>
                <w:spacing w:val="-7"/>
                <w:sz w:val="21"/>
              </w:rPr>
              <w:t>指自疾病确诊或意外伤害发生之日起，经过积极治疗 </w:t>
            </w:r>
            <w:r>
              <w:rPr>
                <w:sz w:val="21"/>
              </w:rPr>
              <w:t>180</w:t>
            </w:r>
            <w:r>
              <w:rPr>
                <w:spacing w:val="-10"/>
                <w:sz w:val="21"/>
              </w:rPr>
              <w:t> 日后，仍无法通过</w:t>
            </w:r>
            <w:r>
              <w:rPr>
                <w:spacing w:val="-5"/>
                <w:sz w:val="21"/>
              </w:rPr>
              <w:t>现有医疗手段恢复。</w:t>
            </w:r>
          </w:p>
        </w:tc>
      </w:tr>
      <w:tr>
        <w:trPr>
          <w:trHeight w:val="2780" w:hRule="atLeast"/>
        </w:trPr>
        <w:tc>
          <w:tcPr>
            <w:tcW w:w="890" w:type="dxa"/>
          </w:tcPr>
          <w:p>
            <w:pPr>
              <w:pStyle w:val="TableParagraph"/>
              <w:spacing w:line="240" w:lineRule="auto" w:before="129"/>
              <w:ind w:left="74" w:right="245"/>
              <w:jc w:val="center"/>
              <w:rPr>
                <w:b/>
                <w:sz w:val="21"/>
              </w:rPr>
            </w:pPr>
            <w:r>
              <w:rPr>
                <w:b/>
                <w:sz w:val="21"/>
              </w:rPr>
              <w:t>8.8</w:t>
            </w:r>
          </w:p>
        </w:tc>
        <w:tc>
          <w:tcPr>
            <w:tcW w:w="1758" w:type="dxa"/>
          </w:tcPr>
          <w:p>
            <w:pPr>
              <w:pStyle w:val="TableParagraph"/>
              <w:spacing w:line="273" w:lineRule="auto" w:before="129"/>
              <w:ind w:left="267" w:right="94"/>
              <w:rPr>
                <w:b/>
                <w:sz w:val="21"/>
              </w:rPr>
            </w:pPr>
            <w:r>
              <w:rPr>
                <w:b/>
                <w:sz w:val="21"/>
              </w:rPr>
              <w:t>心功能状态分级</w:t>
            </w:r>
          </w:p>
        </w:tc>
        <w:tc>
          <w:tcPr>
            <w:tcW w:w="7230" w:type="dxa"/>
          </w:tcPr>
          <w:p>
            <w:pPr>
              <w:pStyle w:val="TableParagraph"/>
              <w:spacing w:line="240" w:lineRule="auto" w:before="129"/>
              <w:ind w:left="95"/>
              <w:rPr>
                <w:sz w:val="21"/>
              </w:rPr>
            </w:pPr>
            <w:r>
              <w:rPr>
                <w:sz w:val="21"/>
              </w:rPr>
              <w:t>指美国纽约心脏病学会心功能状态的分级标准：</w:t>
            </w:r>
          </w:p>
          <w:p>
            <w:pPr>
              <w:pStyle w:val="TableParagraph"/>
              <w:spacing w:line="273" w:lineRule="auto" w:before="36"/>
              <w:ind w:left="727" w:right="252" w:hanging="632"/>
              <w:rPr>
                <w:sz w:val="21"/>
              </w:rPr>
            </w:pPr>
            <w:r>
              <w:rPr>
                <w:spacing w:val="-8"/>
                <w:sz w:val="21"/>
              </w:rPr>
              <w:t>Ⅰ级：体力活动不受限制，日常活动不引起乏力、心悸、呼吸困难或心绞痛</w:t>
            </w:r>
            <w:r>
              <w:rPr>
                <w:spacing w:val="-1"/>
                <w:sz w:val="21"/>
              </w:rPr>
              <w:t>等症状。</w:t>
            </w:r>
          </w:p>
          <w:p>
            <w:pPr>
              <w:pStyle w:val="TableParagraph"/>
              <w:spacing w:line="273" w:lineRule="auto" w:before="7"/>
              <w:ind w:left="727" w:right="198" w:hanging="632"/>
              <w:rPr>
                <w:sz w:val="21"/>
              </w:rPr>
            </w:pPr>
            <w:r>
              <w:rPr>
                <w:sz w:val="21"/>
              </w:rPr>
              <w:t>Ⅱ级：体力活动轻度受限，休息时无症状，日常活动即可引起乏力、心悸、呼吸困难或心绞痛等症状。</w:t>
            </w:r>
          </w:p>
          <w:p>
            <w:pPr>
              <w:pStyle w:val="TableParagraph"/>
              <w:spacing w:line="273" w:lineRule="auto" w:before="7"/>
              <w:ind w:left="727" w:right="250" w:hanging="632"/>
              <w:rPr>
                <w:sz w:val="21"/>
              </w:rPr>
            </w:pPr>
            <w:r>
              <w:rPr>
                <w:spacing w:val="-7"/>
                <w:sz w:val="21"/>
              </w:rPr>
              <w:t>Ⅲ级：体力活动明显受限，休息时无症状，轻于日常的活动即可引起上述症状。</w:t>
            </w:r>
          </w:p>
          <w:p>
            <w:pPr>
              <w:pStyle w:val="TableParagraph"/>
              <w:spacing w:line="240" w:lineRule="auto" w:before="7"/>
              <w:ind w:left="96"/>
              <w:rPr>
                <w:sz w:val="21"/>
              </w:rPr>
            </w:pPr>
            <w:r>
              <w:rPr>
                <w:sz w:val="21"/>
              </w:rPr>
              <w:t>Ⅳ级：不能从事任何体力活动，休息时亦有症状，体力活动后加重。</w:t>
            </w:r>
          </w:p>
        </w:tc>
      </w:tr>
      <w:tr>
        <w:trPr>
          <w:trHeight w:val="612" w:hRule="atLeast"/>
        </w:trPr>
        <w:tc>
          <w:tcPr>
            <w:tcW w:w="890" w:type="dxa"/>
          </w:tcPr>
          <w:p>
            <w:pPr>
              <w:pStyle w:val="TableParagraph"/>
              <w:spacing w:line="240" w:lineRule="auto" w:before="128"/>
              <w:ind w:left="74" w:right="245"/>
              <w:jc w:val="center"/>
              <w:rPr>
                <w:b/>
                <w:sz w:val="21"/>
              </w:rPr>
            </w:pPr>
            <w:r>
              <w:rPr>
                <w:b/>
                <w:sz w:val="21"/>
              </w:rPr>
              <w:t>8.9</w:t>
            </w:r>
          </w:p>
        </w:tc>
        <w:tc>
          <w:tcPr>
            <w:tcW w:w="1758" w:type="dxa"/>
          </w:tcPr>
          <w:p>
            <w:pPr>
              <w:pStyle w:val="TableParagraph"/>
              <w:spacing w:line="240" w:lineRule="auto" w:before="152"/>
              <w:ind w:left="267"/>
              <w:rPr>
                <w:b/>
                <w:sz w:val="21"/>
              </w:rPr>
            </w:pPr>
            <w:r>
              <w:rPr>
                <w:b/>
                <w:sz w:val="21"/>
              </w:rPr>
              <w:t>意外伤害</w:t>
            </w:r>
          </w:p>
        </w:tc>
        <w:tc>
          <w:tcPr>
            <w:tcW w:w="7230" w:type="dxa"/>
          </w:tcPr>
          <w:p>
            <w:pPr>
              <w:pStyle w:val="TableParagraph"/>
              <w:spacing w:line="240" w:lineRule="auto" w:before="128"/>
              <w:ind w:left="95"/>
              <w:rPr>
                <w:sz w:val="21"/>
              </w:rPr>
            </w:pPr>
            <w:r>
              <w:rPr>
                <w:sz w:val="21"/>
              </w:rPr>
              <w:t>指遭受外来的、突发的、非本意的、非疾病的使身体受到伤害的客观事件。</w:t>
            </w:r>
          </w:p>
        </w:tc>
      </w:tr>
      <w:tr>
        <w:trPr>
          <w:trHeight w:val="1863" w:hRule="atLeast"/>
        </w:trPr>
        <w:tc>
          <w:tcPr>
            <w:tcW w:w="890" w:type="dxa"/>
          </w:tcPr>
          <w:p>
            <w:pPr>
              <w:pStyle w:val="TableParagraph"/>
              <w:spacing w:line="240" w:lineRule="auto" w:before="121"/>
              <w:ind w:left="180" w:right="245"/>
              <w:jc w:val="center"/>
              <w:rPr>
                <w:b/>
                <w:sz w:val="21"/>
              </w:rPr>
            </w:pPr>
            <w:r>
              <w:rPr>
                <w:b/>
                <w:sz w:val="21"/>
              </w:rPr>
              <w:t>8.10</w:t>
            </w:r>
          </w:p>
        </w:tc>
        <w:tc>
          <w:tcPr>
            <w:tcW w:w="1758" w:type="dxa"/>
          </w:tcPr>
          <w:p>
            <w:pPr>
              <w:pStyle w:val="TableParagraph"/>
              <w:spacing w:line="240" w:lineRule="auto" w:before="121"/>
              <w:ind w:left="267"/>
              <w:rPr>
                <w:b/>
                <w:sz w:val="21"/>
              </w:rPr>
            </w:pPr>
            <w:r>
              <w:rPr>
                <w:b/>
                <w:sz w:val="21"/>
              </w:rPr>
              <w:t>医院</w:t>
            </w:r>
          </w:p>
        </w:tc>
        <w:tc>
          <w:tcPr>
            <w:tcW w:w="7230" w:type="dxa"/>
          </w:tcPr>
          <w:p>
            <w:pPr>
              <w:pStyle w:val="TableParagraph"/>
              <w:spacing w:line="273" w:lineRule="auto" w:before="121"/>
              <w:ind w:left="95" w:right="248"/>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10"/>
                <w:sz w:val="21"/>
              </w:rPr>
              <w:t>病人为目的的医疗机构。该医院必须具有符合国家有关医院管理规则设置标</w:t>
            </w:r>
            <w:r>
              <w:rPr>
                <w:spacing w:val="-11"/>
                <w:sz w:val="21"/>
              </w:rPr>
              <w:t>准的医疗设备，且全天二十四小时有合格医师及护士驻院提供医疗及护理服务。</w:t>
            </w:r>
          </w:p>
        </w:tc>
      </w:tr>
      <w:tr>
        <w:trPr>
          <w:trHeight w:val="992" w:hRule="atLeast"/>
        </w:trPr>
        <w:tc>
          <w:tcPr>
            <w:tcW w:w="890" w:type="dxa"/>
          </w:tcPr>
          <w:p>
            <w:pPr>
              <w:pStyle w:val="TableParagraph"/>
              <w:spacing w:line="240" w:lineRule="auto" w:before="156"/>
              <w:ind w:left="180" w:right="245"/>
              <w:jc w:val="center"/>
              <w:rPr>
                <w:b/>
                <w:sz w:val="21"/>
              </w:rPr>
            </w:pPr>
            <w:r>
              <w:rPr>
                <w:b/>
                <w:sz w:val="21"/>
              </w:rPr>
              <w:t>8.11</w:t>
            </w:r>
          </w:p>
        </w:tc>
        <w:tc>
          <w:tcPr>
            <w:tcW w:w="1758" w:type="dxa"/>
          </w:tcPr>
          <w:p>
            <w:pPr>
              <w:pStyle w:val="TableParagraph"/>
              <w:spacing w:line="273" w:lineRule="auto" w:before="156"/>
              <w:ind w:left="267" w:right="94"/>
              <w:rPr>
                <w:b/>
                <w:sz w:val="21"/>
              </w:rPr>
            </w:pPr>
            <w:r>
              <w:rPr>
                <w:b/>
                <w:sz w:val="21"/>
              </w:rPr>
              <w:t>本条款约定确诊日</w:t>
            </w:r>
          </w:p>
        </w:tc>
        <w:tc>
          <w:tcPr>
            <w:tcW w:w="7230" w:type="dxa"/>
          </w:tcPr>
          <w:p>
            <w:pPr>
              <w:pStyle w:val="TableParagraph"/>
              <w:spacing w:line="240" w:lineRule="auto" w:before="156"/>
              <w:ind w:left="95"/>
              <w:rPr>
                <w:sz w:val="21"/>
              </w:rPr>
            </w:pPr>
            <w:r>
              <w:rPr>
                <w:sz w:val="21"/>
              </w:rPr>
              <w:t>指满足本附加险合同“重大疾病”定义所有条件之日。</w:t>
            </w:r>
          </w:p>
        </w:tc>
      </w:tr>
      <w:tr>
        <w:trPr>
          <w:trHeight w:val="1617" w:hRule="atLeast"/>
        </w:trPr>
        <w:tc>
          <w:tcPr>
            <w:tcW w:w="890" w:type="dxa"/>
          </w:tcPr>
          <w:p>
            <w:pPr>
              <w:pStyle w:val="TableParagraph"/>
              <w:spacing w:line="240" w:lineRule="auto" w:before="2"/>
              <w:rPr>
                <w:sz w:val="14"/>
              </w:rPr>
            </w:pPr>
          </w:p>
          <w:p>
            <w:pPr>
              <w:pStyle w:val="TableParagraph"/>
              <w:spacing w:line="240" w:lineRule="auto"/>
              <w:ind w:left="180" w:right="245"/>
              <w:jc w:val="center"/>
              <w:rPr>
                <w:b/>
                <w:sz w:val="21"/>
              </w:rPr>
            </w:pPr>
            <w:r>
              <w:rPr>
                <w:b/>
                <w:sz w:val="21"/>
              </w:rPr>
              <w:t>8.12</w:t>
            </w:r>
          </w:p>
        </w:tc>
        <w:tc>
          <w:tcPr>
            <w:tcW w:w="1758" w:type="dxa"/>
          </w:tcPr>
          <w:p>
            <w:pPr>
              <w:pStyle w:val="TableParagraph"/>
              <w:spacing w:line="240" w:lineRule="auto" w:before="2"/>
              <w:rPr>
                <w:sz w:val="14"/>
              </w:rPr>
            </w:pPr>
          </w:p>
          <w:p>
            <w:pPr>
              <w:pStyle w:val="TableParagraph"/>
              <w:spacing w:line="240" w:lineRule="auto"/>
              <w:ind w:left="267"/>
              <w:rPr>
                <w:b/>
                <w:sz w:val="21"/>
              </w:rPr>
            </w:pPr>
            <w:r>
              <w:rPr>
                <w:b/>
                <w:sz w:val="21"/>
              </w:rPr>
              <w:t>毒品</w:t>
            </w:r>
          </w:p>
        </w:tc>
        <w:tc>
          <w:tcPr>
            <w:tcW w:w="7230" w:type="dxa"/>
          </w:tcPr>
          <w:p>
            <w:pPr>
              <w:pStyle w:val="TableParagraph"/>
              <w:spacing w:line="240" w:lineRule="auto" w:before="2"/>
              <w:rPr>
                <w:sz w:val="14"/>
              </w:rPr>
            </w:pPr>
          </w:p>
          <w:p>
            <w:pPr>
              <w:pStyle w:val="TableParagraph"/>
              <w:spacing w:line="273" w:lineRule="auto"/>
              <w:ind w:left="95" w:right="248"/>
              <w:jc w:val="both"/>
              <w:rPr>
                <w:sz w:val="21"/>
              </w:rPr>
            </w:pPr>
            <w:r>
              <w:rPr>
                <w:sz w:val="21"/>
              </w:rPr>
              <w:t>指中华人民共和国刑法规定的鸦片、海洛因、甲基苯丙胺（冰毒</w:t>
            </w:r>
            <w:r>
              <w:rPr>
                <w:spacing w:val="-106"/>
                <w:sz w:val="21"/>
              </w:rPr>
              <w:t>）</w:t>
            </w:r>
            <w:r>
              <w:rPr>
                <w:sz w:val="21"/>
              </w:rPr>
              <w:t>、吗啡、</w:t>
            </w:r>
            <w:r>
              <w:rPr>
                <w:spacing w:val="-9"/>
                <w:sz w:val="21"/>
              </w:rPr>
              <w:t>大麻、可卡因以及国家规定管制的其他能够使人形成瘾癖的麻醉药品和精神</w:t>
            </w:r>
            <w:r>
              <w:rPr>
                <w:spacing w:val="-10"/>
                <w:sz w:val="21"/>
              </w:rPr>
              <w:t>药品，但不包括由医生开具并遵医嘱使用的用于治疗疾病但含有毒品成分的</w:t>
            </w:r>
            <w:r>
              <w:rPr>
                <w:spacing w:val="-5"/>
                <w:sz w:val="21"/>
              </w:rPr>
              <w:t>处方药品。</w:t>
            </w:r>
          </w:p>
        </w:tc>
      </w:tr>
      <w:tr>
        <w:trPr>
          <w:trHeight w:val="1055" w:hRule="atLeast"/>
        </w:trPr>
        <w:tc>
          <w:tcPr>
            <w:tcW w:w="890" w:type="dxa"/>
          </w:tcPr>
          <w:p>
            <w:pPr>
              <w:pStyle w:val="TableParagraph"/>
              <w:spacing w:line="240" w:lineRule="auto" w:before="157"/>
              <w:ind w:left="180" w:right="245"/>
              <w:jc w:val="center"/>
              <w:rPr>
                <w:b/>
                <w:sz w:val="21"/>
              </w:rPr>
            </w:pPr>
            <w:r>
              <w:rPr>
                <w:b/>
                <w:sz w:val="21"/>
              </w:rPr>
              <w:t>8.13</w:t>
            </w:r>
          </w:p>
        </w:tc>
        <w:tc>
          <w:tcPr>
            <w:tcW w:w="1758" w:type="dxa"/>
          </w:tcPr>
          <w:p>
            <w:pPr>
              <w:pStyle w:val="TableParagraph"/>
              <w:spacing w:line="240" w:lineRule="auto" w:before="157"/>
              <w:ind w:left="267"/>
              <w:rPr>
                <w:b/>
                <w:sz w:val="21"/>
              </w:rPr>
            </w:pPr>
            <w:r>
              <w:rPr>
                <w:b/>
                <w:sz w:val="21"/>
              </w:rPr>
              <w:t>酒后驾驶</w:t>
            </w:r>
          </w:p>
        </w:tc>
        <w:tc>
          <w:tcPr>
            <w:tcW w:w="7230" w:type="dxa"/>
          </w:tcPr>
          <w:p>
            <w:pPr>
              <w:pStyle w:val="TableParagraph"/>
              <w:spacing w:line="310" w:lineRule="atLeast" w:before="122"/>
              <w:ind w:left="96" w:right="248"/>
              <w:jc w:val="both"/>
              <w:rPr>
                <w:sz w:val="21"/>
              </w:rPr>
            </w:pPr>
            <w:r>
              <w:rPr>
                <w:spacing w:val="-9"/>
                <w:sz w:val="21"/>
              </w:rPr>
              <w:t>指经检测或鉴定，发生事故时车辆驾驶人员每百毫升血液中的酒精含量达到或超过一定的标准，公安机关交通管理部门依据《道路交通安全法》的规定</w:t>
            </w:r>
            <w:r>
              <w:rPr>
                <w:spacing w:val="-3"/>
                <w:sz w:val="21"/>
              </w:rPr>
              <w:t>认定为饮酒后驾驶或醉酒后驾驶。</w:t>
            </w:r>
          </w:p>
        </w:tc>
      </w:tr>
    </w:tbl>
    <w:p>
      <w:pPr>
        <w:spacing w:after="0" w:line="310" w:lineRule="atLeast"/>
        <w:jc w:val="both"/>
        <w:rPr>
          <w:sz w:val="21"/>
        </w:rPr>
        <w:sectPr>
          <w:pgSz w:w="11910" w:h="16840"/>
          <w:pgMar w:top="1160" w:bottom="280" w:left="720" w:right="11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85"/>
      </w:tblGrid>
      <w:tr>
        <w:trPr>
          <w:trHeight w:val="1963" w:hRule="atLeast"/>
        </w:trPr>
        <w:tc>
          <w:tcPr>
            <w:tcW w:w="890" w:type="dxa"/>
          </w:tcPr>
          <w:p>
            <w:pPr>
              <w:pStyle w:val="TableParagraph"/>
              <w:spacing w:line="211" w:lineRule="exact"/>
              <w:ind w:left="180" w:right="245"/>
              <w:jc w:val="center"/>
              <w:rPr>
                <w:b/>
                <w:sz w:val="21"/>
              </w:rPr>
            </w:pPr>
            <w:r>
              <w:rPr>
                <w:b/>
                <w:sz w:val="21"/>
              </w:rPr>
              <w:t>8.14</w:t>
            </w:r>
          </w:p>
        </w:tc>
        <w:tc>
          <w:tcPr>
            <w:tcW w:w="1758" w:type="dxa"/>
          </w:tcPr>
          <w:p>
            <w:pPr>
              <w:pStyle w:val="TableParagraph"/>
              <w:spacing w:line="211" w:lineRule="exact"/>
              <w:ind w:left="267"/>
              <w:rPr>
                <w:b/>
                <w:sz w:val="21"/>
              </w:rPr>
            </w:pPr>
            <w:r>
              <w:rPr>
                <w:b/>
                <w:sz w:val="21"/>
              </w:rPr>
              <w:t>无合法有效驾</w:t>
            </w:r>
          </w:p>
          <w:p>
            <w:pPr>
              <w:pStyle w:val="TableParagraph"/>
              <w:spacing w:line="240" w:lineRule="auto" w:before="37"/>
              <w:ind w:left="267"/>
              <w:rPr>
                <w:b/>
                <w:sz w:val="21"/>
              </w:rPr>
            </w:pPr>
            <w:r>
              <w:rPr>
                <w:b/>
                <w:sz w:val="21"/>
              </w:rPr>
              <w:t>驶证驾驶</w:t>
            </w:r>
          </w:p>
        </w:tc>
        <w:tc>
          <w:tcPr>
            <w:tcW w:w="7285" w:type="dxa"/>
          </w:tcPr>
          <w:p>
            <w:pPr>
              <w:pStyle w:val="TableParagraph"/>
              <w:spacing w:line="211" w:lineRule="exact"/>
              <w:ind w:left="95"/>
              <w:rPr>
                <w:sz w:val="21"/>
              </w:rPr>
            </w:pPr>
            <w:r>
              <w:rPr>
                <w:sz w:val="21"/>
              </w:rPr>
              <w:t>指下列情形之一：</w:t>
            </w:r>
          </w:p>
          <w:p>
            <w:pPr>
              <w:pStyle w:val="TableParagraph"/>
              <w:spacing w:line="240" w:lineRule="auto" w:before="37"/>
              <w:ind w:left="95"/>
              <w:rPr>
                <w:sz w:val="21"/>
              </w:rPr>
            </w:pPr>
            <w:r>
              <w:rPr>
                <w:sz w:val="21"/>
              </w:rPr>
              <w:t>（1）没有取得驾驶资格；</w:t>
            </w:r>
          </w:p>
          <w:p>
            <w:pPr>
              <w:pStyle w:val="TableParagraph"/>
              <w:spacing w:line="240" w:lineRule="auto" w:before="37"/>
              <w:ind w:left="95"/>
              <w:rPr>
                <w:sz w:val="21"/>
              </w:rPr>
            </w:pPr>
            <w:r>
              <w:rPr>
                <w:sz w:val="21"/>
              </w:rPr>
              <w:t>（2）驾驶与驾驶证准驾车型不相符合的车辆；</w:t>
            </w:r>
          </w:p>
          <w:p>
            <w:pPr>
              <w:pStyle w:val="TableParagraph"/>
              <w:spacing w:line="240" w:lineRule="auto" w:before="37"/>
              <w:ind w:left="95"/>
              <w:rPr>
                <w:sz w:val="21"/>
              </w:rPr>
            </w:pPr>
            <w:r>
              <w:rPr>
                <w:sz w:val="21"/>
              </w:rPr>
              <w:t>（3）持审验不合格的驾驶证驾驶；</w:t>
            </w:r>
          </w:p>
          <w:p>
            <w:pPr>
              <w:pStyle w:val="TableParagraph"/>
              <w:spacing w:line="273" w:lineRule="auto" w:before="37"/>
              <w:ind w:left="599" w:right="306" w:hanging="504"/>
              <w:rPr>
                <w:sz w:val="21"/>
              </w:rPr>
            </w:pPr>
            <w:r>
              <w:rPr>
                <w:sz w:val="21"/>
              </w:rPr>
              <w:t>（4）持学习驾驶证学习驾车时，无教练员随车指导，或不按指定时间、路线学习驾车。</w:t>
            </w:r>
          </w:p>
        </w:tc>
      </w:tr>
      <w:tr>
        <w:trPr>
          <w:trHeight w:val="1531" w:hRule="atLeast"/>
        </w:trPr>
        <w:tc>
          <w:tcPr>
            <w:tcW w:w="890" w:type="dxa"/>
          </w:tcPr>
          <w:p>
            <w:pPr>
              <w:pStyle w:val="TableParagraph"/>
              <w:spacing w:line="240" w:lineRule="auto" w:before="128"/>
              <w:ind w:left="180" w:right="245"/>
              <w:jc w:val="center"/>
              <w:rPr>
                <w:b/>
                <w:sz w:val="21"/>
              </w:rPr>
            </w:pPr>
            <w:r>
              <w:rPr>
                <w:b/>
                <w:sz w:val="21"/>
              </w:rPr>
              <w:t>8.15</w:t>
            </w:r>
          </w:p>
        </w:tc>
        <w:tc>
          <w:tcPr>
            <w:tcW w:w="1758" w:type="dxa"/>
          </w:tcPr>
          <w:p>
            <w:pPr>
              <w:pStyle w:val="TableParagraph"/>
              <w:spacing w:line="240" w:lineRule="auto" w:before="128"/>
              <w:ind w:left="267"/>
              <w:rPr>
                <w:b/>
                <w:sz w:val="21"/>
              </w:rPr>
            </w:pPr>
            <w:r>
              <w:rPr>
                <w:b/>
                <w:sz w:val="21"/>
              </w:rPr>
              <w:t>无有效行驶证</w:t>
            </w:r>
          </w:p>
        </w:tc>
        <w:tc>
          <w:tcPr>
            <w:tcW w:w="7285" w:type="dxa"/>
          </w:tcPr>
          <w:p>
            <w:pPr>
              <w:pStyle w:val="TableParagraph"/>
              <w:spacing w:line="240" w:lineRule="auto" w:before="128"/>
              <w:ind w:left="95"/>
              <w:rPr>
                <w:sz w:val="21"/>
              </w:rPr>
            </w:pPr>
            <w:r>
              <w:rPr>
                <w:sz w:val="21"/>
              </w:rPr>
              <w:t>指下列情形之一：</w:t>
            </w:r>
          </w:p>
          <w:p>
            <w:pPr>
              <w:pStyle w:val="TableParagraph"/>
              <w:spacing w:line="240" w:lineRule="auto" w:before="36"/>
              <w:ind w:left="95"/>
              <w:rPr>
                <w:sz w:val="21"/>
              </w:rPr>
            </w:pPr>
            <w:r>
              <w:rPr>
                <w:sz w:val="21"/>
              </w:rPr>
              <w:t>（1）未取得行驶证；</w:t>
            </w:r>
          </w:p>
          <w:p>
            <w:pPr>
              <w:pStyle w:val="TableParagraph"/>
              <w:spacing w:line="240" w:lineRule="auto" w:before="36"/>
              <w:ind w:left="95"/>
              <w:rPr>
                <w:sz w:val="21"/>
              </w:rPr>
            </w:pPr>
            <w:r>
              <w:rPr>
                <w:sz w:val="21"/>
              </w:rPr>
              <w:t>（2）机动车被依法注销登记的；</w:t>
            </w:r>
          </w:p>
          <w:p>
            <w:pPr>
              <w:pStyle w:val="TableParagraph"/>
              <w:spacing w:line="240" w:lineRule="auto" w:before="36"/>
              <w:ind w:left="96"/>
              <w:rPr>
                <w:sz w:val="21"/>
              </w:rPr>
            </w:pPr>
            <w:r>
              <w:rPr>
                <w:sz w:val="21"/>
              </w:rPr>
              <w:t>（3）未依法按时进行或通过机动车安全技术检验。</w:t>
            </w:r>
          </w:p>
        </w:tc>
      </w:tr>
      <w:tr>
        <w:trPr>
          <w:trHeight w:val="907" w:hRule="atLeast"/>
        </w:trPr>
        <w:tc>
          <w:tcPr>
            <w:tcW w:w="890" w:type="dxa"/>
          </w:tcPr>
          <w:p>
            <w:pPr>
              <w:pStyle w:val="TableParagraph"/>
              <w:spacing w:line="240" w:lineRule="auto" w:before="128"/>
              <w:ind w:left="180" w:right="245"/>
              <w:jc w:val="center"/>
              <w:rPr>
                <w:b/>
                <w:sz w:val="21"/>
              </w:rPr>
            </w:pPr>
            <w:r>
              <w:rPr>
                <w:b/>
                <w:sz w:val="21"/>
              </w:rPr>
              <w:t>8.16</w:t>
            </w:r>
          </w:p>
        </w:tc>
        <w:tc>
          <w:tcPr>
            <w:tcW w:w="1758" w:type="dxa"/>
          </w:tcPr>
          <w:p>
            <w:pPr>
              <w:pStyle w:val="TableParagraph"/>
              <w:spacing w:line="240" w:lineRule="auto" w:before="128"/>
              <w:ind w:left="267"/>
              <w:rPr>
                <w:b/>
                <w:sz w:val="21"/>
              </w:rPr>
            </w:pPr>
            <w:r>
              <w:rPr>
                <w:b/>
                <w:sz w:val="21"/>
              </w:rPr>
              <w:t>机动车</w:t>
            </w:r>
          </w:p>
        </w:tc>
        <w:tc>
          <w:tcPr>
            <w:tcW w:w="7285" w:type="dxa"/>
          </w:tcPr>
          <w:p>
            <w:pPr>
              <w:pStyle w:val="TableParagraph"/>
              <w:spacing w:line="273" w:lineRule="auto" w:before="128"/>
              <w:ind w:left="95" w:right="303"/>
              <w:rPr>
                <w:sz w:val="21"/>
              </w:rPr>
            </w:pPr>
            <w:r>
              <w:rPr>
                <w:spacing w:val="-7"/>
                <w:sz w:val="21"/>
              </w:rPr>
              <w:t>指以动力装置驱动或者牵引，上道路行驶的供人员乘用或者用于运送物品以</w:t>
            </w:r>
            <w:r>
              <w:rPr>
                <w:spacing w:val="-5"/>
                <w:sz w:val="21"/>
              </w:rPr>
              <w:t>及进行工程专项作业的轮式车辆。</w:t>
            </w:r>
          </w:p>
        </w:tc>
      </w:tr>
      <w:tr>
        <w:trPr>
          <w:trHeight w:val="1843" w:hRule="atLeast"/>
        </w:trPr>
        <w:tc>
          <w:tcPr>
            <w:tcW w:w="890" w:type="dxa"/>
          </w:tcPr>
          <w:p>
            <w:pPr>
              <w:pStyle w:val="TableParagraph"/>
              <w:spacing w:line="240" w:lineRule="auto" w:before="128"/>
              <w:ind w:left="180" w:right="245"/>
              <w:jc w:val="center"/>
              <w:rPr>
                <w:b/>
                <w:sz w:val="21"/>
              </w:rPr>
            </w:pPr>
            <w:r>
              <w:rPr>
                <w:b/>
                <w:sz w:val="21"/>
              </w:rPr>
              <w:t>8.17</w:t>
            </w:r>
          </w:p>
        </w:tc>
        <w:tc>
          <w:tcPr>
            <w:tcW w:w="1758" w:type="dxa"/>
          </w:tcPr>
          <w:p>
            <w:pPr>
              <w:pStyle w:val="TableParagraph"/>
              <w:spacing w:line="273" w:lineRule="auto" w:before="128"/>
              <w:ind w:left="267" w:right="94"/>
              <w:rPr>
                <w:b/>
                <w:sz w:val="21"/>
              </w:rPr>
            </w:pPr>
            <w:r>
              <w:rPr>
                <w:b/>
                <w:sz w:val="21"/>
              </w:rPr>
              <w:t>感染艾滋病病毒或患艾滋病</w:t>
            </w:r>
          </w:p>
        </w:tc>
        <w:tc>
          <w:tcPr>
            <w:tcW w:w="7285" w:type="dxa"/>
          </w:tcPr>
          <w:p>
            <w:pPr>
              <w:pStyle w:val="TableParagraph"/>
              <w:spacing w:line="273" w:lineRule="auto" w:before="128"/>
              <w:ind w:left="95" w:right="24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95" w:right="198"/>
              <w:rPr>
                <w:sz w:val="21"/>
              </w:rPr>
            </w:pPr>
            <w:r>
              <w:rPr>
                <w:spacing w:val="-5"/>
                <w:sz w:val="21"/>
              </w:rPr>
              <w:t>在人体血液或其它样本中检测到艾滋病病毒或其抗体呈阳性，没有出现临床</w:t>
            </w:r>
            <w:r>
              <w:rPr>
                <w:spacing w:val="-16"/>
                <w:sz w:val="21"/>
              </w:rPr>
              <w:t>症状或体征的，为感染艾滋病病毒；如果同时出现了明显临床症状或体征的， </w:t>
            </w:r>
            <w:r>
              <w:rPr>
                <w:spacing w:val="-7"/>
                <w:sz w:val="21"/>
              </w:rPr>
              <w:t>为患艾滋病。</w:t>
            </w:r>
          </w:p>
        </w:tc>
      </w:tr>
      <w:tr>
        <w:trPr>
          <w:trHeight w:val="907" w:hRule="atLeast"/>
        </w:trPr>
        <w:tc>
          <w:tcPr>
            <w:tcW w:w="890" w:type="dxa"/>
          </w:tcPr>
          <w:p>
            <w:pPr>
              <w:pStyle w:val="TableParagraph"/>
              <w:spacing w:line="240" w:lineRule="auto" w:before="128"/>
              <w:ind w:left="180" w:right="245"/>
              <w:jc w:val="center"/>
              <w:rPr>
                <w:b/>
                <w:sz w:val="21"/>
              </w:rPr>
            </w:pPr>
            <w:r>
              <w:rPr>
                <w:b/>
                <w:sz w:val="21"/>
              </w:rPr>
              <w:t>8.18</w:t>
            </w:r>
          </w:p>
        </w:tc>
        <w:tc>
          <w:tcPr>
            <w:tcW w:w="1758" w:type="dxa"/>
          </w:tcPr>
          <w:p>
            <w:pPr>
              <w:pStyle w:val="TableParagraph"/>
              <w:spacing w:line="240" w:lineRule="auto" w:before="128"/>
              <w:ind w:left="267"/>
              <w:rPr>
                <w:b/>
                <w:sz w:val="21"/>
              </w:rPr>
            </w:pPr>
            <w:r>
              <w:rPr>
                <w:b/>
                <w:sz w:val="21"/>
              </w:rPr>
              <w:t>遗传性疾病</w:t>
            </w:r>
          </w:p>
        </w:tc>
        <w:tc>
          <w:tcPr>
            <w:tcW w:w="7285" w:type="dxa"/>
          </w:tcPr>
          <w:p>
            <w:pPr>
              <w:pStyle w:val="TableParagraph"/>
              <w:spacing w:line="273" w:lineRule="auto" w:before="128"/>
              <w:ind w:left="95" w:right="241"/>
              <w:rPr>
                <w:sz w:val="21"/>
              </w:rPr>
            </w:pPr>
            <w:r>
              <w:rPr>
                <w:sz w:val="21"/>
              </w:rPr>
              <w:t>指生殖细胞或受精卵的遗传物质（染色体和基因）发生突变或畸变所引起的疾病，通常具有由亲代传至后代的垂直传递的特征。</w:t>
            </w:r>
          </w:p>
        </w:tc>
      </w:tr>
      <w:tr>
        <w:trPr>
          <w:trHeight w:val="1233" w:hRule="atLeast"/>
        </w:trPr>
        <w:tc>
          <w:tcPr>
            <w:tcW w:w="890" w:type="dxa"/>
          </w:tcPr>
          <w:p>
            <w:pPr>
              <w:pStyle w:val="TableParagraph"/>
              <w:spacing w:line="240" w:lineRule="auto" w:before="128"/>
              <w:ind w:left="180" w:right="245"/>
              <w:jc w:val="center"/>
              <w:rPr>
                <w:b/>
                <w:sz w:val="21"/>
              </w:rPr>
            </w:pPr>
            <w:r>
              <w:rPr>
                <w:b/>
                <w:sz w:val="21"/>
              </w:rPr>
              <w:t>8.19</w:t>
            </w:r>
          </w:p>
        </w:tc>
        <w:tc>
          <w:tcPr>
            <w:tcW w:w="1758" w:type="dxa"/>
          </w:tcPr>
          <w:p>
            <w:pPr>
              <w:pStyle w:val="TableParagraph"/>
              <w:spacing w:line="273" w:lineRule="auto" w:before="128"/>
              <w:ind w:left="267" w:right="94"/>
              <w:jc w:val="both"/>
              <w:rPr>
                <w:b/>
                <w:sz w:val="21"/>
              </w:rPr>
            </w:pPr>
            <w:r>
              <w:rPr>
                <w:b/>
                <w:sz w:val="21"/>
              </w:rPr>
              <w:t>先天性畸形、变形或染色体异常</w:t>
            </w:r>
          </w:p>
        </w:tc>
        <w:tc>
          <w:tcPr>
            <w:tcW w:w="7285" w:type="dxa"/>
          </w:tcPr>
          <w:p>
            <w:pPr>
              <w:pStyle w:val="TableParagraph"/>
              <w:spacing w:line="273" w:lineRule="auto" w:before="128"/>
              <w:ind w:left="95" w:right="199"/>
              <w:rPr>
                <w:sz w:val="21"/>
              </w:rPr>
            </w:pPr>
            <w:r>
              <w:rPr>
                <w:spacing w:val="-7"/>
                <w:sz w:val="21"/>
              </w:rPr>
              <w:t>指被保险人出生时就具有的畸形、变形或染色体异常。先天性畸形、变形和</w:t>
            </w:r>
            <w:r>
              <w:rPr>
                <w:spacing w:val="11"/>
                <w:sz w:val="21"/>
              </w:rPr>
              <w:t>染色体异常依照世界卫生组织《疾病和有关健康问题的国际统计分类》</w:t>
            </w:r>
          </w:p>
          <w:p>
            <w:pPr>
              <w:pStyle w:val="TableParagraph"/>
              <w:spacing w:line="240" w:lineRule="auto" w:before="7"/>
              <w:ind w:left="95"/>
              <w:rPr>
                <w:sz w:val="21"/>
              </w:rPr>
            </w:pPr>
            <w:r>
              <w:rPr>
                <w:sz w:val="21"/>
              </w:rPr>
              <w:t>（ICD-10）确定。</w:t>
            </w:r>
          </w:p>
        </w:tc>
      </w:tr>
      <w:tr>
        <w:trPr>
          <w:trHeight w:val="1559" w:hRule="atLeast"/>
        </w:trPr>
        <w:tc>
          <w:tcPr>
            <w:tcW w:w="890" w:type="dxa"/>
          </w:tcPr>
          <w:p>
            <w:pPr>
              <w:pStyle w:val="TableParagraph"/>
              <w:spacing w:line="240" w:lineRule="auto" w:before="142"/>
              <w:ind w:left="180" w:right="245"/>
              <w:jc w:val="center"/>
              <w:rPr>
                <w:b/>
                <w:sz w:val="21"/>
              </w:rPr>
            </w:pPr>
            <w:r>
              <w:rPr>
                <w:b/>
                <w:sz w:val="21"/>
              </w:rPr>
              <w:t>8.20</w:t>
            </w:r>
          </w:p>
        </w:tc>
        <w:tc>
          <w:tcPr>
            <w:tcW w:w="1758" w:type="dxa"/>
          </w:tcPr>
          <w:p>
            <w:pPr>
              <w:pStyle w:val="TableParagraph"/>
              <w:spacing w:line="240" w:lineRule="auto" w:before="142"/>
              <w:ind w:left="267"/>
              <w:rPr>
                <w:b/>
                <w:sz w:val="21"/>
              </w:rPr>
            </w:pPr>
            <w:r>
              <w:rPr>
                <w:b/>
                <w:sz w:val="21"/>
              </w:rPr>
              <w:t>危险保额</w:t>
            </w:r>
          </w:p>
        </w:tc>
        <w:tc>
          <w:tcPr>
            <w:tcW w:w="7285" w:type="dxa"/>
          </w:tcPr>
          <w:p>
            <w:pPr>
              <w:pStyle w:val="TableParagraph"/>
              <w:spacing w:line="261" w:lineRule="auto" w:before="142"/>
              <w:ind w:left="95" w:right="303"/>
              <w:jc w:val="both"/>
              <w:rPr>
                <w:sz w:val="21"/>
              </w:rPr>
            </w:pPr>
            <w:r>
              <w:rPr>
                <w:sz w:val="21"/>
              </w:rPr>
              <w:t>指结算日零时的本附加险合同所豁免的年交保险费金额乘以危险保额系数</w:t>
            </w:r>
            <w:r>
              <w:rPr>
                <w:spacing w:val="-10"/>
                <w:sz w:val="21"/>
              </w:rPr>
              <w:t>后的数值。本附加险合同危险保额系数根据主险合同或保险期间超过 </w:t>
            </w:r>
            <w:r>
              <w:rPr>
                <w:rFonts w:ascii="Times New Roman" w:eastAsia="Times New Roman"/>
                <w:sz w:val="21"/>
              </w:rPr>
              <w:t>1 </w:t>
            </w:r>
            <w:r>
              <w:rPr>
                <w:sz w:val="21"/>
              </w:rPr>
              <w:t>年的</w:t>
            </w:r>
            <w:r>
              <w:rPr>
                <w:spacing w:val="-3"/>
                <w:sz w:val="21"/>
              </w:rPr>
              <w:t>附加险合同的交费方式及</w:t>
            </w:r>
            <w:r>
              <w:rPr>
                <w:rFonts w:ascii="黑体" w:eastAsia="黑体" w:hint="eastAsia"/>
                <w:b/>
                <w:spacing w:val="-4"/>
                <w:sz w:val="21"/>
              </w:rPr>
              <w:t>剩余保单年度</w:t>
            </w:r>
            <w:r>
              <w:rPr>
                <w:spacing w:val="-3"/>
                <w:sz w:val="21"/>
              </w:rPr>
              <w:t>（</w:t>
            </w:r>
            <w:r>
              <w:rPr>
                <w:spacing w:val="-13"/>
                <w:sz w:val="21"/>
              </w:rPr>
              <w:t>见 </w:t>
            </w:r>
            <w:r>
              <w:rPr>
                <w:rFonts w:ascii="Times New Roman" w:eastAsia="Times New Roman"/>
                <w:spacing w:val="-5"/>
                <w:sz w:val="21"/>
              </w:rPr>
              <w:t>8.22</w:t>
            </w:r>
            <w:r>
              <w:rPr>
                <w:spacing w:val="-5"/>
                <w:sz w:val="21"/>
              </w:rPr>
              <w:t>）确定，各剩余保单年度及</w:t>
            </w:r>
            <w:r>
              <w:rPr>
                <w:spacing w:val="-4"/>
                <w:sz w:val="21"/>
              </w:rPr>
              <w:t>不同交费方式对应的系数见附表。</w:t>
            </w:r>
          </w:p>
        </w:tc>
      </w:tr>
      <w:tr>
        <w:trPr>
          <w:trHeight w:val="921" w:hRule="atLeast"/>
        </w:trPr>
        <w:tc>
          <w:tcPr>
            <w:tcW w:w="890" w:type="dxa"/>
          </w:tcPr>
          <w:p>
            <w:pPr>
              <w:pStyle w:val="TableParagraph"/>
              <w:spacing w:line="240" w:lineRule="auto" w:before="142"/>
              <w:ind w:left="180" w:right="245"/>
              <w:jc w:val="center"/>
              <w:rPr>
                <w:b/>
                <w:sz w:val="21"/>
              </w:rPr>
            </w:pPr>
            <w:r>
              <w:rPr>
                <w:b/>
                <w:sz w:val="21"/>
              </w:rPr>
              <w:t>8.21</w:t>
            </w:r>
          </w:p>
        </w:tc>
        <w:tc>
          <w:tcPr>
            <w:tcW w:w="1758" w:type="dxa"/>
          </w:tcPr>
          <w:p>
            <w:pPr>
              <w:pStyle w:val="TableParagraph"/>
              <w:spacing w:line="240" w:lineRule="auto" w:before="142"/>
              <w:ind w:left="267"/>
              <w:rPr>
                <w:b/>
                <w:sz w:val="21"/>
              </w:rPr>
            </w:pPr>
            <w:r>
              <w:rPr>
                <w:b/>
                <w:sz w:val="21"/>
              </w:rPr>
              <w:t>周岁</w:t>
            </w:r>
          </w:p>
        </w:tc>
        <w:tc>
          <w:tcPr>
            <w:tcW w:w="7285" w:type="dxa"/>
          </w:tcPr>
          <w:p>
            <w:pPr>
              <w:pStyle w:val="TableParagraph"/>
              <w:spacing w:line="273" w:lineRule="auto" w:before="142"/>
              <w:ind w:left="95" w:right="253"/>
              <w:rPr>
                <w:sz w:val="21"/>
              </w:rPr>
            </w:pPr>
            <w:r>
              <w:rPr>
                <w:sz w:val="21"/>
              </w:rPr>
              <w:t>指按有效身份证件中记载的出生日期计算的年龄，自出生之日起为零周岁， 每经过一年增加一岁，不足一年的不计。</w:t>
            </w:r>
          </w:p>
        </w:tc>
      </w:tr>
      <w:tr>
        <w:trPr>
          <w:trHeight w:val="403" w:hRule="atLeast"/>
        </w:trPr>
        <w:tc>
          <w:tcPr>
            <w:tcW w:w="890" w:type="dxa"/>
          </w:tcPr>
          <w:p>
            <w:pPr>
              <w:pStyle w:val="TableParagraph"/>
              <w:spacing w:line="255" w:lineRule="exact" w:before="128"/>
              <w:ind w:left="180" w:right="245"/>
              <w:jc w:val="center"/>
              <w:rPr>
                <w:b/>
                <w:sz w:val="21"/>
              </w:rPr>
            </w:pPr>
            <w:r>
              <w:rPr>
                <w:b/>
                <w:sz w:val="21"/>
              </w:rPr>
              <w:t>8.22</w:t>
            </w:r>
          </w:p>
        </w:tc>
        <w:tc>
          <w:tcPr>
            <w:tcW w:w="1758" w:type="dxa"/>
          </w:tcPr>
          <w:p>
            <w:pPr>
              <w:pStyle w:val="TableParagraph"/>
              <w:spacing w:line="255" w:lineRule="exact" w:before="128"/>
              <w:ind w:left="267"/>
              <w:rPr>
                <w:b/>
                <w:sz w:val="21"/>
              </w:rPr>
            </w:pPr>
            <w:r>
              <w:rPr>
                <w:b/>
                <w:sz w:val="21"/>
              </w:rPr>
              <w:t>剩余保单年度</w:t>
            </w:r>
          </w:p>
        </w:tc>
        <w:tc>
          <w:tcPr>
            <w:tcW w:w="7285" w:type="dxa"/>
          </w:tcPr>
          <w:p>
            <w:pPr>
              <w:pStyle w:val="TableParagraph"/>
              <w:spacing w:line="255" w:lineRule="exact" w:before="128"/>
              <w:ind w:left="95"/>
              <w:rPr>
                <w:sz w:val="21"/>
              </w:rPr>
            </w:pPr>
            <w:r>
              <w:rPr>
                <w:sz w:val="21"/>
              </w:rPr>
              <w:t>指本附加险合同保险期间减去结算日零时对应的保单年度数后的数值。</w:t>
            </w:r>
          </w:p>
        </w:tc>
      </w:tr>
    </w:tbl>
    <w:p>
      <w:pPr>
        <w:spacing w:after="0" w:line="255" w:lineRule="exact"/>
        <w:rPr>
          <w:sz w:val="21"/>
        </w:rPr>
        <w:sectPr>
          <w:pgSz w:w="11910" w:h="16840"/>
          <w:pgMar w:top="1160" w:bottom="280" w:left="720" w:right="1040"/>
        </w:sectPr>
      </w:pPr>
    </w:p>
    <w:p>
      <w:pPr>
        <w:spacing w:before="0"/>
        <w:ind w:left="1242" w:right="1262" w:firstLine="0"/>
        <w:jc w:val="center"/>
        <w:rPr>
          <w:b/>
          <w:sz w:val="28"/>
        </w:rPr>
      </w:pPr>
      <w:r>
        <w:rPr>
          <w:b/>
          <w:spacing w:val="-1"/>
          <w:w w:val="99"/>
          <w:sz w:val="28"/>
        </w:rPr>
        <w:t>《平安附加无忧豁免保险费重大疾病保险</w:t>
      </w:r>
      <w:r>
        <w:rPr>
          <w:b/>
          <w:spacing w:val="1"/>
          <w:w w:val="99"/>
          <w:sz w:val="28"/>
        </w:rPr>
        <w:t>（</w:t>
      </w:r>
      <w:r>
        <w:rPr>
          <w:rFonts w:ascii="Times New Roman" w:eastAsia="Times New Roman"/>
          <w:b/>
          <w:spacing w:val="-2"/>
          <w:w w:val="100"/>
          <w:sz w:val="28"/>
        </w:rPr>
        <w:t>C</w:t>
      </w:r>
      <w:r>
        <w:rPr>
          <w:b/>
          <w:spacing w:val="-142"/>
          <w:w w:val="99"/>
          <w:sz w:val="28"/>
        </w:rPr>
        <w:t>）</w:t>
      </w:r>
      <w:r>
        <w:rPr>
          <w:b/>
          <w:w w:val="99"/>
          <w:sz w:val="28"/>
        </w:rPr>
        <w:t>》年保障成本表</w:t>
      </w:r>
    </w:p>
    <w:p>
      <w:pPr>
        <w:pStyle w:val="BodyText"/>
        <w:spacing w:before="116"/>
        <w:ind w:left="1242" w:right="1260"/>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61" w:hRule="atLeast"/>
        </w:trPr>
        <w:tc>
          <w:tcPr>
            <w:tcW w:w="1934" w:type="dxa"/>
            <w:tcBorders>
              <w:bottom w:val="single" w:sz="6" w:space="0" w:color="000000"/>
              <w:right w:val="single" w:sz="6" w:space="0" w:color="000000"/>
            </w:tcBorders>
          </w:tcPr>
          <w:p>
            <w:pPr>
              <w:pStyle w:val="TableParagraph"/>
              <w:spacing w:line="300" w:lineRule="exact"/>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spacing w:line="300" w:lineRule="exact"/>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spacing w:line="300" w:lineRule="exact"/>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spacing w:line="300" w:lineRule="exact"/>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300" w:lineRule="exact"/>
              <w:ind w:left="463" w:right="424"/>
              <w:jc w:val="center"/>
              <w:rPr>
                <w:b/>
                <w:sz w:val="24"/>
              </w:rPr>
            </w:pPr>
            <w:r>
              <w:rPr>
                <w:b/>
                <w:sz w:val="24"/>
              </w:rPr>
              <w:t>男性</w:t>
            </w:r>
          </w:p>
        </w:tc>
        <w:tc>
          <w:tcPr>
            <w:tcW w:w="1447" w:type="dxa"/>
            <w:tcBorders>
              <w:left w:val="single" w:sz="6" w:space="0" w:color="000000"/>
              <w:bottom w:val="single" w:sz="6" w:space="0" w:color="000000"/>
            </w:tcBorders>
          </w:tcPr>
          <w:p>
            <w:pPr>
              <w:pStyle w:val="TableParagraph"/>
              <w:spacing w:line="300" w:lineRule="exact"/>
              <w:ind w:left="458" w:right="421"/>
              <w:jc w:val="center"/>
              <w:rPr>
                <w:b/>
                <w:sz w:val="24"/>
              </w:rPr>
            </w:pPr>
            <w:r>
              <w:rPr>
                <w:b/>
                <w:sz w:val="24"/>
              </w:rPr>
              <w:t>女性</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36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2.38</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2.57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37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2.59</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2.81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38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2.81</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3.06</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39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5"/>
              <w:jc w:val="center"/>
              <w:rPr>
                <w:sz w:val="20"/>
              </w:rPr>
            </w:pPr>
            <w:r>
              <w:rPr>
                <w:sz w:val="20"/>
              </w:rPr>
              <w:t>3.02</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1"/>
              <w:jc w:val="center"/>
              <w:rPr>
                <w:sz w:val="20"/>
              </w:rPr>
            </w:pPr>
            <w:r>
              <w:rPr>
                <w:sz w:val="20"/>
              </w:rPr>
              <w:t>3.29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3.30</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3.56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3.60</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3.87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3.97</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4.17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4.40</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4.53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4.88</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4.93</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5"/>
              <w:jc w:val="center"/>
              <w:rPr>
                <w:sz w:val="20"/>
              </w:rPr>
            </w:pPr>
            <w:r>
              <w:rPr>
                <w:sz w:val="20"/>
              </w:rPr>
              <w:t>5.42</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1"/>
              <w:jc w:val="center"/>
              <w:rPr>
                <w:sz w:val="20"/>
              </w:rPr>
            </w:pPr>
            <w:r>
              <w:rPr>
                <w:sz w:val="20"/>
              </w:rPr>
              <w:t>5.35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6.03</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5.79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6.69</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6.23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7.50</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6.78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8.32</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7.30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5"/>
              <w:jc w:val="center"/>
              <w:rPr>
                <w:sz w:val="20"/>
              </w:rPr>
            </w:pPr>
            <w:r>
              <w:rPr>
                <w:sz w:val="20"/>
              </w:rPr>
              <w:t>9.31</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7.91</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10.26</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1"/>
              <w:jc w:val="center"/>
              <w:rPr>
                <w:sz w:val="20"/>
              </w:rPr>
            </w:pPr>
            <w:r>
              <w:rPr>
                <w:sz w:val="20"/>
              </w:rPr>
              <w:t>8.43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11.39</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9.04</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12.45</w:t>
            </w:r>
          </w:p>
        </w:tc>
        <w:tc>
          <w:tcPr>
            <w:tcW w:w="1447" w:type="dxa"/>
            <w:tcBorders>
              <w:top w:val="single" w:sz="6" w:space="0" w:color="000000"/>
              <w:left w:val="single" w:sz="6" w:space="0" w:color="000000"/>
              <w:bottom w:val="single" w:sz="6" w:space="0" w:color="000000"/>
            </w:tcBorders>
          </w:tcPr>
          <w:p>
            <w:pPr>
              <w:pStyle w:val="TableParagraph"/>
              <w:ind w:left="458" w:right="421"/>
              <w:jc w:val="center"/>
              <w:rPr>
                <w:sz w:val="20"/>
              </w:rPr>
            </w:pPr>
            <w:r>
              <w:rPr>
                <w:sz w:val="20"/>
              </w:rPr>
              <w:t>9.58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13.81</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10.27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15.10</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10.89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1.04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16.65</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11.63</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18.06</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5"/>
              <w:jc w:val="center"/>
              <w:rPr>
                <w:sz w:val="20"/>
              </w:rPr>
            </w:pPr>
            <w:r>
              <w:rPr>
                <w:sz w:val="20"/>
              </w:rPr>
              <w:t>12.26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1.10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19.80</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13.15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21.99</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14.48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24.37</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15.95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26.65</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17.28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28.19</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18.02</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29.40</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5"/>
              <w:jc w:val="center"/>
              <w:rPr>
                <w:sz w:val="20"/>
              </w:rPr>
            </w:pPr>
            <w:r>
              <w:rPr>
                <w:sz w:val="20"/>
              </w:rPr>
              <w:t>18.46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1.40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31.02</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19.07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32.16</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19.48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33.77</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20.09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35.35</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20.70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1.90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37.36</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21.77</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39.96</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58" w:right="425"/>
              <w:jc w:val="center"/>
              <w:rPr>
                <w:sz w:val="20"/>
              </w:rPr>
            </w:pPr>
            <w:r>
              <w:rPr>
                <w:sz w:val="20"/>
              </w:rPr>
              <w:t>23.48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ind w:left="556"/>
              <w:rPr>
                <w:sz w:val="20"/>
              </w:rPr>
            </w:pPr>
            <w:r>
              <w:rPr>
                <w:sz w:val="20"/>
              </w:rPr>
              <w:t>2.12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ind w:left="559"/>
              <w:rPr>
                <w:sz w:val="20"/>
              </w:rPr>
            </w:pPr>
            <w:r>
              <w:rPr>
                <w:sz w:val="20"/>
              </w:rPr>
              <w:t>2.23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ind w:left="463" w:right="428"/>
              <w:jc w:val="center"/>
              <w:rPr>
                <w:sz w:val="20"/>
              </w:rPr>
            </w:pPr>
            <w:r>
              <w:rPr>
                <w:sz w:val="20"/>
              </w:rPr>
              <w:t>42.71</w:t>
            </w:r>
          </w:p>
        </w:tc>
        <w:tc>
          <w:tcPr>
            <w:tcW w:w="1447" w:type="dxa"/>
            <w:tcBorders>
              <w:top w:val="single" w:sz="6" w:space="0" w:color="000000"/>
              <w:left w:val="single" w:sz="6" w:space="0" w:color="000000"/>
              <w:bottom w:val="single" w:sz="6" w:space="0" w:color="000000"/>
            </w:tcBorders>
          </w:tcPr>
          <w:p>
            <w:pPr>
              <w:pStyle w:val="TableParagraph"/>
              <w:ind w:left="458" w:right="425"/>
              <w:jc w:val="center"/>
              <w:rPr>
                <w:sz w:val="20"/>
              </w:rPr>
            </w:pPr>
            <w:r>
              <w:rPr>
                <w:sz w:val="20"/>
              </w:rPr>
              <w:t>25.41</w:t>
            </w:r>
          </w:p>
        </w:tc>
      </w:tr>
      <w:tr>
        <w:trPr>
          <w:trHeight w:val="219" w:hRule="atLeast"/>
        </w:trPr>
        <w:tc>
          <w:tcPr>
            <w:tcW w:w="1934" w:type="dxa"/>
            <w:tcBorders>
              <w:top w:val="single" w:sz="6" w:space="0" w:color="000000"/>
              <w:right w:val="single" w:sz="6" w:space="0" w:color="000000"/>
            </w:tcBorders>
          </w:tcPr>
          <w:p>
            <w:pPr>
              <w:pStyle w:val="TableParagraph"/>
              <w:spacing w:line="200" w:lineRule="exact"/>
              <w:ind w:left="148" w:right="117"/>
              <w:jc w:val="center"/>
              <w:rPr>
                <w:sz w:val="20"/>
              </w:rPr>
            </w:pPr>
            <w:r>
              <w:rPr>
                <w:sz w:val="20"/>
              </w:rPr>
              <w:t>35</w:t>
            </w:r>
          </w:p>
        </w:tc>
        <w:tc>
          <w:tcPr>
            <w:tcW w:w="1500" w:type="dxa"/>
            <w:tcBorders>
              <w:top w:val="single" w:sz="6" w:space="0" w:color="000000"/>
              <w:left w:val="single" w:sz="6" w:space="0" w:color="000000"/>
              <w:right w:val="single" w:sz="6" w:space="0" w:color="000000"/>
            </w:tcBorders>
          </w:tcPr>
          <w:p>
            <w:pPr>
              <w:pStyle w:val="TableParagraph"/>
              <w:spacing w:line="200" w:lineRule="exact"/>
              <w:ind w:left="556"/>
              <w:rPr>
                <w:sz w:val="20"/>
              </w:rPr>
            </w:pPr>
            <w:r>
              <w:rPr>
                <w:sz w:val="20"/>
              </w:rPr>
              <w:t>2.24</w:t>
            </w:r>
          </w:p>
        </w:tc>
        <w:tc>
          <w:tcPr>
            <w:tcW w:w="1502" w:type="dxa"/>
            <w:tcBorders>
              <w:top w:val="single" w:sz="6" w:space="0" w:color="000000"/>
              <w:left w:val="single" w:sz="6" w:space="0" w:color="000000"/>
              <w:right w:val="single" w:sz="6" w:space="0" w:color="000000"/>
            </w:tcBorders>
          </w:tcPr>
          <w:p>
            <w:pPr>
              <w:pStyle w:val="TableParagraph"/>
              <w:spacing w:line="200" w:lineRule="exact"/>
              <w:ind w:left="559"/>
              <w:rPr>
                <w:sz w:val="20"/>
              </w:rPr>
            </w:pPr>
            <w:r>
              <w:rPr>
                <w:sz w:val="20"/>
              </w:rPr>
              <w:t>2.38</w:t>
            </w:r>
          </w:p>
        </w:tc>
        <w:tc>
          <w:tcPr>
            <w:tcW w:w="2061" w:type="dxa"/>
            <w:tcBorders>
              <w:top w:val="single" w:sz="6" w:space="0" w:color="000000"/>
              <w:left w:val="single" w:sz="6" w:space="0" w:color="000000"/>
              <w:right w:val="single" w:sz="6" w:space="0" w:color="000000"/>
            </w:tcBorders>
          </w:tcPr>
          <w:p>
            <w:pPr>
              <w:pStyle w:val="TableParagraph"/>
              <w:spacing w:line="240" w:lineRule="auto"/>
              <w:rPr>
                <w:rFonts w:ascii="Times New Roman"/>
                <w:sz w:val="14"/>
              </w:rPr>
            </w:pPr>
          </w:p>
        </w:tc>
        <w:tc>
          <w:tcPr>
            <w:tcW w:w="1447" w:type="dxa"/>
            <w:tcBorders>
              <w:top w:val="single" w:sz="6" w:space="0" w:color="000000"/>
              <w:left w:val="single" w:sz="6" w:space="0" w:color="000000"/>
              <w:right w:val="single" w:sz="6" w:space="0" w:color="000000"/>
            </w:tcBorders>
          </w:tcPr>
          <w:p>
            <w:pPr>
              <w:pStyle w:val="TableParagraph"/>
              <w:spacing w:line="240" w:lineRule="auto"/>
              <w:rPr>
                <w:rFonts w:ascii="Times New Roman"/>
                <w:sz w:val="14"/>
              </w:rPr>
            </w:pPr>
          </w:p>
        </w:tc>
        <w:tc>
          <w:tcPr>
            <w:tcW w:w="1447" w:type="dxa"/>
            <w:tcBorders>
              <w:top w:val="single" w:sz="6" w:space="0" w:color="000000"/>
              <w:left w:val="single" w:sz="6" w:space="0" w:color="000000"/>
            </w:tcBorders>
          </w:tcPr>
          <w:p>
            <w:pPr>
              <w:pStyle w:val="TableParagraph"/>
              <w:spacing w:line="240" w:lineRule="auto"/>
              <w:rPr>
                <w:rFonts w:ascii="Times New Roman"/>
                <w:sz w:val="14"/>
              </w:rPr>
            </w:pPr>
          </w:p>
        </w:tc>
      </w:tr>
    </w:tbl>
    <w:p>
      <w:pPr>
        <w:pStyle w:val="BodyText"/>
        <w:spacing w:before="0"/>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ind w:left="454"/>
      </w:pPr>
      <w:r>
        <w:rPr/>
        <w:t>（2）上表所载年保障成本仅适用于标准体，非标准体的年保障成本将根据其风险程度相应增加。</w:t>
      </w:r>
    </w:p>
    <w:p>
      <w:pPr>
        <w:spacing w:after="0"/>
        <w:sectPr>
          <w:pgSz w:w="11910" w:h="16840"/>
          <w:pgMar w:top="1200" w:bottom="280" w:left="880" w:right="860"/>
        </w:sectPr>
      </w:pPr>
    </w:p>
    <w:p>
      <w:pPr>
        <w:pStyle w:val="Heading2"/>
      </w:pPr>
      <w:r>
        <w:rPr>
          <w:spacing w:val="-1"/>
          <w:w w:val="99"/>
        </w:rPr>
        <w:t>《平安附加无忧豁免保险费重大疾病保险</w:t>
      </w:r>
      <w:r>
        <w:rPr>
          <w:spacing w:val="1"/>
          <w:w w:val="99"/>
        </w:rPr>
        <w:t>（</w:t>
      </w:r>
      <w:r>
        <w:rPr>
          <w:rFonts w:ascii="Times New Roman" w:eastAsia="Times New Roman"/>
          <w:spacing w:val="-2"/>
          <w:w w:val="100"/>
        </w:rPr>
        <w:t>C</w:t>
      </w:r>
      <w:r>
        <w:rPr>
          <w:spacing w:val="-142"/>
          <w:w w:val="99"/>
        </w:rPr>
        <w:t>）</w:t>
      </w:r>
      <w:r>
        <w:rPr>
          <w:spacing w:val="-1"/>
          <w:w w:val="99"/>
        </w:rPr>
        <w:t>》危险保额系数表</w:t>
      </w:r>
    </w:p>
    <w:p>
      <w:pPr>
        <w:pStyle w:val="BodyText"/>
        <w:spacing w:before="0"/>
        <w:rPr>
          <w:b/>
          <w:sz w:val="20"/>
        </w:rPr>
      </w:pPr>
    </w:p>
    <w:p>
      <w:pPr>
        <w:pStyle w:val="BodyText"/>
        <w:spacing w:before="4"/>
        <w:rPr>
          <w:b/>
          <w:sz w:val="1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8"/>
        <w:gridCol w:w="991"/>
        <w:gridCol w:w="2268"/>
        <w:gridCol w:w="1841"/>
        <w:gridCol w:w="994"/>
        <w:gridCol w:w="2081"/>
      </w:tblGrid>
      <w:tr>
        <w:trPr>
          <w:trHeight w:val="481" w:hRule="atLeast"/>
        </w:trPr>
        <w:tc>
          <w:tcPr>
            <w:tcW w:w="1718" w:type="dxa"/>
            <w:tcBorders>
              <w:bottom w:val="single" w:sz="6" w:space="0" w:color="000000"/>
              <w:right w:val="single" w:sz="6" w:space="0" w:color="000000"/>
            </w:tcBorders>
          </w:tcPr>
          <w:p>
            <w:pPr>
              <w:pStyle w:val="TableParagraph"/>
              <w:spacing w:line="240" w:lineRule="auto" w:before="45"/>
              <w:ind w:left="154" w:right="128"/>
              <w:jc w:val="center"/>
              <w:rPr>
                <w:b/>
                <w:sz w:val="24"/>
              </w:rPr>
            </w:pPr>
            <w:r>
              <w:rPr>
                <w:b/>
                <w:w w:val="95"/>
                <w:sz w:val="24"/>
              </w:rPr>
              <w:t>剩余保单年度</w:t>
            </w:r>
          </w:p>
        </w:tc>
        <w:tc>
          <w:tcPr>
            <w:tcW w:w="991" w:type="dxa"/>
            <w:tcBorders>
              <w:left w:val="single" w:sz="6" w:space="0" w:color="000000"/>
              <w:bottom w:val="single" w:sz="6" w:space="0" w:color="000000"/>
              <w:right w:val="single" w:sz="6" w:space="0" w:color="000000"/>
            </w:tcBorders>
          </w:tcPr>
          <w:p>
            <w:pPr>
              <w:pStyle w:val="TableParagraph"/>
              <w:spacing w:line="240" w:lineRule="auto" w:before="45"/>
              <w:ind w:left="232" w:right="200"/>
              <w:jc w:val="center"/>
              <w:rPr>
                <w:b/>
                <w:sz w:val="24"/>
              </w:rPr>
            </w:pPr>
            <w:r>
              <w:rPr>
                <w:b/>
                <w:sz w:val="24"/>
              </w:rPr>
              <w:t>年交</w:t>
            </w:r>
          </w:p>
        </w:tc>
        <w:tc>
          <w:tcPr>
            <w:tcW w:w="2268" w:type="dxa"/>
            <w:tcBorders>
              <w:left w:val="single" w:sz="6" w:space="0" w:color="000000"/>
              <w:bottom w:val="single" w:sz="6" w:space="0" w:color="000000"/>
              <w:right w:val="single" w:sz="6" w:space="0" w:color="000000"/>
            </w:tcBorders>
          </w:tcPr>
          <w:p>
            <w:pPr>
              <w:pStyle w:val="TableParagraph"/>
              <w:spacing w:line="240" w:lineRule="auto" w:before="45"/>
              <w:ind w:left="49" w:right="102"/>
              <w:jc w:val="center"/>
              <w:rPr>
                <w:b/>
                <w:sz w:val="24"/>
              </w:rPr>
            </w:pPr>
            <w:r>
              <w:rPr>
                <w:b/>
                <w:w w:val="95"/>
                <w:sz w:val="24"/>
              </w:rPr>
              <w:t>月交、季交、半年交</w:t>
            </w:r>
          </w:p>
        </w:tc>
        <w:tc>
          <w:tcPr>
            <w:tcW w:w="1841" w:type="dxa"/>
            <w:tcBorders>
              <w:left w:val="single" w:sz="6" w:space="0" w:color="000000"/>
              <w:bottom w:val="single" w:sz="6" w:space="0" w:color="000000"/>
              <w:right w:val="single" w:sz="6" w:space="0" w:color="000000"/>
            </w:tcBorders>
          </w:tcPr>
          <w:p>
            <w:pPr>
              <w:pStyle w:val="TableParagraph"/>
              <w:spacing w:line="240" w:lineRule="auto" w:before="45"/>
              <w:ind w:left="219" w:right="192"/>
              <w:jc w:val="center"/>
              <w:rPr>
                <w:b/>
                <w:sz w:val="24"/>
              </w:rPr>
            </w:pPr>
            <w:r>
              <w:rPr>
                <w:b/>
                <w:w w:val="95"/>
                <w:sz w:val="24"/>
              </w:rPr>
              <w:t>剩余保单年度</w:t>
            </w:r>
          </w:p>
        </w:tc>
        <w:tc>
          <w:tcPr>
            <w:tcW w:w="994" w:type="dxa"/>
            <w:tcBorders>
              <w:left w:val="single" w:sz="6" w:space="0" w:color="000000"/>
              <w:bottom w:val="single" w:sz="6" w:space="0" w:color="000000"/>
              <w:right w:val="single" w:sz="6" w:space="0" w:color="000000"/>
            </w:tcBorders>
          </w:tcPr>
          <w:p>
            <w:pPr>
              <w:pStyle w:val="TableParagraph"/>
              <w:spacing w:line="240" w:lineRule="auto" w:before="45"/>
              <w:ind w:left="232" w:right="203"/>
              <w:jc w:val="center"/>
              <w:rPr>
                <w:b/>
                <w:sz w:val="24"/>
              </w:rPr>
            </w:pPr>
            <w:r>
              <w:rPr>
                <w:b/>
                <w:sz w:val="24"/>
              </w:rPr>
              <w:t>年交</w:t>
            </w:r>
          </w:p>
        </w:tc>
        <w:tc>
          <w:tcPr>
            <w:tcW w:w="2081" w:type="dxa"/>
            <w:tcBorders>
              <w:left w:val="single" w:sz="6" w:space="0" w:color="000000"/>
              <w:bottom w:val="single" w:sz="6" w:space="0" w:color="000000"/>
            </w:tcBorders>
          </w:tcPr>
          <w:p>
            <w:pPr>
              <w:pStyle w:val="TableParagraph"/>
              <w:spacing w:line="240" w:lineRule="auto" w:before="45"/>
              <w:ind w:left="63" w:right="20"/>
              <w:jc w:val="center"/>
              <w:rPr>
                <w:b/>
                <w:sz w:val="24"/>
              </w:rPr>
            </w:pPr>
            <w:r>
              <w:rPr>
                <w:b/>
                <w:spacing w:val="-14"/>
                <w:w w:val="95"/>
                <w:sz w:val="24"/>
              </w:rPr>
              <w:t>月交、季交、半年交</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0.49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12.38</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12.80</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1.46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13.06</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13.47</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1.93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2.41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13.71</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14.12</w:t>
            </w:r>
          </w:p>
        </w:tc>
      </w:tr>
      <w:tr>
        <w:trPr>
          <w:trHeight w:val="225" w:hRule="atLeast"/>
        </w:trPr>
        <w:tc>
          <w:tcPr>
            <w:tcW w:w="1718"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0"/>
              <w:jc w:val="center"/>
              <w:rPr>
                <w:sz w:val="20"/>
              </w:rPr>
            </w:pPr>
            <w:r>
              <w:rPr>
                <w:sz w:val="20"/>
              </w:rPr>
              <w:t>2.86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 w:right="17"/>
              <w:jc w:val="center"/>
              <w:rPr>
                <w:sz w:val="20"/>
              </w:rPr>
            </w:pPr>
            <w:r>
              <w:rPr>
                <w:sz w:val="20"/>
              </w:rPr>
              <w:t>3.33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7"/>
              <w:jc w:val="center"/>
              <w:rPr>
                <w:sz w:val="20"/>
              </w:rPr>
            </w:pPr>
            <w:r>
              <w:rPr>
                <w:sz w:val="20"/>
              </w:rPr>
              <w:t>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7"/>
              <w:jc w:val="center"/>
              <w:rPr>
                <w:sz w:val="20"/>
              </w:rPr>
            </w:pPr>
            <w:r>
              <w:rPr>
                <w:sz w:val="20"/>
              </w:rPr>
              <w:t>14.35</w:t>
            </w:r>
          </w:p>
        </w:tc>
        <w:tc>
          <w:tcPr>
            <w:tcW w:w="2081" w:type="dxa"/>
            <w:tcBorders>
              <w:top w:val="single" w:sz="6" w:space="0" w:color="000000"/>
              <w:left w:val="single" w:sz="6" w:space="0" w:color="000000"/>
              <w:bottom w:val="single" w:sz="6" w:space="0" w:color="000000"/>
            </w:tcBorders>
          </w:tcPr>
          <w:p>
            <w:pPr>
              <w:pStyle w:val="TableParagraph"/>
              <w:spacing w:line="205" w:lineRule="exact"/>
              <w:ind w:left="50" w:right="20"/>
              <w:jc w:val="center"/>
              <w:rPr>
                <w:sz w:val="20"/>
              </w:rPr>
            </w:pPr>
            <w:r>
              <w:rPr>
                <w:sz w:val="20"/>
              </w:rPr>
              <w:t>14.76</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3.76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4.23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14.98</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15.38</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4.65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5.11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15.59</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15.99</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5.51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5.97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16.18</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16.58</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6.35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6.80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16.77</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17.16</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25"/>
              <w:jc w:val="center"/>
              <w:rPr>
                <w:sz w:val="20"/>
              </w:rPr>
            </w:pPr>
            <w:r>
              <w:rPr>
                <w:w w:val="99"/>
                <w:sz w:val="20"/>
              </w:rPr>
              <w:t>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7.17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7.62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17.33</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17.72</w:t>
            </w:r>
          </w:p>
        </w:tc>
      </w:tr>
      <w:tr>
        <w:trPr>
          <w:trHeight w:val="225" w:hRule="atLeast"/>
        </w:trPr>
        <w:tc>
          <w:tcPr>
            <w:tcW w:w="1718"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0"/>
              <w:jc w:val="center"/>
              <w:rPr>
                <w:sz w:val="20"/>
              </w:rPr>
            </w:pPr>
            <w:r>
              <w:rPr>
                <w:sz w:val="20"/>
              </w:rPr>
              <w:t>7.97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9" w:right="17"/>
              <w:jc w:val="center"/>
              <w:rPr>
                <w:sz w:val="20"/>
              </w:rPr>
            </w:pPr>
            <w:r>
              <w:rPr>
                <w:sz w:val="20"/>
              </w:rPr>
              <w:t>8.42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7"/>
              <w:jc w:val="center"/>
              <w:rPr>
                <w:sz w:val="20"/>
              </w:rPr>
            </w:pPr>
            <w:r>
              <w:rPr>
                <w:sz w:val="20"/>
              </w:rPr>
              <w:t>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2" w:right="207"/>
              <w:jc w:val="center"/>
              <w:rPr>
                <w:sz w:val="20"/>
              </w:rPr>
            </w:pPr>
            <w:r>
              <w:rPr>
                <w:sz w:val="20"/>
              </w:rPr>
              <w:t>17.88</w:t>
            </w:r>
          </w:p>
        </w:tc>
        <w:tc>
          <w:tcPr>
            <w:tcW w:w="2081" w:type="dxa"/>
            <w:tcBorders>
              <w:top w:val="single" w:sz="6" w:space="0" w:color="000000"/>
              <w:left w:val="single" w:sz="6" w:space="0" w:color="000000"/>
              <w:bottom w:val="single" w:sz="6" w:space="0" w:color="000000"/>
            </w:tcBorders>
          </w:tcPr>
          <w:p>
            <w:pPr>
              <w:pStyle w:val="TableParagraph"/>
              <w:spacing w:line="205" w:lineRule="exact"/>
              <w:ind w:left="50" w:right="20"/>
              <w:jc w:val="center"/>
              <w:rPr>
                <w:sz w:val="20"/>
              </w:rPr>
            </w:pPr>
            <w:r>
              <w:rPr>
                <w:sz w:val="20"/>
              </w:rPr>
              <w:t>18.27</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154" w:right="123"/>
              <w:jc w:val="center"/>
              <w:rPr>
                <w:sz w:val="20"/>
              </w:rPr>
            </w:pPr>
            <w:r>
              <w:rPr>
                <w:sz w:val="20"/>
              </w:rPr>
              <w:t>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8.75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9.19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18.42</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18.81</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154" w:right="123"/>
              <w:jc w:val="center"/>
              <w:rPr>
                <w:sz w:val="20"/>
              </w:rPr>
            </w:pPr>
            <w:r>
              <w:rPr>
                <w:sz w:val="20"/>
              </w:rPr>
              <w:t>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0"/>
              <w:jc w:val="center"/>
              <w:rPr>
                <w:sz w:val="20"/>
              </w:rPr>
            </w:pPr>
            <w:r>
              <w:rPr>
                <w:sz w:val="20"/>
              </w:rPr>
              <w:t>9.51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17"/>
              <w:jc w:val="center"/>
              <w:rPr>
                <w:sz w:val="20"/>
              </w:rPr>
            </w:pPr>
            <w:r>
              <w:rPr>
                <w:sz w:val="20"/>
              </w:rPr>
              <w:t>9.95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18.95</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19.33</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154" w:right="123"/>
              <w:jc w:val="center"/>
              <w:rPr>
                <w:sz w:val="20"/>
              </w:rPr>
            </w:pPr>
            <w:r>
              <w:rPr>
                <w:sz w:val="20"/>
              </w:rPr>
              <w:t>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4"/>
              <w:jc w:val="center"/>
              <w:rPr>
                <w:sz w:val="20"/>
              </w:rPr>
            </w:pPr>
            <w:r>
              <w:rPr>
                <w:sz w:val="20"/>
              </w:rPr>
              <w:t>10.26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21"/>
              <w:jc w:val="center"/>
              <w:rPr>
                <w:sz w:val="20"/>
              </w:rPr>
            </w:pPr>
            <w:r>
              <w:rPr>
                <w:sz w:val="20"/>
              </w:rPr>
              <w:t>10.69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19.46</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19.84</w:t>
            </w:r>
          </w:p>
        </w:tc>
      </w:tr>
      <w:tr>
        <w:trPr>
          <w:trHeight w:val="222" w:hRule="atLeast"/>
        </w:trPr>
        <w:tc>
          <w:tcPr>
            <w:tcW w:w="1718" w:type="dxa"/>
            <w:tcBorders>
              <w:top w:val="single" w:sz="6" w:space="0" w:color="000000"/>
              <w:bottom w:val="single" w:sz="6" w:space="0" w:color="000000"/>
              <w:right w:val="single" w:sz="6" w:space="0" w:color="000000"/>
            </w:tcBorders>
          </w:tcPr>
          <w:p>
            <w:pPr>
              <w:pStyle w:val="TableParagraph"/>
              <w:ind w:left="154" w:right="123"/>
              <w:jc w:val="center"/>
              <w:rPr>
                <w:sz w:val="20"/>
              </w:rPr>
            </w:pPr>
            <w:r>
              <w:rPr>
                <w:sz w:val="20"/>
              </w:rPr>
              <w:t>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ind w:left="232" w:right="204"/>
              <w:jc w:val="center"/>
              <w:rPr>
                <w:sz w:val="20"/>
              </w:rPr>
            </w:pPr>
            <w:r>
              <w:rPr>
                <w:sz w:val="20"/>
              </w:rPr>
              <w:t>10.98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ind w:left="49" w:right="21"/>
              <w:jc w:val="center"/>
              <w:rPr>
                <w:sz w:val="20"/>
              </w:rPr>
            </w:pPr>
            <w:r>
              <w:rPr>
                <w:sz w:val="20"/>
              </w:rPr>
              <w:t>11.41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19" w:right="187"/>
              <w:jc w:val="center"/>
              <w:rPr>
                <w:sz w:val="20"/>
              </w:rPr>
            </w:pPr>
            <w:r>
              <w:rPr>
                <w:sz w:val="20"/>
              </w:rPr>
              <w:t>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ind w:left="232" w:right="207"/>
              <w:jc w:val="center"/>
              <w:rPr>
                <w:sz w:val="20"/>
              </w:rPr>
            </w:pPr>
            <w:r>
              <w:rPr>
                <w:sz w:val="20"/>
              </w:rPr>
              <w:t>19.96</w:t>
            </w:r>
          </w:p>
        </w:tc>
        <w:tc>
          <w:tcPr>
            <w:tcW w:w="2081" w:type="dxa"/>
            <w:tcBorders>
              <w:top w:val="single" w:sz="6" w:space="0" w:color="000000"/>
              <w:left w:val="single" w:sz="6" w:space="0" w:color="000000"/>
              <w:bottom w:val="single" w:sz="6" w:space="0" w:color="000000"/>
            </w:tcBorders>
          </w:tcPr>
          <w:p>
            <w:pPr>
              <w:pStyle w:val="TableParagraph"/>
              <w:ind w:left="50" w:right="20"/>
              <w:jc w:val="center"/>
              <w:rPr>
                <w:sz w:val="20"/>
              </w:rPr>
            </w:pPr>
            <w:r>
              <w:rPr>
                <w:sz w:val="20"/>
              </w:rPr>
              <w:t>20.34</w:t>
            </w:r>
          </w:p>
        </w:tc>
      </w:tr>
      <w:tr>
        <w:trPr>
          <w:trHeight w:val="222" w:hRule="atLeast"/>
        </w:trPr>
        <w:tc>
          <w:tcPr>
            <w:tcW w:w="1718" w:type="dxa"/>
            <w:tcBorders>
              <w:top w:val="single" w:sz="6" w:space="0" w:color="000000"/>
              <w:right w:val="single" w:sz="6" w:space="0" w:color="000000"/>
            </w:tcBorders>
          </w:tcPr>
          <w:p>
            <w:pPr>
              <w:pStyle w:val="TableParagraph"/>
              <w:spacing w:line="202" w:lineRule="exact"/>
              <w:ind w:left="154" w:right="123"/>
              <w:jc w:val="center"/>
              <w:rPr>
                <w:sz w:val="20"/>
              </w:rPr>
            </w:pPr>
            <w:r>
              <w:rPr>
                <w:sz w:val="20"/>
              </w:rPr>
              <w:t>14</w:t>
            </w:r>
          </w:p>
        </w:tc>
        <w:tc>
          <w:tcPr>
            <w:tcW w:w="991" w:type="dxa"/>
            <w:tcBorders>
              <w:top w:val="single" w:sz="6" w:space="0" w:color="000000"/>
              <w:left w:val="single" w:sz="6" w:space="0" w:color="000000"/>
              <w:right w:val="single" w:sz="6" w:space="0" w:color="000000"/>
            </w:tcBorders>
          </w:tcPr>
          <w:p>
            <w:pPr>
              <w:pStyle w:val="TableParagraph"/>
              <w:spacing w:line="202" w:lineRule="exact"/>
              <w:ind w:left="232" w:right="204"/>
              <w:jc w:val="center"/>
              <w:rPr>
                <w:sz w:val="20"/>
              </w:rPr>
            </w:pPr>
            <w:r>
              <w:rPr>
                <w:sz w:val="20"/>
              </w:rPr>
              <w:t>11.69</w:t>
            </w:r>
          </w:p>
        </w:tc>
        <w:tc>
          <w:tcPr>
            <w:tcW w:w="2268" w:type="dxa"/>
            <w:tcBorders>
              <w:top w:val="single" w:sz="6" w:space="0" w:color="000000"/>
              <w:left w:val="single" w:sz="6" w:space="0" w:color="000000"/>
              <w:right w:val="single" w:sz="6" w:space="0" w:color="000000"/>
            </w:tcBorders>
          </w:tcPr>
          <w:p>
            <w:pPr>
              <w:pStyle w:val="TableParagraph"/>
              <w:spacing w:line="202" w:lineRule="exact"/>
              <w:ind w:left="49" w:right="21"/>
              <w:jc w:val="center"/>
              <w:rPr>
                <w:sz w:val="20"/>
              </w:rPr>
            </w:pPr>
            <w:r>
              <w:rPr>
                <w:sz w:val="20"/>
              </w:rPr>
              <w:t>12.11</w:t>
            </w:r>
          </w:p>
        </w:tc>
        <w:tc>
          <w:tcPr>
            <w:tcW w:w="1841" w:type="dxa"/>
            <w:tcBorders>
              <w:top w:val="single" w:sz="6" w:space="0" w:color="000000"/>
              <w:left w:val="single" w:sz="6" w:space="0" w:color="000000"/>
              <w:right w:val="single" w:sz="6" w:space="0" w:color="000000"/>
            </w:tcBorders>
          </w:tcPr>
          <w:p>
            <w:pPr>
              <w:pStyle w:val="TableParagraph"/>
              <w:spacing w:line="202" w:lineRule="exact"/>
              <w:ind w:left="219" w:right="187"/>
              <w:jc w:val="center"/>
              <w:rPr>
                <w:sz w:val="20"/>
              </w:rPr>
            </w:pPr>
            <w:r>
              <w:rPr>
                <w:sz w:val="20"/>
              </w:rPr>
              <w:t>29</w:t>
            </w:r>
          </w:p>
        </w:tc>
        <w:tc>
          <w:tcPr>
            <w:tcW w:w="994" w:type="dxa"/>
            <w:tcBorders>
              <w:top w:val="single" w:sz="6" w:space="0" w:color="000000"/>
              <w:left w:val="single" w:sz="6" w:space="0" w:color="000000"/>
              <w:right w:val="single" w:sz="6" w:space="0" w:color="000000"/>
            </w:tcBorders>
          </w:tcPr>
          <w:p>
            <w:pPr>
              <w:pStyle w:val="TableParagraph"/>
              <w:spacing w:line="202" w:lineRule="exact"/>
              <w:ind w:left="232" w:right="207"/>
              <w:jc w:val="center"/>
              <w:rPr>
                <w:sz w:val="20"/>
              </w:rPr>
            </w:pPr>
            <w:r>
              <w:rPr>
                <w:sz w:val="20"/>
              </w:rPr>
              <w:t>20.45</w:t>
            </w:r>
          </w:p>
        </w:tc>
        <w:tc>
          <w:tcPr>
            <w:tcW w:w="2081" w:type="dxa"/>
            <w:tcBorders>
              <w:top w:val="single" w:sz="6" w:space="0" w:color="000000"/>
              <w:left w:val="single" w:sz="6" w:space="0" w:color="000000"/>
            </w:tcBorders>
          </w:tcPr>
          <w:p>
            <w:pPr>
              <w:pStyle w:val="TableParagraph"/>
              <w:spacing w:line="202" w:lineRule="exact"/>
              <w:ind w:left="50" w:right="20"/>
              <w:jc w:val="center"/>
              <w:rPr>
                <w:sz w:val="20"/>
              </w:rPr>
            </w:pPr>
            <w:r>
              <w:rPr>
                <w:sz w:val="20"/>
              </w:rPr>
              <w:t>20.82</w:t>
            </w:r>
          </w:p>
        </w:tc>
      </w:tr>
    </w:tbl>
    <w:p>
      <w:pPr>
        <w:pStyle w:val="BodyText"/>
        <w:spacing w:line="265" w:lineRule="exact" w:before="0"/>
        <w:ind w:left="140"/>
      </w:pPr>
      <w:r>
        <w:rPr/>
        <w:t>注：剩余保单年度是指本附加险合同保险期间减去结算日零时对应的保单年度数后的数值。</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2763" w:hanging="958"/>
        <w:jc w:val="left"/>
      </w:pPr>
      <w:rPr>
        <w:rFonts w:hint="default"/>
      </w:rPr>
    </w:lvl>
    <w:lvl w:ilvl="1">
      <w:start w:val="1"/>
      <w:numFmt w:val="decimal"/>
      <w:lvlText w:val="%1.%2"/>
      <w:lvlJc w:val="left"/>
      <w:pPr>
        <w:ind w:left="2763"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1">
    <w:multiLevelType w:val="hybridMultilevel"/>
    <w:lvl w:ilvl="0">
      <w:start w:val="3"/>
      <w:numFmt w:val="decimal"/>
      <w:lvlText w:val="%1"/>
      <w:lvlJc w:val="left"/>
      <w:pPr>
        <w:ind w:left="1177" w:hanging="958"/>
        <w:jc w:val="left"/>
      </w:pPr>
      <w:rPr>
        <w:rFonts w:hint="default"/>
      </w:rPr>
    </w:lvl>
    <w:lvl w:ilvl="1">
      <w:start w:val="1"/>
      <w:numFmt w:val="decimal"/>
      <w:lvlText w:val="%1.%2"/>
      <w:lvlJc w:val="left"/>
      <w:pPr>
        <w:ind w:left="1177" w:hanging="958"/>
        <w:jc w:val="left"/>
      </w:pPr>
      <w:rPr>
        <w:rFonts w:hint="default" w:ascii="宋体" w:hAnsi="宋体" w:eastAsia="宋体" w:cs="宋体"/>
        <w:b/>
        <w:bCs/>
        <w:w w:val="99"/>
        <w:sz w:val="21"/>
        <w:szCs w:val="21"/>
      </w:rPr>
    </w:lvl>
    <w:lvl w:ilvl="2">
      <w:start w:val="0"/>
      <w:numFmt w:val="bullet"/>
      <w:lvlText w:val="•"/>
      <w:lvlJc w:val="left"/>
      <w:pPr>
        <w:ind w:left="1458" w:hanging="958"/>
      </w:pPr>
      <w:rPr>
        <w:rFonts w:hint="default"/>
      </w:rPr>
    </w:lvl>
    <w:lvl w:ilvl="3">
      <w:start w:val="0"/>
      <w:numFmt w:val="bullet"/>
      <w:lvlText w:val="•"/>
      <w:lvlJc w:val="left"/>
      <w:pPr>
        <w:ind w:left="1597" w:hanging="958"/>
      </w:pPr>
      <w:rPr>
        <w:rFonts w:hint="default"/>
      </w:rPr>
    </w:lvl>
    <w:lvl w:ilvl="4">
      <w:start w:val="0"/>
      <w:numFmt w:val="bullet"/>
      <w:lvlText w:val="•"/>
      <w:lvlJc w:val="left"/>
      <w:pPr>
        <w:ind w:left="1736" w:hanging="958"/>
      </w:pPr>
      <w:rPr>
        <w:rFonts w:hint="default"/>
      </w:rPr>
    </w:lvl>
    <w:lvl w:ilvl="5">
      <w:start w:val="0"/>
      <w:numFmt w:val="bullet"/>
      <w:lvlText w:val="•"/>
      <w:lvlJc w:val="left"/>
      <w:pPr>
        <w:ind w:left="1875" w:hanging="958"/>
      </w:pPr>
      <w:rPr>
        <w:rFonts w:hint="default"/>
      </w:rPr>
    </w:lvl>
    <w:lvl w:ilvl="6">
      <w:start w:val="0"/>
      <w:numFmt w:val="bullet"/>
      <w:lvlText w:val="•"/>
      <w:lvlJc w:val="left"/>
      <w:pPr>
        <w:ind w:left="2015" w:hanging="958"/>
      </w:pPr>
      <w:rPr>
        <w:rFonts w:hint="default"/>
      </w:rPr>
    </w:lvl>
    <w:lvl w:ilvl="7">
      <w:start w:val="0"/>
      <w:numFmt w:val="bullet"/>
      <w:lvlText w:val="•"/>
      <w:lvlJc w:val="left"/>
      <w:pPr>
        <w:ind w:left="2154" w:hanging="958"/>
      </w:pPr>
      <w:rPr>
        <w:rFonts w:hint="default"/>
      </w:rPr>
    </w:lvl>
    <w:lvl w:ilvl="8">
      <w:start w:val="0"/>
      <w:numFmt w:val="bullet"/>
      <w:lvlText w:val="•"/>
      <w:lvlJc w:val="left"/>
      <w:pPr>
        <w:ind w:left="2293" w:hanging="958"/>
      </w:pPr>
      <w:rPr>
        <w:rFonts w:hint="default"/>
      </w:rPr>
    </w:lvl>
  </w:abstractNum>
  <w:abstractNum w:abstractNumId="0">
    <w:multiLevelType w:val="hybridMultilevel"/>
    <w:lvl w:ilvl="0">
      <w:start w:val="0"/>
      <w:numFmt w:val="bullet"/>
      <w:lvlText w:val=""/>
      <w:lvlJc w:val="left"/>
      <w:pPr>
        <w:ind w:left="1740" w:hanging="420"/>
      </w:pPr>
      <w:rPr>
        <w:rFonts w:hint="default" w:ascii="Wingdings" w:hAnsi="Wingdings" w:eastAsia="Wingdings" w:cs="Wingdings"/>
        <w:w w:val="100"/>
        <w:sz w:val="21"/>
        <w:szCs w:val="21"/>
      </w:rPr>
    </w:lvl>
    <w:lvl w:ilvl="1">
      <w:start w:val="0"/>
      <w:numFmt w:val="bullet"/>
      <w:lvlText w:val="•"/>
      <w:lvlJc w:val="left"/>
      <w:pPr>
        <w:ind w:left="2600" w:hanging="420"/>
      </w:pPr>
      <w:rPr>
        <w:rFonts w:hint="default"/>
      </w:rPr>
    </w:lvl>
    <w:lvl w:ilvl="2">
      <w:start w:val="0"/>
      <w:numFmt w:val="bullet"/>
      <w:lvlText w:val="•"/>
      <w:lvlJc w:val="left"/>
      <w:pPr>
        <w:ind w:left="3461" w:hanging="420"/>
      </w:pPr>
      <w:rPr>
        <w:rFonts w:hint="default"/>
      </w:rPr>
    </w:lvl>
    <w:lvl w:ilvl="3">
      <w:start w:val="0"/>
      <w:numFmt w:val="bullet"/>
      <w:lvlText w:val="•"/>
      <w:lvlJc w:val="left"/>
      <w:pPr>
        <w:ind w:left="4321" w:hanging="420"/>
      </w:pPr>
      <w:rPr>
        <w:rFonts w:hint="default"/>
      </w:rPr>
    </w:lvl>
    <w:lvl w:ilvl="4">
      <w:start w:val="0"/>
      <w:numFmt w:val="bullet"/>
      <w:lvlText w:val="•"/>
      <w:lvlJc w:val="left"/>
      <w:pPr>
        <w:ind w:left="5182" w:hanging="420"/>
      </w:pPr>
      <w:rPr>
        <w:rFonts w:hint="default"/>
      </w:rPr>
    </w:lvl>
    <w:lvl w:ilvl="5">
      <w:start w:val="0"/>
      <w:numFmt w:val="bullet"/>
      <w:lvlText w:val="•"/>
      <w:lvlJc w:val="left"/>
      <w:pPr>
        <w:ind w:left="6043" w:hanging="420"/>
      </w:pPr>
      <w:rPr>
        <w:rFonts w:hint="default"/>
      </w:rPr>
    </w:lvl>
    <w:lvl w:ilvl="6">
      <w:start w:val="0"/>
      <w:numFmt w:val="bullet"/>
      <w:lvlText w:val="•"/>
      <w:lvlJc w:val="left"/>
      <w:pPr>
        <w:ind w:left="6903" w:hanging="420"/>
      </w:pPr>
      <w:rPr>
        <w:rFonts w:hint="default"/>
      </w:rPr>
    </w:lvl>
    <w:lvl w:ilvl="7">
      <w:start w:val="0"/>
      <w:numFmt w:val="bullet"/>
      <w:lvlText w:val="•"/>
      <w:lvlJc w:val="left"/>
      <w:pPr>
        <w:ind w:left="7764" w:hanging="420"/>
      </w:pPr>
      <w:rPr>
        <w:rFonts w:hint="default"/>
      </w:rPr>
    </w:lvl>
    <w:lvl w:ilvl="8">
      <w:start w:val="0"/>
      <w:numFmt w:val="bullet"/>
      <w:lvlText w:val="•"/>
      <w:lvlJc w:val="left"/>
      <w:pPr>
        <w:ind w:left="8625"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04"/>
      <w:outlineLvl w:val="2"/>
    </w:pPr>
    <w:rPr>
      <w:rFonts w:ascii="宋体" w:hAnsi="宋体" w:eastAsia="宋体" w:cs="宋体"/>
      <w:b/>
      <w:bCs/>
      <w:sz w:val="28"/>
      <w:szCs w:val="28"/>
    </w:rPr>
  </w:style>
  <w:style w:styleId="Heading3" w:type="paragraph">
    <w:name w:val="Heading 3"/>
    <w:basedOn w:val="Normal"/>
    <w:uiPriority w:val="1"/>
    <w:qFormat/>
    <w:pPr>
      <w:spacing w:before="41"/>
      <w:ind w:left="297"/>
      <w:outlineLvl w:val="3"/>
    </w:pPr>
    <w:rPr>
      <w:rFonts w:ascii="等线" w:hAnsi="等线" w:eastAsia="等线" w:cs="等线"/>
      <w:b/>
      <w:bCs/>
      <w:sz w:val="24"/>
      <w:szCs w:val="24"/>
    </w:rPr>
  </w:style>
  <w:style w:styleId="Heading4" w:type="paragraph">
    <w:name w:val="Heading 4"/>
    <w:basedOn w:val="Normal"/>
    <w:uiPriority w:val="1"/>
    <w:qFormat/>
    <w:pPr>
      <w:spacing w:before="22"/>
      <w:ind w:left="348"/>
      <w:outlineLvl w:val="4"/>
    </w:pPr>
    <w:rPr>
      <w:rFonts w:ascii="宋体" w:hAnsi="宋体" w:eastAsia="宋体" w:cs="宋体"/>
      <w:b/>
      <w:bCs/>
      <w:sz w:val="21"/>
      <w:szCs w:val="21"/>
    </w:rPr>
  </w:style>
  <w:style w:styleId="ListParagraph" w:type="paragraph">
    <w:name w:val="List Paragraph"/>
    <w:basedOn w:val="Normal"/>
    <w:uiPriority w:val="1"/>
    <w:qFormat/>
    <w:pPr>
      <w:spacing w:before="22"/>
      <w:ind w:left="1740" w:hanging="420"/>
    </w:pPr>
    <w:rPr>
      <w:rFonts w:ascii="宋体" w:hAnsi="宋体" w:eastAsia="宋体" w:cs="宋体"/>
    </w:rPr>
  </w:style>
  <w:style w:styleId="TableParagraph" w:type="paragraph">
    <w:name w:val="Table Paragraph"/>
    <w:basedOn w:val="Normal"/>
    <w:uiPriority w:val="1"/>
    <w:qFormat/>
    <w:pPr>
      <w:spacing w:line="203"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2018-10-19T22:48:12Z</dcterms:created>
  <dcterms:modified xsi:type="dcterms:W3CDTF">2018-10-19T22:48:12Z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