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43" w:val="left" w:leader="none"/>
        </w:tabs>
        <w:spacing w:before="314"/>
        <w:ind w:left="164" w:right="0" w:firstLine="0"/>
        <w:jc w:val="left"/>
        <w:rPr>
          <w:rFonts w:ascii="微软雅黑" w:eastAsia="微软雅黑" w:hint="eastAsia"/>
          <w:b/>
          <w:sz w:val="32"/>
        </w:rPr>
      </w:pPr>
      <w:r>
        <w:rPr/>
        <w:pict>
          <v:line style="position:absolute;mso-position-horizontal-relative:page;mso-position-vertical-relative:paragraph;z-index:-21232" from="63.720001pt,2.726647pt" to="543.000001pt,2.726647pt" stroked="true" strokeweight=".72pt" strokecolor="#000000">
            <v:stroke dashstyle="solid"/>
            <w10:wrap type="none"/>
          </v:line>
        </w:pict>
      </w:r>
      <w:r>
        <w:rPr>
          <w:sz w:val="32"/>
        </w:rPr>
        <w:t>附件</w:t>
      </w:r>
      <w:r>
        <w:rPr>
          <w:spacing w:val="-82"/>
          <w:sz w:val="32"/>
        </w:rPr>
        <w:t> </w:t>
      </w:r>
      <w:r>
        <w:rPr>
          <w:sz w:val="32"/>
        </w:rPr>
        <w:t>31-3：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18"/>
        <w:ind w:left="164" w:right="0" w:firstLine="0"/>
        <w:jc w:val="left"/>
        <w:rPr>
          <w:sz w:val="16"/>
        </w:rPr>
      </w:pPr>
      <w:r>
        <w:rPr/>
        <w:br w:type="column"/>
      </w:r>
      <w:r>
        <w:rPr>
          <w:w w:val="95"/>
          <w:sz w:val="16"/>
        </w:rPr>
        <w:t>民生保险[2011]疾病保险110号</w:t>
      </w:r>
    </w:p>
    <w:p>
      <w:pPr>
        <w:spacing w:after="0"/>
        <w:jc w:val="left"/>
        <w:rPr>
          <w:sz w:val="16"/>
        </w:rPr>
        <w:sectPr>
          <w:headerReference w:type="default" r:id="rId5"/>
          <w:footerReference w:type="default" r:id="rId6"/>
          <w:type w:val="continuous"/>
          <w:pgSz w:w="11910" w:h="16840"/>
          <w:pgMar w:header="857" w:footer="981" w:top="1040" w:bottom="1180" w:left="1140" w:right="880"/>
          <w:pgNumType w:start="1"/>
          <w:cols w:num="2" w:equalWidth="0">
            <w:col w:w="6007" w:space="1447"/>
            <w:col w:w="2436"/>
          </w:cols>
        </w:sectPr>
      </w:pPr>
    </w:p>
    <w:p>
      <w:pPr>
        <w:pStyle w:val="BodyText"/>
        <w:spacing w:before="0"/>
        <w:rPr>
          <w:sz w:val="12"/>
        </w:rPr>
      </w:pPr>
    </w:p>
    <w:p>
      <w:pPr>
        <w:spacing w:after="0"/>
        <w:rPr>
          <w:sz w:val="12"/>
        </w:rPr>
        <w:sectPr>
          <w:type w:val="continuous"/>
          <w:pgSz w:w="11910" w:h="16840"/>
          <w:pgMar w:top="1040" w:bottom="1180" w:left="1140" w:right="880"/>
        </w:sectPr>
      </w:pPr>
    </w:p>
    <w:p>
      <w:pPr>
        <w:spacing w:before="35"/>
        <w:ind w:left="1870" w:right="0" w:firstLine="0"/>
        <w:jc w:val="left"/>
        <w:rPr>
          <w:b/>
          <w:sz w:val="21"/>
        </w:rPr>
      </w:pP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8"/>
          <w:w w:val="95"/>
          <w:sz w:val="21"/>
        </w:rPr>
        <w:t>内</w:t>
      </w:r>
      <w:r>
        <w:rPr>
          <w:spacing w:val="-63"/>
          <w:w w:val="95"/>
          <w:position w:val="-7"/>
          <w:sz w:val="21"/>
        </w:rPr>
        <w:t>．</w:t>
      </w:r>
      <w:r>
        <w:rPr>
          <w:b/>
          <w:spacing w:val="-148"/>
          <w:w w:val="95"/>
          <w:sz w:val="21"/>
        </w:rPr>
        <w:t>容</w:t>
      </w:r>
      <w:r>
        <w:rPr>
          <w:spacing w:val="-63"/>
          <w:w w:val="95"/>
          <w:position w:val="-7"/>
          <w:sz w:val="21"/>
        </w:rPr>
        <w:t>．</w:t>
      </w:r>
      <w:r>
        <w:rPr>
          <w:b/>
          <w:spacing w:val="-147"/>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8"/>
          <w:w w:val="95"/>
          <w:sz w:val="21"/>
        </w:rPr>
        <w:t>以</w:t>
      </w:r>
      <w:r>
        <w:rPr>
          <w:spacing w:val="-63"/>
          <w:w w:val="95"/>
          <w:position w:val="-7"/>
          <w:sz w:val="21"/>
        </w:rPr>
        <w:t>．</w:t>
      </w:r>
      <w:r>
        <w:rPr>
          <w:b/>
          <w:spacing w:val="-148"/>
          <w:w w:val="95"/>
          <w:sz w:val="21"/>
        </w:rPr>
        <w:t>条</w:t>
      </w:r>
      <w:r>
        <w:rPr>
          <w:spacing w:val="-63"/>
          <w:w w:val="95"/>
          <w:position w:val="-7"/>
          <w:sz w:val="21"/>
        </w:rPr>
        <w:t>．</w:t>
      </w:r>
      <w:r>
        <w:rPr>
          <w:b/>
          <w:spacing w:val="-147"/>
          <w:w w:val="95"/>
          <w:sz w:val="21"/>
        </w:rPr>
        <w:t>款</w:t>
      </w:r>
      <w:r>
        <w:rPr>
          <w:spacing w:val="-63"/>
          <w:w w:val="95"/>
          <w:position w:val="-7"/>
          <w:sz w:val="21"/>
        </w:rPr>
        <w:t>．</w:t>
      </w:r>
      <w:r>
        <w:rPr>
          <w:b/>
          <w:spacing w:val="-147"/>
          <w:w w:val="95"/>
          <w:sz w:val="21"/>
        </w:rPr>
        <w:t>为</w:t>
      </w:r>
      <w:r>
        <w:rPr>
          <w:spacing w:val="-63"/>
          <w:w w:val="95"/>
          <w:position w:val="-7"/>
          <w:sz w:val="21"/>
        </w:rPr>
        <w:t>．</w:t>
      </w:r>
      <w:r>
        <w:rPr>
          <w:b/>
          <w:spacing w:val="-147"/>
          <w:w w:val="95"/>
          <w:sz w:val="21"/>
        </w:rPr>
        <w:t>准</w:t>
      </w:r>
      <w:r>
        <w:rPr>
          <w:spacing w:val="-63"/>
          <w:w w:val="95"/>
          <w:position w:val="-7"/>
          <w:sz w:val="21"/>
        </w:rPr>
        <w:t>．</w:t>
      </w:r>
      <w:r>
        <w:rPr>
          <w:b/>
          <w:w w:val="95"/>
          <w:sz w:val="21"/>
        </w:rPr>
        <w:t>。</w:t>
      </w:r>
    </w:p>
    <w:p>
      <w:pPr>
        <w:pStyle w:val="Heading2"/>
        <w:tabs>
          <w:tab w:pos="1382" w:val="left" w:leader="none"/>
        </w:tabs>
        <w:spacing w:before="197"/>
        <w:ind w:left="371"/>
      </w:pPr>
      <w:r>
        <w:rPr/>
        <w:drawing>
          <wp:anchor distT="0" distB="0" distL="0" distR="0" allowOverlap="1" layoutInCell="1" locked="0" behindDoc="1" simplePos="0" relativeHeight="268414247">
            <wp:simplePos x="0" y="0"/>
            <wp:positionH relativeFrom="page">
              <wp:posOffset>798358</wp:posOffset>
            </wp:positionH>
            <wp:positionV relativeFrom="paragraph">
              <wp:posOffset>167833</wp:posOffset>
            </wp:positionV>
            <wp:extent cx="6132248" cy="78810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3224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BodyText"/>
        <w:spacing w:before="4"/>
        <w:rPr>
          <w:b/>
          <w:sz w:val="17"/>
        </w:rPr>
      </w:pPr>
      <w:r>
        <w:rPr/>
        <w:br w:type="column"/>
      </w:r>
      <w:r>
        <w:rPr>
          <w:b/>
          <w:sz w:val="17"/>
        </w:rPr>
      </w:r>
    </w:p>
    <w:p>
      <w:pPr>
        <w:spacing w:before="0"/>
        <w:ind w:left="87" w:right="0" w:firstLine="0"/>
        <w:jc w:val="left"/>
        <w:rPr>
          <w:sz w:val="16"/>
        </w:rPr>
      </w:pPr>
      <w:r>
        <w:rPr/>
        <w:drawing>
          <wp:anchor distT="0" distB="0" distL="0" distR="0" allowOverlap="1" layoutInCell="1" locked="0" behindDoc="1" simplePos="0" relativeHeight="268414271">
            <wp:simplePos x="0" y="0"/>
            <wp:positionH relativeFrom="page">
              <wp:posOffset>6268365</wp:posOffset>
            </wp:positionH>
            <wp:positionV relativeFrom="paragraph">
              <wp:posOffset>-622953</wp:posOffset>
            </wp:positionV>
            <wp:extent cx="631825" cy="63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1825" cy="631825"/>
                    </a:xfrm>
                    <a:prstGeom prst="rect">
                      <a:avLst/>
                    </a:prstGeom>
                  </pic:spPr>
                </pic:pic>
              </a:graphicData>
            </a:graphic>
          </wp:anchor>
        </w:drawing>
      </w:r>
      <w:r>
        <w:rPr>
          <w:sz w:val="16"/>
        </w:rPr>
        <w:t>请扫描以查询验证条款</w:t>
      </w:r>
    </w:p>
    <w:p>
      <w:pPr>
        <w:spacing w:after="0"/>
        <w:jc w:val="left"/>
        <w:rPr>
          <w:sz w:val="16"/>
        </w:rPr>
        <w:sectPr>
          <w:type w:val="continuous"/>
          <w:pgSz w:w="11910" w:h="16840"/>
          <w:pgMar w:top="1040" w:bottom="1180" w:left="1140" w:right="880"/>
          <w:cols w:num="2" w:equalWidth="0">
            <w:col w:w="7983" w:space="40"/>
            <w:col w:w="1867"/>
          </w:cols>
        </w:sectPr>
      </w:pPr>
    </w:p>
    <w:p>
      <w:pPr>
        <w:pStyle w:val="Heading2"/>
        <w:numPr>
          <w:ilvl w:val="0"/>
          <w:numId w:val="1"/>
        </w:numPr>
        <w:tabs>
          <w:tab w:pos="1783" w:val="left" w:leader="none"/>
          <w:tab w:pos="1784" w:val="left" w:leader="none"/>
        </w:tabs>
        <w:spacing w:line="252" w:lineRule="exact" w:before="0" w:after="0"/>
        <w:ind w:left="1783" w:right="0" w:hanging="440"/>
        <w:jc w:val="left"/>
      </w:pPr>
      <w:r>
        <w:rPr>
          <w:w w:val="95"/>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1140" w:right="880"/>
        </w:sectPr>
      </w:pPr>
    </w:p>
    <w:p>
      <w:pPr>
        <w:pStyle w:val="Heading2"/>
        <w:spacing w:before="104"/>
        <w:ind w:left="1248"/>
      </w:pPr>
      <w:r>
        <w:rPr>
          <w:w w:val="95"/>
        </w:rPr>
        <w:t>1.您与我们的合同</w:t>
      </w:r>
    </w:p>
    <w:p>
      <w:pPr>
        <w:spacing w:before="70"/>
        <w:ind w:left="1006" w:right="0" w:firstLine="0"/>
        <w:jc w:val="left"/>
        <w:rPr>
          <w:b/>
          <w:sz w:val="21"/>
        </w:rPr>
      </w:pPr>
      <w:r>
        <w:rPr/>
        <w:br w:type="column"/>
      </w:r>
      <w:r>
        <w:rPr>
          <w:b/>
          <w:w w:val="95"/>
          <w:sz w:val="21"/>
        </w:rPr>
        <w:t>4.如何交付保险费</w:t>
      </w:r>
    </w:p>
    <w:p>
      <w:pPr>
        <w:spacing w:before="57"/>
        <w:ind w:left="902" w:right="0" w:firstLine="0"/>
        <w:jc w:val="left"/>
        <w:rPr>
          <w:b/>
          <w:sz w:val="21"/>
        </w:rPr>
      </w:pPr>
      <w:r>
        <w:rPr/>
        <w:br w:type="column"/>
      </w:r>
      <w:r>
        <w:rPr>
          <w:b/>
          <w:w w:val="95"/>
          <w:sz w:val="21"/>
        </w:rPr>
        <w:t>7.其他需要您关注的事项</w:t>
      </w:r>
    </w:p>
    <w:p>
      <w:pPr>
        <w:spacing w:after="0"/>
        <w:jc w:val="left"/>
        <w:rPr>
          <w:sz w:val="21"/>
        </w:rPr>
        <w:sectPr>
          <w:type w:val="continuous"/>
          <w:pgSz w:w="11910" w:h="16840"/>
          <w:pgMar w:top="1040" w:bottom="1180" w:left="1140" w:right="880"/>
          <w:cols w:num="3" w:equalWidth="0">
            <w:col w:w="2937" w:space="40"/>
            <w:col w:w="2695" w:space="39"/>
            <w:col w:w="4179"/>
          </w:cols>
        </w:sectPr>
      </w:pPr>
    </w:p>
    <w:p>
      <w:pPr>
        <w:pStyle w:val="BodyText"/>
        <w:spacing w:before="1"/>
        <w:rPr>
          <w:b/>
          <w:sz w:val="4"/>
        </w:rPr>
      </w:pPr>
    </w:p>
    <w:tbl>
      <w:tblPr>
        <w:tblW w:w="0" w:type="auto"/>
        <w:jc w:val="left"/>
        <w:tblInd w:w="1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39"/>
        <w:gridCol w:w="2577"/>
        <w:gridCol w:w="1000"/>
        <w:gridCol w:w="1310"/>
      </w:tblGrid>
      <w:tr>
        <w:trPr>
          <w:trHeight w:val="308" w:hRule="atLeast"/>
        </w:trPr>
        <w:tc>
          <w:tcPr>
            <w:tcW w:w="418" w:type="dxa"/>
          </w:tcPr>
          <w:p>
            <w:pPr>
              <w:pStyle w:val="TableParagraph"/>
              <w:spacing w:line="257" w:lineRule="exact"/>
              <w:ind w:left="50"/>
              <w:rPr>
                <w:sz w:val="21"/>
              </w:rPr>
            </w:pPr>
            <w:r>
              <w:rPr>
                <w:sz w:val="21"/>
              </w:rPr>
              <w:t>1.1</w:t>
            </w:r>
          </w:p>
        </w:tc>
        <w:tc>
          <w:tcPr>
            <w:tcW w:w="1839" w:type="dxa"/>
          </w:tcPr>
          <w:p>
            <w:pPr>
              <w:pStyle w:val="TableParagraph"/>
              <w:spacing w:line="257" w:lineRule="exact"/>
              <w:ind w:left="52"/>
              <w:rPr>
                <w:sz w:val="21"/>
              </w:rPr>
            </w:pPr>
            <w:r>
              <w:rPr>
                <w:sz w:val="21"/>
              </w:rPr>
              <w:t>合同构成</w:t>
            </w:r>
          </w:p>
        </w:tc>
        <w:tc>
          <w:tcPr>
            <w:tcW w:w="2577" w:type="dxa"/>
          </w:tcPr>
          <w:p>
            <w:pPr>
              <w:pStyle w:val="TableParagraph"/>
              <w:spacing w:line="223" w:lineRule="exact"/>
              <w:ind w:left="527"/>
              <w:rPr>
                <w:sz w:val="21"/>
              </w:rPr>
            </w:pPr>
            <w:r>
              <w:rPr>
                <w:sz w:val="21"/>
              </w:rPr>
              <w:t>4.1 保险费的交付</w:t>
            </w:r>
          </w:p>
        </w:tc>
        <w:tc>
          <w:tcPr>
            <w:tcW w:w="1000" w:type="dxa"/>
          </w:tcPr>
          <w:p>
            <w:pPr>
              <w:pStyle w:val="TableParagraph"/>
              <w:spacing w:line="210" w:lineRule="exact"/>
              <w:ind w:left="581"/>
              <w:rPr>
                <w:sz w:val="21"/>
              </w:rPr>
            </w:pPr>
            <w:r>
              <w:rPr>
                <w:sz w:val="21"/>
              </w:rPr>
              <w:t>7.1</w:t>
            </w:r>
          </w:p>
        </w:tc>
        <w:tc>
          <w:tcPr>
            <w:tcW w:w="1310" w:type="dxa"/>
          </w:tcPr>
          <w:p>
            <w:pPr>
              <w:pStyle w:val="TableParagraph"/>
              <w:spacing w:line="210" w:lineRule="exact"/>
              <w:ind w:left="1"/>
              <w:rPr>
                <w:sz w:val="21"/>
              </w:rPr>
            </w:pPr>
            <w:r>
              <w:rPr>
                <w:sz w:val="21"/>
              </w:rPr>
              <w:t>投保范围</w:t>
            </w:r>
          </w:p>
        </w:tc>
      </w:tr>
      <w:tr>
        <w:trPr>
          <w:trHeight w:val="288" w:hRule="atLeast"/>
        </w:trPr>
        <w:tc>
          <w:tcPr>
            <w:tcW w:w="418" w:type="dxa"/>
          </w:tcPr>
          <w:p>
            <w:pPr>
              <w:pStyle w:val="TableParagraph"/>
              <w:spacing w:line="261" w:lineRule="exact"/>
              <w:ind w:left="50"/>
              <w:rPr>
                <w:sz w:val="21"/>
              </w:rPr>
            </w:pPr>
            <w:r>
              <w:rPr>
                <w:sz w:val="21"/>
              </w:rPr>
              <w:t>1.2</w:t>
            </w:r>
          </w:p>
        </w:tc>
        <w:tc>
          <w:tcPr>
            <w:tcW w:w="1839" w:type="dxa"/>
          </w:tcPr>
          <w:p>
            <w:pPr>
              <w:pStyle w:val="TableParagraph"/>
              <w:spacing w:line="261" w:lineRule="exact"/>
              <w:ind w:left="52"/>
              <w:rPr>
                <w:sz w:val="21"/>
              </w:rPr>
            </w:pPr>
            <w:r>
              <w:rPr>
                <w:sz w:val="21"/>
              </w:rPr>
              <w:t>合同成立与生效</w:t>
            </w:r>
          </w:p>
        </w:tc>
        <w:tc>
          <w:tcPr>
            <w:tcW w:w="2577" w:type="dxa"/>
          </w:tcPr>
          <w:p>
            <w:pPr>
              <w:pStyle w:val="TableParagraph"/>
              <w:rPr>
                <w:rFonts w:ascii="Times New Roman"/>
                <w:sz w:val="20"/>
              </w:rPr>
            </w:pPr>
          </w:p>
        </w:tc>
        <w:tc>
          <w:tcPr>
            <w:tcW w:w="1000" w:type="dxa"/>
          </w:tcPr>
          <w:p>
            <w:pPr>
              <w:pStyle w:val="TableParagraph"/>
              <w:rPr>
                <w:rFonts w:ascii="Times New Roman"/>
                <w:sz w:val="20"/>
              </w:rPr>
            </w:pPr>
          </w:p>
        </w:tc>
        <w:tc>
          <w:tcPr>
            <w:tcW w:w="1310" w:type="dxa"/>
          </w:tcPr>
          <w:p>
            <w:pPr>
              <w:pStyle w:val="TableParagraph"/>
              <w:rPr>
                <w:rFonts w:ascii="Times New Roman"/>
                <w:sz w:val="20"/>
              </w:rPr>
            </w:pPr>
          </w:p>
        </w:tc>
      </w:tr>
      <w:tr>
        <w:trPr>
          <w:trHeight w:val="312" w:hRule="atLeast"/>
        </w:trPr>
        <w:tc>
          <w:tcPr>
            <w:tcW w:w="418" w:type="dxa"/>
          </w:tcPr>
          <w:p>
            <w:pPr>
              <w:pStyle w:val="TableParagraph"/>
              <w:spacing w:before="10"/>
              <w:ind w:left="50"/>
              <w:rPr>
                <w:sz w:val="21"/>
              </w:rPr>
            </w:pPr>
            <w:r>
              <w:rPr>
                <w:sz w:val="21"/>
              </w:rPr>
              <w:t>1.3</w:t>
            </w:r>
          </w:p>
        </w:tc>
        <w:tc>
          <w:tcPr>
            <w:tcW w:w="1839" w:type="dxa"/>
          </w:tcPr>
          <w:p>
            <w:pPr>
              <w:pStyle w:val="TableParagraph"/>
              <w:spacing w:before="10"/>
              <w:ind w:left="52"/>
              <w:rPr>
                <w:sz w:val="21"/>
              </w:rPr>
            </w:pPr>
            <w:r>
              <w:rPr>
                <w:sz w:val="21"/>
              </w:rPr>
              <w:t>犹豫期</w:t>
            </w:r>
          </w:p>
        </w:tc>
        <w:tc>
          <w:tcPr>
            <w:tcW w:w="2577" w:type="dxa"/>
          </w:tcPr>
          <w:p>
            <w:pPr>
              <w:pStyle w:val="TableParagraph"/>
              <w:spacing w:line="250" w:lineRule="exact"/>
              <w:ind w:left="317"/>
              <w:rPr>
                <w:b/>
                <w:sz w:val="21"/>
              </w:rPr>
            </w:pPr>
            <w:r>
              <w:rPr>
                <w:b/>
                <w:w w:val="95"/>
                <w:sz w:val="21"/>
              </w:rPr>
              <w:t>5.现金价值权益</w:t>
            </w:r>
          </w:p>
        </w:tc>
        <w:tc>
          <w:tcPr>
            <w:tcW w:w="1000" w:type="dxa"/>
          </w:tcPr>
          <w:p>
            <w:pPr>
              <w:pStyle w:val="TableParagraph"/>
              <w:spacing w:line="237" w:lineRule="exact"/>
              <w:ind w:left="371" w:right="-15"/>
              <w:rPr>
                <w:b/>
                <w:sz w:val="21"/>
              </w:rPr>
            </w:pPr>
            <w:r>
              <w:rPr>
                <w:b/>
                <w:w w:val="95"/>
                <w:sz w:val="21"/>
              </w:rPr>
              <w:t>8.释义</w:t>
            </w:r>
          </w:p>
        </w:tc>
        <w:tc>
          <w:tcPr>
            <w:tcW w:w="1310" w:type="dxa"/>
          </w:tcPr>
          <w:p>
            <w:pPr>
              <w:pStyle w:val="TableParagraph"/>
              <w:rPr>
                <w:rFonts w:ascii="Times New Roman"/>
                <w:sz w:val="20"/>
              </w:rPr>
            </w:pPr>
          </w:p>
        </w:tc>
      </w:tr>
      <w:tr>
        <w:trPr>
          <w:trHeight w:val="312" w:hRule="atLeast"/>
        </w:trPr>
        <w:tc>
          <w:tcPr>
            <w:tcW w:w="418" w:type="dxa"/>
          </w:tcPr>
          <w:p>
            <w:pPr>
              <w:pStyle w:val="TableParagraph"/>
              <w:spacing w:before="10"/>
              <w:ind w:left="50"/>
              <w:rPr>
                <w:sz w:val="21"/>
              </w:rPr>
            </w:pPr>
            <w:r>
              <w:rPr>
                <w:sz w:val="21"/>
              </w:rPr>
              <w:t>1.4</w:t>
            </w:r>
          </w:p>
        </w:tc>
        <w:tc>
          <w:tcPr>
            <w:tcW w:w="1839" w:type="dxa"/>
          </w:tcPr>
          <w:p>
            <w:pPr>
              <w:pStyle w:val="TableParagraph"/>
              <w:spacing w:before="10"/>
              <w:ind w:left="52"/>
              <w:rPr>
                <w:sz w:val="21"/>
              </w:rPr>
            </w:pPr>
            <w:r>
              <w:rPr>
                <w:sz w:val="21"/>
              </w:rPr>
              <w:t>保险期间</w:t>
            </w:r>
          </w:p>
        </w:tc>
        <w:tc>
          <w:tcPr>
            <w:tcW w:w="2577" w:type="dxa"/>
          </w:tcPr>
          <w:p>
            <w:pPr>
              <w:pStyle w:val="TableParagraph"/>
              <w:spacing w:line="250" w:lineRule="exact"/>
              <w:ind w:left="528"/>
              <w:rPr>
                <w:sz w:val="21"/>
              </w:rPr>
            </w:pPr>
            <w:r>
              <w:rPr>
                <w:sz w:val="21"/>
              </w:rPr>
              <w:t>5.1 现金价值</w:t>
            </w:r>
          </w:p>
        </w:tc>
        <w:tc>
          <w:tcPr>
            <w:tcW w:w="1000" w:type="dxa"/>
          </w:tcPr>
          <w:p>
            <w:pPr>
              <w:pStyle w:val="TableParagraph"/>
              <w:spacing w:line="237" w:lineRule="exact"/>
              <w:ind w:left="582"/>
              <w:rPr>
                <w:sz w:val="21"/>
              </w:rPr>
            </w:pPr>
            <w:r>
              <w:rPr>
                <w:sz w:val="21"/>
              </w:rPr>
              <w:t>8.1</w:t>
            </w:r>
          </w:p>
        </w:tc>
        <w:tc>
          <w:tcPr>
            <w:tcW w:w="1310" w:type="dxa"/>
          </w:tcPr>
          <w:p>
            <w:pPr>
              <w:pStyle w:val="TableParagraph"/>
              <w:spacing w:line="237" w:lineRule="exact"/>
              <w:ind w:left="2"/>
              <w:rPr>
                <w:sz w:val="21"/>
              </w:rPr>
            </w:pPr>
            <w:r>
              <w:rPr>
                <w:sz w:val="21"/>
              </w:rPr>
              <w:t>有效身份证件</w:t>
            </w:r>
          </w:p>
        </w:tc>
      </w:tr>
      <w:tr>
        <w:trPr>
          <w:trHeight w:val="250" w:hRule="atLeast"/>
        </w:trPr>
        <w:tc>
          <w:tcPr>
            <w:tcW w:w="418" w:type="dxa"/>
          </w:tcPr>
          <w:p>
            <w:pPr>
              <w:pStyle w:val="TableParagraph"/>
              <w:rPr>
                <w:rFonts w:ascii="Times New Roman"/>
                <w:sz w:val="18"/>
              </w:rPr>
            </w:pPr>
          </w:p>
        </w:tc>
        <w:tc>
          <w:tcPr>
            <w:tcW w:w="1839" w:type="dxa"/>
          </w:tcPr>
          <w:p>
            <w:pPr>
              <w:pStyle w:val="TableParagraph"/>
              <w:rPr>
                <w:rFonts w:ascii="Times New Roman"/>
                <w:sz w:val="18"/>
              </w:rPr>
            </w:pPr>
          </w:p>
        </w:tc>
        <w:tc>
          <w:tcPr>
            <w:tcW w:w="2577" w:type="dxa"/>
          </w:tcPr>
          <w:p>
            <w:pPr>
              <w:pStyle w:val="TableParagraph"/>
              <w:spacing w:line="230" w:lineRule="exact"/>
              <w:ind w:left="527"/>
              <w:rPr>
                <w:sz w:val="21"/>
              </w:rPr>
            </w:pPr>
            <w:r>
              <w:rPr>
                <w:sz w:val="21"/>
              </w:rPr>
              <w:t>5.2 自动垫交</w:t>
            </w:r>
          </w:p>
        </w:tc>
        <w:tc>
          <w:tcPr>
            <w:tcW w:w="1000" w:type="dxa"/>
          </w:tcPr>
          <w:p>
            <w:pPr>
              <w:pStyle w:val="TableParagraph"/>
              <w:spacing w:line="230" w:lineRule="exact"/>
              <w:ind w:left="581"/>
              <w:rPr>
                <w:sz w:val="21"/>
              </w:rPr>
            </w:pPr>
            <w:r>
              <w:rPr>
                <w:sz w:val="21"/>
              </w:rPr>
              <w:t>8.2</w:t>
            </w:r>
          </w:p>
        </w:tc>
        <w:tc>
          <w:tcPr>
            <w:tcW w:w="1310" w:type="dxa"/>
          </w:tcPr>
          <w:p>
            <w:pPr>
              <w:pStyle w:val="TableParagraph"/>
              <w:spacing w:line="230" w:lineRule="exact"/>
              <w:ind w:left="1"/>
              <w:rPr>
                <w:sz w:val="21"/>
              </w:rPr>
            </w:pPr>
            <w:r>
              <w:rPr>
                <w:sz w:val="21"/>
              </w:rPr>
              <w:t>发病</w:t>
            </w:r>
          </w:p>
        </w:tc>
      </w:tr>
    </w:tbl>
    <w:p>
      <w:pPr>
        <w:spacing w:after="0" w:line="230" w:lineRule="exact"/>
        <w:rPr>
          <w:sz w:val="21"/>
        </w:rPr>
        <w:sectPr>
          <w:type w:val="continuous"/>
          <w:pgSz w:w="11910" w:h="16840"/>
          <w:pgMar w:top="1040" w:bottom="1180" w:left="1140" w:right="880"/>
        </w:sectPr>
      </w:pPr>
    </w:p>
    <w:p>
      <w:pPr>
        <w:spacing w:before="72"/>
        <w:ind w:left="1248" w:right="0" w:firstLine="0"/>
        <w:jc w:val="left"/>
        <w:rPr>
          <w:b/>
          <w:sz w:val="21"/>
        </w:rPr>
      </w:pPr>
      <w:r>
        <w:rPr>
          <w:b/>
          <w:w w:val="95"/>
          <w:sz w:val="21"/>
        </w:rPr>
        <w:t>2.我们提供的保障</w:t>
      </w:r>
    </w:p>
    <w:p>
      <w:pPr>
        <w:pStyle w:val="ListParagraph"/>
        <w:numPr>
          <w:ilvl w:val="1"/>
          <w:numId w:val="2"/>
        </w:numPr>
        <w:tabs>
          <w:tab w:pos="1879" w:val="left" w:leader="none"/>
        </w:tabs>
        <w:spacing w:line="240" w:lineRule="auto" w:before="37" w:after="0"/>
        <w:ind w:left="1878" w:right="0" w:hanging="420"/>
        <w:jc w:val="left"/>
        <w:rPr>
          <w:sz w:val="21"/>
        </w:rPr>
      </w:pPr>
      <w:r>
        <w:rPr>
          <w:spacing w:val="-1"/>
          <w:sz w:val="21"/>
        </w:rPr>
        <w:t>保险金额</w:t>
      </w:r>
    </w:p>
    <w:p>
      <w:pPr>
        <w:pStyle w:val="ListParagraph"/>
        <w:numPr>
          <w:ilvl w:val="1"/>
          <w:numId w:val="2"/>
        </w:numPr>
        <w:tabs>
          <w:tab w:pos="1879" w:val="left" w:leader="none"/>
        </w:tabs>
        <w:spacing w:line="240" w:lineRule="auto" w:before="37" w:after="0"/>
        <w:ind w:left="1878" w:right="0" w:hanging="420"/>
        <w:jc w:val="left"/>
        <w:rPr>
          <w:sz w:val="21"/>
        </w:rPr>
      </w:pPr>
      <w:r>
        <w:rPr>
          <w:spacing w:val="-1"/>
          <w:sz w:val="21"/>
        </w:rPr>
        <w:t>保险责任</w:t>
      </w:r>
    </w:p>
    <w:p>
      <w:pPr>
        <w:pStyle w:val="ListParagraph"/>
        <w:numPr>
          <w:ilvl w:val="1"/>
          <w:numId w:val="2"/>
        </w:numPr>
        <w:tabs>
          <w:tab w:pos="1879" w:val="left" w:leader="none"/>
        </w:tabs>
        <w:spacing w:line="240" w:lineRule="auto" w:before="37" w:after="0"/>
        <w:ind w:left="1878" w:right="0" w:hanging="420"/>
        <w:jc w:val="left"/>
        <w:rPr>
          <w:sz w:val="21"/>
        </w:rPr>
      </w:pPr>
      <w:r>
        <w:rPr>
          <w:spacing w:val="-1"/>
          <w:sz w:val="21"/>
        </w:rPr>
        <w:t>责任免除</w:t>
      </w:r>
    </w:p>
    <w:p>
      <w:pPr>
        <w:pStyle w:val="BodyText"/>
        <w:spacing w:before="8"/>
        <w:rPr>
          <w:sz w:val="26"/>
        </w:rPr>
      </w:pPr>
    </w:p>
    <w:p>
      <w:pPr>
        <w:spacing w:before="0"/>
        <w:ind w:left="1248" w:right="0" w:firstLine="0"/>
        <w:jc w:val="left"/>
        <w:rPr>
          <w:b/>
          <w:sz w:val="21"/>
        </w:rPr>
      </w:pPr>
      <w:r>
        <w:rPr>
          <w:b/>
          <w:w w:val="95"/>
          <w:sz w:val="21"/>
        </w:rPr>
        <w:t>3.如何申请领取保险金</w:t>
      </w:r>
    </w:p>
    <w:p>
      <w:pPr>
        <w:spacing w:before="37"/>
        <w:ind w:left="796" w:right="0" w:firstLine="0"/>
        <w:jc w:val="left"/>
        <w:rPr>
          <w:sz w:val="21"/>
        </w:rPr>
      </w:pPr>
      <w:r>
        <w:rPr/>
        <w:br w:type="column"/>
      </w:r>
      <w:r>
        <w:rPr>
          <w:sz w:val="21"/>
        </w:rPr>
        <w:t>5.3 保险单借款</w:t>
      </w:r>
    </w:p>
    <w:p>
      <w:pPr>
        <w:pStyle w:val="BodyText"/>
        <w:spacing w:before="8"/>
        <w:rPr>
          <w:sz w:val="26"/>
        </w:rPr>
      </w:pPr>
    </w:p>
    <w:p>
      <w:pPr>
        <w:spacing w:before="0"/>
        <w:ind w:left="586" w:right="0" w:firstLine="0"/>
        <w:jc w:val="left"/>
        <w:rPr>
          <w:b/>
          <w:sz w:val="21"/>
        </w:rPr>
      </w:pPr>
      <w:r>
        <w:rPr>
          <w:b/>
          <w:w w:val="95"/>
          <w:sz w:val="21"/>
        </w:rPr>
        <w:t>6.如何解除保险合同</w:t>
      </w:r>
    </w:p>
    <w:p>
      <w:pPr>
        <w:spacing w:line="273" w:lineRule="auto" w:before="37"/>
        <w:ind w:left="1206" w:right="0" w:hanging="410"/>
        <w:jc w:val="left"/>
        <w:rPr>
          <w:sz w:val="21"/>
        </w:rPr>
      </w:pPr>
      <w:r>
        <w:rPr>
          <w:sz w:val="21"/>
        </w:rPr>
        <w:t>6.1 您解除合同的手续及风险</w:t>
      </w:r>
    </w:p>
    <w:p>
      <w:pPr>
        <w:pStyle w:val="ListParagraph"/>
        <w:numPr>
          <w:ilvl w:val="1"/>
          <w:numId w:val="3"/>
        </w:numPr>
        <w:tabs>
          <w:tab w:pos="1054" w:val="left" w:leader="none"/>
        </w:tabs>
        <w:spacing w:line="240" w:lineRule="auto" w:before="24" w:after="0"/>
        <w:ind w:left="1053" w:right="0" w:hanging="420"/>
        <w:jc w:val="left"/>
        <w:rPr>
          <w:sz w:val="21"/>
        </w:rPr>
      </w:pPr>
      <w:r>
        <w:rPr>
          <w:sz w:val="21"/>
        </w:rPr>
        <w:br w:type="column"/>
      </w:r>
      <w:r>
        <w:rPr>
          <w:spacing w:val="-1"/>
          <w:sz w:val="21"/>
        </w:rPr>
        <w:t>指定或认可的医疗机构</w:t>
      </w:r>
    </w:p>
    <w:p>
      <w:pPr>
        <w:pStyle w:val="ListParagraph"/>
        <w:numPr>
          <w:ilvl w:val="1"/>
          <w:numId w:val="3"/>
        </w:numPr>
        <w:tabs>
          <w:tab w:pos="1055" w:val="left" w:leader="none"/>
        </w:tabs>
        <w:spacing w:line="240" w:lineRule="auto" w:before="36" w:after="0"/>
        <w:ind w:left="1054" w:right="0" w:hanging="421"/>
        <w:jc w:val="left"/>
        <w:rPr>
          <w:sz w:val="21"/>
        </w:rPr>
      </w:pPr>
      <w:r>
        <w:rPr>
          <w:sz w:val="21"/>
        </w:rPr>
        <w:t>毒品</w:t>
      </w:r>
    </w:p>
    <w:p>
      <w:pPr>
        <w:pStyle w:val="ListParagraph"/>
        <w:numPr>
          <w:ilvl w:val="1"/>
          <w:numId w:val="3"/>
        </w:numPr>
        <w:tabs>
          <w:tab w:pos="1054" w:val="left" w:leader="none"/>
        </w:tabs>
        <w:spacing w:line="240" w:lineRule="auto" w:before="36" w:after="0"/>
        <w:ind w:left="1053" w:right="0" w:hanging="421"/>
        <w:jc w:val="left"/>
        <w:rPr>
          <w:sz w:val="21"/>
        </w:rPr>
      </w:pPr>
      <w:r>
        <w:rPr>
          <w:spacing w:val="-1"/>
          <w:sz w:val="21"/>
        </w:rPr>
        <w:t>酒后驾驶</w:t>
      </w:r>
    </w:p>
    <w:p>
      <w:pPr>
        <w:pStyle w:val="ListParagraph"/>
        <w:numPr>
          <w:ilvl w:val="1"/>
          <w:numId w:val="3"/>
        </w:numPr>
        <w:tabs>
          <w:tab w:pos="1054" w:val="left" w:leader="none"/>
        </w:tabs>
        <w:spacing w:line="240" w:lineRule="auto" w:before="36" w:after="0"/>
        <w:ind w:left="1053" w:right="0" w:hanging="420"/>
        <w:jc w:val="left"/>
        <w:rPr>
          <w:sz w:val="21"/>
        </w:rPr>
      </w:pPr>
      <w:r>
        <w:rPr>
          <w:spacing w:val="-1"/>
          <w:sz w:val="21"/>
        </w:rPr>
        <w:t>无合法有效驾驶证驾驶</w:t>
      </w:r>
    </w:p>
    <w:p>
      <w:pPr>
        <w:pStyle w:val="ListParagraph"/>
        <w:numPr>
          <w:ilvl w:val="1"/>
          <w:numId w:val="3"/>
        </w:numPr>
        <w:tabs>
          <w:tab w:pos="1054" w:val="left" w:leader="none"/>
        </w:tabs>
        <w:spacing w:line="240" w:lineRule="auto" w:before="36" w:after="0"/>
        <w:ind w:left="1053" w:right="0" w:hanging="420"/>
        <w:jc w:val="left"/>
        <w:rPr>
          <w:sz w:val="21"/>
        </w:rPr>
      </w:pPr>
      <w:r>
        <w:rPr>
          <w:spacing w:val="-1"/>
          <w:sz w:val="21"/>
        </w:rPr>
        <w:t>无有效行驶证</w:t>
      </w:r>
    </w:p>
    <w:p>
      <w:pPr>
        <w:pStyle w:val="ListParagraph"/>
        <w:numPr>
          <w:ilvl w:val="1"/>
          <w:numId w:val="3"/>
        </w:numPr>
        <w:tabs>
          <w:tab w:pos="1055" w:val="left" w:leader="none"/>
        </w:tabs>
        <w:spacing w:line="240" w:lineRule="auto" w:before="36" w:after="0"/>
        <w:ind w:left="1054" w:right="0" w:hanging="421"/>
        <w:jc w:val="left"/>
        <w:rPr>
          <w:sz w:val="21"/>
        </w:rPr>
      </w:pPr>
      <w:r>
        <w:rPr>
          <w:spacing w:val="-1"/>
          <w:sz w:val="21"/>
        </w:rPr>
        <w:t>艾滋病</w:t>
      </w:r>
    </w:p>
    <w:p>
      <w:pPr>
        <w:spacing w:after="0" w:line="240" w:lineRule="auto"/>
        <w:jc w:val="left"/>
        <w:rPr>
          <w:sz w:val="21"/>
        </w:rPr>
        <w:sectPr>
          <w:type w:val="continuous"/>
          <w:pgSz w:w="11910" w:h="16840"/>
          <w:pgMar w:top="1040" w:bottom="1180" w:left="1140" w:right="880"/>
          <w:cols w:num="3" w:equalWidth="0">
            <w:col w:w="3357" w:space="40"/>
            <w:col w:w="2754" w:space="39"/>
            <w:col w:w="3700"/>
          </w:cols>
        </w:sectPr>
      </w:pPr>
    </w:p>
    <w:p>
      <w:pPr>
        <w:pStyle w:val="BodyText"/>
        <w:spacing w:before="1"/>
        <w:rPr>
          <w:sz w:val="4"/>
        </w:rPr>
      </w:pPr>
    </w:p>
    <w:tbl>
      <w:tblPr>
        <w:tblW w:w="0" w:type="auto"/>
        <w:jc w:val="left"/>
        <w:tblInd w:w="1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3470"/>
        <w:gridCol w:w="3048"/>
      </w:tblGrid>
      <w:tr>
        <w:trPr>
          <w:trHeight w:val="284" w:hRule="atLeast"/>
        </w:trPr>
        <w:tc>
          <w:tcPr>
            <w:tcW w:w="418" w:type="dxa"/>
          </w:tcPr>
          <w:p>
            <w:pPr>
              <w:pStyle w:val="TableParagraph"/>
              <w:spacing w:line="257" w:lineRule="exact"/>
              <w:ind w:left="50"/>
              <w:rPr>
                <w:sz w:val="21"/>
              </w:rPr>
            </w:pPr>
            <w:r>
              <w:rPr>
                <w:sz w:val="21"/>
              </w:rPr>
              <w:t>3.1</w:t>
            </w:r>
          </w:p>
        </w:tc>
        <w:tc>
          <w:tcPr>
            <w:tcW w:w="3470" w:type="dxa"/>
          </w:tcPr>
          <w:p>
            <w:pPr>
              <w:pStyle w:val="TableParagraph"/>
              <w:spacing w:line="257" w:lineRule="exact"/>
              <w:ind w:left="52"/>
              <w:rPr>
                <w:sz w:val="21"/>
              </w:rPr>
            </w:pPr>
            <w:r>
              <w:rPr>
                <w:sz w:val="21"/>
              </w:rPr>
              <w:t>受益人的指定和变更</w:t>
            </w:r>
          </w:p>
        </w:tc>
        <w:tc>
          <w:tcPr>
            <w:tcW w:w="3048" w:type="dxa"/>
          </w:tcPr>
          <w:p>
            <w:pPr>
              <w:pStyle w:val="TableParagraph"/>
              <w:spacing w:line="210" w:lineRule="exact"/>
              <w:ind w:left="1527"/>
              <w:rPr>
                <w:sz w:val="21"/>
              </w:rPr>
            </w:pPr>
            <w:r>
              <w:rPr>
                <w:sz w:val="21"/>
              </w:rPr>
              <w:t>8.9 艾滋病病毒</w:t>
            </w:r>
          </w:p>
        </w:tc>
      </w:tr>
      <w:tr>
        <w:trPr>
          <w:trHeight w:val="312" w:hRule="atLeast"/>
        </w:trPr>
        <w:tc>
          <w:tcPr>
            <w:tcW w:w="418" w:type="dxa"/>
          </w:tcPr>
          <w:p>
            <w:pPr>
              <w:pStyle w:val="TableParagraph"/>
              <w:spacing w:before="10"/>
              <w:ind w:left="50"/>
              <w:rPr>
                <w:sz w:val="21"/>
              </w:rPr>
            </w:pPr>
            <w:r>
              <w:rPr>
                <w:sz w:val="21"/>
              </w:rPr>
              <w:t>3.2</w:t>
            </w:r>
          </w:p>
        </w:tc>
        <w:tc>
          <w:tcPr>
            <w:tcW w:w="3470" w:type="dxa"/>
          </w:tcPr>
          <w:p>
            <w:pPr>
              <w:pStyle w:val="TableParagraph"/>
              <w:spacing w:before="10"/>
              <w:ind w:left="52"/>
              <w:rPr>
                <w:sz w:val="21"/>
              </w:rPr>
            </w:pPr>
            <w:r>
              <w:rPr>
                <w:sz w:val="21"/>
              </w:rPr>
              <w:t>保险金的申请</w:t>
            </w:r>
          </w:p>
        </w:tc>
        <w:tc>
          <w:tcPr>
            <w:tcW w:w="3048" w:type="dxa"/>
          </w:tcPr>
          <w:p>
            <w:pPr>
              <w:pStyle w:val="TableParagraph"/>
              <w:spacing w:line="237" w:lineRule="exact"/>
              <w:ind w:left="1526"/>
              <w:rPr>
                <w:sz w:val="21"/>
              </w:rPr>
            </w:pPr>
            <w:r>
              <w:rPr>
                <w:sz w:val="21"/>
              </w:rPr>
              <w:t>8.10 现金价值</w:t>
            </w:r>
          </w:p>
        </w:tc>
      </w:tr>
      <w:tr>
        <w:trPr>
          <w:trHeight w:val="335" w:hRule="atLeast"/>
        </w:trPr>
        <w:tc>
          <w:tcPr>
            <w:tcW w:w="418" w:type="dxa"/>
          </w:tcPr>
          <w:p>
            <w:pPr>
              <w:pStyle w:val="TableParagraph"/>
              <w:spacing w:before="10"/>
              <w:ind w:left="50"/>
              <w:rPr>
                <w:sz w:val="21"/>
              </w:rPr>
            </w:pPr>
            <w:r>
              <w:rPr>
                <w:sz w:val="21"/>
              </w:rPr>
              <w:t>3.3</w:t>
            </w:r>
          </w:p>
        </w:tc>
        <w:tc>
          <w:tcPr>
            <w:tcW w:w="3470" w:type="dxa"/>
          </w:tcPr>
          <w:p>
            <w:pPr>
              <w:pStyle w:val="TableParagraph"/>
              <w:spacing w:before="10"/>
              <w:ind w:left="52"/>
              <w:rPr>
                <w:sz w:val="21"/>
              </w:rPr>
            </w:pPr>
            <w:r>
              <w:rPr>
                <w:sz w:val="21"/>
              </w:rPr>
              <w:t>欠款的扣除</w:t>
            </w:r>
          </w:p>
        </w:tc>
        <w:tc>
          <w:tcPr>
            <w:tcW w:w="3048" w:type="dxa"/>
          </w:tcPr>
          <w:p>
            <w:pPr>
              <w:pStyle w:val="TableParagraph"/>
              <w:spacing w:line="237" w:lineRule="exact"/>
              <w:ind w:left="1527"/>
              <w:rPr>
                <w:sz w:val="21"/>
              </w:rPr>
            </w:pPr>
            <w:r>
              <w:rPr>
                <w:sz w:val="21"/>
              </w:rPr>
              <w:t>8.11 利息</w:t>
            </w:r>
          </w:p>
        </w:tc>
      </w:tr>
      <w:tr>
        <w:trPr>
          <w:trHeight w:val="261" w:hRule="atLeast"/>
        </w:trPr>
        <w:tc>
          <w:tcPr>
            <w:tcW w:w="418" w:type="dxa"/>
          </w:tcPr>
          <w:p>
            <w:pPr>
              <w:pStyle w:val="TableParagraph"/>
              <w:spacing w:line="241" w:lineRule="exact"/>
              <w:ind w:left="50"/>
              <w:rPr>
                <w:sz w:val="21"/>
              </w:rPr>
            </w:pPr>
            <w:r>
              <w:rPr>
                <w:sz w:val="21"/>
              </w:rPr>
              <w:t>3.4</w:t>
            </w:r>
          </w:p>
        </w:tc>
        <w:tc>
          <w:tcPr>
            <w:tcW w:w="3470" w:type="dxa"/>
          </w:tcPr>
          <w:p>
            <w:pPr>
              <w:pStyle w:val="TableParagraph"/>
              <w:spacing w:line="241" w:lineRule="exact"/>
              <w:ind w:left="52"/>
              <w:rPr>
                <w:sz w:val="21"/>
              </w:rPr>
            </w:pPr>
            <w:r>
              <w:rPr>
                <w:sz w:val="21"/>
              </w:rPr>
              <w:t>诉讼时效</w:t>
            </w:r>
          </w:p>
        </w:tc>
        <w:tc>
          <w:tcPr>
            <w:tcW w:w="3048"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140" w:right="880"/>
        </w:sectPr>
      </w:pPr>
    </w:p>
    <w:p>
      <w:pPr>
        <w:pStyle w:val="BodyText"/>
        <w:spacing w:before="3"/>
        <w:rPr>
          <w:sz w:val="28"/>
        </w:rPr>
      </w:pPr>
    </w:p>
    <w:p>
      <w:pPr>
        <w:spacing w:line="408" w:lineRule="auto" w:before="14"/>
        <w:ind w:left="3019" w:right="3228" w:firstLine="280"/>
        <w:jc w:val="left"/>
        <w:rPr>
          <w:b/>
          <w:sz w:val="28"/>
        </w:rPr>
      </w:pPr>
      <w:r>
        <w:rPr>
          <w:b/>
          <w:sz w:val="28"/>
        </w:rPr>
        <w:t>民生人寿保险股份有限公司 </w:t>
      </w:r>
      <w:r>
        <w:rPr>
          <w:b/>
          <w:w w:val="95"/>
          <w:sz w:val="28"/>
        </w:rPr>
        <w:t>附加久久同安重大疾病保险条款</w:t>
      </w:r>
    </w:p>
    <w:p>
      <w:pPr>
        <w:pStyle w:val="BodyText"/>
        <w:spacing w:before="0"/>
        <w:rPr>
          <w:b/>
          <w:sz w:val="28"/>
        </w:rPr>
      </w:pPr>
    </w:p>
    <w:p>
      <w:pPr>
        <w:spacing w:before="219"/>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37.289795pt" to="557.28pt,37.289795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4"/>
        </w:numPr>
        <w:tabs>
          <w:tab w:pos="907" w:val="left" w:leader="none"/>
        </w:tabs>
        <w:spacing w:line="304" w:lineRule="auto" w:before="35" w:after="0"/>
        <w:ind w:left="2613" w:right="224" w:hanging="2389"/>
        <w:jc w:val="both"/>
        <w:rPr>
          <w:sz w:val="18"/>
        </w:rPr>
      </w:pPr>
      <w:r>
        <w:rPr>
          <w:b/>
          <w:w w:val="99"/>
          <w:sz w:val="21"/>
        </w:rPr>
        <w:t>合同构成</w:t>
      </w:r>
      <w:r>
        <w:rPr>
          <w:b/>
          <w:spacing w:val="0"/>
          <w:sz w:val="21"/>
        </w:rPr>
        <w:t>        </w:t>
      </w:r>
      <w:r>
        <w:rPr>
          <w:position w:val="1"/>
          <w:sz w:val="18"/>
        </w:rPr>
        <w:t>本附加保险合同</w:t>
      </w:r>
      <w:r>
        <w:rPr>
          <w:spacing w:val="0"/>
          <w:position w:val="1"/>
          <w:sz w:val="18"/>
        </w:rPr>
        <w:t>（</w:t>
      </w:r>
      <w:r>
        <w:rPr>
          <w:spacing w:val="-8"/>
          <w:position w:val="1"/>
          <w:sz w:val="18"/>
        </w:rPr>
        <w:t>以下简称“本附加合同”</w:t>
      </w:r>
      <w:r>
        <w:rPr>
          <w:spacing w:val="0"/>
          <w:position w:val="1"/>
          <w:sz w:val="18"/>
        </w:rPr>
        <w:t>）</w:t>
      </w:r>
      <w:r>
        <w:rPr>
          <w:position w:val="1"/>
          <w:sz w:val="18"/>
        </w:rPr>
        <w:t>附加于本公司规定的主保险合同</w:t>
      </w:r>
      <w:r>
        <w:rPr>
          <w:spacing w:val="0"/>
          <w:position w:val="1"/>
          <w:sz w:val="18"/>
        </w:rPr>
        <w:t>（</w:t>
      </w:r>
      <w:r>
        <w:rPr>
          <w:position w:val="1"/>
          <w:sz w:val="18"/>
        </w:rPr>
        <w:t>以下简称“主</w:t>
      </w:r>
      <w:r>
        <w:rPr>
          <w:spacing w:val="-22"/>
          <w:sz w:val="18"/>
        </w:rPr>
        <w:t>险合同”</w:t>
      </w:r>
      <w:r>
        <w:rPr>
          <w:spacing w:val="0"/>
          <w:sz w:val="18"/>
        </w:rPr>
        <w:t>）</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2"/>
        <w:rPr>
          <w:sz w:val="21"/>
        </w:rPr>
      </w:pPr>
    </w:p>
    <w:p>
      <w:pPr>
        <w:pStyle w:val="ListParagraph"/>
        <w:numPr>
          <w:ilvl w:val="1"/>
          <w:numId w:val="4"/>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3" w:right="170"/>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2"/>
        <w:rPr>
          <w:sz w:val="21"/>
        </w:rPr>
      </w:pPr>
    </w:p>
    <w:p>
      <w:pPr>
        <w:pStyle w:val="ListParagraph"/>
        <w:numPr>
          <w:ilvl w:val="1"/>
          <w:numId w:val="4"/>
        </w:numPr>
        <w:tabs>
          <w:tab w:pos="908" w:val="left" w:leader="none"/>
        </w:tabs>
        <w:spacing w:line="304" w:lineRule="auto" w:before="1"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请解除合同之日起，本附加合同效力即行终止，对合同解除前发生的保险事故，我们不承担给付保险金的责任。</w:t>
      </w:r>
    </w:p>
    <w:p>
      <w:pPr>
        <w:pStyle w:val="BodyText"/>
        <w:spacing w:before="12"/>
        <w:rPr>
          <w:sz w:val="16"/>
        </w:rPr>
      </w:pPr>
    </w:p>
    <w:p>
      <w:pPr>
        <w:pStyle w:val="ListParagraph"/>
        <w:numPr>
          <w:ilvl w:val="1"/>
          <w:numId w:val="4"/>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本附加合同的保险期间为被保险人终身。</w:t>
      </w:r>
    </w:p>
    <w:p>
      <w:pPr>
        <w:pStyle w:val="BodyText"/>
        <w:spacing w:before="0"/>
        <w:rPr>
          <w:sz w:val="14"/>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928pt" to="557.28pt,37.289928pt" stroked="true" strokeweight=".4799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5"/>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5"/>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9" w:lineRule="auto" w:before="0"/>
        <w:ind w:left="2613" w:right="226" w:hanging="1707"/>
        <w:jc w:val="both"/>
      </w:pPr>
      <w:r>
        <w:rPr>
          <w:b/>
          <w:spacing w:val="0"/>
          <w:sz w:val="21"/>
        </w:rPr>
        <w:t>重大疾病保险金 </w:t>
      </w:r>
      <w:r>
        <w:rPr>
          <w:position w:val="1"/>
        </w:rPr>
        <w:t>被保险人于本附加合同生效（或复效）之日起一年内（包括一年）首次</w:t>
      </w:r>
      <w:r>
        <w:rPr>
          <w:b/>
          <w:position w:val="1"/>
        </w:rPr>
        <w:t>发病</w:t>
      </w:r>
      <w:r>
        <w:rPr>
          <w:position w:val="1"/>
        </w:rPr>
        <w:t>（</w:t>
      </w:r>
      <w:r>
        <w:rPr>
          <w:spacing w:val="-20"/>
          <w:position w:val="1"/>
        </w:rPr>
        <w:t>见 </w:t>
      </w:r>
      <w:r>
        <w:rPr>
          <w:position w:val="1"/>
        </w:rPr>
        <w:t>8.2）并经本</w:t>
      </w:r>
      <w:r>
        <w:rPr/>
        <w:t>公司</w:t>
      </w:r>
      <w:r>
        <w:rPr>
          <w:b/>
        </w:rPr>
        <w:t>指定或认可的医疗机构</w:t>
      </w:r>
      <w:r>
        <w:rPr/>
        <w:t>（</w:t>
      </w:r>
      <w:r>
        <w:rPr>
          <w:spacing w:val="-24"/>
        </w:rPr>
        <w:t>见 </w:t>
      </w:r>
      <w:r>
        <w:rPr/>
        <w:t>8.3）确诊初次患有本附加合同附表一中约定的一项或多项重</w:t>
      </w:r>
      <w:r>
        <w:rPr>
          <w:spacing w:val="-2"/>
        </w:rPr>
        <w:t>大疾病，本公司按照本附加合同约定的保险金额的 </w:t>
      </w:r>
      <w:r>
        <w:rPr/>
        <w:t>10%与您所交保险费之和给付重大疾病保险金，本附加合同效力终止。</w:t>
      </w:r>
    </w:p>
    <w:p>
      <w:pPr>
        <w:pStyle w:val="BodyText"/>
        <w:spacing w:line="316" w:lineRule="auto" w:before="23"/>
        <w:ind w:left="2613" w:right="226"/>
        <w:jc w:val="both"/>
      </w:pPr>
      <w:r>
        <w:rPr>
          <w:spacing w:val="-2"/>
        </w:rPr>
        <w:t>被保险人于本附加合同生效</w:t>
      </w:r>
      <w:r>
        <w:rPr/>
        <w:t>（或复效</w:t>
      </w:r>
      <w:r>
        <w:rPr>
          <w:spacing w:val="-18"/>
        </w:rPr>
        <w:t>）</w:t>
      </w:r>
      <w:r>
        <w:rPr/>
        <w:t>之日起一年后首次发病并经本公司指定或认可的医疗机</w:t>
      </w:r>
      <w:r>
        <w:rPr>
          <w:spacing w:val="-2"/>
        </w:rPr>
        <w:t>构确诊初次患有本附加合同附表一中约定的一项或多项重大疾病，本公司按照本附加合同约定的保险金额给付重大疾病保险金，本附加合同效力终止。</w:t>
      </w:r>
    </w:p>
    <w:p>
      <w:pPr>
        <w:spacing w:after="0" w:line="316" w:lineRule="auto"/>
        <w:jc w:val="both"/>
        <w:sectPr>
          <w:headerReference w:type="default" r:id="rId9"/>
          <w:pgSz w:w="11910" w:h="16840"/>
          <w:pgMar w:header="877" w:footer="981" w:top="1100" w:bottom="1180" w:left="1080" w:right="640"/>
        </w:sectPr>
      </w:pPr>
    </w:p>
    <w:p>
      <w:pPr>
        <w:pStyle w:val="BodyText"/>
        <w:spacing w:before="0"/>
        <w:rPr>
          <w:sz w:val="19"/>
        </w:rPr>
      </w:pPr>
    </w:p>
    <w:p>
      <w:pPr>
        <w:pStyle w:val="ListParagraph"/>
        <w:numPr>
          <w:ilvl w:val="1"/>
          <w:numId w:val="5"/>
        </w:numPr>
        <w:tabs>
          <w:tab w:pos="906" w:val="left" w:leader="none"/>
          <w:tab w:pos="907" w:val="left" w:leader="none"/>
          <w:tab w:pos="2613"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3"/>
        <w:spacing w:before="62"/>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before="76"/>
        <w:ind w:left="2613" w:right="0" w:firstLine="0"/>
        <w:jc w:val="left"/>
        <w:rPr>
          <w:b/>
          <w:sz w:val="18"/>
        </w:rPr>
      </w:pPr>
      <w:r>
        <w:rPr>
          <w:b/>
          <w:sz w:val="18"/>
        </w:rPr>
        <w:t>4、 被保险人在本附加合同成立之日起二年内或最后复效日起二年内自杀；</w:t>
      </w:r>
    </w:p>
    <w:p>
      <w:pPr>
        <w:spacing w:before="76"/>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3"/>
          <w:w w:val="99"/>
          <w:sz w:val="18"/>
        </w:rPr>
        <w:t>或驾驶无有效行驶证</w:t>
      </w:r>
      <w:r>
        <w:rPr>
          <w:sz w:val="18"/>
        </w:rPr>
        <w:t>（见</w:t>
      </w:r>
    </w:p>
    <w:p>
      <w:pPr>
        <w:spacing w:before="76"/>
        <w:ind w:left="3033" w:right="0" w:firstLine="0"/>
        <w:jc w:val="left"/>
        <w:rPr>
          <w:b/>
          <w:sz w:val="18"/>
        </w:rPr>
      </w:pPr>
      <w:r>
        <w:rPr>
          <w:w w:val="95"/>
          <w:sz w:val="18"/>
        </w:rPr>
        <w:t>8.7）</w:t>
      </w:r>
      <w:r>
        <w:rPr>
          <w:b/>
          <w:w w:val="95"/>
          <w:sz w:val="18"/>
        </w:rPr>
        <w:t>的机动车；</w:t>
      </w:r>
    </w:p>
    <w:p>
      <w:pPr>
        <w:pStyle w:val="Heading3"/>
        <w:rPr>
          <w:b w:val="0"/>
        </w:rPr>
      </w:pPr>
      <w:r>
        <w:rPr>
          <w:spacing w:val="0"/>
          <w:w w:val="99"/>
        </w:rPr>
        <w:t>7</w:t>
      </w:r>
      <w:r>
        <w:rPr>
          <w:w w:val="99"/>
        </w:rPr>
        <w:t>、</w:t>
      </w:r>
      <w:r>
        <w:rPr>
          <w:spacing w:val="35"/>
        </w:rPr>
        <w:t> </w:t>
      </w:r>
      <w:r>
        <w:rPr>
          <w:spacing w:val="-2"/>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33"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89"/>
          <w:w w:val="99"/>
          <w:sz w:val="18"/>
        </w:rPr>
        <w:t>）</w:t>
      </w:r>
      <w:r>
        <w:rPr>
          <w:b/>
          <w:w w:val="99"/>
          <w:sz w:val="18"/>
        </w:rPr>
        <w:t>；</w:t>
      </w:r>
    </w:p>
    <w:p>
      <w:pPr>
        <w:pStyle w:val="Heading3"/>
      </w:pPr>
      <w:r>
        <w:rPr/>
        <w:t>8、 战争、军事冲突、暴乱或武装叛乱；</w:t>
      </w:r>
    </w:p>
    <w:p>
      <w:pPr>
        <w:spacing w:before="76"/>
        <w:ind w:left="2613" w:right="0" w:firstLine="0"/>
        <w:jc w:val="left"/>
        <w:rPr>
          <w:b/>
          <w:sz w:val="18"/>
        </w:rPr>
      </w:pPr>
      <w:r>
        <w:rPr>
          <w:b/>
          <w:sz w:val="18"/>
        </w:rPr>
        <w:t>9、 核爆炸、核辐射或核污染；</w:t>
      </w:r>
    </w:p>
    <w:p>
      <w:pPr>
        <w:pStyle w:val="BodyText"/>
        <w:spacing w:line="316" w:lineRule="auto"/>
        <w:ind w:left="2613" w:right="252"/>
      </w:pPr>
      <w:r>
        <w:rPr>
          <w:spacing w:val="-3"/>
        </w:rPr>
        <w:t>因上述情形之一导致被保险人患本附加合同约定的重大疾病时，本公司向您或其他权利人返还本附加合同的</w:t>
      </w:r>
      <w:r>
        <w:rPr>
          <w:b/>
          <w:w w:val="99"/>
        </w:rPr>
        <w:t>现金价值</w:t>
      </w:r>
      <w:r>
        <w:rPr/>
        <w:t>（</w:t>
      </w:r>
      <w:r>
        <w:rPr>
          <w:spacing w:val="-23"/>
        </w:rPr>
        <w:t>见 </w:t>
      </w:r>
      <w:r>
        <w:rPr/>
        <w:t>8.10</w:t>
      </w:r>
      <w:r>
        <w:rPr>
          <w:spacing w:val="-90"/>
        </w:rPr>
        <w:t>）</w:t>
      </w:r>
      <w:r>
        <w:rPr/>
        <w:t>，本附加合同终止。</w:t>
      </w:r>
    </w:p>
    <w:p>
      <w:pPr>
        <w:pStyle w:val="Heading1"/>
        <w:tabs>
          <w:tab w:pos="907" w:val="left" w:leader="none"/>
        </w:tabs>
        <w:spacing w:before="118"/>
      </w:pPr>
      <w:r>
        <w:rPr/>
        <w:pict>
          <v:line style="position:absolute;mso-position-horizontal-relative:page;mso-position-vertical-relative:paragraph;z-index:1144;mso-wrap-distance-left:0;mso-wrap-distance-right:0" from="59.82pt,43.1898pt" to="557.28pt,43.1898pt" stroked="true" strokeweight=".47998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40"/>
        </w:sectPr>
      </w:pPr>
    </w:p>
    <w:p>
      <w:pPr>
        <w:pStyle w:val="Heading2"/>
        <w:numPr>
          <w:ilvl w:val="1"/>
          <w:numId w:val="6"/>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040" w:bottom="1180" w:left="1080" w:right="640"/>
          <w:cols w:num="2" w:equalWidth="0">
            <w:col w:w="2172" w:space="217"/>
            <w:col w:w="7801"/>
          </w:cols>
        </w:sectPr>
      </w:pPr>
    </w:p>
    <w:p>
      <w:pPr>
        <w:pStyle w:val="BodyText"/>
        <w:spacing w:before="2"/>
        <w:rPr>
          <w:sz w:val="15"/>
        </w:rPr>
      </w:pPr>
    </w:p>
    <w:p>
      <w:pPr>
        <w:pStyle w:val="ListParagraph"/>
        <w:numPr>
          <w:ilvl w:val="1"/>
          <w:numId w:val="6"/>
        </w:numPr>
        <w:tabs>
          <w:tab w:pos="907" w:val="left" w:leader="none"/>
          <w:tab w:pos="908" w:val="left" w:leader="none"/>
          <w:tab w:pos="2613"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3" w:right="170"/>
      </w:pPr>
      <w:r>
        <w:rPr/>
        <w:t>重大疾病保险金受益人申请领取重大疾病保险金时，须填写保险金给付申请书，并提交下列证明材料：</w:t>
      </w:r>
    </w:p>
    <w:p>
      <w:pPr>
        <w:pStyle w:val="ListParagraph"/>
        <w:numPr>
          <w:ilvl w:val="2"/>
          <w:numId w:val="6"/>
        </w:numPr>
        <w:tabs>
          <w:tab w:pos="3011" w:val="left" w:leader="none"/>
        </w:tabs>
        <w:spacing w:line="240" w:lineRule="auto" w:before="18" w:after="0"/>
        <w:ind w:left="3010" w:right="0" w:hanging="397"/>
        <w:jc w:val="left"/>
        <w:rPr>
          <w:sz w:val="18"/>
        </w:rPr>
      </w:pPr>
      <w:r>
        <w:rPr>
          <w:sz w:val="18"/>
        </w:rPr>
        <w:t>保险合同；</w:t>
      </w:r>
    </w:p>
    <w:p>
      <w:pPr>
        <w:pStyle w:val="ListParagraph"/>
        <w:numPr>
          <w:ilvl w:val="2"/>
          <w:numId w:val="6"/>
        </w:numPr>
        <w:tabs>
          <w:tab w:pos="3011" w:val="left" w:leader="none"/>
        </w:tabs>
        <w:spacing w:line="240" w:lineRule="auto" w:before="76" w:after="0"/>
        <w:ind w:left="3010" w:right="0" w:hanging="397"/>
        <w:jc w:val="left"/>
        <w:rPr>
          <w:sz w:val="18"/>
        </w:rPr>
      </w:pPr>
      <w:r>
        <w:rPr>
          <w:sz w:val="18"/>
        </w:rPr>
        <w:t>受益人的有效身份证件；</w:t>
      </w:r>
    </w:p>
    <w:p>
      <w:pPr>
        <w:pStyle w:val="ListParagraph"/>
        <w:numPr>
          <w:ilvl w:val="2"/>
          <w:numId w:val="6"/>
        </w:numPr>
        <w:tabs>
          <w:tab w:pos="3011" w:val="left" w:leader="none"/>
        </w:tabs>
        <w:spacing w:line="316" w:lineRule="auto" w:before="76" w:after="0"/>
        <w:ind w:left="3010" w:right="225" w:hanging="397"/>
        <w:jc w:val="left"/>
        <w:rPr>
          <w:sz w:val="18"/>
        </w:rPr>
      </w:pPr>
      <w:r>
        <w:rPr>
          <w:spacing w:val="-4"/>
          <w:sz w:val="18"/>
        </w:rPr>
        <w:t>本公司指定或认可的医疗机构出具的附有病理检验、血液检验及其它与确诊疾病必须的科学方法检验报告的疾病诊断证明书；</w:t>
      </w:r>
    </w:p>
    <w:p>
      <w:pPr>
        <w:pStyle w:val="ListParagraph"/>
        <w:numPr>
          <w:ilvl w:val="2"/>
          <w:numId w:val="6"/>
        </w:numPr>
        <w:tabs>
          <w:tab w:pos="3011" w:val="left" w:leader="none"/>
        </w:tabs>
        <w:spacing w:line="240" w:lineRule="auto" w:before="18" w:after="0"/>
        <w:ind w:left="3010" w:right="0" w:hanging="397"/>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3" w:right="72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6"/>
        </w:numPr>
        <w:tabs>
          <w:tab w:pos="907" w:val="left" w:leader="none"/>
          <w:tab w:pos="908" w:val="left" w:leader="none"/>
          <w:tab w:pos="2613" w:val="left" w:leader="none"/>
        </w:tabs>
        <w:spacing w:line="295" w:lineRule="auto" w:before="46"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6"/>
        </w:numPr>
        <w:tabs>
          <w:tab w:pos="907" w:val="left" w:leader="none"/>
          <w:tab w:pos="908" w:val="left" w:leader="none"/>
          <w:tab w:pos="2613" w:val="left" w:leader="none"/>
        </w:tabs>
        <w:spacing w:line="295" w:lineRule="auto" w:before="0" w:after="0"/>
        <w:ind w:left="2613" w:right="226" w:hanging="2389"/>
        <w:jc w:val="left"/>
        <w:rPr>
          <w:sz w:val="18"/>
        </w:rPr>
      </w:pPr>
      <w:r>
        <w:rPr>
          <w:b/>
          <w:sz w:val="21"/>
        </w:rPr>
        <w:t>诉讼时效</w:t>
        <w:tab/>
      </w:r>
      <w:r>
        <w:rPr>
          <w:position w:val="1"/>
          <w:sz w:val="18"/>
        </w:rPr>
        <w:t>本附加合同的受益人向本公司请求给付保险金的诉讼时效为二年</w:t>
      </w:r>
      <w:r>
        <w:rPr>
          <w:spacing w:val="-38"/>
          <w:position w:val="1"/>
          <w:sz w:val="18"/>
        </w:rPr>
        <w:t>，</w:t>
      </w:r>
      <w:r>
        <w:rPr>
          <w:position w:val="1"/>
          <w:sz w:val="18"/>
        </w:rPr>
        <w:t>自其知道或者应当知道保险</w:t>
      </w:r>
      <w:r>
        <w:rPr>
          <w:sz w:val="18"/>
        </w:rPr>
        <w:t>事故发生之日起计算。</w:t>
      </w:r>
    </w:p>
    <w:p>
      <w:pPr>
        <w:pStyle w:val="BodyText"/>
        <w:spacing w:before="2"/>
        <w:rPr>
          <w:sz w:val="19"/>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68;mso-wrap-distance-left:0;mso-wrap-distance-right:0" from="59.82pt,31.433578pt" to="557.28pt,31.433578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7" w:val="left" w:leader="none"/>
          <w:tab w:pos="2613" w:val="left" w:leader="none"/>
        </w:tabs>
        <w:spacing w:line="295" w:lineRule="auto" w:before="35"/>
        <w:ind w:left="2613" w:right="224" w:hanging="2390"/>
      </w:pPr>
      <w:r>
        <w:rPr>
          <w:b/>
          <w:sz w:val="21"/>
        </w:rPr>
        <w:t>4.1</w:t>
        <w:tab/>
        <w:t>保险费的交付</w:t>
        <w:tab/>
      </w:r>
      <w:r>
        <w:rPr>
          <w:position w:val="1"/>
        </w:rPr>
        <w:t>保险费详见费率表</w:t>
      </w:r>
      <w:r>
        <w:rPr>
          <w:spacing w:val="-18"/>
          <w:position w:val="1"/>
        </w:rPr>
        <w:t>，</w:t>
      </w:r>
      <w:r>
        <w:rPr>
          <w:position w:val="1"/>
        </w:rPr>
        <w:t>您可以选择一次交清或分期交付本附加合同的保险费</w:t>
      </w:r>
      <w:r>
        <w:rPr>
          <w:spacing w:val="-18"/>
          <w:position w:val="1"/>
        </w:rPr>
        <w:t>。</w:t>
      </w:r>
      <w:r>
        <w:rPr>
          <w:position w:val="1"/>
        </w:rPr>
        <w:t>本附加合同采用分</w:t>
      </w:r>
      <w:r>
        <w:rPr/>
        <w:t>期交付方式时，保险费交费期间为五年、十年和二十年。</w:t>
      </w:r>
    </w:p>
    <w:p>
      <w:pPr>
        <w:pStyle w:val="BodyText"/>
        <w:spacing w:before="34"/>
        <w:ind w:left="2613"/>
      </w:pPr>
      <w:r>
        <w:rPr/>
        <w:t>分期交付方式包括年交、半年交、季交、月交四种。</w:t>
      </w:r>
    </w:p>
    <w:p>
      <w:pPr>
        <w:spacing w:after="0"/>
        <w:sectPr>
          <w:type w:val="continuous"/>
          <w:pgSz w:w="11910" w:h="16840"/>
          <w:pgMar w:top="1040" w:bottom="1180" w:left="1080" w:right="64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92;mso-wrap-distance-left:0;mso-wrap-distance-right:0" from="59.82pt,31.43545pt" to="557.28pt,31.43545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7"/>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spacing w:before="0"/>
      </w:pPr>
    </w:p>
    <w:p>
      <w:pPr>
        <w:pStyle w:val="ListParagraph"/>
        <w:numPr>
          <w:ilvl w:val="1"/>
          <w:numId w:val="7"/>
        </w:numPr>
        <w:tabs>
          <w:tab w:pos="906" w:val="left" w:leader="none"/>
          <w:tab w:pos="907"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7"/>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1"/>
        <w:numPr>
          <w:ilvl w:val="0"/>
          <w:numId w:val="8"/>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16;mso-wrap-distance-left:0;mso-wrap-distance-right:0" from="59.82pt,43.989815pt" to="557.28pt,43.989815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40"/>
        </w:sectPr>
      </w:pPr>
    </w:p>
    <w:p>
      <w:pPr>
        <w:pStyle w:val="Heading2"/>
        <w:tabs>
          <w:tab w:pos="907" w:val="left" w:leader="none"/>
        </w:tabs>
        <w:spacing w:line="273" w:lineRule="auto"/>
        <w:ind w:left="907" w:hanging="683"/>
      </w:pPr>
      <w:r>
        <w:rPr/>
        <w:t>6.1</w:t>
        <w:tab/>
        <w:t>您解除合同的手 续及风险</w:t>
      </w:r>
    </w:p>
    <w:p>
      <w:pPr>
        <w:pStyle w:val="BodyText"/>
        <w:spacing w:line="316" w:lineRule="auto" w:before="60"/>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6"/>
        <w:rPr>
          <w:sz w:val="22"/>
        </w:rPr>
      </w:pPr>
    </w:p>
    <w:p>
      <w:pPr>
        <w:pStyle w:val="Heading1"/>
        <w:tabs>
          <w:tab w:pos="907" w:val="left" w:leader="none"/>
        </w:tabs>
        <w:spacing w:line="556" w:lineRule="exact"/>
      </w:pPr>
      <w:r>
        <w:rPr/>
        <w:pict>
          <v:line style="position:absolute;mso-position-horizontal-relative:page;mso-position-vertical-relative:paragraph;z-index:1240;mso-wrap-distance-left:0;mso-wrap-distance-right:0" from="59.82pt,31.414968pt" to="557.28pt,31.414968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BodyText"/>
        <w:tabs>
          <w:tab w:pos="907" w:val="left" w:leader="none"/>
          <w:tab w:pos="2613" w:val="left" w:leader="none"/>
        </w:tabs>
        <w:spacing w:line="309" w:lineRule="auto" w:before="35"/>
        <w:ind w:left="2613" w:right="224" w:hanging="2390"/>
      </w:pPr>
      <w:r>
        <w:rPr>
          <w:b/>
          <w:sz w:val="21"/>
        </w:rPr>
        <w:t>7.1</w:t>
        <w:tab/>
        <w:t>投保范围</w:t>
        <w:tab/>
      </w:r>
      <w:r>
        <w:rPr>
          <w:position w:val="1"/>
        </w:rPr>
        <w:t>1、被保险人条件：凡投保时出生满二十八天至六十五周岁，身体健康，能正常工作或学习的 </w:t>
      </w:r>
      <w:r>
        <w:rPr/>
        <w:t>人，均可作为本保险的被保险人。                                                   2、投保人条件：凡订立本附加合同时年满十八周岁，具有完全民事行为能力且对被保险人具有保险利益的人，均可作为本保险的投保人。</w:t>
      </w:r>
    </w:p>
    <w:p>
      <w:pPr>
        <w:pStyle w:val="BodyText"/>
        <w:spacing w:before="5"/>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64;mso-wrap-distance-left:0;mso-wrap-distance-right:0" from="59.82pt,31.425171pt" to="557.28pt,31.425171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9"/>
        </w:numPr>
        <w:tabs>
          <w:tab w:pos="907" w:val="left" w:leader="none"/>
          <w:tab w:pos="908" w:val="left" w:leader="none"/>
          <w:tab w:pos="2613" w:val="left" w:leader="none"/>
        </w:tabs>
        <w:spacing w:line="295" w:lineRule="auto" w:before="0" w:after="0"/>
        <w:ind w:left="2613" w:right="226" w:hanging="2389"/>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type w:val="continuous"/>
          <w:pgSz w:w="11910" w:h="16840"/>
          <w:pgMar w:top="1040" w:bottom="1180" w:left="1080" w:right="640"/>
        </w:sectPr>
      </w:pPr>
    </w:p>
    <w:p>
      <w:pPr>
        <w:pStyle w:val="Heading2"/>
        <w:numPr>
          <w:ilvl w:val="1"/>
          <w:numId w:val="9"/>
        </w:numPr>
        <w:tabs>
          <w:tab w:pos="907" w:val="left" w:leader="none"/>
          <w:tab w:pos="908" w:val="left" w:leader="none"/>
        </w:tabs>
        <w:spacing w:line="240" w:lineRule="auto" w:before="35" w:after="0"/>
        <w:ind w:left="2613" w:right="0" w:hanging="2389"/>
        <w:jc w:val="left"/>
      </w:pPr>
      <w:r>
        <w:rPr>
          <w:w w:val="95"/>
        </w:rPr>
        <w:t>指定或认可的</w:t>
      </w:r>
    </w:p>
    <w:p>
      <w:pPr>
        <w:spacing w:before="36"/>
        <w:ind w:left="907" w:right="0" w:firstLine="0"/>
        <w:jc w:val="left"/>
        <w:rPr>
          <w:b/>
          <w:sz w:val="21"/>
        </w:rPr>
      </w:pPr>
      <w:r>
        <w:rPr>
          <w:b/>
          <w:sz w:val="21"/>
        </w:rPr>
        <w:t>医疗机构</w:t>
      </w:r>
    </w:p>
    <w:p>
      <w:pPr>
        <w:pStyle w:val="BodyText"/>
        <w:spacing w:line="316" w:lineRule="auto" w:before="61"/>
        <w:ind w:left="224" w:right="192"/>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172" w:space="217"/>
            <w:col w:w="7801"/>
          </w:cols>
        </w:sectPr>
      </w:pPr>
    </w:p>
    <w:p>
      <w:pPr>
        <w:pStyle w:val="BodyText"/>
        <w:spacing w:before="3"/>
        <w:rPr>
          <w:sz w:val="14"/>
        </w:rPr>
      </w:pPr>
    </w:p>
    <w:p>
      <w:pPr>
        <w:pStyle w:val="ListParagraph"/>
        <w:numPr>
          <w:ilvl w:val="1"/>
          <w:numId w:val="9"/>
        </w:numPr>
        <w:tabs>
          <w:tab w:pos="908" w:val="left" w:leader="none"/>
          <w:tab w:pos="2613" w:val="left" w:leader="none"/>
        </w:tabs>
        <w:spacing w:line="304" w:lineRule="auto" w:before="35" w:after="0"/>
        <w:ind w:left="2613" w:right="224" w:hanging="2389"/>
        <w:jc w:val="both"/>
        <w:rPr>
          <w:sz w:val="18"/>
        </w:rPr>
      </w:pPr>
      <w:r>
        <w:rPr>
          <w:b/>
          <w:sz w:val="21"/>
        </w:rPr>
        <w:t>毒品</w:t>
        <w:tab/>
      </w:r>
      <w:r>
        <w:rPr>
          <w:position w:val="1"/>
          <w:sz w:val="18"/>
        </w:rPr>
        <w:t>指中华人民共和国刑法规定的鸦片、海洛因、甲基苯丙胺（冰毒</w:t>
      </w:r>
      <w:r>
        <w:rPr>
          <w:spacing w:val="-89"/>
          <w:position w:val="1"/>
          <w:sz w:val="18"/>
        </w:rPr>
        <w:t>）</w:t>
      </w:r>
      <w:r>
        <w:rPr>
          <w:position w:val="1"/>
          <w:sz w:val="18"/>
        </w:rPr>
        <w:t>、吗啡、大麻、可卡因以及 </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3"/>
        <w:jc w:val="left"/>
        <w:rPr>
          <w:sz w:val="18"/>
        </w:rPr>
      </w:pPr>
      <w:r>
        <w:rPr>
          <w:b/>
          <w:sz w:val="21"/>
        </w:rPr>
        <w:t>酒后驾驶</w:t>
        <w:tab/>
      </w:r>
      <w:r>
        <w:rPr>
          <w:position w:val="1"/>
          <w:sz w:val="18"/>
        </w:rPr>
        <w:t>指经检测或鉴定</w:t>
      </w:r>
      <w:r>
        <w:rPr>
          <w:spacing w:val="-38"/>
          <w:position w:val="1"/>
          <w:sz w:val="18"/>
        </w:rPr>
        <w:t>，</w:t>
      </w:r>
      <w:r>
        <w:rPr>
          <w:position w:val="1"/>
          <w:sz w:val="18"/>
        </w:rPr>
        <w:t>发生事故时车辆驾驶人员每百毫升血液中的酒精含量或呼气酒精含量达到或</w:t>
      </w:r>
    </w:p>
    <w:p>
      <w:pPr>
        <w:spacing w:after="0" w:line="240" w:lineRule="auto"/>
        <w:jc w:val="left"/>
        <w:rPr>
          <w:sz w:val="18"/>
        </w:rPr>
        <w:sectPr>
          <w:type w:val="continuous"/>
          <w:pgSz w:w="11910" w:h="16840"/>
          <w:pgMar w:top="1040" w:bottom="1180" w:left="1080" w:right="640"/>
        </w:sectPr>
      </w:pPr>
    </w:p>
    <w:p>
      <w:pPr>
        <w:pStyle w:val="BodyText"/>
        <w:spacing w:before="11"/>
        <w:rPr>
          <w:sz w:val="27"/>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501"/>
      </w:tblGrid>
      <w:tr>
        <w:trPr>
          <w:trHeight w:val="245" w:hRule="atLeast"/>
        </w:trPr>
        <w:tc>
          <w:tcPr>
            <w:tcW w:w="2332" w:type="dxa"/>
            <w:gridSpan w:val="2"/>
            <w:vMerge w:val="restart"/>
          </w:tcPr>
          <w:p>
            <w:pPr>
              <w:pStyle w:val="TableParagraph"/>
              <w:rPr>
                <w:rFonts w:ascii="Times New Roman"/>
                <w:sz w:val="18"/>
              </w:rPr>
            </w:pPr>
          </w:p>
        </w:tc>
        <w:tc>
          <w:tcPr>
            <w:tcW w:w="7501" w:type="dxa"/>
          </w:tcPr>
          <w:p>
            <w:pPr>
              <w:pStyle w:val="TableParagraph"/>
              <w:spacing w:line="180" w:lineRule="exact"/>
              <w:ind w:left="107"/>
              <w:rPr>
                <w:sz w:val="18"/>
              </w:rPr>
            </w:pPr>
            <w:r>
              <w:rPr>
                <w:sz w:val="18"/>
              </w:rPr>
              <w:t>超过一定的标准，公安机关交通管理部门依据《道路交通安全法》的规定认定为饮酒后驾驶或</w:t>
            </w:r>
          </w:p>
        </w:tc>
      </w:tr>
      <w:tr>
        <w:trPr>
          <w:trHeight w:val="417" w:hRule="atLeast"/>
        </w:trPr>
        <w:tc>
          <w:tcPr>
            <w:tcW w:w="2332" w:type="dxa"/>
            <w:gridSpan w:val="2"/>
            <w:vMerge/>
            <w:tcBorders>
              <w:top w:val="nil"/>
            </w:tcBorders>
          </w:tcPr>
          <w:p>
            <w:pPr>
              <w:rPr>
                <w:sz w:val="2"/>
                <w:szCs w:val="2"/>
              </w:rPr>
            </w:pPr>
          </w:p>
        </w:tc>
        <w:tc>
          <w:tcPr>
            <w:tcW w:w="7501" w:type="dxa"/>
          </w:tcPr>
          <w:p>
            <w:pPr>
              <w:pStyle w:val="TableParagraph"/>
              <w:spacing w:before="10"/>
              <w:ind w:left="107"/>
              <w:rPr>
                <w:sz w:val="18"/>
              </w:rPr>
            </w:pPr>
            <w:r>
              <w:rPr>
                <w:sz w:val="18"/>
              </w:rPr>
              <w:t>醉酒后驾驶。</w:t>
            </w:r>
          </w:p>
        </w:tc>
      </w:tr>
      <w:tr>
        <w:trPr>
          <w:trHeight w:val="752" w:hRule="atLeast"/>
        </w:trPr>
        <w:tc>
          <w:tcPr>
            <w:tcW w:w="603" w:type="dxa"/>
          </w:tcPr>
          <w:p>
            <w:pPr>
              <w:pStyle w:val="TableParagraph"/>
              <w:spacing w:before="106"/>
              <w:ind w:left="50"/>
              <w:rPr>
                <w:b/>
                <w:sz w:val="21"/>
              </w:rPr>
            </w:pPr>
            <w:r>
              <w:rPr>
                <w:b/>
                <w:sz w:val="21"/>
              </w:rPr>
              <w:t>8.6</w:t>
            </w:r>
          </w:p>
        </w:tc>
        <w:tc>
          <w:tcPr>
            <w:tcW w:w="1729" w:type="dxa"/>
          </w:tcPr>
          <w:p>
            <w:pPr>
              <w:pStyle w:val="TableParagraph"/>
              <w:spacing w:line="273" w:lineRule="auto" w:before="106"/>
              <w:ind w:left="129" w:right="103"/>
              <w:rPr>
                <w:b/>
                <w:sz w:val="21"/>
              </w:rPr>
            </w:pPr>
            <w:r>
              <w:rPr>
                <w:b/>
                <w:sz w:val="21"/>
              </w:rPr>
              <w:t>无合法有效驾驶证驾驶</w:t>
            </w:r>
          </w:p>
        </w:tc>
        <w:tc>
          <w:tcPr>
            <w:tcW w:w="7501" w:type="dxa"/>
          </w:tcPr>
          <w:p>
            <w:pPr>
              <w:pStyle w:val="TableParagraph"/>
              <w:spacing w:before="132"/>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10"/>
              <w:ind w:left="107"/>
              <w:rPr>
                <w:sz w:val="18"/>
              </w:rPr>
            </w:pPr>
            <w:r>
              <w:rPr>
                <w:sz w:val="18"/>
              </w:rPr>
              <w:t>(3) 持审验不合格的驾驶证驾驶；</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10"/>
              <w:ind w:left="107"/>
              <w:rPr>
                <w:sz w:val="18"/>
              </w:rPr>
            </w:pPr>
            <w:r>
              <w:rPr>
                <w:sz w:val="18"/>
              </w:rPr>
              <w:t>(4) 持学习驾驶证学习驾车时，无教练员随车指导，或不按指定时间、路线学习驾车。</w:t>
            </w:r>
          </w:p>
        </w:tc>
      </w:tr>
      <w:tr>
        <w:trPr>
          <w:trHeight w:val="440" w:hRule="atLeast"/>
        </w:trPr>
        <w:tc>
          <w:tcPr>
            <w:tcW w:w="603" w:type="dxa"/>
          </w:tcPr>
          <w:p>
            <w:pPr>
              <w:pStyle w:val="TableParagraph"/>
              <w:spacing w:before="106"/>
              <w:ind w:left="50"/>
              <w:rPr>
                <w:b/>
                <w:sz w:val="21"/>
              </w:rPr>
            </w:pPr>
            <w:r>
              <w:rPr>
                <w:b/>
                <w:sz w:val="21"/>
              </w:rPr>
              <w:t>8.7</w:t>
            </w:r>
          </w:p>
        </w:tc>
        <w:tc>
          <w:tcPr>
            <w:tcW w:w="1729" w:type="dxa"/>
          </w:tcPr>
          <w:p>
            <w:pPr>
              <w:pStyle w:val="TableParagraph"/>
              <w:spacing w:before="106"/>
              <w:ind w:left="130"/>
              <w:rPr>
                <w:b/>
                <w:sz w:val="21"/>
              </w:rPr>
            </w:pPr>
            <w:r>
              <w:rPr>
                <w:b/>
                <w:w w:val="95"/>
                <w:sz w:val="21"/>
              </w:rPr>
              <w:t>无有效行驶证</w:t>
            </w:r>
          </w:p>
        </w:tc>
        <w:tc>
          <w:tcPr>
            <w:tcW w:w="7501" w:type="dxa"/>
          </w:tcPr>
          <w:p>
            <w:pPr>
              <w:pStyle w:val="TableParagraph"/>
              <w:spacing w:before="132"/>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3"/>
              <w:ind w:left="107"/>
              <w:rPr>
                <w:sz w:val="18"/>
              </w:rPr>
            </w:pPr>
            <w:r>
              <w:rPr>
                <w:sz w:val="18"/>
              </w:rPr>
              <w:t>(1) 机动车被依法注销登记的；</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10"/>
              <w:ind w:left="107"/>
              <w:rPr>
                <w:sz w:val="18"/>
              </w:rPr>
            </w:pPr>
            <w:r>
              <w:rPr>
                <w:sz w:val="18"/>
              </w:rPr>
              <w:t>(2) 未依法按时进行或通过机动车安全技术检验。</w:t>
            </w:r>
          </w:p>
        </w:tc>
      </w:tr>
      <w:tr>
        <w:trPr>
          <w:trHeight w:val="545"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w w:val="95"/>
                <w:sz w:val="21"/>
              </w:rPr>
              <w:t>艾滋病</w:t>
            </w:r>
          </w:p>
        </w:tc>
        <w:tc>
          <w:tcPr>
            <w:tcW w:w="7501" w:type="dxa"/>
          </w:tcPr>
          <w:p>
            <w:pPr>
              <w:pStyle w:val="TableParagraph"/>
              <w:spacing w:before="132"/>
              <w:ind w:left="107"/>
              <w:rPr>
                <w:sz w:val="18"/>
              </w:rPr>
            </w:pPr>
            <w:r>
              <w:rPr>
                <w:sz w:val="18"/>
              </w:rPr>
              <w:t>获得性免疫力缺乏综合征（AIDS）的简称。</w:t>
            </w:r>
          </w:p>
        </w:tc>
      </w:tr>
      <w:tr>
        <w:trPr>
          <w:trHeight w:val="433" w:hRule="atLeast"/>
        </w:trPr>
        <w:tc>
          <w:tcPr>
            <w:tcW w:w="603" w:type="dxa"/>
          </w:tcPr>
          <w:p>
            <w:pPr>
              <w:pStyle w:val="TableParagraph"/>
              <w:spacing w:before="99"/>
              <w:ind w:left="50"/>
              <w:rPr>
                <w:b/>
                <w:sz w:val="21"/>
              </w:rPr>
            </w:pPr>
            <w:r>
              <w:rPr>
                <w:b/>
                <w:sz w:val="21"/>
              </w:rPr>
              <w:t>8.9</w:t>
            </w:r>
          </w:p>
        </w:tc>
        <w:tc>
          <w:tcPr>
            <w:tcW w:w="1729" w:type="dxa"/>
          </w:tcPr>
          <w:p>
            <w:pPr>
              <w:pStyle w:val="TableParagraph"/>
              <w:spacing w:before="99"/>
              <w:ind w:left="129"/>
              <w:rPr>
                <w:b/>
                <w:sz w:val="21"/>
              </w:rPr>
            </w:pPr>
            <w:r>
              <w:rPr>
                <w:b/>
                <w:w w:val="95"/>
                <w:sz w:val="21"/>
              </w:rPr>
              <w:t>艾滋病病毒</w:t>
            </w:r>
          </w:p>
        </w:tc>
        <w:tc>
          <w:tcPr>
            <w:tcW w:w="7501" w:type="dxa"/>
          </w:tcPr>
          <w:p>
            <w:pPr>
              <w:pStyle w:val="TableParagraph"/>
              <w:spacing w:before="125"/>
              <w:ind w:left="107"/>
              <w:rPr>
                <w:sz w:val="18"/>
              </w:rPr>
            </w:pPr>
            <w:r>
              <w:rPr>
                <w:sz w:val="18"/>
              </w:rPr>
              <w:t>获得性免疫力缺乏综合征病毒（HIV）的简称。获得性免疫力缺乏综合征的定义应按世界卫生</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3"/>
              <w:ind w:left="107"/>
              <w:rPr>
                <w:sz w:val="18"/>
              </w:rPr>
            </w:pPr>
            <w:r>
              <w:rPr>
                <w:sz w:val="18"/>
              </w:rPr>
              <w:t>组织制定的定义为准，如在血液样本中发现获得性免疫力缺乏综合征病毒或其抗体，则可认定</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10"/>
              <w:ind w:left="107"/>
              <w:rPr>
                <w:sz w:val="18"/>
              </w:rPr>
            </w:pPr>
            <w:r>
              <w:rPr>
                <w:sz w:val="18"/>
              </w:rPr>
              <w:t>为感染艾滋病或艾滋病病毒。</w:t>
            </w:r>
          </w:p>
        </w:tc>
      </w:tr>
      <w:tr>
        <w:trPr>
          <w:trHeight w:val="440" w:hRule="atLeast"/>
        </w:trPr>
        <w:tc>
          <w:tcPr>
            <w:tcW w:w="603" w:type="dxa"/>
          </w:tcPr>
          <w:p>
            <w:pPr>
              <w:pStyle w:val="TableParagraph"/>
              <w:spacing w:before="106"/>
              <w:ind w:left="50"/>
              <w:rPr>
                <w:b/>
                <w:sz w:val="21"/>
              </w:rPr>
            </w:pPr>
            <w:r>
              <w:rPr>
                <w:b/>
                <w:sz w:val="21"/>
              </w:rPr>
              <w:t>8.10</w:t>
            </w:r>
          </w:p>
        </w:tc>
        <w:tc>
          <w:tcPr>
            <w:tcW w:w="1729" w:type="dxa"/>
          </w:tcPr>
          <w:p>
            <w:pPr>
              <w:pStyle w:val="TableParagraph"/>
              <w:spacing w:before="106"/>
              <w:ind w:left="130"/>
              <w:rPr>
                <w:b/>
                <w:sz w:val="21"/>
              </w:rPr>
            </w:pPr>
            <w:r>
              <w:rPr>
                <w:b/>
                <w:sz w:val="21"/>
              </w:rPr>
              <w:t>现金价值</w:t>
            </w:r>
          </w:p>
        </w:tc>
        <w:tc>
          <w:tcPr>
            <w:tcW w:w="7501" w:type="dxa"/>
          </w:tcPr>
          <w:p>
            <w:pPr>
              <w:pStyle w:val="TableParagraph"/>
              <w:spacing w:before="132"/>
              <w:ind w:left="107"/>
              <w:rPr>
                <w:sz w:val="18"/>
              </w:rPr>
            </w:pPr>
            <w:r>
              <w:rPr>
                <w:sz w:val="18"/>
              </w:rPr>
              <w:t>指保险单所具有的价值，通常体现为解除合同时，根据精算原理计算的，由本公司退还的那部</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1" w:type="dxa"/>
          </w:tcPr>
          <w:p>
            <w:pPr>
              <w:pStyle w:val="TableParagraph"/>
              <w:spacing w:before="3"/>
              <w:ind w:left="107"/>
              <w:rPr>
                <w:sz w:val="18"/>
              </w:rPr>
            </w:pPr>
            <w:r>
              <w:rPr>
                <w:sz w:val="18"/>
              </w:rPr>
              <w:t>分金额。</w:t>
            </w:r>
          </w:p>
        </w:tc>
      </w:tr>
      <w:tr>
        <w:trPr>
          <w:trHeight w:val="381" w:hRule="atLeast"/>
        </w:trPr>
        <w:tc>
          <w:tcPr>
            <w:tcW w:w="603" w:type="dxa"/>
          </w:tcPr>
          <w:p>
            <w:pPr>
              <w:pStyle w:val="TableParagraph"/>
              <w:spacing w:line="255" w:lineRule="exact" w:before="107"/>
              <w:ind w:left="50"/>
              <w:rPr>
                <w:b/>
                <w:sz w:val="21"/>
              </w:rPr>
            </w:pPr>
            <w:r>
              <w:rPr>
                <w:b/>
                <w:sz w:val="21"/>
              </w:rPr>
              <w:t>8.11</w:t>
            </w:r>
          </w:p>
        </w:tc>
        <w:tc>
          <w:tcPr>
            <w:tcW w:w="1729" w:type="dxa"/>
          </w:tcPr>
          <w:p>
            <w:pPr>
              <w:pStyle w:val="TableParagraph"/>
              <w:spacing w:line="255" w:lineRule="exact" w:before="107"/>
              <w:ind w:left="129"/>
              <w:rPr>
                <w:b/>
                <w:sz w:val="21"/>
              </w:rPr>
            </w:pPr>
            <w:r>
              <w:rPr>
                <w:b/>
                <w:w w:val="95"/>
                <w:sz w:val="21"/>
              </w:rPr>
              <w:t>利息</w:t>
            </w:r>
          </w:p>
        </w:tc>
        <w:tc>
          <w:tcPr>
            <w:tcW w:w="7501" w:type="dxa"/>
          </w:tcPr>
          <w:p>
            <w:pPr>
              <w:pStyle w:val="TableParagraph"/>
              <w:spacing w:line="229" w:lineRule="exact" w:before="132"/>
              <w:ind w:left="107"/>
              <w:rPr>
                <w:sz w:val="18"/>
              </w:rPr>
            </w:pPr>
            <w:r>
              <w:rPr>
                <w:sz w:val="18"/>
              </w:rPr>
              <w:t>除本附加合同另有约定外,本附加合同中提到的利息一律按年复利方式计算。</w:t>
            </w:r>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5"/>
        </w:rPr>
      </w:pPr>
    </w:p>
    <w:p>
      <w:pPr>
        <w:pStyle w:val="Heading3"/>
        <w:spacing w:before="44"/>
        <w:ind w:left="4276" w:right="4006"/>
        <w:jc w:val="center"/>
      </w:pPr>
      <w:r>
        <w:rPr/>
        <w:t>附表一: 重大疾病说明</w:t>
      </w:r>
    </w:p>
    <w:p>
      <w:pPr>
        <w:pStyle w:val="BodyText"/>
        <w:spacing w:before="10"/>
        <w:rPr>
          <w:b/>
          <w:sz w:val="23"/>
        </w:rPr>
      </w:pPr>
    </w:p>
    <w:p>
      <w:pPr>
        <w:spacing w:before="44"/>
        <w:ind w:left="224" w:right="0" w:firstLine="0"/>
        <w:jc w:val="left"/>
        <w:rPr>
          <w:b/>
          <w:sz w:val="18"/>
        </w:rPr>
      </w:pPr>
      <w:r>
        <w:rPr>
          <w:b/>
          <w:w w:val="95"/>
          <w:sz w:val="18"/>
        </w:rPr>
        <w:t>重大疾病：指下列疾病或手术之一</w:t>
      </w:r>
    </w:p>
    <w:p>
      <w:pPr>
        <w:pStyle w:val="BodyText"/>
        <w:spacing w:before="3"/>
        <w:rPr>
          <w:b/>
          <w:sz w:val="26"/>
        </w:rPr>
      </w:pPr>
    </w:p>
    <w:p>
      <w:pPr>
        <w:spacing w:line="302" w:lineRule="auto" w:before="0"/>
        <w:ind w:left="224" w:right="29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1"/>
        </w:rPr>
      </w:pPr>
    </w:p>
    <w:p>
      <w:pPr>
        <w:pStyle w:val="ListParagraph"/>
        <w:numPr>
          <w:ilvl w:val="0"/>
          <w:numId w:val="10"/>
        </w:numPr>
        <w:tabs>
          <w:tab w:pos="525" w:val="left" w:leader="none"/>
          <w:tab w:pos="2522" w:val="left" w:leader="none"/>
        </w:tabs>
        <w:spacing w:line="304" w:lineRule="auto" w:before="0" w:after="0"/>
        <w:ind w:left="2522" w:right="257" w:hanging="2418"/>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3"/>
          <w:position w:val="1"/>
          <w:sz w:val="18"/>
        </w:rPr>
        <w:t>、</w:t>
      </w:r>
      <w:r>
        <w:rPr>
          <w:position w:val="1"/>
          <w:sz w:val="18"/>
        </w:rPr>
        <w:t>淋巴管和</w:t>
      </w:r>
      <w:r>
        <w:rPr>
          <w:sz w:val="18"/>
        </w:rPr>
        <w:t>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27"/>
        <w:ind w:left="2522"/>
      </w:pPr>
      <w:r>
        <w:rPr/>
        <w:t>下列疾病不在保障范围内：</w:t>
      </w:r>
    </w:p>
    <w:p>
      <w:pPr>
        <w:pStyle w:val="ListParagraph"/>
        <w:numPr>
          <w:ilvl w:val="1"/>
          <w:numId w:val="10"/>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0"/>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0"/>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0"/>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0"/>
        </w:numPr>
        <w:tabs>
          <w:tab w:pos="2883" w:val="left" w:leader="none"/>
        </w:tabs>
        <w:spacing w:line="240" w:lineRule="auto" w:before="75"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4"/>
        <w:rPr>
          <w:sz w:val="21"/>
        </w:rPr>
      </w:pPr>
    </w:p>
    <w:p>
      <w:pPr>
        <w:pStyle w:val="ListParagraph"/>
        <w:numPr>
          <w:ilvl w:val="0"/>
          <w:numId w:val="10"/>
        </w:numPr>
        <w:tabs>
          <w:tab w:pos="524" w:val="left" w:leader="none"/>
          <w:tab w:pos="525" w:val="left" w:leader="none"/>
          <w:tab w:pos="2522" w:val="left" w:leader="none"/>
        </w:tabs>
        <w:spacing w:line="240" w:lineRule="auto" w:before="0" w:after="0"/>
        <w:ind w:left="2522" w:right="0" w:hanging="2418"/>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10"/>
        </w:numPr>
        <w:tabs>
          <w:tab w:pos="2920" w:val="left" w:leader="none"/>
        </w:tabs>
        <w:spacing w:line="240" w:lineRule="auto" w:before="62" w:after="0"/>
        <w:ind w:left="2919" w:right="0" w:hanging="397"/>
        <w:jc w:val="left"/>
        <w:rPr>
          <w:sz w:val="18"/>
        </w:rPr>
      </w:pPr>
      <w:r>
        <w:rPr>
          <w:sz w:val="18"/>
        </w:rPr>
        <w:t>典型临床表现，例如急性胸痛等；</w:t>
      </w:r>
    </w:p>
    <w:p>
      <w:pPr>
        <w:pStyle w:val="ListParagraph"/>
        <w:numPr>
          <w:ilvl w:val="1"/>
          <w:numId w:val="10"/>
        </w:numPr>
        <w:tabs>
          <w:tab w:pos="2920" w:val="left" w:leader="none"/>
        </w:tabs>
        <w:spacing w:line="240" w:lineRule="auto" w:before="76" w:after="0"/>
        <w:ind w:left="2919" w:right="0" w:hanging="397"/>
        <w:jc w:val="left"/>
        <w:rPr>
          <w:sz w:val="18"/>
        </w:rPr>
      </w:pPr>
      <w:r>
        <w:rPr>
          <w:sz w:val="18"/>
        </w:rPr>
        <w:t>新近的心电图改变提示急性心肌梗塞；</w:t>
      </w:r>
    </w:p>
    <w:p>
      <w:pPr>
        <w:pStyle w:val="ListParagraph"/>
        <w:numPr>
          <w:ilvl w:val="1"/>
          <w:numId w:val="10"/>
        </w:numPr>
        <w:tabs>
          <w:tab w:pos="2920" w:val="left" w:leader="none"/>
        </w:tabs>
        <w:spacing w:line="240" w:lineRule="auto" w:before="76" w:after="0"/>
        <w:ind w:left="2919" w:right="0" w:hanging="397"/>
        <w:jc w:val="left"/>
        <w:rPr>
          <w:sz w:val="18"/>
        </w:rPr>
      </w:pPr>
      <w:r>
        <w:rPr>
          <w:sz w:val="18"/>
        </w:rPr>
        <w:t>心肌酶或肌钙蛋白有诊断意义的升高，或呈符合急性心肌梗塞的动态性变化；</w:t>
      </w:r>
    </w:p>
    <w:p>
      <w:pPr>
        <w:spacing w:after="0" w:line="240" w:lineRule="auto"/>
        <w:jc w:val="left"/>
        <w:rPr>
          <w:sz w:val="18"/>
        </w:rPr>
        <w:sectPr>
          <w:pgSz w:w="11910" w:h="16840"/>
          <w:pgMar w:header="877" w:footer="981" w:top="1100" w:bottom="1180" w:left="1080" w:right="700"/>
        </w:sectPr>
      </w:pPr>
    </w:p>
    <w:p>
      <w:pPr>
        <w:pStyle w:val="BodyText"/>
        <w:spacing w:before="3"/>
        <w:rPr>
          <w:sz w:val="20"/>
        </w:rPr>
      </w:pPr>
    </w:p>
    <w:p>
      <w:pPr>
        <w:pStyle w:val="ListParagraph"/>
        <w:numPr>
          <w:ilvl w:val="1"/>
          <w:numId w:val="10"/>
        </w:numPr>
        <w:tabs>
          <w:tab w:pos="2920" w:val="left" w:leader="none"/>
        </w:tabs>
        <w:spacing w:line="240" w:lineRule="auto" w:before="44" w:after="0"/>
        <w:ind w:left="2919" w:right="0" w:hanging="397"/>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1"/>
        </w:rPr>
      </w:pPr>
    </w:p>
    <w:p>
      <w:pPr>
        <w:pStyle w:val="ListParagraph"/>
        <w:numPr>
          <w:ilvl w:val="0"/>
          <w:numId w:val="10"/>
        </w:numPr>
        <w:tabs>
          <w:tab w:pos="524" w:val="left" w:leader="none"/>
          <w:tab w:pos="525" w:val="left" w:leader="none"/>
          <w:tab w:pos="2522" w:val="left" w:leader="none"/>
        </w:tabs>
        <w:spacing w:line="295" w:lineRule="auto" w:before="0" w:after="0"/>
        <w:ind w:left="2522" w:right="116" w:hanging="2418"/>
        <w:jc w:val="left"/>
        <w:rPr>
          <w:sz w:val="18"/>
        </w:rPr>
      </w:pPr>
      <w:r>
        <w:rPr>
          <w:b/>
          <w:sz w:val="21"/>
        </w:rPr>
        <w:t>脑中风后遗症</w:t>
        <w:tab/>
      </w:r>
      <w:r>
        <w:rPr>
          <w:position w:val="1"/>
          <w:sz w:val="18"/>
        </w:rPr>
        <w:t>指因脑血管的突发病变引起脑血管出血</w:t>
      </w:r>
      <w:r>
        <w:rPr>
          <w:spacing w:val="-13"/>
          <w:position w:val="1"/>
          <w:sz w:val="18"/>
        </w:rPr>
        <w:t>、</w:t>
      </w:r>
      <w:r>
        <w:rPr>
          <w:position w:val="1"/>
          <w:sz w:val="18"/>
        </w:rPr>
        <w:t>栓塞或梗塞</w:t>
      </w:r>
      <w:r>
        <w:rPr>
          <w:spacing w:val="-13"/>
          <w:position w:val="1"/>
          <w:sz w:val="18"/>
        </w:rPr>
        <w:t>，</w:t>
      </w:r>
      <w:r>
        <w:rPr>
          <w:position w:val="1"/>
          <w:sz w:val="18"/>
        </w:rPr>
        <w:t>并导致神经系统永久性功能障碍</w:t>
      </w:r>
      <w:r>
        <w:rPr>
          <w:spacing w:val="-13"/>
          <w:position w:val="1"/>
          <w:sz w:val="18"/>
        </w:rPr>
        <w:t>。</w:t>
      </w:r>
      <w:r>
        <w:rPr>
          <w:position w:val="1"/>
          <w:sz w:val="18"/>
        </w:rPr>
        <w:t>神经</w:t>
      </w:r>
      <w:r>
        <w:rPr>
          <w:sz w:val="18"/>
        </w:rPr>
        <w:t>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0"/>
        </w:numPr>
        <w:tabs>
          <w:tab w:pos="2943" w:val="left" w:leader="none"/>
        </w:tabs>
        <w:spacing w:line="240" w:lineRule="auto" w:before="34" w:after="0"/>
        <w:ind w:left="2942" w:right="0" w:hanging="420"/>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0"/>
        </w:numPr>
        <w:tabs>
          <w:tab w:pos="2943" w:val="left" w:leader="none"/>
        </w:tabs>
        <w:spacing w:line="240" w:lineRule="auto" w:before="75" w:after="0"/>
        <w:ind w:left="2942" w:right="0" w:hanging="420"/>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0"/>
        </w:numPr>
        <w:tabs>
          <w:tab w:pos="2943" w:val="left" w:leader="none"/>
        </w:tabs>
        <w:spacing w:line="316" w:lineRule="auto" w:before="75" w:after="0"/>
        <w:ind w:left="2942" w:right="117"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11"/>
          <w:sz w:val="18"/>
        </w:rPr>
        <w:t>5）</w:t>
      </w:r>
      <w:r>
        <w:rPr>
          <w:sz w:val="18"/>
        </w:rPr>
        <w:t>中的三项或三项以上。</w:t>
      </w:r>
    </w:p>
    <w:p>
      <w:pPr>
        <w:pStyle w:val="BodyText"/>
        <w:spacing w:before="1"/>
        <w:rPr>
          <w:sz w:val="14"/>
        </w:rPr>
      </w:pPr>
    </w:p>
    <w:p>
      <w:pPr>
        <w:spacing w:after="0"/>
        <w:rPr>
          <w:sz w:val="14"/>
        </w:rPr>
        <w:sectPr>
          <w:headerReference w:type="default" r:id="rId10"/>
          <w:footerReference w:type="default" r:id="rId11"/>
          <w:pgSz w:w="11910" w:h="16840"/>
          <w:pgMar w:header="877" w:footer="0" w:top="1100" w:bottom="280" w:left="1080" w:right="840"/>
        </w:sectPr>
      </w:pPr>
    </w:p>
    <w:p>
      <w:pPr>
        <w:pStyle w:val="Heading2"/>
        <w:numPr>
          <w:ilvl w:val="0"/>
          <w:numId w:val="10"/>
        </w:numPr>
        <w:tabs>
          <w:tab w:pos="524" w:val="left" w:leader="none"/>
          <w:tab w:pos="525" w:val="left" w:leader="none"/>
        </w:tabs>
        <w:spacing w:line="273" w:lineRule="auto" w:before="35" w:after="0"/>
        <w:ind w:left="524" w:right="0" w:hanging="420"/>
        <w:jc w:val="left"/>
      </w:pPr>
      <w:r>
        <w:rPr>
          <w:spacing w:val="12"/>
        </w:rPr>
        <w:t>重大器官移植术或</w:t>
      </w:r>
      <w:r>
        <w:rPr>
          <w:w w:val="95"/>
        </w:rPr>
        <w:t>造血干细胞移植术</w:t>
      </w:r>
    </w:p>
    <w:p>
      <w:pPr>
        <w:pStyle w:val="BodyText"/>
        <w:spacing w:line="316" w:lineRule="auto" w:before="61"/>
        <w:ind w:left="104" w:right="117"/>
      </w:pPr>
      <w:r>
        <w:rPr/>
        <w:br w:type="column"/>
      </w:r>
      <w:r>
        <w:rPr>
          <w:spacing w:val="-5"/>
        </w:rPr>
        <w:t>重大器官移植术，指因相应器官功能衰竭，已经实施了肾脏、肝脏、心脏或肺脏的异体移植手术。</w:t>
      </w:r>
    </w:p>
    <w:p>
      <w:pPr>
        <w:pStyle w:val="BodyText"/>
        <w:spacing w:line="316" w:lineRule="auto" w:before="19"/>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0" w:space="98"/>
            <w:col w:w="7572"/>
          </w:cols>
        </w:sectPr>
      </w:pPr>
    </w:p>
    <w:p>
      <w:pPr>
        <w:pStyle w:val="BodyText"/>
        <w:spacing w:before="1"/>
        <w:rPr>
          <w:sz w:val="14"/>
        </w:rPr>
      </w:pPr>
    </w:p>
    <w:p>
      <w:pPr>
        <w:pStyle w:val="ListParagraph"/>
        <w:numPr>
          <w:ilvl w:val="0"/>
          <w:numId w:val="10"/>
        </w:numPr>
        <w:tabs>
          <w:tab w:pos="524" w:val="left" w:leader="none"/>
          <w:tab w:pos="525" w:val="left" w:leader="none"/>
          <w:tab w:pos="2522" w:val="left" w:leader="none"/>
        </w:tabs>
        <w:spacing w:line="240" w:lineRule="auto" w:before="36" w:after="0"/>
        <w:ind w:left="2522" w:right="0" w:hanging="2418"/>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6" w:lineRule="auto" w:before="62"/>
        <w:ind w:left="2522" w:right="141"/>
      </w:pPr>
      <w:r>
        <w:rPr>
          <w:spacing w:val="-5"/>
        </w:rPr>
        <w:t>冠状动脉支架植入术、心导管球囊扩张术、激光射频技术及其它非开胸的介入手术、腔镜手术不在保障范围内。</w:t>
      </w:r>
    </w:p>
    <w:p>
      <w:pPr>
        <w:pStyle w:val="BodyText"/>
        <w:spacing w:before="10"/>
        <w:rPr>
          <w:sz w:val="16"/>
        </w:rPr>
      </w:pPr>
    </w:p>
    <w:p>
      <w:pPr>
        <w:pStyle w:val="ListParagraph"/>
        <w:numPr>
          <w:ilvl w:val="0"/>
          <w:numId w:val="10"/>
        </w:numPr>
        <w:tabs>
          <w:tab w:pos="524" w:val="left" w:leader="none"/>
          <w:tab w:pos="525" w:val="left" w:leader="none"/>
          <w:tab w:pos="2522" w:val="left" w:leader="none"/>
        </w:tabs>
        <w:spacing w:line="295" w:lineRule="auto" w:before="0" w:after="0"/>
        <w:ind w:left="2522" w:right="117" w:hanging="2418"/>
        <w:jc w:val="left"/>
        <w:rPr>
          <w:sz w:val="18"/>
        </w:rPr>
      </w:pPr>
      <w:r>
        <w:rPr>
          <w:b/>
          <w:sz w:val="21"/>
        </w:rPr>
        <w:t>终末期肾病</w:t>
        <w:tab/>
      </w:r>
      <w:r>
        <w:rPr>
          <w:position w:val="1"/>
          <w:sz w:val="18"/>
        </w:rPr>
        <w:t>指双肾功能慢性不可逆性衰竭，达到尿毒症期，经诊断后已经进行了至少</w:t>
      </w:r>
      <w:r>
        <w:rPr>
          <w:spacing w:val="-18"/>
          <w:position w:val="1"/>
          <w:sz w:val="18"/>
        </w:rPr>
        <w:t> </w:t>
      </w:r>
      <w:r>
        <w:rPr>
          <w:position w:val="1"/>
          <w:sz w:val="18"/>
        </w:rPr>
        <w:t>90</w:t>
      </w:r>
      <w:r>
        <w:rPr>
          <w:spacing w:val="-18"/>
          <w:position w:val="1"/>
          <w:sz w:val="18"/>
        </w:rPr>
        <w:t> </w:t>
      </w:r>
      <w:r>
        <w:rPr>
          <w:position w:val="1"/>
          <w:sz w:val="18"/>
        </w:rPr>
        <w:t>天的规律性透析</w:t>
      </w:r>
      <w:r>
        <w:rPr>
          <w:sz w:val="18"/>
        </w:rPr>
        <w:t>治疗或实施了肾脏移植手术。</w:t>
      </w:r>
    </w:p>
    <w:p>
      <w:pPr>
        <w:pStyle w:val="BodyText"/>
        <w:spacing w:before="0"/>
      </w:pPr>
    </w:p>
    <w:p>
      <w:pPr>
        <w:pStyle w:val="ListParagraph"/>
        <w:numPr>
          <w:ilvl w:val="0"/>
          <w:numId w:val="10"/>
        </w:numPr>
        <w:tabs>
          <w:tab w:pos="524" w:val="left" w:leader="none"/>
          <w:tab w:pos="525" w:val="left" w:leader="none"/>
          <w:tab w:pos="2522" w:val="left" w:leader="none"/>
        </w:tabs>
        <w:spacing w:line="295" w:lineRule="auto" w:before="0" w:after="0"/>
        <w:ind w:left="2522" w:right="117" w:hanging="2418"/>
        <w:jc w:val="left"/>
        <w:rPr>
          <w:sz w:val="18"/>
        </w:rPr>
      </w:pPr>
      <w:r>
        <w:rPr>
          <w:b/>
          <w:sz w:val="21"/>
        </w:rPr>
        <w:t>多个肢体缺失</w:t>
        <w:tab/>
      </w:r>
      <w:r>
        <w:rPr>
          <w:position w:val="1"/>
          <w:sz w:val="18"/>
        </w:rPr>
        <w:t>指因疾病或意外伤害导致两个或两个以上肢体自腕关节或踝关节近</w:t>
      </w:r>
      <w:r>
        <w:rPr>
          <w:spacing w:val="-18"/>
          <w:position w:val="1"/>
          <w:sz w:val="18"/>
        </w:rPr>
        <w:t>端</w:t>
      </w:r>
      <w:r>
        <w:rPr>
          <w:position w:val="1"/>
          <w:sz w:val="18"/>
        </w:rPr>
        <w:t>（靠近躯干端</w:t>
      </w:r>
      <w:r>
        <w:rPr>
          <w:spacing w:val="-18"/>
          <w:position w:val="1"/>
          <w:sz w:val="18"/>
        </w:rPr>
        <w:t>）</w:t>
      </w:r>
      <w:r>
        <w:rPr>
          <w:position w:val="1"/>
          <w:sz w:val="18"/>
        </w:rPr>
        <w:t>以上完全</w:t>
      </w:r>
      <w:r>
        <w:rPr>
          <w:sz w:val="18"/>
        </w:rPr>
        <w:t>性断离。</w:t>
      </w:r>
    </w:p>
    <w:p>
      <w:pPr>
        <w:pStyle w:val="BodyText"/>
        <w:spacing w:before="5"/>
        <w:rPr>
          <w:sz w:val="15"/>
        </w:rPr>
      </w:pPr>
    </w:p>
    <w:p>
      <w:pPr>
        <w:spacing w:after="0"/>
        <w:rPr>
          <w:sz w:val="15"/>
        </w:rPr>
        <w:sectPr>
          <w:type w:val="continuous"/>
          <w:pgSz w:w="11910" w:h="16840"/>
          <w:pgMar w:top="1040" w:bottom="1180" w:left="1080" w:right="840"/>
        </w:sectPr>
      </w:pPr>
    </w:p>
    <w:p>
      <w:pPr>
        <w:pStyle w:val="Heading2"/>
        <w:numPr>
          <w:ilvl w:val="0"/>
          <w:numId w:val="10"/>
        </w:numPr>
        <w:tabs>
          <w:tab w:pos="524" w:val="left" w:leader="none"/>
          <w:tab w:pos="525" w:val="left" w:leader="none"/>
        </w:tabs>
        <w:spacing w:line="273" w:lineRule="auto" w:before="35" w:after="0"/>
        <w:ind w:left="524" w:right="0" w:hanging="420"/>
        <w:jc w:val="left"/>
      </w:pPr>
      <w:r>
        <w:rPr>
          <w:spacing w:val="12"/>
        </w:rPr>
        <w:t>急性或亚急性重症</w:t>
      </w:r>
      <w:r>
        <w:rPr/>
        <w:t>肝炎</w:t>
      </w:r>
    </w:p>
    <w:p>
      <w:pPr>
        <w:pStyle w:val="BodyText"/>
        <w:spacing w:line="316" w:lineRule="auto" w:before="61"/>
        <w:ind w:left="104" w:right="62"/>
      </w:pPr>
      <w:r>
        <w:rPr/>
        <w:br w:type="column"/>
      </w:r>
      <w:r>
        <w:rPr/>
        <w:t>指因肝炎病毒感染引起肝脏组织弥漫性坏死，导致急性肝功能衰竭，且经血清学或病毒学检查证实，并须满足下列全部条件：</w:t>
      </w:r>
    </w:p>
    <w:p>
      <w:pPr>
        <w:pStyle w:val="ListParagraph"/>
        <w:numPr>
          <w:ilvl w:val="0"/>
          <w:numId w:val="11"/>
        </w:numPr>
        <w:tabs>
          <w:tab w:pos="502" w:val="left" w:leader="none"/>
        </w:tabs>
        <w:spacing w:line="240" w:lineRule="auto" w:before="18" w:after="0"/>
        <w:ind w:left="501" w:right="0" w:hanging="397"/>
        <w:jc w:val="left"/>
        <w:rPr>
          <w:sz w:val="18"/>
        </w:rPr>
      </w:pPr>
      <w:r>
        <w:rPr>
          <w:sz w:val="18"/>
        </w:rPr>
        <w:t>重度黄疸或黄疸迅速加重；</w:t>
      </w:r>
    </w:p>
    <w:p>
      <w:pPr>
        <w:pStyle w:val="ListParagraph"/>
        <w:numPr>
          <w:ilvl w:val="0"/>
          <w:numId w:val="11"/>
        </w:numPr>
        <w:tabs>
          <w:tab w:pos="502" w:val="left" w:leader="none"/>
        </w:tabs>
        <w:spacing w:line="240" w:lineRule="auto" w:before="75" w:after="0"/>
        <w:ind w:left="501" w:right="0" w:hanging="397"/>
        <w:jc w:val="left"/>
        <w:rPr>
          <w:sz w:val="18"/>
        </w:rPr>
      </w:pPr>
      <w:r>
        <w:rPr>
          <w:sz w:val="18"/>
        </w:rPr>
        <w:t>肝性脑病；</w:t>
      </w:r>
    </w:p>
    <w:p>
      <w:pPr>
        <w:pStyle w:val="ListParagraph"/>
        <w:numPr>
          <w:ilvl w:val="0"/>
          <w:numId w:val="11"/>
        </w:numPr>
        <w:tabs>
          <w:tab w:pos="502" w:val="left" w:leader="none"/>
        </w:tabs>
        <w:spacing w:line="240" w:lineRule="auto" w:before="75" w:after="0"/>
        <w:ind w:left="501" w:right="0" w:hanging="397"/>
        <w:jc w:val="left"/>
        <w:rPr>
          <w:sz w:val="18"/>
        </w:rPr>
      </w:pPr>
      <w:r>
        <w:rPr>
          <w:sz w:val="18"/>
        </w:rPr>
        <w:t>B</w:t>
      </w:r>
      <w:r>
        <w:rPr>
          <w:spacing w:val="-7"/>
          <w:sz w:val="18"/>
        </w:rPr>
        <w:t> 超或其他影像学检查显示肝脏体积急速萎缩；</w:t>
      </w:r>
    </w:p>
    <w:p>
      <w:pPr>
        <w:pStyle w:val="ListParagraph"/>
        <w:numPr>
          <w:ilvl w:val="0"/>
          <w:numId w:val="11"/>
        </w:numPr>
        <w:tabs>
          <w:tab w:pos="502" w:val="left" w:leader="none"/>
        </w:tabs>
        <w:spacing w:line="240" w:lineRule="auto" w:before="75" w:after="0"/>
        <w:ind w:left="501" w:right="0" w:hanging="397"/>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0" w:space="98"/>
            <w:col w:w="7572"/>
          </w:cols>
        </w:sectPr>
      </w:pPr>
    </w:p>
    <w:p>
      <w:pPr>
        <w:pStyle w:val="BodyText"/>
        <w:spacing w:before="6"/>
      </w:pPr>
    </w:p>
    <w:p>
      <w:pPr>
        <w:pStyle w:val="ListParagraph"/>
        <w:numPr>
          <w:ilvl w:val="0"/>
          <w:numId w:val="10"/>
        </w:numPr>
        <w:tabs>
          <w:tab w:pos="525" w:val="left" w:leader="none"/>
        </w:tabs>
        <w:spacing w:line="304" w:lineRule="auto" w:before="35" w:after="0"/>
        <w:ind w:left="2522" w:right="115" w:hanging="2418"/>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4"/>
          <w:sz w:val="18"/>
        </w:rPr>
        <w:t>等，并危及生命。须由头颅断层扫描</w:t>
      </w:r>
      <w:r>
        <w:rPr>
          <w:sz w:val="18"/>
        </w:rPr>
        <w:t>（CT</w:t>
      </w:r>
      <w:r>
        <w:rPr>
          <w:spacing w:val="-91"/>
          <w:sz w:val="18"/>
        </w:rPr>
        <w:t>）</w:t>
      </w:r>
      <w:r>
        <w:rPr>
          <w:spacing w:val="-3"/>
          <w:sz w:val="18"/>
        </w:rPr>
        <w:t>、核磁共振检查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0"/>
        </w:numPr>
        <w:tabs>
          <w:tab w:pos="2920" w:val="left" w:leader="none"/>
        </w:tabs>
        <w:spacing w:line="240" w:lineRule="auto" w:before="27" w:after="0"/>
        <w:ind w:left="2919" w:right="0" w:hanging="397"/>
        <w:jc w:val="left"/>
        <w:rPr>
          <w:sz w:val="18"/>
        </w:rPr>
      </w:pPr>
      <w:r>
        <w:rPr>
          <w:sz w:val="18"/>
        </w:rPr>
        <w:t>实际实施了开颅进行的脑肿瘤完全切除或部分切除的手术；</w:t>
      </w:r>
    </w:p>
    <w:p>
      <w:pPr>
        <w:pStyle w:val="ListParagraph"/>
        <w:numPr>
          <w:ilvl w:val="1"/>
          <w:numId w:val="10"/>
        </w:numPr>
        <w:tabs>
          <w:tab w:pos="2920" w:val="left" w:leader="none"/>
        </w:tabs>
        <w:spacing w:line="240" w:lineRule="auto" w:before="76" w:after="0"/>
        <w:ind w:left="2919" w:right="0" w:hanging="397"/>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6"/>
      </w:pPr>
    </w:p>
    <w:p>
      <w:pPr>
        <w:spacing w:after="0"/>
        <w:sectPr>
          <w:type w:val="continuous"/>
          <w:pgSz w:w="11910" w:h="16840"/>
          <w:pgMar w:top="1040" w:bottom="1180" w:left="1080" w:right="840"/>
        </w:sectPr>
      </w:pPr>
    </w:p>
    <w:p>
      <w:pPr>
        <w:pStyle w:val="Heading2"/>
        <w:numPr>
          <w:ilvl w:val="0"/>
          <w:numId w:val="10"/>
        </w:numPr>
        <w:tabs>
          <w:tab w:pos="525" w:val="left" w:leader="none"/>
        </w:tabs>
        <w:spacing w:line="273" w:lineRule="auto" w:before="36" w:after="0"/>
        <w:ind w:left="524" w:right="0" w:hanging="420"/>
        <w:jc w:val="left"/>
      </w:pPr>
      <w:r>
        <w:rPr>
          <w:spacing w:val="12"/>
        </w:rPr>
        <w:t>慢性肝功能衰竭失</w:t>
      </w:r>
      <w:r>
        <w:rPr/>
        <w:t>代偿期</w:t>
      </w:r>
    </w:p>
    <w:p>
      <w:pPr>
        <w:pStyle w:val="BodyText"/>
        <w:spacing w:before="61"/>
        <w:ind w:left="104"/>
      </w:pPr>
      <w:r>
        <w:rPr/>
        <w:br w:type="column"/>
      </w:r>
      <w:r>
        <w:rPr/>
        <w:t>指因慢性肝脏疾病导致肝功能衰竭。须满足下列全部条件：</w:t>
      </w:r>
    </w:p>
    <w:p>
      <w:pPr>
        <w:pStyle w:val="ListParagraph"/>
        <w:numPr>
          <w:ilvl w:val="0"/>
          <w:numId w:val="12"/>
        </w:numPr>
        <w:tabs>
          <w:tab w:pos="502" w:val="left" w:leader="none"/>
        </w:tabs>
        <w:spacing w:line="240" w:lineRule="auto" w:before="76" w:after="0"/>
        <w:ind w:left="104" w:right="0" w:firstLine="0"/>
        <w:jc w:val="left"/>
        <w:rPr>
          <w:sz w:val="18"/>
        </w:rPr>
      </w:pPr>
      <w:r>
        <w:rPr>
          <w:sz w:val="18"/>
        </w:rPr>
        <w:t>持续性黄疸；</w:t>
      </w:r>
    </w:p>
    <w:p>
      <w:pPr>
        <w:pStyle w:val="ListParagraph"/>
        <w:numPr>
          <w:ilvl w:val="0"/>
          <w:numId w:val="12"/>
        </w:numPr>
        <w:tabs>
          <w:tab w:pos="502" w:val="left" w:leader="none"/>
        </w:tabs>
        <w:spacing w:line="240" w:lineRule="auto" w:before="76" w:after="0"/>
        <w:ind w:left="104" w:right="0" w:firstLine="0"/>
        <w:jc w:val="left"/>
        <w:rPr>
          <w:sz w:val="18"/>
        </w:rPr>
      </w:pPr>
      <w:r>
        <w:rPr>
          <w:sz w:val="18"/>
        </w:rPr>
        <w:t>腹水；</w:t>
      </w:r>
    </w:p>
    <w:p>
      <w:pPr>
        <w:pStyle w:val="ListParagraph"/>
        <w:numPr>
          <w:ilvl w:val="0"/>
          <w:numId w:val="12"/>
        </w:numPr>
        <w:tabs>
          <w:tab w:pos="502" w:val="left" w:leader="none"/>
        </w:tabs>
        <w:spacing w:line="240" w:lineRule="auto" w:before="76" w:after="0"/>
        <w:ind w:left="104" w:right="0" w:firstLine="0"/>
        <w:jc w:val="left"/>
        <w:rPr>
          <w:sz w:val="18"/>
        </w:rPr>
      </w:pPr>
      <w:r>
        <w:rPr>
          <w:sz w:val="18"/>
        </w:rPr>
        <w:t>肝性脑病；</w:t>
      </w:r>
    </w:p>
    <w:p>
      <w:pPr>
        <w:pStyle w:val="ListParagraph"/>
        <w:numPr>
          <w:ilvl w:val="0"/>
          <w:numId w:val="12"/>
        </w:numPr>
        <w:tabs>
          <w:tab w:pos="502" w:val="left" w:leader="none"/>
        </w:tabs>
        <w:spacing w:line="316" w:lineRule="auto" w:before="76" w:after="0"/>
        <w:ind w:left="104" w:right="310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0" w:space="98"/>
            <w:col w:w="7572"/>
          </w:cols>
        </w:sectPr>
      </w:pPr>
    </w:p>
    <w:p>
      <w:pPr>
        <w:pStyle w:val="BodyText"/>
        <w:spacing w:before="1"/>
        <w:rPr>
          <w:sz w:val="14"/>
        </w:rPr>
      </w:pPr>
    </w:p>
    <w:p>
      <w:pPr>
        <w:spacing w:after="0"/>
        <w:rPr>
          <w:sz w:val="14"/>
        </w:rPr>
        <w:sectPr>
          <w:type w:val="continuous"/>
          <w:pgSz w:w="11910" w:h="16840"/>
          <w:pgMar w:top="1040" w:bottom="1180" w:left="1080" w:right="840"/>
        </w:sectPr>
      </w:pPr>
    </w:p>
    <w:p>
      <w:pPr>
        <w:pStyle w:val="Heading2"/>
        <w:numPr>
          <w:ilvl w:val="0"/>
          <w:numId w:val="10"/>
        </w:numPr>
        <w:tabs>
          <w:tab w:pos="525" w:val="left" w:leader="none"/>
        </w:tabs>
        <w:spacing w:line="273" w:lineRule="auto" w:before="35" w:after="0"/>
        <w:ind w:left="524" w:right="0" w:hanging="420"/>
        <w:jc w:val="left"/>
      </w:pPr>
      <w:r>
        <w:rPr>
          <w:spacing w:val="12"/>
        </w:rPr>
        <w:t>脑炎后遗症或脑膜</w:t>
      </w:r>
      <w:r>
        <w:rPr/>
        <w:t>炎后遗症</w:t>
      </w:r>
    </w:p>
    <w:p>
      <w:pPr>
        <w:pStyle w:val="BodyText"/>
        <w:spacing w:line="316" w:lineRule="auto" w:before="61"/>
        <w:ind w:left="104" w:right="6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502" w:val="left" w:leader="none"/>
        </w:tabs>
        <w:spacing w:line="240" w:lineRule="auto" w:before="19" w:after="0"/>
        <w:ind w:left="501" w:right="0" w:hanging="397"/>
        <w:jc w:val="left"/>
        <w:rPr>
          <w:sz w:val="18"/>
        </w:rPr>
      </w:pPr>
      <w:r>
        <w:rPr>
          <w:sz w:val="18"/>
        </w:rPr>
        <w:t>一肢或一肢以上肢体机能完全丧失；</w:t>
      </w:r>
    </w:p>
    <w:p>
      <w:pPr>
        <w:pStyle w:val="BodyText"/>
        <w:spacing w:before="46"/>
        <w:ind w:left="2297"/>
      </w:pPr>
      <w:r>
        <w:rPr/>
        <w:t>第 </w:t>
      </w:r>
      <w:r>
        <w:rPr>
          <w:rFonts w:ascii="Times New Roman" w:eastAsia="Times New Roman"/>
        </w:rPr>
        <w:t>6 </w:t>
      </w:r>
      <w:r>
        <w:rPr/>
        <w:t>页</w:t>
      </w:r>
    </w:p>
    <w:p>
      <w:pPr>
        <w:spacing w:after="0"/>
        <w:sectPr>
          <w:type w:val="continuous"/>
          <w:pgSz w:w="11910" w:h="16840"/>
          <w:pgMar w:top="1040" w:bottom="1180" w:left="1080" w:right="840"/>
          <w:cols w:num="2" w:equalWidth="0">
            <w:col w:w="2320" w:space="98"/>
            <w:col w:w="7572"/>
          </w:cols>
        </w:sectPr>
      </w:pPr>
    </w:p>
    <w:p>
      <w:pPr>
        <w:pStyle w:val="BodyText"/>
        <w:spacing w:before="3"/>
        <w:rPr>
          <w:sz w:val="20"/>
        </w:rPr>
      </w:pPr>
    </w:p>
    <w:p>
      <w:pPr>
        <w:pStyle w:val="ListParagraph"/>
        <w:numPr>
          <w:ilvl w:val="0"/>
          <w:numId w:val="13"/>
        </w:numPr>
        <w:tabs>
          <w:tab w:pos="2920" w:val="left" w:leader="none"/>
        </w:tabs>
        <w:spacing w:line="240" w:lineRule="auto" w:before="44" w:after="0"/>
        <w:ind w:left="2919" w:right="0" w:hanging="397"/>
        <w:jc w:val="left"/>
        <w:rPr>
          <w:sz w:val="18"/>
        </w:rPr>
      </w:pPr>
      <w:r>
        <w:rPr>
          <w:sz w:val="18"/>
        </w:rPr>
        <w:t>语言能力或咀嚼吞咽能力完全丧失；</w:t>
      </w:r>
    </w:p>
    <w:p>
      <w:pPr>
        <w:pStyle w:val="ListParagraph"/>
        <w:numPr>
          <w:ilvl w:val="0"/>
          <w:numId w:val="13"/>
        </w:numPr>
        <w:tabs>
          <w:tab w:pos="2920" w:val="left" w:leader="none"/>
        </w:tabs>
        <w:spacing w:line="240" w:lineRule="auto" w:before="76" w:after="0"/>
        <w:ind w:left="2919" w:right="0" w:hanging="397"/>
        <w:jc w:val="left"/>
        <w:rPr>
          <w:sz w:val="18"/>
        </w:rPr>
      </w:pPr>
      <w:r>
        <w:rPr>
          <w:sz w:val="18"/>
        </w:rPr>
        <w:t>自主生活能力完全丧失，无法独立完成六项基本日常生活活动中的三项或三项以上。</w:t>
      </w:r>
    </w:p>
    <w:p>
      <w:pPr>
        <w:pStyle w:val="BodyText"/>
        <w:spacing w:before="3"/>
        <w:rPr>
          <w:sz w:val="21"/>
        </w:rPr>
      </w:pPr>
    </w:p>
    <w:p>
      <w:pPr>
        <w:pStyle w:val="ListParagraph"/>
        <w:numPr>
          <w:ilvl w:val="0"/>
          <w:numId w:val="10"/>
        </w:numPr>
        <w:tabs>
          <w:tab w:pos="525" w:val="left" w:leader="none"/>
          <w:tab w:pos="2522" w:val="left" w:leader="none"/>
        </w:tabs>
        <w:spacing w:line="304" w:lineRule="auto" w:before="0" w:after="0"/>
        <w:ind w:left="2522" w:right="195" w:hanging="2418"/>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27"/>
        <w:ind w:left="2522"/>
      </w:pPr>
      <w:r>
        <w:rPr/>
        <w:t>因酗酒或药物滥用导致的深度昏迷不在保障范围内。</w:t>
      </w:r>
    </w:p>
    <w:p>
      <w:pPr>
        <w:pStyle w:val="BodyText"/>
        <w:spacing w:before="2"/>
        <w:rPr>
          <w:sz w:val="21"/>
        </w:rPr>
      </w:pPr>
    </w:p>
    <w:p>
      <w:pPr>
        <w:pStyle w:val="ListParagraph"/>
        <w:numPr>
          <w:ilvl w:val="0"/>
          <w:numId w:val="10"/>
        </w:numPr>
        <w:tabs>
          <w:tab w:pos="525" w:val="left" w:leader="none"/>
          <w:tab w:pos="2522" w:val="left" w:leader="none"/>
        </w:tabs>
        <w:spacing w:line="304" w:lineRule="auto" w:before="0" w:after="0"/>
        <w:ind w:left="2522" w:right="195" w:hanging="2418"/>
        <w:jc w:val="both"/>
        <w:rPr>
          <w:sz w:val="18"/>
        </w:rPr>
      </w:pPr>
      <w:r>
        <w:rPr>
          <w:b/>
          <w:sz w:val="21"/>
        </w:rPr>
        <w:t>双耳失聪</w:t>
        <w:tab/>
      </w:r>
      <w:r>
        <w:rPr>
          <w:position w:val="1"/>
          <w:sz w:val="18"/>
        </w:rPr>
        <w:t>指因疾病或意外伤害导致双耳听力永久不可</w:t>
      </w:r>
      <w:r>
        <w:rPr>
          <w:spacing w:val="-21"/>
          <w:position w:val="1"/>
          <w:sz w:val="18"/>
        </w:rPr>
        <w:t>逆</w:t>
      </w:r>
      <w:r>
        <w:rPr>
          <w:position w:val="1"/>
          <w:sz w:val="18"/>
        </w:rPr>
        <w:t>（注</w:t>
      </w:r>
      <w:r>
        <w:rPr>
          <w:spacing w:val="-46"/>
          <w:position w:val="1"/>
          <w:sz w:val="18"/>
        </w:rPr>
        <w:t> </w:t>
      </w:r>
      <w:r>
        <w:rPr>
          <w:spacing w:val="-11"/>
          <w:position w:val="1"/>
          <w:sz w:val="18"/>
        </w:rPr>
        <w:t>6）</w:t>
      </w:r>
      <w:r>
        <w:rPr>
          <w:position w:val="1"/>
          <w:sz w:val="18"/>
        </w:rPr>
        <w:t>性丧失</w:t>
      </w:r>
      <w:r>
        <w:rPr>
          <w:spacing w:val="-21"/>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1"/>
          <w:position w:val="1"/>
          <w:sz w:val="18"/>
        </w:rPr>
        <w:t>、</w:t>
      </w:r>
      <w:r>
        <w:rPr>
          <w:position w:val="1"/>
          <w:sz w:val="18"/>
        </w:rPr>
        <w:t>1000</w:t>
      </w:r>
      <w:r>
        <w:rPr>
          <w:spacing w:val="-46"/>
          <w:position w:val="1"/>
          <w:sz w:val="18"/>
        </w:rPr>
        <w:t> </w:t>
      </w:r>
      <w:r>
        <w:rPr>
          <w:position w:val="1"/>
          <w:sz w:val="18"/>
        </w:rPr>
        <w:t>赫兹和</w:t>
      </w:r>
      <w:r>
        <w:rPr>
          <w:spacing w:val="-46"/>
          <w:position w:val="1"/>
          <w:sz w:val="18"/>
        </w:rPr>
        <w:t> </w:t>
      </w:r>
      <w:r>
        <w:rPr>
          <w:position w:val="1"/>
          <w:sz w:val="18"/>
        </w:rPr>
        <w:t>2000</w:t>
      </w:r>
      <w:r>
        <w:rPr>
          <w:sz w:val="18"/>
        </w:rPr>
        <w:t>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6"/>
        <w:rPr>
          <w:sz w:val="17"/>
        </w:rPr>
      </w:pPr>
    </w:p>
    <w:p>
      <w:pPr>
        <w:pStyle w:val="ListParagraph"/>
        <w:numPr>
          <w:ilvl w:val="0"/>
          <w:numId w:val="10"/>
        </w:numPr>
        <w:tabs>
          <w:tab w:pos="525" w:val="left" w:leader="none"/>
          <w:tab w:pos="2522" w:val="left" w:leader="none"/>
        </w:tabs>
        <w:spacing w:line="295" w:lineRule="auto" w:before="0" w:after="0"/>
        <w:ind w:left="2522" w:right="341" w:hanging="2418"/>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10"/>
        </w:numPr>
        <w:tabs>
          <w:tab w:pos="2920" w:val="left" w:leader="none"/>
        </w:tabs>
        <w:spacing w:line="240" w:lineRule="auto" w:before="34" w:after="0"/>
        <w:ind w:left="2919" w:right="0" w:hanging="397"/>
        <w:jc w:val="left"/>
        <w:rPr>
          <w:sz w:val="18"/>
        </w:rPr>
      </w:pPr>
      <w:r>
        <w:rPr>
          <w:sz w:val="18"/>
        </w:rPr>
        <w:t>眼球缺失或摘除；</w:t>
      </w:r>
    </w:p>
    <w:p>
      <w:pPr>
        <w:pStyle w:val="ListParagraph"/>
        <w:numPr>
          <w:ilvl w:val="1"/>
          <w:numId w:val="10"/>
        </w:numPr>
        <w:tabs>
          <w:tab w:pos="2920" w:val="left" w:leader="none"/>
        </w:tabs>
        <w:spacing w:line="240" w:lineRule="auto" w:before="75" w:after="0"/>
        <w:ind w:left="2919"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0"/>
        </w:numPr>
        <w:tabs>
          <w:tab w:pos="2920" w:val="left" w:leader="none"/>
        </w:tabs>
        <w:spacing w:line="240" w:lineRule="auto" w:before="75" w:after="0"/>
        <w:ind w:left="2919" w:right="0" w:hanging="397"/>
        <w:jc w:val="left"/>
        <w:rPr>
          <w:sz w:val="18"/>
        </w:rPr>
      </w:pPr>
      <w:r>
        <w:rPr>
          <w:spacing w:val="-7"/>
          <w:sz w:val="18"/>
        </w:rPr>
        <w:t>视野半径小于 </w:t>
      </w:r>
      <w:r>
        <w:rPr>
          <w:sz w:val="18"/>
        </w:rPr>
        <w:t>5</w:t>
      </w:r>
      <w:r>
        <w:rPr>
          <w:spacing w:val="-16"/>
          <w:sz w:val="18"/>
        </w:rPr>
        <w:t> 度。</w:t>
      </w:r>
    </w:p>
    <w:p>
      <w:pPr>
        <w:pStyle w:val="BodyText"/>
        <w:spacing w:before="2"/>
        <w:rPr>
          <w:sz w:val="21"/>
        </w:rPr>
      </w:pPr>
    </w:p>
    <w:p>
      <w:pPr>
        <w:pStyle w:val="ListParagraph"/>
        <w:numPr>
          <w:ilvl w:val="0"/>
          <w:numId w:val="10"/>
        </w:numPr>
        <w:tabs>
          <w:tab w:pos="525" w:val="left" w:leader="none"/>
          <w:tab w:pos="2522" w:val="left" w:leader="none"/>
        </w:tabs>
        <w:spacing w:line="304" w:lineRule="auto" w:before="0" w:after="0"/>
        <w:ind w:left="2522" w:right="195" w:hanging="2418"/>
        <w:jc w:val="both"/>
        <w:rPr>
          <w:sz w:val="18"/>
        </w:rPr>
      </w:pPr>
      <w:r>
        <w:rPr>
          <w:b/>
          <w:sz w:val="21"/>
        </w:rPr>
        <w:t>瘫痪</w:t>
        <w:tab/>
      </w:r>
      <w:r>
        <w:rPr>
          <w:position w:val="1"/>
          <w:sz w:val="18"/>
        </w:rPr>
        <w:t>指因疾病或意外伤害导致两肢或两肢以上肢体机能永久完全丧失</w:t>
      </w:r>
      <w:r>
        <w:rPr>
          <w:spacing w:val="-18"/>
          <w:position w:val="1"/>
          <w:sz w:val="18"/>
        </w:rPr>
        <w:t>。</w:t>
      </w:r>
      <w:r>
        <w:rPr>
          <w:position w:val="1"/>
          <w:sz w:val="18"/>
        </w:rPr>
        <w:t>肢体机能永久完全丧失</w:t>
      </w:r>
      <w:r>
        <w:rPr>
          <w:spacing w:val="-18"/>
          <w:position w:val="1"/>
          <w:sz w:val="18"/>
        </w:rPr>
        <w:t>，</w:t>
      </w:r>
      <w:r>
        <w:rPr>
          <w:position w:val="1"/>
          <w:sz w:val="18"/>
        </w:rPr>
        <w:t>指</w:t>
      </w:r>
      <w:r>
        <w:rPr>
          <w:sz w:val="18"/>
        </w:rPr>
        <w:t>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6"/>
        <w:rPr>
          <w:sz w:val="17"/>
        </w:rPr>
      </w:pPr>
    </w:p>
    <w:p>
      <w:pPr>
        <w:pStyle w:val="ListParagraph"/>
        <w:numPr>
          <w:ilvl w:val="0"/>
          <w:numId w:val="10"/>
        </w:numPr>
        <w:tabs>
          <w:tab w:pos="525" w:val="left" w:leader="none"/>
          <w:tab w:pos="2522" w:val="left" w:leader="none"/>
        </w:tabs>
        <w:spacing w:line="240" w:lineRule="auto" w:before="0" w:after="0"/>
        <w:ind w:left="2522" w:right="0" w:hanging="2418"/>
        <w:jc w:val="left"/>
        <w:rPr>
          <w:sz w:val="18"/>
        </w:rPr>
      </w:pPr>
      <w:r>
        <w:rPr>
          <w:b/>
          <w:sz w:val="21"/>
        </w:rPr>
        <w:t>心脏瓣膜手术</w:t>
        <w:tab/>
      </w:r>
      <w:r>
        <w:rPr>
          <w:position w:val="1"/>
          <w:sz w:val="18"/>
        </w:rPr>
        <w:t>指为治疗心脏瓣膜疾病，实际实施了开胸进行的心脏瓣膜置换或修复的手术。</w:t>
      </w:r>
    </w:p>
    <w:p>
      <w:pPr>
        <w:pStyle w:val="BodyText"/>
        <w:spacing w:before="3"/>
        <w:rPr>
          <w:sz w:val="20"/>
        </w:rPr>
      </w:pPr>
    </w:p>
    <w:p>
      <w:pPr>
        <w:pStyle w:val="ListParagraph"/>
        <w:numPr>
          <w:ilvl w:val="0"/>
          <w:numId w:val="10"/>
        </w:numPr>
        <w:tabs>
          <w:tab w:pos="525" w:val="left" w:leader="none"/>
          <w:tab w:pos="2522" w:val="left" w:leader="none"/>
        </w:tabs>
        <w:spacing w:line="309" w:lineRule="auto" w:before="0" w:after="0"/>
        <w:ind w:left="2522" w:right="161" w:hanging="2418"/>
        <w:jc w:val="left"/>
        <w:rPr>
          <w:sz w:val="18"/>
        </w:rPr>
      </w:pPr>
      <w:r>
        <w:rPr>
          <w:b/>
          <w:sz w:val="21"/>
        </w:rPr>
        <w:t>严重阿尔茨海默病</w:t>
        <w:tab/>
      </w:r>
      <w:r>
        <w:rPr>
          <w:position w:val="1"/>
          <w:sz w:val="18"/>
        </w:rPr>
        <w:t>指因大脑进行性、不可逆性改变导致智能严重衰退或丧失，临床表现为明显的认知能力障碍、</w:t>
      </w:r>
      <w:r>
        <w:rPr>
          <w:sz w:val="18"/>
        </w:rPr>
        <w:t>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24"/>
        <w:ind w:left="2522"/>
      </w:pPr>
      <w:r>
        <w:rPr/>
        <w:t>神经官能症和精神疾病不在保障范围内。</w:t>
      </w:r>
    </w:p>
    <w:p>
      <w:pPr>
        <w:pStyle w:val="BodyText"/>
        <w:spacing w:before="2"/>
        <w:rPr>
          <w:sz w:val="21"/>
        </w:rPr>
      </w:pPr>
    </w:p>
    <w:p>
      <w:pPr>
        <w:pStyle w:val="ListParagraph"/>
        <w:numPr>
          <w:ilvl w:val="0"/>
          <w:numId w:val="10"/>
        </w:numPr>
        <w:tabs>
          <w:tab w:pos="525" w:val="left" w:leader="none"/>
        </w:tabs>
        <w:spacing w:line="304" w:lineRule="auto" w:before="1" w:after="0"/>
        <w:ind w:left="2522" w:right="196" w:hanging="2418"/>
        <w:jc w:val="both"/>
        <w:rPr>
          <w:sz w:val="18"/>
        </w:rPr>
      </w:pPr>
      <w:r>
        <w:rPr>
          <w:b/>
          <w:spacing w:val="15"/>
          <w:sz w:val="21"/>
        </w:rPr>
        <w:t>严重脑损伤 </w:t>
      </w:r>
      <w:r>
        <w:rPr>
          <w:spacing w:val="-4"/>
          <w:position w:val="1"/>
          <w:sz w:val="18"/>
        </w:rPr>
        <w:t>指因头部遭受机械性外力，引起脑重要部位损伤，导致神经系统永久性的功能障碍。须由头颅</w:t>
      </w:r>
      <w:r>
        <w:rPr>
          <w:sz w:val="18"/>
        </w:rPr>
        <w:t>断层扫描（CT</w:t>
      </w:r>
      <w:r>
        <w:rPr>
          <w:spacing w:val="-90"/>
          <w:sz w:val="18"/>
        </w:rPr>
        <w:t>）</w:t>
      </w:r>
      <w:r>
        <w:rPr>
          <w:sz w:val="18"/>
        </w:rPr>
        <w:t>、核磁共振检查（MRI）或正电子发射断层扫描（PET）等影像学检查证实。神经系统永</w:t>
      </w:r>
      <w:r>
        <w:rPr>
          <w:spacing w:val="-4"/>
          <w:sz w:val="18"/>
        </w:rPr>
        <w:t>久性的功能障碍，指脑损伤 </w:t>
      </w:r>
      <w:r>
        <w:rPr>
          <w:sz w:val="18"/>
        </w:rPr>
        <w:t>180</w:t>
      </w:r>
      <w:r>
        <w:rPr>
          <w:spacing w:val="-7"/>
          <w:sz w:val="18"/>
        </w:rPr>
        <w:t> 天后，仍遗留下列一种或一种以上障碍：</w:t>
      </w:r>
    </w:p>
    <w:p>
      <w:pPr>
        <w:pStyle w:val="ListParagraph"/>
        <w:numPr>
          <w:ilvl w:val="1"/>
          <w:numId w:val="10"/>
        </w:numPr>
        <w:tabs>
          <w:tab w:pos="2920" w:val="left" w:leader="none"/>
        </w:tabs>
        <w:spacing w:line="240" w:lineRule="auto" w:before="28" w:after="0"/>
        <w:ind w:left="2919" w:right="0" w:hanging="397"/>
        <w:jc w:val="left"/>
        <w:rPr>
          <w:sz w:val="18"/>
        </w:rPr>
      </w:pPr>
      <w:r>
        <w:rPr>
          <w:sz w:val="18"/>
        </w:rPr>
        <w:t>一肢或一肢以上肢体机能完全丧失；</w:t>
      </w:r>
    </w:p>
    <w:p>
      <w:pPr>
        <w:pStyle w:val="ListParagraph"/>
        <w:numPr>
          <w:ilvl w:val="1"/>
          <w:numId w:val="10"/>
        </w:numPr>
        <w:tabs>
          <w:tab w:pos="2920" w:val="left" w:leader="none"/>
        </w:tabs>
        <w:spacing w:line="240" w:lineRule="auto" w:before="76" w:after="0"/>
        <w:ind w:left="2919" w:right="0" w:hanging="397"/>
        <w:jc w:val="left"/>
        <w:rPr>
          <w:sz w:val="18"/>
        </w:rPr>
      </w:pPr>
      <w:r>
        <w:rPr>
          <w:sz w:val="18"/>
        </w:rPr>
        <w:t>语言能力或咀嚼吞咽能力完全丧失；</w:t>
      </w:r>
    </w:p>
    <w:p>
      <w:pPr>
        <w:pStyle w:val="ListParagraph"/>
        <w:numPr>
          <w:ilvl w:val="1"/>
          <w:numId w:val="10"/>
        </w:numPr>
        <w:tabs>
          <w:tab w:pos="2920" w:val="left" w:leader="none"/>
        </w:tabs>
        <w:spacing w:line="240" w:lineRule="auto" w:before="76" w:after="0"/>
        <w:ind w:left="2919" w:right="0" w:hanging="397"/>
        <w:jc w:val="left"/>
        <w:rPr>
          <w:sz w:val="18"/>
        </w:rPr>
      </w:pPr>
      <w:r>
        <w:rPr>
          <w:sz w:val="18"/>
        </w:rPr>
        <w:t>自主生活能力完全丧失，无法独立完成六项基本日常生活活动中的三项或三项以上。</w:t>
      </w:r>
    </w:p>
    <w:p>
      <w:pPr>
        <w:pStyle w:val="BodyText"/>
        <w:spacing w:before="3"/>
        <w:rPr>
          <w:sz w:val="21"/>
        </w:rPr>
      </w:pPr>
    </w:p>
    <w:p>
      <w:pPr>
        <w:pStyle w:val="ListParagraph"/>
        <w:numPr>
          <w:ilvl w:val="0"/>
          <w:numId w:val="10"/>
        </w:numPr>
        <w:tabs>
          <w:tab w:pos="525" w:val="left" w:leader="none"/>
          <w:tab w:pos="2522" w:val="left" w:leader="none"/>
        </w:tabs>
        <w:spacing w:line="240" w:lineRule="auto" w:before="0" w:after="0"/>
        <w:ind w:left="2522" w:right="0" w:hanging="2418"/>
        <w:jc w:val="left"/>
        <w:rPr>
          <w:sz w:val="18"/>
        </w:rPr>
      </w:pPr>
      <w:r>
        <w:rPr>
          <w:b/>
          <w:sz w:val="21"/>
        </w:rPr>
        <w:t>严重帕金森病</w:t>
        <w:tab/>
      </w:r>
      <w:r>
        <w:rPr>
          <w:position w:val="1"/>
          <w:sz w:val="18"/>
        </w:rPr>
        <w:t>是一种中枢神经系统的退行性疾病</w:t>
      </w:r>
      <w:r>
        <w:rPr>
          <w:spacing w:val="-42"/>
          <w:position w:val="1"/>
          <w:sz w:val="18"/>
        </w:rPr>
        <w:t>，</w:t>
      </w:r>
      <w:r>
        <w:rPr>
          <w:position w:val="1"/>
          <w:sz w:val="18"/>
        </w:rPr>
        <w:t>临床表现为震颤麻痹</w:t>
      </w:r>
      <w:r>
        <w:rPr>
          <w:spacing w:val="-42"/>
          <w:position w:val="1"/>
          <w:sz w:val="18"/>
        </w:rPr>
        <w:t>、</w:t>
      </w:r>
      <w:r>
        <w:rPr>
          <w:position w:val="1"/>
          <w:sz w:val="18"/>
        </w:rPr>
        <w:t>共济失调等</w:t>
      </w:r>
      <w:r>
        <w:rPr>
          <w:spacing w:val="-42"/>
          <w:position w:val="1"/>
          <w:sz w:val="18"/>
        </w:rPr>
        <w:t>。</w:t>
      </w:r>
      <w:r>
        <w:rPr>
          <w:position w:val="1"/>
          <w:sz w:val="18"/>
        </w:rPr>
        <w:t>须满足下列全部条件：</w:t>
      </w:r>
    </w:p>
    <w:p>
      <w:pPr>
        <w:pStyle w:val="ListParagraph"/>
        <w:numPr>
          <w:ilvl w:val="1"/>
          <w:numId w:val="10"/>
        </w:numPr>
        <w:tabs>
          <w:tab w:pos="2920" w:val="left" w:leader="none"/>
        </w:tabs>
        <w:spacing w:line="240" w:lineRule="auto" w:before="62" w:after="0"/>
        <w:ind w:left="2522" w:right="0" w:firstLine="0"/>
        <w:jc w:val="left"/>
        <w:rPr>
          <w:sz w:val="18"/>
        </w:rPr>
      </w:pPr>
      <w:r>
        <w:rPr>
          <w:sz w:val="18"/>
        </w:rPr>
        <w:t>药物治疗无法控制病情；</w:t>
      </w:r>
    </w:p>
    <w:p>
      <w:pPr>
        <w:pStyle w:val="ListParagraph"/>
        <w:numPr>
          <w:ilvl w:val="1"/>
          <w:numId w:val="10"/>
        </w:numPr>
        <w:tabs>
          <w:tab w:pos="2920" w:val="left" w:leader="none"/>
        </w:tabs>
        <w:spacing w:line="316" w:lineRule="auto" w:before="76" w:after="0"/>
        <w:ind w:left="2522" w:right="482"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10"/>
        <w:rPr>
          <w:sz w:val="16"/>
        </w:rPr>
      </w:pPr>
    </w:p>
    <w:p>
      <w:pPr>
        <w:pStyle w:val="ListParagraph"/>
        <w:numPr>
          <w:ilvl w:val="0"/>
          <w:numId w:val="10"/>
        </w:numPr>
        <w:tabs>
          <w:tab w:pos="525" w:val="left" w:leader="none"/>
          <w:tab w:pos="2522" w:val="left" w:leader="none"/>
        </w:tabs>
        <w:spacing w:line="295" w:lineRule="auto" w:before="1" w:after="0"/>
        <w:ind w:left="2522" w:right="197" w:hanging="2418"/>
        <w:jc w:val="left"/>
        <w:rPr>
          <w:sz w:val="18"/>
        </w:rPr>
      </w:pPr>
      <w:r>
        <w:rPr>
          <w:b/>
          <w:sz w:val="21"/>
        </w:rPr>
        <w:t>严重Ⅲ度烧伤</w:t>
        <w:tab/>
      </w:r>
      <w:r>
        <w:rPr>
          <w:position w:val="1"/>
          <w:sz w:val="18"/>
        </w:rPr>
        <w:t>指烧伤程度为Ⅲ度</w:t>
      </w:r>
      <w:r>
        <w:rPr>
          <w:spacing w:val="-72"/>
          <w:position w:val="1"/>
          <w:sz w:val="18"/>
        </w:rPr>
        <w:t>，</w:t>
      </w:r>
      <w:r>
        <w:rPr>
          <w:position w:val="1"/>
          <w:sz w:val="18"/>
        </w:rPr>
        <w:t>且Ⅲ度烧伤面积达到全身体表面积的</w:t>
      </w:r>
      <w:r>
        <w:rPr>
          <w:spacing w:val="-46"/>
          <w:position w:val="1"/>
          <w:sz w:val="18"/>
        </w:rPr>
        <w:t> </w:t>
      </w:r>
      <w:r>
        <w:rPr>
          <w:position w:val="1"/>
          <w:sz w:val="18"/>
        </w:rPr>
        <w:t>20％或</w:t>
      </w:r>
      <w:r>
        <w:rPr>
          <w:spacing w:val="-46"/>
          <w:position w:val="1"/>
          <w:sz w:val="18"/>
        </w:rPr>
        <w:t> </w:t>
      </w:r>
      <w:r>
        <w:rPr>
          <w:position w:val="1"/>
          <w:sz w:val="18"/>
        </w:rPr>
        <w:t>20％以上</w:t>
      </w:r>
      <w:r>
        <w:rPr>
          <w:spacing w:val="-73"/>
          <w:position w:val="1"/>
          <w:sz w:val="18"/>
        </w:rPr>
        <w:t>。</w:t>
      </w:r>
      <w:r>
        <w:rPr>
          <w:position w:val="1"/>
          <w:sz w:val="18"/>
        </w:rPr>
        <w:t>体表面积根</w:t>
      </w:r>
      <w:r>
        <w:rPr>
          <w:spacing w:val="16"/>
          <w:position w:val="1"/>
          <w:sz w:val="18"/>
        </w:rPr>
        <w:t>据</w:t>
      </w:r>
      <w:r>
        <w:rPr>
          <w:position w:val="1"/>
          <w:sz w:val="18"/>
        </w:rPr>
        <w:t>《中</w:t>
      </w:r>
      <w:r>
        <w:rPr>
          <w:sz w:val="18"/>
        </w:rPr>
        <w:t>国新九分法》计算。</w:t>
      </w:r>
    </w:p>
    <w:p>
      <w:pPr>
        <w:pStyle w:val="BodyText"/>
        <w:spacing w:before="4"/>
        <w:rPr>
          <w:sz w:val="15"/>
        </w:rPr>
      </w:pPr>
    </w:p>
    <w:p>
      <w:pPr>
        <w:spacing w:after="0"/>
        <w:rPr>
          <w:sz w:val="15"/>
        </w:rPr>
        <w:sectPr>
          <w:headerReference w:type="default" r:id="rId12"/>
          <w:footerReference w:type="default" r:id="rId13"/>
          <w:pgSz w:w="11910" w:h="16840"/>
          <w:pgMar w:header="877" w:footer="0" w:top="1100" w:bottom="280" w:left="1080" w:right="760"/>
        </w:sectPr>
      </w:pPr>
    </w:p>
    <w:p>
      <w:pPr>
        <w:pStyle w:val="Heading2"/>
        <w:numPr>
          <w:ilvl w:val="0"/>
          <w:numId w:val="10"/>
        </w:numPr>
        <w:tabs>
          <w:tab w:pos="525" w:val="left" w:leader="none"/>
        </w:tabs>
        <w:spacing w:line="273" w:lineRule="auto" w:before="36" w:after="0"/>
        <w:ind w:left="524" w:right="0" w:hanging="420"/>
        <w:jc w:val="left"/>
      </w:pPr>
      <w:r>
        <w:rPr>
          <w:spacing w:val="12"/>
        </w:rPr>
        <w:t>严重原发性肺动脉</w:t>
      </w:r>
      <w:r>
        <w:rPr/>
        <w:t>高压</w:t>
      </w:r>
    </w:p>
    <w:p>
      <w:pPr>
        <w:pStyle w:val="BodyText"/>
        <w:spacing w:line="316" w:lineRule="auto" w:before="61"/>
        <w:ind w:left="104" w:right="197"/>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0" w:space="98"/>
            <w:col w:w="7652"/>
          </w:cols>
        </w:sectPr>
      </w:pPr>
    </w:p>
    <w:p>
      <w:pPr>
        <w:pStyle w:val="BodyText"/>
        <w:spacing w:before="73"/>
        <w:ind w:left="4677" w:right="4768"/>
        <w:jc w:val="center"/>
      </w:pPr>
      <w:r>
        <w:rPr/>
        <w:t>第 </w:t>
      </w:r>
      <w:r>
        <w:rPr>
          <w:rFonts w:ascii="Times New Roman" w:eastAsia="Times New Roman"/>
        </w:rPr>
        <w:t>7 </w:t>
      </w:r>
      <w:r>
        <w:rPr/>
        <w:t>页</w:t>
      </w:r>
    </w:p>
    <w:p>
      <w:pPr>
        <w:spacing w:after="0"/>
        <w:jc w:val="center"/>
        <w:sectPr>
          <w:type w:val="continuous"/>
          <w:pgSz w:w="11910" w:h="16840"/>
          <w:pgMar w:top="1040" w:bottom="1180" w:left="1080" w:right="760"/>
        </w:sectPr>
      </w:pPr>
    </w:p>
    <w:p>
      <w:pPr>
        <w:pStyle w:val="BodyText"/>
        <w:spacing w:before="0"/>
        <w:rPr>
          <w:sz w:val="20"/>
        </w:rPr>
      </w:pPr>
    </w:p>
    <w:p>
      <w:pPr>
        <w:pStyle w:val="BodyText"/>
        <w:spacing w:before="4"/>
        <w:rPr>
          <w:sz w:val="16"/>
        </w:rPr>
      </w:pPr>
    </w:p>
    <w:p>
      <w:pPr>
        <w:pStyle w:val="ListParagraph"/>
        <w:numPr>
          <w:ilvl w:val="0"/>
          <w:numId w:val="10"/>
        </w:numPr>
        <w:tabs>
          <w:tab w:pos="525" w:val="left" w:leader="none"/>
        </w:tabs>
        <w:spacing w:line="304" w:lineRule="auto" w:before="35" w:after="0"/>
        <w:ind w:left="2522" w:right="197" w:hanging="2418"/>
        <w:jc w:val="both"/>
        <w:rPr>
          <w:sz w:val="18"/>
        </w:rPr>
      </w:pPr>
      <w:r>
        <w:rPr>
          <w:b/>
          <w:spacing w:val="10"/>
          <w:sz w:val="21"/>
        </w:rPr>
        <w:t>严重运动神经元病 </w:t>
      </w:r>
      <w:r>
        <w:rPr>
          <w:spacing w:val="-2"/>
          <w:position w:val="1"/>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6"/>
        <w:rPr>
          <w:sz w:val="17"/>
        </w:rPr>
      </w:pPr>
    </w:p>
    <w:p>
      <w:pPr>
        <w:pStyle w:val="ListParagraph"/>
        <w:numPr>
          <w:ilvl w:val="0"/>
          <w:numId w:val="10"/>
        </w:numPr>
        <w:tabs>
          <w:tab w:pos="525" w:val="left" w:leader="none"/>
        </w:tabs>
        <w:spacing w:line="295" w:lineRule="auto" w:before="0" w:after="0"/>
        <w:ind w:left="2522" w:right="249" w:hanging="2418"/>
        <w:jc w:val="both"/>
        <w:rPr>
          <w:sz w:val="18"/>
        </w:rPr>
      </w:pPr>
      <w:r>
        <w:rPr>
          <w:b/>
          <w:spacing w:val="12"/>
          <w:sz w:val="21"/>
        </w:rPr>
        <w:t>语言能力丧失 </w:t>
      </w:r>
      <w:r>
        <w:rPr>
          <w:spacing w:val="-2"/>
          <w:position w:val="1"/>
          <w:sz w:val="18"/>
        </w:rPr>
        <w:t>指因疾病或意外伤害导致完全丧失语言能力，经过积极治疗至少 </w:t>
      </w:r>
      <w:r>
        <w:rPr>
          <w:position w:val="1"/>
          <w:sz w:val="18"/>
        </w:rPr>
        <w:t>12</w:t>
      </w:r>
      <w:r>
        <w:rPr>
          <w:spacing w:val="-16"/>
          <w:position w:val="1"/>
          <w:sz w:val="18"/>
        </w:rPr>
        <w:t> 个月</w:t>
      </w:r>
      <w:r>
        <w:rPr>
          <w:position w:val="1"/>
          <w:sz w:val="18"/>
        </w:rPr>
        <w:t>（声带完全切除不受</w:t>
      </w:r>
      <w:r>
        <w:rPr>
          <w:sz w:val="18"/>
        </w:rPr>
        <w:t>此时间限制</w:t>
      </w:r>
      <w:r>
        <w:rPr>
          <w:spacing w:val="-90"/>
          <w:sz w:val="18"/>
        </w:rPr>
        <w:t>）</w:t>
      </w:r>
      <w:r>
        <w:rPr>
          <w:sz w:val="18"/>
        </w:rPr>
        <w:t>，仍无法通过现有医疗手段恢复。</w:t>
      </w:r>
    </w:p>
    <w:p>
      <w:pPr>
        <w:pStyle w:val="BodyText"/>
        <w:spacing w:before="35"/>
        <w:ind w:left="2522"/>
      </w:pPr>
      <w:r>
        <w:rPr/>
        <w:t>精神心理因素所致的语言能力丧失不在保障范围内。</w:t>
      </w:r>
    </w:p>
    <w:p>
      <w:pPr>
        <w:pStyle w:val="BodyText"/>
        <w:spacing w:before="7"/>
      </w:pPr>
    </w:p>
    <w:p>
      <w:pPr>
        <w:spacing w:after="0"/>
        <w:sectPr>
          <w:footerReference w:type="default" r:id="rId14"/>
          <w:pgSz w:w="11910" w:h="16840"/>
          <w:pgMar w:footer="970" w:header="877" w:top="1100" w:bottom="1160" w:left="1080" w:right="760"/>
          <w:pgNumType w:start="8"/>
        </w:sectPr>
      </w:pPr>
    </w:p>
    <w:p>
      <w:pPr>
        <w:pStyle w:val="Heading2"/>
        <w:numPr>
          <w:ilvl w:val="0"/>
          <w:numId w:val="10"/>
        </w:numPr>
        <w:tabs>
          <w:tab w:pos="525" w:val="left" w:leader="none"/>
        </w:tabs>
        <w:spacing w:line="273" w:lineRule="auto" w:before="35" w:after="0"/>
        <w:ind w:left="524" w:right="0" w:hanging="420"/>
        <w:jc w:val="left"/>
      </w:pPr>
      <w:r>
        <w:rPr>
          <w:spacing w:val="12"/>
        </w:rPr>
        <w:t>重型再生障碍性贫</w:t>
      </w:r>
      <w:r>
        <w:rPr/>
        <w:t>血</w:t>
      </w:r>
    </w:p>
    <w:p>
      <w:pPr>
        <w:pStyle w:val="BodyText"/>
        <w:spacing w:line="316" w:lineRule="auto" w:before="61"/>
        <w:ind w:left="104" w:right="142"/>
      </w:pPr>
      <w:r>
        <w:rPr/>
        <w:br w:type="column"/>
      </w:r>
      <w:r>
        <w:rPr/>
        <w:t>指因骨髓造血功能慢性持续性衰竭导致的贫血、中性粒细胞减少及血小板减少，须满足以下全部条件：</w:t>
      </w:r>
    </w:p>
    <w:p>
      <w:pPr>
        <w:pStyle w:val="ListParagraph"/>
        <w:numPr>
          <w:ilvl w:val="0"/>
          <w:numId w:val="14"/>
        </w:numPr>
        <w:tabs>
          <w:tab w:pos="502" w:val="left" w:leader="none"/>
        </w:tabs>
        <w:spacing w:line="240" w:lineRule="auto" w:before="19" w:after="0"/>
        <w:ind w:left="501" w:right="0" w:hanging="397"/>
        <w:jc w:val="left"/>
        <w:rPr>
          <w:sz w:val="18"/>
        </w:rPr>
      </w:pPr>
      <w:r>
        <w:rPr>
          <w:sz w:val="18"/>
        </w:rPr>
        <w:t>骨髓穿刺检查或骨髓活检结果支持诊断；</w:t>
      </w:r>
    </w:p>
    <w:p>
      <w:pPr>
        <w:pStyle w:val="ListParagraph"/>
        <w:numPr>
          <w:ilvl w:val="0"/>
          <w:numId w:val="14"/>
        </w:numPr>
        <w:tabs>
          <w:tab w:pos="502" w:val="left" w:leader="none"/>
        </w:tabs>
        <w:spacing w:line="240" w:lineRule="auto" w:before="76" w:after="0"/>
        <w:ind w:left="501" w:right="0" w:hanging="397"/>
        <w:jc w:val="left"/>
        <w:rPr>
          <w:sz w:val="18"/>
        </w:rPr>
      </w:pPr>
      <w:r>
        <w:rPr>
          <w:sz w:val="18"/>
        </w:rPr>
        <w:t>外周血象必须具备以下三项条件：</w:t>
      </w:r>
    </w:p>
    <w:p>
      <w:pPr>
        <w:pStyle w:val="BodyText"/>
        <w:ind w:left="464"/>
      </w:pPr>
      <w:r>
        <w:rPr/>
        <w:t>① 中性粒细胞绝对值≤0.5×10</w:t>
      </w:r>
      <w:r>
        <w:rPr>
          <w:b/>
          <w:position w:val="9"/>
          <w:sz w:val="9"/>
        </w:rPr>
        <w:t>9</w:t>
      </w:r>
      <w:r>
        <w:rPr/>
        <w:t>/L ；</w:t>
      </w:r>
    </w:p>
    <w:p>
      <w:pPr>
        <w:pStyle w:val="BodyText"/>
        <w:ind w:left="464"/>
      </w:pPr>
      <w:r>
        <w:rPr/>
        <w:t>② 网织红细胞＜1%；</w:t>
      </w:r>
    </w:p>
    <w:p>
      <w:pPr>
        <w:pStyle w:val="BodyText"/>
        <w:ind w:left="464"/>
      </w:pPr>
      <w:r>
        <w:rPr/>
        <w:t>③ 血小板绝对值≤20×10</w:t>
      </w:r>
      <w:r>
        <w:rPr>
          <w:b/>
          <w:position w:val="9"/>
          <w:sz w:val="9"/>
        </w:rPr>
        <w:t>9</w:t>
      </w:r>
      <w:r>
        <w:rPr/>
        <w:t>/L。</w:t>
      </w:r>
    </w:p>
    <w:p>
      <w:pPr>
        <w:spacing w:after="0"/>
        <w:sectPr>
          <w:type w:val="continuous"/>
          <w:pgSz w:w="11910" w:h="16840"/>
          <w:pgMar w:top="1040" w:bottom="1180" w:left="1080" w:right="760"/>
          <w:cols w:num="2" w:equalWidth="0">
            <w:col w:w="2320" w:space="98"/>
            <w:col w:w="7652"/>
          </w:cols>
        </w:sectPr>
      </w:pPr>
    </w:p>
    <w:p>
      <w:pPr>
        <w:pStyle w:val="BodyText"/>
        <w:spacing w:before="7"/>
      </w:pPr>
    </w:p>
    <w:p>
      <w:pPr>
        <w:pStyle w:val="ListParagraph"/>
        <w:numPr>
          <w:ilvl w:val="0"/>
          <w:numId w:val="10"/>
        </w:numPr>
        <w:tabs>
          <w:tab w:pos="525" w:val="left" w:leader="none"/>
        </w:tabs>
        <w:spacing w:line="295" w:lineRule="auto" w:before="35" w:after="0"/>
        <w:ind w:left="2522" w:right="105" w:hanging="2418"/>
        <w:jc w:val="both"/>
        <w:rPr>
          <w:sz w:val="18"/>
        </w:rPr>
      </w:pPr>
      <w:r>
        <w:rPr>
          <w:b/>
          <w:spacing w:val="6"/>
          <w:sz w:val="21"/>
        </w:rPr>
        <w:t>主动脉手术       </w:t>
      </w:r>
      <w:r>
        <w:rPr>
          <w:spacing w:val="-9"/>
          <w:position w:val="1"/>
          <w:sz w:val="18"/>
        </w:rPr>
        <w:t>指为治疗主动脉疾病，实际实施了开胸或开腹进行的切除、置换、修补病损主动脉血管的手术。</w:t>
      </w:r>
      <w:r>
        <w:rPr>
          <w:spacing w:val="-9"/>
          <w:sz w:val="18"/>
        </w:rPr>
        <w:t>主动脉指胸主动脉和腹主动脉，不包括胸主动脉和腹主动脉的分支血管。</w:t>
      </w:r>
    </w:p>
    <w:p>
      <w:pPr>
        <w:pStyle w:val="BodyText"/>
        <w:spacing w:before="34"/>
        <w:ind w:left="2522"/>
      </w:pPr>
      <w:r>
        <w:rPr/>
        <w:t>动脉内血管成形术不在保障范围内。</w:t>
      </w:r>
    </w:p>
    <w:p>
      <w:pPr>
        <w:pStyle w:val="BodyText"/>
        <w:spacing w:before="2"/>
        <w:rPr>
          <w:sz w:val="21"/>
        </w:rPr>
      </w:pPr>
    </w:p>
    <w:p>
      <w:pPr>
        <w:pStyle w:val="ListParagraph"/>
        <w:numPr>
          <w:ilvl w:val="0"/>
          <w:numId w:val="10"/>
        </w:numPr>
        <w:tabs>
          <w:tab w:pos="525" w:val="left" w:leader="none"/>
          <w:tab w:pos="2522" w:val="left" w:leader="none"/>
        </w:tabs>
        <w:spacing w:line="295" w:lineRule="auto" w:before="0" w:after="0"/>
        <w:ind w:left="2522" w:right="161" w:hanging="2418"/>
        <w:jc w:val="both"/>
        <w:rPr>
          <w:sz w:val="18"/>
        </w:rPr>
      </w:pPr>
      <w:r>
        <w:rPr>
          <w:b/>
          <w:sz w:val="21"/>
        </w:rPr>
        <w:t>植物人</w:t>
        <w:tab/>
      </w:r>
      <w:r>
        <w:rPr>
          <w:position w:val="1"/>
          <w:sz w:val="18"/>
        </w:rPr>
        <w:t>指经本公司认可的神经科医生确诊，大脑皮质全面坏死，意识完全丧失，但脑干仍保持完好，</w:t>
      </w:r>
      <w:r>
        <w:rPr>
          <w:sz w:val="18"/>
        </w:rPr>
        <w:t>且此情况维持</w:t>
      </w:r>
      <w:r>
        <w:rPr>
          <w:spacing w:val="-46"/>
          <w:sz w:val="18"/>
        </w:rPr>
        <w:t> </w:t>
      </w:r>
      <w:r>
        <w:rPr>
          <w:sz w:val="18"/>
        </w:rPr>
        <w:t>30</w:t>
      </w:r>
      <w:r>
        <w:rPr>
          <w:spacing w:val="-46"/>
          <w:sz w:val="18"/>
        </w:rPr>
        <w:t> </w:t>
      </w:r>
      <w:r>
        <w:rPr>
          <w:sz w:val="18"/>
        </w:rPr>
        <w:t>天以上。</w:t>
      </w:r>
    </w:p>
    <w:p>
      <w:pPr>
        <w:pStyle w:val="BodyText"/>
        <w:spacing w:before="1"/>
      </w:pPr>
    </w:p>
    <w:p>
      <w:pPr>
        <w:pStyle w:val="ListParagraph"/>
        <w:numPr>
          <w:ilvl w:val="0"/>
          <w:numId w:val="10"/>
        </w:numPr>
        <w:tabs>
          <w:tab w:pos="525" w:val="left" w:leader="none"/>
        </w:tabs>
        <w:spacing w:line="295" w:lineRule="auto" w:before="1" w:after="0"/>
        <w:ind w:left="2522" w:right="161" w:hanging="2418"/>
        <w:jc w:val="both"/>
        <w:rPr>
          <w:sz w:val="18"/>
        </w:rPr>
      </w:pPr>
      <w:r>
        <w:rPr>
          <w:b/>
          <w:spacing w:val="8"/>
          <w:sz w:val="21"/>
        </w:rPr>
        <w:t>系统性红斑狼疮   </w:t>
      </w:r>
      <w:r>
        <w:rPr>
          <w:position w:val="1"/>
          <w:sz w:val="18"/>
        </w:rPr>
        <w:t>是一种自身免疫性结缔组织病，于体内有大量致病性自身抗体和免疫复合物，造成组织损伤。</w:t>
      </w:r>
      <w:r>
        <w:rPr>
          <w:sz w:val="18"/>
        </w:rPr>
        <w:t>理赔须经本公司认可的专科医生确认并同时具备下列情况：</w:t>
      </w:r>
    </w:p>
    <w:p>
      <w:pPr>
        <w:pStyle w:val="ListParagraph"/>
        <w:numPr>
          <w:ilvl w:val="1"/>
          <w:numId w:val="10"/>
        </w:numPr>
        <w:tabs>
          <w:tab w:pos="2943" w:val="left" w:leader="none"/>
        </w:tabs>
        <w:spacing w:line="240" w:lineRule="auto" w:before="35"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0"/>
        </w:numPr>
        <w:tabs>
          <w:tab w:pos="2943" w:val="left" w:leader="none"/>
        </w:tabs>
        <w:spacing w:line="240" w:lineRule="auto" w:before="76" w:after="0"/>
        <w:ind w:left="2942" w:right="0" w:hanging="420"/>
        <w:jc w:val="left"/>
        <w:rPr>
          <w:sz w:val="18"/>
        </w:rPr>
      </w:pPr>
      <w:r>
        <w:rPr>
          <w:spacing w:val="-2"/>
          <w:sz w:val="18"/>
        </w:rPr>
        <w:t>狼疮肾炎致使肾功能减弱，血肌酐的清除率低于每分钟 </w:t>
      </w:r>
      <w:r>
        <w:rPr>
          <w:sz w:val="18"/>
        </w:rPr>
        <w:t>30ml。</w:t>
      </w:r>
    </w:p>
    <w:p>
      <w:pPr>
        <w:pStyle w:val="BodyText"/>
        <w:spacing w:before="2"/>
        <w:rPr>
          <w:sz w:val="21"/>
        </w:rPr>
      </w:pPr>
    </w:p>
    <w:p>
      <w:pPr>
        <w:pStyle w:val="ListParagraph"/>
        <w:numPr>
          <w:ilvl w:val="0"/>
          <w:numId w:val="10"/>
        </w:numPr>
        <w:tabs>
          <w:tab w:pos="525" w:val="left" w:leader="none"/>
        </w:tabs>
        <w:spacing w:line="304" w:lineRule="auto" w:before="1" w:after="0"/>
        <w:ind w:left="2522" w:right="197" w:hanging="2418"/>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6"/>
          <w:sz w:val="18"/>
        </w:rPr>
        <w:t>断，并有 </w:t>
      </w:r>
      <w:r>
        <w:rPr>
          <w:sz w:val="18"/>
        </w:rPr>
        <w:t>CT</w:t>
      </w:r>
      <w:r>
        <w:rPr>
          <w:spacing w:val="-4"/>
          <w:sz w:val="18"/>
        </w:rPr>
        <w:t> 或核磁共振检查结果诊断报告。所谓不可逆的身体部位功能障碍指初次诊断为功</w:t>
      </w:r>
      <w:r>
        <w:rPr>
          <w:spacing w:val="-10"/>
          <w:sz w:val="18"/>
        </w:rPr>
        <w:t>能障碍后需持续 </w:t>
      </w:r>
      <w:r>
        <w:rPr>
          <w:sz w:val="18"/>
        </w:rPr>
        <w:t>180</w:t>
      </w:r>
      <w:r>
        <w:rPr>
          <w:spacing w:val="-10"/>
          <w:sz w:val="18"/>
        </w:rPr>
        <w:t> 天以上。</w:t>
      </w:r>
    </w:p>
    <w:p>
      <w:pPr>
        <w:pStyle w:val="BodyText"/>
        <w:spacing w:before="28"/>
        <w:ind w:left="2522"/>
      </w:pPr>
      <w:r>
        <w:rPr/>
        <w:t>由神经科专家提供的明确诊断必须包含以下全部三项内容：</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明确出现因视神经、脑干和脊髓损伤而导致的临床表现；</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ListParagraph"/>
        <w:numPr>
          <w:ilvl w:val="1"/>
          <w:numId w:val="10"/>
        </w:numPr>
        <w:tabs>
          <w:tab w:pos="2943" w:val="left" w:leader="none"/>
        </w:tabs>
        <w:spacing w:line="240" w:lineRule="auto" w:before="44" w:after="0"/>
        <w:ind w:left="2942" w:right="0" w:hanging="420"/>
        <w:jc w:val="left"/>
        <w:rPr>
          <w:sz w:val="18"/>
        </w:rPr>
      </w:pPr>
      <w:r>
        <w:rPr>
          <w:sz w:val="18"/>
        </w:rPr>
        <w:t>散在的身体损害的多样性；</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有明确的上述症状及神经损伤反复恶化、减轻的病史纪录。</w:t>
      </w:r>
    </w:p>
    <w:p>
      <w:pPr>
        <w:pStyle w:val="BodyText"/>
        <w:spacing w:before="7"/>
      </w:pPr>
    </w:p>
    <w:p>
      <w:pPr>
        <w:spacing w:after="0"/>
        <w:sectPr>
          <w:pgSz w:w="11910" w:h="16840"/>
          <w:pgMar w:header="877" w:footer="970" w:top="1100" w:bottom="1180" w:left="1080" w:right="820"/>
        </w:sectPr>
      </w:pPr>
    </w:p>
    <w:p>
      <w:pPr>
        <w:pStyle w:val="Heading2"/>
        <w:numPr>
          <w:ilvl w:val="0"/>
          <w:numId w:val="10"/>
        </w:numPr>
        <w:tabs>
          <w:tab w:pos="525" w:val="left" w:leader="none"/>
        </w:tabs>
        <w:spacing w:line="273" w:lineRule="auto" w:before="35" w:after="0"/>
        <w:ind w:left="524" w:right="0" w:hanging="420"/>
        <w:jc w:val="left"/>
      </w:pPr>
      <w:r>
        <w:rPr>
          <w:spacing w:val="12"/>
        </w:rPr>
        <w:t>胰岛素依赖型糖尿</w:t>
      </w:r>
      <w:r>
        <w:rPr>
          <w:w w:val="95"/>
        </w:rPr>
        <w:t>病（Ｉ型糖尿病）</w:t>
      </w:r>
    </w:p>
    <w:p>
      <w:pPr>
        <w:pStyle w:val="BodyText"/>
        <w:spacing w:line="316" w:lineRule="auto" w:before="61"/>
        <w:ind w:left="104" w:right="137"/>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5"/>
        </w:numPr>
        <w:tabs>
          <w:tab w:pos="525" w:val="left" w:leader="none"/>
        </w:tabs>
        <w:spacing w:line="240" w:lineRule="auto" w:before="19" w:after="0"/>
        <w:ind w:left="524" w:right="0" w:hanging="420"/>
        <w:jc w:val="both"/>
        <w:rPr>
          <w:sz w:val="18"/>
        </w:rPr>
      </w:pPr>
      <w:r>
        <w:rPr>
          <w:sz w:val="18"/>
        </w:rPr>
        <w:t>本公司认可的内分泌医生确诊已出现增殖性视网膜病变；</w:t>
      </w:r>
    </w:p>
    <w:p>
      <w:pPr>
        <w:pStyle w:val="ListParagraph"/>
        <w:numPr>
          <w:ilvl w:val="0"/>
          <w:numId w:val="15"/>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5"/>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0" w:space="98"/>
            <w:col w:w="7592"/>
          </w:cols>
        </w:sectPr>
      </w:pPr>
    </w:p>
    <w:p>
      <w:pPr>
        <w:pStyle w:val="BodyText"/>
        <w:spacing w:before="7"/>
      </w:pPr>
    </w:p>
    <w:p>
      <w:pPr>
        <w:pStyle w:val="ListParagraph"/>
        <w:numPr>
          <w:ilvl w:val="0"/>
          <w:numId w:val="10"/>
        </w:numPr>
        <w:tabs>
          <w:tab w:pos="525" w:val="left" w:leader="none"/>
        </w:tabs>
        <w:spacing w:line="309" w:lineRule="auto" w:before="35" w:after="0"/>
        <w:ind w:left="2522" w:right="133" w:hanging="2418"/>
        <w:jc w:val="both"/>
        <w:rPr>
          <w:sz w:val="18"/>
        </w:rPr>
      </w:pPr>
      <w:r>
        <w:rPr>
          <w:b/>
          <w:spacing w:val="7"/>
          <w:sz w:val="21"/>
        </w:rPr>
        <w:t>原发性心肌病     </w:t>
      </w:r>
      <w:r>
        <w:rPr>
          <w:spacing w:val="-3"/>
          <w:position w:val="1"/>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89"/>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24"/>
        <w:ind w:left="2522" w:right="137"/>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rPr>
          <w:sz w:val="16"/>
        </w:rPr>
      </w:pPr>
    </w:p>
    <w:p>
      <w:pPr>
        <w:pStyle w:val="ListParagraph"/>
        <w:numPr>
          <w:ilvl w:val="0"/>
          <w:numId w:val="10"/>
        </w:numPr>
        <w:tabs>
          <w:tab w:pos="525" w:val="left" w:leader="none"/>
        </w:tabs>
        <w:spacing w:line="304" w:lineRule="auto" w:before="1" w:after="0"/>
        <w:ind w:left="2522" w:right="101" w:hanging="2418"/>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0"/>
        </w:numPr>
        <w:tabs>
          <w:tab w:pos="2943" w:val="left" w:leader="none"/>
        </w:tabs>
        <w:spacing w:line="240" w:lineRule="auto" w:before="28" w:after="0"/>
        <w:ind w:left="2942" w:right="0" w:hanging="420"/>
        <w:jc w:val="left"/>
        <w:rPr>
          <w:sz w:val="18"/>
        </w:rPr>
      </w:pPr>
      <w:r>
        <w:rPr>
          <w:sz w:val="18"/>
        </w:rPr>
        <w:t>经药物、胸腺手术治疗一年以上无法控制病情，丧失正常工作能力；</w:t>
      </w:r>
    </w:p>
    <w:p>
      <w:pPr>
        <w:pStyle w:val="ListParagraph"/>
        <w:numPr>
          <w:ilvl w:val="1"/>
          <w:numId w:val="10"/>
        </w:numPr>
        <w:tabs>
          <w:tab w:pos="2943" w:val="left" w:leader="none"/>
        </w:tabs>
        <w:spacing w:line="316" w:lineRule="auto" w:before="76" w:after="0"/>
        <w:ind w:left="2942" w:right="137"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0"/>
        </w:numPr>
        <w:tabs>
          <w:tab w:pos="2943" w:val="left" w:leader="none"/>
        </w:tabs>
        <w:spacing w:line="240" w:lineRule="auto" w:before="18" w:after="0"/>
        <w:ind w:left="2942" w:right="0" w:hanging="420"/>
        <w:jc w:val="left"/>
        <w:rPr>
          <w:sz w:val="18"/>
        </w:rPr>
      </w:pPr>
      <w:r>
        <w:rPr>
          <w:sz w:val="18"/>
        </w:rPr>
        <w:t>症状缓解、复发及恶化交替出现，临床接受新斯的明等抗胆碱酯酶药物治疗的病史。</w:t>
      </w:r>
    </w:p>
    <w:p>
      <w:pPr>
        <w:pStyle w:val="BodyText"/>
        <w:spacing w:before="2"/>
        <w:rPr>
          <w:sz w:val="21"/>
        </w:rPr>
      </w:pPr>
    </w:p>
    <w:p>
      <w:pPr>
        <w:pStyle w:val="ListParagraph"/>
        <w:numPr>
          <w:ilvl w:val="0"/>
          <w:numId w:val="10"/>
        </w:numPr>
        <w:tabs>
          <w:tab w:pos="525" w:val="left" w:leader="none"/>
        </w:tabs>
        <w:spacing w:line="304" w:lineRule="auto" w:before="0" w:after="0"/>
        <w:ind w:left="2522" w:right="137" w:hanging="2418"/>
        <w:jc w:val="both"/>
        <w:rPr>
          <w:sz w:val="18"/>
        </w:rPr>
      </w:pPr>
      <w:r>
        <w:rPr>
          <w:b/>
          <w:spacing w:val="6"/>
          <w:sz w:val="21"/>
        </w:rPr>
        <w:t>脊髓灰质炎        </w:t>
      </w:r>
      <w:r>
        <w:rPr>
          <w:position w:val="1"/>
          <w:sz w:val="18"/>
        </w:rPr>
        <w:t>经由本公司认可的神经专科医生确认是由于脊髓灰质炎病毒感染所导致的运动功能障碍或呼</w:t>
      </w:r>
      <w:r>
        <w:rPr>
          <w:spacing w:val="-3"/>
          <w:sz w:val="18"/>
        </w:rPr>
        <w:t>吸功能减弱麻痹性瘫痪的疾病。被保险人若无因此感染而导致麻痹性瘫痪的事实结果，则不符合给付保险金的条件。其它病因所致的麻痹，例如格林巴利综合征则不在此保障范围以内。</w:t>
      </w:r>
    </w:p>
    <w:p>
      <w:pPr>
        <w:pStyle w:val="BodyText"/>
        <w:spacing w:before="10"/>
        <w:rPr>
          <w:sz w:val="14"/>
        </w:rPr>
      </w:pPr>
    </w:p>
    <w:p>
      <w:pPr>
        <w:spacing w:after="0"/>
        <w:rPr>
          <w:sz w:val="14"/>
        </w:rPr>
        <w:sectPr>
          <w:type w:val="continuous"/>
          <w:pgSz w:w="11910" w:h="16840"/>
          <w:pgMar w:top="1040" w:bottom="1180" w:left="1080" w:right="820"/>
        </w:sectPr>
      </w:pPr>
    </w:p>
    <w:p>
      <w:pPr>
        <w:pStyle w:val="Heading2"/>
        <w:numPr>
          <w:ilvl w:val="0"/>
          <w:numId w:val="10"/>
        </w:numPr>
        <w:tabs>
          <w:tab w:pos="525" w:val="left" w:leader="none"/>
        </w:tabs>
        <w:spacing w:line="273" w:lineRule="auto" w:before="35" w:after="0"/>
        <w:ind w:left="526" w:right="0" w:hanging="422"/>
        <w:jc w:val="left"/>
      </w:pPr>
      <w:r>
        <w:rPr>
          <w:w w:val="95"/>
        </w:rPr>
        <w:t>急性坏死性</w:t>
      </w:r>
      <w:r>
        <w:rPr/>
        <w:t>胰腺炎</w:t>
      </w:r>
    </w:p>
    <w:p>
      <w:pPr>
        <w:pStyle w:val="BodyText"/>
        <w:spacing w:line="316" w:lineRule="auto" w:before="60"/>
        <w:ind w:left="104" w:right="10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80" w:right="820"/>
          <w:cols w:num="2" w:equalWidth="0">
            <w:col w:w="1578" w:space="840"/>
            <w:col w:w="7592"/>
          </w:cols>
        </w:sectPr>
      </w:pPr>
    </w:p>
    <w:p>
      <w:pPr>
        <w:pStyle w:val="BodyText"/>
        <w:spacing w:before="2"/>
        <w:rPr>
          <w:sz w:val="14"/>
        </w:rPr>
      </w:pPr>
    </w:p>
    <w:p>
      <w:pPr>
        <w:pStyle w:val="ListParagraph"/>
        <w:numPr>
          <w:ilvl w:val="0"/>
          <w:numId w:val="10"/>
        </w:numPr>
        <w:tabs>
          <w:tab w:pos="525" w:val="left" w:leader="none"/>
          <w:tab w:pos="2522" w:val="left" w:leader="none"/>
        </w:tabs>
        <w:spacing w:line="295" w:lineRule="auto" w:before="35" w:after="0"/>
        <w:ind w:left="2522" w:right="137" w:hanging="2418"/>
        <w:jc w:val="left"/>
        <w:rPr>
          <w:sz w:val="18"/>
        </w:rPr>
      </w:pPr>
      <w:r>
        <w:rPr>
          <w:b/>
          <w:sz w:val="21"/>
        </w:rPr>
        <w:t>肌营养不良症</w:t>
        <w:tab/>
      </w:r>
      <w:r>
        <w:rPr>
          <w:position w:val="1"/>
          <w:sz w:val="18"/>
        </w:rPr>
        <w:t>是一组原发于肌肉的遗传性疾病</w:t>
      </w:r>
      <w:r>
        <w:rPr>
          <w:spacing w:val="-18"/>
          <w:position w:val="1"/>
          <w:sz w:val="18"/>
        </w:rPr>
        <w:t>。</w:t>
      </w:r>
      <w:r>
        <w:rPr>
          <w:position w:val="1"/>
          <w:sz w:val="18"/>
        </w:rPr>
        <w:t>主要临床特征为受累骨骼肌肉的无力和萎缩</w:t>
      </w:r>
      <w:r>
        <w:rPr>
          <w:spacing w:val="-18"/>
          <w:position w:val="1"/>
          <w:sz w:val="18"/>
        </w:rPr>
        <w:t>。</w:t>
      </w:r>
      <w:r>
        <w:rPr>
          <w:position w:val="1"/>
          <w:sz w:val="18"/>
        </w:rPr>
        <w:t>经本公司认可</w:t>
      </w:r>
      <w:r>
        <w:rPr>
          <w:sz w:val="18"/>
        </w:rPr>
        <w:t>的神经专科医生确认符合以下四项诊断指标中的三项：</w:t>
      </w:r>
    </w:p>
    <w:p>
      <w:pPr>
        <w:pStyle w:val="ListParagraph"/>
        <w:numPr>
          <w:ilvl w:val="1"/>
          <w:numId w:val="10"/>
        </w:numPr>
        <w:tabs>
          <w:tab w:pos="2943" w:val="left" w:leader="none"/>
        </w:tabs>
        <w:spacing w:line="240" w:lineRule="auto" w:before="34" w:after="0"/>
        <w:ind w:left="2942" w:right="0" w:hanging="420"/>
        <w:jc w:val="left"/>
        <w:rPr>
          <w:sz w:val="18"/>
        </w:rPr>
      </w:pPr>
      <w:r>
        <w:rPr>
          <w:sz w:val="18"/>
        </w:rPr>
        <w:t>家族史中有其他成员患相同疾病；</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临床表现包括：无感觉神经紊乱，正常脑脊液及轻微腱反射的减退；</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典型的肌电图；</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临床推测必须有肌肉或组织检查加以证实。</w:t>
      </w:r>
    </w:p>
    <w:p>
      <w:pPr>
        <w:pStyle w:val="BodyText"/>
        <w:spacing w:before="3"/>
        <w:rPr>
          <w:sz w:val="21"/>
        </w:rPr>
      </w:pPr>
    </w:p>
    <w:p>
      <w:pPr>
        <w:pStyle w:val="ListParagraph"/>
        <w:numPr>
          <w:ilvl w:val="0"/>
          <w:numId w:val="10"/>
        </w:numPr>
        <w:tabs>
          <w:tab w:pos="525" w:val="left" w:leader="none"/>
          <w:tab w:pos="2522" w:val="left" w:leader="none"/>
        </w:tabs>
        <w:spacing w:line="295" w:lineRule="auto" w:before="0" w:after="0"/>
        <w:ind w:left="2522" w:right="137" w:hanging="2418"/>
        <w:jc w:val="left"/>
        <w:rPr>
          <w:sz w:val="18"/>
        </w:rPr>
      </w:pPr>
      <w:r>
        <w:rPr>
          <w:b/>
          <w:sz w:val="21"/>
        </w:rPr>
        <w:t>终末期肺病</w:t>
        <w:tab/>
      </w:r>
      <w:r>
        <w:rPr>
          <w:position w:val="1"/>
          <w:sz w:val="18"/>
        </w:rPr>
        <w:t>由本公司认可的呼吸专科医生确诊被保险人患有终末期肺病而出现慢性呼吸功能衰竭</w:t>
      </w:r>
      <w:r>
        <w:rPr>
          <w:spacing w:val="-36"/>
          <w:position w:val="1"/>
          <w:sz w:val="18"/>
        </w:rPr>
        <w:t>，</w:t>
      </w:r>
      <w:r>
        <w:rPr>
          <w:position w:val="1"/>
          <w:sz w:val="18"/>
        </w:rPr>
        <w:t>其诊断</w:t>
      </w:r>
      <w:r>
        <w:rPr>
          <w:sz w:val="18"/>
        </w:rPr>
        <w:t>标准包括以下各项：</w:t>
      </w:r>
    </w:p>
    <w:p>
      <w:pPr>
        <w:pStyle w:val="ListParagraph"/>
        <w:numPr>
          <w:ilvl w:val="1"/>
          <w:numId w:val="10"/>
        </w:numPr>
        <w:tabs>
          <w:tab w:pos="2973" w:val="left" w:leader="none"/>
        </w:tabs>
        <w:spacing w:line="240" w:lineRule="auto" w:before="35" w:after="0"/>
        <w:ind w:left="2972"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0"/>
        </w:numPr>
        <w:tabs>
          <w:tab w:pos="2973" w:val="left" w:leader="none"/>
        </w:tabs>
        <w:spacing w:line="240" w:lineRule="auto" w:before="76" w:after="0"/>
        <w:ind w:left="2972" w:right="0" w:hanging="450"/>
        <w:jc w:val="left"/>
        <w:rPr>
          <w:sz w:val="18"/>
        </w:rPr>
      </w:pPr>
      <w:r>
        <w:rPr>
          <w:sz w:val="18"/>
        </w:rPr>
        <w:t>病人缺氧必须广泛而持续地进行输氧治疗；</w:t>
      </w:r>
    </w:p>
    <w:p>
      <w:pPr>
        <w:pStyle w:val="ListParagraph"/>
        <w:numPr>
          <w:ilvl w:val="1"/>
          <w:numId w:val="10"/>
        </w:numPr>
        <w:tabs>
          <w:tab w:pos="2973" w:val="left" w:leader="none"/>
        </w:tabs>
        <w:spacing w:line="240" w:lineRule="auto" w:before="76" w:after="0"/>
        <w:ind w:left="2972" w:right="0" w:hanging="450"/>
        <w:jc w:val="left"/>
        <w:rPr>
          <w:sz w:val="18"/>
        </w:rPr>
      </w:pPr>
      <w:r>
        <w:rPr>
          <w:spacing w:val="-4"/>
          <w:sz w:val="18"/>
        </w:rPr>
        <w:t>动脉血气分析氧分压低于 </w:t>
      </w:r>
      <w:r>
        <w:rPr>
          <w:sz w:val="18"/>
        </w:rPr>
        <w:t>55mmHg。</w:t>
      </w:r>
    </w:p>
    <w:p>
      <w:pPr>
        <w:pStyle w:val="BodyText"/>
        <w:ind w:left="2522"/>
      </w:pPr>
      <w:r>
        <w:rPr/>
        <w:t>理赔时必须提供以上各项中相应的医院证明文件或检查报告。</w:t>
      </w:r>
    </w:p>
    <w:p>
      <w:pPr>
        <w:spacing w:after="0"/>
        <w:sectPr>
          <w:type w:val="continuous"/>
          <w:pgSz w:w="11910" w:h="16840"/>
          <w:pgMar w:top="1040" w:bottom="1180" w:left="1080" w:right="820"/>
        </w:sectPr>
      </w:pPr>
    </w:p>
    <w:p>
      <w:pPr>
        <w:pStyle w:val="BodyText"/>
        <w:spacing w:before="0"/>
        <w:rPr>
          <w:sz w:val="19"/>
        </w:rPr>
      </w:pPr>
    </w:p>
    <w:p>
      <w:pPr>
        <w:spacing w:after="0"/>
        <w:rPr>
          <w:sz w:val="19"/>
        </w:rPr>
        <w:sectPr>
          <w:pgSz w:w="11910" w:h="16840"/>
          <w:pgMar w:header="877" w:footer="970" w:top="1100" w:bottom="1160" w:left="1080" w:right="780"/>
        </w:sectPr>
      </w:pPr>
    </w:p>
    <w:p>
      <w:pPr>
        <w:pStyle w:val="Heading2"/>
        <w:numPr>
          <w:ilvl w:val="0"/>
          <w:numId w:val="10"/>
        </w:numPr>
        <w:tabs>
          <w:tab w:pos="525" w:val="left" w:leader="none"/>
        </w:tabs>
        <w:spacing w:line="273" w:lineRule="auto" w:before="35" w:after="0"/>
        <w:ind w:left="524" w:right="0" w:hanging="420"/>
        <w:jc w:val="left"/>
      </w:pPr>
      <w:r>
        <w:rPr>
          <w:spacing w:val="12"/>
        </w:rPr>
        <w:t>经输血感染艾滋病</w:t>
      </w:r>
      <w:r>
        <w:rPr/>
        <w:t>病毒</w:t>
      </w:r>
    </w:p>
    <w:p>
      <w:pPr>
        <w:pStyle w:val="BodyText"/>
        <w:spacing w:before="60"/>
        <w:ind w:left="104"/>
      </w:pPr>
      <w:r>
        <w:rPr/>
        <w:br w:type="column"/>
      </w:r>
      <w:r>
        <w:rPr/>
        <w:t>因输血而被艾滋病病毒（HIV）感染或成为艾滋病患者（AIDS</w:t>
      </w:r>
      <w:r>
        <w:rPr>
          <w:spacing w:val="-90"/>
        </w:rPr>
        <w:t>）</w:t>
      </w:r>
      <w:r>
        <w:rPr/>
        <w:t>，需要满足下列所有条件：</w:t>
      </w:r>
    </w:p>
    <w:p>
      <w:pPr>
        <w:pStyle w:val="ListParagraph"/>
        <w:numPr>
          <w:ilvl w:val="0"/>
          <w:numId w:val="16"/>
        </w:numPr>
        <w:tabs>
          <w:tab w:pos="525" w:val="left" w:leader="none"/>
        </w:tabs>
        <w:spacing w:line="316" w:lineRule="auto" w:before="75" w:after="0"/>
        <w:ind w:left="524" w:right="199" w:hanging="420"/>
        <w:jc w:val="left"/>
        <w:rPr>
          <w:sz w:val="18"/>
        </w:rPr>
      </w:pPr>
      <w:r>
        <w:rPr>
          <w:sz w:val="18"/>
        </w:rPr>
        <w:t>感染是由于必要的医疗性输血引起的，且医疗性输血是在保单生效日后或复效日后发生的；</w:t>
      </w:r>
    </w:p>
    <w:p>
      <w:pPr>
        <w:pStyle w:val="ListParagraph"/>
        <w:numPr>
          <w:ilvl w:val="0"/>
          <w:numId w:val="16"/>
        </w:numPr>
        <w:tabs>
          <w:tab w:pos="525" w:val="left" w:leader="none"/>
        </w:tabs>
        <w:spacing w:line="240" w:lineRule="auto" w:before="18" w:after="0"/>
        <w:ind w:left="524" w:right="0" w:hanging="420"/>
        <w:jc w:val="left"/>
        <w:rPr>
          <w:sz w:val="18"/>
        </w:rPr>
      </w:pPr>
      <w:r>
        <w:rPr>
          <w:sz w:val="18"/>
        </w:rPr>
        <w:t>提供输血的医疗机构承认该项输血感染为医疗责任事故；</w:t>
      </w:r>
    </w:p>
    <w:p>
      <w:pPr>
        <w:pStyle w:val="ListParagraph"/>
        <w:numPr>
          <w:ilvl w:val="0"/>
          <w:numId w:val="16"/>
        </w:numPr>
        <w:tabs>
          <w:tab w:pos="525" w:val="left" w:leader="none"/>
        </w:tabs>
        <w:spacing w:line="240" w:lineRule="auto" w:before="76" w:after="0"/>
        <w:ind w:left="524"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80"/>
          <w:cols w:num="2" w:equalWidth="0">
            <w:col w:w="2320" w:space="98"/>
            <w:col w:w="7632"/>
          </w:cols>
        </w:sectPr>
      </w:pPr>
    </w:p>
    <w:p>
      <w:pPr>
        <w:pStyle w:val="BodyText"/>
        <w:spacing w:before="6"/>
      </w:pPr>
    </w:p>
    <w:p>
      <w:pPr>
        <w:spacing w:after="0"/>
        <w:sectPr>
          <w:type w:val="continuous"/>
          <w:pgSz w:w="11910" w:h="16840"/>
          <w:pgMar w:top="1040" w:bottom="1180" w:left="1080" w:right="780"/>
        </w:sectPr>
      </w:pPr>
    </w:p>
    <w:p>
      <w:pPr>
        <w:pStyle w:val="Heading2"/>
        <w:numPr>
          <w:ilvl w:val="0"/>
          <w:numId w:val="10"/>
        </w:numPr>
        <w:tabs>
          <w:tab w:pos="525" w:val="left" w:leader="none"/>
        </w:tabs>
        <w:spacing w:line="273" w:lineRule="auto" w:before="36" w:after="0"/>
        <w:ind w:left="524" w:right="0" w:hanging="420"/>
        <w:jc w:val="left"/>
      </w:pPr>
      <w:r>
        <w:rPr>
          <w:spacing w:val="12"/>
        </w:rPr>
        <w:t>严重类风湿性关节</w:t>
      </w:r>
      <w:r>
        <w:rPr/>
        <w:t>炎</w:t>
      </w:r>
    </w:p>
    <w:p>
      <w:pPr>
        <w:pStyle w:val="BodyText"/>
        <w:spacing w:before="61"/>
        <w:ind w:left="104"/>
      </w:pPr>
      <w:r>
        <w:rPr/>
        <w:br w:type="column"/>
      </w:r>
      <w:r>
        <w:rPr/>
        <w:t>是指类风湿性关节炎患者符合以下三项标准的:</w:t>
      </w:r>
    </w:p>
    <w:p>
      <w:pPr>
        <w:pStyle w:val="ListParagraph"/>
        <w:numPr>
          <w:ilvl w:val="0"/>
          <w:numId w:val="17"/>
        </w:numPr>
        <w:tabs>
          <w:tab w:pos="502" w:val="left" w:leader="none"/>
        </w:tabs>
        <w:spacing w:line="316" w:lineRule="auto" w:before="76" w:after="0"/>
        <w:ind w:left="501" w:right="112" w:hanging="397"/>
        <w:jc w:val="left"/>
        <w:rPr>
          <w:sz w:val="18"/>
        </w:rPr>
      </w:pPr>
      <w:r>
        <w:rPr>
          <w:spacing w:val="-3"/>
          <w:sz w:val="18"/>
        </w:rPr>
        <w:t>至少包括下列关节中的三组或以上有广泛受损和畸形改变：手指关节、腕关节、肘关节、膝关节、髋关节、踝关节、脊椎或脚趾关节；</w:t>
      </w:r>
    </w:p>
    <w:p>
      <w:pPr>
        <w:pStyle w:val="ListParagraph"/>
        <w:numPr>
          <w:ilvl w:val="0"/>
          <w:numId w:val="17"/>
        </w:numPr>
        <w:tabs>
          <w:tab w:pos="502" w:val="left" w:leader="none"/>
        </w:tabs>
        <w:spacing w:line="316" w:lineRule="auto" w:before="19" w:after="0"/>
        <w:ind w:left="501" w:right="113" w:hanging="397"/>
        <w:jc w:val="left"/>
        <w:rPr>
          <w:sz w:val="18"/>
        </w:rPr>
      </w:pPr>
      <w:r>
        <w:rPr>
          <w:spacing w:val="5"/>
          <w:sz w:val="18"/>
        </w:rPr>
        <w:t>手和腕的后前位</w:t>
      </w:r>
      <w:r>
        <w:rPr>
          <w:sz w:val="18"/>
        </w:rPr>
        <w:t>X</w:t>
      </w:r>
      <w:r>
        <w:rPr>
          <w:spacing w:val="-8"/>
          <w:sz w:val="18"/>
        </w:rPr>
        <w:t> 线拍片检查可见类风湿性关节炎的典型变化，包括骨质侵蚀或钙流失， 位于受累关节及其邻近部位尤其明显；</w:t>
      </w:r>
    </w:p>
    <w:p>
      <w:pPr>
        <w:pStyle w:val="ListParagraph"/>
        <w:numPr>
          <w:ilvl w:val="0"/>
          <w:numId w:val="17"/>
        </w:numPr>
        <w:tabs>
          <w:tab w:pos="502" w:val="left" w:leader="none"/>
        </w:tabs>
        <w:spacing w:line="240" w:lineRule="auto" w:before="19" w:after="0"/>
        <w:ind w:left="501" w:right="0" w:hanging="397"/>
        <w:jc w:val="left"/>
        <w:rPr>
          <w:sz w:val="18"/>
        </w:rPr>
      </w:pPr>
      <w:r>
        <w:rPr>
          <w:spacing w:val="-4"/>
          <w:sz w:val="18"/>
        </w:rPr>
        <w:t>关节的畸形改变至少持续 </w:t>
      </w:r>
      <w:r>
        <w:rPr>
          <w:sz w:val="18"/>
        </w:rPr>
        <w:t>6</w:t>
      </w:r>
      <w:r>
        <w:rPr>
          <w:spacing w:val="-12"/>
          <w:sz w:val="18"/>
        </w:rPr>
        <w:t> 个月。</w:t>
      </w:r>
    </w:p>
    <w:p>
      <w:pPr>
        <w:pStyle w:val="BodyText"/>
        <w:spacing w:line="316" w:lineRule="auto"/>
        <w:ind w:left="104" w:right="173" w:firstLine="91"/>
      </w:pPr>
      <w:r>
        <w:rPr/>
        <w:t>类风湿性关节炎系指以关节滑膜炎为特征的慢性全身性自身免疫性疾病，诊断必须符合国际认可的该疾病的诊断标准。</w:t>
      </w:r>
    </w:p>
    <w:p>
      <w:pPr>
        <w:spacing w:after="0" w:line="316" w:lineRule="auto"/>
        <w:sectPr>
          <w:type w:val="continuous"/>
          <w:pgSz w:w="11910" w:h="16840"/>
          <w:pgMar w:top="1040" w:bottom="1180" w:left="1080" w:right="780"/>
          <w:cols w:num="2" w:equalWidth="0">
            <w:col w:w="2320" w:space="98"/>
            <w:col w:w="7632"/>
          </w:cols>
        </w:sectPr>
      </w:pPr>
    </w:p>
    <w:p>
      <w:pPr>
        <w:pStyle w:val="BodyText"/>
        <w:spacing w:before="1"/>
        <w:rPr>
          <w:sz w:val="14"/>
        </w:rPr>
      </w:pPr>
    </w:p>
    <w:p>
      <w:pPr>
        <w:pStyle w:val="ListParagraph"/>
        <w:numPr>
          <w:ilvl w:val="0"/>
          <w:numId w:val="10"/>
        </w:numPr>
        <w:tabs>
          <w:tab w:pos="525" w:val="left" w:leader="none"/>
          <w:tab w:pos="2522" w:val="left" w:leader="none"/>
        </w:tabs>
        <w:spacing w:line="240" w:lineRule="auto" w:before="35" w:after="0"/>
        <w:ind w:left="2522" w:right="0" w:hanging="2418"/>
        <w:jc w:val="left"/>
        <w:rPr>
          <w:sz w:val="18"/>
        </w:rPr>
      </w:pPr>
      <w:r>
        <w:rPr>
          <w:b/>
          <w:sz w:val="21"/>
        </w:rPr>
        <w:t>肾髓质囊性病</w:t>
        <w:tab/>
      </w:r>
      <w:r>
        <w:rPr>
          <w:position w:val="1"/>
          <w:sz w:val="18"/>
        </w:rPr>
        <w:t>肾髓质囊性病的诊断必须同时符合下列要求：</w:t>
      </w:r>
    </w:p>
    <w:p>
      <w:pPr>
        <w:pStyle w:val="ListParagraph"/>
        <w:numPr>
          <w:ilvl w:val="1"/>
          <w:numId w:val="10"/>
        </w:numPr>
        <w:tabs>
          <w:tab w:pos="2943" w:val="left" w:leader="none"/>
        </w:tabs>
        <w:spacing w:line="240" w:lineRule="auto" w:before="62" w:after="0"/>
        <w:ind w:left="2942" w:right="0" w:hanging="420"/>
        <w:jc w:val="left"/>
        <w:rPr>
          <w:sz w:val="18"/>
        </w:rPr>
      </w:pPr>
      <w:r>
        <w:rPr>
          <w:sz w:val="18"/>
        </w:rPr>
        <w:t>肾髓质有囊肿、肾小管萎缩及间质纤维化等病理改变；</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贫血、多尿及肾功能衰竭等临床表现；</w:t>
      </w:r>
    </w:p>
    <w:p>
      <w:pPr>
        <w:pStyle w:val="ListParagraph"/>
        <w:numPr>
          <w:ilvl w:val="1"/>
          <w:numId w:val="10"/>
        </w:numPr>
        <w:tabs>
          <w:tab w:pos="2943" w:val="left" w:leader="none"/>
        </w:tabs>
        <w:spacing w:line="240" w:lineRule="auto" w:before="76" w:after="0"/>
        <w:ind w:left="2942" w:right="0" w:hanging="420"/>
        <w:jc w:val="left"/>
        <w:rPr>
          <w:sz w:val="18"/>
        </w:rPr>
      </w:pPr>
      <w:r>
        <w:rPr>
          <w:sz w:val="18"/>
        </w:rPr>
        <w:t>诊断须由肾组织活检确定。</w:t>
      </w:r>
    </w:p>
    <w:p>
      <w:pPr>
        <w:pStyle w:val="BodyText"/>
        <w:spacing w:before="3"/>
        <w:rPr>
          <w:sz w:val="21"/>
        </w:rPr>
      </w:pPr>
    </w:p>
    <w:p>
      <w:pPr>
        <w:pStyle w:val="ListParagraph"/>
        <w:numPr>
          <w:ilvl w:val="0"/>
          <w:numId w:val="10"/>
        </w:numPr>
        <w:tabs>
          <w:tab w:pos="525" w:val="left" w:leader="none"/>
        </w:tabs>
        <w:spacing w:line="309" w:lineRule="auto" w:before="0" w:after="0"/>
        <w:ind w:left="2522" w:right="174" w:hanging="2418"/>
        <w:jc w:val="both"/>
        <w:rPr>
          <w:sz w:val="18"/>
        </w:rPr>
      </w:pPr>
      <w:r>
        <w:rPr>
          <w:b/>
          <w:spacing w:val="7"/>
          <w:sz w:val="21"/>
        </w:rPr>
        <w:t>主动脉夹层瘤     </w:t>
      </w:r>
      <w:r>
        <w:rPr>
          <w:spacing w:val="-3"/>
          <w:position w:val="1"/>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3"/>
        <w:rPr>
          <w:sz w:val="17"/>
        </w:rPr>
      </w:pPr>
    </w:p>
    <w:p>
      <w:pPr>
        <w:pStyle w:val="ListParagraph"/>
        <w:numPr>
          <w:ilvl w:val="0"/>
          <w:numId w:val="10"/>
        </w:numPr>
        <w:tabs>
          <w:tab w:pos="525" w:val="left" w:leader="none"/>
          <w:tab w:pos="2522" w:val="left" w:leader="none"/>
        </w:tabs>
        <w:spacing w:line="240" w:lineRule="auto" w:before="0" w:after="0"/>
        <w:ind w:left="2522" w:right="0" w:hanging="2418"/>
        <w:jc w:val="left"/>
        <w:rPr>
          <w:sz w:val="18"/>
        </w:rPr>
      </w:pPr>
      <w:r>
        <w:rPr>
          <w:b/>
          <w:sz w:val="21"/>
        </w:rPr>
        <w:t>脑动脉瘤开颅手术</w:t>
        <w:tab/>
      </w:r>
      <w:r>
        <w:rPr>
          <w:position w:val="1"/>
          <w:sz w:val="18"/>
        </w:rPr>
        <w:t>指确已进行开颅手术以夹闭、修复或切除脑动脉瘤。但不包括导管及血管内手术。</w:t>
      </w:r>
    </w:p>
    <w:p>
      <w:pPr>
        <w:pStyle w:val="BodyText"/>
        <w:spacing w:before="0"/>
        <w:rPr>
          <w:sz w:val="20"/>
        </w:rPr>
      </w:pPr>
    </w:p>
    <w:p>
      <w:pPr>
        <w:pStyle w:val="BodyText"/>
        <w:spacing w:before="12"/>
        <w:rPr>
          <w:sz w:val="25"/>
        </w:rPr>
      </w:pPr>
    </w:p>
    <w:p>
      <w:pPr>
        <w:pStyle w:val="BodyText"/>
        <w:spacing w:before="0"/>
        <w:ind w:left="224"/>
      </w:pPr>
      <w:r>
        <w:rPr/>
        <w:t>注：</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18"/>
        </w:numPr>
        <w:tabs>
          <w:tab w:pos="1059" w:val="left" w:leader="none"/>
        </w:tabs>
        <w:spacing w:line="240" w:lineRule="auto" w:before="76" w:after="0"/>
        <w:ind w:left="1058" w:right="0" w:hanging="414"/>
        <w:jc w:val="left"/>
        <w:rPr>
          <w:sz w:val="18"/>
        </w:rPr>
      </w:pPr>
      <w:r>
        <w:rPr>
          <w:spacing w:val="-5"/>
          <w:sz w:val="18"/>
        </w:rPr>
        <w:t>具有有效的中华人民共和国《医师资格证书》；</w:t>
      </w:r>
    </w:p>
    <w:p>
      <w:pPr>
        <w:pStyle w:val="ListParagraph"/>
        <w:numPr>
          <w:ilvl w:val="1"/>
          <w:numId w:val="18"/>
        </w:numPr>
        <w:tabs>
          <w:tab w:pos="1059" w:val="left" w:leader="none"/>
        </w:tabs>
        <w:spacing w:line="240" w:lineRule="auto" w:before="76" w:after="0"/>
        <w:ind w:left="1058" w:right="0" w:hanging="414"/>
        <w:jc w:val="left"/>
        <w:rPr>
          <w:sz w:val="18"/>
        </w:rPr>
      </w:pPr>
      <w:r>
        <w:rPr>
          <w:spacing w:val="-5"/>
          <w:sz w:val="18"/>
        </w:rPr>
        <w:t>具有有效的中华人民共和国《医师执业证书》，并按期到相关部门登记注册；</w:t>
      </w:r>
    </w:p>
    <w:p>
      <w:pPr>
        <w:pStyle w:val="ListParagraph"/>
        <w:numPr>
          <w:ilvl w:val="1"/>
          <w:numId w:val="18"/>
        </w:numPr>
        <w:tabs>
          <w:tab w:pos="1059" w:val="left" w:leader="none"/>
        </w:tabs>
        <w:spacing w:line="240" w:lineRule="auto" w:before="76" w:after="0"/>
        <w:ind w:left="1058" w:right="0" w:hanging="414"/>
        <w:jc w:val="left"/>
        <w:rPr>
          <w:sz w:val="18"/>
        </w:rPr>
      </w:pPr>
      <w:r>
        <w:rPr>
          <w:spacing w:val="-3"/>
          <w:sz w:val="18"/>
        </w:rPr>
        <w:t>具有有效的中华人民共和国主治医师或主治医师以上职称的《医师职称证书》；</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在二级或二级以上医院的相应科室从事临床工作三年以上。</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20"/>
      </w:pPr>
      <w:r>
        <w:rPr/>
        <w:t>指无法发出四种语音（包括口唇音、齿舌音、口盖音和喉头音）中的任何三种、或声带全部切除，或因大脑语言中枢受伤害而患失语症。</w:t>
      </w:r>
    </w:p>
    <w:p>
      <w:pPr>
        <w:pStyle w:val="ListParagraph"/>
        <w:numPr>
          <w:ilvl w:val="0"/>
          <w:numId w:val="18"/>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穿衣：自己能够穿衣及脱衣；</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移动：自己从一个房间到另一个房间；</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行动：自己上下床或上下轮椅；</w:t>
      </w:r>
    </w:p>
    <w:p>
      <w:pPr>
        <w:pStyle w:val="ListParagraph"/>
        <w:numPr>
          <w:ilvl w:val="1"/>
          <w:numId w:val="18"/>
        </w:numPr>
        <w:tabs>
          <w:tab w:pos="1059" w:val="left" w:leader="none"/>
        </w:tabs>
        <w:spacing w:line="240" w:lineRule="auto" w:before="76" w:after="0"/>
        <w:ind w:left="1058" w:right="0" w:hanging="414"/>
        <w:jc w:val="left"/>
        <w:rPr>
          <w:sz w:val="18"/>
        </w:rPr>
      </w:pPr>
      <w:r>
        <w:rPr>
          <w:sz w:val="18"/>
        </w:rPr>
        <w:t>如厕：自己控制进行大小便；</w:t>
      </w:r>
    </w:p>
    <w:p>
      <w:pPr>
        <w:spacing w:after="0" w:line="240" w:lineRule="auto"/>
        <w:jc w:val="left"/>
        <w:rPr>
          <w:sz w:val="18"/>
        </w:rPr>
        <w:sectPr>
          <w:type w:val="continuous"/>
          <w:pgSz w:w="11910" w:h="16840"/>
          <w:pgMar w:top="1040" w:bottom="1180" w:left="1080" w:right="780"/>
        </w:sectPr>
      </w:pPr>
    </w:p>
    <w:p>
      <w:pPr>
        <w:pStyle w:val="BodyText"/>
        <w:spacing w:before="3"/>
        <w:rPr>
          <w:sz w:val="20"/>
        </w:rPr>
      </w:pPr>
    </w:p>
    <w:p>
      <w:pPr>
        <w:pStyle w:val="ListParagraph"/>
        <w:numPr>
          <w:ilvl w:val="1"/>
          <w:numId w:val="18"/>
        </w:numPr>
        <w:tabs>
          <w:tab w:pos="979" w:val="left" w:leader="none"/>
        </w:tabs>
        <w:spacing w:line="240" w:lineRule="auto" w:before="44" w:after="0"/>
        <w:ind w:left="978" w:right="0" w:hanging="414"/>
        <w:jc w:val="left"/>
        <w:rPr>
          <w:sz w:val="18"/>
        </w:rPr>
      </w:pPr>
      <w:r>
        <w:rPr>
          <w:sz w:val="18"/>
        </w:rPr>
        <w:t>进食：自己从已准备好的碗或碟中取食物放入口中；</w:t>
      </w:r>
    </w:p>
    <w:p>
      <w:pPr>
        <w:pStyle w:val="ListParagraph"/>
        <w:numPr>
          <w:ilvl w:val="1"/>
          <w:numId w:val="18"/>
        </w:numPr>
        <w:tabs>
          <w:tab w:pos="979" w:val="left" w:leader="none"/>
        </w:tabs>
        <w:spacing w:line="240" w:lineRule="auto" w:before="76" w:after="0"/>
        <w:ind w:left="978" w:right="0" w:hanging="414"/>
        <w:jc w:val="left"/>
        <w:rPr>
          <w:sz w:val="18"/>
        </w:rPr>
      </w:pPr>
      <w:r>
        <w:rPr>
          <w:sz w:val="18"/>
        </w:rPr>
        <w:t>洗澡：自己进行淋浴或盆浴。</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70"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118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286.580292pt;margin-top:781.95929pt;width:33.450pt;height:12pt;mso-position-horizontal-relative:page;mso-position-vertical-relative:page;z-index:-2094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1232"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120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160"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1136"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111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088"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1064"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104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016"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0992" type="#_x0000_t202" filled="false" stroked="false">
          <v:textbox inset="0,0,0,0">
            <w:txbxContent>
              <w:p>
                <w:pPr>
                  <w:pStyle w:val="BodyText"/>
                  <w:spacing w:line="200" w:lineRule="exact" w:before="0"/>
                  <w:ind w:left="20"/>
                </w:pPr>
                <w:r>
                  <w:rPr/>
                  <w:t>民生附加久久同安重大疾病保险条款</w:t>
                </w:r>
              </w:p>
            </w:txbxContent>
          </v:textbox>
          <w10:wrap type="none"/>
        </v:shape>
      </w:pict>
    </w:r>
    <w:r>
      <w:rPr/>
      <w:pict>
        <v:shape style="position:absolute;margin-left:428.720001pt;margin-top:42.865326pt;width:110pt;height:11pt;mso-position-horizontal-relative:page;mso-position-vertical-relative:page;z-index:-2096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44" w:hanging="420"/>
        <w:jc w:val="right"/>
      </w:pPr>
      <w:rPr>
        <w:rFonts w:hint="default" w:ascii="宋体" w:hAnsi="宋体" w:eastAsia="宋体" w:cs="宋体"/>
        <w:w w:val="100"/>
        <w:sz w:val="18"/>
        <w:szCs w:val="18"/>
      </w:rPr>
    </w:lvl>
    <w:lvl w:ilvl="1">
      <w:start w:val="1"/>
      <w:numFmt w:val="decimal"/>
      <w:lvlText w:val="(%2)"/>
      <w:lvlJc w:val="left"/>
      <w:pPr>
        <w:ind w:left="1058" w:hanging="414"/>
        <w:jc w:val="left"/>
      </w:pPr>
      <w:rPr>
        <w:rFonts w:hint="default" w:ascii="宋体" w:hAnsi="宋体" w:eastAsia="宋体" w:cs="宋体"/>
        <w:spacing w:val="-90"/>
        <w:w w:val="100"/>
        <w:sz w:val="18"/>
        <w:szCs w:val="18"/>
      </w:rPr>
    </w:lvl>
    <w:lvl w:ilvl="2">
      <w:start w:val="0"/>
      <w:numFmt w:val="bullet"/>
      <w:lvlText w:val="•"/>
      <w:lvlJc w:val="left"/>
      <w:pPr>
        <w:ind w:left="2058" w:hanging="414"/>
      </w:pPr>
      <w:rPr>
        <w:rFonts w:hint="default"/>
      </w:rPr>
    </w:lvl>
    <w:lvl w:ilvl="3">
      <w:start w:val="0"/>
      <w:numFmt w:val="bullet"/>
      <w:lvlText w:val="•"/>
      <w:lvlJc w:val="left"/>
      <w:pPr>
        <w:ind w:left="3056" w:hanging="414"/>
      </w:pPr>
      <w:rPr>
        <w:rFonts w:hint="default"/>
      </w:rPr>
    </w:lvl>
    <w:lvl w:ilvl="4">
      <w:start w:val="0"/>
      <w:numFmt w:val="bullet"/>
      <w:lvlText w:val="•"/>
      <w:lvlJc w:val="left"/>
      <w:pPr>
        <w:ind w:left="4054" w:hanging="414"/>
      </w:pPr>
      <w:rPr>
        <w:rFonts w:hint="default"/>
      </w:rPr>
    </w:lvl>
    <w:lvl w:ilvl="5">
      <w:start w:val="0"/>
      <w:numFmt w:val="bullet"/>
      <w:lvlText w:val="•"/>
      <w:lvlJc w:val="left"/>
      <w:pPr>
        <w:ind w:left="5053" w:hanging="414"/>
      </w:pPr>
      <w:rPr>
        <w:rFonts w:hint="default"/>
      </w:rPr>
    </w:lvl>
    <w:lvl w:ilvl="6">
      <w:start w:val="0"/>
      <w:numFmt w:val="bullet"/>
      <w:lvlText w:val="•"/>
      <w:lvlJc w:val="left"/>
      <w:pPr>
        <w:ind w:left="6051" w:hanging="414"/>
      </w:pPr>
      <w:rPr>
        <w:rFonts w:hint="default"/>
      </w:rPr>
    </w:lvl>
    <w:lvl w:ilvl="7">
      <w:start w:val="0"/>
      <w:numFmt w:val="bullet"/>
      <w:lvlText w:val="•"/>
      <w:lvlJc w:val="left"/>
      <w:pPr>
        <w:ind w:left="7049" w:hanging="414"/>
      </w:pPr>
      <w:rPr>
        <w:rFonts w:hint="default"/>
      </w:rPr>
    </w:lvl>
    <w:lvl w:ilvl="8">
      <w:start w:val="0"/>
      <w:numFmt w:val="bullet"/>
      <w:lvlText w:val="•"/>
      <w:lvlJc w:val="left"/>
      <w:pPr>
        <w:ind w:left="8047" w:hanging="414"/>
      </w:pPr>
      <w:rPr>
        <w:rFonts w:hint="default"/>
      </w:rPr>
    </w:lvl>
  </w:abstractNum>
  <w:abstractNum w:abstractNumId="16">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12" w:hanging="398"/>
      </w:pPr>
      <w:rPr>
        <w:rFonts w:hint="default"/>
      </w:rPr>
    </w:lvl>
    <w:lvl w:ilvl="2">
      <w:start w:val="0"/>
      <w:numFmt w:val="bullet"/>
      <w:lvlText w:val="•"/>
      <w:lvlJc w:val="left"/>
      <w:pPr>
        <w:ind w:left="1925" w:hanging="398"/>
      </w:pPr>
      <w:rPr>
        <w:rFonts w:hint="default"/>
      </w:rPr>
    </w:lvl>
    <w:lvl w:ilvl="3">
      <w:start w:val="0"/>
      <w:numFmt w:val="bullet"/>
      <w:lvlText w:val="•"/>
      <w:lvlJc w:val="left"/>
      <w:pPr>
        <w:ind w:left="2637" w:hanging="398"/>
      </w:pPr>
      <w:rPr>
        <w:rFonts w:hint="default"/>
      </w:rPr>
    </w:lvl>
    <w:lvl w:ilvl="4">
      <w:start w:val="0"/>
      <w:numFmt w:val="bullet"/>
      <w:lvlText w:val="•"/>
      <w:lvlJc w:val="left"/>
      <w:pPr>
        <w:ind w:left="3350" w:hanging="398"/>
      </w:pPr>
      <w:rPr>
        <w:rFonts w:hint="default"/>
      </w:rPr>
    </w:lvl>
    <w:lvl w:ilvl="5">
      <w:start w:val="0"/>
      <w:numFmt w:val="bullet"/>
      <w:lvlText w:val="•"/>
      <w:lvlJc w:val="left"/>
      <w:pPr>
        <w:ind w:left="4063" w:hanging="398"/>
      </w:pPr>
      <w:rPr>
        <w:rFonts w:hint="default"/>
      </w:rPr>
    </w:lvl>
    <w:lvl w:ilvl="6">
      <w:start w:val="0"/>
      <w:numFmt w:val="bullet"/>
      <w:lvlText w:val="•"/>
      <w:lvlJc w:val="left"/>
      <w:pPr>
        <w:ind w:left="4775" w:hanging="398"/>
      </w:pPr>
      <w:rPr>
        <w:rFonts w:hint="default"/>
      </w:rPr>
    </w:lvl>
    <w:lvl w:ilvl="7">
      <w:start w:val="0"/>
      <w:numFmt w:val="bullet"/>
      <w:lvlText w:val="•"/>
      <w:lvlJc w:val="left"/>
      <w:pPr>
        <w:ind w:left="5488" w:hanging="398"/>
      </w:pPr>
      <w:rPr>
        <w:rFonts w:hint="default"/>
      </w:rPr>
    </w:lvl>
    <w:lvl w:ilvl="8">
      <w:start w:val="0"/>
      <w:numFmt w:val="bullet"/>
      <w:lvlText w:val="•"/>
      <w:lvlJc w:val="left"/>
      <w:pPr>
        <w:ind w:left="6201" w:hanging="398"/>
      </w:pPr>
      <w:rPr>
        <w:rFonts w:hint="default"/>
      </w:rPr>
    </w:lvl>
  </w:abstractNum>
  <w:abstractNum w:abstractNumId="15">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3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62" w:hanging="420"/>
      </w:pPr>
      <w:rPr>
        <w:rFonts w:hint="default"/>
      </w:rPr>
    </w:lvl>
    <w:lvl w:ilvl="5">
      <w:start w:val="0"/>
      <w:numFmt w:val="bullet"/>
      <w:lvlText w:val="•"/>
      <w:lvlJc w:val="left"/>
      <w:pPr>
        <w:ind w:left="4073" w:hanging="420"/>
      </w:pPr>
      <w:rPr>
        <w:rFonts w:hint="default"/>
      </w:rPr>
    </w:lvl>
    <w:lvl w:ilvl="6">
      <w:start w:val="0"/>
      <w:numFmt w:val="bullet"/>
      <w:lvlText w:val="•"/>
      <w:lvlJc w:val="left"/>
      <w:pPr>
        <w:ind w:left="4783" w:hanging="420"/>
      </w:pPr>
      <w:rPr>
        <w:rFonts w:hint="default"/>
      </w:rPr>
    </w:lvl>
    <w:lvl w:ilvl="7">
      <w:start w:val="0"/>
      <w:numFmt w:val="bullet"/>
      <w:lvlText w:val="•"/>
      <w:lvlJc w:val="left"/>
      <w:pPr>
        <w:ind w:left="5494" w:hanging="420"/>
      </w:pPr>
      <w:rPr>
        <w:rFonts w:hint="default"/>
      </w:rPr>
    </w:lvl>
    <w:lvl w:ilvl="8">
      <w:start w:val="0"/>
      <w:numFmt w:val="bullet"/>
      <w:lvlText w:val="•"/>
      <w:lvlJc w:val="left"/>
      <w:pPr>
        <w:ind w:left="6205" w:hanging="420"/>
      </w:pPr>
      <w:rPr>
        <w:rFonts w:hint="default"/>
      </w:rPr>
    </w:lvl>
  </w:abstractNum>
  <w:abstractNum w:abstractNumId="14">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3">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14" w:hanging="398"/>
      </w:pPr>
      <w:rPr>
        <w:rFonts w:hint="default"/>
      </w:rPr>
    </w:lvl>
    <w:lvl w:ilvl="2">
      <w:start w:val="0"/>
      <w:numFmt w:val="bullet"/>
      <w:lvlText w:val="•"/>
      <w:lvlJc w:val="left"/>
      <w:pPr>
        <w:ind w:left="1929" w:hanging="398"/>
      </w:pPr>
      <w:rPr>
        <w:rFonts w:hint="default"/>
      </w:rPr>
    </w:lvl>
    <w:lvl w:ilvl="3">
      <w:start w:val="0"/>
      <w:numFmt w:val="bullet"/>
      <w:lvlText w:val="•"/>
      <w:lvlJc w:val="left"/>
      <w:pPr>
        <w:ind w:left="2643" w:hanging="398"/>
      </w:pPr>
      <w:rPr>
        <w:rFonts w:hint="default"/>
      </w:rPr>
    </w:lvl>
    <w:lvl w:ilvl="4">
      <w:start w:val="0"/>
      <w:numFmt w:val="bullet"/>
      <w:lvlText w:val="•"/>
      <w:lvlJc w:val="left"/>
      <w:pPr>
        <w:ind w:left="3358" w:hanging="398"/>
      </w:pPr>
      <w:rPr>
        <w:rFonts w:hint="default"/>
      </w:rPr>
    </w:lvl>
    <w:lvl w:ilvl="5">
      <w:start w:val="0"/>
      <w:numFmt w:val="bullet"/>
      <w:lvlText w:val="•"/>
      <w:lvlJc w:val="left"/>
      <w:pPr>
        <w:ind w:left="4073" w:hanging="398"/>
      </w:pPr>
      <w:rPr>
        <w:rFonts w:hint="default"/>
      </w:rPr>
    </w:lvl>
    <w:lvl w:ilvl="6">
      <w:start w:val="0"/>
      <w:numFmt w:val="bullet"/>
      <w:lvlText w:val="•"/>
      <w:lvlJc w:val="left"/>
      <w:pPr>
        <w:ind w:left="4787" w:hanging="398"/>
      </w:pPr>
      <w:rPr>
        <w:rFonts w:hint="default"/>
      </w:rPr>
    </w:lvl>
    <w:lvl w:ilvl="7">
      <w:start w:val="0"/>
      <w:numFmt w:val="bullet"/>
      <w:lvlText w:val="•"/>
      <w:lvlJc w:val="left"/>
      <w:pPr>
        <w:ind w:left="5502" w:hanging="398"/>
      </w:pPr>
      <w:rPr>
        <w:rFonts w:hint="default"/>
      </w:rPr>
    </w:lvl>
    <w:lvl w:ilvl="8">
      <w:start w:val="0"/>
      <w:numFmt w:val="bullet"/>
      <w:lvlText w:val="•"/>
      <w:lvlJc w:val="left"/>
      <w:pPr>
        <w:ind w:left="6217" w:hanging="398"/>
      </w:pPr>
      <w:rPr>
        <w:rFonts w:hint="default"/>
      </w:rPr>
    </w:lvl>
  </w:abstractNum>
  <w:abstractNum w:abstractNumId="12">
    <w:multiLevelType w:val="hybridMultilevel"/>
    <w:lvl w:ilvl="0">
      <w:start w:val="1"/>
      <w:numFmt w:val="decimal"/>
      <w:lvlText w:val="(%1)"/>
      <w:lvlJc w:val="left"/>
      <w:pPr>
        <w:ind w:left="501" w:hanging="398"/>
        <w:jc w:val="righ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1">
    <w:multiLevelType w:val="hybridMultilevel"/>
    <w:lvl w:ilvl="0">
      <w:start w:val="1"/>
      <w:numFmt w:val="decimal"/>
      <w:lvlText w:val="(%1)"/>
      <w:lvlJc w:val="left"/>
      <w:pPr>
        <w:ind w:left="104"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0">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9">
    <w:multiLevelType w:val="hybridMultilevel"/>
    <w:lvl w:ilvl="0">
      <w:start w:val="1"/>
      <w:numFmt w:val="decimal"/>
      <w:lvlText w:val="%1."/>
      <w:lvlJc w:val="left"/>
      <w:pPr>
        <w:ind w:left="2522" w:hanging="420"/>
        <w:jc w:val="left"/>
      </w:pPr>
      <w:rPr>
        <w:rFonts w:hint="default" w:ascii="宋体" w:hAnsi="宋体" w:eastAsia="宋体" w:cs="宋体"/>
        <w:b/>
        <w:bCs/>
        <w:w w:val="99"/>
        <w:sz w:val="21"/>
        <w:szCs w:val="21"/>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2980" w:hanging="360"/>
      </w:pPr>
      <w:rPr>
        <w:rFonts w:hint="default"/>
      </w:rPr>
    </w:lvl>
    <w:lvl w:ilvl="5">
      <w:start w:val="0"/>
      <w:numFmt w:val="bullet"/>
      <w:lvlText w:val="•"/>
      <w:lvlJc w:val="left"/>
      <w:pPr>
        <w:ind w:left="4147" w:hanging="360"/>
      </w:pPr>
      <w:rPr>
        <w:rFonts w:hint="default"/>
      </w:rPr>
    </w:lvl>
    <w:lvl w:ilvl="6">
      <w:start w:val="0"/>
      <w:numFmt w:val="bullet"/>
      <w:lvlText w:val="•"/>
      <w:lvlJc w:val="left"/>
      <w:pPr>
        <w:ind w:left="5314" w:hanging="360"/>
      </w:pPr>
      <w:rPr>
        <w:rFonts w:hint="default"/>
      </w:rPr>
    </w:lvl>
    <w:lvl w:ilvl="7">
      <w:start w:val="0"/>
      <w:numFmt w:val="bullet"/>
      <w:lvlText w:val="•"/>
      <w:lvlJc w:val="left"/>
      <w:pPr>
        <w:ind w:left="6482" w:hanging="360"/>
      </w:pPr>
      <w:rPr>
        <w:rFonts w:hint="default"/>
      </w:rPr>
    </w:lvl>
    <w:lvl w:ilvl="8">
      <w:start w:val="0"/>
      <w:numFmt w:val="bullet"/>
      <w:lvlText w:val="•"/>
      <w:lvlJc w:val="left"/>
      <w:pPr>
        <w:ind w:left="7649" w:hanging="360"/>
      </w:pPr>
      <w:rPr>
        <w:rFonts w:hint="default"/>
      </w:rPr>
    </w:lvl>
  </w:abstractNum>
  <w:abstractNum w:abstractNumId="8">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7">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6">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1"/>
      <w:numFmt w:val="decimal"/>
      <w:lvlText w:val="(%3)"/>
      <w:lvlJc w:val="left"/>
      <w:pPr>
        <w:ind w:left="3010" w:hanging="398"/>
        <w:jc w:val="left"/>
      </w:pPr>
      <w:rPr>
        <w:rFonts w:hint="default" w:ascii="宋体" w:hAnsi="宋体" w:eastAsia="宋体" w:cs="宋体"/>
        <w:w w:val="100"/>
        <w:sz w:val="18"/>
        <w:szCs w:val="18"/>
      </w:rPr>
    </w:lvl>
    <w:lvl w:ilvl="3">
      <w:start w:val="0"/>
      <w:numFmt w:val="bullet"/>
      <w:lvlText w:val="•"/>
      <w:lvlJc w:val="left"/>
      <w:pPr>
        <w:ind w:left="2831" w:hanging="398"/>
      </w:pPr>
      <w:rPr>
        <w:rFonts w:hint="default"/>
      </w:rPr>
    </w:lvl>
    <w:lvl w:ilvl="4">
      <w:start w:val="0"/>
      <w:numFmt w:val="bullet"/>
      <w:lvlText w:val="•"/>
      <w:lvlJc w:val="left"/>
      <w:pPr>
        <w:ind w:left="2737" w:hanging="398"/>
      </w:pPr>
      <w:rPr>
        <w:rFonts w:hint="default"/>
      </w:rPr>
    </w:lvl>
    <w:lvl w:ilvl="5">
      <w:start w:val="0"/>
      <w:numFmt w:val="bullet"/>
      <w:lvlText w:val="•"/>
      <w:lvlJc w:val="left"/>
      <w:pPr>
        <w:ind w:left="2642" w:hanging="398"/>
      </w:pPr>
      <w:rPr>
        <w:rFonts w:hint="default"/>
      </w:rPr>
    </w:lvl>
    <w:lvl w:ilvl="6">
      <w:start w:val="0"/>
      <w:numFmt w:val="bullet"/>
      <w:lvlText w:val="•"/>
      <w:lvlJc w:val="left"/>
      <w:pPr>
        <w:ind w:left="2548" w:hanging="398"/>
      </w:pPr>
      <w:rPr>
        <w:rFonts w:hint="default"/>
      </w:rPr>
    </w:lvl>
    <w:lvl w:ilvl="7">
      <w:start w:val="0"/>
      <w:numFmt w:val="bullet"/>
      <w:lvlText w:val="•"/>
      <w:lvlJc w:val="left"/>
      <w:pPr>
        <w:ind w:left="2454" w:hanging="398"/>
      </w:pPr>
      <w:rPr>
        <w:rFonts w:hint="default"/>
      </w:rPr>
    </w:lvl>
    <w:lvl w:ilvl="8">
      <w:start w:val="0"/>
      <w:numFmt w:val="bullet"/>
      <w:lvlText w:val="•"/>
      <w:lvlJc w:val="left"/>
      <w:pPr>
        <w:ind w:left="2360" w:hanging="398"/>
      </w:pPr>
      <w:rPr>
        <w:rFonts w:hint="default"/>
      </w:rPr>
    </w:lvl>
  </w:abstractNum>
  <w:abstractNum w:abstractNumId="4">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3">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2">
    <w:multiLevelType w:val="hybridMultilevel"/>
    <w:lvl w:ilvl="0">
      <w:start w:val="8"/>
      <w:numFmt w:val="decimal"/>
      <w:lvlText w:val="%1"/>
      <w:lvlJc w:val="left"/>
      <w:pPr>
        <w:ind w:left="1053" w:hanging="421"/>
        <w:jc w:val="left"/>
      </w:pPr>
      <w:rPr>
        <w:rFonts w:hint="default"/>
      </w:rPr>
    </w:lvl>
    <w:lvl w:ilvl="1">
      <w:start w:val="3"/>
      <w:numFmt w:val="decimal"/>
      <w:lvlText w:val="%1.%2"/>
      <w:lvlJc w:val="left"/>
      <w:pPr>
        <w:ind w:left="1053" w:hanging="421"/>
        <w:jc w:val="left"/>
      </w:pPr>
      <w:rPr>
        <w:rFonts w:hint="default" w:ascii="宋体" w:hAnsi="宋体" w:eastAsia="宋体" w:cs="宋体"/>
        <w:spacing w:val="-2"/>
        <w:w w:val="100"/>
        <w:sz w:val="21"/>
        <w:szCs w:val="21"/>
      </w:rPr>
    </w:lvl>
    <w:lvl w:ilvl="2">
      <w:start w:val="0"/>
      <w:numFmt w:val="bullet"/>
      <w:lvlText w:val="•"/>
      <w:lvlJc w:val="left"/>
      <w:pPr>
        <w:ind w:left="1586" w:hanging="421"/>
      </w:pPr>
      <w:rPr>
        <w:rFonts w:hint="default"/>
      </w:rPr>
    </w:lvl>
    <w:lvl w:ilvl="3">
      <w:start w:val="0"/>
      <w:numFmt w:val="bullet"/>
      <w:lvlText w:val="•"/>
      <w:lvlJc w:val="left"/>
      <w:pPr>
        <w:ind w:left="1850" w:hanging="421"/>
      </w:pPr>
      <w:rPr>
        <w:rFonts w:hint="default"/>
      </w:rPr>
    </w:lvl>
    <w:lvl w:ilvl="4">
      <w:start w:val="0"/>
      <w:numFmt w:val="bullet"/>
      <w:lvlText w:val="•"/>
      <w:lvlJc w:val="left"/>
      <w:pPr>
        <w:ind w:left="2113" w:hanging="421"/>
      </w:pPr>
      <w:rPr>
        <w:rFonts w:hint="default"/>
      </w:rPr>
    </w:lvl>
    <w:lvl w:ilvl="5">
      <w:start w:val="0"/>
      <w:numFmt w:val="bullet"/>
      <w:lvlText w:val="•"/>
      <w:lvlJc w:val="left"/>
      <w:pPr>
        <w:ind w:left="2377" w:hanging="421"/>
      </w:pPr>
      <w:rPr>
        <w:rFonts w:hint="default"/>
      </w:rPr>
    </w:lvl>
    <w:lvl w:ilvl="6">
      <w:start w:val="0"/>
      <w:numFmt w:val="bullet"/>
      <w:lvlText w:val="•"/>
      <w:lvlJc w:val="left"/>
      <w:pPr>
        <w:ind w:left="2640" w:hanging="421"/>
      </w:pPr>
      <w:rPr>
        <w:rFonts w:hint="default"/>
      </w:rPr>
    </w:lvl>
    <w:lvl w:ilvl="7">
      <w:start w:val="0"/>
      <w:numFmt w:val="bullet"/>
      <w:lvlText w:val="•"/>
      <w:lvlJc w:val="left"/>
      <w:pPr>
        <w:ind w:left="2904" w:hanging="421"/>
      </w:pPr>
      <w:rPr>
        <w:rFonts w:hint="default"/>
      </w:rPr>
    </w:lvl>
    <w:lvl w:ilvl="8">
      <w:start w:val="0"/>
      <w:numFmt w:val="bullet"/>
      <w:lvlText w:val="•"/>
      <w:lvlJc w:val="left"/>
      <w:pPr>
        <w:ind w:left="3167" w:hanging="421"/>
      </w:pPr>
      <w:rPr>
        <w:rFonts w:hint="default"/>
      </w:rPr>
    </w:lvl>
  </w:abstractNum>
  <w:abstractNum w:abstractNumId="1">
    <w:multiLevelType w:val="hybridMultilevel"/>
    <w:lvl w:ilvl="0">
      <w:start w:val="2"/>
      <w:numFmt w:val="decimal"/>
      <w:lvlText w:val="%1"/>
      <w:lvlJc w:val="left"/>
      <w:pPr>
        <w:ind w:left="1878" w:hanging="421"/>
        <w:jc w:val="left"/>
      </w:pPr>
      <w:rPr>
        <w:rFonts w:hint="default"/>
      </w:rPr>
    </w:lvl>
    <w:lvl w:ilvl="1">
      <w:start w:val="1"/>
      <w:numFmt w:val="decimal"/>
      <w:lvlText w:val="%1.%2"/>
      <w:lvlJc w:val="left"/>
      <w:pPr>
        <w:ind w:left="1878" w:hanging="421"/>
        <w:jc w:val="left"/>
      </w:pPr>
      <w:rPr>
        <w:rFonts w:hint="default" w:ascii="宋体" w:hAnsi="宋体" w:eastAsia="宋体" w:cs="宋体"/>
        <w:spacing w:val="-2"/>
        <w:w w:val="100"/>
        <w:sz w:val="21"/>
        <w:szCs w:val="21"/>
      </w:rPr>
    </w:lvl>
    <w:lvl w:ilvl="2">
      <w:start w:val="0"/>
      <w:numFmt w:val="bullet"/>
      <w:lvlText w:val="•"/>
      <w:lvlJc w:val="left"/>
      <w:pPr>
        <w:ind w:left="2175" w:hanging="421"/>
      </w:pPr>
      <w:rPr>
        <w:rFonts w:hint="default"/>
      </w:rPr>
    </w:lvl>
    <w:lvl w:ilvl="3">
      <w:start w:val="0"/>
      <w:numFmt w:val="bullet"/>
      <w:lvlText w:val="•"/>
      <w:lvlJc w:val="left"/>
      <w:pPr>
        <w:ind w:left="2322" w:hanging="421"/>
      </w:pPr>
      <w:rPr>
        <w:rFonts w:hint="default"/>
      </w:rPr>
    </w:lvl>
    <w:lvl w:ilvl="4">
      <w:start w:val="0"/>
      <w:numFmt w:val="bullet"/>
      <w:lvlText w:val="•"/>
      <w:lvlJc w:val="left"/>
      <w:pPr>
        <w:ind w:left="2470" w:hanging="421"/>
      </w:pPr>
      <w:rPr>
        <w:rFonts w:hint="default"/>
      </w:rPr>
    </w:lvl>
    <w:lvl w:ilvl="5">
      <w:start w:val="0"/>
      <w:numFmt w:val="bullet"/>
      <w:lvlText w:val="•"/>
      <w:lvlJc w:val="left"/>
      <w:pPr>
        <w:ind w:left="2618" w:hanging="421"/>
      </w:pPr>
      <w:rPr>
        <w:rFonts w:hint="default"/>
      </w:rPr>
    </w:lvl>
    <w:lvl w:ilvl="6">
      <w:start w:val="0"/>
      <w:numFmt w:val="bullet"/>
      <w:lvlText w:val="•"/>
      <w:lvlJc w:val="left"/>
      <w:pPr>
        <w:ind w:left="2765" w:hanging="421"/>
      </w:pPr>
      <w:rPr>
        <w:rFonts w:hint="default"/>
      </w:rPr>
    </w:lvl>
    <w:lvl w:ilvl="7">
      <w:start w:val="0"/>
      <w:numFmt w:val="bullet"/>
      <w:lvlText w:val="•"/>
      <w:lvlJc w:val="left"/>
      <w:pPr>
        <w:ind w:left="2913" w:hanging="421"/>
      </w:pPr>
      <w:rPr>
        <w:rFonts w:hint="default"/>
      </w:rPr>
    </w:lvl>
    <w:lvl w:ilvl="8">
      <w:start w:val="0"/>
      <w:numFmt w:val="bullet"/>
      <w:lvlText w:val="•"/>
      <w:lvlJc w:val="left"/>
      <w:pPr>
        <w:ind w:left="3061"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590" w:hanging="440"/>
      </w:pPr>
      <w:rPr>
        <w:rFonts w:hint="default"/>
      </w:rPr>
    </w:lvl>
    <w:lvl w:ilvl="2">
      <w:start w:val="0"/>
      <w:numFmt w:val="bullet"/>
      <w:lvlText w:val="•"/>
      <w:lvlJc w:val="left"/>
      <w:pPr>
        <w:ind w:left="3400" w:hanging="440"/>
      </w:pPr>
      <w:rPr>
        <w:rFonts w:hint="default"/>
      </w:rPr>
    </w:lvl>
    <w:lvl w:ilvl="3">
      <w:start w:val="0"/>
      <w:numFmt w:val="bullet"/>
      <w:lvlText w:val="•"/>
      <w:lvlJc w:val="left"/>
      <w:pPr>
        <w:ind w:left="4211" w:hanging="440"/>
      </w:pPr>
      <w:rPr>
        <w:rFonts w:hint="default"/>
      </w:rPr>
    </w:lvl>
    <w:lvl w:ilvl="4">
      <w:start w:val="0"/>
      <w:numFmt w:val="bullet"/>
      <w:lvlText w:val="•"/>
      <w:lvlJc w:val="left"/>
      <w:pPr>
        <w:ind w:left="5021" w:hanging="440"/>
      </w:pPr>
      <w:rPr>
        <w:rFonts w:hint="default"/>
      </w:rPr>
    </w:lvl>
    <w:lvl w:ilvl="5">
      <w:start w:val="0"/>
      <w:numFmt w:val="bullet"/>
      <w:lvlText w:val="•"/>
      <w:lvlJc w:val="left"/>
      <w:pPr>
        <w:ind w:left="5832" w:hanging="440"/>
      </w:pPr>
      <w:rPr>
        <w:rFonts w:hint="default"/>
      </w:rPr>
    </w:lvl>
    <w:lvl w:ilvl="6">
      <w:start w:val="0"/>
      <w:numFmt w:val="bullet"/>
      <w:lvlText w:val="•"/>
      <w:lvlJc w:val="left"/>
      <w:pPr>
        <w:ind w:left="6642" w:hanging="440"/>
      </w:pPr>
      <w:rPr>
        <w:rFonts w:hint="default"/>
      </w:rPr>
    </w:lvl>
    <w:lvl w:ilvl="7">
      <w:start w:val="0"/>
      <w:numFmt w:val="bullet"/>
      <w:lvlText w:val="•"/>
      <w:lvlJc w:val="left"/>
      <w:pPr>
        <w:ind w:left="7453" w:hanging="440"/>
      </w:pPr>
      <w:rPr>
        <w:rFonts w:hint="default"/>
      </w:rPr>
    </w:lvl>
    <w:lvl w:ilvl="8">
      <w:start w:val="0"/>
      <w:numFmt w:val="bullet"/>
      <w:lvlText w:val="•"/>
      <w:lvlJc w:val="left"/>
      <w:pPr>
        <w:ind w:left="8263"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5"/>
      <w:ind w:left="524"/>
      <w:outlineLvl w:val="2"/>
    </w:pPr>
    <w:rPr>
      <w:rFonts w:ascii="宋体" w:hAnsi="宋体" w:eastAsia="宋体" w:cs="宋体"/>
      <w:b/>
      <w:bCs/>
      <w:sz w:val="21"/>
      <w:szCs w:val="21"/>
    </w:rPr>
  </w:style>
  <w:style w:styleId="Heading3" w:type="paragraph">
    <w:name w:val="Heading 3"/>
    <w:basedOn w:val="Normal"/>
    <w:uiPriority w:val="1"/>
    <w:qFormat/>
    <w:pPr>
      <w:spacing w:before="76"/>
      <w:ind w:left="2613"/>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&lt;4D6963726F736F667420576F7264202D20B8BDBCFE33312D3320C3F1C9FAB8BDBCD3BEC3BEC3CDACB0B2D6D8B4F3BCB2B2A1B1A3CFD5CCF5BFEE&gt;</dc:title>
  <dcterms:created xsi:type="dcterms:W3CDTF">2018-10-19T22:48:29Z</dcterms:created>
  <dcterms:modified xsi:type="dcterms:W3CDTF">2018-10-19T22:48:29Z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