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5196840</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069 </w:t>
      </w:r>
      <w:r>
        <w:rPr/>
        <w:t>号</w:t>
      </w:r>
    </w:p>
    <w:p>
      <w:pPr>
        <w:pStyle w:val="BodyText"/>
        <w:ind w:left="5846"/>
      </w:pPr>
      <w:r>
        <w:rPr/>
        <w:t>请扫描以查询验证条款</w:t>
      </w:r>
    </w:p>
    <w:p>
      <w:pPr>
        <w:pStyle w:val="BodyText"/>
        <w:rPr>
          <w:sz w:val="20"/>
        </w:rPr>
      </w:pPr>
    </w:p>
    <w:p>
      <w:pPr>
        <w:pStyle w:val="Heading1"/>
        <w:spacing w:before="1"/>
      </w:pPr>
      <w:r>
        <w:rPr/>
        <w:t>中英人寿附加鑫享年华提前给付重大疾病保险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基</w:t>
      </w:r>
      <w:r>
        <w:rPr>
          <w:position w:val="1"/>
          <w:sz w:val="21"/>
        </w:rPr>
        <w:t>本</w:t>
      </w: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请减</w:t>
      </w:r>
      <w:r>
        <w:rPr>
          <w:position w:val="1"/>
          <w:sz w:val="21"/>
        </w:rPr>
        <w:t>少基</w:t>
      </w:r>
      <w:r>
        <w:rPr>
          <w:spacing w:val="-3"/>
          <w:position w:val="1"/>
          <w:sz w:val="21"/>
        </w:rPr>
        <w:t>本</w:t>
      </w:r>
      <w:r>
        <w:rPr>
          <w:position w:val="1"/>
          <w:sz w:val="21"/>
        </w:rPr>
        <w:t>保</w:t>
      </w:r>
      <w:r>
        <w:rPr>
          <w:spacing w:val="-3"/>
          <w:position w:val="1"/>
          <w:sz w:val="21"/>
        </w:rPr>
        <w:t>险</w:t>
      </w:r>
      <w:r>
        <w:rPr>
          <w:position w:val="1"/>
          <w:sz w:val="21"/>
        </w:rPr>
        <w:t>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附表一：重大疾病列表</w:t>
      </w:r>
    </w:p>
    <w:p>
      <w:pPr>
        <w:spacing w:before="63"/>
        <w:ind w:left="4531" w:right="0" w:firstLine="0"/>
        <w:jc w:val="left"/>
        <w:rPr>
          <w:sz w:val="24"/>
        </w:rPr>
      </w:pPr>
      <w:r>
        <w:rPr>
          <w:sz w:val="24"/>
        </w:rPr>
        <w:t>附表二：轻症疾病列表</w:t>
      </w:r>
    </w:p>
    <w:p>
      <w:pPr>
        <w:spacing w:after="0"/>
        <w:jc w:val="left"/>
        <w:rPr>
          <w:sz w:val="24"/>
        </w:rPr>
        <w:sectPr>
          <w:pgSz w:w="11900" w:h="16840"/>
          <w:pgMar w:top="1600" w:bottom="280" w:left="1620" w:right="1680"/>
        </w:sectPr>
      </w:pPr>
    </w:p>
    <w:p>
      <w:pPr>
        <w:spacing w:line="355" w:lineRule="exact" w:before="0"/>
        <w:ind w:left="2030" w:right="0" w:firstLine="0"/>
        <w:jc w:val="left"/>
        <w:rPr>
          <w:sz w:val="28"/>
        </w:rPr>
      </w:pPr>
      <w:r>
        <w:rPr>
          <w:sz w:val="28"/>
        </w:rPr>
        <w:t>中英人寿附加鑫享年华提前给付重大疾病保险</w:t>
      </w:r>
    </w:p>
    <w:p>
      <w:pPr>
        <w:pStyle w:val="BodyText"/>
        <w:tabs>
          <w:tab w:pos="950" w:val="left" w:leader="none"/>
        </w:tabs>
        <w:spacing w:line="758" w:lineRule="exact" w:before="69"/>
        <w:ind w:left="100" w:right="152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100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98"/>
      </w:pPr>
      <w:r>
        <w:rPr/>
        <w:br w:type="column"/>
      </w:r>
      <w:r>
        <w:rPr>
          <w:spacing w:val="-3"/>
        </w:rPr>
        <w:t>《中英人寿附加鑫享年华提前给付重大疾病保险》合同</w:t>
      </w:r>
      <w:r>
        <w:rPr/>
        <w:t>（</w:t>
      </w:r>
      <w:r>
        <w:rPr>
          <w:spacing w:val="-1"/>
        </w:rPr>
        <w:t>以下简称本附加</w:t>
      </w:r>
      <w:r>
        <w:rPr>
          <w:spacing w:val="-2"/>
        </w:rPr>
        <w:t>合同</w:t>
      </w:r>
      <w:r>
        <w:rPr>
          <w:spacing w:val="-36"/>
        </w:rPr>
        <w:t>）</w:t>
      </w:r>
      <w:r>
        <w:rPr>
          <w:spacing w:val="-11"/>
        </w:rPr>
        <w:t>由《中英人寿鑫享年华两全保险</w:t>
      </w:r>
      <w:r>
        <w:rPr>
          <w:spacing w:val="-3"/>
        </w:rPr>
        <w:t>（</w:t>
      </w:r>
      <w:r>
        <w:rPr>
          <w:spacing w:val="-2"/>
        </w:rPr>
        <w:t>分红型</w:t>
      </w:r>
      <w:r>
        <w:rPr>
          <w:spacing w:val="-108"/>
        </w:rPr>
        <w:t>）</w:t>
      </w:r>
      <w:r>
        <w:rPr>
          <w:spacing w:val="-26"/>
        </w:rPr>
        <w:t>》合同</w:t>
      </w:r>
      <w:r>
        <w:rPr>
          <w:spacing w:val="-3"/>
        </w:rPr>
        <w:t>（以下简称主合同</w:t>
      </w:r>
      <w:r>
        <w:rPr/>
        <w:t>） </w:t>
      </w:r>
      <w:r>
        <w:rPr>
          <w:spacing w:val="-3"/>
        </w:rPr>
        <w:t>的投保人向我们提出申请，经我们审核同意后订立。</w:t>
      </w:r>
    </w:p>
    <w:p>
      <w:pPr>
        <w:pStyle w:val="BodyText"/>
        <w:spacing w:before="7"/>
        <w:rPr>
          <w:sz w:val="18"/>
        </w:rPr>
      </w:pPr>
    </w:p>
    <w:p>
      <w:pPr>
        <w:pStyle w:val="BodyText"/>
        <w:spacing w:line="237" w:lineRule="auto"/>
        <w:ind w:left="372" w:right="203"/>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03"/>
      </w:pPr>
      <w:r>
        <w:rPr/>
        <w:t>主合同的条款适用于本附加合同。如果主合同的条款与本附加合同冲突， 则以本附加合同为准。</w:t>
      </w:r>
    </w:p>
    <w:p>
      <w:pPr>
        <w:spacing w:after="0" w:line="237" w:lineRule="auto"/>
        <w:sectPr>
          <w:type w:val="continuous"/>
          <w:pgSz w:w="11900" w:h="16840"/>
          <w:pgMar w:top="1220" w:bottom="280" w:left="1320" w:right="1000"/>
          <w:cols w:num="2" w:equalWidth="0">
            <w:col w:w="2216" w:space="40"/>
            <w:col w:w="732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55</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0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基本保险金额</w:t>
      </w:r>
      <w:r>
        <w:rPr>
          <w:spacing w:val="-2"/>
          <w:sz w:val="21"/>
        </w:rPr>
        <w:t>与申请减少基</w:t>
      </w:r>
      <w:r>
        <w:rPr>
          <w:spacing w:val="-3"/>
          <w:sz w:val="21"/>
        </w:rPr>
        <w:t>本保险金额</w:t>
      </w:r>
    </w:p>
    <w:p>
      <w:pPr>
        <w:pStyle w:val="BodyText"/>
        <w:spacing w:before="60"/>
        <w:ind w:left="372" w:right="203"/>
      </w:pPr>
      <w:r>
        <w:rPr/>
        <w:br w:type="column"/>
      </w:r>
      <w:r>
        <w:rPr/>
        <w:t>本附加合同的基本保险金额为主合同的基本保险金额，由您和我们约定并在保险单上载明。</w:t>
      </w:r>
    </w:p>
    <w:p>
      <w:pPr>
        <w:pStyle w:val="BodyText"/>
        <w:spacing w:before="2"/>
        <w:rPr>
          <w:sz w:val="18"/>
        </w:rPr>
      </w:pPr>
    </w:p>
    <w:p>
      <w:pPr>
        <w:pStyle w:val="BodyText"/>
        <w:spacing w:before="1"/>
        <w:ind w:left="372" w:right="203"/>
      </w:pPr>
      <w:r>
        <w:rPr/>
        <w:t>主合同减少基本保险金额条款同样适用于本附加合同。主合同减少基本保险金额时，本附加合同必须同时申请减少基本保险金额。</w:t>
      </w:r>
    </w:p>
    <w:p>
      <w:pPr>
        <w:pStyle w:val="BodyText"/>
        <w:spacing w:before="3"/>
        <w:rPr>
          <w:sz w:val="18"/>
        </w:rPr>
      </w:pPr>
    </w:p>
    <w:p>
      <w:pPr>
        <w:pStyle w:val="BodyText"/>
        <w:ind w:left="372"/>
      </w:pPr>
      <w:r>
        <w:rPr/>
        <w:t>本附加合同不能单独申请减少基本保险金额。</w:t>
      </w:r>
    </w:p>
    <w:p>
      <w:pPr>
        <w:spacing w:after="0"/>
        <w:sectPr>
          <w:type w:val="continuous"/>
          <w:pgSz w:w="11900" w:h="16840"/>
          <w:pgMar w:top="1220" w:bottom="280" w:left="1320" w:right="1000"/>
          <w:cols w:num="2" w:equalWidth="0">
            <w:col w:w="2216" w:space="40"/>
            <w:col w:w="7324"/>
          </w:cols>
        </w:sectPr>
      </w:pP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627" w:right="0" w:hanging="215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3"/>
        <w:rPr>
          <w:sz w:val="18"/>
        </w:rPr>
      </w:pPr>
    </w:p>
    <w:p>
      <w:pPr>
        <w:pStyle w:val="BodyText"/>
        <w:spacing w:line="237" w:lineRule="auto"/>
        <w:ind w:left="2627" w:right="201"/>
        <w:jc w:val="both"/>
      </w:pPr>
      <w:r>
        <w:rPr>
          <w:spacing w:val="-2"/>
        </w:rPr>
        <w:t>自本附加合同</w:t>
      </w:r>
      <w:r>
        <w:rPr/>
        <w:t>Th</w:t>
      </w:r>
      <w:r>
        <w:rPr>
          <w:spacing w:val="-2"/>
        </w:rPr>
        <w:t>效日</w:t>
      </w:r>
      <w:r>
        <w:rPr/>
        <w:t>（</w:t>
      </w:r>
      <w:r>
        <w:rPr>
          <w:spacing w:val="-3"/>
        </w:rPr>
        <w:t>或最后复效日</w:t>
      </w:r>
      <w:r>
        <w:rPr/>
        <w:t>）</w:t>
      </w:r>
      <w:r>
        <w:rPr>
          <w:spacing w:val="-21"/>
        </w:rPr>
        <w:t>起 </w:t>
      </w:r>
      <w:r>
        <w:rPr/>
        <w:t>180</w:t>
      </w:r>
      <w:r>
        <w:rPr>
          <w:spacing w:val="-16"/>
        </w:rPr>
        <w:t> 天内</w:t>
      </w:r>
      <w:r>
        <w:rPr/>
        <w:t>（</w:t>
      </w:r>
      <w:r>
        <w:rPr>
          <w:spacing w:val="-14"/>
        </w:rPr>
        <w:t>含第 </w:t>
      </w:r>
      <w:r>
        <w:rPr/>
        <w:t>180</w:t>
      </w:r>
      <w:r>
        <w:rPr>
          <w:spacing w:val="-22"/>
        </w:rPr>
        <w:t> 天</w:t>
      </w:r>
      <w:r>
        <w:rPr>
          <w:spacing w:val="-3"/>
        </w:rPr>
        <w:t>）</w:t>
      </w:r>
      <w:r>
        <w:rPr>
          <w:spacing w:val="-2"/>
        </w:rPr>
        <w:t>的期间</w:t>
      </w:r>
      <w:r>
        <w:rPr>
          <w:spacing w:val="-3"/>
        </w:rPr>
        <w:t>为等待期。如果被保险人在等待期内发</w:t>
      </w:r>
      <w:r>
        <w:rPr/>
        <w:t>Th</w:t>
      </w:r>
      <w:r>
        <w:rPr>
          <w:spacing w:val="-3"/>
        </w:rPr>
        <w:t>或确诊患本附加合同附表一所列</w:t>
      </w:r>
      <w:r>
        <w:rPr>
          <w:spacing w:val="-3"/>
          <w:w w:val="100"/>
        </w:rPr>
        <w:t>任何一种重大疾病（</w:t>
      </w:r>
      <w:r>
        <w:rPr>
          <w:w w:val="100"/>
        </w:rPr>
        <w:t>见</w:t>
      </w:r>
      <w:r>
        <w:rPr>
          <w:spacing w:val="-41"/>
        </w:rPr>
        <w:t> </w:t>
      </w:r>
      <w:r>
        <w:rPr>
          <w:w w:val="100"/>
        </w:rPr>
        <w:t>7</w:t>
      </w:r>
      <w:r>
        <w:rPr>
          <w:spacing w:val="-3"/>
          <w:w w:val="100"/>
        </w:rPr>
        <w:t>.</w:t>
      </w:r>
      <w:r>
        <w:rPr>
          <w:w w:val="100"/>
        </w:rPr>
        <w:t>2）</w:t>
      </w:r>
      <w:r>
        <w:rPr>
          <w:spacing w:val="-3"/>
          <w:w w:val="100"/>
        </w:rPr>
        <w:t>或附表二所列任何一种轻症疾病（</w:t>
      </w:r>
      <w:r>
        <w:rPr>
          <w:w w:val="100"/>
        </w:rPr>
        <w:t>见</w:t>
      </w:r>
      <w:r>
        <w:rPr>
          <w:spacing w:val="-41"/>
        </w:rPr>
        <w:t> </w:t>
      </w:r>
      <w:r>
        <w:rPr>
          <w:w w:val="100"/>
        </w:rPr>
        <w:t>7</w:t>
      </w:r>
      <w:r>
        <w:rPr>
          <w:spacing w:val="-3"/>
          <w:w w:val="100"/>
        </w:rPr>
        <w:t>.</w:t>
      </w:r>
      <w:r>
        <w:rPr>
          <w:w w:val="100"/>
        </w:rPr>
        <w:t>3</w:t>
      </w:r>
      <w:r>
        <w:rPr>
          <w:spacing w:val="-106"/>
          <w:w w:val="100"/>
        </w:rPr>
        <w:t>）</w:t>
      </w:r>
      <w:r>
        <w:rPr>
          <w:w w:val="100"/>
        </w:rPr>
        <w:t>，</w:t>
      </w:r>
      <w:r>
        <w:rPr>
          <w:spacing w:val="-3"/>
        </w:rPr>
        <w:t>我们将无息退回您已缴纳的本附加合同及其所依附的主合同的保险费，同时本附加合同及其所依附的主合同终止。但如果被保险人因意外伤害事故</w:t>
      </w:r>
    </w:p>
    <w:p>
      <w:pPr>
        <w:pStyle w:val="BodyText"/>
        <w:spacing w:line="225" w:lineRule="auto" w:before="16"/>
        <w:ind w:left="2627" w:right="201"/>
        <w:jc w:val="both"/>
      </w:pPr>
      <w:r>
        <w:rPr/>
        <w:t>（</w:t>
      </w:r>
      <w:r>
        <w:rPr>
          <w:spacing w:val="-13"/>
        </w:rPr>
        <w:t>见 </w:t>
      </w:r>
      <w:r>
        <w:rPr>
          <w:rFonts w:ascii="Times New Roman" w:eastAsia="Times New Roman"/>
          <w:spacing w:val="-22"/>
        </w:rPr>
        <w:t>7.4</w:t>
      </w:r>
      <w:r>
        <w:rPr>
          <w:spacing w:val="-22"/>
        </w:rPr>
        <w:t>）</w:t>
      </w:r>
      <w:r>
        <w:rPr>
          <w:spacing w:val="-3"/>
        </w:rPr>
        <w:t>导致患本附加合同附表一所列任何一种重大疾病或附表二所列任何一种轻症疾病，则无等待期。</w:t>
      </w:r>
    </w:p>
    <w:p>
      <w:pPr>
        <w:pStyle w:val="BodyText"/>
        <w:spacing w:before="3"/>
        <w:rPr>
          <w:sz w:val="18"/>
        </w:rPr>
      </w:pPr>
    </w:p>
    <w:p>
      <w:pPr>
        <w:pStyle w:val="BodyText"/>
        <w:ind w:left="2627"/>
      </w:pPr>
      <w:r>
        <w:rPr>
          <w:rFonts w:ascii="Times New Roman" w:eastAsia="Times New Roman"/>
        </w:rPr>
        <w:t>1</w:t>
      </w:r>
      <w:r>
        <w:rPr/>
        <w:t>、重大疾病保险金</w:t>
      </w:r>
    </w:p>
    <w:p>
      <w:pPr>
        <w:pStyle w:val="BodyText"/>
        <w:spacing w:before="4"/>
        <w:rPr>
          <w:sz w:val="18"/>
        </w:rPr>
      </w:pPr>
    </w:p>
    <w:p>
      <w:pPr>
        <w:pStyle w:val="BodyText"/>
        <w:spacing w:line="225" w:lineRule="auto"/>
        <w:ind w:left="2628" w:right="201" w:hanging="1"/>
        <w:jc w:val="both"/>
      </w:pPr>
      <w:r>
        <w:rPr>
          <w:spacing w:val="-3"/>
        </w:rPr>
        <w:t>如果被保险人在等待期后初次发生并被专科医</w:t>
      </w:r>
      <w:r>
        <w:rPr>
          <w:spacing w:val="-29"/>
        </w:rPr>
        <w:t>Th（</w:t>
      </w:r>
      <w:r>
        <w:rPr>
          <w:spacing w:val="-18"/>
        </w:rPr>
        <w:t>见 </w:t>
      </w:r>
      <w:r>
        <w:rPr>
          <w:rFonts w:ascii="Times New Roman" w:eastAsia="Times New Roman"/>
          <w:spacing w:val="-11"/>
        </w:rPr>
        <w:t>7.5</w:t>
      </w:r>
      <w:r>
        <w:rPr>
          <w:spacing w:val="-11"/>
        </w:rPr>
        <w:t>）</w:t>
      </w:r>
      <w:r>
        <w:rPr>
          <w:spacing w:val="-3"/>
        </w:rPr>
        <w:t>确诊患本附加合</w:t>
      </w:r>
      <w:r>
        <w:rPr>
          <w:spacing w:val="-3"/>
          <w:w w:val="100"/>
        </w:rPr>
        <w:t>同附表一所列任何一种重大疾病</w:t>
      </w:r>
      <w:r>
        <w:rPr>
          <w:w w:val="100"/>
        </w:rPr>
        <w:t>（见</w:t>
      </w:r>
      <w:r>
        <w:rPr/>
        <w:t> </w:t>
      </w:r>
      <w:r>
        <w:rPr>
          <w:rFonts w:ascii="Times New Roman" w:eastAsia="Times New Roman"/>
          <w:spacing w:val="-3"/>
          <w:w w:val="100"/>
        </w:rPr>
        <w:t>7</w:t>
      </w:r>
      <w:r>
        <w:rPr>
          <w:rFonts w:ascii="Times New Roman" w:eastAsia="Times New Roman"/>
          <w:w w:val="100"/>
        </w:rPr>
        <w:t>.2</w:t>
      </w:r>
      <w:r>
        <w:rPr>
          <w:spacing w:val="-108"/>
          <w:w w:val="100"/>
        </w:rPr>
        <w:t>）</w:t>
      </w:r>
      <w:r>
        <w:rPr>
          <w:spacing w:val="-3"/>
          <w:w w:val="100"/>
        </w:rPr>
        <w:t>，我们将按以下金额给付重大疾</w:t>
      </w:r>
    </w:p>
    <w:p>
      <w:pPr>
        <w:spacing w:after="0" w:line="225" w:lineRule="auto"/>
        <w:jc w:val="both"/>
        <w:sectPr>
          <w:type w:val="continuous"/>
          <w:pgSz w:w="11900" w:h="16840"/>
          <w:pgMar w:top="1220" w:bottom="280" w:left="1320" w:right="1000"/>
        </w:sectPr>
      </w:pPr>
    </w:p>
    <w:p>
      <w:pPr>
        <w:pStyle w:val="BodyText"/>
        <w:spacing w:line="237" w:lineRule="auto" w:before="9"/>
        <w:ind w:left="2627" w:right="223"/>
      </w:pPr>
      <w:r>
        <w:rPr/>
        <w:t>病保险金，同时主合同基本保险金额减少为零，本附加合同及其所依附的主合同终止。</w:t>
      </w:r>
    </w:p>
    <w:p>
      <w:pPr>
        <w:pStyle w:val="BodyText"/>
        <w:spacing w:before="7"/>
        <w:rPr>
          <w:sz w:val="18"/>
        </w:rPr>
      </w:pPr>
    </w:p>
    <w:p>
      <w:pPr>
        <w:pStyle w:val="BodyText"/>
        <w:spacing w:line="237" w:lineRule="auto" w:before="1"/>
        <w:ind w:left="2627" w:right="221"/>
      </w:pPr>
      <w:r>
        <w:rPr>
          <w:spacing w:val="-3"/>
        </w:rPr>
        <w:t>重大疾病保险金</w:t>
      </w:r>
      <w:r>
        <w:rPr/>
        <w:t>＝</w:t>
      </w:r>
      <w:r>
        <w:rPr>
          <w:spacing w:val="-9"/>
        </w:rPr>
        <w:t>主合同《中英人寿鑫享年华两全保险</w:t>
      </w:r>
      <w:r>
        <w:rPr/>
        <w:t>（</w:t>
      </w:r>
      <w:r>
        <w:rPr>
          <w:spacing w:val="-2"/>
        </w:rPr>
        <w:t>分红型</w:t>
      </w:r>
      <w:r>
        <w:rPr>
          <w:spacing w:val="-108"/>
        </w:rPr>
        <w:t>）</w:t>
      </w:r>
      <w:r>
        <w:rPr>
          <w:spacing w:val="-8"/>
        </w:rPr>
        <w:t>》生存保</w:t>
      </w:r>
      <w:r>
        <w:rPr>
          <w:spacing w:val="-5"/>
        </w:rPr>
        <w:t>险金总额－已产生的生存保险金总额</w:t>
      </w:r>
    </w:p>
    <w:p>
      <w:pPr>
        <w:pStyle w:val="BodyText"/>
        <w:spacing w:before="5"/>
        <w:rPr>
          <w:sz w:val="18"/>
        </w:rPr>
      </w:pPr>
    </w:p>
    <w:p>
      <w:pPr>
        <w:pStyle w:val="BodyText"/>
        <w:ind w:left="2627"/>
      </w:pPr>
      <w:r>
        <w:rPr>
          <w:rFonts w:ascii="Times New Roman" w:eastAsia="Times New Roman"/>
        </w:rPr>
        <w:t>2</w:t>
      </w:r>
      <w:r>
        <w:rPr/>
        <w:t>、轻症疾病豁免保费</w:t>
      </w:r>
    </w:p>
    <w:p>
      <w:pPr>
        <w:pStyle w:val="BodyText"/>
        <w:spacing w:before="7"/>
        <w:rPr>
          <w:sz w:val="17"/>
        </w:rPr>
      </w:pPr>
    </w:p>
    <w:p>
      <w:pPr>
        <w:pStyle w:val="BodyText"/>
        <w:spacing w:line="232" w:lineRule="auto" w:before="1"/>
        <w:ind w:left="2628" w:right="221" w:hanging="1"/>
        <w:jc w:val="both"/>
      </w:pPr>
      <w:r>
        <w:rPr>
          <w:spacing w:val="-3"/>
        </w:rPr>
        <w:t>如果被保险人在等待期后初次发生并被专科医生确诊患本附加合同附表二</w:t>
      </w:r>
      <w:r>
        <w:rPr>
          <w:spacing w:val="-3"/>
          <w:w w:val="100"/>
        </w:rPr>
        <w:t>所列任何一种轻症疾病（</w:t>
      </w:r>
      <w:r>
        <w:rPr>
          <w:w w:val="100"/>
        </w:rPr>
        <w:t>见</w:t>
      </w:r>
      <w:r>
        <w:rPr/>
        <w:t> </w:t>
      </w:r>
      <w:r>
        <w:rPr>
          <w:rFonts w:ascii="Times New Roman" w:eastAsia="Times New Roman"/>
          <w:w w:val="100"/>
        </w:rPr>
        <w:t>7.3</w:t>
      </w:r>
      <w:r>
        <w:rPr>
          <w:spacing w:val="-108"/>
          <w:w w:val="100"/>
        </w:rPr>
        <w:t>）</w:t>
      </w:r>
      <w:r>
        <w:rPr>
          <w:spacing w:val="-3"/>
          <w:w w:val="100"/>
        </w:rPr>
        <w:t>，并且在轻症疾病确诊前未确诊患本附加</w:t>
      </w:r>
      <w:r>
        <w:rPr>
          <w:spacing w:val="-3"/>
        </w:rPr>
        <w:t>合同附表一所列任何一种重大疾病，我们将豁免轻症疾病确诊日后本附加合同及其所依附的主合同的各期保险费。</w:t>
      </w:r>
    </w:p>
    <w:p>
      <w:pPr>
        <w:pStyle w:val="BodyText"/>
        <w:spacing w:before="11"/>
        <w:rPr>
          <w:sz w:val="18"/>
        </w:rPr>
      </w:pPr>
    </w:p>
    <w:p>
      <w:pPr>
        <w:pStyle w:val="ListParagraph"/>
        <w:numPr>
          <w:ilvl w:val="1"/>
          <w:numId w:val="3"/>
        </w:numPr>
        <w:tabs>
          <w:tab w:pos="951" w:val="left" w:leader="none"/>
        </w:tabs>
        <w:spacing w:line="237" w:lineRule="auto" w:before="0" w:after="0"/>
        <w:ind w:left="2627" w:right="223" w:hanging="2157"/>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3"/>
        <w:rPr>
          <w:sz w:val="18"/>
        </w:rPr>
      </w:pP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投保人对被保险人的故意杀害、故意伤害；</w:t>
      </w: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被保险人故意犯罪或抗拒依法采取的刑事强制措施；</w:t>
      </w:r>
    </w:p>
    <w:p>
      <w:pPr>
        <w:pStyle w:val="ListParagraph"/>
        <w:numPr>
          <w:ilvl w:val="2"/>
          <w:numId w:val="3"/>
        </w:numPr>
        <w:tabs>
          <w:tab w:pos="3048" w:val="left" w:leader="none"/>
        </w:tabs>
        <w:spacing w:line="274" w:lineRule="exact" w:before="0" w:after="0"/>
        <w:ind w:left="3048" w:right="0" w:hanging="421"/>
        <w:jc w:val="both"/>
        <w:rPr>
          <w:sz w:val="21"/>
        </w:rPr>
      </w:pPr>
      <w:r>
        <w:rPr>
          <w:spacing w:val="-2"/>
          <w:sz w:val="21"/>
        </w:rPr>
        <w:t>被保险人自伤；</w:t>
      </w:r>
    </w:p>
    <w:p>
      <w:pPr>
        <w:pStyle w:val="ListParagraph"/>
        <w:numPr>
          <w:ilvl w:val="2"/>
          <w:numId w:val="3"/>
        </w:numPr>
        <w:tabs>
          <w:tab w:pos="3048" w:val="left" w:leader="none"/>
        </w:tabs>
        <w:spacing w:line="280" w:lineRule="exact" w:before="0" w:after="0"/>
        <w:ind w:left="304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2"/>
          <w:numId w:val="3"/>
        </w:numPr>
        <w:tabs>
          <w:tab w:pos="3047" w:val="left" w:leader="none"/>
          <w:tab w:pos="3048" w:val="left" w:leader="none"/>
        </w:tabs>
        <w:spacing w:line="225" w:lineRule="auto" w:before="7" w:after="0"/>
        <w:ind w:left="3048" w:right="22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2"/>
          <w:numId w:val="3"/>
        </w:numPr>
        <w:tabs>
          <w:tab w:pos="3047" w:val="left" w:leader="none"/>
          <w:tab w:pos="3048" w:val="left" w:leader="none"/>
        </w:tabs>
        <w:spacing w:line="257" w:lineRule="exact" w:before="0" w:after="0"/>
        <w:ind w:left="3048" w:right="0" w:hanging="421"/>
        <w:jc w:val="left"/>
        <w:rPr>
          <w:sz w:val="21"/>
        </w:rPr>
      </w:pPr>
      <w:r>
        <w:rPr>
          <w:spacing w:val="-3"/>
          <w:sz w:val="21"/>
        </w:rPr>
        <w:t>战争、军事冲突、暴乱或武装叛乱；</w:t>
      </w:r>
    </w:p>
    <w:p>
      <w:pPr>
        <w:pStyle w:val="ListParagraph"/>
        <w:numPr>
          <w:ilvl w:val="2"/>
          <w:numId w:val="3"/>
        </w:numPr>
        <w:tabs>
          <w:tab w:pos="3047" w:val="left" w:leader="none"/>
          <w:tab w:pos="3048" w:val="left" w:leader="none"/>
        </w:tabs>
        <w:spacing w:line="272" w:lineRule="exact" w:before="0" w:after="0"/>
        <w:ind w:left="3048" w:right="0" w:hanging="421"/>
        <w:jc w:val="left"/>
        <w:rPr>
          <w:sz w:val="21"/>
        </w:rPr>
      </w:pPr>
      <w:r>
        <w:rPr>
          <w:spacing w:val="-3"/>
          <w:sz w:val="21"/>
        </w:rPr>
        <w:t>核爆炸、核辐射或核污染；</w:t>
      </w:r>
    </w:p>
    <w:p>
      <w:pPr>
        <w:pStyle w:val="ListParagraph"/>
        <w:numPr>
          <w:ilvl w:val="2"/>
          <w:numId w:val="3"/>
        </w:numPr>
        <w:tabs>
          <w:tab w:pos="3047" w:val="left" w:leader="none"/>
          <w:tab w:pos="3048" w:val="left" w:leader="none"/>
        </w:tabs>
        <w:spacing w:line="225" w:lineRule="auto" w:before="15" w:after="0"/>
        <w:ind w:left="3048" w:right="22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32</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3</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3047" w:val="left" w:leader="none"/>
          <w:tab w:pos="3048" w:val="left" w:leader="none"/>
        </w:tabs>
        <w:spacing w:line="274" w:lineRule="exact" w:before="0" w:after="0"/>
        <w:ind w:left="304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pStyle w:val="BodyText"/>
        <w:spacing w:before="11"/>
        <w:rPr>
          <w:sz w:val="17"/>
        </w:rPr>
      </w:pPr>
    </w:p>
    <w:p>
      <w:pPr>
        <w:pStyle w:val="BodyText"/>
        <w:spacing w:line="230" w:lineRule="auto" w:before="1"/>
        <w:ind w:left="262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4"/>
        <w:rPr>
          <w:sz w:val="19"/>
        </w:rPr>
      </w:pPr>
    </w:p>
    <w:p>
      <w:pPr>
        <w:pStyle w:val="BodyText"/>
        <w:spacing w:line="230" w:lineRule="auto"/>
        <w:ind w:left="262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7"/>
        <w:rPr>
          <w:sz w:val="19"/>
        </w:rPr>
      </w:pPr>
    </w:p>
    <w:p>
      <w:pPr>
        <w:pStyle w:val="BodyText"/>
        <w:spacing w:line="225" w:lineRule="auto"/>
        <w:ind w:left="2627" w:right="115"/>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 我们将退还本附加合同及其所依附的主合同终止时的现金价值给您。</w:t>
      </w:r>
    </w:p>
    <w:p>
      <w:pPr>
        <w:pStyle w:val="BodyText"/>
        <w:rPr>
          <w:sz w:val="20"/>
        </w:rPr>
      </w:pPr>
    </w:p>
    <w:p>
      <w:pPr>
        <w:pStyle w:val="BodyText"/>
        <w:spacing w:before="12"/>
        <w:rPr>
          <w:sz w:val="16"/>
        </w:rPr>
      </w:pPr>
    </w:p>
    <w:p>
      <w:pPr>
        <w:pStyle w:val="BodyText"/>
        <w:tabs>
          <w:tab w:pos="950" w:val="left" w:leader="none"/>
          <w:tab w:pos="2627" w:val="left" w:leader="none"/>
        </w:tabs>
        <w:spacing w:line="422" w:lineRule="auto"/>
        <w:ind w:left="2627" w:right="66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237" w:lineRule="auto" w:before="84"/>
        <w:ind w:left="2627" w:right="223"/>
      </w:pPr>
      <w:r>
        <w:rPr/>
        <w:t>保险费按照我们核定的保险费率计算，根据您与我们约定的基本保险金额确定。</w:t>
      </w:r>
    </w:p>
    <w:p>
      <w:pPr>
        <w:pStyle w:val="BodyText"/>
        <w:spacing w:before="5"/>
        <w:rPr>
          <w:sz w:val="18"/>
        </w:rPr>
      </w:pPr>
    </w:p>
    <w:p>
      <w:pPr>
        <w:pStyle w:val="BodyText"/>
        <w:ind w:left="2627"/>
        <w:jc w:val="both"/>
      </w:pPr>
      <w:r>
        <w:rPr/>
        <w:t>您应于保险费到期日或之前向我们缴纳保险费。</w:t>
      </w:r>
    </w:p>
    <w:p>
      <w:pPr>
        <w:pStyle w:val="BodyText"/>
        <w:rPr>
          <w:sz w:val="20"/>
        </w:rPr>
      </w:pPr>
    </w:p>
    <w:p>
      <w:pPr>
        <w:pStyle w:val="BodyText"/>
        <w:spacing w:before="9"/>
        <w:rPr>
          <w:sz w:val="16"/>
        </w:rPr>
      </w:pPr>
    </w:p>
    <w:p>
      <w:pPr>
        <w:pStyle w:val="BodyText"/>
        <w:tabs>
          <w:tab w:pos="950" w:val="left" w:leader="none"/>
        </w:tabs>
        <w:ind w:left="103"/>
      </w:pPr>
      <w:r>
        <w:rPr/>
        <w:t>第</w:t>
      </w:r>
      <w:r>
        <w:rPr>
          <w:spacing w:val="-55"/>
        </w:rPr>
        <w:t> </w:t>
      </w:r>
      <w:r>
        <w:rPr>
          <w:rFonts w:ascii="Times New Roman" w:eastAsia="Times New Roman"/>
          <w:b/>
        </w:rPr>
        <w:t>4 </w:t>
      </w:r>
      <w:r>
        <w:rPr/>
        <w:t>章</w:t>
        <w:tab/>
        <w:t>保险</w:t>
      </w:r>
      <w:r>
        <w:rPr>
          <w:spacing w:val="-3"/>
        </w:rPr>
        <w:t>金</w:t>
      </w:r>
      <w:r>
        <w:rPr/>
        <w:t>的给付</w:t>
      </w:r>
    </w:p>
    <w:p>
      <w:pPr>
        <w:spacing w:after="0"/>
        <w:sectPr>
          <w:pgSz w:w="11900" w:h="16840"/>
          <w:pgMar w:top="1260" w:bottom="280" w:left="1320" w:right="980"/>
        </w:sectPr>
      </w:pPr>
    </w:p>
    <w:p>
      <w:pPr>
        <w:pStyle w:val="BodyText"/>
        <w:spacing w:before="2"/>
        <w:rPr>
          <w:sz w:val="11"/>
        </w:rPr>
      </w:pPr>
    </w:p>
    <w:tbl>
      <w:tblPr>
        <w:tblW w:w="0" w:type="auto"/>
        <w:jc w:val="left"/>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579"/>
        <w:gridCol w:w="7003"/>
      </w:tblGrid>
      <w:tr>
        <w:trPr>
          <w:trHeight w:val="267" w:hRule="atLeast"/>
        </w:trPr>
        <w:tc>
          <w:tcPr>
            <w:tcW w:w="422" w:type="dxa"/>
          </w:tcPr>
          <w:p>
            <w:pPr>
              <w:pStyle w:val="TableParagraph"/>
              <w:spacing w:line="234" w:lineRule="exact"/>
              <w:ind w:left="50"/>
              <w:rPr>
                <w:rFonts w:ascii="Times New Roman"/>
                <w:b/>
                <w:sz w:val="21"/>
              </w:rPr>
            </w:pPr>
            <w:r>
              <w:rPr>
                <w:rFonts w:ascii="Times New Roman"/>
                <w:b/>
                <w:sz w:val="21"/>
              </w:rPr>
              <w:t>4.1</w:t>
            </w:r>
          </w:p>
        </w:tc>
        <w:tc>
          <w:tcPr>
            <w:tcW w:w="1579" w:type="dxa"/>
          </w:tcPr>
          <w:p>
            <w:pPr>
              <w:pStyle w:val="TableParagraph"/>
              <w:spacing w:line="237" w:lineRule="exact"/>
              <w:ind w:left="108"/>
              <w:rPr>
                <w:sz w:val="21"/>
              </w:rPr>
            </w:pPr>
            <w:r>
              <w:rPr>
                <w:sz w:val="21"/>
              </w:rPr>
              <w:t>请求给付保险</w:t>
            </w:r>
          </w:p>
        </w:tc>
        <w:tc>
          <w:tcPr>
            <w:tcW w:w="7003" w:type="dxa"/>
          </w:tcPr>
          <w:p>
            <w:pPr>
              <w:pStyle w:val="TableParagraph"/>
              <w:spacing w:line="235" w:lineRule="exact"/>
              <w:ind w:left="206"/>
              <w:rPr>
                <w:sz w:val="21"/>
              </w:rPr>
            </w:pPr>
            <w:r>
              <w:rPr>
                <w:sz w:val="21"/>
              </w:rPr>
              <w:t>本附加合同受益人向我们请求给付保险金的诉讼时效期间为二年，自其知</w:t>
            </w:r>
          </w:p>
        </w:tc>
      </w:tr>
      <w:tr>
        <w:trPr>
          <w:trHeight w:val="381" w:hRule="atLeast"/>
        </w:trPr>
        <w:tc>
          <w:tcPr>
            <w:tcW w:w="422" w:type="dxa"/>
          </w:tcPr>
          <w:p>
            <w:pPr>
              <w:pStyle w:val="TableParagraph"/>
              <w:rPr>
                <w:rFonts w:ascii="Times New Roman"/>
                <w:sz w:val="20"/>
              </w:rPr>
            </w:pPr>
          </w:p>
        </w:tc>
        <w:tc>
          <w:tcPr>
            <w:tcW w:w="1579" w:type="dxa"/>
          </w:tcPr>
          <w:p>
            <w:pPr>
              <w:pStyle w:val="TableParagraph"/>
              <w:spacing w:line="243" w:lineRule="exact"/>
              <w:ind w:left="108"/>
              <w:rPr>
                <w:sz w:val="21"/>
              </w:rPr>
            </w:pPr>
            <w:r>
              <w:rPr>
                <w:sz w:val="21"/>
              </w:rPr>
              <w:t>金的诉讼时效</w:t>
            </w:r>
          </w:p>
        </w:tc>
        <w:tc>
          <w:tcPr>
            <w:tcW w:w="7003" w:type="dxa"/>
          </w:tcPr>
          <w:p>
            <w:pPr>
              <w:pStyle w:val="TableParagraph"/>
              <w:spacing w:line="241" w:lineRule="exact"/>
              <w:ind w:left="206"/>
              <w:rPr>
                <w:sz w:val="21"/>
              </w:rPr>
            </w:pPr>
            <w:r>
              <w:rPr>
                <w:sz w:val="21"/>
              </w:rPr>
              <w:t>道或应当知道保险事故发生之日起计算。</w:t>
            </w:r>
          </w:p>
        </w:tc>
      </w:tr>
      <w:tr>
        <w:trPr>
          <w:trHeight w:val="406" w:hRule="atLeast"/>
        </w:trPr>
        <w:tc>
          <w:tcPr>
            <w:tcW w:w="422" w:type="dxa"/>
          </w:tcPr>
          <w:p>
            <w:pPr>
              <w:pStyle w:val="TableParagraph"/>
              <w:spacing w:before="130"/>
              <w:ind w:left="50"/>
              <w:rPr>
                <w:rFonts w:ascii="Times New Roman"/>
                <w:b/>
                <w:sz w:val="21"/>
              </w:rPr>
            </w:pPr>
            <w:r>
              <w:rPr>
                <w:rFonts w:ascii="Times New Roman"/>
                <w:b/>
                <w:sz w:val="21"/>
              </w:rPr>
              <w:t>4.2</w:t>
            </w:r>
          </w:p>
        </w:tc>
        <w:tc>
          <w:tcPr>
            <w:tcW w:w="1579" w:type="dxa"/>
          </w:tcPr>
          <w:p>
            <w:pPr>
              <w:pStyle w:val="TableParagraph"/>
              <w:spacing w:before="100"/>
              <w:ind w:left="108"/>
              <w:rPr>
                <w:sz w:val="21"/>
              </w:rPr>
            </w:pPr>
            <w:r>
              <w:rPr>
                <w:sz w:val="21"/>
              </w:rPr>
              <w:t>保险金受益人</w:t>
            </w:r>
          </w:p>
        </w:tc>
        <w:tc>
          <w:tcPr>
            <w:tcW w:w="7003" w:type="dxa"/>
          </w:tcPr>
          <w:p>
            <w:pPr>
              <w:pStyle w:val="TableParagraph"/>
              <w:spacing w:before="98"/>
              <w:ind w:left="206"/>
              <w:rPr>
                <w:sz w:val="21"/>
              </w:rPr>
            </w:pPr>
            <w:r>
              <w:rPr>
                <w:sz w:val="21"/>
              </w:rPr>
              <w:t>除另有指定外，本附加合同重大疾病保险金的受益人是被保险人本人。</w:t>
            </w:r>
          </w:p>
        </w:tc>
      </w:tr>
      <w:tr>
        <w:trPr>
          <w:trHeight w:val="320" w:hRule="atLeast"/>
        </w:trPr>
        <w:tc>
          <w:tcPr>
            <w:tcW w:w="422" w:type="dxa"/>
          </w:tcPr>
          <w:p>
            <w:pPr>
              <w:pStyle w:val="TableParagraph"/>
              <w:rPr>
                <w:rFonts w:ascii="Times New Roman"/>
                <w:sz w:val="20"/>
              </w:rPr>
            </w:pPr>
          </w:p>
        </w:tc>
        <w:tc>
          <w:tcPr>
            <w:tcW w:w="1579" w:type="dxa"/>
          </w:tcPr>
          <w:p>
            <w:pPr>
              <w:pStyle w:val="TableParagraph"/>
              <w:spacing w:line="242" w:lineRule="exact"/>
              <w:ind w:left="108"/>
              <w:rPr>
                <w:sz w:val="21"/>
              </w:rPr>
            </w:pPr>
            <w:r>
              <w:rPr>
                <w:sz w:val="21"/>
              </w:rPr>
              <w:t>的指定</w:t>
            </w:r>
          </w:p>
        </w:tc>
        <w:tc>
          <w:tcPr>
            <w:tcW w:w="7003" w:type="dxa"/>
          </w:tcPr>
          <w:p>
            <w:pPr>
              <w:pStyle w:val="TableParagraph"/>
              <w:rPr>
                <w:rFonts w:ascii="Times New Roman"/>
                <w:sz w:val="20"/>
              </w:rPr>
            </w:pPr>
          </w:p>
        </w:tc>
      </w:tr>
      <w:tr>
        <w:trPr>
          <w:trHeight w:val="586" w:hRule="atLeast"/>
        </w:trPr>
        <w:tc>
          <w:tcPr>
            <w:tcW w:w="422" w:type="dxa"/>
          </w:tcPr>
          <w:p>
            <w:pPr>
              <w:pStyle w:val="TableParagraph"/>
              <w:spacing w:before="70"/>
              <w:ind w:left="50"/>
              <w:rPr>
                <w:rFonts w:ascii="Times New Roman"/>
                <w:b/>
                <w:sz w:val="21"/>
              </w:rPr>
            </w:pPr>
            <w:r>
              <w:rPr>
                <w:rFonts w:ascii="Times New Roman"/>
                <w:b/>
                <w:sz w:val="21"/>
              </w:rPr>
              <w:t>4.3</w:t>
            </w:r>
          </w:p>
        </w:tc>
        <w:tc>
          <w:tcPr>
            <w:tcW w:w="1579" w:type="dxa"/>
          </w:tcPr>
          <w:p>
            <w:pPr>
              <w:pStyle w:val="TableParagraph"/>
              <w:spacing w:line="272" w:lineRule="exact" w:before="68"/>
              <w:ind w:left="108" w:right="204"/>
              <w:rPr>
                <w:sz w:val="21"/>
              </w:rPr>
            </w:pPr>
            <w:r>
              <w:rPr>
                <w:sz w:val="21"/>
              </w:rPr>
              <w:t>如何申请保险金</w:t>
            </w:r>
          </w:p>
        </w:tc>
        <w:tc>
          <w:tcPr>
            <w:tcW w:w="7003" w:type="dxa"/>
          </w:tcPr>
          <w:p>
            <w:pPr>
              <w:pStyle w:val="TableParagraph"/>
              <w:spacing w:line="272" w:lineRule="exact" w:before="65"/>
              <w:ind w:left="206" w:right="48"/>
              <w:rPr>
                <w:sz w:val="21"/>
              </w:rPr>
            </w:pPr>
            <w:r>
              <w:rPr>
                <w:rFonts w:ascii="Times New Roman" w:eastAsia="Times New Roman"/>
                <w:sz w:val="21"/>
              </w:rPr>
              <w:t>1</w:t>
            </w:r>
            <w:r>
              <w:rPr>
                <w:spacing w:val="-10"/>
                <w:sz w:val="21"/>
              </w:rPr>
              <w:t>、申请重大疾病保险金时，申请人须填写理赔申请书，并提供下列证明和</w:t>
            </w:r>
            <w:r>
              <w:rPr>
                <w:spacing w:val="-5"/>
                <w:sz w:val="21"/>
              </w:rPr>
              <w:t>资料原件：</w:t>
            </w:r>
          </w:p>
        </w:tc>
      </w:tr>
    </w:tbl>
    <w:p>
      <w:pPr>
        <w:pStyle w:val="ListParagraph"/>
        <w:numPr>
          <w:ilvl w:val="0"/>
          <w:numId w:val="4"/>
        </w:numPr>
        <w:tabs>
          <w:tab w:pos="3348" w:val="left" w:leader="none"/>
        </w:tabs>
        <w:spacing w:line="278" w:lineRule="exact" w:before="0" w:after="0"/>
        <w:ind w:left="3347" w:right="0" w:hanging="719"/>
        <w:jc w:val="left"/>
        <w:rPr>
          <w:sz w:val="21"/>
        </w:rPr>
      </w:pPr>
      <w:r>
        <w:rPr>
          <w:spacing w:val="-1"/>
          <w:sz w:val="21"/>
        </w:rPr>
        <w:t>保险合同；</w:t>
      </w:r>
    </w:p>
    <w:p>
      <w:pPr>
        <w:pStyle w:val="ListParagraph"/>
        <w:numPr>
          <w:ilvl w:val="0"/>
          <w:numId w:val="4"/>
        </w:numPr>
        <w:tabs>
          <w:tab w:pos="3348" w:val="left" w:leader="none"/>
        </w:tabs>
        <w:spacing w:line="274" w:lineRule="exact" w:before="0" w:after="0"/>
        <w:ind w:left="3347" w:right="0" w:hanging="719"/>
        <w:jc w:val="left"/>
        <w:rPr>
          <w:sz w:val="21"/>
        </w:rPr>
      </w:pPr>
      <w:r>
        <w:rPr>
          <w:spacing w:val="-3"/>
          <w:sz w:val="21"/>
        </w:rPr>
        <w:t>被保险人的有效身份证件；</w:t>
      </w:r>
    </w:p>
    <w:p>
      <w:pPr>
        <w:pStyle w:val="ListParagraph"/>
        <w:numPr>
          <w:ilvl w:val="0"/>
          <w:numId w:val="4"/>
        </w:numPr>
        <w:tabs>
          <w:tab w:pos="3348" w:val="left" w:leader="none"/>
        </w:tabs>
        <w:spacing w:line="223" w:lineRule="auto" w:before="11" w:after="0"/>
        <w:ind w:left="3347" w:right="161" w:hanging="719"/>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4"/>
        </w:numPr>
        <w:tabs>
          <w:tab w:pos="3348" w:val="left" w:leader="none"/>
        </w:tabs>
        <w:spacing w:line="225" w:lineRule="auto" w:before="15" w:after="0"/>
        <w:ind w:left="3347" w:right="163" w:hanging="719"/>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4"/>
        </w:numPr>
        <w:tabs>
          <w:tab w:pos="3359" w:val="left" w:leader="none"/>
          <w:tab w:pos="3360" w:val="left" w:leader="none"/>
        </w:tabs>
        <w:spacing w:line="223" w:lineRule="auto" w:before="18" w:after="0"/>
        <w:ind w:left="3359" w:right="163" w:hanging="732"/>
        <w:jc w:val="left"/>
        <w:rPr>
          <w:sz w:val="21"/>
        </w:rPr>
      </w:pPr>
      <w:r>
        <w:rPr>
          <w:sz w:val="21"/>
        </w:rPr>
        <w:t>所能提供的与确认保险事故的性质、原因等有关的其它证明和资料。</w:t>
      </w:r>
    </w:p>
    <w:p>
      <w:pPr>
        <w:pStyle w:val="BodyText"/>
        <w:spacing w:before="12"/>
        <w:rPr>
          <w:sz w:val="19"/>
        </w:rPr>
      </w:pPr>
    </w:p>
    <w:p>
      <w:pPr>
        <w:pStyle w:val="BodyText"/>
        <w:spacing w:line="223" w:lineRule="auto"/>
        <w:ind w:left="2627" w:right="163"/>
      </w:pPr>
      <w:r>
        <w:rPr>
          <w:rFonts w:ascii="Times New Roman" w:eastAsia="Times New Roman"/>
        </w:rPr>
        <w:t>2</w:t>
      </w:r>
      <w:r>
        <w:rPr>
          <w:spacing w:val="-10"/>
        </w:rPr>
        <w:t>、申请轻症疾病豁免保费时，申请人须填写理赔申请书，并提供下列证明</w:t>
      </w:r>
      <w:r>
        <w:rPr>
          <w:spacing w:val="-5"/>
        </w:rPr>
        <w:t>和资料原件：</w:t>
      </w:r>
    </w:p>
    <w:p>
      <w:pPr>
        <w:pStyle w:val="ListParagraph"/>
        <w:numPr>
          <w:ilvl w:val="0"/>
          <w:numId w:val="5"/>
        </w:numPr>
        <w:tabs>
          <w:tab w:pos="3348" w:val="left" w:leader="none"/>
        </w:tabs>
        <w:spacing w:line="281" w:lineRule="exact" w:before="0" w:after="0"/>
        <w:ind w:left="3347" w:right="0" w:hanging="720"/>
        <w:jc w:val="left"/>
        <w:rPr>
          <w:sz w:val="21"/>
        </w:rPr>
      </w:pPr>
      <w:r>
        <w:rPr>
          <w:spacing w:val="-1"/>
          <w:sz w:val="21"/>
        </w:rPr>
        <w:t>保险合同；</w:t>
      </w:r>
    </w:p>
    <w:p>
      <w:pPr>
        <w:pStyle w:val="ListParagraph"/>
        <w:numPr>
          <w:ilvl w:val="0"/>
          <w:numId w:val="5"/>
        </w:numPr>
        <w:tabs>
          <w:tab w:pos="3348" w:val="left" w:leader="none"/>
        </w:tabs>
        <w:spacing w:line="274" w:lineRule="exact" w:before="0" w:after="0"/>
        <w:ind w:left="3347" w:right="0" w:hanging="720"/>
        <w:jc w:val="left"/>
        <w:rPr>
          <w:sz w:val="21"/>
        </w:rPr>
      </w:pPr>
      <w:r>
        <w:rPr>
          <w:spacing w:val="-3"/>
          <w:sz w:val="21"/>
        </w:rPr>
        <w:t>被保险人的有效身份证件；</w:t>
      </w:r>
    </w:p>
    <w:p>
      <w:pPr>
        <w:pStyle w:val="ListParagraph"/>
        <w:numPr>
          <w:ilvl w:val="0"/>
          <w:numId w:val="5"/>
        </w:numPr>
        <w:tabs>
          <w:tab w:pos="3348" w:val="left" w:leader="none"/>
        </w:tabs>
        <w:spacing w:line="272" w:lineRule="exact" w:before="0" w:after="0"/>
        <w:ind w:left="3347" w:right="0" w:hanging="720"/>
        <w:jc w:val="left"/>
        <w:rPr>
          <w:sz w:val="21"/>
        </w:rPr>
      </w:pPr>
      <w:r>
        <w:rPr>
          <w:spacing w:val="-3"/>
          <w:sz w:val="21"/>
        </w:rPr>
        <w:t>投保人的有效身份证件，与被保险人的关系证明；</w:t>
      </w:r>
    </w:p>
    <w:p>
      <w:pPr>
        <w:pStyle w:val="ListParagraph"/>
        <w:numPr>
          <w:ilvl w:val="0"/>
          <w:numId w:val="5"/>
        </w:numPr>
        <w:tabs>
          <w:tab w:pos="3348" w:val="left" w:leader="none"/>
        </w:tabs>
        <w:spacing w:line="225" w:lineRule="auto" w:before="8" w:after="0"/>
        <w:ind w:left="3347" w:right="161" w:hanging="720"/>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5"/>
        </w:numPr>
        <w:tabs>
          <w:tab w:pos="3348" w:val="left" w:leader="none"/>
        </w:tabs>
        <w:spacing w:line="281" w:lineRule="exact" w:before="0" w:after="0"/>
        <w:ind w:left="3347" w:right="0" w:hanging="720"/>
        <w:jc w:val="left"/>
        <w:rPr>
          <w:sz w:val="21"/>
        </w:rPr>
      </w:pPr>
      <w:r>
        <w:rPr>
          <w:spacing w:val="-3"/>
          <w:sz w:val="21"/>
        </w:rPr>
        <w:t>本合同附表二所列相应轻症疾病中明确要求的其它医疗证明；</w:t>
      </w:r>
    </w:p>
    <w:p>
      <w:pPr>
        <w:pStyle w:val="ListParagraph"/>
        <w:numPr>
          <w:ilvl w:val="0"/>
          <w:numId w:val="5"/>
        </w:numPr>
        <w:tabs>
          <w:tab w:pos="3348" w:val="left" w:leader="none"/>
        </w:tabs>
        <w:spacing w:line="223" w:lineRule="auto" w:before="11" w:after="0"/>
        <w:ind w:left="3347" w:right="163" w:hanging="720"/>
        <w:jc w:val="left"/>
        <w:rPr>
          <w:sz w:val="21"/>
        </w:rPr>
      </w:pPr>
      <w:r>
        <w:rPr>
          <w:sz w:val="21"/>
        </w:rPr>
        <w:t>所能提供的与确认保险事故的性质、原因等有关的其它证明和资料。</w:t>
      </w:r>
    </w:p>
    <w:p>
      <w:pPr>
        <w:pStyle w:val="BodyText"/>
        <w:spacing w:before="7"/>
        <w:rPr>
          <w:sz w:val="18"/>
        </w:rPr>
      </w:pPr>
    </w:p>
    <w:p>
      <w:pPr>
        <w:pStyle w:val="BodyText"/>
        <w:spacing w:line="237" w:lineRule="auto"/>
        <w:ind w:left="2628" w:right="163"/>
      </w:pPr>
      <w:r>
        <w:rPr/>
        <w:t>保险金作为被保险人遗产时，申请人必须提供可证明合法继承权的相关权利文件。</w:t>
      </w:r>
    </w:p>
    <w:p>
      <w:pPr>
        <w:pStyle w:val="BodyText"/>
        <w:spacing w:before="7"/>
        <w:rPr>
          <w:sz w:val="18"/>
        </w:rPr>
      </w:pPr>
    </w:p>
    <w:p>
      <w:pPr>
        <w:pStyle w:val="BodyText"/>
        <w:spacing w:line="237" w:lineRule="auto"/>
        <w:ind w:left="2628" w:right="163"/>
      </w:pPr>
      <w:r>
        <w:rPr/>
        <w:t>以上证明和资料不完整的，我们将及时一次性通知申请人补充提供有关证明和资料。</w:t>
      </w:r>
    </w:p>
    <w:p>
      <w:pPr>
        <w:pStyle w:val="BodyText"/>
        <w:rPr>
          <w:sz w:val="20"/>
        </w:rPr>
      </w:pPr>
    </w:p>
    <w:p>
      <w:pPr>
        <w:pStyle w:val="BodyText"/>
        <w:spacing w:before="10"/>
        <w:rPr>
          <w:sz w:val="17"/>
        </w:rPr>
      </w:pPr>
    </w:p>
    <w:p>
      <w:pPr>
        <w:pStyle w:val="BodyText"/>
        <w:spacing w:line="230" w:lineRule="auto"/>
        <w:ind w:left="2627" w:right="16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600" w:bottom="280" w:left="1320" w:right="1040"/>
        </w:sectPr>
      </w:pPr>
    </w:p>
    <w:p>
      <w:pPr>
        <w:pStyle w:val="BodyText"/>
        <w:spacing w:before="12"/>
        <w:rPr>
          <w:sz w:val="16"/>
        </w:rPr>
      </w:pPr>
    </w:p>
    <w:p>
      <w:pPr>
        <w:pStyle w:val="BodyText"/>
        <w:spacing w:line="281" w:lineRule="exact"/>
        <w:ind w:left="103"/>
      </w:pPr>
      <w:r>
        <w:rPr/>
        <w:t>第 </w:t>
      </w:r>
      <w:r>
        <w:rPr>
          <w:rFonts w:ascii="Times New Roman" w:eastAsia="Times New Roman"/>
          <w:b/>
        </w:rPr>
        <w:t>6 </w:t>
      </w:r>
      <w:r>
        <w:rPr/>
        <w:t>章 附加合同效力的</w:t>
      </w:r>
    </w:p>
    <w:p>
      <w:pPr>
        <w:pStyle w:val="BodyText"/>
        <w:spacing w:line="265" w:lineRule="exact"/>
        <w:ind w:left="842" w:right="1113"/>
        <w:jc w:val="center"/>
      </w:pPr>
      <w:r>
        <w:rPr/>
        <w:t>终止</w:t>
      </w:r>
    </w:p>
    <w:p>
      <w:pPr>
        <w:pStyle w:val="BodyText"/>
        <w:spacing w:before="9"/>
        <w:rPr>
          <w:sz w:val="16"/>
        </w:rPr>
      </w:pPr>
      <w:r>
        <w:rPr/>
        <w:br w:type="column"/>
      </w:r>
      <w:r>
        <w:rPr>
          <w:sz w:val="16"/>
        </w:rPr>
      </w:r>
    </w:p>
    <w:p>
      <w:pPr>
        <w:pStyle w:val="BodyText"/>
        <w:ind w:left="103"/>
      </w:pPr>
      <w:r>
        <w:rPr/>
        <w:t>发生下列任何一种情形时，本附加合同终止：</w:t>
      </w:r>
    </w:p>
    <w:p>
      <w:pPr>
        <w:pStyle w:val="BodyText"/>
        <w:spacing w:before="1"/>
        <w:rPr>
          <w:sz w:val="19"/>
        </w:rPr>
      </w:pPr>
    </w:p>
    <w:p>
      <w:pPr>
        <w:pStyle w:val="BodyText"/>
        <w:spacing w:line="230" w:lineRule="auto"/>
        <w:ind w:left="527" w:right="16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81" w:lineRule="exact"/>
        <w:ind w:left="155"/>
      </w:pPr>
      <w:r>
        <w:rPr>
          <w:rFonts w:ascii="Times New Roman" w:eastAsia="Times New Roman"/>
        </w:rPr>
        <w:t>2</w:t>
      </w:r>
      <w:r>
        <w:rPr/>
        <w:t>、 主合同终止；</w:t>
      </w:r>
    </w:p>
    <w:p>
      <w:pPr>
        <w:pStyle w:val="BodyText"/>
        <w:spacing w:line="282" w:lineRule="exact"/>
        <w:ind w:left="155"/>
      </w:pPr>
      <w:r>
        <w:rPr>
          <w:rFonts w:ascii="Times New Roman" w:eastAsia="Times New Roman"/>
        </w:rPr>
        <w:t>3</w:t>
      </w:r>
      <w:r>
        <w:rPr/>
        <w:t>、 因本附加合同其它条款或主合同条款所列情况而终止。</w:t>
      </w:r>
    </w:p>
    <w:p>
      <w:pPr>
        <w:spacing w:after="0" w:line="282" w:lineRule="exact"/>
        <w:sectPr>
          <w:type w:val="continuous"/>
          <w:pgSz w:w="11900" w:h="16840"/>
          <w:pgMar w:top="1220" w:bottom="280" w:left="1320" w:right="1040"/>
          <w:cols w:num="2" w:equalWidth="0">
            <w:col w:w="2415" w:space="57"/>
            <w:col w:w="7068"/>
          </w:cols>
        </w:sectPr>
      </w:pPr>
    </w:p>
    <w:p>
      <w:pPr>
        <w:pStyle w:val="BodyText"/>
        <w:rPr>
          <w:sz w:val="20"/>
        </w:rPr>
      </w:pPr>
    </w:p>
    <w:p>
      <w:pPr>
        <w:pStyle w:val="BodyText"/>
        <w:spacing w:before="7"/>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spacing w:after="0"/>
        <w:sectPr>
          <w:type w:val="continuous"/>
          <w:pgSz w:w="11900" w:h="16840"/>
          <w:pgMar w:top="1220" w:bottom="280" w:left="1320" w:right="10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659"/>
        <w:gridCol w:w="7032"/>
      </w:tblGrid>
      <w:tr>
        <w:trPr>
          <w:trHeight w:val="265" w:hRule="atLeast"/>
        </w:trPr>
        <w:tc>
          <w:tcPr>
            <w:tcW w:w="528" w:type="dxa"/>
          </w:tcPr>
          <w:p>
            <w:pPr>
              <w:pStyle w:val="TableParagraph"/>
              <w:spacing w:line="234" w:lineRule="exact"/>
              <w:ind w:right="106"/>
              <w:jc w:val="right"/>
              <w:rPr>
                <w:rFonts w:ascii="Times New Roman"/>
                <w:b/>
                <w:sz w:val="21"/>
              </w:rPr>
            </w:pPr>
            <w:r>
              <w:rPr>
                <w:rFonts w:ascii="Times New Roman"/>
                <w:b/>
                <w:sz w:val="21"/>
              </w:rPr>
              <w:t>7.1</w:t>
            </w:r>
          </w:p>
        </w:tc>
        <w:tc>
          <w:tcPr>
            <w:tcW w:w="1659" w:type="dxa"/>
          </w:tcPr>
          <w:p>
            <w:pPr>
              <w:pStyle w:val="TableParagraph"/>
              <w:spacing w:line="237" w:lineRule="exact"/>
              <w:ind w:left="107"/>
              <w:rPr>
                <w:sz w:val="21"/>
              </w:rPr>
            </w:pPr>
            <w:r>
              <w:rPr>
                <w:sz w:val="21"/>
              </w:rPr>
              <w:t>周岁：</w:t>
            </w:r>
          </w:p>
        </w:tc>
        <w:tc>
          <w:tcPr>
            <w:tcW w:w="7032" w:type="dxa"/>
          </w:tcPr>
          <w:p>
            <w:pPr>
              <w:pStyle w:val="TableParagraph"/>
              <w:spacing w:line="235" w:lineRule="exact"/>
              <w:ind w:left="126"/>
              <w:rPr>
                <w:sz w:val="21"/>
              </w:rPr>
            </w:pPr>
            <w:r>
              <w:rPr>
                <w:spacing w:val="-7"/>
                <w:sz w:val="21"/>
              </w:rPr>
              <w:t>指按有效身份证件中记载的出生日期计算的年龄，自出生之日起为零周岁，</w:t>
            </w:r>
          </w:p>
        </w:tc>
      </w:tr>
      <w:tr>
        <w:trPr>
          <w:trHeight w:val="380"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0" w:lineRule="exact"/>
              <w:ind w:left="126"/>
              <w:rPr>
                <w:sz w:val="21"/>
              </w:rPr>
            </w:pPr>
            <w:r>
              <w:rPr>
                <w:sz w:val="21"/>
              </w:rPr>
              <w:t>每经过一年增加一岁，不足一年的不计。</w:t>
            </w:r>
          </w:p>
        </w:tc>
      </w:tr>
      <w:tr>
        <w:trPr>
          <w:trHeight w:val="515" w:hRule="atLeast"/>
        </w:trPr>
        <w:tc>
          <w:tcPr>
            <w:tcW w:w="528" w:type="dxa"/>
          </w:tcPr>
          <w:p>
            <w:pPr>
              <w:pStyle w:val="TableParagraph"/>
              <w:spacing w:before="132"/>
              <w:ind w:right="106"/>
              <w:jc w:val="right"/>
              <w:rPr>
                <w:rFonts w:ascii="Times New Roman"/>
                <w:b/>
                <w:sz w:val="21"/>
              </w:rPr>
            </w:pPr>
            <w:r>
              <w:rPr>
                <w:rFonts w:ascii="Times New Roman"/>
                <w:b/>
                <w:sz w:val="21"/>
              </w:rPr>
              <w:t>7.2</w:t>
            </w:r>
          </w:p>
        </w:tc>
        <w:tc>
          <w:tcPr>
            <w:tcW w:w="1659" w:type="dxa"/>
          </w:tcPr>
          <w:p>
            <w:pPr>
              <w:pStyle w:val="TableParagraph"/>
              <w:spacing w:before="102"/>
              <w:ind w:left="107"/>
              <w:rPr>
                <w:sz w:val="21"/>
              </w:rPr>
            </w:pPr>
            <w:r>
              <w:rPr>
                <w:sz w:val="21"/>
              </w:rPr>
              <w:t>重大疾病：</w:t>
            </w:r>
          </w:p>
        </w:tc>
        <w:tc>
          <w:tcPr>
            <w:tcW w:w="7032" w:type="dxa"/>
          </w:tcPr>
          <w:p>
            <w:pPr>
              <w:pStyle w:val="TableParagraph"/>
              <w:spacing w:before="100"/>
              <w:ind w:left="135"/>
              <w:rPr>
                <w:sz w:val="21"/>
              </w:rPr>
            </w:pPr>
            <w:r>
              <w:rPr>
                <w:sz w:val="21"/>
              </w:rPr>
              <w:t>指符合本附加合同附表一中所列的任何一种疾病定义所述条件的疾病。</w:t>
            </w:r>
          </w:p>
        </w:tc>
      </w:tr>
      <w:tr>
        <w:trPr>
          <w:trHeight w:val="513" w:hRule="atLeast"/>
        </w:trPr>
        <w:tc>
          <w:tcPr>
            <w:tcW w:w="528" w:type="dxa"/>
          </w:tcPr>
          <w:p>
            <w:pPr>
              <w:pStyle w:val="TableParagraph"/>
              <w:spacing w:before="130"/>
              <w:ind w:right="106"/>
              <w:jc w:val="right"/>
              <w:rPr>
                <w:rFonts w:ascii="Times New Roman"/>
                <w:b/>
                <w:sz w:val="21"/>
              </w:rPr>
            </w:pPr>
            <w:r>
              <w:rPr>
                <w:rFonts w:ascii="Times New Roman"/>
                <w:b/>
                <w:sz w:val="21"/>
              </w:rPr>
              <w:t>7.3</w:t>
            </w:r>
          </w:p>
        </w:tc>
        <w:tc>
          <w:tcPr>
            <w:tcW w:w="1659" w:type="dxa"/>
          </w:tcPr>
          <w:p>
            <w:pPr>
              <w:pStyle w:val="TableParagraph"/>
              <w:spacing w:before="100"/>
              <w:ind w:left="107"/>
              <w:rPr>
                <w:sz w:val="21"/>
              </w:rPr>
            </w:pPr>
            <w:r>
              <w:rPr>
                <w:sz w:val="21"/>
              </w:rPr>
              <w:t>轻症疾病：</w:t>
            </w:r>
          </w:p>
        </w:tc>
        <w:tc>
          <w:tcPr>
            <w:tcW w:w="7032" w:type="dxa"/>
          </w:tcPr>
          <w:p>
            <w:pPr>
              <w:pStyle w:val="TableParagraph"/>
              <w:spacing w:before="98"/>
              <w:ind w:left="135"/>
              <w:rPr>
                <w:sz w:val="21"/>
              </w:rPr>
            </w:pPr>
            <w:r>
              <w:rPr>
                <w:sz w:val="21"/>
              </w:rPr>
              <w:t>指符合本附加合同附表二中所列的任何一种疾病定义所述条件的疾病。</w:t>
            </w:r>
          </w:p>
        </w:tc>
      </w:tr>
      <w:tr>
        <w:trPr>
          <w:trHeight w:val="405" w:hRule="atLeast"/>
        </w:trPr>
        <w:tc>
          <w:tcPr>
            <w:tcW w:w="528" w:type="dxa"/>
          </w:tcPr>
          <w:p>
            <w:pPr>
              <w:pStyle w:val="TableParagraph"/>
              <w:spacing w:before="130"/>
              <w:ind w:right="106"/>
              <w:jc w:val="right"/>
              <w:rPr>
                <w:rFonts w:ascii="Times New Roman"/>
                <w:b/>
                <w:sz w:val="21"/>
              </w:rPr>
            </w:pPr>
            <w:r>
              <w:rPr>
                <w:rFonts w:ascii="Times New Roman"/>
                <w:b/>
                <w:sz w:val="21"/>
              </w:rPr>
              <w:t>7.4</w:t>
            </w:r>
          </w:p>
        </w:tc>
        <w:tc>
          <w:tcPr>
            <w:tcW w:w="1659" w:type="dxa"/>
          </w:tcPr>
          <w:p>
            <w:pPr>
              <w:pStyle w:val="TableParagraph"/>
              <w:spacing w:before="100"/>
              <w:ind w:left="107"/>
              <w:rPr>
                <w:sz w:val="21"/>
              </w:rPr>
            </w:pPr>
            <w:r>
              <w:rPr>
                <w:sz w:val="21"/>
              </w:rPr>
              <w:t>意外伤害事故：</w:t>
            </w:r>
          </w:p>
        </w:tc>
        <w:tc>
          <w:tcPr>
            <w:tcW w:w="7032" w:type="dxa"/>
          </w:tcPr>
          <w:p>
            <w:pPr>
              <w:pStyle w:val="TableParagraph"/>
              <w:spacing w:before="98"/>
              <w:ind w:left="126"/>
              <w:rPr>
                <w:sz w:val="21"/>
              </w:rPr>
            </w:pPr>
            <w:r>
              <w:rPr>
                <w:sz w:val="21"/>
              </w:rPr>
              <w:t>指外来的、不可预知的、突发的、非本意的、非由疾病引起的使身体受到</w:t>
            </w:r>
          </w:p>
        </w:tc>
      </w:tr>
      <w:tr>
        <w:trPr>
          <w:trHeight w:val="380"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1" w:lineRule="exact"/>
              <w:ind w:left="126"/>
              <w:rPr>
                <w:sz w:val="21"/>
              </w:rPr>
            </w:pPr>
            <w:r>
              <w:rPr>
                <w:sz w:val="21"/>
              </w:rPr>
              <w:t>伤害的客观事件。</w:t>
            </w:r>
          </w:p>
        </w:tc>
      </w:tr>
      <w:tr>
        <w:trPr>
          <w:trHeight w:val="1606" w:hRule="atLeast"/>
        </w:trPr>
        <w:tc>
          <w:tcPr>
            <w:tcW w:w="528" w:type="dxa"/>
          </w:tcPr>
          <w:p>
            <w:pPr>
              <w:pStyle w:val="TableParagraph"/>
              <w:spacing w:before="131"/>
              <w:ind w:right="106"/>
              <w:jc w:val="right"/>
              <w:rPr>
                <w:rFonts w:ascii="Times New Roman"/>
                <w:b/>
                <w:sz w:val="21"/>
              </w:rPr>
            </w:pPr>
            <w:r>
              <w:rPr>
                <w:rFonts w:ascii="Times New Roman"/>
                <w:b/>
                <w:sz w:val="21"/>
              </w:rPr>
              <w:t>7.5</w:t>
            </w:r>
          </w:p>
        </w:tc>
        <w:tc>
          <w:tcPr>
            <w:tcW w:w="1659" w:type="dxa"/>
          </w:tcPr>
          <w:p>
            <w:pPr>
              <w:pStyle w:val="TableParagraph"/>
              <w:spacing w:before="101"/>
              <w:ind w:left="107"/>
              <w:rPr>
                <w:sz w:val="21"/>
              </w:rPr>
            </w:pPr>
            <w:r>
              <w:rPr>
                <w:sz w:val="21"/>
              </w:rPr>
              <w:t>专科医生：</w:t>
            </w:r>
          </w:p>
        </w:tc>
        <w:tc>
          <w:tcPr>
            <w:tcW w:w="7032" w:type="dxa"/>
          </w:tcPr>
          <w:p>
            <w:pPr>
              <w:pStyle w:val="TableParagraph"/>
              <w:spacing w:line="225" w:lineRule="auto" w:before="116"/>
              <w:ind w:left="126" w:right="15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tc>
      </w:tr>
      <w:tr>
        <w:trPr>
          <w:trHeight w:val="406" w:hRule="atLeast"/>
        </w:trPr>
        <w:tc>
          <w:tcPr>
            <w:tcW w:w="528" w:type="dxa"/>
          </w:tcPr>
          <w:p>
            <w:pPr>
              <w:pStyle w:val="TableParagraph"/>
              <w:spacing w:before="132"/>
              <w:ind w:right="106"/>
              <w:jc w:val="right"/>
              <w:rPr>
                <w:rFonts w:ascii="Times New Roman"/>
                <w:b/>
                <w:sz w:val="21"/>
              </w:rPr>
            </w:pPr>
            <w:r>
              <w:rPr>
                <w:rFonts w:ascii="Times New Roman"/>
                <w:b/>
                <w:sz w:val="21"/>
              </w:rPr>
              <w:t>7.6</w:t>
            </w:r>
          </w:p>
        </w:tc>
        <w:tc>
          <w:tcPr>
            <w:tcW w:w="1659" w:type="dxa"/>
          </w:tcPr>
          <w:p>
            <w:pPr>
              <w:pStyle w:val="TableParagraph"/>
              <w:spacing w:before="102"/>
              <w:ind w:left="107"/>
              <w:rPr>
                <w:sz w:val="21"/>
              </w:rPr>
            </w:pPr>
            <w:r>
              <w:rPr>
                <w:sz w:val="21"/>
              </w:rPr>
              <w:t>毒品：</w:t>
            </w:r>
          </w:p>
        </w:tc>
        <w:tc>
          <w:tcPr>
            <w:tcW w:w="7032" w:type="dxa"/>
          </w:tcPr>
          <w:p>
            <w:pPr>
              <w:pStyle w:val="TableParagraph"/>
              <w:spacing w:before="100"/>
              <w:ind w:left="126"/>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0" w:lineRule="exact"/>
              <w:ind w:left="126"/>
              <w:rPr>
                <w:sz w:val="21"/>
              </w:rPr>
            </w:pPr>
            <w:r>
              <w:rPr>
                <w:sz w:val="21"/>
              </w:rPr>
              <w:t>啡、大麻、可卡因以及国家规定管制的其它能够使人形成瘾癖的麻醉药品</w:t>
            </w:r>
          </w:p>
        </w:tc>
      </w:tr>
      <w:tr>
        <w:trPr>
          <w:trHeight w:val="273"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2" w:lineRule="exact"/>
              <w:ind w:left="126"/>
              <w:rPr>
                <w:sz w:val="21"/>
              </w:rPr>
            </w:pPr>
            <w:r>
              <w:rPr>
                <w:sz w:val="21"/>
              </w:rPr>
              <w:t>和精神药品，但不包括由医生开具并遵医嘱使用的用于治疗疾病但含有毒</w:t>
            </w:r>
          </w:p>
        </w:tc>
      </w:tr>
      <w:tr>
        <w:trPr>
          <w:trHeight w:val="38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2" w:lineRule="exact"/>
              <w:ind w:left="126"/>
              <w:rPr>
                <w:sz w:val="21"/>
              </w:rPr>
            </w:pPr>
            <w:r>
              <w:rPr>
                <w:sz w:val="21"/>
              </w:rPr>
              <w:t>品成分的处方药品。</w:t>
            </w:r>
          </w:p>
        </w:tc>
      </w:tr>
      <w:tr>
        <w:trPr>
          <w:trHeight w:val="406" w:hRule="atLeast"/>
        </w:trPr>
        <w:tc>
          <w:tcPr>
            <w:tcW w:w="528" w:type="dxa"/>
          </w:tcPr>
          <w:p>
            <w:pPr>
              <w:pStyle w:val="TableParagraph"/>
              <w:spacing w:before="131"/>
              <w:ind w:right="106"/>
              <w:jc w:val="right"/>
              <w:rPr>
                <w:rFonts w:ascii="Times New Roman"/>
                <w:b/>
                <w:sz w:val="21"/>
              </w:rPr>
            </w:pPr>
            <w:r>
              <w:rPr>
                <w:rFonts w:ascii="Times New Roman"/>
                <w:b/>
                <w:sz w:val="21"/>
              </w:rPr>
              <w:t>7.7</w:t>
            </w:r>
          </w:p>
        </w:tc>
        <w:tc>
          <w:tcPr>
            <w:tcW w:w="1659" w:type="dxa"/>
          </w:tcPr>
          <w:p>
            <w:pPr>
              <w:pStyle w:val="TableParagraph"/>
              <w:spacing w:before="101"/>
              <w:ind w:left="107"/>
              <w:rPr>
                <w:sz w:val="21"/>
              </w:rPr>
            </w:pPr>
            <w:r>
              <w:rPr>
                <w:sz w:val="21"/>
              </w:rPr>
              <w:t>酒后驾驶：</w:t>
            </w:r>
          </w:p>
        </w:tc>
        <w:tc>
          <w:tcPr>
            <w:tcW w:w="7032" w:type="dxa"/>
          </w:tcPr>
          <w:p>
            <w:pPr>
              <w:pStyle w:val="TableParagraph"/>
              <w:spacing w:before="99"/>
              <w:ind w:left="126"/>
              <w:rPr>
                <w:sz w:val="21"/>
              </w:rPr>
            </w:pPr>
            <w:r>
              <w:rPr>
                <w:sz w:val="21"/>
              </w:rPr>
              <w:t>指经检测或鉴定，发生事故时车辆驾驶人员每百毫升血液中的酒精含量达</w:t>
            </w:r>
          </w:p>
        </w:tc>
      </w:tr>
      <w:tr>
        <w:trPr>
          <w:trHeight w:val="272"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1" w:lineRule="exact"/>
              <w:ind w:left="126"/>
              <w:rPr>
                <w:sz w:val="21"/>
              </w:rPr>
            </w:pPr>
            <w:r>
              <w:rPr>
                <w:sz w:val="21"/>
              </w:rPr>
              <w:t>到或超过一定的标准，公安机关交通管理部门依据《中华人民共和国道路</w:t>
            </w:r>
          </w:p>
        </w:tc>
      </w:tr>
      <w:tr>
        <w:trPr>
          <w:trHeight w:val="38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42" w:lineRule="exact"/>
              <w:ind w:left="126"/>
              <w:rPr>
                <w:sz w:val="21"/>
              </w:rPr>
            </w:pPr>
            <w:r>
              <w:rPr>
                <w:sz w:val="21"/>
              </w:rPr>
              <w:t>交通安全法》的规定认定为饮酒后驾驶或醉酒后驾驶。</w:t>
            </w:r>
          </w:p>
        </w:tc>
      </w:tr>
      <w:tr>
        <w:trPr>
          <w:trHeight w:val="403" w:hRule="atLeast"/>
        </w:trPr>
        <w:tc>
          <w:tcPr>
            <w:tcW w:w="528" w:type="dxa"/>
          </w:tcPr>
          <w:p>
            <w:pPr>
              <w:pStyle w:val="TableParagraph"/>
              <w:spacing w:before="131"/>
              <w:ind w:right="106"/>
              <w:jc w:val="right"/>
              <w:rPr>
                <w:rFonts w:ascii="Times New Roman"/>
                <w:b/>
                <w:sz w:val="21"/>
              </w:rPr>
            </w:pPr>
            <w:r>
              <w:rPr>
                <w:rFonts w:ascii="Times New Roman"/>
                <w:b/>
                <w:sz w:val="21"/>
              </w:rPr>
              <w:t>7.8</w:t>
            </w:r>
          </w:p>
        </w:tc>
        <w:tc>
          <w:tcPr>
            <w:tcW w:w="1659" w:type="dxa"/>
          </w:tcPr>
          <w:p>
            <w:pPr>
              <w:pStyle w:val="TableParagraph"/>
              <w:spacing w:before="101"/>
              <w:ind w:left="107"/>
              <w:rPr>
                <w:sz w:val="21"/>
              </w:rPr>
            </w:pPr>
            <w:r>
              <w:rPr>
                <w:spacing w:val="-33"/>
                <w:sz w:val="21"/>
              </w:rPr>
              <w:t>无 合 法 有 效 驾</w:t>
            </w:r>
          </w:p>
        </w:tc>
        <w:tc>
          <w:tcPr>
            <w:tcW w:w="7032" w:type="dxa"/>
          </w:tcPr>
          <w:p>
            <w:pPr>
              <w:pStyle w:val="TableParagraph"/>
              <w:spacing w:before="99"/>
              <w:ind w:left="126"/>
              <w:rPr>
                <w:sz w:val="21"/>
              </w:rPr>
            </w:pPr>
            <w:r>
              <w:rPr>
                <w:sz w:val="21"/>
              </w:rPr>
              <w:t>指下列情形之一：</w:t>
            </w:r>
          </w:p>
        </w:tc>
      </w:tr>
      <w:tr>
        <w:trPr>
          <w:trHeight w:val="1102" w:hRule="atLeast"/>
        </w:trPr>
        <w:tc>
          <w:tcPr>
            <w:tcW w:w="528" w:type="dxa"/>
          </w:tcPr>
          <w:p>
            <w:pPr>
              <w:pStyle w:val="TableParagraph"/>
              <w:rPr>
                <w:rFonts w:ascii="Times New Roman"/>
                <w:sz w:val="20"/>
              </w:rPr>
            </w:pPr>
          </w:p>
        </w:tc>
        <w:tc>
          <w:tcPr>
            <w:tcW w:w="1659" w:type="dxa"/>
          </w:tcPr>
          <w:p>
            <w:pPr>
              <w:pStyle w:val="TableParagraph"/>
              <w:spacing w:line="247" w:lineRule="exact"/>
              <w:ind w:left="107"/>
              <w:rPr>
                <w:sz w:val="21"/>
              </w:rPr>
            </w:pPr>
            <w:r>
              <w:rPr>
                <w:sz w:val="21"/>
              </w:rPr>
              <w:t>驶证驾驶：</w:t>
            </w:r>
          </w:p>
        </w:tc>
        <w:tc>
          <w:tcPr>
            <w:tcW w:w="7032" w:type="dxa"/>
          </w:tcPr>
          <w:p>
            <w:pPr>
              <w:pStyle w:val="TableParagraph"/>
              <w:spacing w:line="251" w:lineRule="exact"/>
              <w:ind w:left="126"/>
              <w:rPr>
                <w:sz w:val="21"/>
              </w:rPr>
            </w:pPr>
            <w:r>
              <w:rPr>
                <w:rFonts w:ascii="Times New Roman" w:eastAsia="Times New Roman"/>
                <w:sz w:val="21"/>
              </w:rPr>
              <w:t>1</w:t>
            </w:r>
            <w:r>
              <w:rPr>
                <w:sz w:val="21"/>
              </w:rPr>
              <w:t>、没有取得驾驶资格；</w:t>
            </w:r>
          </w:p>
          <w:p>
            <w:pPr>
              <w:pStyle w:val="TableParagraph"/>
              <w:spacing w:line="272" w:lineRule="exact"/>
              <w:ind w:left="126"/>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26"/>
              <w:rPr>
                <w:sz w:val="21"/>
              </w:rPr>
            </w:pPr>
            <w:r>
              <w:rPr>
                <w:rFonts w:ascii="Times New Roman" w:eastAsia="Times New Roman"/>
                <w:sz w:val="21"/>
              </w:rPr>
              <w:t>3</w:t>
            </w:r>
            <w:r>
              <w:rPr>
                <w:sz w:val="21"/>
              </w:rPr>
              <w:t>、持审验不合格的驾驶证驾驶；</w:t>
            </w:r>
          </w:p>
          <w:p>
            <w:pPr>
              <w:pStyle w:val="TableParagraph"/>
              <w:spacing w:line="282" w:lineRule="exact"/>
              <w:ind w:left="126"/>
              <w:rPr>
                <w:sz w:val="21"/>
              </w:rPr>
            </w:pPr>
            <w:r>
              <w:rPr>
                <w:rFonts w:ascii="Times New Roman" w:eastAsia="Times New Roman"/>
                <w:sz w:val="21"/>
              </w:rPr>
              <w:t>4</w:t>
            </w:r>
            <w:r>
              <w:rPr>
                <w:sz w:val="21"/>
              </w:rPr>
              <w:t>、持学习驾驶证学习驾车时，无教练员随车指导，或不按指定时间、路线</w:t>
            </w:r>
          </w:p>
        </w:tc>
      </w:tr>
      <w:tr>
        <w:trPr>
          <w:trHeight w:val="373"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34" w:lineRule="exact"/>
              <w:ind w:left="440"/>
              <w:rPr>
                <w:sz w:val="21"/>
              </w:rPr>
            </w:pPr>
            <w:r>
              <w:rPr>
                <w:sz w:val="21"/>
              </w:rPr>
              <w:t>学习驾车。</w:t>
            </w:r>
          </w:p>
        </w:tc>
      </w:tr>
      <w:tr>
        <w:trPr>
          <w:trHeight w:val="403" w:hRule="atLeast"/>
        </w:trPr>
        <w:tc>
          <w:tcPr>
            <w:tcW w:w="528" w:type="dxa"/>
          </w:tcPr>
          <w:p>
            <w:pPr>
              <w:pStyle w:val="TableParagraph"/>
              <w:spacing w:before="131"/>
              <w:ind w:right="106"/>
              <w:jc w:val="right"/>
              <w:rPr>
                <w:rFonts w:ascii="Times New Roman"/>
                <w:b/>
                <w:sz w:val="21"/>
              </w:rPr>
            </w:pPr>
            <w:r>
              <w:rPr>
                <w:rFonts w:ascii="Times New Roman"/>
                <w:b/>
                <w:sz w:val="21"/>
              </w:rPr>
              <w:t>7.9</w:t>
            </w:r>
          </w:p>
        </w:tc>
        <w:tc>
          <w:tcPr>
            <w:tcW w:w="1659" w:type="dxa"/>
          </w:tcPr>
          <w:p>
            <w:pPr>
              <w:pStyle w:val="TableParagraph"/>
              <w:spacing w:before="101"/>
              <w:ind w:left="107"/>
              <w:rPr>
                <w:sz w:val="21"/>
              </w:rPr>
            </w:pPr>
            <w:r>
              <w:rPr>
                <w:sz w:val="21"/>
              </w:rPr>
              <w:t>无有效行驶证：</w:t>
            </w:r>
          </w:p>
        </w:tc>
        <w:tc>
          <w:tcPr>
            <w:tcW w:w="7032" w:type="dxa"/>
          </w:tcPr>
          <w:p>
            <w:pPr>
              <w:pStyle w:val="TableParagraph"/>
              <w:spacing w:before="99"/>
              <w:ind w:left="126"/>
              <w:rPr>
                <w:sz w:val="21"/>
              </w:rPr>
            </w:pPr>
            <w:r>
              <w:rPr>
                <w:sz w:val="21"/>
              </w:rPr>
              <w:t>指下列情形之一：</w:t>
            </w:r>
          </w:p>
        </w:tc>
      </w:tr>
      <w:tr>
        <w:trPr>
          <w:trHeight w:val="664"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7032" w:type="dxa"/>
          </w:tcPr>
          <w:p>
            <w:pPr>
              <w:pStyle w:val="TableParagraph"/>
              <w:spacing w:line="251" w:lineRule="exact"/>
              <w:ind w:left="126"/>
              <w:rPr>
                <w:sz w:val="21"/>
              </w:rPr>
            </w:pPr>
            <w:r>
              <w:rPr>
                <w:rFonts w:ascii="Times New Roman" w:eastAsia="Times New Roman"/>
                <w:sz w:val="21"/>
              </w:rPr>
              <w:t>1</w:t>
            </w:r>
            <w:r>
              <w:rPr>
                <w:sz w:val="21"/>
              </w:rPr>
              <w:t>、机动车被依法注销登记的；</w:t>
            </w:r>
          </w:p>
          <w:p>
            <w:pPr>
              <w:pStyle w:val="TableParagraph"/>
              <w:spacing w:line="281" w:lineRule="exact"/>
              <w:ind w:left="126"/>
              <w:rPr>
                <w:sz w:val="21"/>
              </w:rPr>
            </w:pPr>
            <w:r>
              <w:rPr>
                <w:rFonts w:ascii="Times New Roman" w:eastAsia="Times New Roman"/>
                <w:sz w:val="21"/>
              </w:rPr>
              <w:t>2</w:t>
            </w:r>
            <w:r>
              <w:rPr>
                <w:sz w:val="21"/>
              </w:rPr>
              <w:t>、未依法按时进行或通过机动车安全技术检验。</w:t>
            </w:r>
          </w:p>
        </w:tc>
      </w:tr>
      <w:tr>
        <w:trPr>
          <w:trHeight w:val="654" w:hRule="atLeast"/>
        </w:trPr>
        <w:tc>
          <w:tcPr>
            <w:tcW w:w="528" w:type="dxa"/>
          </w:tcPr>
          <w:p>
            <w:pPr>
              <w:pStyle w:val="TableParagraph"/>
              <w:spacing w:before="125"/>
              <w:ind w:right="106"/>
              <w:jc w:val="right"/>
              <w:rPr>
                <w:rFonts w:ascii="Times New Roman"/>
                <w:b/>
                <w:sz w:val="21"/>
              </w:rPr>
            </w:pPr>
            <w:r>
              <w:rPr>
                <w:rFonts w:ascii="Times New Roman"/>
                <w:b/>
                <w:sz w:val="21"/>
              </w:rPr>
              <w:t>7.10</w:t>
            </w:r>
          </w:p>
        </w:tc>
        <w:tc>
          <w:tcPr>
            <w:tcW w:w="1659" w:type="dxa"/>
          </w:tcPr>
          <w:p>
            <w:pPr>
              <w:pStyle w:val="TableParagraph"/>
              <w:spacing w:line="272" w:lineRule="exact" w:before="122"/>
              <w:ind w:left="107" w:right="83"/>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7032" w:type="dxa"/>
          </w:tcPr>
          <w:p>
            <w:pPr>
              <w:pStyle w:val="TableParagraph"/>
              <w:spacing w:line="272" w:lineRule="exact" w:before="120"/>
              <w:ind w:left="73" w:right="155"/>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before="12"/>
        <w:ind w:left="2375" w:right="15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6"/>
        </w:numPr>
        <w:tabs>
          <w:tab w:pos="750" w:val="left" w:leader="none"/>
          <w:tab w:pos="751" w:val="left" w:leader="none"/>
          <w:tab w:pos="2375" w:val="left" w:leader="none"/>
        </w:tabs>
        <w:spacing w:line="237" w:lineRule="auto" w:before="0" w:after="0"/>
        <w:ind w:left="2375" w:right="26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300" w:bottom="280" w:left="1520" w:right="940"/>
        </w:sectPr>
      </w:pPr>
    </w:p>
    <w:p>
      <w:pPr>
        <w:pStyle w:val="ListParagraph"/>
        <w:numPr>
          <w:ilvl w:val="1"/>
          <w:numId w:val="6"/>
        </w:numPr>
        <w:tabs>
          <w:tab w:pos="751" w:val="left" w:leader="none"/>
        </w:tabs>
        <w:spacing w:line="240" w:lineRule="auto" w:before="62" w:after="0"/>
        <w:ind w:left="750" w:right="0" w:hanging="586"/>
        <w:jc w:val="both"/>
        <w:rPr>
          <w:sz w:val="21"/>
        </w:rPr>
      </w:pPr>
      <w:r>
        <w:rPr>
          <w:spacing w:val="-3"/>
          <w:sz w:val="21"/>
        </w:rPr>
        <w:t>先天性畸形、变</w:t>
      </w:r>
      <w:r>
        <w:rPr>
          <w:spacing w:val="-33"/>
          <w:sz w:val="21"/>
        </w:rPr>
        <w:t>形 或 染 色 体 异常：</w:t>
      </w:r>
    </w:p>
    <w:p>
      <w:pPr>
        <w:pStyle w:val="BodyText"/>
        <w:spacing w:before="60"/>
        <w:ind w:left="118" w:right="15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520" w:right="940"/>
          <w:cols w:num="2" w:equalWidth="0">
            <w:col w:w="2217" w:space="40"/>
            <w:col w:w="7183"/>
          </w:cols>
        </w:sectPr>
      </w:pPr>
    </w:p>
    <w:p>
      <w:pPr>
        <w:pStyle w:val="BodyText"/>
        <w:spacing w:before="6"/>
        <w:rPr>
          <w:sz w:val="12"/>
        </w:rPr>
      </w:pPr>
    </w:p>
    <w:p>
      <w:pPr>
        <w:pStyle w:val="ListParagraph"/>
        <w:numPr>
          <w:ilvl w:val="1"/>
          <w:numId w:val="6"/>
        </w:numPr>
        <w:tabs>
          <w:tab w:pos="750" w:val="left" w:leader="none"/>
          <w:tab w:pos="751" w:val="left" w:leader="none"/>
          <w:tab w:pos="2427" w:val="left" w:leader="none"/>
        </w:tabs>
        <w:spacing w:line="237" w:lineRule="auto" w:before="65" w:after="0"/>
        <w:ind w:left="2427" w:right="263" w:hanging="2263"/>
        <w:jc w:val="left"/>
        <w:rPr>
          <w:sz w:val="21"/>
        </w:rPr>
      </w:pPr>
      <w:r>
        <w:rPr>
          <w:sz w:val="21"/>
        </w:rPr>
        <w:t>现金</w:t>
      </w:r>
      <w:r>
        <w:rPr>
          <w:spacing w:val="-3"/>
          <w:sz w:val="21"/>
        </w:rPr>
        <w:t>价</w:t>
      </w:r>
      <w:r>
        <w:rPr>
          <w:sz w:val="21"/>
        </w:rPr>
        <w:t>值：</w:t>
        <w:tab/>
        <w:t>指本附加合同所具</w:t>
      </w:r>
      <w:r>
        <w:rPr>
          <w:spacing w:val="-3"/>
          <w:sz w:val="21"/>
        </w:rPr>
        <w:t>有</w:t>
      </w:r>
      <w:r>
        <w:rPr>
          <w:sz w:val="21"/>
        </w:rPr>
        <w:t>的</w:t>
      </w:r>
      <w:r>
        <w:rPr>
          <w:spacing w:val="-3"/>
          <w:sz w:val="21"/>
        </w:rPr>
        <w:t>价</w:t>
      </w:r>
      <w:r>
        <w:rPr>
          <w:sz w:val="21"/>
        </w:rPr>
        <w:t>值，通常体现为解</w:t>
      </w:r>
      <w:r>
        <w:rPr>
          <w:spacing w:val="-3"/>
          <w:sz w:val="21"/>
        </w:rPr>
        <w:t>除</w:t>
      </w:r>
      <w:r>
        <w:rPr>
          <w:sz w:val="21"/>
        </w:rPr>
        <w:t>合</w:t>
      </w:r>
      <w:r>
        <w:rPr>
          <w:spacing w:val="-3"/>
          <w:sz w:val="21"/>
        </w:rPr>
        <w:t>同</w:t>
      </w:r>
      <w:r>
        <w:rPr>
          <w:sz w:val="21"/>
        </w:rPr>
        <w:t>时，根据精算原理</w:t>
      </w:r>
      <w:r>
        <w:rPr>
          <w:spacing w:val="-3"/>
          <w:sz w:val="21"/>
        </w:rPr>
        <w:t>计</w:t>
      </w:r>
      <w:r>
        <w:rPr>
          <w:sz w:val="21"/>
        </w:rPr>
        <w:t>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BodyText"/>
        <w:spacing w:before="8"/>
        <w:rPr>
          <w:sz w:val="18"/>
        </w:rPr>
      </w:pPr>
    </w:p>
    <w:p>
      <w:pPr>
        <w:pStyle w:val="ListParagraph"/>
        <w:numPr>
          <w:ilvl w:val="1"/>
          <w:numId w:val="6"/>
        </w:numPr>
        <w:tabs>
          <w:tab w:pos="750" w:val="left" w:leader="none"/>
          <w:tab w:pos="751" w:val="left" w:leader="none"/>
          <w:tab w:pos="2375" w:val="left" w:leader="none"/>
        </w:tabs>
        <w:spacing w:line="237" w:lineRule="auto" w:before="0" w:after="0"/>
        <w:ind w:left="2375" w:right="263" w:hanging="2211"/>
        <w:jc w:val="left"/>
        <w:rPr>
          <w:sz w:val="21"/>
        </w:rPr>
      </w:pPr>
      <w:r>
        <w:rPr>
          <w:sz w:val="21"/>
        </w:rPr>
        <w:t>医院：</w:t>
        <w:tab/>
        <w:t>指我们指定的医院或经中华人民共和国卫生部门评审确定的二级或以上的 公立医院，但不包括精神病院及专供康复、护理、疗养、戒酒、戒毒、养</w:t>
      </w:r>
    </w:p>
    <w:p>
      <w:pPr>
        <w:spacing w:after="0" w:line="237" w:lineRule="auto"/>
        <w:jc w:val="left"/>
        <w:rPr>
          <w:sz w:val="21"/>
        </w:rPr>
        <w:sectPr>
          <w:type w:val="continuous"/>
          <w:pgSz w:w="11900" w:h="16840"/>
          <w:pgMar w:top="1220" w:bottom="280" w:left="1520" w:right="940"/>
        </w:sectPr>
      </w:pPr>
    </w:p>
    <w:p>
      <w:pPr>
        <w:pStyle w:val="BodyText"/>
        <w:spacing w:line="237" w:lineRule="auto" w:before="9"/>
        <w:ind w:left="2795" w:right="223"/>
        <w:jc w:val="both"/>
      </w:pPr>
      <w:r>
        <w:rPr/>
        <w:t>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2"/>
        <w:rPr>
          <w:sz w:val="18"/>
        </w:rPr>
      </w:pPr>
    </w:p>
    <w:p>
      <w:pPr>
        <w:pStyle w:val="BodyText"/>
        <w:ind w:left="2847" w:right="223"/>
        <w:jc w:val="both"/>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pgSz w:w="11900" w:h="16840"/>
          <w:pgMar w:top="126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肢 体 机 能 完 全丧失：</w:t>
      </w:r>
    </w:p>
    <w:p>
      <w:pPr>
        <w:pStyle w:val="BodyText"/>
        <w:spacing w:before="60"/>
        <w:ind w:left="171"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语 言 能 力 完 全丧失：</w:t>
      </w:r>
    </w:p>
    <w:p>
      <w:pPr>
        <w:pStyle w:val="BodyText"/>
        <w:spacing w:before="60"/>
        <w:ind w:left="171"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咀 嚼 吞 咽 能 力</w:t>
      </w:r>
      <w:r>
        <w:rPr>
          <w:spacing w:val="-15"/>
          <w:sz w:val="21"/>
        </w:rPr>
        <w:t>完全丧失：</w:t>
      </w:r>
    </w:p>
    <w:p>
      <w:pPr>
        <w:pStyle w:val="BodyText"/>
        <w:spacing w:before="60"/>
        <w:ind w:left="171"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六 项 基 本 日 常</w:t>
      </w:r>
      <w:r>
        <w:rPr>
          <w:spacing w:val="-15"/>
          <w:sz w:val="21"/>
        </w:rPr>
        <w:t>生活活动：</w:t>
      </w:r>
    </w:p>
    <w:p>
      <w:pPr>
        <w:pStyle w:val="BodyText"/>
        <w:spacing w:line="225" w:lineRule="auto" w:before="77"/>
        <w:ind w:left="171"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100" w:right="980"/>
          <w:cols w:num="2" w:equalWidth="0">
            <w:col w:w="2637" w:space="40"/>
            <w:col w:w="7143"/>
          </w:cols>
        </w:sectPr>
      </w:pPr>
    </w:p>
    <w:p>
      <w:pPr>
        <w:pStyle w:val="BodyText"/>
        <w:spacing w:before="8"/>
        <w:rPr>
          <w:sz w:val="12"/>
        </w:rPr>
      </w:pPr>
    </w:p>
    <w:p>
      <w:pPr>
        <w:pStyle w:val="ListParagraph"/>
        <w:numPr>
          <w:ilvl w:val="1"/>
          <w:numId w:val="6"/>
        </w:numPr>
        <w:tabs>
          <w:tab w:pos="1170" w:val="left" w:leader="none"/>
          <w:tab w:pos="1171" w:val="left" w:leader="none"/>
          <w:tab w:pos="2847" w:val="left" w:leader="none"/>
        </w:tabs>
        <w:spacing w:line="220" w:lineRule="auto" w:before="85" w:after="0"/>
        <w:ind w:left="284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rPr>
          <w:sz w:val="20"/>
        </w:rPr>
      </w:pPr>
    </w:p>
    <w:p>
      <w:pPr>
        <w:pStyle w:val="BodyText"/>
        <w:spacing w:line="230" w:lineRule="auto" w:before="170"/>
        <w:ind w:left="2847" w:right="257" w:hanging="2734"/>
        <w:jc w:val="both"/>
      </w:pPr>
      <w:r>
        <w:rPr>
          <w:position w:val="1"/>
        </w:rPr>
        <w:t>附表一：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26-50 </w:t>
      </w:r>
      <w:r>
        <w:rPr>
          <w:spacing w:val="-3"/>
        </w:rPr>
        <w:t>项为我们增加的疾病种类并自行制定的疾病定义。</w:t>
      </w:r>
    </w:p>
    <w:p>
      <w:pPr>
        <w:pStyle w:val="BodyText"/>
        <w:spacing w:before="11"/>
      </w:pPr>
    </w:p>
    <w:p>
      <w:pPr>
        <w:pStyle w:val="BodyText"/>
        <w:spacing w:line="232" w:lineRule="auto"/>
        <w:ind w:left="284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47"/>
      </w:pPr>
      <w:r>
        <w:rPr/>
        <w:t>下列疾病不在保障范围内：</w:t>
      </w:r>
    </w:p>
    <w:p>
      <w:pPr>
        <w:pStyle w:val="BodyText"/>
        <w:spacing w:line="282" w:lineRule="exact"/>
        <w:ind w:left="2847"/>
      </w:pPr>
      <w:r>
        <w:rPr/>
        <w:t>（</w:t>
      </w:r>
      <w:r>
        <w:rPr>
          <w:rFonts w:ascii="Times New Roman" w:eastAsia="Times New Roman"/>
        </w:rPr>
        <w:t>1</w:t>
      </w:r>
      <w:r>
        <w:rPr/>
        <w:t>）原位癌；</w:t>
      </w:r>
    </w:p>
    <w:p>
      <w:pPr>
        <w:pStyle w:val="BodyText"/>
        <w:spacing w:line="272" w:lineRule="exact"/>
        <w:ind w:left="28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4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4" w:lineRule="exact"/>
        <w:ind w:left="2847"/>
      </w:pPr>
      <w:r>
        <w:rPr/>
        <w:t>（</w:t>
      </w:r>
      <w:r>
        <w:rPr>
          <w:rFonts w:ascii="Times New Roman" w:eastAsia="Times New Roman"/>
        </w:rPr>
        <w:t>4</w:t>
      </w:r>
      <w:r>
        <w:rPr/>
        <w:t>）皮肤癌（不包括恶性黑色素瘤及已发Th转移的皮肤癌）；</w:t>
      </w:r>
    </w:p>
    <w:p>
      <w:pPr>
        <w:pStyle w:val="BodyText"/>
        <w:spacing w:line="274" w:lineRule="exact"/>
        <w:ind w:left="284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847"/>
      </w:pPr>
      <w:r>
        <w:rPr/>
        <w:t>（</w:t>
      </w:r>
      <w:r>
        <w:rPr>
          <w:rFonts w:ascii="Times New Roman" w:eastAsia="Times New Roman"/>
        </w:rPr>
        <w:t>6</w:t>
      </w:r>
      <w:r>
        <w:rPr/>
        <w:t>）感染艾滋病病毒或患艾滋病期间所患恶性肿瘤。</w:t>
      </w:r>
    </w:p>
    <w:p>
      <w:pPr>
        <w:pStyle w:val="BodyText"/>
        <w:spacing w:before="8"/>
      </w:pPr>
    </w:p>
    <w:p>
      <w:pPr>
        <w:pStyle w:val="BodyText"/>
        <w:spacing w:line="223" w:lineRule="auto" w:before="1"/>
        <w:ind w:left="284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2847"/>
      </w:pPr>
      <w:r>
        <w:rPr/>
        <w:t>（</w:t>
      </w:r>
      <w:r>
        <w:rPr>
          <w:rFonts w:ascii="Times New Roman" w:eastAsia="Times New Roman"/>
        </w:rPr>
        <w:t>1</w:t>
      </w:r>
      <w:r>
        <w:rPr/>
        <w:t>）典型临床表现，例如急性胸痛等；</w:t>
      </w:r>
    </w:p>
    <w:p>
      <w:pPr>
        <w:pStyle w:val="BodyText"/>
        <w:spacing w:line="272" w:lineRule="exact"/>
        <w:ind w:left="2847"/>
      </w:pPr>
      <w:r>
        <w:rPr/>
        <w:t>（</w:t>
      </w:r>
      <w:r>
        <w:rPr>
          <w:rFonts w:ascii="Times New Roman" w:eastAsia="Times New Roman"/>
        </w:rPr>
        <w:t>2</w:t>
      </w:r>
      <w:r>
        <w:rPr/>
        <w:t>）新近的心电图改变提示急性心肌梗塞；</w:t>
      </w:r>
    </w:p>
    <w:p>
      <w:pPr>
        <w:pStyle w:val="BodyText"/>
        <w:spacing w:line="225" w:lineRule="auto" w:before="9"/>
        <w:ind w:left="284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0" w:lineRule="exact"/>
        <w:ind w:left="284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2847"/>
      </w:pPr>
      <w:r>
        <w:rPr>
          <w:rFonts w:ascii="Times New Roman" w:eastAsia="Times New Roman"/>
        </w:rPr>
        <w:t>50%</w:t>
      </w:r>
      <w:r>
        <w:rPr/>
        <w:t>。</w:t>
      </w:r>
    </w:p>
    <w:p>
      <w:pPr>
        <w:spacing w:after="0" w:line="281" w:lineRule="exact"/>
        <w:sectPr>
          <w:type w:val="continuous"/>
          <w:pgSz w:w="11900" w:h="16840"/>
          <w:pgMar w:top="1220" w:bottom="280" w:left="1100" w:right="980"/>
        </w:sectPr>
      </w:pPr>
    </w:p>
    <w:p>
      <w:pPr>
        <w:pStyle w:val="BodyText"/>
        <w:spacing w:line="223" w:lineRule="auto" w:before="128"/>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7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4" w:lineRule="exact"/>
        <w:ind w:left="227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277"/>
      </w:pPr>
      <w:r>
        <w:rPr/>
        <w:t>（</w:t>
      </w:r>
      <w:r>
        <w:rPr>
          <w:rFonts w:ascii="Times New Roman" w:eastAsia="Times New Roman"/>
        </w:rPr>
        <w:t>3</w:t>
      </w:r>
      <w:r>
        <w:rPr/>
        <w:t>）自主生活能力完全丧失，无法独立完成六项基本日常Th活活动（见</w:t>
      </w:r>
    </w:p>
    <w:p>
      <w:pPr>
        <w:pStyle w:val="BodyText"/>
        <w:spacing w:line="281" w:lineRule="exact"/>
        <w:ind w:left="2275"/>
      </w:pPr>
      <w:r>
        <w:rPr>
          <w:rFonts w:ascii="Times New Roman" w:eastAsia="Times New Roman"/>
        </w:rPr>
        <w:t>7.18</w:t>
      </w:r>
      <w:r>
        <w:rPr/>
        <w:t>）中的三项或三项以上。</w:t>
      </w:r>
    </w:p>
    <w:p>
      <w:pPr>
        <w:pStyle w:val="BodyText"/>
        <w:spacing w:before="10"/>
        <w:rPr>
          <w:sz w:val="16"/>
        </w:rPr>
      </w:pPr>
    </w:p>
    <w:p>
      <w:pPr>
        <w:spacing w:after="0"/>
        <w:rPr>
          <w:sz w:val="16"/>
        </w:rPr>
        <w:sectPr>
          <w:pgSz w:w="11900" w:h="16840"/>
          <w:pgMar w:top="1600" w:bottom="280" w:left="1680" w:right="980"/>
        </w:sectPr>
      </w:pPr>
    </w:p>
    <w:p>
      <w:pPr>
        <w:pStyle w:val="BodyText"/>
        <w:spacing w:line="230" w:lineRule="auto" w:before="57"/>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980"/>
          <w:cols w:num="2" w:equalWidth="0">
            <w:col w:w="2057" w:space="40"/>
            <w:col w:w="7143"/>
          </w:cols>
        </w:sectPr>
      </w:pPr>
    </w:p>
    <w:p>
      <w:pPr>
        <w:pStyle w:val="BodyText"/>
        <w:rPr>
          <w:sz w:val="18"/>
        </w:rPr>
      </w:pPr>
    </w:p>
    <w:p>
      <w:pPr>
        <w:spacing w:after="0"/>
        <w:rPr>
          <w:sz w:val="18"/>
        </w:rPr>
        <w:sectPr>
          <w:type w:val="continuous"/>
          <w:pgSz w:w="11900" w:h="16840"/>
          <w:pgMar w:top="1220" w:bottom="280" w:left="1680" w:right="980"/>
        </w:sectPr>
      </w:pPr>
    </w:p>
    <w:p>
      <w:pPr>
        <w:pStyle w:val="BodyText"/>
        <w:spacing w:line="230" w:lineRule="auto" w:before="57"/>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2"/>
        <w:rPr>
          <w:sz w:val="18"/>
        </w:rPr>
      </w:pPr>
    </w:p>
    <w:p>
      <w:pPr>
        <w:pStyle w:val="BodyText"/>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1"/>
        <w:rPr>
          <w:sz w:val="17"/>
        </w:rPr>
      </w:pPr>
    </w:p>
    <w:p>
      <w:pPr>
        <w:spacing w:after="0"/>
        <w:rPr>
          <w:sz w:val="17"/>
        </w:rPr>
        <w:sectPr>
          <w:type w:val="continuous"/>
          <w:pgSz w:w="11900" w:h="16840"/>
          <w:pgMar w:top="1220" w:bottom="280" w:left="1680" w:right="980"/>
        </w:sectPr>
      </w:pPr>
    </w:p>
    <w:p>
      <w:pPr>
        <w:spacing w:line="282" w:lineRule="exact" w:before="45"/>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5"/>
        <w:rPr>
          <w:sz w:val="15"/>
        </w:rPr>
      </w:pPr>
    </w:p>
    <w:p>
      <w:pPr>
        <w:pStyle w:val="BodyText"/>
        <w:tabs>
          <w:tab w:pos="2267" w:val="left" w:leader="none"/>
        </w:tabs>
        <w:spacing w:line="220" w:lineRule="auto" w:before="69"/>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rPr>
          <w:sz w:val="18"/>
        </w:rPr>
      </w:pPr>
    </w:p>
    <w:p>
      <w:pPr>
        <w:spacing w:after="0"/>
        <w:rPr>
          <w:sz w:val="18"/>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3"/>
        <w:ind w:left="171" w:right="223"/>
      </w:pPr>
      <w:r>
        <w:rPr/>
        <w:br w:type="column"/>
      </w:r>
      <w:r>
        <w:rPr/>
        <w:t>指因肝炎病毒感染引起肝脏组织弥漫性坏死，导致急性肝功能衰竭，且经血清学或病毒学检查证实，并须满足下列全部条件：</w:t>
      </w:r>
    </w:p>
    <w:p>
      <w:pPr>
        <w:pStyle w:val="BodyText"/>
        <w:spacing w:line="279"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8"/>
        <w:rPr>
          <w:sz w:val="16"/>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rPr>
          <w:sz w:val="17"/>
        </w:rPr>
      </w:pPr>
    </w:p>
    <w:p>
      <w:pPr>
        <w:pStyle w:val="BodyText"/>
        <w:ind w:left="2268"/>
      </w:pPr>
      <w:r>
        <w:rPr/>
        <w:t>脑垂体瘤、脑囊肿、脑血管性疾病不在保障范围内。</w:t>
      </w:r>
    </w:p>
    <w:p>
      <w:pPr>
        <w:pStyle w:val="BodyText"/>
        <w:spacing w:before="11"/>
        <w:rPr>
          <w:sz w:val="17"/>
        </w:rPr>
      </w:pPr>
    </w:p>
    <w:p>
      <w:pPr>
        <w:spacing w:after="0"/>
        <w:rPr>
          <w:sz w:val="17"/>
        </w:rPr>
        <w:sectPr>
          <w:type w:val="continuous"/>
          <w:pgSz w:w="11900" w:h="16840"/>
          <w:pgMar w:top="1220" w:bottom="280" w:left="1680" w:right="980"/>
        </w:sectPr>
      </w:pPr>
    </w:p>
    <w:p>
      <w:pPr>
        <w:pStyle w:val="ListParagraph"/>
        <w:numPr>
          <w:ilvl w:val="0"/>
          <w:numId w:val="7"/>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3"/>
        <w:ind w:left="173"/>
      </w:pPr>
      <w:r>
        <w:rPr/>
        <w:br w:type="column"/>
      </w:r>
      <w:r>
        <w:rPr/>
        <w:t>指因慢性肝脏疾病导致肝功能衰竭，须满足下列全部条件：</w:t>
      </w:r>
    </w:p>
    <w:p>
      <w:pPr>
        <w:pStyle w:val="BodyText"/>
        <w:spacing w:line="282" w:lineRule="exact"/>
        <w:ind w:left="173"/>
      </w:pPr>
      <w:r>
        <w:rPr/>
        <w:t>（</w:t>
      </w:r>
      <w:r>
        <w:rPr>
          <w:rFonts w:ascii="Times New Roman" w:eastAsia="Times New Roman"/>
        </w:rPr>
        <w:t>1</w:t>
      </w:r>
      <w:r>
        <w:rPr/>
        <w:t>）持续性黄疸；</w:t>
      </w:r>
    </w:p>
    <w:p>
      <w:pPr>
        <w:pStyle w:val="BodyText"/>
        <w:spacing w:line="274" w:lineRule="exact"/>
        <w:ind w:left="173"/>
      </w:pPr>
      <w:r>
        <w:rPr/>
        <w:t>（</w:t>
      </w:r>
      <w:r>
        <w:rPr>
          <w:rFonts w:ascii="Times New Roman" w:eastAsia="Times New Roman"/>
        </w:rPr>
        <w:t>2</w:t>
      </w:r>
      <w:r>
        <w:rPr/>
        <w:t>）腹水；</w:t>
      </w:r>
    </w:p>
    <w:p>
      <w:pPr>
        <w:pStyle w:val="BodyText"/>
        <w:spacing w:line="272" w:lineRule="exact"/>
        <w:ind w:left="173"/>
      </w:pPr>
      <w:r>
        <w:rPr/>
        <w:t>（</w:t>
      </w:r>
      <w:r>
        <w:rPr>
          <w:rFonts w:ascii="Times New Roman" w:eastAsia="Times New Roman"/>
        </w:rPr>
        <w:t>3</w:t>
      </w:r>
      <w:r>
        <w:rPr/>
        <w:t>）肝性脑病；</w:t>
      </w:r>
    </w:p>
    <w:p>
      <w:pPr>
        <w:pStyle w:val="BodyText"/>
        <w:spacing w:line="281" w:lineRule="exact"/>
        <w:ind w:left="173"/>
      </w:pPr>
      <w:r>
        <w:rPr/>
        <w:t>（</w:t>
      </w:r>
      <w:r>
        <w:rPr>
          <w:rFonts w:ascii="Times New Roman" w:eastAsia="Times New Roman"/>
        </w:rPr>
        <w:t>4</w:t>
      </w:r>
      <w:r>
        <w:rPr/>
        <w:t>）充血性脾大伴脾功能亢进或食管胃底静脉曲张。</w:t>
      </w:r>
    </w:p>
    <w:p>
      <w:pPr>
        <w:spacing w:after="0" w:line="281" w:lineRule="exact"/>
        <w:sectPr>
          <w:type w:val="continuous"/>
          <w:pgSz w:w="11900" w:h="16840"/>
          <w:pgMar w:top="1220" w:bottom="280" w:left="1680" w:right="980"/>
          <w:cols w:num="2" w:equalWidth="0">
            <w:col w:w="2055" w:space="40"/>
            <w:col w:w="7145"/>
          </w:cols>
        </w:sectPr>
      </w:pPr>
    </w:p>
    <w:p>
      <w:pPr>
        <w:pStyle w:val="BodyText"/>
        <w:spacing w:before="6"/>
        <w:ind w:left="2267"/>
      </w:pPr>
      <w:r>
        <w:rPr/>
        <w:t>因酗酒或药物滥用导致的肝功能衰竭不在保障范围内。</w:t>
      </w:r>
    </w:p>
    <w:p>
      <w:pPr>
        <w:pStyle w:val="BodyText"/>
        <w:rPr>
          <w:sz w:val="18"/>
        </w:rPr>
      </w:pPr>
    </w:p>
    <w:p>
      <w:pPr>
        <w:spacing w:after="0"/>
        <w:rPr>
          <w:sz w:val="18"/>
        </w:rPr>
        <w:sectPr>
          <w:pgSz w:w="11900" w:h="16840"/>
          <w:pgMar w:top="1500" w:bottom="280" w:left="1680" w:right="1100"/>
        </w:sectPr>
      </w:pPr>
    </w:p>
    <w:p>
      <w:pPr>
        <w:pStyle w:val="ListParagraph"/>
        <w:numPr>
          <w:ilvl w:val="0"/>
          <w:numId w:val="7"/>
        </w:numPr>
        <w:tabs>
          <w:tab w:pos="874" w:val="left" w:leader="none"/>
        </w:tabs>
        <w:spacing w:line="230" w:lineRule="auto" w:before="57" w:after="0"/>
        <w:ind w:left="590" w:right="0" w:hanging="2"/>
        <w:jc w:val="both"/>
        <w:rPr>
          <w:sz w:val="21"/>
        </w:rPr>
      </w:pPr>
      <w:r>
        <w:rPr>
          <w:spacing w:val="23"/>
          <w:sz w:val="21"/>
        </w:rPr>
        <w:t>脑炎后遗症</w:t>
      </w:r>
      <w:r>
        <w:rPr>
          <w:spacing w:val="-30"/>
          <w:sz w:val="21"/>
        </w:rPr>
        <w:t>或 脑 膜 炎 后 遗症</w:t>
      </w:r>
    </w:p>
    <w:p>
      <w:pPr>
        <w:pStyle w:val="BodyText"/>
        <w:spacing w:line="237" w:lineRule="auto" w:before="46"/>
        <w:ind w:left="171" w:right="1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80" w:right="1100"/>
          <w:cols w:num="2" w:equalWidth="0">
            <w:col w:w="2057" w:space="40"/>
            <w:col w:w="7023"/>
          </w:cols>
        </w:sectPr>
      </w:pPr>
    </w:p>
    <w:p>
      <w:pPr>
        <w:pStyle w:val="BodyText"/>
        <w:rPr>
          <w:sz w:val="18"/>
        </w:rPr>
      </w:pPr>
    </w:p>
    <w:p>
      <w:pPr>
        <w:pStyle w:val="BodyText"/>
        <w:spacing w:line="223" w:lineRule="auto" w:before="66"/>
        <w:ind w:left="2267" w:right="10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68"/>
      </w:pPr>
      <w:r>
        <w:rPr/>
        <w:t>因酗酒或药物滥用导致的深度昏迷不在保障范围内。</w:t>
      </w:r>
    </w:p>
    <w:p>
      <w:pPr>
        <w:pStyle w:val="BodyText"/>
        <w:spacing w:before="11"/>
        <w:rPr>
          <w:sz w:val="22"/>
        </w:rPr>
      </w:pPr>
    </w:p>
    <w:p>
      <w:pPr>
        <w:pStyle w:val="BodyText"/>
        <w:spacing w:line="223" w:lineRule="auto"/>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5"/>
        <w:rPr>
          <w:sz w:val="18"/>
        </w:rPr>
      </w:pPr>
    </w:p>
    <w:p>
      <w:pPr>
        <w:pStyle w:val="BodyText"/>
        <w:ind w:left="2267" w:right="101"/>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11"/>
        <w:rPr>
          <w:sz w:val="22"/>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2268" w:right="101"/>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9"/>
        <w:rPr>
          <w:sz w:val="22"/>
        </w:rPr>
      </w:pPr>
    </w:p>
    <w:p>
      <w:pPr>
        <w:pStyle w:val="BodyText"/>
        <w:spacing w:line="225"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5" w:space="40"/>
            <w:col w:w="7025"/>
          </w:cols>
        </w:sectPr>
      </w:pPr>
    </w:p>
    <w:p>
      <w:pPr>
        <w:pStyle w:val="BodyText"/>
        <w:spacing w:before="8"/>
        <w:rPr>
          <w:sz w:val="17"/>
        </w:rPr>
      </w:pPr>
    </w:p>
    <w:p>
      <w:pPr>
        <w:spacing w:after="0"/>
        <w:rPr>
          <w:sz w:val="17"/>
        </w:rPr>
        <w:sectPr>
          <w:type w:val="continuous"/>
          <w:pgSz w:w="11900" w:h="16840"/>
          <w:pgMar w:top="1220" w:bottom="280" w:left="1680" w:right="110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2"/>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
        <w:rPr>
          <w:sz w:val="18"/>
        </w:rPr>
      </w:pPr>
    </w:p>
    <w:p>
      <w:pPr>
        <w:pStyle w:val="BodyText"/>
        <w:spacing w:line="225" w:lineRule="auto" w:before="62"/>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spacing w:after="0" w:line="225" w:lineRule="auto"/>
        <w:jc w:val="both"/>
        <w:sectPr>
          <w:type w:val="continuous"/>
          <w:pgSz w:w="11900" w:h="16840"/>
          <w:pgMar w:top="1220" w:bottom="280" w:left="1680" w:right="1100"/>
        </w:sectPr>
      </w:pPr>
    </w:p>
    <w:p>
      <w:pPr>
        <w:pStyle w:val="BodyText"/>
        <w:spacing w:line="281" w:lineRule="exact" w:before="26"/>
        <w:ind w:left="2267"/>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9"/>
        <w:ind w:left="2267"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7"/>
        </w:rPr>
      </w:pPr>
    </w:p>
    <w:p>
      <w:pPr>
        <w:spacing w:after="0"/>
        <w:rPr>
          <w:sz w:val="17"/>
        </w:rPr>
        <w:sectPr>
          <w:pgSz w:w="11900" w:h="16840"/>
          <w:pgMar w:top="124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22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3" w:lineRule="auto" w:before="12"/>
        <w:ind w:left="173" w:right="22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173"/>
      </w:pPr>
      <w:r>
        <w:rPr/>
        <w:t>继发性帕金森综合症不在保障范围内。</w:t>
      </w:r>
    </w:p>
    <w:p>
      <w:pPr>
        <w:spacing w:after="0"/>
        <w:sectPr>
          <w:type w:val="continuous"/>
          <w:pgSz w:w="11900" w:h="16840"/>
          <w:pgMar w:top="1220" w:bottom="280" w:left="1680" w:right="980"/>
          <w:cols w:num="2" w:equalWidth="0">
            <w:col w:w="2055" w:space="40"/>
            <w:col w:w="7145"/>
          </w:cols>
        </w:sectPr>
      </w:pPr>
    </w:p>
    <w:p>
      <w:pPr>
        <w:pStyle w:val="BodyText"/>
        <w:spacing w:before="11"/>
        <w:rPr>
          <w:sz w:val="17"/>
        </w:rPr>
      </w:pPr>
    </w:p>
    <w:p>
      <w:pPr>
        <w:spacing w:after="0"/>
        <w:rPr>
          <w:sz w:val="17"/>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0"/>
        <w:ind w:left="173" w:right="22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980"/>
          <w:cols w:num="2" w:equalWidth="0">
            <w:col w:w="2055" w:space="40"/>
            <w:col w:w="7145"/>
          </w:cols>
        </w:sectPr>
      </w:pPr>
    </w:p>
    <w:p>
      <w:pPr>
        <w:pStyle w:val="BodyText"/>
        <w:spacing w:before="9"/>
        <w:rPr>
          <w:sz w:val="17"/>
        </w:rPr>
      </w:pPr>
    </w:p>
    <w:p>
      <w:pPr>
        <w:spacing w:after="0"/>
        <w:rPr>
          <w:sz w:val="17"/>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严重原发性</w:t>
      </w:r>
      <w:r>
        <w:rPr>
          <w:spacing w:val="6"/>
          <w:sz w:val="21"/>
        </w:rPr>
        <w:t>肺动脉高压</w:t>
      </w:r>
    </w:p>
    <w:p>
      <w:pPr>
        <w:pStyle w:val="BodyText"/>
        <w:spacing w:before="43"/>
        <w:ind w:left="173" w:right="223"/>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jc w:val="both"/>
        <w:sectPr>
          <w:type w:val="continuous"/>
          <w:pgSz w:w="11900" w:h="16840"/>
          <w:pgMar w:top="1220" w:bottom="280" w:left="1680" w:right="980"/>
          <w:cols w:num="2" w:equalWidth="0">
            <w:col w:w="2055" w:space="40"/>
            <w:col w:w="7145"/>
          </w:cols>
        </w:sectPr>
      </w:pPr>
    </w:p>
    <w:p>
      <w:pPr>
        <w:pStyle w:val="BodyText"/>
        <w:spacing w:before="8"/>
        <w:rPr>
          <w:sz w:val="16"/>
        </w:rPr>
      </w:pPr>
    </w:p>
    <w:p>
      <w:pPr>
        <w:spacing w:after="0"/>
        <w:rPr>
          <w:sz w:val="16"/>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line="237" w:lineRule="auto" w:before="46"/>
        <w:ind w:left="173" w:right="22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980"/>
          <w:cols w:num="2" w:equalWidth="0">
            <w:col w:w="2055" w:space="40"/>
            <w:col w:w="7145"/>
          </w:cols>
        </w:sectPr>
      </w:pPr>
    </w:p>
    <w:p>
      <w:pPr>
        <w:pStyle w:val="BodyText"/>
        <w:rPr>
          <w:sz w:val="18"/>
        </w:rPr>
      </w:pPr>
    </w:p>
    <w:p>
      <w:pPr>
        <w:spacing w:after="0"/>
        <w:rPr>
          <w:sz w:val="18"/>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4"/>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ind w:left="173"/>
      </w:pPr>
      <w:r>
        <w:rPr/>
        <w:t>精神心理因素所致的语言能力丧失不在保障范围内。</w:t>
      </w:r>
    </w:p>
    <w:p>
      <w:pPr>
        <w:pStyle w:val="BodyText"/>
        <w:spacing w:before="3"/>
        <w:rPr>
          <w:sz w:val="18"/>
        </w:rPr>
      </w:pPr>
    </w:p>
    <w:p>
      <w:pPr>
        <w:pStyle w:val="BodyText"/>
        <w:ind w:left="173" w:right="221"/>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sectPr>
          <w:type w:val="continuous"/>
          <w:pgSz w:w="11900" w:h="16840"/>
          <w:pgMar w:top="1220" w:bottom="280" w:left="1680" w:right="980"/>
          <w:cols w:num="2" w:equalWidth="0">
            <w:col w:w="2055" w:space="40"/>
            <w:col w:w="7145"/>
          </w:cols>
        </w:sectPr>
      </w:pPr>
    </w:p>
    <w:p>
      <w:pPr>
        <w:pStyle w:val="BodyText"/>
        <w:spacing w:before="11"/>
        <w:rPr>
          <w:sz w:val="17"/>
        </w:rPr>
      </w:pPr>
    </w:p>
    <w:p>
      <w:pPr>
        <w:spacing w:after="0"/>
        <w:rPr>
          <w:sz w:val="17"/>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223"/>
      </w:pPr>
      <w:r>
        <w:rPr/>
        <w:br w:type="column"/>
      </w:r>
      <w:r>
        <w:rPr/>
        <w:t>指因骨髓造血功能慢性持续性衰竭导致的贫血、中性粒细胞减少及血小板减少。须满足以下全部条件：</w:t>
      </w:r>
    </w:p>
    <w:p>
      <w:pPr>
        <w:pStyle w:val="BodyText"/>
        <w:spacing w:line="281"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2" w:lineRule="exact"/>
        <w:ind w:left="699"/>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9"/>
      </w:pPr>
      <w:r>
        <w:rPr/>
        <w:t>②网织红细胞＜</w:t>
      </w:r>
      <w:r>
        <w:rPr>
          <w:rFonts w:ascii="Times New Roman" w:hAnsi="Times New Roman" w:eastAsia="Times New Roman"/>
        </w:rPr>
        <w:t>1%</w:t>
      </w:r>
      <w:r>
        <w:rPr/>
        <w:t>；</w:t>
      </w:r>
    </w:p>
    <w:p>
      <w:pPr>
        <w:pStyle w:val="BodyText"/>
        <w:spacing w:line="282" w:lineRule="exact"/>
        <w:ind w:left="699"/>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980"/>
          <w:cols w:num="2" w:equalWidth="0">
            <w:col w:w="2055" w:space="40"/>
            <w:col w:w="7145"/>
          </w:cols>
        </w:sectPr>
      </w:pPr>
    </w:p>
    <w:p>
      <w:pPr>
        <w:pStyle w:val="BodyText"/>
        <w:spacing w:before="9"/>
        <w:rPr>
          <w:sz w:val="16"/>
        </w:rPr>
      </w:pPr>
    </w:p>
    <w:p>
      <w:pPr>
        <w:pStyle w:val="BodyText"/>
        <w:spacing w:line="230" w:lineRule="auto" w:before="57"/>
        <w:ind w:left="2267" w:right="22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ind w:left="2267"/>
      </w:pPr>
      <w:r>
        <w:rPr/>
        <w:t>动脉内血管成形术不在保障范围内。</w:t>
      </w:r>
    </w:p>
    <w:p>
      <w:pPr>
        <w:pStyle w:val="BodyText"/>
        <w:spacing w:before="11"/>
        <w:rPr>
          <w:sz w:val="17"/>
        </w:rPr>
      </w:pPr>
    </w:p>
    <w:p>
      <w:pPr>
        <w:spacing w:after="0"/>
        <w:rPr>
          <w:sz w:val="17"/>
        </w:rPr>
        <w:sectPr>
          <w:type w:val="continuous"/>
          <w:pgSz w:w="11900" w:h="16840"/>
          <w:pgMar w:top="1220" w:bottom="280" w:left="1680" w:right="98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5" w:lineRule="auto" w:before="48"/>
        <w:ind w:left="173" w:right="115"/>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87" w:lineRule="exact"/>
        <w:ind w:left="173"/>
      </w:pPr>
      <w:r>
        <w:rPr/>
        <w:t>（</w:t>
      </w:r>
      <w:r>
        <w:rPr>
          <w:rFonts w:ascii="Times New Roman" w:eastAsia="Times New Roman"/>
        </w:rPr>
        <w:t>1</w:t>
      </w:r>
      <w:r>
        <w:rPr/>
        <w:t>）移动：自己从一个房间到另一个房间；或者</w:t>
      </w:r>
    </w:p>
    <w:p>
      <w:pPr>
        <w:spacing w:after="0" w:line="287" w:lineRule="exact"/>
        <w:sectPr>
          <w:type w:val="continuous"/>
          <w:pgSz w:w="11900" w:h="16840"/>
          <w:pgMar w:top="1220" w:bottom="280" w:left="1680" w:right="980"/>
          <w:cols w:num="2" w:equalWidth="0">
            <w:col w:w="2055" w:space="40"/>
            <w:col w:w="7145"/>
          </w:cols>
        </w:sectPr>
      </w:pPr>
    </w:p>
    <w:p>
      <w:pPr>
        <w:pStyle w:val="BodyText"/>
        <w:spacing w:before="26"/>
        <w:ind w:left="2267"/>
      </w:pPr>
      <w:r>
        <w:rPr/>
        <w:t>（</w:t>
      </w:r>
      <w:r>
        <w:rPr>
          <w:rFonts w:ascii="Times New Roman" w:eastAsia="Times New Roman"/>
        </w:rPr>
        <w:t>2</w:t>
      </w:r>
      <w:r>
        <w:rPr/>
        <w:t>）进食：自己从已准备好的碗或碟中取食物放入口中。</w:t>
      </w:r>
    </w:p>
    <w:p>
      <w:pPr>
        <w:pStyle w:val="BodyText"/>
        <w:spacing w:before="8"/>
        <w:rPr>
          <w:sz w:val="16"/>
        </w:rPr>
      </w:pPr>
    </w:p>
    <w:p>
      <w:pPr>
        <w:spacing w:after="0"/>
        <w:rPr>
          <w:sz w:val="16"/>
        </w:rPr>
        <w:sectPr>
          <w:pgSz w:w="11900" w:h="16840"/>
          <w:pgMar w:top="1240" w:bottom="280" w:left="1680" w:right="1100"/>
        </w:sectPr>
      </w:pPr>
    </w:p>
    <w:p>
      <w:pPr>
        <w:pStyle w:val="ListParagraph"/>
        <w:numPr>
          <w:ilvl w:val="0"/>
          <w:numId w:val="10"/>
        </w:numPr>
        <w:tabs>
          <w:tab w:pos="884" w:val="left" w:leader="none"/>
        </w:tabs>
        <w:spacing w:line="232" w:lineRule="auto" w:before="54" w:after="0"/>
        <w:ind w:left="590" w:right="0" w:hanging="2"/>
        <w:jc w:val="both"/>
        <w:rPr>
          <w:sz w:val="21"/>
        </w:rPr>
      </w:pPr>
      <w:r>
        <w:rPr>
          <w:spacing w:val="20"/>
          <w:sz w:val="21"/>
        </w:rPr>
        <w:t>胰岛素依赖</w:t>
      </w:r>
      <w:r>
        <w:rPr>
          <w:spacing w:val="8"/>
          <w:sz w:val="21"/>
        </w:rPr>
        <w:t>型糖尿病</w:t>
      </w:r>
      <w:r>
        <w:rPr>
          <w:sz w:val="21"/>
        </w:rPr>
        <w:t>（1</w:t>
      </w:r>
      <w:r>
        <w:rPr>
          <w:spacing w:val="-2"/>
          <w:sz w:val="21"/>
        </w:rPr>
        <w:t> 型</w:t>
      </w:r>
      <w:r>
        <w:rPr>
          <w:spacing w:val="-3"/>
          <w:sz w:val="21"/>
        </w:rPr>
        <w:t>糖尿病</w:t>
      </w:r>
      <w:r>
        <w:rPr>
          <w:sz w:val="21"/>
        </w:rPr>
        <w:t>）</w:t>
      </w:r>
    </w:p>
    <w:p>
      <w:pPr>
        <w:pStyle w:val="BodyText"/>
        <w:spacing w:line="232" w:lineRule="auto" w:before="51"/>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1"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8"/>
        <w:rPr>
          <w:sz w:val="16"/>
        </w:rPr>
      </w:pPr>
    </w:p>
    <w:p>
      <w:pPr>
        <w:spacing w:after="0"/>
        <w:rPr>
          <w:sz w:val="16"/>
        </w:rPr>
        <w:sectPr>
          <w:type w:val="continuous"/>
          <w:pgSz w:w="11900" w:h="16840"/>
          <w:pgMar w:top="1220" w:bottom="280" w:left="1680" w:right="1100"/>
        </w:sectPr>
      </w:pPr>
    </w:p>
    <w:p>
      <w:pPr>
        <w:pStyle w:val="ListParagraph"/>
        <w:numPr>
          <w:ilvl w:val="0"/>
          <w:numId w:val="10"/>
        </w:numPr>
        <w:tabs>
          <w:tab w:pos="968" w:val="left" w:leader="none"/>
        </w:tabs>
        <w:spacing w:line="225" w:lineRule="auto" w:before="63" w:after="0"/>
        <w:ind w:left="590" w:right="0" w:hanging="2"/>
        <w:jc w:val="left"/>
        <w:rPr>
          <w:sz w:val="21"/>
        </w:rPr>
      </w:pPr>
      <w:r>
        <w:rPr>
          <w:spacing w:val="3"/>
          <w:sz w:val="21"/>
        </w:rPr>
        <w:t>慢性呼吸功能衰竭</w:t>
      </w:r>
    </w:p>
    <w:p>
      <w:pPr>
        <w:pStyle w:val="BodyText"/>
        <w:spacing w:before="43"/>
        <w:ind w:left="171" w:right="103"/>
      </w:pPr>
      <w:r>
        <w:rPr/>
        <w:br w:type="column"/>
      </w:r>
      <w:r>
        <w:rPr/>
        <w:t>慢性肺部疾病导致永久不可逆性的慢性呼吸功能衰竭。慢性呼吸功能衰竭必须明确诊断并满足下列全部条件：</w:t>
      </w:r>
    </w:p>
    <w:p>
      <w:pPr>
        <w:pStyle w:val="BodyText"/>
        <w:spacing w:line="280" w:lineRule="exact"/>
        <w:ind w:left="171"/>
      </w:pPr>
      <w:r>
        <w:rPr/>
        <w:t>（</w:t>
      </w:r>
      <w:r>
        <w:rPr>
          <w:rFonts w:ascii="Times New Roman" w:eastAsia="Times New Roman"/>
        </w:rPr>
        <w:t>1</w:t>
      </w:r>
      <w:r>
        <w:rPr/>
        <w:t>）休息时出现呼吸困难；</w:t>
      </w:r>
    </w:p>
    <w:p>
      <w:pPr>
        <w:pStyle w:val="BodyText"/>
        <w:spacing w:line="272"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4"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100"/>
          <w:cols w:num="2" w:equalWidth="0">
            <w:col w:w="2057" w:space="40"/>
            <w:col w:w="7023"/>
          </w:cols>
        </w:sectPr>
      </w:pPr>
    </w:p>
    <w:p>
      <w:pPr>
        <w:pStyle w:val="BodyText"/>
        <w:spacing w:before="8"/>
        <w:rPr>
          <w:sz w:val="16"/>
        </w:rPr>
      </w:pPr>
    </w:p>
    <w:p>
      <w:pPr>
        <w:pStyle w:val="BodyText"/>
        <w:spacing w:line="230" w:lineRule="auto" w:before="57"/>
        <w:ind w:left="2267" w:right="103" w:hanging="1680"/>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5"/>
        <w:rPr>
          <w:sz w:val="18"/>
        </w:rPr>
      </w:pPr>
    </w:p>
    <w:p>
      <w:pPr>
        <w:pStyle w:val="BodyText"/>
        <w:ind w:left="2267"/>
      </w:pPr>
      <w:r>
        <w:rPr/>
        <w:t>由于酗酒或滥用药物所致的植物人状态不在保障范围内。</w:t>
      </w:r>
    </w:p>
    <w:p>
      <w:pPr>
        <w:pStyle w:val="BodyText"/>
        <w:spacing w:before="7"/>
      </w:pPr>
    </w:p>
    <w:p>
      <w:pPr>
        <w:pStyle w:val="BodyText"/>
        <w:spacing w:line="237" w:lineRule="auto"/>
        <w:ind w:left="2267" w:right="134" w:hanging="1680"/>
        <w:jc w:val="both"/>
      </w:pPr>
      <w:r>
        <w:rPr>
          <w:rFonts w:ascii="Times New Roman" w:eastAsia="Times New Roman"/>
          <w:b/>
          <w:position w:val="1"/>
        </w:rPr>
        <w:t>30.</w:t>
      </w:r>
      <w:r>
        <w:rPr>
          <w:spacing w:val="10"/>
          <w:position w:val="1"/>
        </w:rPr>
        <w:t>严重心肌病  </w:t>
      </w:r>
      <w:r>
        <w:rPr>
          <w:spacing w:val="-5"/>
        </w:rPr>
        <w:t>指不明原因引起的一类心肌病变，包括原发性扩张型心肌病、原发性肥厚</w:t>
      </w:r>
      <w:r>
        <w:rPr>
          <w:spacing w:val="-6"/>
        </w:rPr>
        <w:t>型心肌病及原发性限制型心肌病三种，本病须经专科医生明确诊断，且病</w:t>
      </w:r>
      <w:r>
        <w:rPr>
          <w:spacing w:val="-5"/>
        </w:rPr>
        <w:t>变必须已造成事实上心室功能障碍而出现明显的心功能衰竭</w:t>
      </w:r>
      <w:r>
        <w:rPr/>
        <w:t>（</w:t>
      </w:r>
      <w:r>
        <w:rPr>
          <w:spacing w:val="-3"/>
        </w:rPr>
        <w:t>指按照美国</w:t>
      </w:r>
      <w:r>
        <w:rPr>
          <w:spacing w:val="-3"/>
          <w:w w:val="100"/>
        </w:rPr>
        <w:t>纽约心脏协会心功能分类标准心功能达四级</w:t>
      </w:r>
      <w:r>
        <w:rPr>
          <w:rFonts w:ascii="Times New Roman" w:eastAsia="Times New Roman"/>
          <w:spacing w:val="-5"/>
          <w:w w:val="100"/>
        </w:rPr>
        <w:t>*</w:t>
      </w:r>
      <w:r>
        <w:rPr>
          <w:spacing w:val="-106"/>
          <w:w w:val="100"/>
        </w:rPr>
        <w:t>）</w:t>
      </w:r>
      <w:r>
        <w:rPr>
          <w:spacing w:val="-4"/>
          <w:w w:val="100"/>
        </w:rPr>
        <w:t>，且有相关住院医疗记录显</w:t>
      </w:r>
      <w:r>
        <w:rPr>
          <w:spacing w:val="-6"/>
        </w:rPr>
        <w:t>示四级心功能衰竭状态持续至少 </w:t>
      </w:r>
      <w:r>
        <w:rPr>
          <w:rFonts w:ascii="Times New Roman" w:eastAsia="Times New Roman"/>
        </w:rPr>
        <w:t>180 </w:t>
      </w:r>
      <w:r>
        <w:rPr>
          <w:spacing w:val="-5"/>
        </w:rPr>
        <w:t>天。继发于全身性疾病或其它器官系</w:t>
      </w:r>
      <w:r>
        <w:rPr>
          <w:spacing w:val="-4"/>
        </w:rPr>
        <w:t>统疾病造成的心肌病变不在保障范围内。</w:t>
      </w:r>
    </w:p>
    <w:p>
      <w:pPr>
        <w:pStyle w:val="BodyText"/>
        <w:spacing w:before="4"/>
        <w:rPr>
          <w:sz w:val="22"/>
        </w:rPr>
      </w:pPr>
    </w:p>
    <w:p>
      <w:pPr>
        <w:pStyle w:val="BodyText"/>
        <w:spacing w:line="225" w:lineRule="auto"/>
        <w:ind w:left="2268" w:right="230"/>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3"/>
        <w:rPr>
          <w:sz w:val="22"/>
        </w:rPr>
      </w:pPr>
    </w:p>
    <w:p>
      <w:pPr>
        <w:pStyle w:val="BodyText"/>
        <w:spacing w:line="230" w:lineRule="auto"/>
        <w:ind w:left="2267" w:right="103" w:hanging="1680"/>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67"/>
      </w:pPr>
      <w:r>
        <w:rPr/>
        <w:t>（</w:t>
      </w:r>
      <w:r>
        <w:rPr>
          <w:rFonts w:ascii="Times New Roman" w:eastAsia="Times New Roman"/>
        </w:rPr>
        <w:t>1</w:t>
      </w:r>
      <w:r>
        <w:rPr/>
        <w:t>）经药物治疗和胸腺切除治疗一年以上仍无法控制病情；</w:t>
      </w:r>
    </w:p>
    <w:p>
      <w:pPr>
        <w:pStyle w:val="BodyText"/>
        <w:spacing w:line="225" w:lineRule="auto" w:before="9"/>
        <w:ind w:left="2267"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1"/>
        </w:numPr>
        <w:tabs>
          <w:tab w:pos="884" w:val="left" w:leader="none"/>
        </w:tabs>
        <w:spacing w:line="232" w:lineRule="auto" w:before="54"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7"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103"/>
        <w:jc w:val="both"/>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2"/>
        <w:ind w:left="171" w:right="101"/>
        <w:jc w:val="both"/>
      </w:pPr>
      <w:r>
        <w:rPr>
          <w:spacing w:val="-14"/>
        </w:rPr>
        <w:t>（</w:t>
      </w:r>
      <w:r>
        <w:rPr>
          <w:rFonts w:ascii="Times New Roman" w:eastAsia="Times New Roman"/>
          <w:spacing w:val="-14"/>
        </w:rPr>
        <w:t>1</w:t>
      </w:r>
      <w:r>
        <w:rPr>
          <w:spacing w:val="-14"/>
        </w:rPr>
        <w:t>）</w:t>
      </w:r>
      <w:r>
        <w:rPr>
          <w:spacing w:val="-5"/>
        </w:rPr>
        <w:t>感染必须是在被保险人正在从事其职业工作中发生，该职业必须属于</w:t>
      </w:r>
      <w:r>
        <w:rPr>
          <w:spacing w:val="-4"/>
        </w:rPr>
        <w:t>下列限定职业范围内的职业；</w:t>
      </w:r>
    </w:p>
    <w:p>
      <w:pPr>
        <w:pStyle w:val="BodyText"/>
        <w:spacing w:line="281"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71" w:right="101"/>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171" w:right="101" w:hanging="1"/>
        <w:jc w:val="both"/>
      </w:pPr>
      <w:r>
        <w:rPr/>
        <w:t>（</w:t>
      </w:r>
      <w:r>
        <w:rPr>
          <w:rFonts w:ascii="Times New Roman" w:eastAsia="Times New Roman"/>
        </w:rPr>
        <w:t>4</w:t>
      </w:r>
      <w:r>
        <w:rPr/>
        <w:t>）</w:t>
      </w:r>
      <w:r>
        <w:rPr>
          <w:spacing w:val="-6"/>
        </w:rPr>
        <w:t>必须在事故发生后的 </w:t>
      </w:r>
      <w:r>
        <w:rPr>
          <w:rFonts w:ascii="Times New Roman" w:eastAsia="Times New Roman"/>
        </w:rPr>
        <w:t>12 </w:t>
      </w:r>
      <w:r>
        <w:rPr>
          <w:spacing w:val="-3"/>
        </w:rPr>
        <w:t>个月内证实被保险人体内存在人类免疫缺陷</w:t>
      </w:r>
      <w:r>
        <w:rPr>
          <w:spacing w:val="-1"/>
        </w:rPr>
        <w:t>病毒（</w:t>
      </w:r>
      <w:r>
        <w:rPr>
          <w:rFonts w:ascii="Times New Roman" w:eastAsia="Times New Roman"/>
          <w:spacing w:val="-1"/>
        </w:rPr>
        <w:t>HIV</w:t>
      </w:r>
      <w:r>
        <w:rPr>
          <w:spacing w:val="-1"/>
        </w:rPr>
        <w:t>）</w:t>
      </w:r>
      <w:r>
        <w:rPr>
          <w:spacing w:val="-3"/>
        </w:rPr>
        <w:t>或人类免疫缺陷病毒</w:t>
      </w:r>
      <w:r>
        <w:rPr>
          <w:spacing w:val="-1"/>
        </w:rPr>
        <w:t>（</w:t>
      </w:r>
      <w:r>
        <w:rPr>
          <w:rFonts w:ascii="Times New Roman" w:eastAsia="Times New Roman"/>
          <w:spacing w:val="-1"/>
        </w:rPr>
        <w:t>HIV</w:t>
      </w:r>
      <w:r>
        <w:rPr>
          <w:spacing w:val="-1"/>
        </w:rPr>
        <w:t>）</w:t>
      </w:r>
      <w:r>
        <w:rPr>
          <w:spacing w:val="-2"/>
        </w:rPr>
        <w:t>抗体。</w:t>
      </w:r>
    </w:p>
    <w:p>
      <w:pPr>
        <w:spacing w:after="0" w:line="225" w:lineRule="auto"/>
        <w:jc w:val="both"/>
        <w:sectPr>
          <w:type w:val="continuous"/>
          <w:pgSz w:w="11900" w:h="16840"/>
          <w:pgMar w:top="1220" w:bottom="280" w:left="1680" w:right="1100"/>
          <w:cols w:num="2" w:equalWidth="0">
            <w:col w:w="2057" w:space="40"/>
            <w:col w:w="7023"/>
          </w:cols>
        </w:sectPr>
      </w:pPr>
    </w:p>
    <w:p>
      <w:pPr>
        <w:pStyle w:val="BodyText"/>
        <w:spacing w:line="274" w:lineRule="exact" w:before="6"/>
        <w:ind w:left="2267"/>
      </w:pPr>
      <w:r>
        <w:rPr/>
        <w:t>限定职业：</w:t>
      </w:r>
    </w:p>
    <w:p>
      <w:pPr>
        <w:pStyle w:val="BodyText"/>
        <w:ind w:left="2267" w:right="163"/>
      </w:pPr>
      <w:r>
        <w:rPr/>
        <w:t>医Th和牙科医Th、护士、实验室工作人员、医院护工、医Th助理和牙医助理、救护车工作人员、助产士、消防队员、警察、狱警。</w:t>
      </w:r>
    </w:p>
    <w:p>
      <w:pPr>
        <w:pStyle w:val="BodyText"/>
        <w:rPr>
          <w:sz w:val="18"/>
        </w:rPr>
      </w:pPr>
    </w:p>
    <w:p>
      <w:pPr>
        <w:spacing w:after="0"/>
        <w:rPr>
          <w:sz w:val="18"/>
        </w:rPr>
        <w:sectPr>
          <w:pgSz w:w="11900" w:h="16840"/>
          <w:pgMar w:top="1500" w:bottom="280" w:left="1680" w:right="1040"/>
        </w:sectPr>
      </w:pPr>
    </w:p>
    <w:p>
      <w:pPr>
        <w:pStyle w:val="ListParagraph"/>
        <w:numPr>
          <w:ilvl w:val="0"/>
          <w:numId w:val="11"/>
        </w:numPr>
        <w:tabs>
          <w:tab w:pos="884" w:val="left" w:leader="none"/>
        </w:tabs>
        <w:spacing w:line="230" w:lineRule="auto" w:before="57"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4"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1"/>
        <w:ind w:left="171" w:right="16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71" w:right="11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0"/>
        <w:rPr>
          <w:sz w:val="18"/>
        </w:rPr>
      </w:pPr>
    </w:p>
    <w:p>
      <w:pPr>
        <w:pStyle w:val="BodyText"/>
        <w:spacing w:line="232" w:lineRule="auto" w:before="1"/>
        <w:ind w:left="171" w:right="161"/>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2" w:lineRule="auto"/>
        <w:jc w:val="both"/>
        <w:sectPr>
          <w:type w:val="continuous"/>
          <w:pgSz w:w="11900" w:h="16840"/>
          <w:pgMar w:top="1220" w:bottom="280" w:left="1680" w:right="1040"/>
          <w:cols w:num="2" w:equalWidth="0">
            <w:col w:w="2057" w:space="40"/>
            <w:col w:w="7083"/>
          </w:cols>
        </w:sectPr>
      </w:pPr>
    </w:p>
    <w:p>
      <w:pPr>
        <w:pStyle w:val="BodyText"/>
        <w:spacing w:before="11"/>
        <w:rPr>
          <w:sz w:val="17"/>
        </w:rPr>
      </w:pPr>
    </w:p>
    <w:p>
      <w:pPr>
        <w:spacing w:after="0"/>
        <w:rPr>
          <w:sz w:val="17"/>
        </w:rPr>
        <w:sectPr>
          <w:type w:val="continuous"/>
          <w:pgSz w:w="11900" w:h="16840"/>
          <w:pgMar w:top="1220" w:bottom="280" w:left="1680" w:right="104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严重类风湿</w:t>
      </w:r>
      <w:r>
        <w:rPr>
          <w:spacing w:val="8"/>
          <w:sz w:val="21"/>
        </w:rPr>
        <w:t>性关节炎</w:t>
      </w:r>
    </w:p>
    <w:p>
      <w:pPr>
        <w:pStyle w:val="BodyText"/>
        <w:spacing w:line="237" w:lineRule="auto" w:before="46"/>
        <w:ind w:left="173" w:right="16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1"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2" w:lineRule="exact"/>
        <w:ind w:left="173"/>
        <w:jc w:val="both"/>
      </w:pPr>
      <w:r>
        <w:rPr/>
        <w:t>（</w:t>
      </w:r>
      <w:r>
        <w:rPr>
          <w:rFonts w:ascii="Times New Roman" w:eastAsia="Times New Roman"/>
        </w:rPr>
        <w:t>3</w:t>
      </w:r>
      <w:r>
        <w:rPr/>
        <w:t>）类风湿性皮下结节；</w:t>
      </w:r>
    </w:p>
    <w:p>
      <w:pPr>
        <w:pStyle w:val="BodyText"/>
        <w:spacing w:line="274" w:lineRule="exact"/>
        <w:ind w:left="173"/>
        <w:jc w:val="both"/>
      </w:pPr>
      <w:r>
        <w:rPr/>
        <w:t>（</w:t>
      </w:r>
      <w:r>
        <w:rPr>
          <w:rFonts w:ascii="Times New Roman" w:eastAsia="Times New Roman"/>
        </w:rPr>
        <w:t>4</w:t>
      </w:r>
      <w:r>
        <w:rPr/>
        <w:t>）类风湿因子滴度升高；</w:t>
      </w:r>
    </w:p>
    <w:p>
      <w:pPr>
        <w:pStyle w:val="BodyText"/>
        <w:spacing w:line="282"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40"/>
          <w:cols w:num="2" w:equalWidth="0">
            <w:col w:w="2055" w:space="40"/>
            <w:col w:w="7085"/>
          </w:cols>
        </w:sectPr>
      </w:pPr>
    </w:p>
    <w:p>
      <w:pPr>
        <w:pStyle w:val="BodyText"/>
        <w:spacing w:before="9"/>
        <w:rPr>
          <w:sz w:val="16"/>
        </w:rPr>
      </w:pPr>
    </w:p>
    <w:p>
      <w:pPr>
        <w:spacing w:after="0"/>
        <w:rPr>
          <w:sz w:val="16"/>
        </w:rPr>
        <w:sectPr>
          <w:type w:val="continuous"/>
          <w:pgSz w:w="11900" w:h="16840"/>
          <w:pgMar w:top="1220" w:bottom="280" w:left="1680" w:right="1040"/>
        </w:sectPr>
      </w:pPr>
    </w:p>
    <w:p>
      <w:pPr>
        <w:pStyle w:val="ListParagraph"/>
        <w:numPr>
          <w:ilvl w:val="0"/>
          <w:numId w:val="11"/>
        </w:numPr>
        <w:tabs>
          <w:tab w:pos="884" w:val="left" w:leader="none"/>
        </w:tabs>
        <w:spacing w:line="235" w:lineRule="auto" w:before="51" w:after="0"/>
        <w:ind w:left="590" w:right="0" w:hanging="2"/>
        <w:jc w:val="both"/>
        <w:rPr>
          <w:sz w:val="21"/>
        </w:rPr>
      </w:pPr>
      <w:r>
        <w:rPr>
          <w:spacing w:val="20"/>
          <w:sz w:val="21"/>
        </w:rPr>
        <w:t>系统性红斑</w:t>
      </w:r>
      <w:r>
        <w:rPr>
          <w:spacing w:val="-30"/>
          <w:sz w:val="21"/>
        </w:rPr>
        <w:t>狼 疮 － Ⅲ 型 或</w:t>
      </w:r>
      <w:r>
        <w:rPr>
          <w:spacing w:val="-34"/>
          <w:sz w:val="21"/>
        </w:rPr>
        <w:t>以 上 狼 疮 性 肾炎</w:t>
      </w:r>
    </w:p>
    <w:p>
      <w:pPr>
        <w:pStyle w:val="BodyText"/>
        <w:spacing w:before="43"/>
        <w:ind w:left="171" w:right="163"/>
      </w:pPr>
      <w:r>
        <w:rPr/>
        <w:br w:type="column"/>
      </w:r>
      <w:r>
        <w:rPr/>
        <w:t>系统性红斑狼疮是由多种因素引起，累及多系统的自身免疫性疾病。其特点是生成自身抗体对抗多种自身抗原。多见于育龄妇女。</w:t>
      </w:r>
    </w:p>
    <w:p>
      <w:pPr>
        <w:pStyle w:val="BodyText"/>
        <w:spacing w:before="2"/>
        <w:rPr>
          <w:sz w:val="18"/>
        </w:rPr>
      </w:pPr>
    </w:p>
    <w:p>
      <w:pPr>
        <w:pStyle w:val="BodyText"/>
        <w:spacing w:line="274" w:lineRule="exact"/>
        <w:ind w:left="171"/>
      </w:pPr>
      <w:r>
        <w:rPr/>
        <w:t>本合同所指的系统性红斑狼疮仅限于累及肾脏（经肾脏活检确认的，符合</w:t>
      </w:r>
    </w:p>
    <w:p>
      <w:pPr>
        <w:pStyle w:val="BodyText"/>
        <w:ind w:left="171" w:right="163" w:hanging="1"/>
        <w:jc w:val="both"/>
      </w:pPr>
      <w:r>
        <w:rPr/>
        <w:t>WHO 诊断标准定义Ⅲ型或Ⅲ型以上狼疮性肾炎）的系统性红斑狼疮。其它类型的红斑性狼疮，如盘状狼疮、仅累及血液及关节的狼疮不在本合同保障范围内。</w:t>
      </w:r>
    </w:p>
    <w:p>
      <w:pPr>
        <w:pStyle w:val="BodyText"/>
        <w:spacing w:before="9"/>
        <w:rPr>
          <w:sz w:val="20"/>
        </w:rPr>
      </w:pPr>
    </w:p>
    <w:p>
      <w:pPr>
        <w:pStyle w:val="BodyText"/>
        <w:spacing w:line="282" w:lineRule="exact"/>
        <w:ind w:left="171"/>
        <w:jc w:val="both"/>
      </w:pPr>
      <w:r>
        <w:rPr/>
        <w:t>世界卫生组织（</w:t>
      </w:r>
      <w:r>
        <w:rPr>
          <w:rFonts w:ascii="Times New Roman" w:eastAsia="Times New Roman"/>
        </w:rPr>
        <w:t>WHO</w:t>
      </w:r>
      <w:r>
        <w:rPr/>
        <w:t>）狼疮性肾炎分型：</w:t>
      </w:r>
    </w:p>
    <w:p>
      <w:pPr>
        <w:pStyle w:val="BodyText"/>
        <w:spacing w:line="266" w:lineRule="exact"/>
        <w:ind w:left="171"/>
        <w:jc w:val="both"/>
      </w:pPr>
      <w:r>
        <w:rPr/>
        <w:t>Ⅰ型 微小病变型</w:t>
      </w:r>
    </w:p>
    <w:p>
      <w:pPr>
        <w:pStyle w:val="BodyText"/>
        <w:spacing w:line="272" w:lineRule="exact"/>
        <w:ind w:left="171"/>
        <w:jc w:val="both"/>
      </w:pPr>
      <w:r>
        <w:rPr/>
        <w:t>Ⅱ型 系膜病变型</w:t>
      </w:r>
    </w:p>
    <w:p>
      <w:pPr>
        <w:pStyle w:val="BodyText"/>
        <w:spacing w:line="272" w:lineRule="exact"/>
        <w:ind w:left="171"/>
        <w:jc w:val="both"/>
      </w:pPr>
      <w:r>
        <w:rPr/>
        <w:t>Ⅲ型 局灶及节段增生型</w:t>
      </w:r>
    </w:p>
    <w:p>
      <w:pPr>
        <w:pStyle w:val="BodyText"/>
        <w:spacing w:line="274" w:lineRule="exact"/>
        <w:ind w:left="171"/>
        <w:jc w:val="both"/>
      </w:pPr>
      <w:r>
        <w:rPr/>
        <w:t>Ⅳ型 弥漫增生型</w:t>
      </w:r>
    </w:p>
    <w:p>
      <w:pPr>
        <w:pStyle w:val="BodyText"/>
        <w:spacing w:line="274" w:lineRule="exact"/>
        <w:ind w:left="171"/>
        <w:jc w:val="both"/>
      </w:pPr>
      <w:r>
        <w:rPr/>
        <w:t>Ⅴ型 膜型</w:t>
      </w:r>
    </w:p>
    <w:p>
      <w:pPr>
        <w:pStyle w:val="BodyText"/>
        <w:spacing w:line="274" w:lineRule="exact"/>
        <w:ind w:left="171"/>
        <w:jc w:val="both"/>
      </w:pPr>
      <w:r>
        <w:rPr/>
        <w:t>Ⅵ型 肾小球硬化型</w:t>
      </w:r>
    </w:p>
    <w:p>
      <w:pPr>
        <w:spacing w:after="0" w:line="274" w:lineRule="exact"/>
        <w:jc w:val="both"/>
        <w:sectPr>
          <w:type w:val="continuous"/>
          <w:pgSz w:w="11900" w:h="16840"/>
          <w:pgMar w:top="1220" w:bottom="280" w:left="1680" w:right="1040"/>
          <w:cols w:num="2" w:equalWidth="0">
            <w:col w:w="2057" w:space="40"/>
            <w:col w:w="7083"/>
          </w:cols>
        </w:sectPr>
      </w:pPr>
    </w:p>
    <w:p>
      <w:pPr>
        <w:pStyle w:val="BodyText"/>
        <w:spacing w:before="11"/>
        <w:rPr>
          <w:sz w:val="17"/>
        </w:rPr>
      </w:pPr>
    </w:p>
    <w:p>
      <w:pPr>
        <w:pStyle w:val="BodyText"/>
        <w:spacing w:line="230" w:lineRule="auto" w:before="57"/>
        <w:ind w:left="2267" w:right="163" w:hanging="1680"/>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rPr>
          <w:sz w:val="18"/>
        </w:rPr>
      </w:pPr>
    </w:p>
    <w:p>
      <w:pPr>
        <w:spacing w:after="0"/>
        <w:rPr>
          <w:sz w:val="18"/>
        </w:rPr>
        <w:sectPr>
          <w:type w:val="continuous"/>
          <w:pgSz w:w="11900" w:h="16840"/>
          <w:pgMar w:top="1220" w:bottom="280" w:left="1680" w:right="1040"/>
        </w:sectPr>
      </w:pPr>
    </w:p>
    <w:p>
      <w:pPr>
        <w:spacing w:line="225" w:lineRule="auto" w:before="63"/>
        <w:ind w:left="590" w:right="0" w:hanging="3"/>
        <w:jc w:val="left"/>
        <w:rPr>
          <w:sz w:val="21"/>
        </w:rPr>
      </w:pPr>
      <w:r>
        <w:rPr>
          <w:rFonts w:ascii="Times New Roman" w:eastAsia="Times New Roman"/>
          <w:b/>
          <w:sz w:val="21"/>
        </w:rPr>
        <w:t>37. </w:t>
      </w:r>
      <w:r>
        <w:rPr>
          <w:sz w:val="21"/>
        </w:rPr>
        <w:t>严重溃疡性结肠炎</w:t>
      </w:r>
    </w:p>
    <w:p>
      <w:pPr>
        <w:pStyle w:val="BodyText"/>
        <w:spacing w:before="44"/>
        <w:ind w:left="173" w:right="163"/>
      </w:pPr>
      <w:r>
        <w:rPr/>
        <w:br w:type="column"/>
      </w:r>
      <w:r>
        <w:rPr/>
        <w:t>本合同所保障的溃疡性结肠炎是指伴有致命性电解质紊乱的急性暴发性溃疡性结肠炎，病变累及全结肠，表现为严重的血便和系统性症状体征，治</w:t>
      </w:r>
    </w:p>
    <w:p>
      <w:pPr>
        <w:spacing w:after="0"/>
        <w:sectPr>
          <w:type w:val="continuous"/>
          <w:pgSz w:w="11900" w:h="16840"/>
          <w:pgMar w:top="1220" w:bottom="280" w:left="1680" w:right="1040"/>
          <w:cols w:num="2" w:equalWidth="0">
            <w:col w:w="2055" w:space="40"/>
            <w:col w:w="7085"/>
          </w:cols>
        </w:sectPr>
      </w:pPr>
    </w:p>
    <w:p>
      <w:pPr>
        <w:pStyle w:val="BodyText"/>
        <w:spacing w:line="237" w:lineRule="auto" w:before="9"/>
        <w:ind w:left="2267" w:right="103"/>
      </w:pPr>
      <w:r>
        <w:rPr/>
        <w:t>疗通常采取全结肠切除和回肠造瘘术。溃疡性结肠炎必须根据组织病理学特点诊断，并且被保险人已经接受了结肠切除和回肠造瘘术。</w:t>
      </w:r>
    </w:p>
    <w:p>
      <w:pPr>
        <w:pStyle w:val="BodyText"/>
        <w:rPr>
          <w:sz w:val="18"/>
        </w:rPr>
      </w:pPr>
    </w:p>
    <w:p>
      <w:pPr>
        <w:spacing w:after="0"/>
        <w:rPr>
          <w:sz w:val="18"/>
        </w:rPr>
        <w:sectPr>
          <w:pgSz w:w="11900" w:h="16840"/>
          <w:pgMar w:top="1260" w:bottom="280" w:left="1680" w:right="1100"/>
        </w:sectPr>
      </w:pPr>
    </w:p>
    <w:p>
      <w:pPr>
        <w:pStyle w:val="BodyText"/>
        <w:spacing w:line="230" w:lineRule="auto" w:before="57"/>
        <w:ind w:left="590" w:hanging="3"/>
        <w:jc w:val="both"/>
      </w:pPr>
      <w:r>
        <w:rPr>
          <w:rFonts w:ascii="Times New Roman" w:eastAsia="Times New Roman"/>
          <w:b/>
        </w:rPr>
        <w:t>38.</w:t>
      </w:r>
      <w:r>
        <w:rPr/>
        <w:t>非阿尔茨海默病所致严重痴呆</w:t>
      </w:r>
    </w:p>
    <w:p>
      <w:pPr>
        <w:pStyle w:val="BodyText"/>
        <w:spacing w:line="237" w:lineRule="auto" w:before="46"/>
        <w:ind w:left="322" w:right="103"/>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spacing w:before="1"/>
        <w:ind w:left="322"/>
        <w:jc w:val="both"/>
      </w:pPr>
      <w:r>
        <w:rPr/>
        <w:t>神经官能症,精神疾病及酒精中毒所致脑损害不在保障范围内。</w:t>
      </w:r>
    </w:p>
    <w:p>
      <w:pPr>
        <w:spacing w:after="0"/>
        <w:jc w:val="both"/>
        <w:sectPr>
          <w:type w:val="continuous"/>
          <w:pgSz w:w="11900" w:h="16840"/>
          <w:pgMar w:top="1220" w:bottom="280" w:left="1680" w:right="1100"/>
          <w:cols w:num="2" w:equalWidth="0">
            <w:col w:w="1906" w:space="40"/>
            <w:col w:w="7174"/>
          </w:cols>
        </w:sectPr>
      </w:pPr>
    </w:p>
    <w:p>
      <w:pPr>
        <w:pStyle w:val="BodyText"/>
        <w:spacing w:before="1"/>
        <w:rPr>
          <w:sz w:val="18"/>
        </w:rPr>
      </w:pPr>
    </w:p>
    <w:p>
      <w:pPr>
        <w:pStyle w:val="BodyText"/>
        <w:tabs>
          <w:tab w:pos="1679" w:val="left" w:leader="none"/>
        </w:tabs>
        <w:spacing w:line="280" w:lineRule="exact" w:before="45"/>
        <w:ind w:right="166"/>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67"/>
      </w:pPr>
      <w:r>
        <w:rPr/>
        <w:t>（</w:t>
      </w:r>
      <w:r>
        <w:rPr>
          <w:rFonts w:ascii="Times New Roman" w:eastAsia="Times New Roman"/>
        </w:rPr>
        <w:t>1</w:t>
      </w:r>
      <w:r>
        <w:rPr/>
        <w:t>）过去两年中有哮喘持续状态病史；</w:t>
      </w:r>
    </w:p>
    <w:p>
      <w:pPr>
        <w:pStyle w:val="BodyText"/>
        <w:spacing w:line="274" w:lineRule="exact"/>
        <w:ind w:left="2267"/>
      </w:pPr>
      <w:r>
        <w:rPr/>
        <w:t>（</w:t>
      </w:r>
      <w:r>
        <w:rPr>
          <w:rFonts w:ascii="Times New Roman" w:eastAsia="Times New Roman"/>
        </w:rPr>
        <w:t>2</w:t>
      </w:r>
      <w:r>
        <w:rPr/>
        <w:t>）身体活动耐受能力显著且持续下降；</w:t>
      </w:r>
    </w:p>
    <w:p>
      <w:pPr>
        <w:pStyle w:val="BodyText"/>
        <w:spacing w:line="274" w:lineRule="exact"/>
        <w:ind w:left="2267"/>
      </w:pPr>
      <w:r>
        <w:rPr/>
        <w:t>（</w:t>
      </w:r>
      <w:r>
        <w:rPr>
          <w:rFonts w:ascii="Times New Roman" w:eastAsia="Times New Roman"/>
        </w:rPr>
        <w:t>3</w:t>
      </w:r>
      <w:r>
        <w:rPr/>
        <w:t>）慢性肺部过度膨胀充气导致的胸廓畸形；</w:t>
      </w:r>
    </w:p>
    <w:p>
      <w:pPr>
        <w:pStyle w:val="BodyText"/>
        <w:spacing w:line="282" w:lineRule="exact"/>
        <w:ind w:left="2267"/>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8"/>
        <w:rPr>
          <w:sz w:val="16"/>
        </w:rPr>
      </w:pPr>
    </w:p>
    <w:p>
      <w:pPr>
        <w:spacing w:after="0"/>
        <w:rPr>
          <w:sz w:val="16"/>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严重脊髓灰质炎</w:t>
      </w:r>
    </w:p>
    <w:p>
      <w:pPr>
        <w:pStyle w:val="BodyText"/>
        <w:spacing w:line="235" w:lineRule="auto" w:before="49"/>
        <w:ind w:left="173" w:right="101"/>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重症急性坏</w:t>
      </w:r>
      <w:r>
        <w:rPr>
          <w:spacing w:val="6"/>
          <w:sz w:val="21"/>
        </w:rPr>
        <w:t>死性筋膜炎</w:t>
      </w:r>
    </w:p>
    <w:p>
      <w:pPr>
        <w:pStyle w:val="BodyText"/>
        <w:spacing w:before="44"/>
        <w:ind w:left="173" w:right="103"/>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80" w:lineRule="exact"/>
        <w:ind w:left="173"/>
        <w:jc w:val="both"/>
      </w:pPr>
      <w:r>
        <w:rPr/>
        <w:t>（</w:t>
      </w:r>
      <w:r>
        <w:rPr>
          <w:rFonts w:ascii="Times New Roman" w:eastAsia="Times New Roman"/>
        </w:rPr>
        <w:t>1</w:t>
      </w:r>
      <w:r>
        <w:rPr/>
        <w:t>）细菌培养和临床表现符合坏死性筋膜炎诊断标准；</w:t>
      </w:r>
    </w:p>
    <w:p>
      <w:pPr>
        <w:pStyle w:val="BodyText"/>
        <w:spacing w:line="272" w:lineRule="exact"/>
        <w:ind w:left="173"/>
        <w:jc w:val="both"/>
      </w:pPr>
      <w:r>
        <w:rPr/>
        <w:t>（</w:t>
      </w:r>
      <w:r>
        <w:rPr>
          <w:rFonts w:ascii="Times New Roman" w:eastAsia="Times New Roman"/>
        </w:rPr>
        <w:t>2</w:t>
      </w:r>
      <w:r>
        <w:rPr/>
        <w:t>）病情迅速恶化，有脓毒血症表现；</w:t>
      </w:r>
    </w:p>
    <w:p>
      <w:pPr>
        <w:pStyle w:val="BodyText"/>
        <w:spacing w:line="282" w:lineRule="exact"/>
        <w:ind w:left="173"/>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11"/>
        <w:rPr>
          <w:sz w:val="16"/>
        </w:rPr>
      </w:pPr>
    </w:p>
    <w:p>
      <w:pPr>
        <w:pStyle w:val="BodyText"/>
        <w:tabs>
          <w:tab w:pos="2267" w:val="left" w:leader="none"/>
        </w:tabs>
        <w:spacing w:before="45"/>
        <w:ind w:left="587"/>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ind w:left="2267" w:right="103"/>
      </w:pPr>
      <w:r>
        <w:rPr/>
        <w:t>本合同仅对诊断性检查证实川崎病并发冠状动脉瘤或其他心血管异常并且实际接受了手术治疗的情况予以理赔。</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系统性硬皮病</w:t>
      </w:r>
    </w:p>
    <w:p>
      <w:pPr>
        <w:pStyle w:val="BodyText"/>
        <w:spacing w:line="237" w:lineRule="auto" w:before="46"/>
        <w:ind w:left="173" w:right="103"/>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1" w:lineRule="exact"/>
        <w:ind w:left="173"/>
        <w:jc w:val="both"/>
      </w:pPr>
      <w:r>
        <w:rPr/>
        <w:t>（</w:t>
      </w:r>
      <w:r>
        <w:rPr>
          <w:rFonts w:ascii="Times New Roman" w:eastAsia="Times New Roman"/>
        </w:rPr>
        <w:t>1</w:t>
      </w:r>
      <w:r>
        <w:rPr/>
        <w:t>）肺脏：肺部病变进而发展为肺间质纤维化和肺动脉高压；</w:t>
      </w:r>
    </w:p>
    <w:p>
      <w:pPr>
        <w:pStyle w:val="BodyText"/>
        <w:spacing w:line="274" w:lineRule="exact"/>
        <w:ind w:left="173"/>
        <w:jc w:val="both"/>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line="282" w:lineRule="exact"/>
        <w:ind w:left="173"/>
        <w:jc w:val="both"/>
      </w:pPr>
      <w:r>
        <w:rPr/>
        <w:t>（</w:t>
      </w:r>
      <w:r>
        <w:rPr>
          <w:rFonts w:ascii="Times New Roman" w:eastAsia="Times New Roman"/>
        </w:rPr>
        <w:t>3</w:t>
      </w:r>
      <w:r>
        <w:rPr/>
        <w:t>）肾脏：肾脏受损导致双肾功能慢性不可逆衰竭，达到尿毒症期。</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8"/>
        <w:rPr>
          <w:sz w:val="16"/>
        </w:rPr>
      </w:pPr>
    </w:p>
    <w:p>
      <w:pPr>
        <w:spacing w:after="0"/>
        <w:rPr>
          <w:sz w:val="16"/>
        </w:rPr>
        <w:sectPr>
          <w:type w:val="continuous"/>
          <w:pgSz w:w="11900" w:h="16840"/>
          <w:pgMar w:top="1220" w:bottom="280" w:left="1680" w:right="11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丝虫病所致象皮肿</w:t>
      </w:r>
    </w:p>
    <w:p>
      <w:pPr>
        <w:pStyle w:val="BodyText"/>
        <w:spacing w:line="232" w:lineRule="auto" w:before="52"/>
        <w:ind w:left="173" w:right="101"/>
        <w:jc w:val="both"/>
      </w:pPr>
      <w:r>
        <w:rPr/>
        <w:br w:type="column"/>
      </w:r>
      <w:r>
        <w:rPr>
          <w:spacing w:val="-3"/>
        </w:rPr>
        <w:t>指因丝虫感染导致淋巴阻塞性出现严重淋巴水肿，达到国际淋巴学会淋巴</w:t>
      </w:r>
      <w:r>
        <w:rPr>
          <w:spacing w:val="-4"/>
        </w:rPr>
        <w:t>水肿分期第Ⅲ期，临床表现为肢体象皮肿，患肢较健肢增粗 </w:t>
      </w:r>
      <w:r>
        <w:rPr>
          <w:rFonts w:ascii="Times New Roman" w:hAnsi="Times New Roman" w:eastAsia="Times New Roman"/>
        </w:rPr>
        <w:t>30%</w:t>
      </w:r>
      <w:r>
        <w:rPr>
          <w:spacing w:val="-3"/>
        </w:rPr>
        <w:t>以上，日常生活不能自理。</w:t>
      </w:r>
    </w:p>
    <w:p>
      <w:pPr>
        <w:spacing w:after="0" w:line="232" w:lineRule="auto"/>
        <w:jc w:val="both"/>
        <w:sectPr>
          <w:type w:val="continuous"/>
          <w:pgSz w:w="11900" w:h="16840"/>
          <w:pgMar w:top="1220" w:bottom="280" w:left="1680" w:right="1100"/>
          <w:cols w:num="2" w:equalWidth="0">
            <w:col w:w="2055" w:space="40"/>
            <w:col w:w="7025"/>
          </w:cols>
        </w:sectPr>
      </w:pPr>
    </w:p>
    <w:p>
      <w:pPr>
        <w:pStyle w:val="BodyText"/>
        <w:spacing w:before="11"/>
        <w:rPr>
          <w:sz w:val="17"/>
        </w:rPr>
      </w:pPr>
    </w:p>
    <w:p>
      <w:pPr>
        <w:pStyle w:val="BodyText"/>
        <w:tabs>
          <w:tab w:pos="2267" w:val="left" w:leader="none"/>
        </w:tabs>
        <w:spacing w:line="223" w:lineRule="auto" w:before="66"/>
        <w:ind w:left="2267" w:right="103" w:hanging="1680"/>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spacing w:before="1"/>
        <w:ind w:left="2267"/>
      </w:pPr>
      <w:r>
        <w:rPr/>
        <w:t>单纯胰岛移植、部分胰腺组织或细胞的移植不在保障范围内。</w:t>
      </w:r>
    </w:p>
    <w:p>
      <w:pPr>
        <w:spacing w:after="0"/>
        <w:sectPr>
          <w:type w:val="continuous"/>
          <w:pgSz w:w="11900" w:h="16840"/>
          <w:pgMar w:top="1220" w:bottom="280" w:left="1680" w:right="1100"/>
        </w:sectPr>
      </w:pPr>
    </w:p>
    <w:p>
      <w:pPr>
        <w:pStyle w:val="ListParagraph"/>
        <w:numPr>
          <w:ilvl w:val="1"/>
          <w:numId w:val="13"/>
        </w:numPr>
        <w:tabs>
          <w:tab w:pos="1464" w:val="left" w:leader="none"/>
        </w:tabs>
        <w:spacing w:line="230" w:lineRule="auto" w:before="40" w:after="0"/>
        <w:ind w:left="1170" w:right="0" w:hanging="2"/>
        <w:jc w:val="both"/>
        <w:rPr>
          <w:sz w:val="21"/>
        </w:rPr>
      </w:pPr>
      <w:r>
        <w:rPr>
          <w:spacing w:val="20"/>
          <w:sz w:val="21"/>
        </w:rPr>
        <w:t>急性坏死性</w:t>
      </w:r>
      <w:r>
        <w:rPr>
          <w:spacing w:val="-30"/>
          <w:sz w:val="21"/>
        </w:rPr>
        <w:t>胰 腺 炎 开 腹 手术</w:t>
      </w:r>
    </w:p>
    <w:p>
      <w:pPr>
        <w:pStyle w:val="BodyText"/>
        <w:spacing w:line="237" w:lineRule="auto" w:before="29"/>
        <w:ind w:left="171" w:right="103"/>
      </w:pPr>
      <w:r>
        <w:rPr/>
        <w:br w:type="column"/>
      </w:r>
      <w:r>
        <w:rPr/>
        <w:t>指为治疗急性坏死性胰腺炎，实际实施了开腹进行的坏死组织清除术、病灶切除术或胰腺部分切除术。</w:t>
      </w:r>
    </w:p>
    <w:p>
      <w:pPr>
        <w:pStyle w:val="BodyText"/>
        <w:spacing w:before="11"/>
      </w:pPr>
    </w:p>
    <w:p>
      <w:pPr>
        <w:pStyle w:val="BodyText"/>
        <w:ind w:left="171"/>
      </w:pPr>
      <w:r>
        <w:rPr/>
        <w:t>为治疗因酒精中毒引起的急性坏死性胰腺炎的开腹手术不在保障范围内。</w:t>
      </w:r>
    </w:p>
    <w:p>
      <w:pPr>
        <w:spacing w:after="0"/>
        <w:sectPr>
          <w:pgSz w:w="11900" w:h="16840"/>
          <w:pgMar w:top="1240" w:bottom="280" w:left="1100" w:right="1100"/>
          <w:cols w:num="2" w:equalWidth="0">
            <w:col w:w="2637" w:space="40"/>
            <w:col w:w="7023"/>
          </w:cols>
        </w:sectPr>
      </w:pPr>
    </w:p>
    <w:p>
      <w:pPr>
        <w:pStyle w:val="BodyText"/>
        <w:spacing w:before="11"/>
        <w:rPr>
          <w:sz w:val="17"/>
        </w:rPr>
      </w:pPr>
    </w:p>
    <w:p>
      <w:pPr>
        <w:spacing w:after="0"/>
        <w:rPr>
          <w:sz w:val="17"/>
        </w:rPr>
        <w:sectPr>
          <w:type w:val="continuous"/>
          <w:pgSz w:w="11900" w:h="16840"/>
          <w:pgMar w:top="1220" w:bottom="280" w:left="1100" w:right="1100"/>
        </w:sectPr>
      </w:pPr>
    </w:p>
    <w:p>
      <w:pPr>
        <w:pStyle w:val="ListParagraph"/>
        <w:numPr>
          <w:ilvl w:val="1"/>
          <w:numId w:val="13"/>
        </w:numPr>
        <w:tabs>
          <w:tab w:pos="1464" w:val="left" w:leader="none"/>
        </w:tabs>
        <w:spacing w:line="225" w:lineRule="auto" w:before="63" w:after="0"/>
        <w:ind w:left="1170" w:right="0" w:hanging="2"/>
        <w:jc w:val="left"/>
        <w:rPr>
          <w:sz w:val="21"/>
        </w:rPr>
      </w:pPr>
      <w:r>
        <w:rPr>
          <w:spacing w:val="20"/>
          <w:sz w:val="21"/>
        </w:rPr>
        <w:t>慢性复发性胰腺炎</w:t>
      </w:r>
    </w:p>
    <w:p>
      <w:pPr>
        <w:pStyle w:val="BodyText"/>
        <w:spacing w:line="230" w:lineRule="auto" w:before="54"/>
        <w:ind w:left="173" w:right="101"/>
        <w:jc w:val="both"/>
      </w:pPr>
      <w:r>
        <w:rPr/>
        <w:br w:type="column"/>
      </w:r>
      <w:r>
        <w:rPr>
          <w:spacing w:val="-3"/>
        </w:rPr>
        <w:t>指有腹痛等典型症状的胰腺炎反复发作，导致胰腺进行性破坏，并导致胰</w:t>
      </w:r>
      <w:r>
        <w:rPr>
          <w:spacing w:val="-8"/>
        </w:rPr>
        <w:t>腺功能紊乱而导致严重糖尿病以及营养不良、恶液质。</w:t>
      </w:r>
      <w:r>
        <w:rPr>
          <w:rFonts w:ascii="Times New Roman" w:eastAsia="Times New Roman"/>
        </w:rPr>
        <w:t>CT </w:t>
      </w:r>
      <w:r>
        <w:rPr>
          <w:spacing w:val="-3"/>
        </w:rPr>
        <w:t>检查证实胰腺存</w:t>
      </w:r>
      <w:r>
        <w:rPr>
          <w:spacing w:val="-4"/>
        </w:rPr>
        <w:t>在广泛钙化，且必须接受酶替代以及胰岛素替代治疗 </w:t>
      </w:r>
      <w:r>
        <w:rPr>
          <w:rFonts w:ascii="Times New Roman" w:eastAsia="Times New Roman"/>
        </w:rPr>
        <w:t>6 </w:t>
      </w:r>
      <w:r>
        <w:rPr>
          <w:spacing w:val="-3"/>
        </w:rPr>
        <w:t>个月以上。诊断必须由消化科专科医生确诊。</w:t>
      </w:r>
    </w:p>
    <w:p>
      <w:pPr>
        <w:pStyle w:val="BodyText"/>
        <w:spacing w:before="11"/>
      </w:pPr>
    </w:p>
    <w:p>
      <w:pPr>
        <w:pStyle w:val="BodyText"/>
        <w:ind w:left="173"/>
        <w:jc w:val="both"/>
      </w:pPr>
      <w:r>
        <w:rPr/>
        <w:t>酒精导致的慢性复发性胰腺炎不在保障范围内。</w:t>
      </w:r>
    </w:p>
    <w:p>
      <w:pPr>
        <w:spacing w:after="0"/>
        <w:jc w:val="both"/>
        <w:sectPr>
          <w:type w:val="continuous"/>
          <w:pgSz w:w="11900" w:h="16840"/>
          <w:pgMar w:top="1220" w:bottom="280" w:left="1100" w:right="1100"/>
          <w:cols w:num="2" w:equalWidth="0">
            <w:col w:w="2635" w:space="40"/>
            <w:col w:w="7025"/>
          </w:cols>
        </w:sectPr>
      </w:pPr>
    </w:p>
    <w:p>
      <w:pPr>
        <w:pStyle w:val="BodyText"/>
        <w:spacing w:before="11"/>
        <w:rPr>
          <w:sz w:val="17"/>
        </w:rPr>
      </w:pPr>
    </w:p>
    <w:p>
      <w:pPr>
        <w:pStyle w:val="BodyText"/>
        <w:spacing w:line="230" w:lineRule="auto" w:before="57"/>
        <w:ind w:left="2847" w:right="103" w:hanging="1680"/>
        <w:jc w:val="both"/>
      </w:pPr>
      <w:r>
        <w:rPr>
          <w:rFonts w:ascii="Times New Roman" w:eastAsia="Times New Roman"/>
          <w:b/>
        </w:rPr>
        <w:t>48.</w:t>
      </w:r>
      <w:r>
        <w:rPr>
          <w:spacing w:val="-3"/>
        </w:rPr>
        <w:t>疯牛病      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2847"/>
      </w:pPr>
      <w:r>
        <w:rPr/>
        <w:t>疑似诊断不作为理赔依据。</w:t>
      </w:r>
    </w:p>
    <w:p>
      <w:pPr>
        <w:pStyle w:val="BodyText"/>
        <w:spacing w:before="11"/>
        <w:rPr>
          <w:sz w:val="17"/>
        </w:rPr>
      </w:pPr>
    </w:p>
    <w:p>
      <w:pPr>
        <w:spacing w:after="0"/>
        <w:rPr>
          <w:sz w:val="17"/>
        </w:rPr>
        <w:sectPr>
          <w:type w:val="continuous"/>
          <w:pgSz w:w="11900" w:h="16840"/>
          <w:pgMar w:top="1220" w:bottom="280" w:left="1100" w:right="1100"/>
        </w:sectPr>
      </w:pPr>
    </w:p>
    <w:p>
      <w:pPr>
        <w:pStyle w:val="ListParagraph"/>
        <w:numPr>
          <w:ilvl w:val="0"/>
          <w:numId w:val="14"/>
        </w:numPr>
        <w:tabs>
          <w:tab w:pos="1464" w:val="left" w:leader="none"/>
        </w:tabs>
        <w:spacing w:line="225" w:lineRule="auto" w:before="63" w:after="0"/>
        <w:ind w:left="1170" w:right="0" w:hanging="2"/>
        <w:jc w:val="left"/>
        <w:rPr>
          <w:sz w:val="21"/>
        </w:rPr>
      </w:pPr>
      <w:r>
        <w:rPr>
          <w:spacing w:val="20"/>
          <w:sz w:val="21"/>
        </w:rPr>
        <w:t>肾髓质囊性病</w:t>
      </w:r>
    </w:p>
    <w:p>
      <w:pPr>
        <w:pStyle w:val="BodyText"/>
        <w:spacing w:line="274" w:lineRule="exact" w:before="43"/>
        <w:ind w:left="173"/>
      </w:pPr>
      <w:r>
        <w:rPr/>
        <w:br w:type="column"/>
      </w:r>
      <w:r>
        <w:rPr/>
        <w:t>肾髓质囊性病的诊断须同时符合下列要求：</w:t>
      </w:r>
    </w:p>
    <w:p>
      <w:pPr>
        <w:pStyle w:val="BodyText"/>
        <w:spacing w:line="282" w:lineRule="exact"/>
        <w:ind w:left="173"/>
      </w:pPr>
      <w:r>
        <w:rPr/>
        <w:t>（</w:t>
      </w:r>
      <w:r>
        <w:rPr>
          <w:rFonts w:ascii="Times New Roman" w:eastAsia="Times New Roman"/>
        </w:rPr>
        <w:t>1</w:t>
      </w:r>
      <w:r>
        <w:rPr/>
        <w:t>）肾髓质有囊肿、肾小管萎缩及间质纤维化等病理改变；</w:t>
      </w:r>
    </w:p>
    <w:p>
      <w:pPr>
        <w:pStyle w:val="BodyText"/>
        <w:spacing w:line="274" w:lineRule="exact"/>
        <w:ind w:left="173"/>
      </w:pPr>
      <w:r>
        <w:rPr/>
        <w:t>（</w:t>
      </w:r>
      <w:r>
        <w:rPr>
          <w:rFonts w:ascii="Times New Roman" w:eastAsia="Times New Roman"/>
        </w:rPr>
        <w:t>2</w:t>
      </w:r>
      <w:r>
        <w:rPr/>
        <w:t>）肾功能衰竭；</w:t>
      </w:r>
    </w:p>
    <w:p>
      <w:pPr>
        <w:pStyle w:val="BodyText"/>
        <w:spacing w:line="282" w:lineRule="exact"/>
        <w:ind w:left="173"/>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100" w:right="1100"/>
          <w:cols w:num="2" w:equalWidth="0">
            <w:col w:w="2635" w:space="40"/>
            <w:col w:w="7025"/>
          </w:cols>
        </w:sectPr>
      </w:pPr>
    </w:p>
    <w:p>
      <w:pPr>
        <w:pStyle w:val="BodyText"/>
        <w:spacing w:before="9"/>
        <w:rPr>
          <w:sz w:val="16"/>
        </w:rPr>
      </w:pPr>
    </w:p>
    <w:p>
      <w:pPr>
        <w:spacing w:after="0"/>
        <w:rPr>
          <w:sz w:val="16"/>
        </w:rPr>
        <w:sectPr>
          <w:type w:val="continuous"/>
          <w:pgSz w:w="11900" w:h="16840"/>
          <w:pgMar w:top="1220" w:bottom="280" w:left="1100" w:right="1100"/>
        </w:sectPr>
      </w:pPr>
    </w:p>
    <w:p>
      <w:pPr>
        <w:pStyle w:val="ListParagraph"/>
        <w:numPr>
          <w:ilvl w:val="0"/>
          <w:numId w:val="14"/>
        </w:numPr>
        <w:tabs>
          <w:tab w:pos="1464" w:val="left" w:leader="none"/>
        </w:tabs>
        <w:spacing w:line="225" w:lineRule="auto" w:before="63" w:after="0"/>
        <w:ind w:left="1170" w:right="0" w:hanging="2"/>
        <w:jc w:val="left"/>
        <w:rPr>
          <w:sz w:val="21"/>
        </w:rPr>
      </w:pPr>
      <w:r>
        <w:rPr>
          <w:spacing w:val="20"/>
          <w:sz w:val="21"/>
        </w:rPr>
        <w:t>原发性硬化</w:t>
      </w:r>
      <w:r>
        <w:rPr>
          <w:spacing w:val="8"/>
          <w:sz w:val="21"/>
        </w:rPr>
        <w:t>性胆管炎</w:t>
      </w:r>
    </w:p>
    <w:p>
      <w:pPr>
        <w:pStyle w:val="BodyText"/>
        <w:spacing w:before="43"/>
        <w:ind w:left="173" w:right="103"/>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79" w:lineRule="exact"/>
        <w:ind w:left="173"/>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line="274" w:lineRule="exact"/>
        <w:ind w:left="173"/>
        <w:jc w:val="both"/>
      </w:pPr>
      <w:r>
        <w:rPr/>
        <w:t>（</w:t>
      </w:r>
      <w:r>
        <w:rPr>
          <w:rFonts w:ascii="Times New Roman" w:eastAsia="Times New Roman"/>
        </w:rPr>
        <w:t>2</w:t>
      </w:r>
      <w:r>
        <w:rPr/>
        <w:t>）持续性黄疸病史；</w:t>
      </w:r>
    </w:p>
    <w:p>
      <w:pPr>
        <w:pStyle w:val="BodyText"/>
        <w:spacing w:line="282" w:lineRule="exact"/>
        <w:ind w:left="173"/>
        <w:jc w:val="both"/>
      </w:pPr>
      <w:r>
        <w:rPr/>
        <w:t>（</w:t>
      </w:r>
      <w:r>
        <w:rPr>
          <w:rFonts w:ascii="Times New Roman" w:eastAsia="Times New Roman"/>
        </w:rPr>
        <w:t>3</w:t>
      </w:r>
      <w:r>
        <w:rPr/>
        <w:t>）出现胆汁性肝硬化或门脉高压。</w:t>
      </w:r>
    </w:p>
    <w:p>
      <w:pPr>
        <w:pStyle w:val="BodyText"/>
        <w:rPr>
          <w:sz w:val="17"/>
        </w:rPr>
      </w:pPr>
    </w:p>
    <w:p>
      <w:pPr>
        <w:pStyle w:val="BodyText"/>
        <w:ind w:left="173"/>
        <w:jc w:val="both"/>
      </w:pPr>
      <w:r>
        <w:rPr/>
        <w:t>因肿瘤或胆管损伤等继发性的硬化性胆管炎不在保障范围内。</w:t>
      </w:r>
    </w:p>
    <w:p>
      <w:pPr>
        <w:spacing w:after="0"/>
        <w:jc w:val="both"/>
        <w:sectPr>
          <w:type w:val="continuous"/>
          <w:pgSz w:w="11900" w:h="16840"/>
          <w:pgMar w:top="1220" w:bottom="280" w:left="1100" w:right="1100"/>
          <w:cols w:num="2" w:equalWidth="0">
            <w:col w:w="2635" w:space="40"/>
            <w:col w:w="7025"/>
          </w:cols>
        </w:sectPr>
      </w:pPr>
    </w:p>
    <w:p>
      <w:pPr>
        <w:pStyle w:val="BodyText"/>
        <w:rPr>
          <w:sz w:val="20"/>
        </w:rPr>
      </w:pPr>
    </w:p>
    <w:p>
      <w:pPr>
        <w:pStyle w:val="BodyText"/>
        <w:spacing w:before="1"/>
        <w:rPr>
          <w:sz w:val="17"/>
        </w:rPr>
      </w:pPr>
    </w:p>
    <w:p>
      <w:pPr>
        <w:pStyle w:val="BodyText"/>
        <w:tabs>
          <w:tab w:pos="1170" w:val="left" w:leader="none"/>
          <w:tab w:pos="2847" w:val="left" w:leader="none"/>
        </w:tabs>
        <w:spacing w:before="36"/>
        <w:ind w:left="114"/>
      </w:pPr>
      <w:r>
        <w:rPr>
          <w:position w:val="1"/>
        </w:rPr>
        <w:t>附表</w:t>
      </w:r>
      <w:r>
        <w:rPr>
          <w:spacing w:val="-3"/>
          <w:position w:val="1"/>
        </w:rPr>
        <w:t>二</w:t>
      </w:r>
      <w:r>
        <w:rPr>
          <w:position w:val="1"/>
        </w:rPr>
        <w:t>：</w:t>
        <w:tab/>
        <w:t>轻症</w:t>
      </w:r>
      <w:r>
        <w:rPr>
          <w:spacing w:val="-3"/>
          <w:position w:val="1"/>
        </w:rPr>
        <w:t>疾</w:t>
      </w:r>
      <w:r>
        <w:rPr>
          <w:position w:val="1"/>
        </w:rPr>
        <w:t>病列表</w:t>
        <w:tab/>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rPr>
          <w:sz w:val="14"/>
        </w:rPr>
      </w:pPr>
    </w:p>
    <w:p>
      <w:pPr>
        <w:spacing w:after="0"/>
        <w:rPr>
          <w:sz w:val="14"/>
        </w:rPr>
        <w:sectPr>
          <w:type w:val="continuous"/>
          <w:pgSz w:w="11900" w:h="16840"/>
          <w:pgMar w:top="1220" w:bottom="280" w:left="1100" w:right="1100"/>
        </w:sectPr>
      </w:pPr>
    </w:p>
    <w:p>
      <w:pPr>
        <w:pStyle w:val="BodyText"/>
        <w:spacing w:line="232" w:lineRule="auto" w:before="54"/>
        <w:ind w:left="117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line="244" w:lineRule="auto" w:before="55"/>
        <w:ind w:left="171" w:right="137"/>
      </w:pPr>
      <w:r>
        <w:rPr/>
        <w:br w:type="column"/>
      </w:r>
      <w:r>
        <w:rPr/>
        <w:t>指经组织病理学检查被明确诊断为下列恶性病变，并且接受了相应的治疗。</w:t>
      </w:r>
    </w:p>
    <w:p>
      <w:pPr>
        <w:pStyle w:val="BodyText"/>
        <w:spacing w:line="285" w:lineRule="exact" w:before="1"/>
        <w:ind w:left="171"/>
        <w:jc w:val="both"/>
      </w:pPr>
      <w:r>
        <w:rPr/>
        <w:t>（</w:t>
      </w:r>
      <w:r>
        <w:rPr>
          <w:rFonts w:ascii="Times New Roman" w:eastAsia="Times New Roman"/>
        </w:rPr>
        <w:t>1</w:t>
      </w:r>
      <w:r>
        <w:rPr/>
        <w:t>）原位癌；</w:t>
      </w:r>
    </w:p>
    <w:p>
      <w:pPr>
        <w:pStyle w:val="BodyText"/>
        <w:spacing w:line="280" w:lineRule="exact"/>
        <w:ind w:left="171"/>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1" w:lineRule="exact"/>
        <w:ind w:left="17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jc w:val="both"/>
      </w:pPr>
      <w:r>
        <w:rPr/>
        <w:t>（</w:t>
      </w:r>
      <w:r>
        <w:rPr>
          <w:rFonts w:ascii="Times New Roman" w:eastAsia="Times New Roman"/>
        </w:rPr>
        <w:t>4</w:t>
      </w:r>
      <w:r>
        <w:rPr/>
        <w:t>）皮肤癌（不包括恶性黑色素瘤及已发Th转移的皮肤癌）；</w:t>
      </w:r>
    </w:p>
    <w:p>
      <w:pPr>
        <w:pStyle w:val="BodyText"/>
        <w:spacing w:line="285" w:lineRule="exact"/>
        <w:ind w:left="171"/>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rPr>
          <w:sz w:val="17"/>
        </w:rPr>
      </w:pPr>
    </w:p>
    <w:p>
      <w:pPr>
        <w:pStyle w:val="BodyText"/>
        <w:spacing w:line="237" w:lineRule="auto"/>
        <w:ind w:left="171" w:right="103"/>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spacing w:after="0" w:line="237" w:lineRule="auto"/>
        <w:jc w:val="both"/>
        <w:sectPr>
          <w:type w:val="continuous"/>
          <w:pgSz w:w="11900" w:h="16840"/>
          <w:pgMar w:top="1220" w:bottom="280" w:left="1100" w:right="1100"/>
          <w:cols w:num="2" w:equalWidth="0">
            <w:col w:w="2637" w:space="40"/>
            <w:col w:w="7023"/>
          </w:cols>
        </w:sectPr>
      </w:pPr>
    </w:p>
    <w:p>
      <w:pPr>
        <w:pStyle w:val="BodyText"/>
        <w:rPr>
          <w:sz w:val="18"/>
        </w:rPr>
      </w:pPr>
    </w:p>
    <w:p>
      <w:pPr>
        <w:spacing w:after="0"/>
        <w:rPr>
          <w:sz w:val="18"/>
        </w:rPr>
        <w:sectPr>
          <w:type w:val="continuous"/>
          <w:pgSz w:w="11900" w:h="16840"/>
          <w:pgMar w:top="1220" w:bottom="280" w:left="1100" w:right="1100"/>
        </w:sectPr>
      </w:pPr>
    </w:p>
    <w:p>
      <w:pPr>
        <w:pStyle w:val="BodyText"/>
        <w:spacing w:line="223" w:lineRule="auto" w:before="66"/>
        <w:ind w:left="1170" w:hanging="3"/>
      </w:pPr>
      <w:r>
        <w:rPr>
          <w:rFonts w:ascii="Times New Roman" w:eastAsia="Times New Roman"/>
          <w:b/>
        </w:rPr>
        <w:t>2.</w:t>
      </w:r>
      <w:r>
        <w:rPr/>
        <w:t>不典型的急性心肌梗塞</w:t>
      </w:r>
    </w:p>
    <w:p>
      <w:pPr>
        <w:pStyle w:val="BodyText"/>
        <w:spacing w:line="242" w:lineRule="auto" w:before="55"/>
        <w:ind w:left="171" w:right="9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71"/>
      </w:pPr>
      <w:r>
        <w:rPr/>
        <w:t>（</w:t>
      </w:r>
      <w:r>
        <w:rPr>
          <w:rFonts w:ascii="Times New Roman" w:eastAsia="Times New Roman"/>
        </w:rPr>
        <w:t>1</w:t>
      </w:r>
      <w:r>
        <w:rPr/>
        <w:t>）肌钙蛋白有诊断意义的升高；</w:t>
      </w:r>
    </w:p>
    <w:p>
      <w:pPr>
        <w:pStyle w:val="BodyText"/>
        <w:spacing w:line="286"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100" w:right="1100"/>
          <w:cols w:num="2" w:equalWidth="0">
            <w:col w:w="2637" w:space="40"/>
            <w:col w:w="7023"/>
          </w:cols>
        </w:sectPr>
      </w:pPr>
    </w:p>
    <w:p>
      <w:pPr>
        <w:pStyle w:val="BodyText"/>
        <w:spacing w:line="225" w:lineRule="auto" w:before="125"/>
        <w:ind w:left="590" w:hanging="3"/>
      </w:pPr>
      <w:r>
        <w:rPr>
          <w:rFonts w:ascii="Times New Roman" w:eastAsia="Times New Roman"/>
          <w:b/>
        </w:rPr>
        <w:t>3.</w:t>
      </w:r>
      <w:r>
        <w:rPr/>
        <w:t>冠状动脉介入手术</w:t>
      </w:r>
    </w:p>
    <w:p>
      <w:pPr>
        <w:pStyle w:val="BodyText"/>
        <w:spacing w:line="244" w:lineRule="auto" w:before="118"/>
        <w:ind w:left="171" w:right="137"/>
      </w:pPr>
      <w:r>
        <w:rPr/>
        <w:br w:type="column"/>
      </w:r>
      <w:r>
        <w:rPr/>
        <w:t>为了治疗明显的冠状动脉狭窄性疾病，首次实际实施了心导管球囊扩张术、冠状动脉支架植入术或激光冠状动脉成形术。</w:t>
      </w:r>
    </w:p>
    <w:p>
      <w:pPr>
        <w:spacing w:after="0" w:line="244" w:lineRule="auto"/>
        <w:sectPr>
          <w:pgSz w:w="11900" w:h="16840"/>
          <w:pgMar w:top="1600" w:bottom="280" w:left="1680" w:right="1100"/>
          <w:cols w:num="2" w:equalWidth="0">
            <w:col w:w="2057" w:space="40"/>
            <w:col w:w="7023"/>
          </w:cols>
        </w:sectPr>
      </w:pPr>
    </w:p>
    <w:p>
      <w:pPr>
        <w:pStyle w:val="BodyText"/>
        <w:spacing w:before="2"/>
        <w:rPr>
          <w:sz w:val="17"/>
        </w:rPr>
      </w:pPr>
    </w:p>
    <w:p>
      <w:pPr>
        <w:pStyle w:val="BodyText"/>
        <w:spacing w:line="232" w:lineRule="auto" w:before="55"/>
        <w:ind w:left="2267" w:right="134" w:hanging="1680"/>
        <w:jc w:val="both"/>
      </w:pPr>
      <w:r>
        <w:rPr>
          <w:rFonts w:ascii="Times New Roman" w:hAnsi="Times New Roman" w:eastAsia="Times New Roman"/>
          <w:b/>
          <w:position w:val="1"/>
        </w:rPr>
        <w:t>4.</w:t>
      </w:r>
      <w:r>
        <w:rPr>
          <w:spacing w:val="12"/>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spacing w:before="1"/>
        <w:ind w:left="2267"/>
      </w:pPr>
      <w:r>
        <w:rPr/>
        <w:t>短暂性脑缺血发作（TIA）和腔隙性脑梗塞不在保障范围内。</w:t>
      </w:r>
    </w:p>
    <w:p>
      <w:pPr>
        <w:pStyle w:val="BodyText"/>
        <w:spacing w:before="9"/>
        <w:rPr>
          <w:sz w:val="17"/>
        </w:rPr>
      </w:pPr>
    </w:p>
    <w:p>
      <w:pPr>
        <w:spacing w:after="0"/>
        <w:rPr>
          <w:sz w:val="17"/>
        </w:rPr>
        <w:sectPr>
          <w:type w:val="continuous"/>
          <w:pgSz w:w="11900" w:h="16840"/>
          <w:pgMar w:top="1220" w:bottom="280" w:left="1680" w:right="1100"/>
        </w:sectPr>
      </w:pPr>
    </w:p>
    <w:p>
      <w:pPr>
        <w:pStyle w:val="BodyText"/>
        <w:spacing w:line="223" w:lineRule="auto" w:before="66"/>
        <w:ind w:left="590" w:hanging="3"/>
      </w:pPr>
      <w:r>
        <w:rPr>
          <w:rFonts w:ascii="Times New Roman" w:eastAsia="Times New Roman"/>
          <w:b/>
        </w:rPr>
        <w:t>5.</w:t>
      </w:r>
      <w:r>
        <w:rPr/>
        <w:t>心脏瓣膜介入手术</w:t>
      </w:r>
    </w:p>
    <w:p>
      <w:pPr>
        <w:pStyle w:val="BodyText"/>
        <w:spacing w:line="242" w:lineRule="auto" w:before="55"/>
        <w:ind w:left="171" w:right="94"/>
      </w:pPr>
      <w:r>
        <w:rPr/>
        <w:br w:type="column"/>
      </w:r>
      <w:r>
        <w:rPr/>
        <w:t>为了治疗心脏瓣膜疾病，实际实施了非开胸的经胸壁打孔内镜手术或经皮经导管介入手术进行的心脏瓣膜置换或修复手术。</w:t>
      </w:r>
    </w:p>
    <w:p>
      <w:pPr>
        <w:spacing w:after="0" w:line="242" w:lineRule="auto"/>
        <w:sectPr>
          <w:type w:val="continuous"/>
          <w:pgSz w:w="11900" w:h="16840"/>
          <w:pgMar w:top="1220" w:bottom="280" w:left="1680" w:right="1100"/>
          <w:cols w:num="2" w:equalWidth="0">
            <w:col w:w="2057" w:space="40"/>
            <w:col w:w="7023"/>
          </w:cols>
        </w:sectPr>
      </w:pPr>
    </w:p>
    <w:p>
      <w:pPr>
        <w:pStyle w:val="BodyText"/>
        <w:spacing w:before="6"/>
        <w:rPr>
          <w:sz w:val="17"/>
        </w:rPr>
      </w:pPr>
    </w:p>
    <w:p>
      <w:pPr>
        <w:pStyle w:val="BodyText"/>
        <w:tabs>
          <w:tab w:pos="2267" w:val="left" w:leader="none"/>
        </w:tabs>
        <w:spacing w:line="237" w:lineRule="auto" w:before="49"/>
        <w:ind w:left="2267" w:right="13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2268" w:right="13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4"/>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5"/>
        <w:rPr>
          <w:sz w:val="19"/>
        </w:rPr>
      </w:pPr>
    </w:p>
    <w:p>
      <w:pPr>
        <w:pStyle w:val="BodyText"/>
        <w:spacing w:line="237" w:lineRule="auto"/>
        <w:ind w:left="2268" w:right="101"/>
      </w:pPr>
      <w:r>
        <w:rPr>
          <w:spacing w:val="-8"/>
        </w:rPr>
        <w:t>申请理赔时，被保险人年龄必须在</w:t>
      </w:r>
      <w:r>
        <w:rPr>
          <w:spacing w:val="-3"/>
        </w:rPr>
        <w:t>3</w:t>
      </w:r>
      <w:r>
        <w:rPr>
          <w:spacing w:val="-8"/>
        </w:rPr>
        <w:t>周岁以上，并且须提供理赔当时的视力</w:t>
      </w:r>
      <w:r>
        <w:rPr>
          <w:spacing w:val="-5"/>
        </w:rPr>
        <w:t>丧失诊断及检查证据。</w:t>
      </w:r>
    </w:p>
    <w:p>
      <w:pPr>
        <w:pStyle w:val="BodyText"/>
        <w:rPr>
          <w:sz w:val="18"/>
        </w:rPr>
      </w:pPr>
    </w:p>
    <w:p>
      <w:pPr>
        <w:spacing w:after="0"/>
        <w:rPr>
          <w:sz w:val="18"/>
        </w:rPr>
        <w:sectPr>
          <w:type w:val="continuous"/>
          <w:pgSz w:w="11900" w:h="16840"/>
          <w:pgMar w:top="1220" w:bottom="280" w:left="1680" w:right="1100"/>
        </w:sectPr>
      </w:pPr>
    </w:p>
    <w:p>
      <w:pPr>
        <w:pStyle w:val="BodyText"/>
        <w:spacing w:line="225" w:lineRule="auto" w:before="63"/>
        <w:ind w:left="590" w:hanging="3"/>
      </w:pPr>
      <w:r>
        <w:rPr>
          <w:rFonts w:ascii="Times New Roman" w:hAnsi="Times New Roman" w:eastAsia="Times New Roman"/>
          <w:b/>
        </w:rPr>
        <w:t>7.</w:t>
      </w:r>
      <w:r>
        <w:rPr/>
        <w:t>较小面积Ⅲ度烧伤</w:t>
      </w:r>
    </w:p>
    <w:p>
      <w:pPr>
        <w:pStyle w:val="BodyText"/>
        <w:spacing w:line="232" w:lineRule="auto" w:before="64"/>
        <w:ind w:left="171" w:right="9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100"/>
          <w:cols w:num="2" w:equalWidth="0">
            <w:col w:w="2057" w:space="40"/>
            <w:col w:w="7023"/>
          </w:cols>
        </w:sectPr>
      </w:pPr>
    </w:p>
    <w:p>
      <w:pPr>
        <w:pStyle w:val="BodyText"/>
        <w:spacing w:before="6"/>
        <w:rPr>
          <w:sz w:val="17"/>
        </w:rPr>
      </w:pPr>
    </w:p>
    <w:p>
      <w:pPr>
        <w:pStyle w:val="BodyText"/>
        <w:tabs>
          <w:tab w:pos="2267" w:val="left" w:leader="none"/>
        </w:tabs>
        <w:spacing w:before="45"/>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2267"/>
      </w:pPr>
      <w:r>
        <w:rPr/>
        <w:t>主动脉指胸主动脉和腹主动脉，不包括胸主动脉和腹主动脉的分支血管。</w:t>
      </w:r>
    </w:p>
    <w:p>
      <w:pPr>
        <w:pStyle w:val="BodyText"/>
        <w:spacing w:before="9"/>
        <w:rPr>
          <w:sz w:val="17"/>
        </w:rPr>
      </w:pPr>
    </w:p>
    <w:p>
      <w:pPr>
        <w:spacing w:after="0"/>
        <w:rPr>
          <w:sz w:val="17"/>
        </w:rPr>
        <w:sectPr>
          <w:type w:val="continuous"/>
          <w:pgSz w:w="11900" w:h="16840"/>
          <w:pgMar w:top="1220" w:bottom="280" w:left="1680" w:right="1100"/>
        </w:sectPr>
      </w:pPr>
    </w:p>
    <w:p>
      <w:pPr>
        <w:pStyle w:val="BodyText"/>
        <w:spacing w:line="230" w:lineRule="auto" w:before="57"/>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0" w:lineRule="auto" w:before="66"/>
        <w:ind w:left="171" w:right="13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5"/>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5" w:lineRule="exact"/>
        <w:ind w:left="171"/>
      </w:pPr>
      <w:r>
        <w:rPr/>
        <w:t>（</w:t>
      </w:r>
      <w:r>
        <w:rPr>
          <w:rFonts w:ascii="Times New Roman" w:eastAsia="Times New Roman"/>
        </w:rPr>
        <w:t>3</w:t>
      </w:r>
      <w:r>
        <w:rPr/>
        <w:t>）脑动脉瘤、脑血管瘤。</w:t>
      </w:r>
    </w:p>
    <w:p>
      <w:pPr>
        <w:spacing w:after="0" w:line="285" w:lineRule="exact"/>
        <w:sectPr>
          <w:type w:val="continuous"/>
          <w:pgSz w:w="11900" w:h="16840"/>
          <w:pgMar w:top="1220" w:bottom="280" w:left="1680" w:right="1100"/>
          <w:cols w:num="2" w:equalWidth="0">
            <w:col w:w="2057" w:space="40"/>
            <w:col w:w="7023"/>
          </w:cols>
        </w:sectPr>
      </w:pPr>
    </w:p>
    <w:p>
      <w:pPr>
        <w:pStyle w:val="BodyText"/>
        <w:spacing w:before="6"/>
        <w:rPr>
          <w:sz w:val="16"/>
        </w:rPr>
      </w:pPr>
    </w:p>
    <w:p>
      <w:pPr>
        <w:spacing w:after="0"/>
        <w:rPr>
          <w:sz w:val="16"/>
        </w:rPr>
        <w:sectPr>
          <w:type w:val="continuous"/>
          <w:pgSz w:w="11900" w:h="16840"/>
          <w:pgMar w:top="1220" w:bottom="280" w:left="1680" w:right="1100"/>
        </w:sectPr>
      </w:pPr>
    </w:p>
    <w:p>
      <w:pPr>
        <w:pStyle w:val="ListParagraph"/>
        <w:numPr>
          <w:ilvl w:val="0"/>
          <w:numId w:val="15"/>
        </w:numPr>
        <w:tabs>
          <w:tab w:pos="884" w:val="left" w:leader="none"/>
        </w:tabs>
        <w:spacing w:line="223" w:lineRule="auto" w:before="66" w:after="0"/>
        <w:ind w:left="590" w:right="0" w:hanging="2"/>
        <w:jc w:val="left"/>
        <w:rPr>
          <w:sz w:val="21"/>
        </w:rPr>
      </w:pPr>
      <w:r>
        <w:rPr>
          <w:spacing w:val="20"/>
          <w:sz w:val="21"/>
        </w:rPr>
        <w:t>重度头部外伤</w:t>
      </w:r>
    </w:p>
    <w:p>
      <w:pPr>
        <w:pStyle w:val="BodyText"/>
        <w:spacing w:line="235" w:lineRule="auto" w:before="60"/>
        <w:ind w:left="173" w:right="13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p>
      <w:pPr>
        <w:spacing w:after="0" w:line="235" w:lineRule="auto"/>
        <w:jc w:val="both"/>
        <w:sectPr>
          <w:type w:val="continuous"/>
          <w:pgSz w:w="11900" w:h="16840"/>
          <w:pgMar w:top="1220" w:bottom="280" w:left="1680" w:right="1100"/>
          <w:cols w:num="2" w:equalWidth="0">
            <w:col w:w="2055" w:space="40"/>
            <w:col w:w="7025"/>
          </w:cols>
        </w:sectPr>
      </w:pPr>
    </w:p>
    <w:p>
      <w:pPr>
        <w:pStyle w:val="BodyText"/>
        <w:spacing w:before="8"/>
        <w:rPr>
          <w:sz w:val="17"/>
        </w:rPr>
      </w:pPr>
    </w:p>
    <w:p>
      <w:pPr>
        <w:spacing w:after="0"/>
        <w:rPr>
          <w:sz w:val="17"/>
        </w:rPr>
        <w:sectPr>
          <w:type w:val="continuous"/>
          <w:pgSz w:w="11900" w:h="16840"/>
          <w:pgMar w:top="1220" w:bottom="280" w:left="1680" w:right="1100"/>
        </w:sectPr>
      </w:pPr>
    </w:p>
    <w:p>
      <w:pPr>
        <w:pStyle w:val="ListParagraph"/>
        <w:numPr>
          <w:ilvl w:val="0"/>
          <w:numId w:val="15"/>
        </w:numPr>
        <w:tabs>
          <w:tab w:pos="874" w:val="left" w:leader="none"/>
        </w:tabs>
        <w:spacing w:line="223" w:lineRule="auto" w:before="66" w:after="0"/>
        <w:ind w:left="590" w:right="0" w:hanging="2"/>
        <w:jc w:val="left"/>
        <w:rPr>
          <w:sz w:val="21"/>
        </w:rPr>
      </w:pPr>
      <w:r>
        <w:rPr>
          <w:spacing w:val="23"/>
          <w:sz w:val="21"/>
        </w:rPr>
        <w:t>单个肢体缺失</w:t>
      </w:r>
    </w:p>
    <w:p>
      <w:pPr>
        <w:pStyle w:val="BodyText"/>
        <w:spacing w:line="237" w:lineRule="auto" w:before="46"/>
        <w:ind w:left="173" w:right="103"/>
      </w:pPr>
      <w:r>
        <w:rPr/>
        <w:br w:type="column"/>
      </w:r>
      <w:r>
        <w:rPr/>
        <w:t>指因疾病或意外伤害导致一个肢体自腕关节或踝关节近端（靠近躯干端） 以上完全性断离。</w:t>
      </w:r>
    </w:p>
    <w:p>
      <w:pPr>
        <w:spacing w:after="0" w:line="237" w:lineRule="auto"/>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5"/>
        </w:numPr>
        <w:tabs>
          <w:tab w:pos="884" w:val="left" w:leader="none"/>
        </w:tabs>
        <w:spacing w:line="223" w:lineRule="auto" w:before="66" w:after="0"/>
        <w:ind w:left="590" w:right="0" w:hanging="2"/>
        <w:jc w:val="left"/>
        <w:rPr>
          <w:sz w:val="21"/>
        </w:rPr>
      </w:pPr>
      <w:r>
        <w:rPr>
          <w:spacing w:val="20"/>
          <w:sz w:val="21"/>
        </w:rPr>
        <w:t>川崎病合并</w:t>
      </w:r>
      <w:r>
        <w:rPr>
          <w:spacing w:val="5"/>
          <w:sz w:val="21"/>
        </w:rPr>
        <w:t>冠状动脉扩张</w:t>
      </w:r>
    </w:p>
    <w:p>
      <w:pPr>
        <w:pStyle w:val="BodyText"/>
        <w:spacing w:before="43"/>
        <w:ind w:left="173"/>
      </w:pPr>
      <w:r>
        <w:rPr/>
        <w:br w:type="column"/>
      </w:r>
      <w:r>
        <w:rPr/>
        <w:t>川崎病为一种病因不明的系统性血管炎。</w:t>
      </w:r>
    </w:p>
    <w:p>
      <w:pPr>
        <w:pStyle w:val="BodyText"/>
        <w:spacing w:before="2"/>
        <w:rPr>
          <w:sz w:val="18"/>
        </w:rPr>
      </w:pPr>
    </w:p>
    <w:p>
      <w:pPr>
        <w:pStyle w:val="BodyText"/>
        <w:spacing w:before="1"/>
        <w:ind w:left="173" w:right="103"/>
      </w:pPr>
      <w:r>
        <w:rPr/>
        <w:t>本合同仅对诊断性检查证实川崎病并发冠状动脉瘤或其他心血管异常，但未接受手术治疗的情况予以赔付。</w:t>
      </w:r>
    </w:p>
    <w:p>
      <w:pPr>
        <w:spacing w:after="0"/>
        <w:sectPr>
          <w:type w:val="continuous"/>
          <w:pgSz w:w="11900" w:h="16840"/>
          <w:pgMar w:top="1220" w:bottom="280" w:left="1680" w:right="1100"/>
          <w:cols w:num="2" w:equalWidth="0">
            <w:col w:w="2055" w:space="40"/>
            <w:col w:w="7025"/>
          </w:cols>
        </w:sectPr>
      </w:pPr>
    </w:p>
    <w:p>
      <w:pPr>
        <w:pStyle w:val="ListParagraph"/>
        <w:numPr>
          <w:ilvl w:val="0"/>
          <w:numId w:val="15"/>
        </w:numPr>
        <w:tabs>
          <w:tab w:pos="884" w:val="left" w:leader="none"/>
        </w:tabs>
        <w:spacing w:line="223" w:lineRule="auto" w:before="49" w:after="0"/>
        <w:ind w:left="590" w:right="0" w:hanging="2"/>
        <w:jc w:val="left"/>
        <w:rPr>
          <w:sz w:val="21"/>
        </w:rPr>
      </w:pPr>
      <w:r>
        <w:rPr>
          <w:spacing w:val="20"/>
          <w:sz w:val="21"/>
        </w:rPr>
        <w:t>严重脑炎或脑膜炎</w:t>
      </w:r>
    </w:p>
    <w:p>
      <w:pPr>
        <w:pStyle w:val="BodyText"/>
        <w:spacing w:line="230" w:lineRule="auto" w:before="37"/>
        <w:ind w:left="173" w:right="181"/>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173"/>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73"/>
      </w:pPr>
      <w:r>
        <w:rPr/>
        <w:t>（</w:t>
      </w:r>
      <w:r>
        <w:rPr>
          <w:rFonts w:ascii="Times New Roman" w:eastAsia="Times New Roman"/>
        </w:rPr>
        <w:t>2</w:t>
      </w:r>
      <w:r>
        <w:rPr/>
        <w:t>）</w:t>
      </w:r>
      <w:r>
        <w:rPr>
          <w:spacing w:val="-7"/>
        </w:rPr>
        <w:t>听力丧失，双耳平均听阈大于 </w:t>
      </w:r>
      <w:r>
        <w:rPr>
          <w:rFonts w:ascii="Times New Roman" w:eastAsia="Times New Roman"/>
        </w:rPr>
        <w:t>55 </w:t>
      </w:r>
      <w:r>
        <w:rPr>
          <w:spacing w:val="-7"/>
        </w:rPr>
        <w:t>分贝或一耳平均听阈大于 </w:t>
      </w:r>
      <w:r>
        <w:rPr>
          <w:rFonts w:ascii="Times New Roman" w:eastAsia="Times New Roman"/>
        </w:rPr>
        <w:t>90 </w:t>
      </w:r>
      <w:r>
        <w:rPr>
          <w:spacing w:val="-2"/>
        </w:rPr>
        <w:t>分贝；</w:t>
      </w:r>
    </w:p>
    <w:p>
      <w:pPr>
        <w:pStyle w:val="BodyText"/>
        <w:spacing w:line="272" w:lineRule="exact"/>
        <w:ind w:left="173"/>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9"/>
        <w:ind w:left="173" w:right="181"/>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5" w:lineRule="auto"/>
        <w:sectPr>
          <w:pgSz w:w="11900" w:h="16840"/>
          <w:pgMar w:top="1240" w:bottom="280" w:left="1680" w:right="1020"/>
          <w:cols w:num="2" w:equalWidth="0">
            <w:col w:w="2055" w:space="40"/>
            <w:col w:w="7105"/>
          </w:cols>
        </w:sectPr>
      </w:pPr>
    </w:p>
    <w:p>
      <w:pPr>
        <w:pStyle w:val="BodyText"/>
        <w:spacing w:before="11"/>
        <w:rPr>
          <w:sz w:val="17"/>
        </w:rPr>
      </w:pPr>
    </w:p>
    <w:p>
      <w:pPr>
        <w:pStyle w:val="BodyText"/>
        <w:spacing w:line="230" w:lineRule="auto" w:before="57"/>
        <w:ind w:left="2267" w:right="183" w:hanging="1680"/>
        <w:jc w:val="both"/>
      </w:pPr>
      <w:r>
        <w:rPr>
          <w:rFonts w:ascii="Times New Roman" w:eastAsia="Times New Roman"/>
          <w:b/>
        </w:rPr>
        <w:t>14.</w:t>
      </w:r>
      <w:r>
        <w:rPr>
          <w:spacing w:val="-3"/>
        </w:rPr>
        <w:t>脊髓灰质炎  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rPr>
        <w:t>90 </w:t>
      </w:r>
      <w:r>
        <w:rPr>
          <w:spacing w:val="-1"/>
        </w:rPr>
        <w:t>天以上的情况予以理赔。</w:t>
      </w:r>
    </w:p>
    <w:sectPr>
      <w:type w:val="continuous"/>
      <w:pgSz w:w="11900" w:h="16840"/>
      <w:pgMar w:top="1220" w:bottom="280" w:left="16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3">
    <w:multiLevelType w:val="hybridMultilevel"/>
    <w:lvl w:ilvl="0">
      <w:start w:val="49"/>
      <w:numFmt w:val="decimal"/>
      <w:lvlText w:val="%1."/>
      <w:lvlJc w:val="left"/>
      <w:pPr>
        <w:ind w:left="117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1325" w:hanging="296"/>
      </w:pPr>
      <w:rPr>
        <w:rFonts w:hint="default"/>
      </w:rPr>
    </w:lvl>
    <w:lvl w:ilvl="2">
      <w:start w:val="0"/>
      <w:numFmt w:val="bullet"/>
      <w:lvlText w:val="•"/>
      <w:lvlJc w:val="left"/>
      <w:pPr>
        <w:ind w:left="1470" w:hanging="296"/>
      </w:pPr>
      <w:rPr>
        <w:rFonts w:hint="default"/>
      </w:rPr>
    </w:lvl>
    <w:lvl w:ilvl="3">
      <w:start w:val="0"/>
      <w:numFmt w:val="bullet"/>
      <w:lvlText w:val="•"/>
      <w:lvlJc w:val="left"/>
      <w:pPr>
        <w:ind w:left="1616" w:hanging="296"/>
      </w:pPr>
      <w:rPr>
        <w:rFonts w:hint="default"/>
      </w:rPr>
    </w:lvl>
    <w:lvl w:ilvl="4">
      <w:start w:val="0"/>
      <w:numFmt w:val="bullet"/>
      <w:lvlText w:val="•"/>
      <w:lvlJc w:val="left"/>
      <w:pPr>
        <w:ind w:left="1761" w:hanging="296"/>
      </w:pPr>
      <w:rPr>
        <w:rFonts w:hint="default"/>
      </w:rPr>
    </w:lvl>
    <w:lvl w:ilvl="5">
      <w:start w:val="0"/>
      <w:numFmt w:val="bullet"/>
      <w:lvlText w:val="•"/>
      <w:lvlJc w:val="left"/>
      <w:pPr>
        <w:ind w:left="1907" w:hanging="296"/>
      </w:pPr>
      <w:rPr>
        <w:rFonts w:hint="default"/>
      </w:rPr>
    </w:lvl>
    <w:lvl w:ilvl="6">
      <w:start w:val="0"/>
      <w:numFmt w:val="bullet"/>
      <w:lvlText w:val="•"/>
      <w:lvlJc w:val="left"/>
      <w:pPr>
        <w:ind w:left="2052" w:hanging="296"/>
      </w:pPr>
      <w:rPr>
        <w:rFonts w:hint="default"/>
      </w:rPr>
    </w:lvl>
    <w:lvl w:ilvl="7">
      <w:start w:val="0"/>
      <w:numFmt w:val="bullet"/>
      <w:lvlText w:val="•"/>
      <w:lvlJc w:val="left"/>
      <w:pPr>
        <w:ind w:left="2197" w:hanging="296"/>
      </w:pPr>
      <w:rPr>
        <w:rFonts w:hint="default"/>
      </w:rPr>
    </w:lvl>
    <w:lvl w:ilvl="8">
      <w:start w:val="0"/>
      <w:numFmt w:val="bullet"/>
      <w:lvlText w:val="•"/>
      <w:lvlJc w:val="left"/>
      <w:pPr>
        <w:ind w:left="2343" w:hanging="296"/>
      </w:pPr>
      <w:rPr>
        <w:rFonts w:hint="default"/>
      </w:rPr>
    </w:lvl>
  </w:abstractNum>
  <w:abstractNum w:abstractNumId="12">
    <w:multiLevelType w:val="hybridMultilevel"/>
    <w:lvl w:ilvl="0">
      <w:start w:val="43"/>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46"/>
      <w:numFmt w:val="decimal"/>
      <w:lvlText w:val="%2."/>
      <w:lvlJc w:val="left"/>
      <w:pPr>
        <w:ind w:left="1170" w:hanging="296"/>
        <w:jc w:val="left"/>
      </w:pPr>
      <w:rPr>
        <w:rFonts w:hint="default" w:ascii="Times New Roman" w:hAnsi="Times New Roman" w:eastAsia="Times New Roman" w:cs="Times New Roman"/>
        <w:b/>
        <w:bCs/>
        <w:w w:val="100"/>
        <w:sz w:val="21"/>
        <w:szCs w:val="21"/>
      </w:rPr>
    </w:lvl>
    <w:lvl w:ilvl="2">
      <w:start w:val="0"/>
      <w:numFmt w:val="bullet"/>
      <w:lvlText w:val="•"/>
      <w:lvlJc w:val="left"/>
      <w:pPr>
        <w:ind w:left="1277" w:hanging="296"/>
      </w:pPr>
      <w:rPr>
        <w:rFonts w:hint="default"/>
      </w:rPr>
    </w:lvl>
    <w:lvl w:ilvl="3">
      <w:start w:val="0"/>
      <w:numFmt w:val="bullet"/>
      <w:lvlText w:val="•"/>
      <w:lvlJc w:val="left"/>
      <w:pPr>
        <w:ind w:left="1374" w:hanging="296"/>
      </w:pPr>
      <w:rPr>
        <w:rFonts w:hint="default"/>
      </w:rPr>
    </w:lvl>
    <w:lvl w:ilvl="4">
      <w:start w:val="0"/>
      <w:numFmt w:val="bullet"/>
      <w:lvlText w:val="•"/>
      <w:lvlJc w:val="left"/>
      <w:pPr>
        <w:ind w:left="1471" w:hanging="296"/>
      </w:pPr>
      <w:rPr>
        <w:rFonts w:hint="default"/>
      </w:rPr>
    </w:lvl>
    <w:lvl w:ilvl="5">
      <w:start w:val="0"/>
      <w:numFmt w:val="bullet"/>
      <w:lvlText w:val="•"/>
      <w:lvlJc w:val="left"/>
      <w:pPr>
        <w:ind w:left="1568" w:hanging="296"/>
      </w:pPr>
      <w:rPr>
        <w:rFonts w:hint="default"/>
      </w:rPr>
    </w:lvl>
    <w:lvl w:ilvl="6">
      <w:start w:val="0"/>
      <w:numFmt w:val="bullet"/>
      <w:lvlText w:val="•"/>
      <w:lvlJc w:val="left"/>
      <w:pPr>
        <w:ind w:left="1665" w:hanging="296"/>
      </w:pPr>
      <w:rPr>
        <w:rFonts w:hint="default"/>
      </w:rPr>
    </w:lvl>
    <w:lvl w:ilvl="7">
      <w:start w:val="0"/>
      <w:numFmt w:val="bullet"/>
      <w:lvlText w:val="•"/>
      <w:lvlJc w:val="left"/>
      <w:pPr>
        <w:ind w:left="1762" w:hanging="296"/>
      </w:pPr>
      <w:rPr>
        <w:rFonts w:hint="default"/>
      </w:rPr>
    </w:lvl>
    <w:lvl w:ilvl="8">
      <w:start w:val="0"/>
      <w:numFmt w:val="bullet"/>
      <w:lvlText w:val="•"/>
      <w:lvlJc w:val="left"/>
      <w:pPr>
        <w:ind w:left="1859" w:hanging="296"/>
      </w:pPr>
      <w:rPr>
        <w:rFonts w:hint="default"/>
      </w:rPr>
    </w:lvl>
  </w:abstractNum>
  <w:abstractNum w:abstractNumId="11">
    <w:multiLevelType w:val="hybridMultilevel"/>
    <w:lvl w:ilvl="0">
      <w:start w:val="4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0">
    <w:multiLevelType w:val="hybridMultilevel"/>
    <w:lvl w:ilvl="0">
      <w:start w:val="32"/>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9">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6">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5">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92" w:hanging="574"/>
      </w:pPr>
      <w:rPr>
        <w:rFonts w:hint="default"/>
      </w:rPr>
    </w:lvl>
    <w:lvl w:ilvl="3">
      <w:start w:val="0"/>
      <w:numFmt w:val="bullet"/>
      <w:lvlText w:val="•"/>
      <w:lvlJc w:val="left"/>
      <w:pPr>
        <w:ind w:left="4498" w:hanging="574"/>
      </w:pPr>
      <w:rPr>
        <w:rFonts w:hint="default"/>
      </w:rPr>
    </w:lvl>
    <w:lvl w:ilvl="4">
      <w:start w:val="0"/>
      <w:numFmt w:val="bullet"/>
      <w:lvlText w:val="•"/>
      <w:lvlJc w:val="left"/>
      <w:pPr>
        <w:ind w:left="5204" w:hanging="574"/>
      </w:pPr>
      <w:rPr>
        <w:rFonts w:hint="default"/>
      </w:rPr>
    </w:lvl>
    <w:lvl w:ilvl="5">
      <w:start w:val="0"/>
      <w:numFmt w:val="bullet"/>
      <w:lvlText w:val="•"/>
      <w:lvlJc w:val="left"/>
      <w:pPr>
        <w:ind w:left="5910" w:hanging="574"/>
      </w:pPr>
      <w:rPr>
        <w:rFonts w:hint="default"/>
      </w:rPr>
    </w:lvl>
    <w:lvl w:ilvl="6">
      <w:start w:val="0"/>
      <w:numFmt w:val="bullet"/>
      <w:lvlText w:val="•"/>
      <w:lvlJc w:val="left"/>
      <w:pPr>
        <w:ind w:left="6616" w:hanging="574"/>
      </w:pPr>
      <w:rPr>
        <w:rFonts w:hint="default"/>
      </w:rPr>
    </w:lvl>
    <w:lvl w:ilvl="7">
      <w:start w:val="0"/>
      <w:numFmt w:val="bullet"/>
      <w:lvlText w:val="•"/>
      <w:lvlJc w:val="left"/>
      <w:pPr>
        <w:ind w:left="7322" w:hanging="574"/>
      </w:pPr>
      <w:rPr>
        <w:rFonts w:hint="default"/>
      </w:rPr>
    </w:lvl>
    <w:lvl w:ilvl="8">
      <w:start w:val="0"/>
      <w:numFmt w:val="bullet"/>
      <w:lvlText w:val="•"/>
      <w:lvlJc w:val="left"/>
      <w:pPr>
        <w:ind w:left="8028" w:hanging="574"/>
      </w:pPr>
      <w:rPr>
        <w:rFonts w:hint="default"/>
      </w:rPr>
    </w:lvl>
  </w:abstractNum>
  <w:abstractNum w:abstractNumId="4">
    <w:multiLevelType w:val="hybridMultilevel"/>
    <w:lvl w:ilvl="0">
      <w:start w:val="1"/>
      <w:numFmt w:val="decimal"/>
      <w:lvlText w:val="（%1）"/>
      <w:lvlJc w:val="left"/>
      <w:pPr>
        <w:ind w:left="3347" w:hanging="720"/>
        <w:jc w:val="left"/>
      </w:pPr>
      <w:rPr>
        <w:rFonts w:hint="default" w:ascii="宋体" w:hAnsi="宋体" w:eastAsia="宋体" w:cs="宋体"/>
        <w:w w:val="100"/>
        <w:sz w:val="21"/>
        <w:szCs w:val="21"/>
      </w:rPr>
    </w:lvl>
    <w:lvl w:ilvl="1">
      <w:start w:val="0"/>
      <w:numFmt w:val="bullet"/>
      <w:lvlText w:val="•"/>
      <w:lvlJc w:val="left"/>
      <w:pPr>
        <w:ind w:left="3380" w:hanging="720"/>
      </w:pPr>
      <w:rPr>
        <w:rFonts w:hint="default"/>
      </w:rPr>
    </w:lvl>
    <w:lvl w:ilvl="2">
      <w:start w:val="0"/>
      <w:numFmt w:val="bullet"/>
      <w:lvlText w:val="•"/>
      <w:lvlJc w:val="left"/>
      <w:pPr>
        <w:ind w:left="4064" w:hanging="720"/>
      </w:pPr>
      <w:rPr>
        <w:rFonts w:hint="default"/>
      </w:rPr>
    </w:lvl>
    <w:lvl w:ilvl="3">
      <w:start w:val="0"/>
      <w:numFmt w:val="bullet"/>
      <w:lvlText w:val="•"/>
      <w:lvlJc w:val="left"/>
      <w:pPr>
        <w:ind w:left="4748" w:hanging="720"/>
      </w:pPr>
      <w:rPr>
        <w:rFonts w:hint="default"/>
      </w:rPr>
    </w:lvl>
    <w:lvl w:ilvl="4">
      <w:start w:val="0"/>
      <w:numFmt w:val="bullet"/>
      <w:lvlText w:val="•"/>
      <w:lvlJc w:val="left"/>
      <w:pPr>
        <w:ind w:left="5433" w:hanging="720"/>
      </w:pPr>
      <w:rPr>
        <w:rFonts w:hint="default"/>
      </w:rPr>
    </w:lvl>
    <w:lvl w:ilvl="5">
      <w:start w:val="0"/>
      <w:numFmt w:val="bullet"/>
      <w:lvlText w:val="•"/>
      <w:lvlJc w:val="left"/>
      <w:pPr>
        <w:ind w:left="6117" w:hanging="720"/>
      </w:pPr>
      <w:rPr>
        <w:rFonts w:hint="default"/>
      </w:rPr>
    </w:lvl>
    <w:lvl w:ilvl="6">
      <w:start w:val="0"/>
      <w:numFmt w:val="bullet"/>
      <w:lvlText w:val="•"/>
      <w:lvlJc w:val="left"/>
      <w:pPr>
        <w:ind w:left="6802" w:hanging="720"/>
      </w:pPr>
      <w:rPr>
        <w:rFonts w:hint="default"/>
      </w:rPr>
    </w:lvl>
    <w:lvl w:ilvl="7">
      <w:start w:val="0"/>
      <w:numFmt w:val="bullet"/>
      <w:lvlText w:val="•"/>
      <w:lvlJc w:val="left"/>
      <w:pPr>
        <w:ind w:left="7486" w:hanging="720"/>
      </w:pPr>
      <w:rPr>
        <w:rFonts w:hint="default"/>
      </w:rPr>
    </w:lvl>
    <w:lvl w:ilvl="8">
      <w:start w:val="0"/>
      <w:numFmt w:val="bullet"/>
      <w:lvlText w:val="•"/>
      <w:lvlJc w:val="left"/>
      <w:pPr>
        <w:ind w:left="8171" w:hanging="720"/>
      </w:pPr>
      <w:rPr>
        <w:rFonts w:hint="default"/>
      </w:rPr>
    </w:lvl>
  </w:abstractNum>
  <w:abstractNum w:abstractNumId="3">
    <w:multiLevelType w:val="hybridMultilevel"/>
    <w:lvl w:ilvl="0">
      <w:start w:val="1"/>
      <w:numFmt w:val="decimal"/>
      <w:lvlText w:val="（%1）"/>
      <w:lvlJc w:val="left"/>
      <w:pPr>
        <w:ind w:left="3347" w:hanging="720"/>
        <w:jc w:val="left"/>
      </w:pPr>
      <w:rPr>
        <w:rFonts w:hint="default" w:ascii="宋体" w:hAnsi="宋体" w:eastAsia="宋体" w:cs="宋体"/>
        <w:w w:val="100"/>
        <w:sz w:val="21"/>
        <w:szCs w:val="21"/>
      </w:rPr>
    </w:lvl>
    <w:lvl w:ilvl="1">
      <w:start w:val="0"/>
      <w:numFmt w:val="bullet"/>
      <w:lvlText w:val="•"/>
      <w:lvlJc w:val="left"/>
      <w:pPr>
        <w:ind w:left="3960" w:hanging="720"/>
      </w:pPr>
      <w:rPr>
        <w:rFonts w:hint="default"/>
      </w:rPr>
    </w:lvl>
    <w:lvl w:ilvl="2">
      <w:start w:val="0"/>
      <w:numFmt w:val="bullet"/>
      <w:lvlText w:val="•"/>
      <w:lvlJc w:val="left"/>
      <w:pPr>
        <w:ind w:left="4580" w:hanging="720"/>
      </w:pPr>
      <w:rPr>
        <w:rFonts w:hint="default"/>
      </w:rPr>
    </w:lvl>
    <w:lvl w:ilvl="3">
      <w:start w:val="0"/>
      <w:numFmt w:val="bullet"/>
      <w:lvlText w:val="•"/>
      <w:lvlJc w:val="left"/>
      <w:pPr>
        <w:ind w:left="5200" w:hanging="720"/>
      </w:pPr>
      <w:rPr>
        <w:rFonts w:hint="default"/>
      </w:rPr>
    </w:lvl>
    <w:lvl w:ilvl="4">
      <w:start w:val="0"/>
      <w:numFmt w:val="bullet"/>
      <w:lvlText w:val="•"/>
      <w:lvlJc w:val="left"/>
      <w:pPr>
        <w:ind w:left="5820" w:hanging="720"/>
      </w:pPr>
      <w:rPr>
        <w:rFonts w:hint="default"/>
      </w:rPr>
    </w:lvl>
    <w:lvl w:ilvl="5">
      <w:start w:val="0"/>
      <w:numFmt w:val="bullet"/>
      <w:lvlText w:val="•"/>
      <w:lvlJc w:val="left"/>
      <w:pPr>
        <w:ind w:left="6440" w:hanging="720"/>
      </w:pPr>
      <w:rPr>
        <w:rFonts w:hint="default"/>
      </w:rPr>
    </w:lvl>
    <w:lvl w:ilvl="6">
      <w:start w:val="0"/>
      <w:numFmt w:val="bullet"/>
      <w:lvlText w:val="•"/>
      <w:lvlJc w:val="left"/>
      <w:pPr>
        <w:ind w:left="7060"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300" w:hanging="720"/>
      </w:pPr>
      <w:rPr>
        <w:rFonts w:hint="default"/>
      </w:rPr>
    </w:lvl>
  </w:abstractNum>
  <w:abstractNum w:abstractNumId="2">
    <w:multiLevelType w:val="hybridMultilevel"/>
    <w:lvl w:ilvl="0">
      <w:start w:val="2"/>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48" w:hanging="420"/>
        <w:jc w:val="left"/>
      </w:pPr>
      <w:rPr>
        <w:rFonts w:hint="default" w:ascii="宋体" w:hAnsi="宋体" w:eastAsia="宋体" w:cs="宋体"/>
        <w:w w:val="100"/>
        <w:sz w:val="21"/>
        <w:szCs w:val="21"/>
      </w:rPr>
    </w:lvl>
    <w:lvl w:ilvl="3">
      <w:start w:val="0"/>
      <w:numFmt w:val="bullet"/>
      <w:lvlText w:val="•"/>
      <w:lvlJc w:val="left"/>
      <w:pPr>
        <w:ind w:left="4493" w:hanging="420"/>
      </w:pPr>
      <w:rPr>
        <w:rFonts w:hint="default"/>
      </w:rPr>
    </w:lvl>
    <w:lvl w:ilvl="4">
      <w:start w:val="0"/>
      <w:numFmt w:val="bullet"/>
      <w:lvlText w:val="•"/>
      <w:lvlJc w:val="left"/>
      <w:pPr>
        <w:ind w:left="5220" w:hanging="420"/>
      </w:pPr>
      <w:rPr>
        <w:rFonts w:hint="default"/>
      </w:rPr>
    </w:lvl>
    <w:lvl w:ilvl="5">
      <w:start w:val="0"/>
      <w:numFmt w:val="bullet"/>
      <w:lvlText w:val="•"/>
      <w:lvlJc w:val="left"/>
      <w:pPr>
        <w:ind w:left="5946" w:hanging="420"/>
      </w:pPr>
      <w:rPr>
        <w:rFonts w:hint="default"/>
      </w:rPr>
    </w:lvl>
    <w:lvl w:ilvl="6">
      <w:start w:val="0"/>
      <w:numFmt w:val="bullet"/>
      <w:lvlText w:val="•"/>
      <w:lvlJc w:val="left"/>
      <w:pPr>
        <w:ind w:left="6673" w:hanging="420"/>
      </w:pPr>
      <w:rPr>
        <w:rFonts w:hint="default"/>
      </w:rPr>
    </w:lvl>
    <w:lvl w:ilvl="7">
      <w:start w:val="0"/>
      <w:numFmt w:val="bullet"/>
      <w:lvlText w:val="•"/>
      <w:lvlJc w:val="left"/>
      <w:pPr>
        <w:ind w:left="7400" w:hanging="420"/>
      </w:pPr>
      <w:rPr>
        <w:rFonts w:hint="default"/>
      </w:rPr>
    </w:lvl>
    <w:lvl w:ilvl="8">
      <w:start w:val="0"/>
      <w:numFmt w:val="bullet"/>
      <w:lvlText w:val="•"/>
      <w:lvlJc w:val="left"/>
      <w:pPr>
        <w:ind w:left="8126" w:hanging="4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中英人寿附加鑫享年华提前给付重大疾病保险（不含批注）--Final</dc:title>
  <dcterms:created xsi:type="dcterms:W3CDTF">2018-10-19T22:48:48Z</dcterms:created>
  <dcterms:modified xsi:type="dcterms:W3CDTF">2018-10-19T22:48:48Z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2015-11-09T00:00:00Z</vt:filetime>
  </property>
  <property fmtid="{D5CDD505-2E9C-101B-9397-08002B2CF9AE}" pid="3" name="Creator">
    <vt:lpwstr>PDFCreator 1.9.1.0</vt:lpwstr>
  </property>
  <property fmtid="{D5CDD505-2E9C-101B-9397-08002B2CF9AE}" pid="4" name="LastSaved">
    <vt:filetime>2018-10-19T00:00:00Z</vt:filetime>
  </property>
</Properties>
</file>