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41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交银康联[2011]疾病保险 009 号</w:t>
      </w:r>
    </w:p>
    <w:p>
      <w:pPr>
        <w:pStyle w:val="BodyText"/>
        <w:ind w:right="417"/>
        <w:jc w:val="right"/>
      </w:pPr>
      <w:r>
        <w:rPr/>
        <w:t>请扫描以查询验证条款</w:t>
      </w:r>
    </w:p>
    <w:p>
      <w:pPr>
        <w:pStyle w:val="Heading1"/>
        <w:spacing w:before="20"/>
        <w:ind w:right="1803"/>
        <w:jc w:val="center"/>
      </w:pPr>
      <w:r>
        <w:rPr/>
        <w:pict>
          <v:line style="position:absolute;mso-position-horizontal-relative:page;mso-position-vertical-relative:paragraph;z-index:-26536" from="49.560001pt,2.966659pt" to="545.760001pt,2.966659pt" stroked="true" strokeweight=".71997pt" strokecolor="#000000">
            <v:stroke dashstyle="solid"/>
            <w10:wrap type="none"/>
          </v:line>
        </w:pict>
      </w:r>
      <w:r>
        <w:rPr>
          <w:w w:val="95"/>
        </w:rPr>
        <w:t>交银康联附加重大疾病保险（C）条款</w:t>
      </w:r>
      <w:r>
        <w:rPr>
          <w:w w:val="95"/>
          <w:vertAlign w:val="subscript"/>
        </w:rPr>
        <w:t>（2011</w:t>
      </w:r>
      <w:r>
        <w:rPr>
          <w:w w:val="95"/>
          <w:vertAlign w:val="baseline"/>
        </w:rPr>
        <w:t> 年 </w:t>
      </w:r>
      <w:r>
        <w:rPr>
          <w:w w:val="95"/>
          <w:vertAlign w:val="subscript"/>
        </w:rPr>
        <w:t>2</w:t>
      </w:r>
      <w:r>
        <w:rPr>
          <w:w w:val="95"/>
          <w:vertAlign w:val="baseline"/>
        </w:rPr>
        <w:t> 月</w:t>
      </w:r>
      <w:r>
        <w:rPr>
          <w:w w:val="95"/>
          <w:vertAlign w:val="baseline"/>
        </w:rPr>
        <w:t>）</w:t>
      </w:r>
      <w:r>
        <w:rPr>
          <w:w w:val="95"/>
          <w:vertAlign w:val="baseline"/>
        </w:rPr>
      </w:r>
    </w:p>
    <w:p>
      <w:pPr>
        <w:spacing w:before="71"/>
        <w:ind w:left="1526" w:right="1802"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400"/>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w:t>
      </w:r>
      <w:r>
        <w:rPr>
          <w:spacing w:val="-63"/>
          <w:position w:val="-7"/>
        </w:rPr>
        <w:t>．</w:t>
      </w:r>
      <w:r>
        <w:rPr>
          <w:spacing w:val="-148"/>
        </w:rPr>
        <w:t>交</w:t>
      </w:r>
      <w:r>
        <w:rPr>
          <w:spacing w:val="-63"/>
          <w:position w:val="-7"/>
        </w:rPr>
        <w:t>．</w:t>
      </w:r>
      <w:r>
        <w:rPr>
          <w:spacing w:val="-148"/>
        </w:rPr>
        <w:t>银</w:t>
      </w:r>
      <w:r>
        <w:rPr>
          <w:spacing w:val="-63"/>
          <w:position w:val="-7"/>
        </w:rPr>
        <w:t>．</w:t>
      </w:r>
      <w:r>
        <w:rPr>
          <w:spacing w:val="-148"/>
        </w:rPr>
        <w:t>康</w:t>
      </w:r>
      <w:r>
        <w:rPr>
          <w:spacing w:val="-63"/>
          <w:position w:val="-7"/>
        </w:rPr>
        <w:t>．</w:t>
      </w:r>
      <w:r>
        <w:rPr>
          <w:spacing w:val="-148"/>
        </w:rPr>
        <w:t>联</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重</w:t>
      </w:r>
      <w:r>
        <w:rPr>
          <w:spacing w:val="-63"/>
          <w:position w:val="-7"/>
        </w:rPr>
        <w:t>．</w:t>
      </w:r>
      <w:r>
        <w:rPr>
          <w:spacing w:val="-148"/>
        </w:rPr>
        <w:t>大</w:t>
      </w:r>
      <w:r>
        <w:rPr>
          <w:spacing w:val="-63"/>
          <w:position w:val="-7"/>
        </w:rPr>
        <w:t>．</w:t>
      </w:r>
      <w:r>
        <w:rPr>
          <w:spacing w:val="-148"/>
        </w:rPr>
        <w:t>疾</w:t>
      </w:r>
      <w:r>
        <w:rPr>
          <w:spacing w:val="-63"/>
          <w:position w:val="-7"/>
        </w:rPr>
        <w:t>．</w:t>
      </w:r>
      <w:r>
        <w:rPr>
          <w:spacing w:val="-148"/>
        </w:rPr>
        <w:t>病</w:t>
      </w:r>
      <w:r>
        <w:rPr>
          <w:spacing w:val="-63"/>
          <w:position w:val="-7"/>
        </w:rPr>
        <w:t>．</w:t>
      </w:r>
      <w:r>
        <w:rPr>
          <w:spacing w:val="-148"/>
        </w:rPr>
        <w:t>保</w:t>
      </w:r>
      <w:r>
        <w:rPr>
          <w:spacing w:val="-63"/>
          <w:position w:val="-7"/>
        </w:rPr>
        <w:t>．</w:t>
      </w:r>
      <w:r>
        <w:rPr>
          <w:spacing w:val="-148"/>
        </w:rPr>
        <w:t>险</w:t>
      </w:r>
      <w:r>
        <w:rPr>
          <w:spacing w:val="-63"/>
          <w:position w:val="-7"/>
        </w:rPr>
        <w:t>．</w:t>
      </w:r>
      <w:r>
        <w:rPr>
          <w:spacing w:val="-148"/>
        </w:rPr>
        <w:t>（</w:t>
      </w:r>
      <w:r>
        <w:rPr>
          <w:spacing w:val="-63"/>
          <w:position w:val="-7"/>
        </w:rPr>
        <w:t>．</w:t>
      </w:r>
      <w:r>
        <w:rPr>
          <w:spacing w:val="-95"/>
        </w:rPr>
        <w:t>C</w:t>
      </w:r>
      <w:r>
        <w:rPr>
          <w:spacing w:val="-116"/>
          <w:position w:val="-7"/>
        </w:rPr>
        <w:t>．</w:t>
      </w:r>
      <w:r>
        <w:rPr>
          <w:spacing w:val="-148"/>
        </w:rPr>
        <w:t>）</w:t>
      </w:r>
      <w:r>
        <w:rPr>
          <w:spacing w:val="-64"/>
          <w:position w:val="-7"/>
        </w:rPr>
        <w:t>．</w:t>
      </w:r>
      <w:r>
        <w:rPr>
          <w:spacing w:val="-148"/>
        </w:rPr>
        <w:t>合</w:t>
      </w:r>
      <w:r>
        <w:rPr>
          <w:spacing w:val="-63"/>
          <w:position w:val="-7"/>
        </w:rPr>
        <w:t>．</w:t>
      </w:r>
      <w:r>
        <w:rPr>
          <w:spacing w:val="-148"/>
        </w:rPr>
        <w:t>同</w:t>
      </w:r>
      <w:r>
        <w:rPr>
          <w:spacing w:val="-63"/>
          <w:position w:val="-7"/>
        </w:rPr>
        <w:t>．</w:t>
      </w:r>
      <w:r>
        <w:rPr>
          <w:spacing w:val="-148"/>
        </w:rPr>
        <w:t>”</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被保险人可以享受本附加合同提供的保障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92" w:val="right" w:leader="dot"/>
        </w:tabs>
        <w:spacing w:line="240" w:lineRule="auto" w:before="21" w:after="0"/>
        <w:ind w:left="1697" w:right="0" w:hanging="420"/>
        <w:jc w:val="left"/>
        <w:rPr>
          <w:sz w:val="21"/>
        </w:rPr>
      </w:pPr>
      <w:r>
        <w:rPr>
          <w:sz w:val="21"/>
        </w:rPr>
        <w:t>本公司保留提高或降低保险费率的权利，但不影响您已经交纳的保险费</w:t>
        <w:tab/>
        <w:t>4.3</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7.1</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主合同的部分条款适用于本附加合同，请您仔细阅读</w:t>
        <w:tab/>
        <w:t>8.2</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9</w:t>
      </w:r>
    </w:p>
    <w:p>
      <w:pPr>
        <w:pStyle w:val="ListParagraph"/>
        <w:numPr>
          <w:ilvl w:val="0"/>
          <w:numId w:val="1"/>
        </w:numPr>
        <w:tabs>
          <w:tab w:pos="1697" w:val="left" w:leader="none"/>
          <w:tab w:pos="1698" w:val="left" w:leader="none"/>
        </w:tabs>
        <w:spacing w:line="259" w:lineRule="auto" w:before="21" w:after="0"/>
        <w:ind w:left="1697" w:right="115" w:hanging="420"/>
        <w:jc w:val="left"/>
        <w:rPr>
          <w:sz w:val="21"/>
        </w:rPr>
      </w:pPr>
      <w:r>
        <w:rPr>
          <w:spacing w:val="-1"/>
          <w:sz w:val="21"/>
        </w:rPr>
        <w:t>本公司对保障范围内的重大疾病做了定义，被保险人年满</w:t>
      </w:r>
      <w:r>
        <w:rPr>
          <w:sz w:val="21"/>
        </w:rPr>
        <w:t>18周岁前后保障的重大疾病种类有所</w:t>
      </w:r>
      <w:r>
        <w:rPr>
          <w:spacing w:val="-3"/>
          <w:sz w:val="21"/>
        </w:rPr>
        <w:t>不同，请您仔细阅读.... .......... ...................................... 附录一</w:t>
      </w:r>
    </w:p>
    <w:p>
      <w:pPr>
        <w:pStyle w:val="Heading3"/>
        <w:tabs>
          <w:tab w:pos="1315" w:val="left" w:leader="none"/>
        </w:tabs>
        <w:spacing w:before="23"/>
        <w:ind w:left="305"/>
      </w:pPr>
      <w:r>
        <w:rPr>
          <w:rFonts w:ascii="Arial" w:hAnsi="Arial" w:eastAsia="Arial"/>
          <w:w w:val="105"/>
          <w:position w:val="-11"/>
          <w:sz w:val="52"/>
        </w:rPr>
        <w:t></w:t>
        <w:tab/>
      </w:r>
      <w:r>
        <w:rPr>
          <w:w w:val="95"/>
        </w:rPr>
        <w:t>条款是保险合同的重要内容，为充分保障您的权益，请您仔细阅读本条款。</w:t>
      </w:r>
    </w:p>
    <w:p>
      <w:pPr>
        <w:tabs>
          <w:tab w:pos="1315" w:val="left" w:leader="none"/>
        </w:tabs>
        <w:spacing w:before="26"/>
        <w:ind w:left="305" w:right="0" w:firstLine="0"/>
        <w:jc w:val="left"/>
        <w:rPr>
          <w:b/>
          <w:sz w:val="21"/>
        </w:rPr>
      </w:pPr>
      <w:r>
        <w:rPr/>
        <w:pict>
          <v:rect style="position:absolute;margin-left:77.160004pt;margin-top:24.607986pt;width:459.6pt;height:277.44pt;mso-position-horizontal-relative:page;mso-position-vertical-relative:paragraph;z-index:-26512"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600"/>
        </w:sectPr>
      </w:pPr>
    </w:p>
    <w:p>
      <w:pPr>
        <w:pStyle w:val="Heading3"/>
        <w:spacing w:line="341" w:lineRule="exact" w:before="26"/>
        <w:ind w:left="1125"/>
        <w:rPr>
          <w:rFonts w:ascii="Microsoft JhengHei" w:eastAsia="Microsoft JhengHei" w:hint="eastAsia"/>
        </w:rPr>
      </w:pPr>
      <w:r>
        <w:rPr>
          <w:rFonts w:ascii="Microsoft JhengHei" w:eastAsia="Microsoft JhengHei" w:hint="eastAsia"/>
          <w:w w:val="95"/>
        </w:rPr>
        <w:t>1．您与本公司订立的合同</w:t>
      </w:r>
    </w:p>
    <w:p>
      <w:pPr>
        <w:pStyle w:val="ListParagraph"/>
        <w:numPr>
          <w:ilvl w:val="1"/>
          <w:numId w:val="2"/>
        </w:numPr>
        <w:tabs>
          <w:tab w:pos="1756" w:val="left" w:leader="none"/>
        </w:tabs>
        <w:spacing w:line="238" w:lineRule="exact" w:before="0" w:after="0"/>
        <w:ind w:left="1755" w:right="0" w:hanging="420"/>
        <w:jc w:val="left"/>
        <w:rPr>
          <w:sz w:val="21"/>
        </w:rPr>
      </w:pPr>
      <w:r>
        <w:rPr>
          <w:sz w:val="21"/>
        </w:rPr>
        <w:t>合同构成</w:t>
      </w:r>
    </w:p>
    <w:p>
      <w:pPr>
        <w:pStyle w:val="ListParagraph"/>
        <w:numPr>
          <w:ilvl w:val="1"/>
          <w:numId w:val="2"/>
        </w:numPr>
        <w:tabs>
          <w:tab w:pos="1756" w:val="left" w:leader="none"/>
        </w:tabs>
        <w:spacing w:line="250" w:lineRule="exact" w:before="0" w:after="0"/>
        <w:ind w:left="1755" w:right="0" w:hanging="420"/>
        <w:jc w:val="left"/>
        <w:rPr>
          <w:sz w:val="21"/>
        </w:rPr>
      </w:pPr>
      <w:r>
        <w:rPr>
          <w:sz w:val="21"/>
        </w:rPr>
        <w:t>合同生效</w:t>
      </w:r>
    </w:p>
    <w:p>
      <w:pPr>
        <w:pStyle w:val="ListParagraph"/>
        <w:numPr>
          <w:ilvl w:val="1"/>
          <w:numId w:val="2"/>
        </w:numPr>
        <w:tabs>
          <w:tab w:pos="1756" w:val="left" w:leader="none"/>
        </w:tabs>
        <w:spacing w:line="216" w:lineRule="exact" w:before="0" w:after="0"/>
        <w:ind w:left="1755" w:right="0" w:hanging="420"/>
        <w:jc w:val="left"/>
        <w:rPr>
          <w:sz w:val="21"/>
        </w:rPr>
      </w:pPr>
      <w:r>
        <w:rPr>
          <w:sz w:val="21"/>
        </w:rPr>
        <w:t>投保年龄</w:t>
      </w:r>
    </w:p>
    <w:p>
      <w:pPr>
        <w:pStyle w:val="Heading3"/>
        <w:spacing w:line="296" w:lineRule="exact" w:before="0"/>
        <w:ind w:left="1125"/>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3"/>
        </w:numPr>
        <w:tabs>
          <w:tab w:pos="1756" w:val="left" w:leader="none"/>
        </w:tabs>
        <w:spacing w:line="238" w:lineRule="exact" w:before="0" w:after="0"/>
        <w:ind w:left="1755" w:right="0" w:hanging="420"/>
        <w:jc w:val="left"/>
        <w:rPr>
          <w:sz w:val="21"/>
        </w:rPr>
      </w:pPr>
      <w:r>
        <w:rPr>
          <w:sz w:val="21"/>
        </w:rPr>
        <w:t>保险金额</w:t>
      </w:r>
    </w:p>
    <w:p>
      <w:pPr>
        <w:pStyle w:val="ListParagraph"/>
        <w:numPr>
          <w:ilvl w:val="1"/>
          <w:numId w:val="3"/>
        </w:numPr>
        <w:tabs>
          <w:tab w:pos="1756" w:val="left" w:leader="none"/>
        </w:tabs>
        <w:spacing w:line="250" w:lineRule="exact" w:before="0" w:after="0"/>
        <w:ind w:left="1755" w:right="0" w:hanging="420"/>
        <w:jc w:val="left"/>
        <w:rPr>
          <w:sz w:val="21"/>
        </w:rPr>
      </w:pPr>
      <w:r>
        <w:rPr>
          <w:sz w:val="21"/>
        </w:rPr>
        <w:t>保险期间</w:t>
      </w:r>
    </w:p>
    <w:p>
      <w:pPr>
        <w:pStyle w:val="ListParagraph"/>
        <w:numPr>
          <w:ilvl w:val="1"/>
          <w:numId w:val="3"/>
        </w:numPr>
        <w:tabs>
          <w:tab w:pos="1756" w:val="left" w:leader="none"/>
        </w:tabs>
        <w:spacing w:line="250" w:lineRule="exact" w:before="0" w:after="0"/>
        <w:ind w:left="1755" w:right="0" w:hanging="420"/>
        <w:jc w:val="left"/>
        <w:rPr>
          <w:sz w:val="21"/>
        </w:rPr>
      </w:pPr>
      <w:r>
        <w:rPr>
          <w:sz w:val="21"/>
        </w:rPr>
        <w:t>保险责任</w:t>
      </w:r>
    </w:p>
    <w:p>
      <w:pPr>
        <w:pStyle w:val="ListParagraph"/>
        <w:numPr>
          <w:ilvl w:val="1"/>
          <w:numId w:val="3"/>
        </w:numPr>
        <w:tabs>
          <w:tab w:pos="1756" w:val="left" w:leader="none"/>
        </w:tabs>
        <w:spacing w:line="217" w:lineRule="exact" w:before="0" w:after="0"/>
        <w:ind w:left="1755" w:right="0" w:hanging="420"/>
        <w:jc w:val="left"/>
        <w:rPr>
          <w:sz w:val="21"/>
        </w:rPr>
      </w:pPr>
      <w:r>
        <w:rPr>
          <w:sz w:val="21"/>
        </w:rPr>
        <w:t>责任免除</w:t>
      </w:r>
    </w:p>
    <w:p>
      <w:pPr>
        <w:pStyle w:val="Heading3"/>
        <w:spacing w:line="295" w:lineRule="exact" w:before="0"/>
        <w:ind w:left="1125"/>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4"/>
        </w:numPr>
        <w:tabs>
          <w:tab w:pos="1756" w:val="left" w:leader="none"/>
        </w:tabs>
        <w:spacing w:line="238" w:lineRule="exact" w:before="0" w:after="0"/>
        <w:ind w:left="1755" w:right="0" w:hanging="420"/>
        <w:jc w:val="left"/>
        <w:rPr>
          <w:sz w:val="21"/>
        </w:rPr>
      </w:pPr>
      <w:r>
        <w:rPr>
          <w:sz w:val="21"/>
        </w:rPr>
        <w:t>受益人</w:t>
      </w:r>
    </w:p>
    <w:p>
      <w:pPr>
        <w:pStyle w:val="ListParagraph"/>
        <w:numPr>
          <w:ilvl w:val="1"/>
          <w:numId w:val="4"/>
        </w:numPr>
        <w:tabs>
          <w:tab w:pos="1756" w:val="left" w:leader="none"/>
        </w:tabs>
        <w:spacing w:line="250" w:lineRule="exact" w:before="0" w:after="0"/>
        <w:ind w:left="1755" w:right="0" w:hanging="420"/>
        <w:jc w:val="left"/>
        <w:rPr>
          <w:sz w:val="21"/>
        </w:rPr>
      </w:pPr>
      <w:r>
        <w:rPr>
          <w:sz w:val="21"/>
        </w:rPr>
        <w:t>保险金申请</w:t>
      </w:r>
    </w:p>
    <w:p>
      <w:pPr>
        <w:pStyle w:val="ListParagraph"/>
        <w:numPr>
          <w:ilvl w:val="1"/>
          <w:numId w:val="4"/>
        </w:numPr>
        <w:tabs>
          <w:tab w:pos="1756" w:val="left" w:leader="none"/>
        </w:tabs>
        <w:spacing w:line="216" w:lineRule="exact" w:before="0" w:after="0"/>
        <w:ind w:left="1755" w:right="0" w:hanging="420"/>
        <w:jc w:val="left"/>
        <w:rPr>
          <w:sz w:val="21"/>
        </w:rPr>
      </w:pPr>
      <w:r>
        <w:rPr>
          <w:sz w:val="21"/>
        </w:rPr>
        <w:t>诉讼时效</w:t>
      </w:r>
    </w:p>
    <w:p>
      <w:pPr>
        <w:pStyle w:val="Heading3"/>
        <w:numPr>
          <w:ilvl w:val="0"/>
          <w:numId w:val="5"/>
        </w:numPr>
        <w:tabs>
          <w:tab w:pos="1442" w:val="left" w:leader="none"/>
        </w:tabs>
        <w:spacing w:line="296" w:lineRule="exact" w:before="0" w:after="0"/>
        <w:ind w:left="1441" w:right="0" w:hanging="316"/>
        <w:jc w:val="left"/>
        <w:rPr>
          <w:rFonts w:ascii="Microsoft JhengHei" w:eastAsia="Microsoft JhengHei" w:hint="eastAsia"/>
        </w:rPr>
      </w:pPr>
      <w:r>
        <w:rPr>
          <w:rFonts w:ascii="Microsoft JhengHei" w:eastAsia="Microsoft JhengHei" w:hint="eastAsia"/>
        </w:rPr>
        <w:t>保险费的交纳</w:t>
      </w:r>
    </w:p>
    <w:p>
      <w:pPr>
        <w:pStyle w:val="ListParagraph"/>
        <w:numPr>
          <w:ilvl w:val="1"/>
          <w:numId w:val="5"/>
        </w:numPr>
        <w:tabs>
          <w:tab w:pos="1756" w:val="left" w:leader="none"/>
        </w:tabs>
        <w:spacing w:line="238" w:lineRule="exact" w:before="0" w:after="0"/>
        <w:ind w:left="1755" w:right="0" w:hanging="420"/>
        <w:jc w:val="left"/>
        <w:rPr>
          <w:sz w:val="21"/>
        </w:rPr>
      </w:pPr>
      <w:r>
        <w:rPr>
          <w:sz w:val="21"/>
        </w:rPr>
        <w:t>保险费的交纳</w:t>
      </w:r>
    </w:p>
    <w:p>
      <w:pPr>
        <w:pStyle w:val="ListParagraph"/>
        <w:numPr>
          <w:ilvl w:val="1"/>
          <w:numId w:val="5"/>
        </w:numPr>
        <w:tabs>
          <w:tab w:pos="1756" w:val="left" w:leader="none"/>
        </w:tabs>
        <w:spacing w:line="250" w:lineRule="exact" w:before="0" w:after="0"/>
        <w:ind w:left="1755" w:right="0" w:hanging="420"/>
        <w:jc w:val="left"/>
        <w:rPr>
          <w:sz w:val="21"/>
        </w:rPr>
      </w:pPr>
      <w:r>
        <w:rPr>
          <w:sz w:val="21"/>
        </w:rPr>
        <w:t>宽限期</w:t>
      </w:r>
    </w:p>
    <w:p>
      <w:pPr>
        <w:pStyle w:val="ListParagraph"/>
        <w:numPr>
          <w:ilvl w:val="1"/>
          <w:numId w:val="5"/>
        </w:numPr>
        <w:tabs>
          <w:tab w:pos="1756" w:val="left" w:leader="none"/>
        </w:tabs>
        <w:spacing w:line="217" w:lineRule="exact" w:before="0" w:after="0"/>
        <w:ind w:left="1755" w:right="0" w:hanging="420"/>
        <w:jc w:val="left"/>
        <w:rPr>
          <w:sz w:val="21"/>
        </w:rPr>
      </w:pPr>
      <w:r>
        <w:rPr>
          <w:sz w:val="21"/>
        </w:rPr>
        <w:t>保险费率调整</w:t>
      </w:r>
    </w:p>
    <w:p>
      <w:pPr>
        <w:pStyle w:val="Heading3"/>
        <w:spacing w:line="296" w:lineRule="exact" w:before="0"/>
        <w:ind w:left="1125"/>
        <w:rPr>
          <w:rFonts w:ascii="Microsoft JhengHei" w:eastAsia="Microsoft JhengHei" w:hint="eastAsia"/>
        </w:rPr>
      </w:pPr>
      <w:r>
        <w:rPr>
          <w:b w:val="0"/>
        </w:rPr>
        <w:t>5</w:t>
      </w:r>
      <w:r>
        <w:rPr>
          <w:rFonts w:ascii="Microsoft JhengHei" w:eastAsia="Microsoft JhengHei" w:hint="eastAsia"/>
        </w:rPr>
        <w:t>．现金价值权益</w:t>
      </w:r>
    </w:p>
    <w:p>
      <w:pPr>
        <w:pStyle w:val="BodyText"/>
        <w:spacing w:line="250" w:lineRule="exact"/>
        <w:ind w:left="1335"/>
      </w:pPr>
      <w:r>
        <w:rPr/>
        <w:t>5.1 现金价值</w:t>
      </w:r>
    </w:p>
    <w:p>
      <w:pPr>
        <w:pStyle w:val="Heading3"/>
        <w:spacing w:line="341" w:lineRule="exact" w:before="26"/>
        <w:ind w:left="370"/>
        <w:rPr>
          <w:rFonts w:ascii="Microsoft JhengHei" w:eastAsia="Microsoft JhengHei" w:hint="eastAsia"/>
        </w:rPr>
      </w:pPr>
      <w:r>
        <w:rPr>
          <w:b w:val="0"/>
        </w:rPr>
        <w:br w:type="column"/>
      </w:r>
      <w:r>
        <w:rPr>
          <w:rFonts w:ascii="Microsoft JhengHei" w:eastAsia="Microsoft JhengHei" w:hint="eastAsia"/>
          <w:w w:val="95"/>
        </w:rPr>
        <w:t>6．合同效力的中止及恢复</w:t>
      </w:r>
    </w:p>
    <w:p>
      <w:pPr>
        <w:pStyle w:val="ListParagraph"/>
        <w:numPr>
          <w:ilvl w:val="1"/>
          <w:numId w:val="6"/>
        </w:numPr>
        <w:tabs>
          <w:tab w:pos="1001" w:val="left" w:leader="none"/>
        </w:tabs>
        <w:spacing w:line="238" w:lineRule="exact" w:before="0" w:after="0"/>
        <w:ind w:left="370" w:right="0" w:firstLine="210"/>
        <w:jc w:val="left"/>
        <w:rPr>
          <w:sz w:val="21"/>
        </w:rPr>
      </w:pPr>
      <w:r>
        <w:rPr>
          <w:sz w:val="21"/>
        </w:rPr>
        <w:t>效力中止</w:t>
      </w:r>
    </w:p>
    <w:p>
      <w:pPr>
        <w:pStyle w:val="ListParagraph"/>
        <w:numPr>
          <w:ilvl w:val="1"/>
          <w:numId w:val="6"/>
        </w:numPr>
        <w:tabs>
          <w:tab w:pos="1001" w:val="left" w:leader="none"/>
        </w:tabs>
        <w:spacing w:line="175" w:lineRule="auto" w:before="63" w:after="0"/>
        <w:ind w:left="370" w:right="4992" w:firstLine="210"/>
        <w:jc w:val="left"/>
        <w:rPr>
          <w:rFonts w:ascii="Microsoft JhengHei" w:eastAsia="Microsoft JhengHei" w:hint="eastAsia"/>
          <w:b/>
          <w:sz w:val="21"/>
        </w:rPr>
      </w:pPr>
      <w:r>
        <w:rPr>
          <w:sz w:val="21"/>
        </w:rPr>
        <w:t>效力恢复</w:t>
      </w:r>
      <w:r>
        <w:rPr>
          <w:rFonts w:ascii="Microsoft JhengHei" w:eastAsia="Microsoft JhengHei" w:hint="eastAsia"/>
          <w:b/>
          <w:w w:val="95"/>
          <w:sz w:val="21"/>
        </w:rPr>
        <w:t>7．合同解除</w:t>
      </w:r>
    </w:p>
    <w:p>
      <w:pPr>
        <w:pStyle w:val="BodyText"/>
        <w:spacing w:line="214" w:lineRule="exact"/>
        <w:ind w:left="580"/>
      </w:pPr>
      <w:r>
        <w:rPr/>
        <w:t>7.1 您解除合同的手续及</w:t>
      </w:r>
    </w:p>
    <w:p>
      <w:pPr>
        <w:pStyle w:val="BodyText"/>
        <w:spacing w:line="217" w:lineRule="exact"/>
        <w:ind w:left="1000"/>
      </w:pPr>
      <w:r>
        <w:rPr/>
        <w:t>风险</w:t>
      </w:r>
    </w:p>
    <w:p>
      <w:pPr>
        <w:pStyle w:val="Heading3"/>
        <w:spacing w:line="295" w:lineRule="exact" w:before="0"/>
        <w:ind w:left="370"/>
        <w:rPr>
          <w:rFonts w:ascii="Microsoft JhengHei" w:eastAsia="Microsoft JhengHei" w:hint="eastAsia"/>
        </w:rPr>
      </w:pPr>
      <w:r>
        <w:rPr>
          <w:rFonts w:ascii="Microsoft JhengHei" w:eastAsia="Microsoft JhengHei" w:hint="eastAsia"/>
          <w:w w:val="95"/>
        </w:rPr>
        <w:t>8．其他需要关注的事项</w:t>
      </w:r>
    </w:p>
    <w:p>
      <w:pPr>
        <w:pStyle w:val="ListParagraph"/>
        <w:numPr>
          <w:ilvl w:val="1"/>
          <w:numId w:val="7"/>
        </w:numPr>
        <w:tabs>
          <w:tab w:pos="1001" w:val="left" w:leader="none"/>
        </w:tabs>
        <w:spacing w:line="238" w:lineRule="exact" w:before="0" w:after="0"/>
        <w:ind w:left="370" w:right="0" w:firstLine="210"/>
        <w:jc w:val="left"/>
        <w:rPr>
          <w:sz w:val="21"/>
        </w:rPr>
      </w:pPr>
      <w:r>
        <w:rPr>
          <w:sz w:val="21"/>
        </w:rPr>
        <w:t>效力终止</w:t>
      </w:r>
    </w:p>
    <w:p>
      <w:pPr>
        <w:pStyle w:val="ListParagraph"/>
        <w:numPr>
          <w:ilvl w:val="1"/>
          <w:numId w:val="7"/>
        </w:numPr>
        <w:tabs>
          <w:tab w:pos="1001" w:val="left" w:leader="none"/>
        </w:tabs>
        <w:spacing w:line="175" w:lineRule="auto" w:before="62" w:after="0"/>
        <w:ind w:left="370" w:right="4362" w:firstLine="210"/>
        <w:jc w:val="left"/>
        <w:rPr>
          <w:rFonts w:ascii="Microsoft JhengHei" w:eastAsia="Microsoft JhengHei" w:hint="eastAsia"/>
          <w:b/>
          <w:sz w:val="21"/>
        </w:rPr>
      </w:pPr>
      <w:r>
        <w:rPr>
          <w:sz w:val="21"/>
        </w:rPr>
        <w:t>适用主合同条款</w:t>
      </w:r>
      <w:r>
        <w:rPr>
          <w:rFonts w:ascii="Microsoft JhengHei" w:eastAsia="Microsoft JhengHei" w:hint="eastAsia"/>
          <w:b/>
          <w:w w:val="95"/>
          <w:sz w:val="21"/>
        </w:rPr>
        <w:t>9．释义</w:t>
      </w:r>
    </w:p>
    <w:p>
      <w:pPr>
        <w:pStyle w:val="ListParagraph"/>
        <w:numPr>
          <w:ilvl w:val="1"/>
          <w:numId w:val="8"/>
        </w:numPr>
        <w:tabs>
          <w:tab w:pos="1000" w:val="left" w:leader="none"/>
        </w:tabs>
        <w:spacing w:line="214" w:lineRule="exact" w:before="0" w:after="0"/>
        <w:ind w:left="1000" w:right="0" w:hanging="420"/>
        <w:jc w:val="left"/>
        <w:rPr>
          <w:sz w:val="21"/>
        </w:rPr>
      </w:pPr>
      <w:r>
        <w:rPr>
          <w:sz w:val="21"/>
        </w:rPr>
        <w:t>医院</w:t>
      </w:r>
    </w:p>
    <w:p>
      <w:pPr>
        <w:pStyle w:val="ListParagraph"/>
        <w:numPr>
          <w:ilvl w:val="1"/>
          <w:numId w:val="8"/>
        </w:numPr>
        <w:tabs>
          <w:tab w:pos="1001" w:val="left" w:leader="none"/>
        </w:tabs>
        <w:spacing w:line="250" w:lineRule="exact" w:before="0" w:after="0"/>
        <w:ind w:left="1000" w:right="0" w:hanging="420"/>
        <w:jc w:val="left"/>
        <w:rPr>
          <w:sz w:val="21"/>
        </w:rPr>
      </w:pPr>
      <w:r>
        <w:rPr>
          <w:sz w:val="21"/>
        </w:rPr>
        <w:t>专科医生</w:t>
      </w:r>
    </w:p>
    <w:p>
      <w:pPr>
        <w:pStyle w:val="ListParagraph"/>
        <w:numPr>
          <w:ilvl w:val="1"/>
          <w:numId w:val="8"/>
        </w:numPr>
        <w:tabs>
          <w:tab w:pos="1003" w:val="left" w:leader="none"/>
        </w:tabs>
        <w:spacing w:line="218" w:lineRule="auto" w:before="12" w:after="0"/>
        <w:ind w:left="1000" w:right="3916" w:hanging="420"/>
        <w:jc w:val="left"/>
        <w:rPr>
          <w:sz w:val="21"/>
        </w:rPr>
      </w:pPr>
      <w:r>
        <w:rPr>
          <w:sz w:val="21"/>
        </w:rPr>
        <w:t>感染艾滋病病毒或患艾滋病</w:t>
      </w:r>
    </w:p>
    <w:p>
      <w:pPr>
        <w:pStyle w:val="ListParagraph"/>
        <w:numPr>
          <w:ilvl w:val="1"/>
          <w:numId w:val="8"/>
        </w:numPr>
        <w:tabs>
          <w:tab w:pos="1001" w:val="left" w:leader="none"/>
        </w:tabs>
        <w:spacing w:line="238" w:lineRule="exact" w:before="0" w:after="0"/>
        <w:ind w:left="1000" w:right="0" w:hanging="420"/>
        <w:jc w:val="left"/>
        <w:rPr>
          <w:sz w:val="21"/>
        </w:rPr>
      </w:pPr>
      <w:r>
        <w:rPr>
          <w:sz w:val="21"/>
        </w:rPr>
        <w:t>遗传性疾病</w:t>
      </w:r>
    </w:p>
    <w:p>
      <w:pPr>
        <w:pStyle w:val="ListParagraph"/>
        <w:numPr>
          <w:ilvl w:val="1"/>
          <w:numId w:val="8"/>
        </w:numPr>
        <w:tabs>
          <w:tab w:pos="1003" w:val="left" w:leader="none"/>
        </w:tabs>
        <w:spacing w:line="218" w:lineRule="auto" w:before="12" w:after="0"/>
        <w:ind w:left="1000" w:right="3916" w:hanging="420"/>
        <w:jc w:val="left"/>
        <w:rPr>
          <w:sz w:val="21"/>
        </w:rPr>
      </w:pPr>
      <w:r>
        <w:rPr>
          <w:sz w:val="21"/>
        </w:rPr>
        <w:t>先天性畸形、变形或染色体异常</w:t>
      </w:r>
    </w:p>
    <w:p>
      <w:pPr>
        <w:pStyle w:val="ListParagraph"/>
        <w:numPr>
          <w:ilvl w:val="1"/>
          <w:numId w:val="8"/>
        </w:numPr>
        <w:tabs>
          <w:tab w:pos="1001" w:val="left" w:leader="none"/>
        </w:tabs>
        <w:spacing w:line="175" w:lineRule="auto" w:before="50" w:after="0"/>
        <w:ind w:left="370" w:right="4362" w:firstLine="210"/>
        <w:jc w:val="left"/>
        <w:rPr>
          <w:rFonts w:ascii="Microsoft JhengHei" w:eastAsia="Microsoft JhengHei" w:hint="eastAsia"/>
          <w:b/>
          <w:sz w:val="21"/>
        </w:rPr>
      </w:pPr>
      <w:r>
        <w:rPr>
          <w:sz w:val="21"/>
        </w:rPr>
        <w:t>适用主合同释义</w:t>
      </w:r>
      <w:r>
        <w:rPr>
          <w:rFonts w:ascii="Microsoft JhengHei" w:eastAsia="Microsoft JhengHei" w:hint="eastAsia"/>
          <w:b/>
          <w:sz w:val="21"/>
        </w:rPr>
        <w:t>附录一  重大疾病列表</w:t>
      </w:r>
    </w:p>
    <w:p>
      <w:pPr>
        <w:spacing w:after="0" w:line="175" w:lineRule="auto"/>
        <w:jc w:val="left"/>
        <w:rPr>
          <w:rFonts w:ascii="Microsoft JhengHei" w:eastAsia="Microsoft JhengHei" w:hint="eastAsia"/>
          <w:sz w:val="21"/>
        </w:rPr>
        <w:sectPr>
          <w:type w:val="continuous"/>
          <w:pgSz w:w="11910" w:h="16840"/>
          <w:pgMar w:top="520" w:bottom="280" w:left="880" w:right="600"/>
          <w:cols w:num="2" w:equalWidth="0">
            <w:col w:w="3550" w:space="40"/>
            <w:col w:w="6840"/>
          </w:cols>
        </w:sectPr>
      </w:pPr>
    </w:p>
    <w:p>
      <w:pPr>
        <w:pStyle w:val="Heading1"/>
        <w:spacing w:line="480" w:lineRule="exact" w:before="0"/>
        <w:ind w:left="3230"/>
      </w:pPr>
      <w:r>
        <w:rPr/>
        <w:t>交银康联人寿保险有限公司</w:t>
      </w:r>
    </w:p>
    <w:p>
      <w:pPr>
        <w:spacing w:before="71"/>
        <w:ind w:left="1528" w:right="0" w:firstLine="0"/>
        <w:jc w:val="left"/>
        <w:rPr>
          <w:rFonts w:ascii="微软雅黑" w:eastAsia="微软雅黑" w:hint="eastAsia"/>
          <w:b/>
          <w:sz w:val="32"/>
        </w:rPr>
      </w:pPr>
      <w:r>
        <w:rPr>
          <w:rFonts w:ascii="微软雅黑" w:eastAsia="微软雅黑" w:hint="eastAsia"/>
          <w:b/>
          <w:w w:val="95"/>
          <w:sz w:val="32"/>
        </w:rPr>
        <w:t>交银康联附加重大疾病保险（C）条款</w:t>
      </w:r>
      <w:r>
        <w:rPr>
          <w:rFonts w:ascii="微软雅黑" w:eastAsia="微软雅黑" w:hint="eastAsia"/>
          <w:b/>
          <w:w w:val="95"/>
          <w:sz w:val="32"/>
          <w:vertAlign w:val="subscript"/>
        </w:rPr>
        <w:t>（2011</w:t>
      </w:r>
      <w:r>
        <w:rPr>
          <w:rFonts w:ascii="微软雅黑" w:eastAsia="微软雅黑" w:hint="eastAsia"/>
          <w:b/>
          <w:w w:val="95"/>
          <w:sz w:val="32"/>
          <w:vertAlign w:val="baseline"/>
        </w:rPr>
        <w:t> 年 </w:t>
      </w:r>
      <w:r>
        <w:rPr>
          <w:rFonts w:ascii="微软雅黑" w:eastAsia="微软雅黑" w:hint="eastAsia"/>
          <w:b/>
          <w:w w:val="95"/>
          <w:sz w:val="32"/>
          <w:vertAlign w:val="subscript"/>
        </w:rPr>
        <w:t>2</w:t>
      </w:r>
      <w:r>
        <w:rPr>
          <w:rFonts w:ascii="微软雅黑" w:eastAsia="微软雅黑" w:hint="eastAsia"/>
          <w:b/>
          <w:w w:val="95"/>
          <w:sz w:val="32"/>
          <w:vertAlign w:val="baseline"/>
        </w:rPr>
        <w:t> 月</w:t>
      </w:r>
      <w:r>
        <w:rPr>
          <w:rFonts w:ascii="微软雅黑" w:eastAsia="微软雅黑" w:hint="eastAsia"/>
          <w:b/>
          <w:w w:val="95"/>
          <w:sz w:val="32"/>
          <w:vertAlign w:val="baseline"/>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在本条款中，“您”指投保人，“本公司”指交银康联人寿保险有限公司，“本附加合同”指您与本公司之</w:t>
      </w:r>
      <w:r>
        <w:rPr>
          <w:spacing w:val="-1"/>
        </w:rPr>
        <w:t>间订立的“交银康联附加重大疾病保险</w:t>
      </w:r>
      <w:r>
        <w:rPr/>
        <w:t>（C）合同”。</w:t>
      </w:r>
    </w:p>
    <w:p>
      <w:pPr>
        <w:pStyle w:val="BodyText"/>
        <w:rPr>
          <w:sz w:val="20"/>
        </w:rPr>
      </w:pPr>
    </w:p>
    <w:p>
      <w:pPr>
        <w:pStyle w:val="BodyText"/>
        <w:spacing w:before="1"/>
      </w:pPr>
    </w:p>
    <w:p>
      <w:pPr>
        <w:pStyle w:val="Heading2"/>
        <w:tabs>
          <w:tab w:pos="1073" w:val="left" w:leader="none"/>
        </w:tabs>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9"/>
        </w:numPr>
        <w:tabs>
          <w:tab w:pos="1072" w:val="left" w:leader="none"/>
          <w:tab w:pos="1073" w:val="left" w:leader="none"/>
          <w:tab w:pos="3003" w:val="left" w:leader="none"/>
        </w:tabs>
        <w:spacing w:line="273" w:lineRule="auto" w:before="35" w:after="0"/>
        <w:ind w:left="3003" w:right="103" w:hanging="2782"/>
        <w:jc w:val="left"/>
        <w:rPr>
          <w:sz w:val="21"/>
        </w:rPr>
      </w:pPr>
      <w:r>
        <w:rPr>
          <w:b/>
          <w:sz w:val="21"/>
        </w:rPr>
        <w:t>合同构成</w:t>
        <w:tab/>
      </w:r>
      <w:r>
        <w:rPr>
          <w:sz w:val="21"/>
        </w:rPr>
        <w:t>本附加合同是您与本公司约定保险权利义务关系的协议</w:t>
      </w:r>
      <w:r>
        <w:rPr>
          <w:spacing w:val="-26"/>
          <w:sz w:val="21"/>
        </w:rPr>
        <w:t>，</w:t>
      </w:r>
      <w:r>
        <w:rPr>
          <w:sz w:val="21"/>
        </w:rPr>
        <w:t>包括本保险条款</w:t>
      </w:r>
      <w:r>
        <w:rPr>
          <w:spacing w:val="-26"/>
          <w:sz w:val="21"/>
        </w:rPr>
        <w:t>、</w:t>
      </w:r>
      <w:r>
        <w:rPr>
          <w:sz w:val="21"/>
        </w:rPr>
        <w:t>保险单或其他保险凭证</w:t>
      </w:r>
      <w:r>
        <w:rPr>
          <w:spacing w:val="-52"/>
          <w:sz w:val="21"/>
        </w:rPr>
        <w:t>、</w:t>
      </w:r>
      <w:r>
        <w:rPr>
          <w:sz w:val="21"/>
        </w:rPr>
        <w:t>投保单</w:t>
      </w:r>
      <w:r>
        <w:rPr>
          <w:spacing w:val="-52"/>
          <w:sz w:val="21"/>
        </w:rPr>
        <w:t>、</w:t>
      </w:r>
      <w:r>
        <w:rPr>
          <w:sz w:val="21"/>
        </w:rPr>
        <w:t>与保险合同有关的投保文件</w:t>
      </w:r>
      <w:r>
        <w:rPr>
          <w:spacing w:val="-52"/>
          <w:sz w:val="21"/>
        </w:rPr>
        <w:t>、</w:t>
      </w:r>
      <w:r>
        <w:rPr>
          <w:sz w:val="21"/>
        </w:rPr>
        <w:t>合法有效的声明、批注、批单、及其他您与本公司共同认可的书面协议。</w:t>
      </w:r>
    </w:p>
    <w:p>
      <w:pPr>
        <w:pStyle w:val="BodyText"/>
        <w:spacing w:before="12"/>
        <w:rPr>
          <w:sz w:val="17"/>
        </w:rPr>
      </w:pPr>
    </w:p>
    <w:p>
      <w:pPr>
        <w:pStyle w:val="ListParagraph"/>
        <w:numPr>
          <w:ilvl w:val="1"/>
          <w:numId w:val="9"/>
        </w:numPr>
        <w:tabs>
          <w:tab w:pos="1072" w:val="left" w:leader="none"/>
          <w:tab w:pos="1073" w:val="left" w:leader="none"/>
          <w:tab w:pos="3003" w:val="left" w:leader="none"/>
        </w:tabs>
        <w:spacing w:line="273" w:lineRule="auto" w:before="0" w:after="0"/>
        <w:ind w:left="3003" w:right="208" w:hanging="2782"/>
        <w:jc w:val="left"/>
        <w:rPr>
          <w:sz w:val="21"/>
        </w:rPr>
      </w:pPr>
      <w:r>
        <w:rPr>
          <w:b/>
          <w:sz w:val="21"/>
        </w:rPr>
        <w:t>合同生效</w:t>
        <w:tab/>
      </w:r>
      <w:r>
        <w:rPr>
          <w:sz w:val="21"/>
        </w:rPr>
        <w:t>除另有约定外</w:t>
      </w:r>
      <w:r>
        <w:rPr>
          <w:spacing w:val="-26"/>
          <w:sz w:val="21"/>
        </w:rPr>
        <w:t>，</w:t>
      </w:r>
      <w:r>
        <w:rPr>
          <w:sz w:val="21"/>
        </w:rPr>
        <w:t>本附加合同须与主合同同时投保</w:t>
      </w:r>
      <w:r>
        <w:rPr>
          <w:spacing w:val="-26"/>
          <w:sz w:val="21"/>
        </w:rPr>
        <w:t>，</w:t>
      </w:r>
      <w:r>
        <w:rPr>
          <w:sz w:val="21"/>
        </w:rPr>
        <w:t>本附加合同的生效日与主合同相同。本公司自合同生效日次日零时起开始承担本附加合同约定的保险责任。</w:t>
      </w:r>
    </w:p>
    <w:p>
      <w:pPr>
        <w:pStyle w:val="BodyText"/>
        <w:spacing w:before="4"/>
        <w:rPr>
          <w:sz w:val="24"/>
        </w:rPr>
      </w:pPr>
    </w:p>
    <w:p>
      <w:pPr>
        <w:pStyle w:val="ListParagraph"/>
        <w:numPr>
          <w:ilvl w:val="1"/>
          <w:numId w:val="9"/>
        </w:numPr>
        <w:tabs>
          <w:tab w:pos="1073" w:val="left" w:leader="none"/>
          <w:tab w:pos="1074" w:val="left" w:leader="none"/>
          <w:tab w:pos="3003" w:val="left" w:leader="none"/>
        </w:tabs>
        <w:spacing w:line="273" w:lineRule="auto" w:before="1" w:after="0"/>
        <w:ind w:left="3004" w:right="210" w:hanging="2783"/>
        <w:jc w:val="left"/>
        <w:rPr>
          <w:sz w:val="21"/>
        </w:rPr>
      </w:pPr>
      <w:r>
        <w:rPr>
          <w:b/>
          <w:sz w:val="21"/>
        </w:rPr>
        <w:t>投保年龄</w:t>
        <w:tab/>
      </w:r>
      <w:r>
        <w:rPr>
          <w:w w:val="95"/>
          <w:sz w:val="21"/>
        </w:rPr>
        <w:t>指您投保时被保险人的年龄</w:t>
      </w:r>
      <w:r>
        <w:rPr>
          <w:spacing w:val="-14"/>
          <w:w w:val="95"/>
          <w:sz w:val="21"/>
        </w:rPr>
        <w:t>，</w:t>
      </w:r>
      <w:r>
        <w:rPr>
          <w:w w:val="95"/>
          <w:sz w:val="21"/>
        </w:rPr>
        <w:t>投保年龄以</w:t>
      </w:r>
      <w:r>
        <w:rPr>
          <w:b/>
          <w:w w:val="95"/>
          <w:sz w:val="21"/>
        </w:rPr>
        <w:t>周</w:t>
      </w:r>
      <w:r>
        <w:rPr>
          <w:b/>
          <w:spacing w:val="-14"/>
          <w:w w:val="95"/>
          <w:sz w:val="21"/>
        </w:rPr>
        <w:t>岁</w:t>
      </w:r>
      <w:r>
        <w:rPr>
          <w:w w:val="95"/>
          <w:sz w:val="21"/>
        </w:rPr>
        <w:t>（见主合同释义</w:t>
      </w:r>
      <w:r>
        <w:rPr>
          <w:spacing w:val="-14"/>
          <w:w w:val="95"/>
          <w:sz w:val="21"/>
        </w:rPr>
        <w:t>）</w:t>
      </w:r>
      <w:r>
        <w:rPr>
          <w:w w:val="95"/>
          <w:sz w:val="21"/>
        </w:rPr>
        <w:t>计算</w:t>
      </w:r>
      <w:r>
        <w:rPr>
          <w:spacing w:val="-14"/>
          <w:w w:val="95"/>
          <w:sz w:val="21"/>
        </w:rPr>
        <w:t>，</w:t>
      </w:r>
      <w:r>
        <w:rPr>
          <w:w w:val="95"/>
          <w:sz w:val="21"/>
        </w:rPr>
        <w:t>本附加    </w:t>
      </w:r>
      <w:r>
        <w:rPr>
          <w:sz w:val="21"/>
        </w:rPr>
        <w:t>合同接受的投保年龄为出生满</w:t>
      </w:r>
      <w:r>
        <w:rPr>
          <w:spacing w:val="-57"/>
          <w:sz w:val="21"/>
        </w:rPr>
        <w:t> </w:t>
      </w:r>
      <w:r>
        <w:rPr>
          <w:sz w:val="21"/>
        </w:rPr>
        <w:t>30</w:t>
      </w:r>
      <w:r>
        <w:rPr>
          <w:spacing w:val="-56"/>
          <w:sz w:val="21"/>
        </w:rPr>
        <w:t> </w:t>
      </w:r>
      <w:r>
        <w:rPr>
          <w:sz w:val="21"/>
        </w:rPr>
        <w:t>天至</w:t>
      </w:r>
      <w:r>
        <w:rPr>
          <w:spacing w:val="-57"/>
          <w:sz w:val="21"/>
        </w:rPr>
        <w:t> </w:t>
      </w:r>
      <w:r>
        <w:rPr>
          <w:sz w:val="21"/>
        </w:rPr>
        <w:t>55</w:t>
      </w:r>
      <w:r>
        <w:rPr>
          <w:spacing w:val="-55"/>
          <w:sz w:val="21"/>
        </w:rPr>
        <w:t> </w:t>
      </w:r>
      <w:r>
        <w:rPr>
          <w:b/>
          <w:sz w:val="21"/>
        </w:rPr>
        <w:t>周岁</w:t>
      </w:r>
      <w:r>
        <w:rPr>
          <w:sz w:val="21"/>
        </w:rPr>
        <w:t>。</w:t>
      </w:r>
    </w:p>
    <w:p>
      <w:pPr>
        <w:pStyle w:val="BodyText"/>
        <w:spacing w:before="12"/>
      </w:pPr>
    </w:p>
    <w:p>
      <w:pPr>
        <w:pStyle w:val="Heading2"/>
        <w:tabs>
          <w:tab w:pos="1073" w:val="left" w:leader="none"/>
        </w:tabs>
        <w:spacing w:before="62"/>
      </w:pPr>
      <w:r>
        <w:rPr/>
        <w:pict>
          <v:line style="position:absolute;mso-position-horizontal-relative:page;mso-position-vertical-relative:paragraph;z-index:1120;mso-wrap-distance-left:0;mso-wrap-distance-right:0" from="45.66pt,31.680056pt" to="550.14pt,31.680056pt" stroked="true" strokeweight=".96002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1"/>
        <w:rPr>
          <w:b/>
          <w:sz w:val="5"/>
        </w:rPr>
      </w:pPr>
    </w:p>
    <w:p>
      <w:pPr>
        <w:pStyle w:val="ListParagraph"/>
        <w:numPr>
          <w:ilvl w:val="1"/>
          <w:numId w:val="10"/>
        </w:numPr>
        <w:tabs>
          <w:tab w:pos="1073" w:val="left" w:leader="none"/>
          <w:tab w:pos="1074" w:val="left" w:leader="none"/>
          <w:tab w:pos="3003" w:val="left" w:leader="none"/>
        </w:tabs>
        <w:spacing w:line="273" w:lineRule="auto" w:before="35" w:after="0"/>
        <w:ind w:left="3003" w:right="208" w:hanging="2782"/>
        <w:jc w:val="left"/>
        <w:rPr>
          <w:sz w:val="21"/>
        </w:rPr>
      </w:pPr>
      <w:r>
        <w:rPr>
          <w:b/>
          <w:sz w:val="21"/>
        </w:rPr>
        <w:t>保险金额</w:t>
        <w:tab/>
      </w:r>
      <w:r>
        <w:rPr>
          <w:sz w:val="21"/>
        </w:rPr>
        <w:t>本附加合同的保险金额由您在投保时与本公司约定</w:t>
      </w:r>
      <w:r>
        <w:rPr>
          <w:spacing w:val="-51"/>
          <w:sz w:val="21"/>
        </w:rPr>
        <w:t>，</w:t>
      </w:r>
      <w:r>
        <w:rPr>
          <w:sz w:val="21"/>
        </w:rPr>
        <w:t>为本附加合同保险费的计算基础，并载明于保险单或批注上。</w:t>
      </w:r>
    </w:p>
    <w:p>
      <w:pPr>
        <w:pStyle w:val="BodyText"/>
        <w:spacing w:before="11"/>
        <w:rPr>
          <w:sz w:val="17"/>
        </w:rPr>
      </w:pPr>
    </w:p>
    <w:p>
      <w:pPr>
        <w:pStyle w:val="ListParagraph"/>
        <w:numPr>
          <w:ilvl w:val="1"/>
          <w:numId w:val="10"/>
        </w:numPr>
        <w:tabs>
          <w:tab w:pos="1072" w:val="left" w:leader="none"/>
          <w:tab w:pos="1073" w:val="left" w:leader="none"/>
          <w:tab w:pos="3003" w:val="left" w:leader="none"/>
        </w:tabs>
        <w:spacing w:line="240" w:lineRule="auto" w:before="1" w:after="0"/>
        <w:ind w:left="1072" w:right="0" w:hanging="851"/>
        <w:jc w:val="left"/>
        <w:rPr>
          <w:sz w:val="21"/>
        </w:rPr>
      </w:pPr>
      <w:r>
        <w:rPr>
          <w:b/>
          <w:sz w:val="21"/>
        </w:rPr>
        <w:t>保险期间</w:t>
        <w:tab/>
      </w:r>
      <w:r>
        <w:rPr>
          <w:sz w:val="21"/>
        </w:rPr>
        <w:t>本附加合同的保险期间有</w:t>
      </w:r>
      <w:r>
        <w:rPr>
          <w:spacing w:val="-57"/>
          <w:sz w:val="21"/>
        </w:rPr>
        <w:t> </w:t>
      </w:r>
      <w:r>
        <w:rPr>
          <w:sz w:val="21"/>
        </w:rPr>
        <w:t>20</w:t>
      </w:r>
      <w:r>
        <w:rPr>
          <w:spacing w:val="-56"/>
          <w:sz w:val="21"/>
        </w:rPr>
        <w:t> </w:t>
      </w:r>
      <w:r>
        <w:rPr>
          <w:sz w:val="21"/>
        </w:rPr>
        <w:t>年，或至被保险人</w:t>
      </w:r>
      <w:r>
        <w:rPr>
          <w:spacing w:val="-57"/>
          <w:sz w:val="21"/>
        </w:rPr>
        <w:t> </w:t>
      </w:r>
      <w:r>
        <w:rPr>
          <w:sz w:val="21"/>
        </w:rPr>
        <w:t>50</w:t>
      </w:r>
      <w:r>
        <w:rPr>
          <w:spacing w:val="-56"/>
          <w:sz w:val="21"/>
        </w:rPr>
        <w:t> </w:t>
      </w:r>
      <w:r>
        <w:rPr>
          <w:b/>
          <w:sz w:val="21"/>
        </w:rPr>
        <w:t>周岁</w:t>
      </w:r>
      <w:r>
        <w:rPr>
          <w:sz w:val="21"/>
        </w:rPr>
        <w:t>、55</w:t>
      </w:r>
      <w:r>
        <w:rPr>
          <w:spacing w:val="-57"/>
          <w:sz w:val="21"/>
        </w:rPr>
        <w:t> </w:t>
      </w:r>
      <w:r>
        <w:rPr>
          <w:b/>
          <w:sz w:val="21"/>
        </w:rPr>
        <w:t>周岁</w:t>
      </w:r>
      <w:r>
        <w:rPr>
          <w:sz w:val="21"/>
        </w:rPr>
        <w:t>、60</w:t>
      </w:r>
      <w:r>
        <w:rPr>
          <w:spacing w:val="-56"/>
          <w:sz w:val="21"/>
        </w:rPr>
        <w:t> </w:t>
      </w:r>
      <w:r>
        <w:rPr>
          <w:b/>
          <w:sz w:val="21"/>
        </w:rPr>
        <w:t>周岁</w:t>
      </w:r>
      <w:r>
        <w:rPr>
          <w:sz w:val="21"/>
        </w:rPr>
        <w:t>、</w:t>
      </w:r>
    </w:p>
    <w:p>
      <w:pPr>
        <w:pStyle w:val="BodyText"/>
        <w:spacing w:before="37"/>
        <w:ind w:left="3003"/>
      </w:pPr>
      <w:r>
        <w:rPr/>
        <w:t>65</w:t>
      </w:r>
      <w:r>
        <w:rPr>
          <w:spacing w:val="-55"/>
        </w:rPr>
        <w:t> </w:t>
      </w:r>
      <w:r>
        <w:rPr>
          <w:b/>
        </w:rPr>
        <w:t>周岁</w:t>
      </w:r>
      <w:r>
        <w:rPr/>
        <w:t>、70</w:t>
      </w:r>
      <w:r>
        <w:rPr>
          <w:spacing w:val="-55"/>
        </w:rPr>
        <w:t> </w:t>
      </w:r>
      <w:r>
        <w:rPr>
          <w:b/>
        </w:rPr>
        <w:t>周岁</w:t>
      </w:r>
      <w:r>
        <w:rPr/>
        <w:t>、75</w:t>
      </w:r>
      <w:r>
        <w:rPr>
          <w:spacing w:val="-55"/>
        </w:rPr>
        <w:t> </w:t>
      </w:r>
      <w:r>
        <w:rPr>
          <w:b/>
        </w:rPr>
        <w:t>周岁</w:t>
      </w:r>
      <w:r>
        <w:rPr>
          <w:spacing w:val="-19"/>
        </w:rPr>
        <w:t>，共 </w:t>
      </w:r>
      <w:r>
        <w:rPr/>
        <w:t>7</w:t>
      </w:r>
      <w:r>
        <w:rPr>
          <w:spacing w:val="-8"/>
        </w:rPr>
        <w:t> 种，自本附加合同生效日次日零时起至本附</w:t>
      </w:r>
    </w:p>
    <w:p>
      <w:pPr>
        <w:pStyle w:val="BodyText"/>
        <w:spacing w:line="273" w:lineRule="auto" w:before="37"/>
        <w:ind w:left="3003" w:right="264"/>
      </w:pPr>
      <w:r>
        <w:rPr>
          <w:spacing w:val="-10"/>
        </w:rPr>
        <w:t>加合同期满日 </w:t>
      </w:r>
      <w:r>
        <w:rPr/>
        <w:t>24</w:t>
      </w:r>
      <w:r>
        <w:rPr>
          <w:spacing w:val="-9"/>
        </w:rPr>
        <w:t> 时止。您可以与本公司约定其中一种保险期间并在保险单上载明。</w:t>
      </w:r>
    </w:p>
    <w:p>
      <w:pPr>
        <w:pStyle w:val="BodyText"/>
        <w:rPr>
          <w:sz w:val="18"/>
        </w:rPr>
      </w:pPr>
    </w:p>
    <w:p>
      <w:pPr>
        <w:pStyle w:val="ListParagraph"/>
        <w:numPr>
          <w:ilvl w:val="1"/>
          <w:numId w:val="10"/>
        </w:numPr>
        <w:tabs>
          <w:tab w:pos="1072" w:val="left" w:leader="none"/>
          <w:tab w:pos="1073" w:val="left" w:leader="none"/>
          <w:tab w:pos="3003" w:val="left" w:leader="none"/>
        </w:tabs>
        <w:spacing w:line="240" w:lineRule="auto" w:before="0" w:after="0"/>
        <w:ind w:left="1072" w:right="0" w:hanging="851"/>
        <w:jc w:val="left"/>
        <w:rPr>
          <w:sz w:val="21"/>
        </w:rPr>
      </w:pPr>
      <w:r>
        <w:rPr>
          <w:b/>
          <w:sz w:val="21"/>
        </w:rPr>
        <w:t>保险责任</w:t>
        <w:tab/>
      </w:r>
      <w:r>
        <w:rPr>
          <w:sz w:val="21"/>
        </w:rPr>
        <w:t>在本附加合同保险责任有效的保险期间内，本公司承担下列保险责任：</w:t>
      </w:r>
    </w:p>
    <w:p>
      <w:pPr>
        <w:pStyle w:val="BodyText"/>
        <w:spacing w:before="4"/>
        <w:rPr>
          <w:sz w:val="20"/>
        </w:rPr>
      </w:pPr>
    </w:p>
    <w:p>
      <w:pPr>
        <w:pStyle w:val="BodyText"/>
        <w:spacing w:line="273" w:lineRule="auto"/>
        <w:ind w:left="3003" w:right="207" w:hanging="1931"/>
        <w:jc w:val="both"/>
      </w:pPr>
      <w:r>
        <w:rPr>
          <w:b/>
          <w:spacing w:val="1"/>
        </w:rPr>
        <w:t>重大疾病保险金   </w:t>
      </w:r>
      <w:r>
        <w:rPr/>
        <w:t>如果被保险人经</w:t>
      </w:r>
      <w:r>
        <w:rPr>
          <w:b/>
          <w:spacing w:val="-6"/>
        </w:rPr>
        <w:t>医院</w:t>
      </w:r>
      <w:r>
        <w:rPr/>
        <w:t>（见释义</w:t>
      </w:r>
      <w:r>
        <w:rPr>
          <w:spacing w:val="-14"/>
        </w:rPr>
        <w:t>）</w:t>
      </w:r>
      <w:r>
        <w:rPr/>
        <w:t>的</w:t>
      </w:r>
      <w:r>
        <w:rPr>
          <w:b/>
          <w:spacing w:val="-4"/>
        </w:rPr>
        <w:t>专科医生</w:t>
      </w:r>
      <w:r>
        <w:rPr/>
        <w:t>（见释义</w:t>
      </w:r>
      <w:r>
        <w:rPr>
          <w:spacing w:val="-14"/>
        </w:rPr>
        <w:t>）</w:t>
      </w:r>
      <w:r>
        <w:rPr/>
        <w:t>确诊初次患上本附加合</w:t>
      </w:r>
      <w:r>
        <w:rPr>
          <w:spacing w:val="-3"/>
        </w:rPr>
        <w:t>同重大疾病列表</w:t>
      </w:r>
      <w:r>
        <w:rPr/>
        <w:t>（见附录一</w:t>
      </w:r>
      <w:r>
        <w:rPr>
          <w:spacing w:val="-17"/>
        </w:rPr>
        <w:t>）</w:t>
      </w:r>
      <w:r>
        <w:rPr>
          <w:spacing w:val="-1"/>
        </w:rPr>
        <w:t>内所界定的重大疾病中的任何一种疾病，并于确</w:t>
      </w:r>
      <w:r>
        <w:rPr>
          <w:spacing w:val="-24"/>
        </w:rPr>
        <w:t>诊后 </w:t>
      </w:r>
      <w:r>
        <w:rPr/>
        <w:t>30</w:t>
      </w:r>
      <w:r>
        <w:rPr>
          <w:spacing w:val="-9"/>
        </w:rPr>
        <w:t> 日仍生存，本公司给付重大疾病保险金，本附加合同终止。</w:t>
      </w:r>
    </w:p>
    <w:p>
      <w:pPr>
        <w:pStyle w:val="BodyText"/>
        <w:spacing w:line="273" w:lineRule="auto" w:before="7"/>
        <w:ind w:left="3003" w:right="144"/>
      </w:pPr>
      <w:r>
        <w:rPr/>
        <w:t>如果被保险人在合同生效后一年内非因</w:t>
      </w:r>
      <w:r>
        <w:rPr>
          <w:b/>
        </w:rPr>
        <w:t>意外伤害事故</w:t>
      </w:r>
      <w:r>
        <w:rPr/>
        <w:t>初次患上重大疾病，重大疾病保险金等于本附加合同累计已交保险费的 110%；</w:t>
      </w:r>
    </w:p>
    <w:p>
      <w:pPr>
        <w:pStyle w:val="BodyText"/>
        <w:spacing w:line="273" w:lineRule="auto" w:before="7"/>
        <w:ind w:left="3003" w:right="143" w:hanging="1"/>
      </w:pPr>
      <w:r>
        <w:rPr/>
        <w:t>如果被保险人因</w:t>
      </w:r>
      <w:r>
        <w:rPr>
          <w:b/>
        </w:rPr>
        <w:t>意外伤害事故</w:t>
      </w:r>
      <w:r>
        <w:rPr/>
        <w:t>、或在合同生效满一年后非因</w:t>
      </w:r>
      <w:r>
        <w:rPr>
          <w:b/>
        </w:rPr>
        <w:t>意外伤害事故</w:t>
      </w:r>
      <w:r>
        <w:rPr/>
        <w:t>初次患上重大疾病，重大疾病保险金等于本附加合同的保险金额。</w:t>
      </w:r>
    </w:p>
    <w:p>
      <w:pPr>
        <w:pStyle w:val="BodyText"/>
        <w:spacing w:before="7"/>
        <w:ind w:left="3003"/>
      </w:pPr>
      <w:r>
        <w:rPr/>
        <w:t>本公司对本附加合同所负的重大疾病保险金给付责任以一次为限。</w:t>
      </w:r>
    </w:p>
    <w:p>
      <w:pPr>
        <w:pStyle w:val="BodyText"/>
        <w:spacing w:line="273" w:lineRule="auto" w:before="36"/>
        <w:ind w:left="3003" w:right="261"/>
      </w:pPr>
      <w:r>
        <w:rPr>
          <w:spacing w:val="-9"/>
        </w:rPr>
        <w:t>被保险人年满 </w:t>
      </w:r>
      <w:r>
        <w:rPr/>
        <w:t>18</w:t>
      </w:r>
      <w:r>
        <w:rPr>
          <w:spacing w:val="-56"/>
        </w:rPr>
        <w:t> </w:t>
      </w:r>
      <w:r>
        <w:rPr>
          <w:b/>
        </w:rPr>
        <w:t>周岁</w:t>
      </w:r>
      <w:r>
        <w:rPr/>
        <w:t>前后本附加合同保障的重大疾病种类有所不同，请仔细阅读重大疾病列表内的重大疾病定义。</w:t>
      </w:r>
    </w:p>
    <w:p>
      <w:pPr>
        <w:pStyle w:val="BodyText"/>
        <w:spacing w:before="11"/>
        <w:rPr>
          <w:sz w:val="17"/>
        </w:rPr>
      </w:pPr>
    </w:p>
    <w:p>
      <w:pPr>
        <w:pStyle w:val="ListParagraph"/>
        <w:numPr>
          <w:ilvl w:val="1"/>
          <w:numId w:val="10"/>
        </w:numPr>
        <w:tabs>
          <w:tab w:pos="1073" w:val="left" w:leader="none"/>
          <w:tab w:pos="1074" w:val="left" w:leader="none"/>
          <w:tab w:pos="3003" w:val="left" w:leader="none"/>
        </w:tabs>
        <w:spacing w:line="273" w:lineRule="auto" w:before="0" w:after="0"/>
        <w:ind w:left="3004" w:right="208" w:hanging="2783"/>
        <w:jc w:val="left"/>
        <w:rPr>
          <w:rFonts w:ascii="黑体" w:eastAsia="黑体" w:hint="eastAsia"/>
          <w:sz w:val="21"/>
        </w:rPr>
      </w:pPr>
      <w:r>
        <w:rPr>
          <w:b/>
          <w:sz w:val="21"/>
        </w:rPr>
        <w:t>责任免除</w:t>
        <w:tab/>
      </w:r>
      <w:r>
        <w:rPr>
          <w:rFonts w:ascii="黑体" w:eastAsia="黑体" w:hint="eastAsia"/>
          <w:sz w:val="21"/>
        </w:rPr>
        <w:t>因下列情形之一</w:t>
      </w:r>
      <w:r>
        <w:rPr>
          <w:rFonts w:ascii="黑体" w:eastAsia="黑体" w:hint="eastAsia"/>
          <w:spacing w:val="-51"/>
          <w:sz w:val="21"/>
        </w:rPr>
        <w:t>，</w:t>
      </w:r>
      <w:r>
        <w:rPr>
          <w:rFonts w:ascii="黑体" w:eastAsia="黑体" w:hint="eastAsia"/>
          <w:sz w:val="21"/>
        </w:rPr>
        <w:t>导致被保险人发Th本附加合同重大疾病列表内界定的重大疾病的，本公司不承担保险责任：</w:t>
      </w:r>
    </w:p>
    <w:p>
      <w:pPr>
        <w:pStyle w:val="BodyText"/>
        <w:spacing w:before="7"/>
        <w:ind w:left="3004"/>
        <w:rPr>
          <w:rFonts w:ascii="黑体" w:eastAsia="黑体" w:hint="eastAsia"/>
        </w:rPr>
      </w:pPr>
      <w:r>
        <w:rPr>
          <w:rFonts w:ascii="黑体" w:eastAsia="黑体" w:hint="eastAsia"/>
        </w:rPr>
        <w:t>（1）投保人对被保险人的故意杀害、故意伤害；</w:t>
      </w:r>
    </w:p>
    <w:p>
      <w:pPr>
        <w:spacing w:after="0"/>
        <w:rPr>
          <w:rFonts w:ascii="黑体" w:eastAsia="黑体" w:hint="eastAsia"/>
        </w:rPr>
        <w:sectPr>
          <w:pgSz w:w="11910" w:h="16840"/>
          <w:pgMar w:top="1160" w:bottom="280" w:left="800" w:right="800"/>
        </w:sect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spacing w:before="4"/>
        <w:rPr>
          <w:rFonts w:ascii="黑体"/>
          <w:sz w:val="30"/>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before="19"/>
        <w:ind w:left="221"/>
        <w:rPr>
          <w:rFonts w:ascii="黑体" w:eastAsia="黑体" w:hint="eastAsia"/>
        </w:rPr>
      </w:pPr>
      <w:r>
        <w:rPr/>
        <w:br w:type="column"/>
      </w:r>
      <w:r>
        <w:rPr>
          <w:rFonts w:ascii="黑体" w:eastAsia="黑体" w:hint="eastAsia"/>
        </w:rPr>
        <w:t>（2）被保险人故意自伤、故意犯罪或者抗拒依法采取的刑事强制措施；</w:t>
      </w:r>
    </w:p>
    <w:p>
      <w:pPr>
        <w:pStyle w:val="BodyText"/>
        <w:spacing w:before="37"/>
        <w:ind w:left="221"/>
        <w:rPr>
          <w:rFonts w:ascii="黑体" w:eastAsia="黑体" w:hint="eastAsia"/>
        </w:rPr>
      </w:pPr>
      <w:r>
        <w:rPr>
          <w:rFonts w:ascii="黑体" w:eastAsia="黑体" w:hint="eastAsia"/>
        </w:rPr>
        <w:t>（3）</w:t>
      </w:r>
      <w:r>
        <w:rPr>
          <w:rFonts w:ascii="黑体" w:eastAsia="黑体" w:hint="eastAsia"/>
          <w:spacing w:val="-1"/>
        </w:rPr>
        <w:t>被保险人主动吸食或注射</w:t>
      </w:r>
      <w:r>
        <w:rPr>
          <w:rFonts w:ascii="黑体" w:eastAsia="黑体" w:hint="eastAsia"/>
          <w:b/>
          <w:w w:val="99"/>
        </w:rPr>
        <w:t>毒品</w:t>
      </w:r>
      <w:r>
        <w:rPr>
          <w:rFonts w:ascii="黑体" w:eastAsia="黑体" w:hint="eastAsia"/>
        </w:rPr>
        <w:t>（见主合同释义</w:t>
      </w:r>
      <w:r>
        <w:rPr>
          <w:rFonts w:ascii="黑体" w:eastAsia="黑体" w:hint="eastAsia"/>
          <w:spacing w:val="-105"/>
        </w:rPr>
        <w:t>）</w:t>
      </w:r>
      <w:r>
        <w:rPr>
          <w:rFonts w:ascii="黑体" w:eastAsia="黑体" w:hint="eastAsia"/>
        </w:rPr>
        <w:t>；</w:t>
      </w:r>
    </w:p>
    <w:p>
      <w:pPr>
        <w:spacing w:line="273" w:lineRule="auto" w:before="37"/>
        <w:ind w:left="725" w:right="103" w:hanging="505"/>
        <w:jc w:val="left"/>
        <w:rPr>
          <w:rFonts w:ascii="黑体" w:eastAsia="黑体" w:hint="eastAsia"/>
          <w:sz w:val="21"/>
        </w:rPr>
      </w:pPr>
      <w:r>
        <w:rPr>
          <w:rFonts w:ascii="黑体" w:eastAsia="黑体" w:hint="eastAsia"/>
          <w:spacing w:val="-6"/>
          <w:sz w:val="21"/>
        </w:rPr>
        <w:t>（4）</w:t>
      </w:r>
      <w:r>
        <w:rPr>
          <w:rFonts w:ascii="黑体" w:eastAsia="黑体" w:hint="eastAsia"/>
          <w:sz w:val="21"/>
        </w:rPr>
        <w:t>被保险人</w:t>
      </w:r>
      <w:r>
        <w:rPr>
          <w:rFonts w:ascii="黑体" w:eastAsia="黑体" w:hint="eastAsia"/>
          <w:b/>
          <w:spacing w:val="-4"/>
          <w:sz w:val="21"/>
        </w:rPr>
        <w:t>酒后驾驶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6"/>
          <w:sz w:val="21"/>
        </w:rPr>
        <w:t>、</w:t>
      </w:r>
      <w:r>
        <w:rPr>
          <w:rFonts w:ascii="黑体" w:eastAsia="黑体" w:hint="eastAsia"/>
          <w:b/>
          <w:spacing w:val="-2"/>
          <w:sz w:val="21"/>
        </w:rPr>
        <w:t>无合法有效驾驶证驾驶</w:t>
      </w:r>
      <w:r>
        <w:rPr>
          <w:rFonts w:ascii="黑体" w:eastAsia="黑体" w:hint="eastAsia"/>
          <w:sz w:val="21"/>
        </w:rPr>
        <w:t>（见主合同释义</w:t>
      </w:r>
      <w:r>
        <w:rPr>
          <w:rFonts w:ascii="黑体" w:eastAsia="黑体" w:hint="eastAsia"/>
          <w:spacing w:val="-105"/>
          <w:sz w:val="21"/>
        </w:rPr>
        <w:t>）</w:t>
      </w:r>
      <w:r>
        <w:rPr>
          <w:rFonts w:ascii="黑体" w:eastAsia="黑体" w:hint="eastAsia"/>
          <w:spacing w:val="-17"/>
          <w:sz w:val="21"/>
        </w:rPr>
        <w:t>，或驾驶</w:t>
      </w:r>
      <w:r>
        <w:rPr>
          <w:rFonts w:ascii="黑体" w:eastAsia="黑体" w:hint="eastAsia"/>
          <w:b/>
          <w:spacing w:val="-10"/>
          <w:w w:val="99"/>
          <w:sz w:val="21"/>
        </w:rPr>
        <w:t>无有效行驶证</w:t>
      </w:r>
      <w:r>
        <w:rPr>
          <w:rFonts w:ascii="黑体" w:eastAsia="黑体" w:hint="eastAsia"/>
          <w:sz w:val="21"/>
        </w:rPr>
        <w:t>（</w:t>
      </w:r>
      <w:r>
        <w:rPr>
          <w:rFonts w:ascii="黑体" w:eastAsia="黑体" w:hint="eastAsia"/>
          <w:spacing w:val="-1"/>
          <w:sz w:val="21"/>
        </w:rPr>
        <w:t>见主合同释义</w:t>
      </w:r>
      <w:r>
        <w:rPr>
          <w:rFonts w:ascii="黑体" w:eastAsia="黑体" w:hint="eastAsia"/>
          <w:spacing w:val="-62"/>
          <w:sz w:val="21"/>
        </w:rPr>
        <w:t>）</w:t>
      </w:r>
      <w:r>
        <w:rPr>
          <w:rFonts w:ascii="黑体" w:eastAsia="黑体" w:hint="eastAsia"/>
          <w:sz w:val="21"/>
        </w:rPr>
        <w:t>的</w:t>
      </w:r>
      <w:r>
        <w:rPr>
          <w:rFonts w:ascii="黑体" w:eastAsia="黑体" w:hint="eastAsia"/>
          <w:b/>
          <w:spacing w:val="-20"/>
          <w:w w:val="99"/>
          <w:sz w:val="21"/>
        </w:rPr>
        <w:t>机动车</w:t>
      </w:r>
      <w:r>
        <w:rPr>
          <w:rFonts w:ascii="黑体" w:eastAsia="黑体" w:hint="eastAsia"/>
          <w:sz w:val="21"/>
        </w:rPr>
        <w:t>（</w:t>
      </w:r>
      <w:r>
        <w:rPr>
          <w:rFonts w:ascii="黑体" w:eastAsia="黑体" w:hint="eastAsia"/>
          <w:spacing w:val="-1"/>
          <w:sz w:val="21"/>
        </w:rPr>
        <w:t>见主合同释义</w:t>
      </w:r>
      <w:r>
        <w:rPr>
          <w:rFonts w:ascii="黑体" w:eastAsia="黑体" w:hint="eastAsia"/>
          <w:spacing w:val="-105"/>
          <w:sz w:val="21"/>
        </w:rPr>
        <w:t>）</w:t>
      </w:r>
      <w:r>
        <w:rPr>
          <w:rFonts w:ascii="黑体" w:eastAsia="黑体" w:hint="eastAsia"/>
          <w:sz w:val="21"/>
        </w:rPr>
        <w:t>；</w:t>
      </w:r>
    </w:p>
    <w:p>
      <w:pPr>
        <w:pStyle w:val="BodyText"/>
        <w:spacing w:line="273" w:lineRule="auto" w:before="7"/>
        <w:ind w:left="725" w:right="208" w:hanging="504"/>
        <w:rPr>
          <w:rFonts w:ascii="黑体" w:hAnsi="黑体" w:eastAsia="黑体" w:hint="eastAsia"/>
        </w:rPr>
      </w:pPr>
      <w:r>
        <w:rPr>
          <w:rFonts w:ascii="黑体" w:hAnsi="黑体" w:eastAsia="黑体" w:hint="eastAsia"/>
        </w:rPr>
        <w:t>（5</w:t>
      </w:r>
      <w:r>
        <w:rPr>
          <w:rFonts w:ascii="黑体" w:hAnsi="黑体" w:eastAsia="黑体" w:hint="eastAsia"/>
          <w:spacing w:val="-15"/>
        </w:rPr>
        <w:t>）</w:t>
      </w:r>
      <w:r>
        <w:rPr>
          <w:rFonts w:ascii="黑体" w:hAnsi="黑体" w:eastAsia="黑体" w:hint="eastAsia"/>
          <w:spacing w:val="-1"/>
        </w:rPr>
        <w:t>被保险人</w:t>
      </w:r>
      <w:r>
        <w:rPr>
          <w:rFonts w:ascii="黑体" w:hAnsi="黑体" w:eastAsia="黑体" w:hint="eastAsia"/>
          <w:b/>
          <w:spacing w:val="-2"/>
          <w:w w:val="99"/>
        </w:rPr>
        <w:t>感染艾滋病病毒或患艾滋病</w:t>
      </w:r>
      <w:r>
        <w:rPr>
          <w:rFonts w:ascii="黑体" w:hAnsi="黑体" w:eastAsia="黑体" w:hint="eastAsia"/>
        </w:rPr>
        <w:t>（</w:t>
      </w:r>
      <w:r>
        <w:rPr>
          <w:rFonts w:ascii="黑体" w:hAnsi="黑体" w:eastAsia="黑体" w:hint="eastAsia"/>
          <w:spacing w:val="-1"/>
        </w:rPr>
        <w:t>见释义</w:t>
      </w:r>
      <w:r>
        <w:rPr>
          <w:rFonts w:ascii="黑体" w:hAnsi="黑体" w:eastAsia="黑体" w:hint="eastAsia"/>
          <w:spacing w:val="-105"/>
        </w:rPr>
        <w:t>）</w:t>
      </w:r>
      <w:r>
        <w:rPr>
          <w:rFonts w:ascii="黑体" w:hAnsi="黑体" w:eastAsia="黑体" w:hint="eastAsia"/>
          <w:spacing w:val="-6"/>
        </w:rPr>
        <w:t>，但对“经输血导致的人类免疫缺陷病毒感染”本公司仍负重大疾病保险金的给付责任；</w:t>
      </w:r>
    </w:p>
    <w:p>
      <w:pPr>
        <w:pStyle w:val="BodyText"/>
        <w:spacing w:before="7"/>
        <w:ind w:left="221"/>
        <w:rPr>
          <w:rFonts w:ascii="黑体" w:eastAsia="黑体" w:hint="eastAsia"/>
        </w:rPr>
      </w:pPr>
      <w:r>
        <w:rPr>
          <w:rFonts w:ascii="黑体" w:eastAsia="黑体" w:hint="eastAsia"/>
        </w:rPr>
        <w:t>（6）战争、军事冲突、暴乱或武装叛乱；</w:t>
      </w:r>
    </w:p>
    <w:p>
      <w:pPr>
        <w:pStyle w:val="BodyText"/>
        <w:spacing w:before="37"/>
        <w:ind w:left="221"/>
        <w:rPr>
          <w:rFonts w:ascii="黑体" w:eastAsia="黑体" w:hint="eastAsia"/>
        </w:rPr>
      </w:pPr>
      <w:r>
        <w:rPr>
          <w:rFonts w:ascii="黑体" w:eastAsia="黑体" w:hint="eastAsia"/>
        </w:rPr>
        <w:t>（7）核爆炸、核辐射或核污染；</w:t>
      </w:r>
    </w:p>
    <w:p>
      <w:pPr>
        <w:spacing w:before="18"/>
        <w:ind w:left="221" w:right="0" w:firstLine="0"/>
        <w:jc w:val="left"/>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b/>
          <w:w w:val="99"/>
          <w:sz w:val="21"/>
        </w:rPr>
        <w:t>遗传性疾病</w:t>
      </w:r>
      <w:r>
        <w:rPr>
          <w:rFonts w:ascii="黑体" w:eastAsia="黑体" w:hint="eastAsia"/>
          <w:sz w:val="21"/>
        </w:rPr>
        <w:t>（</w:t>
      </w:r>
      <w:r>
        <w:rPr>
          <w:rFonts w:ascii="黑体" w:eastAsia="黑体" w:hint="eastAsia"/>
          <w:spacing w:val="-1"/>
          <w:sz w:val="21"/>
        </w:rPr>
        <w:t>见释义</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spacing w:after="0"/>
        <w:jc w:val="left"/>
        <w:rPr>
          <w:rFonts w:ascii="黑体" w:eastAsia="黑体" w:hint="eastAsia"/>
          <w:sz w:val="21"/>
        </w:rPr>
        <w:sectPr>
          <w:pgSz w:w="11910" w:h="16840"/>
          <w:pgMar w:top="1100" w:bottom="280" w:left="800" w:right="800"/>
          <w:cols w:num="2" w:equalWidth="0">
            <w:col w:w="2517" w:space="266"/>
            <w:col w:w="7527"/>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6002pt" strokecolor="#000000">
              <v:stroke dashstyle="solid"/>
            </v:line>
          </v:group>
        </w:pict>
      </w:r>
      <w:r>
        <w:rPr>
          <w:rFonts w:ascii="黑体"/>
          <w:spacing w:val="6"/>
          <w:sz w:val="2"/>
        </w:rPr>
      </w:r>
    </w:p>
    <w:p>
      <w:pPr>
        <w:pStyle w:val="BodyText"/>
        <w:spacing w:before="1"/>
        <w:rPr>
          <w:rFonts w:ascii="黑体"/>
          <w:sz w:val="12"/>
        </w:rPr>
      </w:pPr>
    </w:p>
    <w:p>
      <w:pPr>
        <w:pStyle w:val="ListParagraph"/>
        <w:numPr>
          <w:ilvl w:val="1"/>
          <w:numId w:val="11"/>
        </w:numPr>
        <w:tabs>
          <w:tab w:pos="1073" w:val="left" w:leader="none"/>
          <w:tab w:pos="1074" w:val="left" w:leader="none"/>
          <w:tab w:pos="3003" w:val="left" w:leader="none"/>
        </w:tabs>
        <w:spacing w:line="240" w:lineRule="auto" w:before="35" w:after="0"/>
        <w:ind w:left="3003" w:right="0" w:hanging="2782"/>
        <w:jc w:val="left"/>
        <w:rPr>
          <w:sz w:val="21"/>
        </w:rPr>
      </w:pPr>
      <w:r>
        <w:rPr>
          <w:b/>
          <w:sz w:val="21"/>
        </w:rPr>
        <w:t>受益人</w:t>
        <w:tab/>
      </w:r>
      <w:r>
        <w:rPr>
          <w:sz w:val="21"/>
        </w:rPr>
        <w:t>除本附加合同另有约定外，重大疾病保险金受益人为被保险人本人。</w:t>
      </w:r>
    </w:p>
    <w:p>
      <w:pPr>
        <w:pStyle w:val="BodyText"/>
        <w:spacing w:before="1"/>
        <w:rPr>
          <w:sz w:val="20"/>
        </w:rPr>
      </w:pPr>
    </w:p>
    <w:p>
      <w:pPr>
        <w:pStyle w:val="ListParagraph"/>
        <w:numPr>
          <w:ilvl w:val="1"/>
          <w:numId w:val="11"/>
        </w:numPr>
        <w:tabs>
          <w:tab w:pos="1073" w:val="left" w:leader="none"/>
          <w:tab w:pos="1074" w:val="left" w:leader="none"/>
          <w:tab w:pos="3003" w:val="left" w:leader="none"/>
        </w:tabs>
        <w:spacing w:line="273" w:lineRule="auto" w:before="0" w:after="0"/>
        <w:ind w:left="3003" w:right="208" w:hanging="2782"/>
        <w:jc w:val="left"/>
        <w:rPr>
          <w:sz w:val="21"/>
        </w:rPr>
      </w:pPr>
      <w:r>
        <w:rPr>
          <w:b/>
          <w:sz w:val="21"/>
        </w:rPr>
        <w:t>保险金申请</w:t>
        <w:tab/>
      </w:r>
      <w:r>
        <w:rPr>
          <w:sz w:val="21"/>
        </w:rPr>
        <w:t>在申请保险金时</w:t>
      </w:r>
      <w:r>
        <w:rPr>
          <w:spacing w:val="-26"/>
          <w:sz w:val="21"/>
        </w:rPr>
        <w:t>，</w:t>
      </w:r>
      <w:r>
        <w:rPr>
          <w:sz w:val="21"/>
        </w:rPr>
        <w:t>受益人作为申请人填写保险金给付申请书</w:t>
      </w:r>
      <w:r>
        <w:rPr>
          <w:spacing w:val="-26"/>
          <w:sz w:val="21"/>
        </w:rPr>
        <w:t>，</w:t>
      </w:r>
      <w:r>
        <w:rPr>
          <w:sz w:val="21"/>
        </w:rPr>
        <w:t>并须提供下列证明和资料：</w:t>
      </w:r>
    </w:p>
    <w:p>
      <w:pPr>
        <w:pStyle w:val="BodyText"/>
        <w:spacing w:before="7"/>
        <w:ind w:left="3003"/>
      </w:pPr>
      <w:r>
        <w:rPr/>
        <w:t>（1）保险合同；</w:t>
      </w:r>
    </w:p>
    <w:p>
      <w:pPr>
        <w:spacing w:before="37"/>
        <w:ind w:left="3003" w:right="0" w:firstLine="0"/>
        <w:jc w:val="left"/>
        <w:rPr>
          <w:sz w:val="21"/>
        </w:rPr>
      </w:pPr>
      <w:r>
        <w:rPr>
          <w:sz w:val="21"/>
        </w:rPr>
        <w:t>（2）</w:t>
      </w:r>
      <w:r>
        <w:rPr>
          <w:spacing w:val="-1"/>
          <w:sz w:val="21"/>
        </w:rPr>
        <w:t>受益人的</w:t>
      </w:r>
      <w:r>
        <w:rPr>
          <w:b/>
          <w:w w:val="99"/>
          <w:sz w:val="21"/>
        </w:rPr>
        <w:t>有效身份证明</w:t>
      </w:r>
      <w:r>
        <w:rPr>
          <w:sz w:val="21"/>
        </w:rPr>
        <w:t>（</w:t>
      </w:r>
      <w:r>
        <w:rPr>
          <w:spacing w:val="-1"/>
          <w:sz w:val="21"/>
        </w:rPr>
        <w:t>见主合同释义</w:t>
      </w:r>
      <w:r>
        <w:rPr>
          <w:spacing w:val="-105"/>
          <w:sz w:val="21"/>
        </w:rPr>
        <w:t>）</w:t>
      </w:r>
      <w:r>
        <w:rPr>
          <w:sz w:val="21"/>
        </w:rPr>
        <w:t>；</w:t>
      </w:r>
    </w:p>
    <w:p>
      <w:pPr>
        <w:pStyle w:val="BodyText"/>
        <w:spacing w:line="273" w:lineRule="auto" w:before="37"/>
        <w:ind w:left="3522" w:right="243"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1936"/>
        <w:gridCol w:w="7443"/>
      </w:tblGrid>
      <w:tr>
        <w:trPr>
          <w:trHeight w:val="1310" w:hRule="atLeast"/>
        </w:trPr>
        <w:tc>
          <w:tcPr>
            <w:tcW w:w="2648" w:type="dxa"/>
            <w:gridSpan w:val="2"/>
          </w:tcPr>
          <w:p>
            <w:pPr>
              <w:pStyle w:val="TableParagraph"/>
              <w:rPr>
                <w:rFonts w:ascii="Times New Roman"/>
                <w:sz w:val="20"/>
              </w:rPr>
            </w:pPr>
          </w:p>
        </w:tc>
        <w:tc>
          <w:tcPr>
            <w:tcW w:w="7443" w:type="dxa"/>
          </w:tcPr>
          <w:p>
            <w:pPr>
              <w:pStyle w:val="TableParagraph"/>
              <w:spacing w:line="210" w:lineRule="exact"/>
              <w:ind w:left="242"/>
              <w:rPr>
                <w:sz w:val="21"/>
              </w:rPr>
            </w:pPr>
            <w:r>
              <w:rPr>
                <w:sz w:val="21"/>
              </w:rPr>
              <w:t>（4）所能提供的与确认保险事故的性质、原因等有关的其他证明和资料；</w:t>
            </w:r>
          </w:p>
          <w:p>
            <w:pPr>
              <w:pStyle w:val="TableParagraph"/>
              <w:spacing w:before="37"/>
              <w:ind w:left="242"/>
              <w:rPr>
                <w:sz w:val="21"/>
              </w:rPr>
            </w:pPr>
            <w:r>
              <w:rPr>
                <w:sz w:val="21"/>
              </w:rPr>
              <w:t>（5）本公司需要的其他有关文件和资料。</w:t>
            </w:r>
          </w:p>
          <w:p>
            <w:pPr>
              <w:pStyle w:val="TableParagraph"/>
              <w:spacing w:line="273" w:lineRule="auto" w:before="37"/>
              <w:ind w:left="242" w:right="44"/>
              <w:rPr>
                <w:sz w:val="21"/>
              </w:rPr>
            </w:pPr>
            <w:r>
              <w:rPr>
                <w:sz w:val="21"/>
              </w:rPr>
              <w:t>以上证明和资料不完整的，本公司将及时一次性通知申请人补充提供有关的证明和资料。</w:t>
            </w:r>
          </w:p>
        </w:tc>
      </w:tr>
      <w:tr>
        <w:trPr>
          <w:trHeight w:val="874" w:hRule="atLeast"/>
        </w:trPr>
        <w:tc>
          <w:tcPr>
            <w:tcW w:w="712" w:type="dxa"/>
          </w:tcPr>
          <w:p>
            <w:pPr>
              <w:pStyle w:val="TableParagraph"/>
              <w:spacing w:before="99"/>
              <w:ind w:left="107"/>
              <w:rPr>
                <w:b/>
                <w:sz w:val="21"/>
              </w:rPr>
            </w:pPr>
            <w:r>
              <w:rPr>
                <w:b/>
                <w:sz w:val="21"/>
              </w:rPr>
              <w:t>3.3</w:t>
            </w:r>
          </w:p>
        </w:tc>
        <w:tc>
          <w:tcPr>
            <w:tcW w:w="1936" w:type="dxa"/>
          </w:tcPr>
          <w:p>
            <w:pPr>
              <w:pStyle w:val="TableParagraph"/>
              <w:spacing w:before="99"/>
              <w:ind w:left="247"/>
              <w:rPr>
                <w:b/>
                <w:sz w:val="21"/>
              </w:rPr>
            </w:pPr>
            <w:r>
              <w:rPr>
                <w:b/>
                <w:w w:val="95"/>
                <w:sz w:val="21"/>
              </w:rPr>
              <w:t>诉讼时效</w:t>
            </w:r>
          </w:p>
        </w:tc>
        <w:tc>
          <w:tcPr>
            <w:tcW w:w="7443" w:type="dxa"/>
          </w:tcPr>
          <w:p>
            <w:pPr>
              <w:pStyle w:val="TableParagraph"/>
              <w:spacing w:line="273" w:lineRule="auto" w:before="99"/>
              <w:ind w:left="242" w:right="108"/>
              <w:rPr>
                <w:sz w:val="21"/>
              </w:rPr>
            </w:pPr>
            <w:r>
              <w:rPr>
                <w:spacing w:val="-3"/>
                <w:sz w:val="21"/>
              </w:rPr>
              <w:t>受益人向本公司请求给付保险金的诉讼时效期间为 </w:t>
            </w:r>
            <w:r>
              <w:rPr>
                <w:sz w:val="21"/>
              </w:rPr>
              <w:t>2</w:t>
            </w:r>
            <w:r>
              <w:rPr>
                <w:spacing w:val="-11"/>
                <w:sz w:val="21"/>
              </w:rPr>
              <w:t> 年，自其知道或者应当知道保险事故发生之日起计算。</w:t>
            </w:r>
          </w:p>
        </w:tc>
      </w:tr>
      <w:tr>
        <w:trPr>
          <w:trHeight w:val="721" w:hRule="atLeast"/>
        </w:trPr>
        <w:tc>
          <w:tcPr>
            <w:tcW w:w="712" w:type="dxa"/>
            <w:tcBorders>
              <w:bottom w:val="single" w:sz="8" w:space="0" w:color="000000"/>
            </w:tcBorders>
          </w:tcPr>
          <w:p>
            <w:pPr>
              <w:pStyle w:val="TableParagraph"/>
              <w:spacing w:before="187"/>
              <w:ind w:left="108"/>
              <w:rPr>
                <w:rFonts w:ascii="Wingdings" w:hAnsi="Wingdings"/>
                <w:sz w:val="40"/>
              </w:rPr>
            </w:pPr>
            <w:r>
              <w:rPr>
                <w:rFonts w:ascii="Wingdings" w:hAnsi="Wingdings"/>
                <w:w w:val="99"/>
                <w:sz w:val="40"/>
              </w:rPr>
              <w:t></w:t>
            </w:r>
          </w:p>
        </w:tc>
        <w:tc>
          <w:tcPr>
            <w:tcW w:w="1936" w:type="dxa"/>
            <w:tcBorders>
              <w:bottom w:val="single" w:sz="8" w:space="0" w:color="000000"/>
            </w:tcBorders>
          </w:tcPr>
          <w:p>
            <w:pPr>
              <w:pStyle w:val="TableParagraph"/>
              <w:spacing w:before="215"/>
              <w:ind w:left="248"/>
              <w:rPr>
                <w:b/>
                <w:sz w:val="24"/>
              </w:rPr>
            </w:pPr>
            <w:r>
              <w:rPr>
                <w:b/>
                <w:w w:val="95"/>
                <w:sz w:val="24"/>
              </w:rPr>
              <w:t>保险费的交纳</w:t>
            </w:r>
          </w:p>
        </w:tc>
        <w:tc>
          <w:tcPr>
            <w:tcW w:w="7443" w:type="dxa"/>
            <w:tcBorders>
              <w:bottom w:val="single" w:sz="8" w:space="0" w:color="000000"/>
            </w:tcBorders>
          </w:tcPr>
          <w:p>
            <w:pPr>
              <w:pStyle w:val="TableParagraph"/>
              <w:rPr>
                <w:rFonts w:ascii="Times New Roman"/>
                <w:sz w:val="20"/>
              </w:rPr>
            </w:pPr>
          </w:p>
        </w:tc>
      </w:tr>
      <w:tr>
        <w:trPr>
          <w:trHeight w:val="1567" w:hRule="atLeast"/>
        </w:trPr>
        <w:tc>
          <w:tcPr>
            <w:tcW w:w="712" w:type="dxa"/>
            <w:tcBorders>
              <w:top w:val="single" w:sz="8" w:space="0" w:color="000000"/>
            </w:tcBorders>
          </w:tcPr>
          <w:p>
            <w:pPr>
              <w:pStyle w:val="TableParagraph"/>
              <w:spacing w:before="9"/>
              <w:rPr>
                <w:sz w:val="14"/>
              </w:rPr>
            </w:pPr>
          </w:p>
          <w:p>
            <w:pPr>
              <w:pStyle w:val="TableParagraph"/>
              <w:ind w:left="108"/>
              <w:rPr>
                <w:b/>
                <w:sz w:val="21"/>
              </w:rPr>
            </w:pPr>
            <w:r>
              <w:rPr>
                <w:b/>
                <w:sz w:val="21"/>
              </w:rPr>
              <w:t>4.1</w:t>
            </w:r>
          </w:p>
        </w:tc>
        <w:tc>
          <w:tcPr>
            <w:tcW w:w="1936" w:type="dxa"/>
            <w:tcBorders>
              <w:top w:val="single" w:sz="8" w:space="0" w:color="000000"/>
            </w:tcBorders>
          </w:tcPr>
          <w:p>
            <w:pPr>
              <w:pStyle w:val="TableParagraph"/>
              <w:spacing w:before="9"/>
              <w:rPr>
                <w:sz w:val="14"/>
              </w:rPr>
            </w:pPr>
          </w:p>
          <w:p>
            <w:pPr>
              <w:pStyle w:val="TableParagraph"/>
              <w:ind w:left="248"/>
              <w:rPr>
                <w:b/>
                <w:sz w:val="21"/>
              </w:rPr>
            </w:pPr>
            <w:r>
              <w:rPr>
                <w:b/>
                <w:w w:val="95"/>
                <w:sz w:val="21"/>
              </w:rPr>
              <w:t>保险费的交纳</w:t>
            </w:r>
          </w:p>
        </w:tc>
        <w:tc>
          <w:tcPr>
            <w:tcW w:w="7443" w:type="dxa"/>
            <w:tcBorders>
              <w:top w:val="single" w:sz="8" w:space="0" w:color="000000"/>
            </w:tcBorders>
          </w:tcPr>
          <w:p>
            <w:pPr>
              <w:pStyle w:val="TableParagraph"/>
              <w:spacing w:before="9"/>
              <w:rPr>
                <w:sz w:val="14"/>
              </w:rPr>
            </w:pPr>
          </w:p>
          <w:p>
            <w:pPr>
              <w:pStyle w:val="TableParagraph"/>
              <w:spacing w:line="273" w:lineRule="auto"/>
              <w:ind w:left="242" w:right="268"/>
              <w:rPr>
                <w:sz w:val="21"/>
              </w:rPr>
            </w:pPr>
            <w:r>
              <w:rPr>
                <w:sz w:val="21"/>
              </w:rPr>
              <w:t>本附加合同的交费方式和交费期间由您和本公司约定并载明于保险单或批注上。</w:t>
            </w:r>
          </w:p>
          <w:p>
            <w:pPr>
              <w:pStyle w:val="TableParagraph"/>
              <w:spacing w:line="273" w:lineRule="auto" w:before="7"/>
              <w:ind w:left="242" w:right="42"/>
              <w:rPr>
                <w:sz w:val="21"/>
              </w:rPr>
            </w:pPr>
            <w:r>
              <w:rPr>
                <w:sz w:val="21"/>
              </w:rPr>
              <w:t>分期支付保险费的，在交纳首期保险费后，您应当按照约定，在每个</w:t>
            </w:r>
            <w:r>
              <w:rPr>
                <w:b/>
                <w:sz w:val="21"/>
              </w:rPr>
              <w:t>保险费约</w:t>
            </w:r>
            <w:r>
              <w:rPr>
                <w:b/>
                <w:w w:val="95"/>
                <w:sz w:val="21"/>
              </w:rPr>
              <w:t>定交纳日</w:t>
            </w:r>
            <w:r>
              <w:rPr>
                <w:w w:val="95"/>
                <w:sz w:val="21"/>
              </w:rPr>
              <w:t>（见主合同释义）交纳其余各期的保险费。</w:t>
            </w:r>
          </w:p>
        </w:tc>
      </w:tr>
      <w:tr>
        <w:trPr>
          <w:trHeight w:val="2098" w:hRule="atLeast"/>
        </w:trPr>
        <w:tc>
          <w:tcPr>
            <w:tcW w:w="712" w:type="dxa"/>
          </w:tcPr>
          <w:p>
            <w:pPr>
              <w:pStyle w:val="TableParagraph"/>
              <w:spacing w:before="99"/>
              <w:ind w:left="108"/>
              <w:rPr>
                <w:b/>
                <w:sz w:val="21"/>
              </w:rPr>
            </w:pPr>
            <w:r>
              <w:rPr>
                <w:b/>
                <w:sz w:val="21"/>
              </w:rPr>
              <w:t>4.2</w:t>
            </w:r>
          </w:p>
        </w:tc>
        <w:tc>
          <w:tcPr>
            <w:tcW w:w="1936" w:type="dxa"/>
          </w:tcPr>
          <w:p>
            <w:pPr>
              <w:pStyle w:val="TableParagraph"/>
              <w:spacing w:before="99"/>
              <w:ind w:left="248"/>
              <w:rPr>
                <w:b/>
                <w:sz w:val="21"/>
              </w:rPr>
            </w:pPr>
            <w:r>
              <w:rPr>
                <w:b/>
                <w:w w:val="95"/>
                <w:sz w:val="21"/>
              </w:rPr>
              <w:t>宽限期</w:t>
            </w:r>
          </w:p>
        </w:tc>
        <w:tc>
          <w:tcPr>
            <w:tcW w:w="7443" w:type="dxa"/>
          </w:tcPr>
          <w:p>
            <w:pPr>
              <w:pStyle w:val="TableParagraph"/>
              <w:spacing w:line="273" w:lineRule="auto" w:before="99"/>
              <w:ind w:left="242" w:right="108"/>
              <w:jc w:val="both"/>
              <w:rPr>
                <w:sz w:val="21"/>
              </w:rPr>
            </w:pPr>
            <w:r>
              <w:rPr>
                <w:spacing w:val="-4"/>
                <w:sz w:val="21"/>
              </w:rPr>
              <w:t>分期支付保险费的，您交纳首期保险费后，除另有约定外，如果您到期未交纳保险费，自您首次欠费的</w:t>
            </w:r>
            <w:r>
              <w:rPr>
                <w:b/>
                <w:spacing w:val="-4"/>
                <w:sz w:val="21"/>
              </w:rPr>
              <w:t>保险费约定交纳日</w:t>
            </w:r>
            <w:r>
              <w:rPr>
                <w:spacing w:val="-12"/>
                <w:sz w:val="21"/>
              </w:rPr>
              <w:t>的次日零时起 </w:t>
            </w:r>
            <w:r>
              <w:rPr>
                <w:sz w:val="21"/>
              </w:rPr>
              <w:t>60</w:t>
            </w:r>
            <w:r>
              <w:rPr>
                <w:spacing w:val="-8"/>
                <w:sz w:val="21"/>
              </w:rPr>
              <w:t> 日为宽限期。宽</w:t>
            </w:r>
            <w:r>
              <w:rPr>
                <w:spacing w:val="-11"/>
                <w:sz w:val="21"/>
              </w:rPr>
              <w:t>限期内发生的保险事故，本公司仍会承担保险责任，但在给付保险金时会扣减您欠交的保险费。</w:t>
            </w:r>
          </w:p>
          <w:p>
            <w:pPr>
              <w:pStyle w:val="TableParagraph"/>
              <w:spacing w:line="273" w:lineRule="auto" w:before="7"/>
              <w:ind w:left="242" w:right="108"/>
              <w:jc w:val="both"/>
              <w:rPr>
                <w:sz w:val="21"/>
              </w:rPr>
            </w:pPr>
            <w:r>
              <w:rPr>
                <w:spacing w:val="-3"/>
                <w:sz w:val="21"/>
              </w:rPr>
              <w:t>如果您宽限期结束之后仍未交纳保险费，则本附加合同自宽限期满的次日零时起效力中止。</w:t>
            </w:r>
          </w:p>
        </w:tc>
      </w:tr>
      <w:tr>
        <w:trPr>
          <w:trHeight w:val="425" w:hRule="atLeast"/>
        </w:trPr>
        <w:tc>
          <w:tcPr>
            <w:tcW w:w="712" w:type="dxa"/>
          </w:tcPr>
          <w:p>
            <w:pPr>
              <w:pStyle w:val="TableParagraph"/>
              <w:spacing w:before="99"/>
              <w:ind w:left="107"/>
              <w:rPr>
                <w:b/>
                <w:sz w:val="21"/>
              </w:rPr>
            </w:pPr>
            <w:r>
              <w:rPr>
                <w:b/>
                <w:sz w:val="21"/>
              </w:rPr>
              <w:t>4.3</w:t>
            </w:r>
          </w:p>
        </w:tc>
        <w:tc>
          <w:tcPr>
            <w:tcW w:w="1936" w:type="dxa"/>
          </w:tcPr>
          <w:p>
            <w:pPr>
              <w:pStyle w:val="TableParagraph"/>
              <w:spacing w:before="99"/>
              <w:ind w:left="248"/>
              <w:rPr>
                <w:b/>
                <w:sz w:val="21"/>
              </w:rPr>
            </w:pPr>
            <w:r>
              <w:rPr>
                <w:b/>
                <w:w w:val="95"/>
                <w:sz w:val="21"/>
              </w:rPr>
              <w:t>保险费率调整</w:t>
            </w:r>
          </w:p>
        </w:tc>
        <w:tc>
          <w:tcPr>
            <w:tcW w:w="7443" w:type="dxa"/>
          </w:tcPr>
          <w:p>
            <w:pPr>
              <w:pStyle w:val="TableParagraph"/>
              <w:spacing w:before="99"/>
              <w:ind w:left="242"/>
              <w:rPr>
                <w:rFonts w:ascii="黑体" w:eastAsia="黑体" w:hint="eastAsia"/>
                <w:sz w:val="21"/>
              </w:rPr>
            </w:pPr>
            <w:r>
              <w:rPr>
                <w:rFonts w:ascii="黑体" w:eastAsia="黑体" w:hint="eastAsia"/>
                <w:sz w:val="21"/>
              </w:rPr>
              <w:t>本公司保留提高或降低保险费率的权利，但须报送国务院保险监督管理机构备</w:t>
            </w:r>
          </w:p>
        </w:tc>
      </w:tr>
      <w:tr>
        <w:trPr>
          <w:trHeight w:val="311" w:hRule="atLeast"/>
        </w:trPr>
        <w:tc>
          <w:tcPr>
            <w:tcW w:w="712" w:type="dxa"/>
          </w:tcPr>
          <w:p>
            <w:pPr>
              <w:pStyle w:val="TableParagraph"/>
              <w:rPr>
                <w:rFonts w:ascii="Times New Roman"/>
                <w:sz w:val="20"/>
              </w:rPr>
            </w:pPr>
          </w:p>
        </w:tc>
        <w:tc>
          <w:tcPr>
            <w:tcW w:w="1936" w:type="dxa"/>
          </w:tcPr>
          <w:p>
            <w:pPr>
              <w:pStyle w:val="TableParagraph"/>
              <w:rPr>
                <w:rFonts w:ascii="Times New Roman"/>
                <w:sz w:val="20"/>
              </w:rPr>
            </w:pPr>
          </w:p>
        </w:tc>
        <w:tc>
          <w:tcPr>
            <w:tcW w:w="7443" w:type="dxa"/>
          </w:tcPr>
          <w:p>
            <w:pPr>
              <w:pStyle w:val="TableParagraph"/>
              <w:spacing w:line="261" w:lineRule="exact"/>
              <w:ind w:left="242"/>
              <w:rPr>
                <w:rFonts w:ascii="黑体" w:eastAsia="黑体" w:hint="eastAsia"/>
                <w:sz w:val="21"/>
              </w:rPr>
            </w:pPr>
            <w:r>
              <w:rPr>
                <w:rFonts w:ascii="黑体" w:eastAsia="黑体" w:hint="eastAsia"/>
                <w:sz w:val="21"/>
              </w:rPr>
              <w:t>案。保险费率的调整适用于相同产品项下的所有被保险人或同一投保年龄和性</w:t>
            </w:r>
          </w:p>
        </w:tc>
      </w:tr>
      <w:tr>
        <w:trPr>
          <w:trHeight w:val="311" w:hRule="atLeast"/>
        </w:trPr>
        <w:tc>
          <w:tcPr>
            <w:tcW w:w="712" w:type="dxa"/>
          </w:tcPr>
          <w:p>
            <w:pPr>
              <w:pStyle w:val="TableParagraph"/>
              <w:rPr>
                <w:rFonts w:ascii="Times New Roman"/>
                <w:sz w:val="20"/>
              </w:rPr>
            </w:pPr>
          </w:p>
        </w:tc>
        <w:tc>
          <w:tcPr>
            <w:tcW w:w="1936" w:type="dxa"/>
          </w:tcPr>
          <w:p>
            <w:pPr>
              <w:pStyle w:val="TableParagraph"/>
              <w:rPr>
                <w:rFonts w:ascii="Times New Roman"/>
                <w:sz w:val="20"/>
              </w:rPr>
            </w:pPr>
          </w:p>
        </w:tc>
        <w:tc>
          <w:tcPr>
            <w:tcW w:w="7443" w:type="dxa"/>
          </w:tcPr>
          <w:p>
            <w:pPr>
              <w:pStyle w:val="TableParagraph"/>
              <w:spacing w:line="261" w:lineRule="exact"/>
              <w:ind w:left="242"/>
              <w:rPr>
                <w:rFonts w:ascii="黑体" w:eastAsia="黑体" w:hint="eastAsia"/>
                <w:sz w:val="21"/>
              </w:rPr>
            </w:pPr>
            <w:r>
              <w:rPr>
                <w:rFonts w:ascii="黑体" w:eastAsia="黑体" w:hint="eastAsia"/>
                <w:sz w:val="21"/>
              </w:rPr>
              <w:t>别的所有被保险人。</w:t>
            </w:r>
          </w:p>
        </w:tc>
      </w:tr>
      <w:tr>
        <w:trPr>
          <w:trHeight w:val="260" w:hRule="atLeast"/>
        </w:trPr>
        <w:tc>
          <w:tcPr>
            <w:tcW w:w="712" w:type="dxa"/>
          </w:tcPr>
          <w:p>
            <w:pPr>
              <w:pStyle w:val="TableParagraph"/>
              <w:rPr>
                <w:rFonts w:ascii="Times New Roman"/>
                <w:sz w:val="18"/>
              </w:rPr>
            </w:pPr>
          </w:p>
        </w:tc>
        <w:tc>
          <w:tcPr>
            <w:tcW w:w="1936" w:type="dxa"/>
          </w:tcPr>
          <w:p>
            <w:pPr>
              <w:pStyle w:val="TableParagraph"/>
              <w:rPr>
                <w:rFonts w:ascii="Times New Roman"/>
                <w:sz w:val="18"/>
              </w:rPr>
            </w:pPr>
          </w:p>
        </w:tc>
        <w:tc>
          <w:tcPr>
            <w:tcW w:w="7443" w:type="dxa"/>
          </w:tcPr>
          <w:p>
            <w:pPr>
              <w:pStyle w:val="TableParagraph"/>
              <w:spacing w:line="241" w:lineRule="exact"/>
              <w:ind w:left="242"/>
              <w:rPr>
                <w:rFonts w:ascii="黑体" w:eastAsia="黑体" w:hint="eastAsia"/>
                <w:sz w:val="21"/>
              </w:rPr>
            </w:pPr>
            <w:r>
              <w:rPr>
                <w:rFonts w:ascii="黑体" w:eastAsia="黑体" w:hint="eastAsia"/>
                <w:sz w:val="21"/>
              </w:rPr>
              <w:t>本公司调整保险费率后，您须按调整后的保险费率交纳续期保险费，调整前您</w:t>
            </w:r>
          </w:p>
        </w:tc>
      </w:tr>
    </w:tbl>
    <w:p>
      <w:pPr>
        <w:spacing w:after="0" w:line="241" w:lineRule="exact"/>
        <w:rPr>
          <w:rFonts w:ascii="黑体" w:eastAsia="黑体" w:hint="eastAsia"/>
          <w:sz w:val="21"/>
        </w:rPr>
        <w:sectPr>
          <w:type w:val="continuous"/>
          <w:pgSz w:w="11910" w:h="16840"/>
          <w:pgMar w:top="520" w:bottom="280" w:left="800" w:right="800"/>
        </w:sectPr>
      </w:pPr>
    </w:p>
    <w:p>
      <w:pPr>
        <w:pStyle w:val="BodyText"/>
        <w:spacing w:before="6"/>
        <w:rPr>
          <w:sz w:val="48"/>
        </w:rPr>
      </w:pPr>
    </w:p>
    <w:p>
      <w:pPr>
        <w:tabs>
          <w:tab w:pos="1073" w:val="left" w:leader="none"/>
        </w:tabs>
        <w:spacing w:before="0"/>
        <w:ind w:left="221" w:right="0" w:firstLine="0"/>
        <w:jc w:val="left"/>
        <w:rPr>
          <w:b/>
          <w:sz w:val="24"/>
        </w:rPr>
      </w:pPr>
      <w:r>
        <w:rPr>
          <w:rFonts w:ascii="Arial" w:hAnsi="Arial" w:eastAsia="Arial"/>
          <w:b/>
          <w:position w:val="-3"/>
          <w:sz w:val="40"/>
        </w:rPr>
        <w:t></w:t>
        <w:tab/>
      </w:r>
      <w:r>
        <w:rPr>
          <w:b/>
          <w:w w:val="95"/>
          <w:sz w:val="24"/>
        </w:rPr>
        <w:t>现金价值权益</w:t>
      </w:r>
    </w:p>
    <w:p>
      <w:pPr>
        <w:pStyle w:val="BodyText"/>
        <w:spacing w:before="19"/>
        <w:ind w:left="221"/>
        <w:rPr>
          <w:rFonts w:ascii="黑体" w:eastAsia="黑体" w:hint="eastAsia"/>
        </w:rPr>
      </w:pPr>
      <w:r>
        <w:rPr/>
        <w:br w:type="column"/>
      </w:r>
      <w:r>
        <w:rPr>
          <w:rFonts w:ascii="黑体" w:eastAsia="黑体" w:hint="eastAsia"/>
        </w:rPr>
        <w:t>已经交纳的保险费不受影响。</w:t>
      </w:r>
    </w:p>
    <w:p>
      <w:pPr>
        <w:spacing w:after="0"/>
        <w:rPr>
          <w:rFonts w:ascii="黑体" w:eastAsia="黑体" w:hint="eastAsia"/>
        </w:rPr>
        <w:sectPr>
          <w:pgSz w:w="11910" w:h="16840"/>
          <w:pgMar w:top="1100" w:bottom="280" w:left="800" w:right="800"/>
          <w:cols w:num="2" w:equalWidth="0">
            <w:col w:w="2517" w:space="266"/>
            <w:col w:w="7527"/>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rFonts w:ascii="黑体"/>
          <w:spacing w:val="6"/>
          <w:sz w:val="2"/>
        </w:rPr>
      </w:r>
    </w:p>
    <w:p>
      <w:pPr>
        <w:pStyle w:val="BodyText"/>
        <w:rPr>
          <w:rFonts w:ascii="黑体"/>
          <w:sz w:val="12"/>
        </w:rPr>
      </w:pPr>
    </w:p>
    <w:p>
      <w:pPr>
        <w:tabs>
          <w:tab w:pos="1072" w:val="left" w:leader="none"/>
          <w:tab w:pos="3003" w:val="left" w:leader="none"/>
        </w:tabs>
        <w:spacing w:before="35"/>
        <w:ind w:left="221" w:right="0" w:firstLine="0"/>
        <w:jc w:val="left"/>
        <w:rPr>
          <w:sz w:val="21"/>
        </w:rPr>
      </w:pPr>
      <w:r>
        <w:rPr>
          <w:b/>
          <w:sz w:val="21"/>
        </w:rPr>
        <w:t>5.1</w:t>
        <w:tab/>
        <w:t>现金价值</w:t>
        <w:tab/>
      </w:r>
      <w:r>
        <w:rPr>
          <w:sz w:val="21"/>
        </w:rPr>
        <w:t>本附加合同的现金价值会在保险单或批注上载明。</w:t>
      </w:r>
    </w:p>
    <w:p>
      <w:pPr>
        <w:pStyle w:val="BodyText"/>
        <w:rPr>
          <w:sz w:val="26"/>
        </w:rPr>
      </w:pPr>
    </w:p>
    <w:p>
      <w:pPr>
        <w:pStyle w:val="Heading2"/>
        <w:tabs>
          <w:tab w:pos="1073" w:val="left" w:leader="none"/>
        </w:tabs>
      </w:pPr>
      <w:r>
        <w:rPr/>
        <w:pict>
          <v:line style="position:absolute;mso-position-horizontal-relative:page;mso-position-vertical-relative:paragraph;z-index:1192;mso-wrap-distance-left:0;mso-wrap-distance-right:0" from="45.66pt,28.580111pt" to="550.14pt,28.580111pt" stroked="true" strokeweight=".95996pt" strokecolor="#000000">
            <v:stroke dashstyle="solid"/>
            <w10:wrap type="topAndBottom"/>
          </v:line>
        </w:pict>
      </w:r>
      <w:r>
        <w:rPr>
          <w:rFonts w:ascii="Arial" w:hAnsi="Arial" w:eastAsia="Arial"/>
          <w:position w:val="-3"/>
          <w:sz w:val="40"/>
        </w:rPr>
        <w:t></w:t>
        <w:tab/>
      </w:r>
      <w:r>
        <w:rPr>
          <w:w w:val="95"/>
        </w:rPr>
        <w:t>合同效力的中止及恢复</w:t>
      </w:r>
    </w:p>
    <w:p>
      <w:pPr>
        <w:pStyle w:val="BodyText"/>
        <w:spacing w:before="11"/>
        <w:rPr>
          <w:b/>
          <w:sz w:val="9"/>
        </w:rPr>
      </w:pPr>
    </w:p>
    <w:p>
      <w:pPr>
        <w:pStyle w:val="ListParagraph"/>
        <w:numPr>
          <w:ilvl w:val="1"/>
          <w:numId w:val="12"/>
        </w:numPr>
        <w:tabs>
          <w:tab w:pos="1072" w:val="left" w:leader="none"/>
          <w:tab w:pos="1073" w:val="left" w:leader="none"/>
          <w:tab w:pos="3003" w:val="left" w:leader="none"/>
        </w:tabs>
        <w:spacing w:line="273" w:lineRule="auto" w:before="35" w:after="0"/>
        <w:ind w:left="3003" w:right="368" w:hanging="2782"/>
        <w:jc w:val="left"/>
        <w:rPr>
          <w:sz w:val="21"/>
        </w:rPr>
      </w:pPr>
      <w:r>
        <w:rPr>
          <w:b/>
          <w:sz w:val="21"/>
        </w:rPr>
        <w:t>效力中止</w:t>
        <w:tab/>
      </w:r>
      <w:r>
        <w:rPr>
          <w:sz w:val="21"/>
        </w:rPr>
        <w:t>除主合同或本附加合同另有约定外，本附加合同效力的中止与主合同一致。在本附加合同效力中止期间，本公司不承担保险责任。</w:t>
      </w:r>
    </w:p>
    <w:p>
      <w:pPr>
        <w:pStyle w:val="BodyText"/>
        <w:spacing w:before="12"/>
        <w:rPr>
          <w:sz w:val="17"/>
        </w:rPr>
      </w:pPr>
    </w:p>
    <w:p>
      <w:pPr>
        <w:pStyle w:val="ListParagraph"/>
        <w:numPr>
          <w:ilvl w:val="1"/>
          <w:numId w:val="12"/>
        </w:numPr>
        <w:tabs>
          <w:tab w:pos="1072" w:val="left" w:leader="none"/>
          <w:tab w:pos="1073" w:val="left" w:leader="none"/>
          <w:tab w:pos="3003" w:val="left" w:leader="none"/>
        </w:tabs>
        <w:spacing w:line="273" w:lineRule="auto" w:before="0" w:after="0"/>
        <w:ind w:left="3003" w:right="206" w:hanging="2782"/>
        <w:jc w:val="left"/>
        <w:rPr>
          <w:sz w:val="21"/>
        </w:rPr>
      </w:pPr>
      <w:r>
        <w:rPr>
          <w:b/>
          <w:sz w:val="21"/>
        </w:rPr>
        <w:t>效力恢复</w:t>
        <w:tab/>
      </w:r>
      <w:r>
        <w:rPr>
          <w:sz w:val="21"/>
        </w:rPr>
        <w:t>本附加合同效力中止后</w:t>
      </w:r>
      <w:r>
        <w:rPr>
          <w:spacing w:val="-53"/>
          <w:sz w:val="21"/>
        </w:rPr>
        <w:t> </w:t>
      </w:r>
      <w:r>
        <w:rPr>
          <w:sz w:val="21"/>
        </w:rPr>
        <w:t>2</w:t>
      </w:r>
      <w:r>
        <w:rPr>
          <w:spacing w:val="-52"/>
          <w:sz w:val="21"/>
        </w:rPr>
        <w:t> </w:t>
      </w:r>
      <w:r>
        <w:rPr>
          <w:sz w:val="21"/>
        </w:rPr>
        <w:t>年内</w:t>
      </w:r>
      <w:r>
        <w:rPr>
          <w:spacing w:val="-51"/>
          <w:sz w:val="21"/>
        </w:rPr>
        <w:t>，</w:t>
      </w:r>
      <w:r>
        <w:rPr>
          <w:sz w:val="21"/>
        </w:rPr>
        <w:t>您在申请主合同效力恢复的同时可以申请恢复本附加合同效力</w:t>
      </w:r>
      <w:r>
        <w:rPr>
          <w:spacing w:val="-17"/>
          <w:sz w:val="21"/>
        </w:rPr>
        <w:t>。</w:t>
      </w:r>
      <w:r>
        <w:rPr>
          <w:sz w:val="21"/>
        </w:rPr>
        <w:t>经您与本公司协商并达成协议</w:t>
      </w:r>
      <w:r>
        <w:rPr>
          <w:spacing w:val="-17"/>
          <w:sz w:val="21"/>
        </w:rPr>
        <w:t>，</w:t>
      </w:r>
      <w:r>
        <w:rPr>
          <w:sz w:val="21"/>
        </w:rPr>
        <w:t>在您补交保险费及</w:t>
      </w:r>
      <w:r>
        <w:rPr>
          <w:b/>
          <w:sz w:val="21"/>
        </w:rPr>
        <w:t>利</w:t>
      </w:r>
      <w:r>
        <w:rPr>
          <w:b/>
          <w:spacing w:val="-16"/>
          <w:sz w:val="21"/>
        </w:rPr>
        <w:t>息</w:t>
      </w:r>
      <w:r>
        <w:rPr>
          <w:sz w:val="21"/>
        </w:rPr>
        <w:t>（见主合同释义</w:t>
      </w:r>
      <w:r>
        <w:rPr>
          <w:spacing w:val="-106"/>
          <w:sz w:val="21"/>
        </w:rPr>
        <w:t>）</w:t>
      </w:r>
      <w:r>
        <w:rPr>
          <w:sz w:val="21"/>
        </w:rPr>
        <w:t>、清偿其他各项欠款及</w:t>
      </w:r>
      <w:r>
        <w:rPr>
          <w:b/>
          <w:sz w:val="21"/>
        </w:rPr>
        <w:t>利息</w:t>
      </w:r>
      <w:r>
        <w:rPr>
          <w:sz w:val="21"/>
        </w:rPr>
        <w:t>后次日的零时起，合同效力恢复。 自本附加合同效力中止之日起满</w:t>
      </w:r>
      <w:r>
        <w:rPr>
          <w:spacing w:val="-53"/>
          <w:sz w:val="21"/>
        </w:rPr>
        <w:t> </w:t>
      </w:r>
      <w:r>
        <w:rPr>
          <w:sz w:val="21"/>
        </w:rPr>
        <w:t>2</w:t>
      </w:r>
      <w:r>
        <w:rPr>
          <w:spacing w:val="-53"/>
          <w:sz w:val="21"/>
        </w:rPr>
        <w:t> </w:t>
      </w:r>
      <w:r>
        <w:rPr>
          <w:sz w:val="21"/>
        </w:rPr>
        <w:t>年您和本公司未达成协议的</w:t>
      </w:r>
      <w:r>
        <w:rPr>
          <w:spacing w:val="-51"/>
          <w:sz w:val="21"/>
        </w:rPr>
        <w:t>，</w:t>
      </w:r>
      <w:r>
        <w:rPr>
          <w:sz w:val="21"/>
        </w:rPr>
        <w:t>本公司有权解除合同。本公司解除合同的，按照合同解除条款处理。</w:t>
      </w:r>
    </w:p>
    <w:p>
      <w:pPr>
        <w:pStyle w:val="BodyText"/>
        <w:spacing w:before="2"/>
        <w:rPr>
          <w:sz w:val="19"/>
        </w:rPr>
      </w:pPr>
    </w:p>
    <w:p>
      <w:pPr>
        <w:tabs>
          <w:tab w:pos="1073" w:val="left" w:leader="none"/>
        </w:tabs>
        <w:spacing w:before="61"/>
        <w:ind w:left="221" w:right="0" w:firstLine="0"/>
        <w:jc w:val="left"/>
        <w:rPr>
          <w:b/>
          <w:sz w:val="24"/>
        </w:rPr>
      </w:pPr>
      <w:r>
        <w:rPr/>
        <w:pict>
          <v:line style="position:absolute;mso-position-horizontal-relative:page;mso-position-vertical-relative:paragraph;z-index:1216;mso-wrap-distance-left:0;mso-wrap-distance-right:0" from="45.66pt,31.630058pt" to="550.14pt,31.630058pt" stroked="true" strokeweight=".95999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type w:val="continuous"/>
          <w:pgSz w:w="11910" w:h="16840"/>
          <w:pgMar w:top="520" w:bottom="280" w:left="800" w:right="800"/>
        </w:sectPr>
      </w:pPr>
    </w:p>
    <w:p>
      <w:pPr>
        <w:pStyle w:val="Heading3"/>
        <w:tabs>
          <w:tab w:pos="1073" w:val="left" w:leader="none"/>
        </w:tabs>
        <w:spacing w:line="273" w:lineRule="auto"/>
        <w:ind w:left="1073" w:hanging="852"/>
      </w:pPr>
      <w:r>
        <w:rPr/>
        <w:t>7.1</w:t>
        <w:tab/>
      </w:r>
      <w:r>
        <w:rPr>
          <w:w w:val="95"/>
        </w:rPr>
        <w:t>您解除合同的手续 及风险</w:t>
      </w:r>
    </w:p>
    <w:p>
      <w:pPr>
        <w:pStyle w:val="BodyText"/>
        <w:spacing w:before="35"/>
        <w:ind w:left="203"/>
      </w:pPr>
      <w:r>
        <w:rPr/>
        <w:br w:type="column"/>
      </w:r>
      <w:r>
        <w:rPr/>
        <w:t>如您申请解除本附加合同，请填写解除合同申请书并向本公司提供下列资料：</w:t>
      </w:r>
    </w:p>
    <w:p>
      <w:pPr>
        <w:pStyle w:val="BodyText"/>
        <w:spacing w:before="36"/>
        <w:ind w:left="203"/>
      </w:pPr>
      <w:r>
        <w:rPr/>
        <w:t>（1）保险合同；</w:t>
      </w:r>
    </w:p>
    <w:p>
      <w:pPr>
        <w:spacing w:before="36"/>
        <w:ind w:left="203" w:right="0" w:firstLine="0"/>
        <w:jc w:val="left"/>
        <w:rPr>
          <w:sz w:val="21"/>
        </w:rPr>
      </w:pPr>
      <w:r>
        <w:rPr>
          <w:w w:val="95"/>
          <w:sz w:val="21"/>
        </w:rPr>
        <w:t>（2）您的</w:t>
      </w:r>
      <w:r>
        <w:rPr>
          <w:b/>
          <w:w w:val="95"/>
          <w:sz w:val="21"/>
        </w:rPr>
        <w:t>有效身份证明</w:t>
      </w:r>
      <w:r>
        <w:rPr>
          <w:w w:val="95"/>
          <w:sz w:val="21"/>
        </w:rPr>
        <w:t>。</w:t>
      </w:r>
    </w:p>
    <w:p>
      <w:pPr>
        <w:pStyle w:val="BodyText"/>
        <w:spacing w:line="273" w:lineRule="auto" w:before="36"/>
        <w:ind w:left="203" w:right="146"/>
      </w:pPr>
      <w:r>
        <w:rPr/>
        <w:t>自本公司收到解除合同申请书之日起，本附加合同终止。本公司自收到解除合同申请书之日起 30 日内向您退还本附加合同的现金价值。</w:t>
      </w:r>
    </w:p>
    <w:p>
      <w:pPr>
        <w:pStyle w:val="BodyText"/>
        <w:spacing w:before="7"/>
        <w:ind w:left="203"/>
        <w:rPr>
          <w:rFonts w:ascii="黑体" w:eastAsia="黑体" w:hint="eastAsia"/>
        </w:rPr>
      </w:pPr>
      <w:r>
        <w:rPr>
          <w:rFonts w:ascii="黑体" w:eastAsia="黑体" w:hint="eastAsia"/>
        </w:rPr>
        <w:t>您解除合同会遭受一定损失。</w:t>
      </w:r>
    </w:p>
    <w:p>
      <w:pPr>
        <w:spacing w:after="0"/>
        <w:rPr>
          <w:rFonts w:ascii="黑体" w:eastAsia="黑体" w:hint="eastAsia"/>
        </w:rPr>
        <w:sectPr>
          <w:type w:val="continuous"/>
          <w:pgSz w:w="11910" w:h="16840"/>
          <w:pgMar w:top="520" w:bottom="280" w:left="800" w:right="800"/>
          <w:cols w:num="2" w:equalWidth="0">
            <w:col w:w="2761" w:space="40"/>
            <w:col w:w="7509"/>
          </w:cols>
        </w:sectPr>
      </w:pPr>
    </w:p>
    <w:p>
      <w:pPr>
        <w:pStyle w:val="BodyText"/>
        <w:spacing w:before="4"/>
        <w:rPr>
          <w:rFonts w:ascii="黑体"/>
        </w:rPr>
      </w:pPr>
    </w:p>
    <w:p>
      <w:pPr>
        <w:pStyle w:val="Heading2"/>
        <w:tabs>
          <w:tab w:pos="1073" w:val="left" w:leader="none"/>
        </w:tabs>
        <w:spacing w:before="62"/>
      </w:pPr>
      <w:r>
        <w:rPr/>
        <w:pict>
          <v:line style="position:absolute;mso-position-horizontal-relative:page;mso-position-vertical-relative:paragraph;z-index:1240;mso-wrap-distance-left:0;mso-wrap-distance-right:0" from="45.66pt,31.680079pt" to="550.14pt,31.680079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3"/>
        </w:numPr>
        <w:tabs>
          <w:tab w:pos="1073" w:val="left" w:leader="none"/>
          <w:tab w:pos="1074" w:val="left" w:leader="none"/>
          <w:tab w:pos="3003" w:val="left" w:leader="none"/>
        </w:tabs>
        <w:spacing w:line="273" w:lineRule="auto" w:before="35" w:after="0"/>
        <w:ind w:left="3003" w:right="158" w:hanging="2782"/>
        <w:jc w:val="left"/>
        <w:rPr>
          <w:sz w:val="21"/>
        </w:rPr>
      </w:pPr>
      <w:r>
        <w:rPr>
          <w:b/>
          <w:sz w:val="21"/>
        </w:rPr>
        <w:t>效力终止</w:t>
        <w:tab/>
      </w:r>
      <w:r>
        <w:rPr>
          <w:sz w:val="21"/>
        </w:rPr>
        <w:t>除主合同或本附加合同另有约定外，本附加合同的效力在主合同撤销、解除、期满、终止或变更为减额交清保险时自动终止。</w:t>
      </w:r>
    </w:p>
    <w:p>
      <w:pPr>
        <w:pStyle w:val="BodyText"/>
        <w:spacing w:line="273" w:lineRule="auto" w:before="7"/>
        <w:ind w:left="3003" w:right="149"/>
      </w:pPr>
      <w:r>
        <w:rPr/>
        <w:t>因主合同解除、终止或变更为减额交清保险时导致本附加合同终止的，本公司向您退还本附加合同的现金价值。</w:t>
      </w:r>
    </w:p>
    <w:p>
      <w:pPr>
        <w:pStyle w:val="BodyText"/>
        <w:spacing w:before="11"/>
        <w:rPr>
          <w:sz w:val="17"/>
        </w:rPr>
      </w:pPr>
    </w:p>
    <w:p>
      <w:pPr>
        <w:pStyle w:val="ListParagraph"/>
        <w:numPr>
          <w:ilvl w:val="1"/>
          <w:numId w:val="13"/>
        </w:numPr>
        <w:tabs>
          <w:tab w:pos="1073" w:val="left" w:leader="none"/>
          <w:tab w:pos="1074" w:val="left" w:leader="none"/>
          <w:tab w:pos="3003" w:val="left" w:leader="none"/>
        </w:tabs>
        <w:spacing w:line="240" w:lineRule="auto" w:before="1" w:after="0"/>
        <w:ind w:left="1073" w:right="0" w:hanging="852"/>
        <w:jc w:val="left"/>
        <w:rPr>
          <w:sz w:val="21"/>
        </w:rPr>
      </w:pPr>
      <w:r>
        <w:rPr>
          <w:b/>
          <w:sz w:val="21"/>
        </w:rPr>
        <w:t>适用主合同条款</w:t>
        <w:tab/>
      </w:r>
      <w:r>
        <w:rPr>
          <w:sz w:val="21"/>
        </w:rPr>
        <w:t>主合同订立的下列各项条款适用于本附加合同：</w:t>
      </w:r>
    </w:p>
    <w:p>
      <w:pPr>
        <w:pStyle w:val="BodyText"/>
        <w:spacing w:before="37"/>
        <w:ind w:left="3003"/>
      </w:pPr>
      <w:r>
        <w:rPr/>
        <w:t>（1）犹豫期</w:t>
      </w:r>
    </w:p>
    <w:p>
      <w:pPr>
        <w:pStyle w:val="BodyText"/>
        <w:spacing w:before="37"/>
        <w:ind w:left="3003"/>
      </w:pPr>
      <w:r>
        <w:rPr/>
        <w:t>（2）保险事故通知</w:t>
      </w:r>
    </w:p>
    <w:p>
      <w:pPr>
        <w:pStyle w:val="BodyText"/>
        <w:spacing w:before="37"/>
        <w:ind w:left="3003"/>
      </w:pPr>
      <w:r>
        <w:rPr/>
        <w:t>（3）保险金给付</w:t>
      </w:r>
    </w:p>
    <w:p>
      <w:pPr>
        <w:pStyle w:val="BodyText"/>
        <w:spacing w:before="37"/>
        <w:ind w:left="3003"/>
      </w:pPr>
      <w:r>
        <w:rPr/>
        <w:t>（4）保单贷款</w:t>
      </w:r>
    </w:p>
    <w:p>
      <w:pPr>
        <w:pStyle w:val="BodyText"/>
        <w:spacing w:before="37"/>
        <w:ind w:left="3003"/>
      </w:pPr>
      <w:r>
        <w:rPr/>
        <w:t>（5）保险费自动垫交</w:t>
      </w:r>
    </w:p>
    <w:p>
      <w:pPr>
        <w:pStyle w:val="BodyText"/>
        <w:spacing w:before="37"/>
        <w:ind w:left="3003"/>
      </w:pPr>
      <w:r>
        <w:rPr/>
        <w:t>（6）明确说明与如实告知</w:t>
      </w:r>
    </w:p>
    <w:p>
      <w:pPr>
        <w:pStyle w:val="BodyText"/>
        <w:spacing w:before="37"/>
        <w:ind w:left="3003"/>
      </w:pPr>
      <w:r>
        <w:rPr/>
        <w:t>（7）本公司合同解除权的限制</w:t>
      </w:r>
    </w:p>
    <w:p>
      <w:pPr>
        <w:pStyle w:val="BodyText"/>
        <w:spacing w:before="37"/>
        <w:ind w:left="3003"/>
      </w:pPr>
      <w:r>
        <w:rPr/>
        <w:t>（8）年龄性别错误</w:t>
      </w:r>
    </w:p>
    <w:p>
      <w:pPr>
        <w:pStyle w:val="BodyText"/>
        <w:spacing w:before="37"/>
        <w:ind w:left="3003"/>
      </w:pPr>
      <w:r>
        <w:rPr/>
        <w:t>（9）未还款项</w:t>
      </w:r>
    </w:p>
    <w:p>
      <w:pPr>
        <w:pStyle w:val="BodyText"/>
        <w:spacing w:before="37"/>
        <w:ind w:left="3003"/>
      </w:pPr>
      <w:r>
        <w:rPr/>
        <w:t>（10）合同内容变更</w:t>
      </w:r>
    </w:p>
    <w:p>
      <w:pPr>
        <w:pStyle w:val="BodyText"/>
        <w:spacing w:before="37"/>
        <w:ind w:left="3003"/>
      </w:pPr>
      <w:r>
        <w:rPr/>
        <w:t>（11）争议处理</w:t>
      </w:r>
    </w:p>
    <w:p>
      <w:pPr>
        <w:spacing w:after="0"/>
        <w:sectPr>
          <w:type w:val="continuous"/>
          <w:pgSz w:w="11910" w:h="16840"/>
          <w:pgMar w:top="520" w:bottom="280" w:left="800" w:right="800"/>
        </w:sectPr>
      </w:pPr>
    </w:p>
    <w:p>
      <w:pPr>
        <w:pStyle w:val="BodyText"/>
        <w:spacing w:before="6"/>
        <w:rPr>
          <w:sz w:val="48"/>
        </w:rPr>
      </w:pPr>
    </w:p>
    <w:p>
      <w:pPr>
        <w:tabs>
          <w:tab w:pos="1073" w:val="left" w:leader="none"/>
        </w:tabs>
        <w:spacing w:before="0"/>
        <w:ind w:left="221" w:right="0" w:firstLine="0"/>
        <w:jc w:val="left"/>
        <w:rPr>
          <w:b/>
          <w:sz w:val="24"/>
        </w:rPr>
      </w:pPr>
      <w:r>
        <w:rPr>
          <w:rFonts w:ascii="Arial" w:hAnsi="Arial" w:eastAsia="Arial"/>
          <w:b/>
          <w:w w:val="110"/>
          <w:position w:val="-3"/>
          <w:sz w:val="40"/>
        </w:rPr>
        <w:t></w:t>
        <w:tab/>
      </w:r>
      <w:r>
        <w:rPr>
          <w:b/>
          <w:w w:val="95"/>
          <w:sz w:val="24"/>
        </w:rPr>
        <w:t>释义</w:t>
      </w:r>
    </w:p>
    <w:p>
      <w:pPr>
        <w:pStyle w:val="BodyText"/>
        <w:spacing w:before="19"/>
        <w:ind w:left="221"/>
      </w:pPr>
      <w:r>
        <w:rPr/>
        <w:br w:type="column"/>
      </w:r>
      <w:r>
        <w:rPr/>
        <w:t>如果主合同与本附加合同的条款互有抵触，则以本附加合同的条款为准。</w:t>
      </w:r>
    </w:p>
    <w:p>
      <w:pPr>
        <w:spacing w:after="0"/>
        <w:sectPr>
          <w:pgSz w:w="11910" w:h="16840"/>
          <w:pgMar w:top="1100" w:bottom="280" w:left="800" w:right="800"/>
          <w:cols w:num="2" w:equalWidth="0">
            <w:col w:w="1555" w:space="1228"/>
            <w:col w:w="7527"/>
          </w:cols>
        </w:sectPr>
      </w:pPr>
    </w:p>
    <w:p>
      <w:pPr>
        <w:pStyle w:val="BodyText"/>
        <w:spacing w:before="9"/>
        <w:rPr>
          <w:sz w:val="7"/>
        </w:rPr>
      </w:pPr>
    </w:p>
    <w:p>
      <w:pPr>
        <w:pStyle w:val="BodyText"/>
        <w:spacing w:line="20" w:lineRule="exact"/>
        <w:ind w:left="103"/>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spacing w:val="6"/>
          <w:sz w:val="2"/>
        </w:rPr>
      </w:r>
    </w:p>
    <w:p>
      <w:pPr>
        <w:pStyle w:val="BodyText"/>
        <w:rPr>
          <w:sz w:val="12"/>
        </w:rPr>
      </w:pPr>
    </w:p>
    <w:p>
      <w:pPr>
        <w:pStyle w:val="ListParagraph"/>
        <w:numPr>
          <w:ilvl w:val="1"/>
          <w:numId w:val="14"/>
        </w:numPr>
        <w:tabs>
          <w:tab w:pos="1073" w:val="left" w:leader="none"/>
          <w:tab w:pos="1074" w:val="left" w:leader="none"/>
          <w:tab w:pos="3003" w:val="left" w:leader="none"/>
        </w:tabs>
        <w:spacing w:line="273" w:lineRule="auto" w:before="35" w:after="0"/>
        <w:ind w:left="3004" w:right="104" w:hanging="2783"/>
        <w:jc w:val="left"/>
        <w:rPr>
          <w:sz w:val="21"/>
        </w:rPr>
      </w:pPr>
      <w:r>
        <w:rPr>
          <w:b/>
          <w:sz w:val="21"/>
        </w:rPr>
        <w:t>医院</w:t>
        <w:tab/>
      </w:r>
      <w:r>
        <w:rPr>
          <w:sz w:val="21"/>
        </w:rPr>
        <w:t>指国家卫生行政管理部门医院等级分类中的二级或二级以上的公立医院</w:t>
      </w:r>
      <w:r>
        <w:rPr>
          <w:spacing w:val="-51"/>
          <w:sz w:val="21"/>
        </w:rPr>
        <w:t>，</w:t>
      </w:r>
      <w:r>
        <w:rPr>
          <w:sz w:val="21"/>
        </w:rPr>
        <w:t>但不包括主要提供门诊</w:t>
      </w:r>
      <w:r>
        <w:rPr>
          <w:spacing w:val="-32"/>
          <w:sz w:val="21"/>
        </w:rPr>
        <w:t>、</w:t>
      </w:r>
      <w:r>
        <w:rPr>
          <w:sz w:val="21"/>
        </w:rPr>
        <w:t>康复</w:t>
      </w:r>
      <w:r>
        <w:rPr>
          <w:spacing w:val="-32"/>
          <w:sz w:val="21"/>
        </w:rPr>
        <w:t>、</w:t>
      </w:r>
      <w:r>
        <w:rPr>
          <w:sz w:val="21"/>
        </w:rPr>
        <w:t>护理</w:t>
      </w:r>
      <w:r>
        <w:rPr>
          <w:spacing w:val="-32"/>
          <w:sz w:val="21"/>
        </w:rPr>
        <w:t>、</w:t>
      </w:r>
      <w:r>
        <w:rPr>
          <w:sz w:val="21"/>
        </w:rPr>
        <w:t>疗养</w:t>
      </w:r>
      <w:r>
        <w:rPr>
          <w:spacing w:val="-32"/>
          <w:sz w:val="21"/>
        </w:rPr>
        <w:t>、</w:t>
      </w:r>
      <w:r>
        <w:rPr>
          <w:sz w:val="21"/>
        </w:rPr>
        <w:t>戒酒</w:t>
      </w:r>
      <w:r>
        <w:rPr>
          <w:spacing w:val="-32"/>
          <w:sz w:val="21"/>
        </w:rPr>
        <w:t>、</w:t>
      </w:r>
      <w:r>
        <w:rPr>
          <w:sz w:val="21"/>
        </w:rPr>
        <w:t>戒毒或相类似服务之医疗机构。同时该医院必须具有符合有关医院管理规定设置标准的医疗设备</w:t>
      </w:r>
      <w:r>
        <w:rPr>
          <w:spacing w:val="-51"/>
          <w:sz w:val="21"/>
        </w:rPr>
        <w:t>，</w:t>
      </w:r>
      <w:r>
        <w:rPr>
          <w:sz w:val="21"/>
        </w:rPr>
        <w:t>并且提供二十四小时有合格专科医生及护士驻院的医疗和护理等服务。</w:t>
      </w:r>
    </w:p>
    <w:p>
      <w:pPr>
        <w:pStyle w:val="BodyText"/>
        <w:spacing w:before="11"/>
        <w:rPr>
          <w:sz w:val="17"/>
        </w:rPr>
      </w:pPr>
    </w:p>
    <w:p>
      <w:pPr>
        <w:pStyle w:val="ListParagraph"/>
        <w:numPr>
          <w:ilvl w:val="1"/>
          <w:numId w:val="14"/>
        </w:numPr>
        <w:tabs>
          <w:tab w:pos="1074" w:val="left" w:leader="none"/>
        </w:tabs>
        <w:spacing w:line="273" w:lineRule="auto" w:before="1" w:after="0"/>
        <w:ind w:left="3004" w:right="207" w:hanging="2783"/>
        <w:jc w:val="both"/>
        <w:rPr>
          <w:sz w:val="21"/>
        </w:rPr>
      </w:pPr>
      <w:r>
        <w:rPr>
          <w:b/>
          <w:w w:val="99"/>
          <w:sz w:val="21"/>
        </w:rPr>
        <w:t>专科医生</w:t>
      </w:r>
      <w:r>
        <w:rPr>
          <w:b/>
          <w:spacing w:val="0"/>
          <w:sz w:val="21"/>
        </w:rPr>
        <w:t>          </w:t>
      </w:r>
      <w:r>
        <w:rPr>
          <w:sz w:val="21"/>
        </w:rPr>
        <w:t>专科医生应当同时满足以下四项资格条件</w:t>
      </w:r>
      <w:r>
        <w:rPr>
          <w:spacing w:val="-191"/>
          <w:sz w:val="21"/>
        </w:rPr>
        <w:t>：</w:t>
      </w:r>
      <w:r>
        <w:rPr>
          <w:sz w:val="21"/>
        </w:rPr>
        <w:t>（1</w:t>
      </w:r>
      <w:r>
        <w:rPr>
          <w:spacing w:val="-88"/>
          <w:sz w:val="21"/>
        </w:rPr>
        <w:t>）</w:t>
      </w:r>
      <w:r>
        <w:rPr>
          <w:spacing w:val="-8"/>
          <w:sz w:val="21"/>
        </w:rPr>
        <w:t>具有有效的中华人民共和国《医</w:t>
      </w:r>
      <w:r>
        <w:rPr>
          <w:spacing w:val="-39"/>
          <w:sz w:val="21"/>
        </w:rPr>
        <w:t>师资格证书》；</w:t>
      </w:r>
      <w:r>
        <w:rPr>
          <w:spacing w:val="-1"/>
          <w:sz w:val="21"/>
        </w:rPr>
        <w:t>（2</w:t>
      </w:r>
      <w:r>
        <w:rPr>
          <w:spacing w:val="-12"/>
          <w:sz w:val="21"/>
        </w:rPr>
        <w:t>）</w:t>
      </w:r>
      <w:r>
        <w:rPr>
          <w:spacing w:val="-9"/>
          <w:sz w:val="21"/>
        </w:rPr>
        <w:t>具有有效的中华人民共和国《医师执业证书》，并按期到相关部门登记注册</w:t>
      </w:r>
      <w:r>
        <w:rPr>
          <w:spacing w:val="-130"/>
          <w:sz w:val="21"/>
        </w:rPr>
        <w:t>；</w:t>
      </w:r>
      <w:r>
        <w:rPr>
          <w:sz w:val="21"/>
        </w:rPr>
        <w:t>（3</w:t>
      </w:r>
      <w:r>
        <w:rPr>
          <w:spacing w:val="-26"/>
          <w:sz w:val="21"/>
        </w:rPr>
        <w:t>）</w:t>
      </w:r>
      <w:r>
        <w:rPr>
          <w:spacing w:val="-1"/>
          <w:sz w:val="21"/>
        </w:rPr>
        <w:t>具有有效的中华人民共和国主治医师或主治医师以上职</w:t>
      </w:r>
      <w:r>
        <w:rPr>
          <w:spacing w:val="-21"/>
          <w:sz w:val="21"/>
        </w:rPr>
        <w:t>称的《医师职称证书》；</w:t>
      </w:r>
      <w:r>
        <w:rPr>
          <w:sz w:val="21"/>
        </w:rPr>
        <w:t>（4）</w:t>
      </w:r>
      <w:r>
        <w:rPr>
          <w:spacing w:val="-1"/>
          <w:sz w:val="21"/>
        </w:rPr>
        <w:t>在二级或二级以上医院的相应科室从事临床工作三年以上。</w:t>
      </w:r>
    </w:p>
    <w:p>
      <w:pPr>
        <w:pStyle w:val="BodyText"/>
        <w:spacing w:before="8"/>
        <w:ind w:left="3004"/>
      </w:pPr>
      <w:r>
        <w:rPr/>
        <w:t>专科医生不包括被保险人本人及其直系亲属。</w:t>
      </w:r>
    </w:p>
    <w:p>
      <w:pPr>
        <w:pStyle w:val="BodyText"/>
        <w:rPr>
          <w:sz w:val="17"/>
        </w:rPr>
      </w:pPr>
    </w:p>
    <w:p>
      <w:pPr>
        <w:spacing w:after="0"/>
        <w:rPr>
          <w:sz w:val="17"/>
        </w:rPr>
        <w:sectPr>
          <w:type w:val="continuous"/>
          <w:pgSz w:w="11910" w:h="16840"/>
          <w:pgMar w:top="520" w:bottom="280" w:left="800" w:right="800"/>
        </w:sectPr>
      </w:pPr>
    </w:p>
    <w:p>
      <w:pPr>
        <w:pStyle w:val="Heading3"/>
        <w:numPr>
          <w:ilvl w:val="1"/>
          <w:numId w:val="14"/>
        </w:numPr>
        <w:tabs>
          <w:tab w:pos="1073" w:val="left" w:leader="none"/>
          <w:tab w:pos="1074" w:val="left" w:leader="none"/>
        </w:tabs>
        <w:spacing w:line="273" w:lineRule="auto" w:before="42" w:after="0"/>
        <w:ind w:left="1073" w:right="0" w:hanging="852"/>
        <w:jc w:val="left"/>
      </w:pPr>
      <w:r>
        <w:rPr/>
        <w:t>感染艾滋病病毒或</w:t>
      </w:r>
      <w:r>
        <w:rPr>
          <w:w w:val="95"/>
        </w:rPr>
        <w:t>患艾滋病</w:t>
      </w:r>
    </w:p>
    <w:p>
      <w:pPr>
        <w:pStyle w:val="BodyText"/>
        <w:spacing w:line="256" w:lineRule="auto" w:before="42"/>
        <w:ind w:left="203" w:right="207"/>
        <w:jc w:val="both"/>
      </w:pPr>
      <w:r>
        <w:rPr/>
        <w:br w:type="column"/>
      </w:r>
      <w:r>
        <w:rPr>
          <w:spacing w:val="-5"/>
        </w:rPr>
        <w:t>艾滋病病毒指人类免疫缺陷病毒，英文缩写为 </w:t>
      </w:r>
      <w:r>
        <w:rPr>
          <w:rFonts w:ascii="Times New Roman" w:eastAsia="Times New Roman"/>
        </w:rPr>
        <w:t>HIV</w:t>
      </w:r>
      <w:r>
        <w:rPr>
          <w:spacing w:val="-6"/>
        </w:rPr>
        <w:t>。艾滋病指人类免疫缺陷病</w:t>
      </w:r>
      <w:r>
        <w:rPr>
          <w:spacing w:val="-9"/>
        </w:rPr>
        <w:t>毒引起的获得性免疫缺陷综合征，英文缩写为 </w:t>
      </w:r>
      <w:r>
        <w:rPr>
          <w:rFonts w:ascii="Times New Roman" w:eastAsia="Times New Roman"/>
        </w:rPr>
        <w:t>AIDS</w:t>
      </w:r>
      <w:r>
        <w:rPr/>
        <w:t>。</w:t>
      </w:r>
    </w:p>
    <w:p>
      <w:pPr>
        <w:pStyle w:val="BodyText"/>
        <w:spacing w:line="273" w:lineRule="auto" w:before="4"/>
        <w:ind w:left="203" w:right="208"/>
        <w:jc w:val="both"/>
      </w:pPr>
      <w:r>
        <w:rPr>
          <w:spacing w:val="-2"/>
        </w:rPr>
        <w:t>在人体血液或其他样本中检测到艾滋病病毒或其抗体呈阳性，没有出现临床症</w:t>
      </w:r>
      <w:r>
        <w:rPr>
          <w:spacing w:val="-7"/>
        </w:rPr>
        <w:t>状或体征的，为感染艾滋病病毒；如果同时出现了明显临床症状或体征的，为患艾滋病。</w:t>
      </w:r>
    </w:p>
    <w:p>
      <w:pPr>
        <w:spacing w:after="0" w:line="273" w:lineRule="auto"/>
        <w:jc w:val="both"/>
        <w:sectPr>
          <w:type w:val="continuous"/>
          <w:pgSz w:w="11910" w:h="16840"/>
          <w:pgMar w:top="520" w:bottom="280" w:left="800" w:right="800"/>
          <w:cols w:num="2" w:equalWidth="0">
            <w:col w:w="2761" w:space="40"/>
            <w:col w:w="7509"/>
          </w:cols>
        </w:sectPr>
      </w:pPr>
    </w:p>
    <w:p>
      <w:pPr>
        <w:pStyle w:val="BodyText"/>
        <w:spacing w:before="2"/>
        <w:rPr>
          <w:sz w:val="15"/>
        </w:rPr>
      </w:pPr>
    </w:p>
    <w:p>
      <w:pPr>
        <w:pStyle w:val="ListParagraph"/>
        <w:numPr>
          <w:ilvl w:val="1"/>
          <w:numId w:val="14"/>
        </w:numPr>
        <w:tabs>
          <w:tab w:pos="1073" w:val="left" w:leader="none"/>
          <w:tab w:pos="1074" w:val="left" w:leader="none"/>
          <w:tab w:pos="3003" w:val="left" w:leader="none"/>
        </w:tabs>
        <w:spacing w:line="273" w:lineRule="auto" w:before="36" w:after="0"/>
        <w:ind w:left="3004" w:right="208" w:hanging="2783"/>
        <w:jc w:val="left"/>
        <w:rPr>
          <w:sz w:val="21"/>
        </w:rPr>
      </w:pPr>
      <w:r>
        <w:rPr>
          <w:b/>
          <w:sz w:val="21"/>
        </w:rPr>
        <w:t>遗传性疾病</w:t>
        <w:tab/>
      </w:r>
      <w:r>
        <w:rPr>
          <w:sz w:val="21"/>
        </w:rPr>
        <w:t>指生殖细胞或受精卵的遗传物</w:t>
      </w:r>
      <w:r>
        <w:rPr>
          <w:spacing w:val="-26"/>
          <w:sz w:val="21"/>
        </w:rPr>
        <w:t>质</w:t>
      </w:r>
      <w:r>
        <w:rPr>
          <w:sz w:val="21"/>
        </w:rPr>
        <w:t>（染色体和基因</w:t>
      </w:r>
      <w:r>
        <w:rPr>
          <w:spacing w:val="-26"/>
          <w:sz w:val="21"/>
        </w:rPr>
        <w:t>）</w:t>
      </w:r>
      <w:r>
        <w:rPr>
          <w:sz w:val="21"/>
        </w:rPr>
        <w:t>发生突变或畸变所引起的疾病，通常具有由亲代传至后代的垂直传递的特征。</w:t>
      </w:r>
    </w:p>
    <w:p>
      <w:pPr>
        <w:pStyle w:val="BodyText"/>
        <w:spacing w:before="3"/>
        <w:rPr>
          <w:sz w:val="15"/>
        </w:rPr>
      </w:pPr>
    </w:p>
    <w:p>
      <w:pPr>
        <w:spacing w:after="0"/>
        <w:rPr>
          <w:sz w:val="15"/>
        </w:rPr>
        <w:sectPr>
          <w:type w:val="continuous"/>
          <w:pgSz w:w="11910" w:h="16840"/>
          <w:pgMar w:top="520" w:bottom="280" w:left="800" w:right="800"/>
        </w:sectPr>
      </w:pPr>
    </w:p>
    <w:p>
      <w:pPr>
        <w:pStyle w:val="Heading3"/>
        <w:numPr>
          <w:ilvl w:val="1"/>
          <w:numId w:val="14"/>
        </w:numPr>
        <w:tabs>
          <w:tab w:pos="1073" w:val="left" w:leader="none"/>
          <w:tab w:pos="1074" w:val="left" w:leader="none"/>
        </w:tabs>
        <w:spacing w:line="273" w:lineRule="auto" w:before="35" w:after="0"/>
        <w:ind w:left="1073" w:right="0" w:hanging="852"/>
        <w:jc w:val="left"/>
      </w:pPr>
      <w:r>
        <w:rPr/>
        <w:t>先天性畸形、变形</w:t>
      </w:r>
      <w:r>
        <w:rPr>
          <w:w w:val="95"/>
        </w:rPr>
        <w:t>或染色体异常</w:t>
      </w:r>
    </w:p>
    <w:p>
      <w:pPr>
        <w:pStyle w:val="BodyText"/>
        <w:spacing w:line="273" w:lineRule="auto" w:before="35"/>
        <w:ind w:left="203" w:right="103"/>
      </w:pPr>
      <w:r>
        <w:rPr/>
        <w:br w:type="column"/>
      </w:r>
      <w:r>
        <w:rPr>
          <w:spacing w:val="-4"/>
        </w:rPr>
        <w:t>指被保险人出生时就具有的畸形、变形或染色体异常。先天性畸形、变形和染</w:t>
      </w:r>
      <w:r>
        <w:rPr>
          <w:spacing w:val="-6"/>
        </w:rPr>
        <w:t>色体异常依照世界卫生组织《疾病和有关健康问题的国际统计分类</w:t>
      </w:r>
      <w:r>
        <w:rPr>
          <w:spacing w:val="-130"/>
        </w:rPr>
        <w:t>》</w:t>
      </w:r>
      <w:r>
        <w:rPr/>
        <w:t>（ICD-10） 确定。</w:t>
      </w:r>
    </w:p>
    <w:p>
      <w:pPr>
        <w:spacing w:after="0" w:line="273" w:lineRule="auto"/>
        <w:sectPr>
          <w:type w:val="continuous"/>
          <w:pgSz w:w="11910" w:h="16840"/>
          <w:pgMar w:top="520" w:bottom="280" w:left="800" w:right="800"/>
          <w:cols w:num="2" w:equalWidth="0">
            <w:col w:w="2761" w:space="40"/>
            <w:col w:w="7509"/>
          </w:cols>
        </w:sectPr>
      </w:pPr>
    </w:p>
    <w:p>
      <w:pPr>
        <w:pStyle w:val="BodyText"/>
        <w:spacing w:before="2"/>
        <w:rPr>
          <w:sz w:val="15"/>
        </w:rPr>
      </w:pPr>
    </w:p>
    <w:p>
      <w:pPr>
        <w:pStyle w:val="ListParagraph"/>
        <w:numPr>
          <w:ilvl w:val="1"/>
          <w:numId w:val="14"/>
        </w:numPr>
        <w:tabs>
          <w:tab w:pos="1073" w:val="left" w:leader="none"/>
          <w:tab w:pos="1074" w:val="left" w:leader="none"/>
          <w:tab w:pos="3003" w:val="left" w:leader="none"/>
        </w:tabs>
        <w:spacing w:line="240" w:lineRule="auto" w:before="36" w:after="0"/>
        <w:ind w:left="1073" w:right="0" w:hanging="852"/>
        <w:jc w:val="left"/>
        <w:rPr>
          <w:sz w:val="21"/>
        </w:rPr>
      </w:pPr>
      <w:r>
        <w:rPr>
          <w:b/>
          <w:sz w:val="21"/>
        </w:rPr>
        <w:t>适用主合同释义</w:t>
        <w:tab/>
      </w:r>
      <w:r>
        <w:rPr>
          <w:sz w:val="21"/>
        </w:rPr>
        <w:t>本附加合同中其他重要术语的释义请参看主合同释义条款。</w:t>
      </w:r>
    </w:p>
    <w:p>
      <w:pPr>
        <w:pStyle w:val="BodyText"/>
        <w:spacing w:before="10"/>
        <w:rPr>
          <w:sz w:val="24"/>
        </w:rPr>
      </w:pPr>
    </w:p>
    <w:p>
      <w:pPr>
        <w:pStyle w:val="Heading2"/>
        <w:spacing w:before="1"/>
      </w:pPr>
      <w:r>
        <w:rPr/>
        <w:t>附录一 重大疾病列表</w:t>
      </w:r>
    </w:p>
    <w:p>
      <w:pPr>
        <w:pStyle w:val="BodyText"/>
        <w:rPr>
          <w:b/>
          <w:sz w:val="19"/>
        </w:rPr>
      </w:pPr>
    </w:p>
    <w:p>
      <w:pPr>
        <w:pStyle w:val="BodyText"/>
        <w:spacing w:line="273" w:lineRule="auto"/>
        <w:ind w:left="3003" w:right="208" w:hanging="2783"/>
        <w:jc w:val="both"/>
      </w:pPr>
      <w:r>
        <w:rPr>
          <w:b/>
          <w:spacing w:val="0"/>
        </w:rPr>
        <w:t>一      恶性肿瘤         </w:t>
      </w:r>
      <w:r>
        <w:rPr>
          <w:spacing w:val="-3"/>
        </w:rPr>
        <w:t>指恶性细胞不受控制的进行性增长和扩散，浸润和破坏周围正常组织，可以经</w:t>
      </w:r>
      <w:r>
        <w:rPr>
          <w:spacing w:val="-7"/>
        </w:rPr>
        <w:t>血管、淋巴管和体腔扩散转移到身体其它部位的疾病。经病理学检查结果明确诊断，临床诊断属于世界卫生组织《疾病和有关健康问题的国际统计分类》</w:t>
      </w:r>
    </w:p>
    <w:p>
      <w:pPr>
        <w:pStyle w:val="BodyText"/>
        <w:spacing w:line="273" w:lineRule="auto" w:before="7"/>
        <w:ind w:left="3003" w:right="4568"/>
      </w:pPr>
      <w:r>
        <w:rPr/>
        <w:t>（ICD-10）的恶性肿瘤范畴。下列疾病不在保障范围内：</w:t>
      </w:r>
    </w:p>
    <w:p>
      <w:pPr>
        <w:pStyle w:val="BodyText"/>
        <w:spacing w:before="7"/>
        <w:ind w:left="3003"/>
      </w:pPr>
      <w:r>
        <w:rPr/>
        <w:t>（1）原位癌；</w:t>
      </w:r>
    </w:p>
    <w:p>
      <w:pPr>
        <w:pStyle w:val="BodyText"/>
        <w:spacing w:before="36"/>
        <w:ind w:left="3003"/>
      </w:pPr>
      <w:r>
        <w:rPr/>
        <w:t>（2）相当于Binet 分期方案 A 期程度的慢性淋巴细胞白血病；</w:t>
      </w:r>
    </w:p>
    <w:p>
      <w:pPr>
        <w:pStyle w:val="BodyText"/>
        <w:spacing w:before="36"/>
        <w:ind w:left="3003"/>
      </w:pPr>
      <w:r>
        <w:rPr/>
        <w:t>（3）相当于Ann Arbor 分期方案 I 期程度的何杰金氏病；</w:t>
      </w:r>
    </w:p>
    <w:p>
      <w:pPr>
        <w:pStyle w:val="BodyText"/>
        <w:spacing w:before="36"/>
        <w:ind w:left="3003"/>
      </w:pPr>
      <w:r>
        <w:rPr/>
        <w:t>（4）</w:t>
      </w:r>
      <w:r>
        <w:rPr>
          <w:spacing w:val="-1"/>
        </w:rPr>
        <w:t>皮肤癌</w:t>
      </w:r>
      <w:r>
        <w:rPr/>
        <w:t>（不包括恶性黑色素瘤及已发生转移的皮肤癌</w:t>
      </w:r>
      <w:r>
        <w:rPr>
          <w:spacing w:val="-106"/>
        </w:rPr>
        <w:t>）</w:t>
      </w:r>
      <w:r>
        <w:rPr/>
        <w:t>；</w:t>
      </w:r>
    </w:p>
    <w:p>
      <w:pPr>
        <w:pStyle w:val="BodyText"/>
        <w:spacing w:before="36"/>
        <w:ind w:left="300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spacing w:before="37"/>
        <w:ind w:left="3004" w:right="0" w:firstLine="0"/>
        <w:jc w:val="left"/>
        <w:rPr>
          <w:sz w:val="21"/>
        </w:rPr>
      </w:pPr>
      <w:r>
        <w:rPr>
          <w:w w:val="95"/>
          <w:sz w:val="21"/>
        </w:rPr>
        <w:t>（6）</w:t>
      </w:r>
      <w:r>
        <w:rPr>
          <w:b/>
          <w:w w:val="95"/>
          <w:sz w:val="21"/>
        </w:rPr>
        <w:t>感染艾滋病病毒或患艾滋病</w:t>
      </w:r>
      <w:r>
        <w:rPr>
          <w:w w:val="95"/>
          <w:sz w:val="21"/>
        </w:rPr>
        <w:t>期间所患恶性肿瘤。</w:t>
      </w:r>
    </w:p>
    <w:p>
      <w:pPr>
        <w:pStyle w:val="BodyText"/>
        <w:spacing w:before="1"/>
        <w:rPr>
          <w:sz w:val="20"/>
        </w:rPr>
      </w:pPr>
    </w:p>
    <w:p>
      <w:pPr>
        <w:pStyle w:val="BodyText"/>
        <w:tabs>
          <w:tab w:pos="1073" w:val="left" w:leader="none"/>
          <w:tab w:pos="3003" w:val="left" w:leader="none"/>
        </w:tabs>
        <w:spacing w:line="273" w:lineRule="auto"/>
        <w:ind w:left="3004" w:right="208" w:hanging="2783"/>
      </w:pPr>
      <w:r>
        <w:rPr>
          <w:b/>
        </w:rPr>
        <w:t>二</w:t>
        <w:tab/>
        <w:t>急性心肌梗塞</w:t>
        <w:tab/>
      </w:r>
      <w:r>
        <w:rPr/>
        <w:t>指因冠状动脉阻塞导致的相应区域供血不足造成部分心肌坏死</w:t>
      </w:r>
      <w:r>
        <w:rPr>
          <w:spacing w:val="-51"/>
        </w:rPr>
        <w:t>。</w:t>
      </w:r>
      <w:r>
        <w:rPr/>
        <w:t>须满足下列至</w:t>
      </w:r>
      <w:r>
        <w:rPr>
          <w:spacing w:val="-1"/>
        </w:rPr>
        <w:t>少三项条件：</w:t>
      </w:r>
    </w:p>
    <w:p>
      <w:pPr>
        <w:pStyle w:val="BodyText"/>
        <w:spacing w:before="7"/>
        <w:ind w:left="3004"/>
      </w:pPr>
      <w:r>
        <w:rPr/>
        <w:t>（1）典型临床表现，例如急性胸痛等；</w:t>
      </w:r>
    </w:p>
    <w:p>
      <w:pPr>
        <w:spacing w:after="0"/>
        <w:sectPr>
          <w:type w:val="continuous"/>
          <w:pgSz w:w="11910" w:h="16840"/>
          <w:pgMar w:top="520" w:bottom="280" w:left="800" w:right="800"/>
        </w:sectPr>
      </w:pPr>
    </w:p>
    <w:p>
      <w:pPr>
        <w:pStyle w:val="BodyText"/>
        <w:spacing w:before="19"/>
        <w:ind w:left="2884"/>
      </w:pPr>
      <w:r>
        <w:rPr/>
        <w:t>（2）新近的心电图改变提示急性心肌梗塞；</w:t>
      </w:r>
    </w:p>
    <w:p>
      <w:pPr>
        <w:pStyle w:val="BodyText"/>
        <w:spacing w:line="273" w:lineRule="auto" w:before="37"/>
        <w:ind w:left="3409" w:right="263" w:hanging="526"/>
      </w:pPr>
      <w:r>
        <w:rPr/>
        <w:t>（3）心肌酶或肌钙蛋白有诊断意义的升高，或呈符合急性心肌梗塞的动态性变化；</w:t>
      </w:r>
    </w:p>
    <w:p>
      <w:pPr>
        <w:pStyle w:val="BodyText"/>
        <w:spacing w:before="7"/>
        <w:ind w:left="2884"/>
      </w:pPr>
      <w:r>
        <w:rPr>
          <w:spacing w:val="-12"/>
        </w:rPr>
        <w:t>（4）</w:t>
      </w:r>
      <w:r>
        <w:rPr>
          <w:spacing w:val="-19"/>
        </w:rPr>
        <w:t>发病 </w:t>
      </w:r>
      <w:r>
        <w:rPr/>
        <w:t>90</w:t>
      </w:r>
      <w:r>
        <w:rPr>
          <w:spacing w:val="-14"/>
        </w:rPr>
        <w:t> 天后，经检查证实左心室功能降低，如左心室射血分数低于 </w:t>
      </w:r>
      <w:r>
        <w:rPr/>
        <w:t>50%。</w:t>
      </w:r>
    </w:p>
    <w:p>
      <w:pPr>
        <w:pStyle w:val="Heading2"/>
        <w:spacing w:before="12"/>
        <w:ind w:left="2884"/>
      </w:pPr>
      <w:r>
        <w:rPr/>
        <w:t>本公司仅承担被保险人年满 18 周岁后的保障责任。</w:t>
      </w:r>
    </w:p>
    <w:p>
      <w:pPr>
        <w:pStyle w:val="BodyText"/>
        <w:rPr>
          <w:b/>
          <w:sz w:val="19"/>
        </w:rPr>
      </w:pPr>
    </w:p>
    <w:p>
      <w:pPr>
        <w:pStyle w:val="BodyText"/>
        <w:spacing w:line="273" w:lineRule="auto"/>
        <w:ind w:left="2883" w:right="208" w:hanging="2783"/>
        <w:jc w:val="both"/>
      </w:pPr>
      <w:r>
        <w:rPr>
          <w:b/>
          <w:spacing w:val="0"/>
        </w:rPr>
        <w:t>三     脑中风后遗症      </w:t>
      </w:r>
      <w:r>
        <w:rPr>
          <w:spacing w:val="-3"/>
        </w:rPr>
        <w:t>指因脑血管的突发病变引起脑血管出血、栓塞或梗塞，并导致神经系统永久性</w:t>
      </w:r>
      <w:r>
        <w:rPr>
          <w:spacing w:val="-9"/>
        </w:rPr>
        <w:t>的功能障碍。神经系统永久性的功能障碍，指疾病确诊 </w:t>
      </w:r>
      <w:r>
        <w:rPr/>
        <w:t>180</w:t>
      </w:r>
      <w:r>
        <w:rPr>
          <w:spacing w:val="-10"/>
        </w:rPr>
        <w:t> 天后，仍遗留下列</w:t>
      </w:r>
      <w:r>
        <w:rPr>
          <w:spacing w:val="-1"/>
        </w:rPr>
        <w:t>一种或一种以上障碍：</w:t>
      </w:r>
    </w:p>
    <w:p>
      <w:pPr>
        <w:spacing w:before="7"/>
        <w:ind w:left="2883" w:right="0" w:firstLine="0"/>
        <w:jc w:val="left"/>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spacing w:before="36"/>
        <w:ind w:left="2883" w:right="0" w:firstLine="0"/>
        <w:jc w:val="left"/>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spacing w:line="273" w:lineRule="auto" w:before="36"/>
        <w:ind w:left="3387" w:right="38" w:hanging="504"/>
        <w:jc w:val="left"/>
        <w:rPr>
          <w:sz w:val="21"/>
        </w:rPr>
      </w:pPr>
      <w:r>
        <w:rPr>
          <w:sz w:val="21"/>
        </w:rPr>
        <w:t>（3）自主生活能力完全丧失，无法独立完成</w:t>
      </w:r>
      <w:r>
        <w:rPr>
          <w:b/>
          <w:sz w:val="21"/>
        </w:rPr>
        <w:t>六项基本日常生活活动</w:t>
      </w:r>
      <w:r>
        <w:rPr>
          <w:sz w:val="21"/>
        </w:rPr>
        <w:t>（见注 1） 中的三项或三项以上。</w:t>
      </w:r>
    </w:p>
    <w:p>
      <w:pPr>
        <w:pStyle w:val="Heading2"/>
        <w:spacing w:line="298" w:lineRule="exact"/>
        <w:ind w:left="2884"/>
      </w:pPr>
      <w:r>
        <w:rPr/>
        <w:t>本公司仅承担被保险人年满 18 周岁后的保障责任。</w:t>
      </w:r>
    </w:p>
    <w:p>
      <w:pPr>
        <w:pStyle w:val="BodyText"/>
        <w:spacing w:before="5"/>
        <w:rPr>
          <w:b/>
          <w:sz w:val="16"/>
        </w:rPr>
      </w:pPr>
    </w:p>
    <w:p>
      <w:pPr>
        <w:spacing w:after="0"/>
        <w:rPr>
          <w:sz w:val="16"/>
        </w:rPr>
        <w:sectPr>
          <w:pgSz w:w="11910" w:h="16840"/>
          <w:pgMar w:top="1100" w:bottom="280" w:left="920" w:right="800"/>
        </w:sectPr>
      </w:pPr>
    </w:p>
    <w:p>
      <w:pPr>
        <w:pStyle w:val="Heading3"/>
        <w:tabs>
          <w:tab w:pos="953" w:val="left" w:leader="none"/>
        </w:tabs>
        <w:spacing w:line="273" w:lineRule="auto"/>
        <w:ind w:hanging="852"/>
      </w:pPr>
      <w:r>
        <w:rPr/>
        <w:t>四</w:t>
        <w:tab/>
      </w:r>
      <w:r>
        <w:rPr>
          <w:w w:val="95"/>
        </w:rPr>
        <w:t>重大器官移植术或 造血干细胞移植术</w:t>
      </w:r>
    </w:p>
    <w:p>
      <w:pPr>
        <w:pStyle w:val="BodyText"/>
        <w:spacing w:line="273" w:lineRule="auto" w:before="35"/>
        <w:ind w:left="101" w:right="207"/>
        <w:jc w:val="both"/>
      </w:pPr>
      <w:r>
        <w:rPr/>
        <w:br w:type="column"/>
      </w:r>
      <w:r>
        <w:rPr>
          <w:spacing w:val="-5"/>
        </w:rPr>
        <w:t>重大器官移植术，指因相应器官功能衰竭，已经实施了肾脏、肝脏、心脏或肺</w:t>
      </w:r>
      <w:r>
        <w:rPr>
          <w:spacing w:val="-1"/>
        </w:rPr>
        <w:t>脏的异体移植手术。</w:t>
      </w:r>
    </w:p>
    <w:p>
      <w:pPr>
        <w:pStyle w:val="BodyText"/>
        <w:spacing w:line="273" w:lineRule="auto" w:before="7"/>
        <w:ind w:left="101" w:right="208"/>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20" w:bottom="280" w:left="920" w:right="800"/>
          <w:cols w:num="2" w:equalWidth="0">
            <w:col w:w="2641" w:space="142"/>
            <w:col w:w="7407"/>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spacing w:before="36"/>
        <w:ind w:left="101"/>
      </w:pPr>
      <w:r>
        <w:rPr/>
        <w:t>五</w:t>
        <w:tab/>
      </w:r>
      <w:r>
        <w:rPr>
          <w:w w:val="95"/>
        </w:rPr>
        <w:t>冠状动脉搭桥术</w:t>
      </w:r>
    </w:p>
    <w:p>
      <w:pPr>
        <w:spacing w:line="273" w:lineRule="auto" w:before="37"/>
        <w:ind w:left="953" w:right="0" w:firstLine="0"/>
        <w:jc w:val="left"/>
        <w:rPr>
          <w:b/>
          <w:sz w:val="21"/>
        </w:rPr>
      </w:pPr>
      <w:r>
        <w:rPr>
          <w:b/>
          <w:sz w:val="21"/>
        </w:rPr>
        <w:t>（或称冠状动脉旁</w:t>
      </w:r>
      <w:r>
        <w:rPr>
          <w:b/>
          <w:w w:val="95"/>
          <w:sz w:val="21"/>
        </w:rPr>
        <w:t>路移植术）</w:t>
      </w:r>
    </w:p>
    <w:p>
      <w:pPr>
        <w:pStyle w:val="BodyText"/>
        <w:spacing w:line="273" w:lineRule="auto" w:before="36"/>
        <w:ind w:left="101" w:right="368"/>
      </w:pPr>
      <w:r>
        <w:rPr/>
        <w:br w:type="column"/>
      </w:r>
      <w:r>
        <w:rPr/>
        <w:t>指为治疗严重的冠心病，实际实施了开胸进行的冠状动脉血管旁路移植的手术。</w:t>
      </w:r>
    </w:p>
    <w:p>
      <w:pPr>
        <w:pStyle w:val="BodyText"/>
        <w:spacing w:line="273" w:lineRule="auto" w:before="8"/>
        <w:ind w:left="101" w:right="148"/>
      </w:pPr>
      <w:r>
        <w:rPr/>
        <w:t>冠状动脉支架植入术、心导管球囊扩张术、激光射频技术及其它非开胸的介入手术、腔镜手术不在保障范围内。</w:t>
      </w:r>
    </w:p>
    <w:p>
      <w:pPr>
        <w:pStyle w:val="Heading2"/>
        <w:spacing w:line="298" w:lineRule="exact"/>
        <w:ind w:left="101"/>
      </w:pPr>
      <w:r>
        <w:rPr/>
        <w:t>本公司仅承担被保险人年满 18 周岁后的保障责任。</w:t>
      </w:r>
    </w:p>
    <w:p>
      <w:pPr>
        <w:spacing w:after="0" w:line="298" w:lineRule="exact"/>
        <w:sectPr>
          <w:type w:val="continuous"/>
          <w:pgSz w:w="11910" w:h="16840"/>
          <w:pgMar w:top="520" w:bottom="280" w:left="920" w:right="800"/>
          <w:cols w:num="2" w:equalWidth="0">
            <w:col w:w="2641" w:space="142"/>
            <w:col w:w="7407"/>
          </w:cols>
        </w:sectPr>
      </w:pPr>
    </w:p>
    <w:p>
      <w:pPr>
        <w:pStyle w:val="BodyText"/>
        <w:spacing w:before="5"/>
        <w:rPr>
          <w:b/>
          <w:sz w:val="16"/>
        </w:rPr>
      </w:pPr>
    </w:p>
    <w:p>
      <w:pPr>
        <w:spacing w:after="0"/>
        <w:rPr>
          <w:sz w:val="16"/>
        </w:rPr>
        <w:sectPr>
          <w:type w:val="continuous"/>
          <w:pgSz w:w="11910" w:h="16840"/>
          <w:pgMar w:top="520" w:bottom="280" w:left="920" w:right="800"/>
        </w:sectPr>
      </w:pPr>
    </w:p>
    <w:p>
      <w:pPr>
        <w:pStyle w:val="Heading3"/>
        <w:spacing w:line="273" w:lineRule="auto"/>
        <w:ind w:hanging="852"/>
        <w:jc w:val="both"/>
      </w:pPr>
      <w:r>
        <w:rPr/>
        <w:t>六     终末期肾病（或称慢性肾功能衰竭尿毒症期）</w:t>
      </w:r>
    </w:p>
    <w:p>
      <w:pPr>
        <w:pStyle w:val="BodyText"/>
        <w:spacing w:line="273" w:lineRule="auto" w:before="35"/>
        <w:ind w:left="101" w:right="25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920" w:right="800"/>
          <w:cols w:num="2" w:equalWidth="0">
            <w:col w:w="2641" w:space="142"/>
            <w:col w:w="7407"/>
          </w:cols>
        </w:sectPr>
      </w:pPr>
    </w:p>
    <w:p>
      <w:pPr>
        <w:pStyle w:val="BodyText"/>
        <w:spacing w:before="2"/>
        <w:rPr>
          <w:sz w:val="15"/>
        </w:rPr>
      </w:pPr>
    </w:p>
    <w:p>
      <w:pPr>
        <w:pStyle w:val="BodyText"/>
        <w:tabs>
          <w:tab w:pos="953" w:val="left" w:leader="none"/>
          <w:tab w:pos="2883" w:val="left" w:leader="none"/>
        </w:tabs>
        <w:spacing w:line="273" w:lineRule="auto" w:before="35"/>
        <w:ind w:left="2883" w:right="208" w:hanging="2783"/>
      </w:pPr>
      <w:r>
        <w:rPr>
          <w:b/>
        </w:rPr>
        <w:t>七</w:t>
        <w:tab/>
        <w:t>多个肢体缺失</w:t>
        <w:tab/>
      </w:r>
      <w:r>
        <w:rPr/>
        <w:t>指因疾病或意外伤害导致两个或两个以上肢体自腕关节或踝关节近</w:t>
      </w:r>
      <w:r>
        <w:rPr>
          <w:spacing w:val="-51"/>
        </w:rPr>
        <w:t>端</w:t>
      </w:r>
      <w:r>
        <w:rPr/>
        <w:t>（靠近躯干端）以上完全性断离。</w:t>
      </w:r>
    </w:p>
    <w:p>
      <w:pPr>
        <w:pStyle w:val="BodyText"/>
        <w:spacing w:before="2"/>
        <w:rPr>
          <w:sz w:val="15"/>
        </w:rPr>
      </w:pPr>
    </w:p>
    <w:p>
      <w:pPr>
        <w:spacing w:after="0"/>
        <w:rPr>
          <w:sz w:val="15"/>
        </w:rPr>
        <w:sectPr>
          <w:type w:val="continuous"/>
          <w:pgSz w:w="11910" w:h="16840"/>
          <w:pgMar w:top="520" w:bottom="280" w:left="920" w:right="800"/>
        </w:sectPr>
      </w:pPr>
    </w:p>
    <w:p>
      <w:pPr>
        <w:pStyle w:val="Heading3"/>
        <w:tabs>
          <w:tab w:pos="953" w:val="left" w:leader="none"/>
        </w:tabs>
        <w:spacing w:line="273" w:lineRule="auto"/>
        <w:ind w:hanging="852"/>
      </w:pPr>
      <w:r>
        <w:rPr/>
        <w:t>八</w:t>
        <w:tab/>
      </w:r>
      <w:r>
        <w:rPr>
          <w:w w:val="95"/>
        </w:rPr>
        <w:t>急性或亚急性重症 </w:t>
      </w:r>
      <w:r>
        <w:rPr/>
        <w:t>肝炎</w:t>
      </w:r>
    </w:p>
    <w:p>
      <w:pPr>
        <w:pStyle w:val="BodyText"/>
        <w:spacing w:line="273" w:lineRule="auto" w:before="35"/>
        <w:ind w:left="101" w:right="146"/>
      </w:pPr>
      <w:r>
        <w:rPr/>
        <w:br w:type="column"/>
      </w:r>
      <w:r>
        <w:rPr/>
        <w:t>指因肝炎病毒感染引起肝脏组织弥漫性坏死，导致急性肝功能衰竭，且经血清学或病毒学检查证实，并须满足下列全部条件：</w:t>
      </w:r>
    </w:p>
    <w:p>
      <w:pPr>
        <w:pStyle w:val="BodyText"/>
        <w:spacing w:before="7"/>
        <w:ind w:left="101"/>
      </w:pPr>
      <w:r>
        <w:rPr/>
        <w:t>（1）重度黄疸或黄疸迅速加重；</w:t>
      </w:r>
    </w:p>
    <w:p>
      <w:pPr>
        <w:pStyle w:val="BodyText"/>
        <w:spacing w:before="37"/>
        <w:ind w:left="101"/>
      </w:pPr>
      <w:r>
        <w:rPr/>
        <w:t>（2）肝性脑病；</w:t>
      </w:r>
    </w:p>
    <w:p>
      <w:pPr>
        <w:pStyle w:val="BodyText"/>
        <w:spacing w:before="37"/>
        <w:ind w:left="101"/>
      </w:pPr>
      <w:r>
        <w:rPr/>
        <w:t>（3）B 超或其它影像学检查显示肝脏体积急速萎缩；</w:t>
      </w:r>
    </w:p>
    <w:p>
      <w:pPr>
        <w:pStyle w:val="BodyText"/>
        <w:spacing w:before="37"/>
        <w:ind w:left="101"/>
      </w:pPr>
      <w:r>
        <w:rPr/>
        <w:t>（4）肝功能指标进行性恶化。</w:t>
      </w:r>
    </w:p>
    <w:p>
      <w:pPr>
        <w:spacing w:after="0"/>
        <w:sectPr>
          <w:type w:val="continuous"/>
          <w:pgSz w:w="11910" w:h="16840"/>
          <w:pgMar w:top="520" w:bottom="280" w:left="920" w:right="800"/>
          <w:cols w:num="2" w:equalWidth="0">
            <w:col w:w="2641" w:space="142"/>
            <w:col w:w="7407"/>
          </w:cols>
        </w:sectPr>
      </w:pPr>
    </w:p>
    <w:p>
      <w:pPr>
        <w:pStyle w:val="BodyText"/>
        <w:spacing w:before="6"/>
        <w:rPr>
          <w:sz w:val="17"/>
        </w:rPr>
      </w:pPr>
    </w:p>
    <w:p>
      <w:pPr>
        <w:pStyle w:val="BodyText"/>
        <w:spacing w:line="273" w:lineRule="auto" w:before="35"/>
        <w:ind w:left="2883" w:right="208" w:hanging="2783"/>
        <w:jc w:val="both"/>
      </w:pPr>
      <w:r>
        <w:rPr>
          <w:b/>
          <w:spacing w:val="2"/>
        </w:rPr>
        <w:t>九 良性脑肿瘤 </w:t>
      </w:r>
      <w:r>
        <w:rPr>
          <w:spacing w:val="-5"/>
        </w:rPr>
        <w:t>指脑的良性肿瘤，已经引起颅内压增高，临床表现为视神经乳头水肿、精神症状、癫痫及运动感觉障碍等，并危及生命。须由头颅断层扫描（CT</w:t>
      </w:r>
      <w:r>
        <w:rPr>
          <w:spacing w:val="-104"/>
        </w:rPr>
        <w:t>）</w:t>
      </w:r>
      <w:r>
        <w:rPr>
          <w:spacing w:val="-3"/>
        </w:rPr>
        <w:t>、核磁共振检查（MRI）</w:t>
      </w:r>
      <w:r>
        <w:rPr>
          <w:spacing w:val="-1"/>
        </w:rPr>
        <w:t>或正电子发射断层扫描</w:t>
      </w:r>
      <w:r>
        <w:rPr>
          <w:spacing w:val="-3"/>
        </w:rPr>
        <w:t>（PET）</w:t>
      </w:r>
      <w:r>
        <w:rPr>
          <w:spacing w:val="-2"/>
        </w:rPr>
        <w:t>等影像学检查证实，并须满足下列至少一项条件：</w:t>
      </w:r>
    </w:p>
    <w:p>
      <w:pPr>
        <w:pStyle w:val="BodyText"/>
        <w:spacing w:before="7"/>
        <w:ind w:left="2883"/>
      </w:pPr>
      <w:r>
        <w:rPr/>
        <w:t>（1）实际实施了开颅进行的脑肿瘤完全切除或部分切除的手术；</w:t>
      </w:r>
    </w:p>
    <w:p>
      <w:pPr>
        <w:pStyle w:val="BodyText"/>
        <w:spacing w:before="36"/>
        <w:ind w:left="2883"/>
      </w:pPr>
      <w:r>
        <w:rPr/>
        <w:t>（2）实际实施了对脑肿瘤进行的放射治疗。</w:t>
      </w:r>
    </w:p>
    <w:p>
      <w:pPr>
        <w:pStyle w:val="BodyText"/>
        <w:spacing w:before="36"/>
        <w:ind w:left="2883"/>
      </w:pPr>
      <w:r>
        <w:rPr/>
        <w:t>脑垂体瘤、脑囊肿、脑血管性疾病不在保障范围内。</w:t>
      </w:r>
    </w:p>
    <w:p>
      <w:pPr>
        <w:spacing w:after="0"/>
        <w:sectPr>
          <w:type w:val="continuous"/>
          <w:pgSz w:w="11910" w:h="16840"/>
          <w:pgMar w:top="520" w:bottom="280" w:left="920" w:right="800"/>
        </w:sectPr>
      </w:pPr>
    </w:p>
    <w:p>
      <w:pPr>
        <w:pStyle w:val="Heading3"/>
        <w:tabs>
          <w:tab w:pos="1013" w:val="left" w:leader="none"/>
        </w:tabs>
        <w:spacing w:line="273" w:lineRule="auto" w:before="6"/>
        <w:ind w:left="1013" w:hanging="852"/>
      </w:pPr>
      <w:r>
        <w:rPr/>
        <w:t>十</w:t>
        <w:tab/>
      </w:r>
      <w:r>
        <w:rPr>
          <w:w w:val="95"/>
        </w:rPr>
        <w:t>慢性肝功能衰竭失 </w:t>
      </w:r>
      <w:r>
        <w:rPr/>
        <w:t>代偿期</w:t>
      </w:r>
    </w:p>
    <w:p>
      <w:pPr>
        <w:pStyle w:val="BodyText"/>
        <w:spacing w:before="6"/>
        <w:ind w:left="161"/>
      </w:pPr>
      <w:r>
        <w:rPr/>
        <w:br w:type="column"/>
      </w:r>
      <w:r>
        <w:rPr/>
        <w:t>指因慢性肝脏疾病导致肝功能衰竭。须满足下列全部条件：</w:t>
      </w:r>
    </w:p>
    <w:p>
      <w:pPr>
        <w:pStyle w:val="BodyText"/>
        <w:spacing w:before="37"/>
        <w:ind w:left="161"/>
      </w:pPr>
      <w:r>
        <w:rPr/>
        <w:t>（1）持续性黄疸；</w:t>
      </w:r>
    </w:p>
    <w:p>
      <w:pPr>
        <w:pStyle w:val="BodyText"/>
        <w:spacing w:before="37"/>
        <w:ind w:left="161"/>
      </w:pPr>
      <w:r>
        <w:rPr/>
        <w:t>（2）腹水；</w:t>
      </w:r>
    </w:p>
    <w:p>
      <w:pPr>
        <w:pStyle w:val="BodyText"/>
        <w:spacing w:before="37"/>
        <w:ind w:left="161"/>
      </w:pPr>
      <w:r>
        <w:rPr/>
        <w:t>（3）肝性脑病；</w:t>
      </w:r>
    </w:p>
    <w:p>
      <w:pPr>
        <w:pStyle w:val="BodyText"/>
        <w:spacing w:line="273" w:lineRule="auto" w:before="37"/>
        <w:ind w:left="161" w:right="2214"/>
      </w:pPr>
      <w:r>
        <w:rPr/>
        <w:t>（4）充血性脾肿大伴脾功能亢进或食管胃底静脉曲张。因酗酒或药物滥用导致的肝功能衰竭不在保障范围内。</w:t>
      </w:r>
    </w:p>
    <w:p>
      <w:pPr>
        <w:spacing w:after="0" w:line="273" w:lineRule="auto"/>
        <w:sectPr>
          <w:pgSz w:w="11910" w:h="16840"/>
          <w:pgMar w:top="1340" w:bottom="280" w:left="860" w:right="740"/>
          <w:cols w:num="2" w:equalWidth="0">
            <w:col w:w="2701" w:space="82"/>
            <w:col w:w="7527"/>
          </w:cols>
        </w:sectPr>
      </w:pPr>
    </w:p>
    <w:p>
      <w:pPr>
        <w:pStyle w:val="BodyText"/>
        <w:spacing w:before="3"/>
        <w:rPr>
          <w:sz w:val="15"/>
        </w:rPr>
      </w:pPr>
    </w:p>
    <w:p>
      <w:pPr>
        <w:spacing w:after="0"/>
        <w:rPr>
          <w:sz w:val="15"/>
        </w:rPr>
        <w:sectPr>
          <w:type w:val="continuous"/>
          <w:pgSz w:w="11910" w:h="16840"/>
          <w:pgMar w:top="520" w:bottom="280" w:left="860" w:right="740"/>
        </w:sectPr>
      </w:pPr>
    </w:p>
    <w:p>
      <w:pPr>
        <w:pStyle w:val="Heading3"/>
        <w:tabs>
          <w:tab w:pos="1013" w:val="left" w:leader="none"/>
        </w:tabs>
        <w:spacing w:line="273" w:lineRule="auto"/>
        <w:ind w:left="1013" w:hanging="852"/>
      </w:pPr>
      <w:r>
        <w:rPr/>
        <w:t>十一</w:t>
        <w:tab/>
      </w:r>
      <w:r>
        <w:rPr>
          <w:w w:val="95"/>
        </w:rPr>
        <w:t>脑炎后遗症或脑膜 </w:t>
      </w:r>
      <w:r>
        <w:rPr/>
        <w:t>炎后遗症</w:t>
      </w:r>
    </w:p>
    <w:p>
      <w:pPr>
        <w:pStyle w:val="BodyText"/>
        <w:spacing w:line="273" w:lineRule="auto" w:before="35"/>
        <w:ind w:left="161" w:right="206"/>
      </w:pPr>
      <w:r>
        <w:rPr/>
        <w:br w:type="column"/>
      </w:r>
      <w:r>
        <w:rPr/>
        <w:t>指因患脑炎或脑膜炎导致的神经系统永久性的功能障碍。神经系统永久性的功能障碍，指疾病确诊 180 天后，仍遗留下列一种或一种以上障碍：</w:t>
      </w:r>
    </w:p>
    <w:p>
      <w:pPr>
        <w:spacing w:before="7"/>
        <w:ind w:left="161" w:right="0" w:firstLine="0"/>
        <w:jc w:val="left"/>
        <w:rPr>
          <w:sz w:val="21"/>
        </w:rPr>
      </w:pPr>
      <w:r>
        <w:rPr>
          <w:w w:val="95"/>
          <w:sz w:val="21"/>
        </w:rPr>
        <w:t>（1）一肢或一肢以上</w:t>
      </w:r>
      <w:r>
        <w:rPr>
          <w:b/>
          <w:w w:val="95"/>
          <w:sz w:val="21"/>
        </w:rPr>
        <w:t>肢体机能完全丧失</w:t>
      </w:r>
      <w:r>
        <w:rPr>
          <w:w w:val="95"/>
          <w:sz w:val="21"/>
        </w:rPr>
        <w:t>；</w:t>
      </w:r>
    </w:p>
    <w:p>
      <w:pPr>
        <w:spacing w:before="36"/>
        <w:ind w:left="161" w:right="0" w:firstLine="0"/>
        <w:jc w:val="left"/>
        <w:rPr>
          <w:sz w:val="21"/>
        </w:rPr>
      </w:pPr>
      <w:r>
        <w:rPr>
          <w:w w:val="95"/>
          <w:sz w:val="21"/>
        </w:rPr>
        <w:t>（2）</w:t>
      </w:r>
      <w:r>
        <w:rPr>
          <w:b/>
          <w:w w:val="95"/>
          <w:sz w:val="21"/>
        </w:rPr>
        <w:t>语言能力或咀嚼吞咽能力完全丧失</w:t>
      </w:r>
      <w:r>
        <w:rPr>
          <w:w w:val="95"/>
          <w:sz w:val="21"/>
        </w:rPr>
        <w:t>；</w:t>
      </w:r>
    </w:p>
    <w:p>
      <w:pPr>
        <w:spacing w:line="273" w:lineRule="auto" w:before="36"/>
        <w:ind w:left="686" w:right="315" w:hanging="526"/>
        <w:jc w:val="left"/>
        <w:rPr>
          <w:sz w:val="21"/>
        </w:rPr>
      </w:pPr>
      <w:r>
        <w:rPr>
          <w:sz w:val="21"/>
        </w:rPr>
        <w:t>（3）自主生活能力完全丧失，无法独立完成</w:t>
      </w:r>
      <w:r>
        <w:rPr>
          <w:b/>
          <w:sz w:val="21"/>
        </w:rPr>
        <w:t>六项基本日常生活活动</w:t>
      </w:r>
      <w:r>
        <w:rPr>
          <w:sz w:val="21"/>
        </w:rPr>
        <w:t>中的三项或三项以上。</w:t>
      </w:r>
    </w:p>
    <w:p>
      <w:pPr>
        <w:spacing w:after="0" w:line="273" w:lineRule="auto"/>
        <w:jc w:val="left"/>
        <w:rPr>
          <w:sz w:val="21"/>
        </w:rPr>
        <w:sectPr>
          <w:type w:val="continuous"/>
          <w:pgSz w:w="11910" w:h="16840"/>
          <w:pgMar w:top="520" w:bottom="280" w:left="860" w:right="740"/>
          <w:cols w:num="2" w:equalWidth="0">
            <w:col w:w="2701" w:space="82"/>
            <w:col w:w="7527"/>
          </w:cols>
        </w:sectPr>
      </w:pP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024"/>
        <w:gridCol w:w="7368"/>
      </w:tblGrid>
      <w:tr>
        <w:trPr>
          <w:trHeight w:val="260" w:hRule="atLeast"/>
        </w:trPr>
        <w:tc>
          <w:tcPr>
            <w:tcW w:w="687" w:type="dxa"/>
          </w:tcPr>
          <w:p>
            <w:pPr>
              <w:pStyle w:val="TableParagraph"/>
              <w:spacing w:line="210" w:lineRule="exact"/>
              <w:ind w:left="50"/>
              <w:rPr>
                <w:b/>
                <w:sz w:val="21"/>
              </w:rPr>
            </w:pPr>
            <w:r>
              <w:rPr>
                <w:b/>
                <w:sz w:val="21"/>
              </w:rPr>
              <w:t>十二</w:t>
            </w:r>
          </w:p>
        </w:tc>
        <w:tc>
          <w:tcPr>
            <w:tcW w:w="2024" w:type="dxa"/>
          </w:tcPr>
          <w:p>
            <w:pPr>
              <w:pStyle w:val="TableParagraph"/>
              <w:spacing w:line="210" w:lineRule="exact"/>
              <w:ind w:left="214"/>
              <w:rPr>
                <w:b/>
                <w:sz w:val="21"/>
              </w:rPr>
            </w:pPr>
            <w:r>
              <w:rPr>
                <w:b/>
                <w:sz w:val="21"/>
              </w:rPr>
              <w:t>深度昏迷</w:t>
            </w:r>
          </w:p>
        </w:tc>
        <w:tc>
          <w:tcPr>
            <w:tcW w:w="7368" w:type="dxa"/>
          </w:tcPr>
          <w:p>
            <w:pPr>
              <w:pStyle w:val="TableParagraph"/>
              <w:spacing w:line="210" w:lineRule="exact"/>
              <w:ind w:left="121"/>
              <w:rPr>
                <w:sz w:val="21"/>
              </w:rPr>
            </w:pPr>
            <w:r>
              <w:rPr>
                <w:sz w:val="21"/>
              </w:rPr>
              <w:t>指因疾病或意外伤害导致意识丧失，对外界刺激和体内需求均无反应，昏迷程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已经持续使用呼吸机及其它生命维持系统 96 小时以上。</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因酗酒或药物滥用导致的深度昏迷不在保障范围内。</w:t>
            </w:r>
          </w:p>
        </w:tc>
      </w:tr>
      <w:tr>
        <w:trPr>
          <w:trHeight w:val="425" w:hRule="atLeast"/>
        </w:trPr>
        <w:tc>
          <w:tcPr>
            <w:tcW w:w="687" w:type="dxa"/>
          </w:tcPr>
          <w:p>
            <w:pPr>
              <w:pStyle w:val="TableParagraph"/>
              <w:spacing w:before="100"/>
              <w:ind w:left="50"/>
              <w:rPr>
                <w:b/>
                <w:sz w:val="21"/>
              </w:rPr>
            </w:pPr>
            <w:r>
              <w:rPr>
                <w:b/>
                <w:sz w:val="21"/>
              </w:rPr>
              <w:t>十三</w:t>
            </w:r>
          </w:p>
        </w:tc>
        <w:tc>
          <w:tcPr>
            <w:tcW w:w="2024" w:type="dxa"/>
          </w:tcPr>
          <w:p>
            <w:pPr>
              <w:pStyle w:val="TableParagraph"/>
              <w:spacing w:before="100"/>
              <w:ind w:left="214"/>
              <w:rPr>
                <w:b/>
                <w:sz w:val="21"/>
              </w:rPr>
            </w:pPr>
            <w:r>
              <w:rPr>
                <w:b/>
                <w:sz w:val="21"/>
              </w:rPr>
              <w:t>双耳失聪</w:t>
            </w:r>
          </w:p>
        </w:tc>
        <w:tc>
          <w:tcPr>
            <w:tcW w:w="7368" w:type="dxa"/>
          </w:tcPr>
          <w:p>
            <w:pPr>
              <w:pStyle w:val="TableParagraph"/>
              <w:spacing w:before="100"/>
              <w:ind w:left="121"/>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声导抗检测或听觉诱发电位检测等证实。</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312" w:lineRule="exact"/>
              <w:ind w:left="121" w:right="255"/>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417" w:hRule="atLeast"/>
        </w:trPr>
        <w:tc>
          <w:tcPr>
            <w:tcW w:w="687" w:type="dxa"/>
          </w:tcPr>
          <w:p>
            <w:pPr>
              <w:pStyle w:val="TableParagraph"/>
              <w:spacing w:before="92"/>
              <w:ind w:left="50"/>
              <w:rPr>
                <w:b/>
                <w:sz w:val="21"/>
              </w:rPr>
            </w:pPr>
            <w:r>
              <w:rPr>
                <w:b/>
                <w:sz w:val="21"/>
              </w:rPr>
              <w:t>十四</w:t>
            </w:r>
          </w:p>
        </w:tc>
        <w:tc>
          <w:tcPr>
            <w:tcW w:w="2024" w:type="dxa"/>
          </w:tcPr>
          <w:p>
            <w:pPr>
              <w:pStyle w:val="TableParagraph"/>
              <w:spacing w:before="92"/>
              <w:ind w:left="215"/>
              <w:rPr>
                <w:b/>
                <w:sz w:val="21"/>
              </w:rPr>
            </w:pPr>
            <w:r>
              <w:rPr>
                <w:b/>
                <w:sz w:val="21"/>
              </w:rPr>
              <w:t>双目失明</w:t>
            </w:r>
          </w:p>
        </w:tc>
        <w:tc>
          <w:tcPr>
            <w:tcW w:w="7368" w:type="dxa"/>
          </w:tcPr>
          <w:p>
            <w:pPr>
              <w:pStyle w:val="TableParagraph"/>
              <w:spacing w:before="92"/>
              <w:ind w:left="121"/>
              <w:rPr>
                <w:sz w:val="21"/>
              </w:rPr>
            </w:pPr>
            <w:r>
              <w:rPr>
                <w:w w:val="95"/>
                <w:sz w:val="21"/>
              </w:rPr>
              <w:t>指因疾病或意外伤害导致双眼视力</w:t>
            </w:r>
            <w:r>
              <w:rPr>
                <w:b/>
                <w:w w:val="95"/>
                <w:sz w:val="21"/>
              </w:rPr>
              <w:t>永久不可逆</w:t>
            </w:r>
            <w:r>
              <w:rPr>
                <w:w w:val="95"/>
                <w:sz w:val="21"/>
              </w:rPr>
              <w:t>性丧失，双眼中较好眼须满足下</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列至少一项条件：</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（1）眼球缺失或摘除；</w:t>
            </w:r>
          </w:p>
        </w:tc>
      </w:tr>
      <w:tr>
        <w:trPr>
          <w:trHeight w:val="260" w:hRule="atLeast"/>
        </w:trPr>
        <w:tc>
          <w:tcPr>
            <w:tcW w:w="687" w:type="dxa"/>
          </w:tcPr>
          <w:p>
            <w:pPr>
              <w:pStyle w:val="TableParagraph"/>
              <w:rPr>
                <w:rFonts w:ascii="Times New Roman"/>
                <w:sz w:val="18"/>
              </w:rPr>
            </w:pPr>
          </w:p>
        </w:tc>
        <w:tc>
          <w:tcPr>
            <w:tcW w:w="2024" w:type="dxa"/>
          </w:tcPr>
          <w:p>
            <w:pPr>
              <w:pStyle w:val="TableParagraph"/>
              <w:rPr>
                <w:rFonts w:ascii="Times New Roman"/>
                <w:sz w:val="18"/>
              </w:rPr>
            </w:pPr>
          </w:p>
        </w:tc>
        <w:tc>
          <w:tcPr>
            <w:tcW w:w="7368" w:type="dxa"/>
          </w:tcPr>
          <w:p>
            <w:pPr>
              <w:pStyle w:val="TableParagraph"/>
              <w:spacing w:line="241" w:lineRule="exact"/>
              <w:ind w:left="121"/>
              <w:rPr>
                <w:sz w:val="21"/>
              </w:rPr>
            </w:pPr>
            <w:r>
              <w:rPr>
                <w:sz w:val="21"/>
              </w:rPr>
              <w:t>（2）矫正视力低于 0.02（采用国际标准视力表，如果使用其它视力表应进行</w:t>
            </w:r>
          </w:p>
        </w:tc>
      </w:tr>
      <w:tr>
        <w:trPr>
          <w:trHeight w:val="36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before="37"/>
              <w:ind w:left="647"/>
              <w:rPr>
                <w:sz w:val="21"/>
              </w:rPr>
            </w:pPr>
            <w:r>
              <w:rPr>
                <w:sz w:val="21"/>
              </w:rPr>
              <w:t>换算</w:t>
            </w:r>
            <w:r>
              <w:rPr>
                <w:spacing w:val="-105"/>
                <w:sz w:val="21"/>
              </w:rPr>
              <w:t>）</w:t>
            </w:r>
            <w:r>
              <w:rPr>
                <w:sz w:val="21"/>
              </w:rPr>
              <w:t>；</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（3）视野半径小于 5 度。</w:t>
            </w:r>
          </w:p>
        </w:tc>
      </w:tr>
      <w:tr>
        <w:trPr>
          <w:trHeight w:val="752"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312" w:lineRule="exact"/>
              <w:ind w:left="121" w:right="255"/>
              <w:rPr>
                <w:b/>
                <w:sz w:val="24"/>
              </w:rPr>
            </w:pPr>
            <w:r>
              <w:rPr>
                <w:b/>
                <w:spacing w:val="-5"/>
                <w:sz w:val="24"/>
              </w:rPr>
              <w:t>被保险人申请理赔时年龄必须在 </w:t>
            </w:r>
            <w:r>
              <w:rPr>
                <w:b/>
                <w:sz w:val="24"/>
              </w:rPr>
              <w:t>3</w:t>
            </w:r>
            <w:r>
              <w:rPr>
                <w:b/>
                <w:spacing w:val="-8"/>
                <w:sz w:val="24"/>
              </w:rPr>
              <w:t> 周岁以上，并且提供理赔当时的视力丧失诊断及检查证据。</w:t>
            </w:r>
          </w:p>
        </w:tc>
      </w:tr>
      <w:tr>
        <w:trPr>
          <w:trHeight w:val="417" w:hRule="atLeast"/>
        </w:trPr>
        <w:tc>
          <w:tcPr>
            <w:tcW w:w="687" w:type="dxa"/>
          </w:tcPr>
          <w:p>
            <w:pPr>
              <w:pStyle w:val="TableParagraph"/>
              <w:spacing w:before="92"/>
              <w:ind w:left="50"/>
              <w:rPr>
                <w:b/>
                <w:sz w:val="21"/>
              </w:rPr>
            </w:pPr>
            <w:r>
              <w:rPr>
                <w:b/>
                <w:sz w:val="21"/>
              </w:rPr>
              <w:t>十五</w:t>
            </w:r>
          </w:p>
        </w:tc>
        <w:tc>
          <w:tcPr>
            <w:tcW w:w="2024" w:type="dxa"/>
          </w:tcPr>
          <w:p>
            <w:pPr>
              <w:pStyle w:val="TableParagraph"/>
              <w:spacing w:before="92"/>
              <w:ind w:left="215"/>
              <w:rPr>
                <w:b/>
                <w:sz w:val="21"/>
              </w:rPr>
            </w:pPr>
            <w:r>
              <w:rPr>
                <w:b/>
                <w:w w:val="95"/>
                <w:sz w:val="21"/>
              </w:rPr>
              <w:t>瘫痪</w:t>
            </w:r>
          </w:p>
        </w:tc>
        <w:tc>
          <w:tcPr>
            <w:tcW w:w="7368" w:type="dxa"/>
          </w:tcPr>
          <w:p>
            <w:pPr>
              <w:pStyle w:val="TableParagraph"/>
              <w:spacing w:before="92"/>
              <w:ind w:left="121"/>
              <w:rPr>
                <w:sz w:val="21"/>
              </w:rPr>
            </w:pPr>
            <w:r>
              <w:rPr>
                <w:sz w:val="21"/>
              </w:rPr>
              <w:t>指因疾病或意外伤害导致两肢或两肢以上肢体机能永久完全丧失。肢体机能永</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pacing w:val="-10"/>
                <w:sz w:val="21"/>
              </w:rPr>
              <w:t>久完全丧失，指疾病确诊 </w:t>
            </w:r>
            <w:r>
              <w:rPr>
                <w:sz w:val="21"/>
              </w:rPr>
              <w:t>180</w:t>
            </w:r>
            <w:r>
              <w:rPr>
                <w:spacing w:val="-13"/>
                <w:sz w:val="21"/>
              </w:rPr>
              <w:t> 天后或意外伤害发生 </w:t>
            </w:r>
            <w:r>
              <w:rPr>
                <w:sz w:val="21"/>
              </w:rPr>
              <w:t>180</w:t>
            </w:r>
            <w:r>
              <w:rPr>
                <w:spacing w:val="-9"/>
                <w:sz w:val="21"/>
              </w:rPr>
              <w:t> 天后，每肢三大关节中</w:t>
            </w:r>
          </w:p>
        </w:tc>
      </w:tr>
      <w:tr>
        <w:trPr>
          <w:trHeight w:val="425"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的两大关节仍然完全僵硬，或不能随意识活动。</w:t>
            </w:r>
          </w:p>
        </w:tc>
      </w:tr>
      <w:tr>
        <w:trPr>
          <w:trHeight w:val="538" w:hRule="atLeast"/>
        </w:trPr>
        <w:tc>
          <w:tcPr>
            <w:tcW w:w="687" w:type="dxa"/>
          </w:tcPr>
          <w:p>
            <w:pPr>
              <w:pStyle w:val="TableParagraph"/>
              <w:spacing w:before="99"/>
              <w:ind w:left="50"/>
              <w:rPr>
                <w:b/>
                <w:sz w:val="21"/>
              </w:rPr>
            </w:pPr>
            <w:r>
              <w:rPr>
                <w:b/>
                <w:sz w:val="21"/>
              </w:rPr>
              <w:t>十六</w:t>
            </w:r>
          </w:p>
        </w:tc>
        <w:tc>
          <w:tcPr>
            <w:tcW w:w="2024" w:type="dxa"/>
          </w:tcPr>
          <w:p>
            <w:pPr>
              <w:pStyle w:val="TableParagraph"/>
              <w:spacing w:before="99"/>
              <w:ind w:left="215"/>
              <w:rPr>
                <w:b/>
                <w:sz w:val="21"/>
              </w:rPr>
            </w:pPr>
            <w:r>
              <w:rPr>
                <w:b/>
                <w:w w:val="95"/>
                <w:sz w:val="21"/>
              </w:rPr>
              <w:t>心脏瓣膜手术</w:t>
            </w:r>
          </w:p>
        </w:tc>
        <w:tc>
          <w:tcPr>
            <w:tcW w:w="7368" w:type="dxa"/>
          </w:tcPr>
          <w:p>
            <w:pPr>
              <w:pStyle w:val="TableParagraph"/>
              <w:spacing w:before="99"/>
              <w:ind w:left="121"/>
              <w:rPr>
                <w:sz w:val="21"/>
              </w:rPr>
            </w:pPr>
            <w:r>
              <w:rPr>
                <w:sz w:val="21"/>
              </w:rPr>
              <w:t>指为治疗心脏瓣膜疾病，实际实施了开胸进行的心脏瓣膜置换或修复的手术。</w:t>
            </w:r>
          </w:p>
        </w:tc>
      </w:tr>
      <w:tr>
        <w:trPr>
          <w:trHeight w:val="425" w:hRule="atLeast"/>
        </w:trPr>
        <w:tc>
          <w:tcPr>
            <w:tcW w:w="687" w:type="dxa"/>
          </w:tcPr>
          <w:p>
            <w:pPr>
              <w:pStyle w:val="TableParagraph"/>
              <w:spacing w:before="99"/>
              <w:ind w:left="50"/>
              <w:rPr>
                <w:b/>
                <w:sz w:val="21"/>
              </w:rPr>
            </w:pPr>
            <w:r>
              <w:rPr>
                <w:b/>
                <w:sz w:val="21"/>
              </w:rPr>
              <w:t>十七</w:t>
            </w:r>
          </w:p>
        </w:tc>
        <w:tc>
          <w:tcPr>
            <w:tcW w:w="2024" w:type="dxa"/>
          </w:tcPr>
          <w:p>
            <w:pPr>
              <w:pStyle w:val="TableParagraph"/>
              <w:spacing w:before="99"/>
              <w:ind w:left="215"/>
              <w:rPr>
                <w:b/>
                <w:sz w:val="21"/>
              </w:rPr>
            </w:pPr>
            <w:r>
              <w:rPr>
                <w:b/>
                <w:w w:val="95"/>
                <w:sz w:val="21"/>
              </w:rPr>
              <w:t>严重阿尔茨海默病</w:t>
            </w:r>
          </w:p>
        </w:tc>
        <w:tc>
          <w:tcPr>
            <w:tcW w:w="7368" w:type="dxa"/>
          </w:tcPr>
          <w:p>
            <w:pPr>
              <w:pStyle w:val="TableParagraph"/>
              <w:spacing w:before="99"/>
              <w:ind w:left="121"/>
              <w:rPr>
                <w:sz w:val="21"/>
              </w:rPr>
            </w:pPr>
            <w:r>
              <w:rPr>
                <w:sz w:val="21"/>
              </w:rPr>
              <w:t>指因大脑进行性、不可逆性改变导致智能严重衰退或丧失，临床表现为明显的</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pacing w:val="-13"/>
                <w:sz w:val="21"/>
              </w:rPr>
              <w:t>认知能力障碍、行为异常和社交能力减退，其日常生活必须持续受到他人监护。</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b/>
                <w:sz w:val="21"/>
              </w:rPr>
            </w:pPr>
            <w:r>
              <w:rPr>
                <w:w w:val="95"/>
                <w:sz w:val="21"/>
              </w:rPr>
              <w:t>等影像学检查证实，且自主生活能力完全丧失，无法独立完成</w:t>
            </w:r>
            <w:r>
              <w:rPr>
                <w:b/>
                <w:w w:val="95"/>
                <w:sz w:val="21"/>
              </w:rPr>
              <w:t>六项基本日常生</w:t>
            </w:r>
          </w:p>
        </w:tc>
      </w:tr>
      <w:tr>
        <w:trPr>
          <w:trHeight w:val="311"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b/>
                <w:w w:val="95"/>
                <w:sz w:val="21"/>
              </w:rPr>
              <w:t>活活动</w:t>
            </w:r>
            <w:r>
              <w:rPr>
                <w:w w:val="95"/>
                <w:sz w:val="21"/>
              </w:rPr>
              <w:t>中的三项或三项以上。</w:t>
            </w:r>
          </w:p>
        </w:tc>
      </w:tr>
      <w:tr>
        <w:trPr>
          <w:trHeight w:val="304"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1" w:lineRule="exact"/>
              <w:ind w:left="121"/>
              <w:rPr>
                <w:sz w:val="21"/>
              </w:rPr>
            </w:pPr>
            <w:r>
              <w:rPr>
                <w:sz w:val="21"/>
              </w:rPr>
              <w:t>神经官能症和精神疾病不在保障范围内。</w:t>
            </w:r>
          </w:p>
        </w:tc>
      </w:tr>
      <w:tr>
        <w:trPr>
          <w:trHeight w:val="283" w:hRule="atLeast"/>
        </w:trPr>
        <w:tc>
          <w:tcPr>
            <w:tcW w:w="687" w:type="dxa"/>
          </w:tcPr>
          <w:p>
            <w:pPr>
              <w:pStyle w:val="TableParagraph"/>
              <w:rPr>
                <w:rFonts w:ascii="Times New Roman"/>
                <w:sz w:val="20"/>
              </w:rPr>
            </w:pPr>
          </w:p>
        </w:tc>
        <w:tc>
          <w:tcPr>
            <w:tcW w:w="2024" w:type="dxa"/>
          </w:tcPr>
          <w:p>
            <w:pPr>
              <w:pStyle w:val="TableParagraph"/>
              <w:rPr>
                <w:rFonts w:ascii="Times New Roman"/>
                <w:sz w:val="20"/>
              </w:rPr>
            </w:pPr>
          </w:p>
        </w:tc>
        <w:tc>
          <w:tcPr>
            <w:tcW w:w="7368" w:type="dxa"/>
          </w:tcPr>
          <w:p>
            <w:pPr>
              <w:pStyle w:val="TableParagraph"/>
              <w:spacing w:line="264" w:lineRule="exact"/>
              <w:ind w:left="121"/>
              <w:rPr>
                <w:b/>
                <w:sz w:val="24"/>
              </w:rPr>
            </w:pPr>
            <w:r>
              <w:rPr>
                <w:b/>
                <w:sz w:val="24"/>
              </w:rPr>
              <w:t>本公司仅承担被保险人年满 18 周岁后的保障责任。</w:t>
            </w:r>
          </w:p>
        </w:tc>
      </w:tr>
    </w:tbl>
    <w:p>
      <w:pPr>
        <w:spacing w:after="0" w:line="264" w:lineRule="exact"/>
        <w:rPr>
          <w:sz w:val="24"/>
        </w:rPr>
        <w:sectPr>
          <w:type w:val="continuous"/>
          <w:pgSz w:w="11910" w:h="16840"/>
          <w:pgMar w:top="520" w:bottom="28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812"/>
        <w:gridCol w:w="7580"/>
      </w:tblGrid>
      <w:tr>
        <w:trPr>
          <w:trHeight w:val="2558" w:hRule="atLeast"/>
        </w:trPr>
        <w:tc>
          <w:tcPr>
            <w:tcW w:w="687" w:type="dxa"/>
          </w:tcPr>
          <w:p>
            <w:pPr>
              <w:pStyle w:val="TableParagraph"/>
              <w:spacing w:line="210" w:lineRule="exact"/>
              <w:ind w:left="50"/>
              <w:rPr>
                <w:b/>
                <w:sz w:val="21"/>
              </w:rPr>
            </w:pPr>
            <w:r>
              <w:rPr>
                <w:b/>
                <w:sz w:val="21"/>
              </w:rPr>
              <w:t>十八</w:t>
            </w:r>
          </w:p>
        </w:tc>
        <w:tc>
          <w:tcPr>
            <w:tcW w:w="1812" w:type="dxa"/>
          </w:tcPr>
          <w:p>
            <w:pPr>
              <w:pStyle w:val="TableParagraph"/>
              <w:spacing w:line="210" w:lineRule="exact"/>
              <w:ind w:left="215"/>
              <w:rPr>
                <w:b/>
                <w:sz w:val="21"/>
              </w:rPr>
            </w:pPr>
            <w:r>
              <w:rPr>
                <w:b/>
                <w:w w:val="95"/>
                <w:sz w:val="21"/>
              </w:rPr>
              <w:t>严重脑损伤</w:t>
            </w:r>
          </w:p>
        </w:tc>
        <w:tc>
          <w:tcPr>
            <w:tcW w:w="7580" w:type="dxa"/>
          </w:tcPr>
          <w:p>
            <w:pPr>
              <w:pStyle w:val="TableParagraph"/>
              <w:spacing w:line="210" w:lineRule="exact"/>
              <w:ind w:left="333"/>
              <w:rPr>
                <w:sz w:val="21"/>
              </w:rPr>
            </w:pPr>
            <w:r>
              <w:rPr>
                <w:sz w:val="21"/>
              </w:rPr>
              <w:t>指因头部遭受机械性外力，引起脑重要部位损伤，导致神经系统永久性的功能</w:t>
            </w:r>
          </w:p>
          <w:p>
            <w:pPr>
              <w:pStyle w:val="TableParagraph"/>
              <w:spacing w:before="37"/>
              <w:ind w:left="333"/>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p>
            <w:pPr>
              <w:pStyle w:val="TableParagraph"/>
              <w:spacing w:line="273" w:lineRule="auto" w:before="37"/>
              <w:ind w:left="333" w:right="47"/>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 </w:t>
            </w:r>
            <w:r>
              <w:rPr>
                <w:spacing w:val="-1"/>
                <w:sz w:val="21"/>
              </w:rPr>
              <w:t>仍遗留下列一种或一种以上障碍：</w:t>
            </w:r>
          </w:p>
          <w:p>
            <w:pPr>
              <w:pStyle w:val="TableParagraph"/>
              <w:spacing w:before="7"/>
              <w:ind w:left="333"/>
              <w:rPr>
                <w:sz w:val="21"/>
              </w:rPr>
            </w:pPr>
            <w:r>
              <w:rPr>
                <w:w w:val="95"/>
                <w:sz w:val="21"/>
              </w:rPr>
              <w:t>（1）一肢或一肢以上</w:t>
            </w:r>
            <w:r>
              <w:rPr>
                <w:b/>
                <w:w w:val="95"/>
                <w:sz w:val="21"/>
              </w:rPr>
              <w:t>肢体机能完全丧失</w:t>
            </w:r>
            <w:r>
              <w:rPr>
                <w:w w:val="95"/>
                <w:sz w:val="21"/>
              </w:rPr>
              <w:t>；</w:t>
            </w:r>
          </w:p>
          <w:p>
            <w:pPr>
              <w:pStyle w:val="TableParagraph"/>
              <w:spacing w:before="36"/>
              <w:ind w:left="333"/>
              <w:rPr>
                <w:sz w:val="21"/>
              </w:rPr>
            </w:pPr>
            <w:r>
              <w:rPr>
                <w:w w:val="95"/>
                <w:sz w:val="21"/>
              </w:rPr>
              <w:t>（2）</w:t>
            </w:r>
            <w:r>
              <w:rPr>
                <w:b/>
                <w:w w:val="95"/>
                <w:sz w:val="21"/>
              </w:rPr>
              <w:t>语言能力或咀嚼吞咽能力完全丧失</w:t>
            </w:r>
            <w:r>
              <w:rPr>
                <w:w w:val="95"/>
                <w:sz w:val="21"/>
              </w:rPr>
              <w:t>；</w:t>
            </w:r>
          </w:p>
          <w:p>
            <w:pPr>
              <w:pStyle w:val="TableParagraph"/>
              <w:spacing w:line="273" w:lineRule="auto" w:before="36"/>
              <w:ind w:left="859" w:right="201" w:hanging="526"/>
              <w:rPr>
                <w:sz w:val="21"/>
              </w:rPr>
            </w:pPr>
            <w:r>
              <w:rPr>
                <w:sz w:val="21"/>
              </w:rPr>
              <w:t>（3）自主生活能力完全丧失，无法独立完成</w:t>
            </w:r>
            <w:r>
              <w:rPr>
                <w:b/>
                <w:sz w:val="21"/>
              </w:rPr>
              <w:t>六项基本日常生活活动</w:t>
            </w:r>
            <w:r>
              <w:rPr>
                <w:sz w:val="21"/>
              </w:rPr>
              <w:t>中的三项或三项以上。</w:t>
            </w:r>
          </w:p>
        </w:tc>
      </w:tr>
      <w:tr>
        <w:trPr>
          <w:trHeight w:val="425" w:hRule="atLeast"/>
        </w:trPr>
        <w:tc>
          <w:tcPr>
            <w:tcW w:w="687" w:type="dxa"/>
          </w:tcPr>
          <w:p>
            <w:pPr>
              <w:pStyle w:val="TableParagraph"/>
              <w:spacing w:before="99"/>
              <w:ind w:left="50"/>
              <w:rPr>
                <w:b/>
                <w:sz w:val="21"/>
              </w:rPr>
            </w:pPr>
            <w:r>
              <w:rPr>
                <w:b/>
                <w:sz w:val="21"/>
              </w:rPr>
              <w:t>十九</w:t>
            </w:r>
          </w:p>
        </w:tc>
        <w:tc>
          <w:tcPr>
            <w:tcW w:w="1812" w:type="dxa"/>
          </w:tcPr>
          <w:p>
            <w:pPr>
              <w:pStyle w:val="TableParagraph"/>
              <w:spacing w:before="99"/>
              <w:ind w:left="214"/>
              <w:rPr>
                <w:b/>
                <w:sz w:val="21"/>
              </w:rPr>
            </w:pPr>
            <w:r>
              <w:rPr>
                <w:b/>
                <w:w w:val="95"/>
                <w:sz w:val="21"/>
              </w:rPr>
              <w:t>严重帕金森病</w:t>
            </w:r>
          </w:p>
        </w:tc>
        <w:tc>
          <w:tcPr>
            <w:tcW w:w="7580" w:type="dxa"/>
          </w:tcPr>
          <w:p>
            <w:pPr>
              <w:pStyle w:val="TableParagraph"/>
              <w:spacing w:before="99"/>
              <w:ind w:left="333"/>
              <w:rPr>
                <w:sz w:val="21"/>
              </w:rPr>
            </w:pPr>
            <w:r>
              <w:rPr>
                <w:sz w:val="21"/>
              </w:rPr>
              <w:t>是一种中枢神经系统的退行性疾病，临床表现为震颤麻痹、共济失调等。须满</w:t>
            </w:r>
          </w:p>
        </w:tc>
      </w:tr>
      <w:tr>
        <w:trPr>
          <w:trHeight w:val="311" w:hRule="atLeast"/>
        </w:trPr>
        <w:tc>
          <w:tcPr>
            <w:tcW w:w="687" w:type="dxa"/>
          </w:tcPr>
          <w:p>
            <w:pPr>
              <w:pStyle w:val="TableParagraph"/>
              <w:rPr>
                <w:rFonts w:ascii="Times New Roman"/>
                <w:sz w:val="20"/>
              </w:rPr>
            </w:pPr>
          </w:p>
        </w:tc>
        <w:tc>
          <w:tcPr>
            <w:tcW w:w="1812" w:type="dxa"/>
          </w:tcPr>
          <w:p>
            <w:pPr>
              <w:pStyle w:val="TableParagraph"/>
              <w:rPr>
                <w:rFonts w:ascii="Times New Roman"/>
                <w:sz w:val="20"/>
              </w:rPr>
            </w:pPr>
          </w:p>
        </w:tc>
        <w:tc>
          <w:tcPr>
            <w:tcW w:w="7580" w:type="dxa"/>
          </w:tcPr>
          <w:p>
            <w:pPr>
              <w:pStyle w:val="TableParagraph"/>
              <w:spacing w:line="261" w:lineRule="exact"/>
              <w:ind w:left="333"/>
              <w:rPr>
                <w:sz w:val="21"/>
              </w:rPr>
            </w:pPr>
            <w:r>
              <w:rPr>
                <w:sz w:val="21"/>
              </w:rPr>
              <w:t>足下列全部条件：</w:t>
            </w:r>
          </w:p>
        </w:tc>
      </w:tr>
      <w:tr>
        <w:trPr>
          <w:trHeight w:val="311" w:hRule="atLeast"/>
        </w:trPr>
        <w:tc>
          <w:tcPr>
            <w:tcW w:w="687" w:type="dxa"/>
          </w:tcPr>
          <w:p>
            <w:pPr>
              <w:pStyle w:val="TableParagraph"/>
              <w:rPr>
                <w:rFonts w:ascii="Times New Roman"/>
                <w:sz w:val="20"/>
              </w:rPr>
            </w:pPr>
          </w:p>
        </w:tc>
        <w:tc>
          <w:tcPr>
            <w:tcW w:w="1812" w:type="dxa"/>
          </w:tcPr>
          <w:p>
            <w:pPr>
              <w:pStyle w:val="TableParagraph"/>
              <w:rPr>
                <w:rFonts w:ascii="Times New Roman"/>
                <w:sz w:val="20"/>
              </w:rPr>
            </w:pPr>
          </w:p>
        </w:tc>
        <w:tc>
          <w:tcPr>
            <w:tcW w:w="7580" w:type="dxa"/>
          </w:tcPr>
          <w:p>
            <w:pPr>
              <w:pStyle w:val="TableParagraph"/>
              <w:spacing w:line="261" w:lineRule="exact"/>
              <w:ind w:left="333"/>
              <w:rPr>
                <w:sz w:val="21"/>
              </w:rPr>
            </w:pPr>
            <w:r>
              <w:rPr>
                <w:sz w:val="21"/>
              </w:rPr>
              <w:t>（1）药物治疗无法控制病情；</w:t>
            </w:r>
          </w:p>
        </w:tc>
      </w:tr>
      <w:tr>
        <w:trPr>
          <w:trHeight w:val="260" w:hRule="atLeast"/>
        </w:trPr>
        <w:tc>
          <w:tcPr>
            <w:tcW w:w="687" w:type="dxa"/>
          </w:tcPr>
          <w:p>
            <w:pPr>
              <w:pStyle w:val="TableParagraph"/>
              <w:rPr>
                <w:rFonts w:ascii="Times New Roman"/>
                <w:sz w:val="18"/>
              </w:rPr>
            </w:pPr>
          </w:p>
        </w:tc>
        <w:tc>
          <w:tcPr>
            <w:tcW w:w="1812" w:type="dxa"/>
          </w:tcPr>
          <w:p>
            <w:pPr>
              <w:pStyle w:val="TableParagraph"/>
              <w:rPr>
                <w:rFonts w:ascii="Times New Roman"/>
                <w:sz w:val="18"/>
              </w:rPr>
            </w:pPr>
          </w:p>
        </w:tc>
        <w:tc>
          <w:tcPr>
            <w:tcW w:w="7580" w:type="dxa"/>
          </w:tcPr>
          <w:p>
            <w:pPr>
              <w:pStyle w:val="TableParagraph"/>
              <w:spacing w:line="241" w:lineRule="exact"/>
              <w:ind w:left="333"/>
              <w:rPr>
                <w:sz w:val="21"/>
              </w:rPr>
            </w:pPr>
            <w:r>
              <w:rPr>
                <w:w w:val="95"/>
                <w:sz w:val="21"/>
              </w:rPr>
              <w:t>（2）自主生活能力完全丧失，无法独立完成</w:t>
            </w:r>
            <w:r>
              <w:rPr>
                <w:b/>
                <w:w w:val="95"/>
                <w:sz w:val="21"/>
              </w:rPr>
              <w:t>六项基本日常生活活动</w:t>
            </w:r>
            <w:r>
              <w:rPr>
                <w:w w:val="95"/>
                <w:sz w:val="21"/>
              </w:rPr>
              <w:t>中的三项</w:t>
            </w:r>
          </w:p>
        </w:tc>
      </w:tr>
    </w:tbl>
    <w:p>
      <w:pPr>
        <w:pStyle w:val="BodyText"/>
        <w:spacing w:before="41"/>
        <w:ind w:left="3469"/>
      </w:pPr>
      <w:r>
        <w:rPr/>
        <w:t>或三项以上。</w:t>
      </w:r>
    </w:p>
    <w:p>
      <w:pPr>
        <w:pStyle w:val="BodyText"/>
        <w:spacing w:before="37"/>
        <w:ind w:left="2943"/>
      </w:pPr>
      <w:r>
        <w:rPr/>
        <w:t>继发性帕金森综合征不在保障范围内。</w:t>
      </w:r>
    </w:p>
    <w:p>
      <w:pPr>
        <w:pStyle w:val="Heading2"/>
        <w:spacing w:before="13"/>
        <w:ind w:left="2944"/>
      </w:pPr>
      <w:r>
        <w:rPr/>
        <w:t>本公司仅承担被保险人年满 18 周岁后的保障责任。</w:t>
      </w:r>
    </w:p>
    <w:p>
      <w:pPr>
        <w:pStyle w:val="BodyText"/>
        <w:rPr>
          <w:b/>
          <w:sz w:val="19"/>
        </w:rPr>
      </w:pPr>
    </w:p>
    <w:p>
      <w:pPr>
        <w:pStyle w:val="BodyText"/>
        <w:tabs>
          <w:tab w:pos="1013" w:val="left" w:leader="none"/>
          <w:tab w:pos="2943" w:val="left" w:leader="none"/>
        </w:tabs>
        <w:spacing w:line="273" w:lineRule="auto"/>
        <w:ind w:left="2943" w:right="164" w:hanging="2783"/>
      </w:pPr>
      <w:r>
        <w:rPr>
          <w:b/>
        </w:rPr>
        <w:t>二十</w:t>
        <w:tab/>
        <w:t>严重Ⅲ度烧伤</w:t>
        <w:tab/>
      </w:r>
      <w:r>
        <w:rPr/>
        <w:t>指烧伤程度为Ⅲ度</w:t>
      </w:r>
      <w:r>
        <w:rPr>
          <w:spacing w:val="-51"/>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2"/>
        <w:rPr>
          <w:sz w:val="15"/>
        </w:rPr>
      </w:pPr>
    </w:p>
    <w:p>
      <w:pPr>
        <w:spacing w:after="0"/>
        <w:rPr>
          <w:sz w:val="15"/>
        </w:rPr>
        <w:sectPr>
          <w:pgSz w:w="11910" w:h="16840"/>
          <w:pgMar w:top="1180" w:bottom="280" w:left="860" w:right="740"/>
        </w:sectPr>
      </w:pPr>
    </w:p>
    <w:p>
      <w:pPr>
        <w:pStyle w:val="Heading3"/>
        <w:tabs>
          <w:tab w:pos="1013" w:val="left" w:leader="none"/>
        </w:tabs>
        <w:spacing w:before="36"/>
        <w:ind w:left="161"/>
      </w:pPr>
      <w:r>
        <w:rPr/>
        <w:t>二十一</w:t>
        <w:tab/>
      </w:r>
      <w:r>
        <w:rPr>
          <w:w w:val="95"/>
        </w:rPr>
        <w:t>严重原发性肺动脉</w:t>
      </w:r>
    </w:p>
    <w:p>
      <w:pPr>
        <w:spacing w:before="37"/>
        <w:ind w:left="995" w:right="1244" w:firstLine="0"/>
        <w:jc w:val="center"/>
        <w:rPr>
          <w:b/>
          <w:sz w:val="21"/>
        </w:rPr>
      </w:pPr>
      <w:r>
        <w:rPr>
          <w:b/>
          <w:sz w:val="21"/>
        </w:rPr>
        <w:t>高压</w:t>
      </w:r>
    </w:p>
    <w:p>
      <w:pPr>
        <w:pStyle w:val="BodyText"/>
        <w:spacing w:line="273" w:lineRule="auto" w:before="36"/>
        <w:ind w:left="161" w:right="267"/>
        <w:jc w:val="both"/>
      </w:pPr>
      <w:r>
        <w:rPr/>
        <w:br w:type="column"/>
      </w:r>
      <w:r>
        <w:rPr>
          <w:spacing w:val="-3"/>
        </w:rPr>
        <w:t>指不明原因的肺动脉压力持续性增高，进行性发展而导致的慢性疾病，已经造成</w:t>
      </w:r>
      <w:r>
        <w:rPr>
          <w:b/>
          <w:spacing w:val="-3"/>
        </w:rPr>
        <w:t>永久不可逆</w:t>
      </w:r>
      <w:r>
        <w:rPr>
          <w:spacing w:val="-8"/>
        </w:rPr>
        <w:t>性的体力活动能力受限，达到美国纽约心脏病学会心功能状态分</w:t>
      </w:r>
      <w:r>
        <w:rPr>
          <w:spacing w:val="-31"/>
        </w:rPr>
        <w:t>级 </w:t>
      </w:r>
      <w:r>
        <w:rPr/>
        <w:t>IV</w:t>
      </w:r>
      <w:r>
        <w:rPr>
          <w:spacing w:val="-11"/>
        </w:rPr>
        <w:t> 级，且静息状态下肺动脉平均压超过 </w:t>
      </w:r>
      <w:r>
        <w:rPr/>
        <w:t>30mmHg。</w:t>
      </w:r>
    </w:p>
    <w:p>
      <w:pPr>
        <w:pStyle w:val="Heading2"/>
        <w:spacing w:line="298" w:lineRule="exact"/>
        <w:ind w:left="161"/>
        <w:jc w:val="both"/>
      </w:pPr>
      <w:r>
        <w:rPr/>
        <w:t>本公司仅承担被保险人年满 18 周岁后的保障责任。</w:t>
      </w:r>
    </w:p>
    <w:p>
      <w:pPr>
        <w:spacing w:after="0" w:line="298" w:lineRule="exact"/>
        <w:jc w:val="both"/>
        <w:sectPr>
          <w:type w:val="continuous"/>
          <w:pgSz w:w="11910" w:h="16840"/>
          <w:pgMar w:top="520" w:bottom="280" w:left="860" w:right="740"/>
          <w:cols w:num="2" w:equalWidth="0">
            <w:col w:w="2701" w:space="82"/>
            <w:col w:w="7527"/>
          </w:cols>
        </w:sectPr>
      </w:pPr>
    </w:p>
    <w:p>
      <w:pPr>
        <w:pStyle w:val="BodyText"/>
        <w:spacing w:before="5"/>
        <w:rPr>
          <w:b/>
          <w:sz w:val="16"/>
        </w:rPr>
      </w:pPr>
    </w:p>
    <w:p>
      <w:pPr>
        <w:spacing w:line="273" w:lineRule="auto" w:before="35"/>
        <w:ind w:left="2943" w:right="218" w:hanging="2783"/>
        <w:jc w:val="both"/>
        <w:rPr>
          <w:sz w:val="21"/>
        </w:rPr>
      </w:pPr>
      <w:r>
        <w:rPr>
          <w:b/>
          <w:sz w:val="21"/>
        </w:rPr>
        <w:t>二十二 严重运动神经元病  </w:t>
      </w: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p>
      <w:pPr>
        <w:pStyle w:val="BodyText"/>
        <w:spacing w:before="11"/>
        <w:rPr>
          <w:sz w:val="17"/>
        </w:rPr>
      </w:pPr>
    </w:p>
    <w:p>
      <w:pPr>
        <w:pStyle w:val="BodyText"/>
        <w:tabs>
          <w:tab w:pos="1013" w:val="left" w:leader="none"/>
          <w:tab w:pos="2943" w:val="left" w:leader="none"/>
        </w:tabs>
        <w:spacing w:line="273" w:lineRule="auto"/>
        <w:ind w:left="2943" w:right="324" w:hanging="2783"/>
      </w:pPr>
      <w:r>
        <w:rPr>
          <w:b/>
        </w:rPr>
        <w:t>二十三</w:t>
        <w:tab/>
        <w:t>语言能力丧失</w:t>
        <w:tab/>
      </w:r>
      <w:r>
        <w:rPr/>
        <w:t>指因疾病或意外伤害导致完全丧失语言能力，经过积极治疗至少</w:t>
      </w:r>
      <w:r>
        <w:rPr>
          <w:spacing w:val="-70"/>
        </w:rPr>
        <w:t> </w:t>
      </w:r>
      <w:r>
        <w:rPr/>
        <w:t>12</w:t>
      </w:r>
      <w:r>
        <w:rPr>
          <w:spacing w:val="-69"/>
        </w:rPr>
        <w:t> </w:t>
      </w:r>
      <w:r>
        <w:rPr/>
        <w:t>个月（声带完全切除不受此时间限制</w:t>
      </w:r>
      <w:r>
        <w:rPr>
          <w:spacing w:val="-105"/>
        </w:rPr>
        <w:t>）</w:t>
      </w:r>
      <w:r>
        <w:rPr/>
        <w:t>，仍</w:t>
      </w:r>
      <w:r>
        <w:rPr>
          <w:spacing w:val="-2"/>
        </w:rPr>
        <w:t>无</w:t>
      </w:r>
      <w:r>
        <w:rPr/>
        <w:t>法通过现有医疗手段恢复。</w:t>
      </w:r>
    </w:p>
    <w:p>
      <w:pPr>
        <w:pStyle w:val="BodyText"/>
        <w:spacing w:before="7"/>
        <w:ind w:left="2943"/>
      </w:pPr>
      <w:r>
        <w:rPr/>
        <w:t>精神心理因素所致的语言能力丧失不在保障范围内。</w:t>
      </w:r>
    </w:p>
    <w:p>
      <w:pPr>
        <w:pStyle w:val="Heading2"/>
        <w:spacing w:line="237" w:lineRule="auto" w:before="15"/>
        <w:ind w:left="2944" w:right="369"/>
      </w:pPr>
      <w:r>
        <w:rPr>
          <w:spacing w:val="-5"/>
        </w:rPr>
        <w:t>被保险人申请理赔时年龄必须在 </w:t>
      </w:r>
      <w:r>
        <w:rPr/>
        <w:t>3</w:t>
      </w:r>
      <w:r>
        <w:rPr>
          <w:spacing w:val="-8"/>
        </w:rPr>
        <w:t> 周岁以上，并且提供理赔当时的</w:t>
      </w:r>
      <w:r>
        <w:rPr>
          <w:spacing w:val="-8"/>
          <w:w w:val="95"/>
        </w:rPr>
        <w:t>语言能力丧失诊断及检查证据。</w:t>
      </w:r>
    </w:p>
    <w:p>
      <w:pPr>
        <w:pStyle w:val="BodyText"/>
        <w:spacing w:before="3"/>
        <w:rPr>
          <w:b/>
          <w:sz w:val="16"/>
        </w:rPr>
      </w:pPr>
    </w:p>
    <w:p>
      <w:pPr>
        <w:spacing w:after="0"/>
        <w:rPr>
          <w:sz w:val="16"/>
        </w:rPr>
        <w:sectPr>
          <w:type w:val="continuous"/>
          <w:pgSz w:w="11910" w:h="16840"/>
          <w:pgMar w:top="520" w:bottom="280" w:left="860" w:right="740"/>
        </w:sectPr>
      </w:pPr>
    </w:p>
    <w:p>
      <w:pPr>
        <w:pStyle w:val="Heading3"/>
        <w:tabs>
          <w:tab w:pos="1013" w:val="left" w:leader="none"/>
        </w:tabs>
        <w:spacing w:before="36"/>
        <w:ind w:left="161"/>
      </w:pPr>
      <w:r>
        <w:rPr/>
        <w:t>二十四</w:t>
        <w:tab/>
      </w:r>
      <w:r>
        <w:rPr>
          <w:w w:val="95"/>
        </w:rPr>
        <w:t>重型再生障碍性贫</w:t>
      </w:r>
    </w:p>
    <w:p>
      <w:pPr>
        <w:spacing w:before="37"/>
        <w:ind w:left="0" w:right="461" w:firstLine="0"/>
        <w:jc w:val="center"/>
        <w:rPr>
          <w:b/>
          <w:sz w:val="21"/>
        </w:rPr>
      </w:pPr>
      <w:r>
        <w:rPr>
          <w:b/>
          <w:w w:val="99"/>
          <w:sz w:val="21"/>
        </w:rPr>
        <w:t>血</w:t>
      </w:r>
    </w:p>
    <w:p>
      <w:pPr>
        <w:pStyle w:val="BodyText"/>
        <w:spacing w:line="273" w:lineRule="auto" w:before="36"/>
        <w:ind w:left="161" w:right="428"/>
      </w:pPr>
      <w:r>
        <w:rPr/>
        <w:br w:type="column"/>
      </w:r>
      <w:r>
        <w:rPr/>
        <w:t>指因骨髓造血功能慢性持续性衰竭导致的贫血、中性粒细胞减少及血小板减少。须满足下列全部条件：</w:t>
      </w:r>
    </w:p>
    <w:p>
      <w:pPr>
        <w:pStyle w:val="BodyText"/>
        <w:spacing w:before="8"/>
        <w:ind w:left="161"/>
      </w:pPr>
      <w:r>
        <w:rPr/>
        <w:t>（1）骨髓穿刺检查或骨髓活检结果支持诊断；</w:t>
      </w:r>
    </w:p>
    <w:p>
      <w:pPr>
        <w:pStyle w:val="BodyText"/>
        <w:spacing w:before="37"/>
        <w:ind w:left="161"/>
      </w:pPr>
      <w:r>
        <w:rPr/>
        <w:t>（2）外周血象须具备以下三项条件：</w:t>
      </w:r>
    </w:p>
    <w:p>
      <w:pPr>
        <w:pStyle w:val="BodyText"/>
        <w:spacing w:before="37"/>
        <w:ind w:left="581"/>
      </w:pPr>
      <w:r>
        <w:rPr/>
        <w:t>① 中性粒细胞绝对值≤0.5×10</w:t>
      </w:r>
      <w:r>
        <w:rPr>
          <w:position w:val="11"/>
          <w:sz w:val="11"/>
        </w:rPr>
        <w:t>9</w:t>
      </w:r>
      <w:r>
        <w:rPr/>
        <w:t>/L；</w:t>
      </w:r>
    </w:p>
    <w:p>
      <w:pPr>
        <w:pStyle w:val="BodyText"/>
        <w:spacing w:before="37"/>
        <w:ind w:left="581"/>
      </w:pPr>
      <w:r>
        <w:rPr/>
        <w:t>② 网织红细胞＜1%；</w:t>
      </w:r>
    </w:p>
    <w:p>
      <w:pPr>
        <w:pStyle w:val="BodyText"/>
        <w:spacing w:before="37"/>
        <w:ind w:left="581"/>
      </w:pPr>
      <w:r>
        <w:rPr/>
        <w:t>③ 血小板绝对值≤20×10</w:t>
      </w:r>
      <w:r>
        <w:rPr>
          <w:position w:val="11"/>
          <w:sz w:val="11"/>
        </w:rPr>
        <w:t>9</w:t>
      </w:r>
      <w:r>
        <w:rPr/>
        <w:t>/L。</w:t>
      </w:r>
    </w:p>
    <w:p>
      <w:pPr>
        <w:spacing w:after="0"/>
        <w:sectPr>
          <w:type w:val="continuous"/>
          <w:pgSz w:w="11910" w:h="16840"/>
          <w:pgMar w:top="520" w:bottom="280" w:left="860" w:right="740"/>
          <w:cols w:num="2" w:equalWidth="0">
            <w:col w:w="2701" w:space="82"/>
            <w:col w:w="7527"/>
          </w:cols>
        </w:sectPr>
      </w:pPr>
    </w:p>
    <w:p>
      <w:pPr>
        <w:pStyle w:val="BodyText"/>
        <w:spacing w:before="6"/>
        <w:rPr>
          <w:sz w:val="17"/>
        </w:rPr>
      </w:pPr>
    </w:p>
    <w:p>
      <w:pPr>
        <w:pStyle w:val="BodyText"/>
        <w:spacing w:line="273" w:lineRule="auto" w:before="35"/>
        <w:ind w:left="2944" w:right="268" w:hanging="2783"/>
        <w:jc w:val="both"/>
      </w:pPr>
      <w:r>
        <w:rPr>
          <w:b/>
          <w:spacing w:val="0"/>
        </w:rPr>
        <w:t>二十五  主动脉手术       </w:t>
      </w:r>
      <w:r>
        <w:rPr>
          <w:spacing w:val="-4"/>
        </w:rPr>
        <w:t>指为治疗主动脉疾病，实际实施了开胸或开腹进行的切除、置换、修补病损主</w:t>
      </w:r>
      <w:r>
        <w:rPr>
          <w:spacing w:val="-8"/>
        </w:rPr>
        <w:t>动脉血管的手术。主动脉指胸主动脉和腹主动脉，不包括胸主动脉和腹主动脉</w:t>
      </w:r>
      <w:r>
        <w:rPr>
          <w:spacing w:val="-1"/>
        </w:rPr>
        <w:t>的分支血管。</w:t>
      </w:r>
    </w:p>
    <w:p>
      <w:pPr>
        <w:pStyle w:val="BodyText"/>
        <w:spacing w:before="7"/>
        <w:ind w:left="2943"/>
      </w:pPr>
      <w:r>
        <w:rPr/>
        <w:t>动脉内血管成形术不在保障范围内。</w:t>
      </w:r>
    </w:p>
    <w:p>
      <w:pPr>
        <w:spacing w:after="0"/>
        <w:sectPr>
          <w:type w:val="continuous"/>
          <w:pgSz w:w="11910" w:h="16840"/>
          <w:pgMar w:top="520" w:bottom="280" w:left="860" w:right="740"/>
        </w:sectPr>
      </w:pPr>
    </w:p>
    <w:p>
      <w:pPr>
        <w:pStyle w:val="Heading3"/>
        <w:spacing w:line="273" w:lineRule="auto" w:before="6"/>
        <w:ind w:left="2883" w:right="236"/>
      </w:pPr>
      <w:r>
        <w:rPr>
          <w:spacing w:val="-20"/>
        </w:rPr>
        <w:t>以上 </w:t>
      </w:r>
      <w:r>
        <w:rPr/>
        <w:t>25</w:t>
      </w:r>
      <w:r>
        <w:rPr>
          <w:spacing w:val="-8"/>
        </w:rPr>
        <w:t> 种重大疾病的定义采用中国保险行业协会制定的《重大疾病保险的疾</w:t>
      </w:r>
      <w:r>
        <w:rPr>
          <w:spacing w:val="-19"/>
          <w:w w:val="95"/>
        </w:rPr>
        <w:t>病定义使用规范》。</w:t>
      </w:r>
    </w:p>
    <w:p>
      <w:pPr>
        <w:pStyle w:val="BodyText"/>
        <w:spacing w:before="12"/>
        <w:rPr>
          <w:b/>
          <w:sz w:val="17"/>
        </w:rPr>
      </w:pPr>
    </w:p>
    <w:p>
      <w:pPr>
        <w:tabs>
          <w:tab w:pos="953" w:val="left" w:leader="none"/>
          <w:tab w:pos="2883" w:val="left" w:leader="none"/>
        </w:tabs>
        <w:spacing w:before="0"/>
        <w:ind w:left="101" w:right="0" w:firstLine="0"/>
        <w:jc w:val="left"/>
        <w:rPr>
          <w:sz w:val="21"/>
        </w:rPr>
      </w:pPr>
      <w:r>
        <w:rPr>
          <w:b/>
          <w:sz w:val="21"/>
        </w:rPr>
        <w:t>二十六</w:t>
        <w:tab/>
        <w:t>慢性呼吸功能衰竭</w:t>
        <w:tab/>
      </w:r>
      <w:r>
        <w:rPr>
          <w:sz w:val="21"/>
        </w:rPr>
        <w:t>是指末期肺部疾病包括间质肺部疾病所引起的慢性呼吸功能衰竭</w:t>
      </w:r>
      <w:r>
        <w:rPr>
          <w:spacing w:val="-51"/>
          <w:sz w:val="21"/>
        </w:rPr>
        <w:t>。</w:t>
      </w:r>
      <w:r>
        <w:rPr>
          <w:sz w:val="21"/>
        </w:rPr>
        <w:t>肺功能测验</w:t>
      </w:r>
    </w:p>
    <w:p>
      <w:pPr>
        <w:pStyle w:val="BodyText"/>
        <w:spacing w:line="273" w:lineRule="auto" w:before="37"/>
        <w:ind w:left="2883" w:right="208"/>
        <w:jc w:val="both"/>
      </w:pPr>
      <w:r>
        <w:rPr>
          <w:spacing w:val="-4"/>
        </w:rPr>
        <w:t>FEV1（</w:t>
      </w:r>
      <w:r>
        <w:rPr/>
        <w:t>第一秒钟末用力呼气量</w:t>
      </w:r>
      <w:r>
        <w:rPr>
          <w:spacing w:val="-17"/>
        </w:rPr>
        <w:t>）</w:t>
      </w:r>
      <w:r>
        <w:rPr>
          <w:spacing w:val="-18"/>
        </w:rPr>
        <w:t>少于 </w:t>
      </w:r>
      <w:r>
        <w:rPr/>
        <w:t>1</w:t>
      </w:r>
      <w:r>
        <w:rPr>
          <w:spacing w:val="-9"/>
        </w:rPr>
        <w:t> 公升且需要持久大量的氧气治疗，动脉</w:t>
      </w:r>
      <w:r>
        <w:rPr>
          <w:spacing w:val="-11"/>
        </w:rPr>
        <w:t>血气分析结果符合重度呼吸衰竭诊断标准，静止时也感到呼吸困难。诊断必须</w:t>
      </w:r>
      <w:r>
        <w:rPr>
          <w:spacing w:val="-11"/>
          <w:w w:val="95"/>
        </w:rPr>
        <w:t>由呼吸</w:t>
      </w:r>
      <w:r>
        <w:rPr>
          <w:b/>
          <w:spacing w:val="-11"/>
          <w:w w:val="95"/>
        </w:rPr>
        <w:t>专科医生</w:t>
      </w:r>
      <w:r>
        <w:rPr>
          <w:spacing w:val="-11"/>
          <w:w w:val="95"/>
        </w:rPr>
        <w:t>确认。</w:t>
      </w:r>
    </w:p>
    <w:p>
      <w:pPr>
        <w:pStyle w:val="Heading2"/>
        <w:spacing w:line="298" w:lineRule="exact"/>
        <w:ind w:left="2884"/>
      </w:pPr>
      <w:r>
        <w:rPr/>
        <w:t>本公司仅承担被保险人年满 18 周岁后的保障责任。</w:t>
      </w:r>
    </w:p>
    <w:p>
      <w:pPr>
        <w:pStyle w:val="BodyText"/>
        <w:rPr>
          <w:b/>
          <w:sz w:val="19"/>
        </w:rPr>
      </w:pPr>
    </w:p>
    <w:p>
      <w:pPr>
        <w:pStyle w:val="BodyText"/>
        <w:spacing w:line="273" w:lineRule="auto"/>
        <w:ind w:left="2883" w:right="206" w:hanging="2783"/>
        <w:jc w:val="both"/>
      </w:pPr>
      <w:r>
        <w:rPr>
          <w:b/>
          <w:spacing w:val="1"/>
        </w:rPr>
        <w:t>二十七  严重多发性硬化   </w:t>
      </w:r>
      <w:r>
        <w:rPr>
          <w:spacing w:val="-3"/>
        </w:rPr>
        <w:t>多发性硬化为中枢神经系统白质多灶性脱髓鞘病变，病变有时累及灰质。多发</w:t>
      </w:r>
      <w:r>
        <w:rPr>
          <w:spacing w:val="-8"/>
        </w:rPr>
        <w:t>性硬化必须明确诊断，并且已经造成神经系统功能损害导致被保险人</w:t>
      </w:r>
      <w:r>
        <w:rPr>
          <w:b/>
        </w:rPr>
        <w:t>永久不可逆</w:t>
      </w:r>
      <w:r>
        <w:rPr/>
        <w:t>性的无法独立完成下列基本日常生活活动：</w:t>
      </w:r>
    </w:p>
    <w:p>
      <w:pPr>
        <w:pStyle w:val="BodyText"/>
        <w:spacing w:before="7"/>
        <w:ind w:left="2883"/>
      </w:pPr>
      <w:r>
        <w:rPr/>
        <w:t>（1）移动：自己从一个房间移动到另一个房间；或者</w:t>
      </w:r>
    </w:p>
    <w:p>
      <w:pPr>
        <w:pStyle w:val="BodyText"/>
        <w:spacing w:before="36"/>
        <w:ind w:left="2883"/>
      </w:pPr>
      <w:r>
        <w:rPr/>
        <w:t>（2）进食：自己从已准备好的碗或碟中取食物放入口中。</w:t>
      </w:r>
    </w:p>
    <w:p>
      <w:pPr>
        <w:pStyle w:val="Heading2"/>
        <w:spacing w:before="12"/>
        <w:ind w:left="2884"/>
      </w:pPr>
      <w:r>
        <w:rPr/>
        <w:t>本公司仅承担被保险人年满 18 周岁后的保障责任。</w:t>
      </w:r>
    </w:p>
    <w:p>
      <w:pPr>
        <w:pStyle w:val="BodyText"/>
        <w:spacing w:before="1"/>
        <w:rPr>
          <w:b/>
          <w:sz w:val="19"/>
        </w:rPr>
      </w:pPr>
    </w:p>
    <w:p>
      <w:pPr>
        <w:tabs>
          <w:tab w:pos="953" w:val="left" w:leader="none"/>
          <w:tab w:pos="2883" w:val="left" w:leader="none"/>
        </w:tabs>
        <w:spacing w:line="266" w:lineRule="auto" w:before="0"/>
        <w:ind w:left="2883" w:right="157" w:hanging="2783"/>
        <w:jc w:val="left"/>
        <w:rPr>
          <w:b/>
          <w:sz w:val="24"/>
        </w:rPr>
      </w:pPr>
      <w:r>
        <w:rPr>
          <w:b/>
          <w:sz w:val="21"/>
        </w:rPr>
        <w:t>二十八</w:t>
        <w:tab/>
        <w:t>严重冠心病</w:t>
        <w:tab/>
      </w:r>
      <w:r>
        <w:rPr>
          <w:w w:val="95"/>
          <w:sz w:val="21"/>
        </w:rPr>
        <w:t>指经心脏科</w:t>
      </w:r>
      <w:r>
        <w:rPr>
          <w:b/>
          <w:w w:val="95"/>
          <w:sz w:val="21"/>
        </w:rPr>
        <w:t>专科医生</w:t>
      </w:r>
      <w:r>
        <w:rPr>
          <w:w w:val="95"/>
          <w:sz w:val="21"/>
        </w:rPr>
        <w:t>根据冠状动脉造影检查结果确诊的三支主要血</w:t>
      </w:r>
      <w:r>
        <w:rPr>
          <w:spacing w:val="-53"/>
          <w:w w:val="95"/>
          <w:sz w:val="21"/>
        </w:rPr>
        <w:t>管</w:t>
      </w:r>
      <w:r>
        <w:rPr>
          <w:w w:val="95"/>
          <w:sz w:val="21"/>
        </w:rPr>
        <w:t>（左冠状    </w:t>
      </w:r>
      <w:r>
        <w:rPr>
          <w:sz w:val="21"/>
        </w:rPr>
        <w:t>动脉主干和右冠状动脉</w:t>
      </w:r>
      <w:r>
        <w:rPr>
          <w:spacing w:val="-65"/>
          <w:sz w:val="21"/>
        </w:rPr>
        <w:t>，</w:t>
      </w:r>
      <w:r>
        <w:rPr>
          <w:sz w:val="21"/>
        </w:rPr>
        <w:t>或前降支</w:t>
      </w:r>
      <w:r>
        <w:rPr>
          <w:spacing w:val="-65"/>
          <w:sz w:val="21"/>
        </w:rPr>
        <w:t>、</w:t>
      </w:r>
      <w:r>
        <w:rPr>
          <w:sz w:val="21"/>
        </w:rPr>
        <w:t>左旋支和右冠状动脉</w:t>
      </w:r>
      <w:r>
        <w:rPr>
          <w:spacing w:val="-65"/>
          <w:sz w:val="21"/>
        </w:rPr>
        <w:t>）</w:t>
      </w:r>
      <w:r>
        <w:rPr>
          <w:sz w:val="21"/>
        </w:rPr>
        <w:t>严重狭窄性病</w:t>
      </w:r>
      <w:r>
        <w:rPr>
          <w:spacing w:val="-65"/>
          <w:sz w:val="21"/>
        </w:rPr>
        <w:t>变</w:t>
      </w:r>
      <w:r>
        <w:rPr>
          <w:sz w:val="21"/>
        </w:rPr>
        <w:t>（至少一支血管管腔直径减少</w:t>
      </w:r>
      <w:r>
        <w:rPr>
          <w:spacing w:val="-55"/>
          <w:sz w:val="21"/>
        </w:rPr>
        <w:t> </w:t>
      </w:r>
      <w:r>
        <w:rPr>
          <w:sz w:val="21"/>
        </w:rPr>
        <w:t>75％以上和其他两支血管管腔直径减少</w:t>
      </w:r>
      <w:r>
        <w:rPr>
          <w:spacing w:val="-55"/>
          <w:sz w:val="21"/>
        </w:rPr>
        <w:t> </w:t>
      </w:r>
      <w:r>
        <w:rPr>
          <w:sz w:val="21"/>
        </w:rPr>
        <w:t>60％以上</w:t>
      </w:r>
      <w:r>
        <w:rPr>
          <w:spacing w:val="-105"/>
          <w:sz w:val="21"/>
        </w:rPr>
        <w:t>）</w:t>
      </w:r>
      <w:r>
        <w:rPr>
          <w:sz w:val="21"/>
        </w:rPr>
        <w:t>。前降支、左旋支及右冠状动脉的分支血管的狭窄不作为本保障的衡量指标。</w:t>
      </w:r>
      <w:r>
        <w:rPr>
          <w:b/>
          <w:sz w:val="24"/>
        </w:rPr>
        <w:t>本公司仅承担被保险人年满</w:t>
      </w:r>
      <w:r>
        <w:rPr>
          <w:b/>
          <w:spacing w:val="-71"/>
          <w:sz w:val="24"/>
        </w:rPr>
        <w:t> </w:t>
      </w:r>
      <w:r>
        <w:rPr>
          <w:b/>
          <w:sz w:val="24"/>
        </w:rPr>
        <w:t>18</w:t>
      </w:r>
      <w:r>
        <w:rPr>
          <w:b/>
          <w:spacing w:val="-71"/>
          <w:sz w:val="24"/>
        </w:rPr>
        <w:t> </w:t>
      </w:r>
      <w:r>
        <w:rPr>
          <w:b/>
          <w:sz w:val="24"/>
        </w:rPr>
        <w:t>周岁后的保障责任。</w:t>
      </w:r>
    </w:p>
    <w:p>
      <w:pPr>
        <w:pStyle w:val="BodyText"/>
        <w:spacing w:before="12"/>
        <w:rPr>
          <w:b/>
          <w:sz w:val="16"/>
        </w:rPr>
      </w:pPr>
    </w:p>
    <w:p>
      <w:pPr>
        <w:spacing w:line="273" w:lineRule="auto" w:before="1"/>
        <w:ind w:left="2883" w:right="208" w:hanging="2783"/>
        <w:jc w:val="both"/>
        <w:rPr>
          <w:sz w:val="21"/>
        </w:rPr>
      </w:pPr>
      <w:r>
        <w:rPr>
          <w:b/>
          <w:spacing w:val="0"/>
          <w:sz w:val="21"/>
        </w:rPr>
        <w:t>二十九  严重心肌病       </w:t>
      </w:r>
      <w:r>
        <w:rPr>
          <w:sz w:val="21"/>
        </w:rPr>
        <w:t>指被保险人因心肌病导致慢性心功能损害造成</w:t>
      </w:r>
      <w:r>
        <w:rPr>
          <w:b/>
          <w:sz w:val="21"/>
        </w:rPr>
        <w:t>永久不可逆</w:t>
      </w:r>
      <w:r>
        <w:rPr>
          <w:spacing w:val="-7"/>
          <w:sz w:val="21"/>
        </w:rPr>
        <w:t>性的心功能衰竭。心</w:t>
      </w:r>
      <w:r>
        <w:rPr>
          <w:spacing w:val="-9"/>
          <w:sz w:val="21"/>
        </w:rPr>
        <w:t>功能衰竭程度达到纽约心脏病学会的心功能分级标准之心功能 </w:t>
      </w:r>
      <w:r>
        <w:rPr>
          <w:sz w:val="21"/>
        </w:rPr>
        <w:t>IV</w:t>
      </w:r>
      <w:r>
        <w:rPr>
          <w:spacing w:val="-11"/>
          <w:sz w:val="21"/>
        </w:rPr>
        <w:t> 级。被保险</w:t>
      </w:r>
      <w:r>
        <w:rPr>
          <w:spacing w:val="-1"/>
          <w:w w:val="95"/>
          <w:sz w:val="21"/>
        </w:rPr>
        <w:t>人</w:t>
      </w:r>
      <w:r>
        <w:rPr>
          <w:b/>
          <w:spacing w:val="-1"/>
          <w:w w:val="95"/>
          <w:sz w:val="21"/>
        </w:rPr>
        <w:t>永久不可逆</w:t>
      </w:r>
      <w:r>
        <w:rPr>
          <w:spacing w:val="-1"/>
          <w:w w:val="95"/>
          <w:sz w:val="21"/>
        </w:rPr>
        <w:t>性的体力活动能力受限，不能从事任何体力活动。</w:t>
      </w:r>
    </w:p>
    <w:p>
      <w:pPr>
        <w:pStyle w:val="BodyText"/>
        <w:spacing w:before="3"/>
        <w:rPr>
          <w:sz w:val="15"/>
        </w:rPr>
      </w:pPr>
    </w:p>
    <w:p>
      <w:pPr>
        <w:spacing w:after="0"/>
        <w:rPr>
          <w:sz w:val="15"/>
        </w:rPr>
        <w:sectPr>
          <w:pgSz w:w="11910" w:h="16840"/>
          <w:pgMar w:top="1340" w:bottom="280" w:left="920" w:right="800"/>
        </w:sectPr>
      </w:pPr>
    </w:p>
    <w:p>
      <w:pPr>
        <w:pStyle w:val="Heading3"/>
        <w:tabs>
          <w:tab w:pos="953" w:val="left" w:leader="none"/>
        </w:tabs>
        <w:ind w:left="101"/>
      </w:pPr>
      <w:r>
        <w:rPr/>
        <w:t>三十</w:t>
        <w:tab/>
      </w:r>
      <w:r>
        <w:rPr>
          <w:w w:val="95"/>
        </w:rPr>
        <w:t>系统性红斑狼疮－</w:t>
      </w:r>
    </w:p>
    <w:p>
      <w:pPr>
        <w:spacing w:line="273" w:lineRule="auto" w:before="36"/>
        <w:ind w:left="953" w:right="48" w:firstLine="0"/>
        <w:jc w:val="left"/>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p>
      <w:pPr>
        <w:pStyle w:val="BodyText"/>
        <w:spacing w:line="273" w:lineRule="auto" w:before="35"/>
        <w:ind w:left="101" w:right="14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1" w:right="104"/>
      </w:pPr>
      <w:r>
        <w:rPr/>
        <w:t>本保单所指的系统性红斑狼疮仅限于累及肾脏（</w:t>
      </w:r>
      <w:r>
        <w:rPr>
          <w:spacing w:val="-5"/>
        </w:rPr>
        <w:t>经肾脏活检确认的，符合 </w:t>
      </w:r>
      <w:r>
        <w:rPr/>
        <w:t>WHO </w:t>
      </w:r>
      <w:r>
        <w:rPr>
          <w:spacing w:val="-8"/>
        </w:rPr>
        <w:t>诊断标准定义 </w:t>
      </w:r>
      <w:r>
        <w:rPr/>
        <w:t>III</w:t>
      </w:r>
      <w:r>
        <w:rPr>
          <w:spacing w:val="-2"/>
        </w:rPr>
        <w:t> 型或</w:t>
      </w:r>
      <w:r>
        <w:rPr/>
        <w:t>III</w:t>
      </w:r>
      <w:r>
        <w:rPr>
          <w:spacing w:val="-8"/>
        </w:rPr>
        <w:t> 型以上狼疮性肾炎</w:t>
      </w:r>
      <w:r>
        <w:rPr>
          <w:spacing w:val="-26"/>
        </w:rPr>
        <w:t>）</w:t>
      </w:r>
      <w:r>
        <w:rPr>
          <w:spacing w:val="-3"/>
        </w:rPr>
        <w:t>的系统性红斑狼疮。其他类型</w:t>
      </w:r>
      <w:r>
        <w:rPr>
          <w:spacing w:val="-14"/>
        </w:rPr>
        <w:t>的红斑性狼疮，如盘状狼疮、仅累及血液及关节的狼疮不在本保单保障范围內。</w:t>
      </w:r>
      <w:r>
        <w:rPr>
          <w:spacing w:val="-14"/>
          <w:w w:val="95"/>
        </w:rPr>
        <w:t>本病必须由免疫和风湿科</w:t>
      </w:r>
      <w:r>
        <w:rPr>
          <w:b/>
          <w:spacing w:val="-14"/>
          <w:w w:val="95"/>
        </w:rPr>
        <w:t>专科医生</w:t>
      </w:r>
      <w:r>
        <w:rPr>
          <w:spacing w:val="-14"/>
          <w:w w:val="95"/>
        </w:rPr>
        <w:t>确诊。</w:t>
      </w:r>
    </w:p>
    <w:p>
      <w:pPr>
        <w:pStyle w:val="BodyText"/>
        <w:spacing w:before="7"/>
        <w:ind w:left="101"/>
      </w:pPr>
      <w:r>
        <w:rPr/>
        <w:t>世界卫生组织（WHO） 狼疮型肾炎分型：</w:t>
      </w:r>
    </w:p>
    <w:p>
      <w:pPr>
        <w:pStyle w:val="ListParagraph"/>
        <w:numPr>
          <w:ilvl w:val="0"/>
          <w:numId w:val="15"/>
        </w:numPr>
        <w:tabs>
          <w:tab w:pos="260" w:val="left" w:leader="none"/>
          <w:tab w:pos="2201" w:val="left" w:leader="none"/>
        </w:tabs>
        <w:spacing w:line="240" w:lineRule="auto" w:before="36" w:after="0"/>
        <w:ind w:left="259" w:right="0" w:hanging="158"/>
        <w:jc w:val="left"/>
        <w:rPr>
          <w:sz w:val="21"/>
        </w:rPr>
      </w:pPr>
      <w:r>
        <w:rPr>
          <w:sz w:val="21"/>
        </w:rPr>
        <w:t>型</w:t>
        <w:tab/>
      </w:r>
      <w:r>
        <w:rPr>
          <w:spacing w:val="-1"/>
          <w:sz w:val="21"/>
        </w:rPr>
        <w:t>微小病型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系膜</w:t>
      </w:r>
      <w:r>
        <w:rPr>
          <w:sz w:val="21"/>
        </w:rPr>
        <w:t>病变型</w:t>
      </w:r>
    </w:p>
    <w:p>
      <w:pPr>
        <w:pStyle w:val="ListParagraph"/>
        <w:numPr>
          <w:ilvl w:val="0"/>
          <w:numId w:val="15"/>
        </w:numPr>
        <w:tabs>
          <w:tab w:pos="470" w:val="left" w:leader="none"/>
          <w:tab w:pos="2201" w:val="left" w:leader="none"/>
        </w:tabs>
        <w:spacing w:line="240" w:lineRule="auto" w:before="36" w:after="0"/>
        <w:ind w:left="469" w:right="0" w:hanging="368"/>
        <w:jc w:val="left"/>
        <w:rPr>
          <w:sz w:val="21"/>
        </w:rPr>
      </w:pPr>
      <w:r>
        <w:rPr>
          <w:sz w:val="21"/>
        </w:rPr>
        <w:t>型</w:t>
        <w:tab/>
      </w:r>
      <w:r>
        <w:rPr>
          <w:spacing w:val="-1"/>
          <w:sz w:val="21"/>
        </w:rPr>
        <w:t>局灶</w:t>
      </w:r>
      <w:r>
        <w:rPr>
          <w:sz w:val="21"/>
        </w:rPr>
        <w:t>及节段增生型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弥漫</w:t>
      </w:r>
      <w:r>
        <w:rPr>
          <w:sz w:val="21"/>
        </w:rPr>
        <w:t>增生型</w:t>
      </w:r>
    </w:p>
    <w:p>
      <w:pPr>
        <w:pStyle w:val="ListParagraph"/>
        <w:numPr>
          <w:ilvl w:val="0"/>
          <w:numId w:val="15"/>
        </w:numPr>
        <w:tabs>
          <w:tab w:pos="260" w:val="left" w:leader="none"/>
          <w:tab w:pos="2202" w:val="left" w:leader="none"/>
        </w:tabs>
        <w:spacing w:line="240" w:lineRule="auto" w:before="36" w:after="0"/>
        <w:ind w:left="259" w:right="0" w:hanging="158"/>
        <w:jc w:val="left"/>
        <w:rPr>
          <w:sz w:val="21"/>
        </w:rPr>
      </w:pPr>
      <w:r>
        <w:rPr>
          <w:sz w:val="21"/>
        </w:rPr>
        <w:t>型</w:t>
        <w:tab/>
      </w:r>
      <w:r>
        <w:rPr>
          <w:spacing w:val="-1"/>
          <w:sz w:val="21"/>
        </w:rPr>
        <w:t>膜型</w:t>
      </w:r>
    </w:p>
    <w:p>
      <w:pPr>
        <w:pStyle w:val="ListParagraph"/>
        <w:numPr>
          <w:ilvl w:val="0"/>
          <w:numId w:val="15"/>
        </w:numPr>
        <w:tabs>
          <w:tab w:pos="365" w:val="left" w:leader="none"/>
          <w:tab w:pos="2201" w:val="left" w:leader="none"/>
        </w:tabs>
        <w:spacing w:line="240" w:lineRule="auto" w:before="36" w:after="0"/>
        <w:ind w:left="364" w:right="0" w:hanging="263"/>
        <w:jc w:val="left"/>
        <w:rPr>
          <w:sz w:val="21"/>
        </w:rPr>
      </w:pPr>
      <w:r>
        <w:rPr>
          <w:sz w:val="21"/>
        </w:rPr>
        <w:t>型</w:t>
        <w:tab/>
      </w:r>
      <w:r>
        <w:rPr>
          <w:spacing w:val="-1"/>
          <w:sz w:val="21"/>
        </w:rPr>
        <w:t>肾小</w:t>
      </w:r>
      <w:r>
        <w:rPr>
          <w:sz w:val="21"/>
        </w:rPr>
        <w:t>球硬化型</w:t>
      </w:r>
    </w:p>
    <w:p>
      <w:pPr>
        <w:pStyle w:val="Heading2"/>
        <w:spacing w:before="12"/>
        <w:ind w:left="101"/>
      </w:pPr>
      <w:r>
        <w:rPr/>
        <w:t>本公司仅承担被保险人年满 18 周岁后的保障责任。</w:t>
      </w:r>
    </w:p>
    <w:p>
      <w:pPr>
        <w:spacing w:after="0"/>
        <w:sectPr>
          <w:type w:val="continuous"/>
          <w:pgSz w:w="11910" w:h="16840"/>
          <w:pgMar w:top="520" w:bottom="280" w:left="920" w:right="800"/>
          <w:cols w:num="2" w:equalWidth="0">
            <w:col w:w="2641" w:space="142"/>
            <w:col w:w="7407"/>
          </w:cols>
        </w:sectPr>
      </w:pPr>
    </w:p>
    <w:p>
      <w:pPr>
        <w:pStyle w:val="BodyText"/>
        <w:spacing w:before="3"/>
        <w:rPr>
          <w:b/>
          <w:sz w:val="16"/>
        </w:rPr>
      </w:pPr>
    </w:p>
    <w:p>
      <w:pPr>
        <w:spacing w:after="0"/>
        <w:rPr>
          <w:sz w:val="16"/>
        </w:rPr>
        <w:sectPr>
          <w:type w:val="continuous"/>
          <w:pgSz w:w="11910" w:h="16840"/>
          <w:pgMar w:top="520" w:bottom="280" w:left="920" w:right="800"/>
        </w:sectPr>
      </w:pPr>
    </w:p>
    <w:p>
      <w:pPr>
        <w:pStyle w:val="Heading3"/>
        <w:tabs>
          <w:tab w:pos="953" w:val="left" w:leader="none"/>
        </w:tabs>
        <w:spacing w:before="36"/>
        <w:ind w:left="101"/>
      </w:pPr>
      <w:r>
        <w:rPr/>
        <w:t>三十一</w:t>
        <w:tab/>
      </w:r>
      <w:r>
        <w:rPr>
          <w:w w:val="95"/>
        </w:rPr>
        <w:t>经输血导致的人类</w:t>
      </w:r>
    </w:p>
    <w:p>
      <w:pPr>
        <w:spacing w:before="37"/>
        <w:ind w:left="953" w:right="0" w:firstLine="0"/>
        <w:jc w:val="left"/>
        <w:rPr>
          <w:b/>
          <w:sz w:val="21"/>
        </w:rPr>
      </w:pPr>
      <w:r>
        <w:rPr>
          <w:b/>
          <w:w w:val="95"/>
          <w:sz w:val="21"/>
        </w:rPr>
        <w:t>免疫缺陷病毒感染</w:t>
      </w:r>
    </w:p>
    <w:p>
      <w:pPr>
        <w:pStyle w:val="BodyText"/>
        <w:spacing w:before="36"/>
        <w:ind w:left="101"/>
      </w:pPr>
      <w:r>
        <w:rPr/>
        <w:br w:type="column"/>
      </w:r>
      <w:r>
        <w:rPr/>
        <w:t>被保险人感染上人类免疫缺陷病毒（HIV）并且满足下列全部条件：</w:t>
      </w:r>
    </w:p>
    <w:p>
      <w:pPr>
        <w:pStyle w:val="BodyText"/>
        <w:spacing w:line="273" w:lineRule="auto" w:before="37"/>
        <w:ind w:left="605" w:right="263" w:hanging="504"/>
      </w:pPr>
      <w:r>
        <w:rPr/>
        <w:t>（1）造成感染的输血事件发生在本附加合同生效日或最后复效日（以较迟者为准）之后；</w:t>
      </w:r>
    </w:p>
    <w:p>
      <w:pPr>
        <w:pStyle w:val="BodyText"/>
        <w:spacing w:line="273" w:lineRule="auto" w:before="7"/>
        <w:ind w:left="605" w:right="261" w:hanging="504"/>
      </w:pPr>
      <w:r>
        <w:rPr/>
        <w:t>（2）提供输血治疗的输血中心或</w:t>
      </w:r>
      <w:r>
        <w:rPr>
          <w:b/>
        </w:rPr>
        <w:t>医院</w:t>
      </w:r>
      <w:r>
        <w:rPr/>
        <w:t>出具该项输血感染属医疗责任事故的报告，或者法院终审裁定为医疗责任并且不准上诉；</w:t>
      </w:r>
    </w:p>
    <w:p>
      <w:pPr>
        <w:pStyle w:val="BodyText"/>
        <w:spacing w:before="7"/>
        <w:ind w:left="101"/>
      </w:pPr>
      <w:r>
        <w:rPr>
          <w:w w:val="95"/>
        </w:rPr>
        <w:t>（3）提供输血治疗的输血中心或</w:t>
      </w:r>
      <w:r>
        <w:rPr>
          <w:b/>
          <w:w w:val="95"/>
        </w:rPr>
        <w:t>医院</w:t>
      </w:r>
      <w:r>
        <w:rPr>
          <w:w w:val="95"/>
        </w:rPr>
        <w:t>必须拥有合法经营执照；</w:t>
      </w:r>
    </w:p>
    <w:p>
      <w:pPr>
        <w:spacing w:after="0"/>
        <w:sectPr>
          <w:type w:val="continuous"/>
          <w:pgSz w:w="11910" w:h="16840"/>
          <w:pgMar w:top="520" w:bottom="280" w:left="920" w:right="800"/>
          <w:cols w:num="2" w:equalWidth="0">
            <w:col w:w="2641" w:space="142"/>
            <w:col w:w="7407"/>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918"/>
        <w:gridCol w:w="7262"/>
      </w:tblGrid>
      <w:tr>
        <w:trPr>
          <w:trHeight w:val="260" w:hRule="atLeast"/>
        </w:trPr>
        <w:tc>
          <w:tcPr>
            <w:tcW w:w="2711" w:type="dxa"/>
            <w:gridSpan w:val="2"/>
            <w:vMerge w:val="restart"/>
          </w:tcPr>
          <w:p>
            <w:pPr>
              <w:pStyle w:val="TableParagraph"/>
              <w:rPr>
                <w:rFonts w:ascii="Times New Roman"/>
                <w:sz w:val="20"/>
              </w:rPr>
            </w:pPr>
          </w:p>
        </w:tc>
        <w:tc>
          <w:tcPr>
            <w:tcW w:w="7262" w:type="dxa"/>
          </w:tcPr>
          <w:p>
            <w:pPr>
              <w:pStyle w:val="TableParagraph"/>
              <w:spacing w:line="210" w:lineRule="exact"/>
              <w:ind w:left="121"/>
              <w:rPr>
                <w:sz w:val="21"/>
              </w:rPr>
            </w:pPr>
            <w:r>
              <w:rPr>
                <w:sz w:val="21"/>
              </w:rPr>
              <w:t>（4）受感染的被保险人不是血友病患者。</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pacing w:val="-3"/>
                <w:sz w:val="21"/>
              </w:rPr>
              <w:t>在任何治愈艾滋病（AIDS）</w:t>
            </w:r>
            <w:r>
              <w:rPr>
                <w:spacing w:val="-14"/>
                <w:sz w:val="21"/>
              </w:rPr>
              <w:t>或阻止 </w:t>
            </w:r>
            <w:r>
              <w:rPr>
                <w:sz w:val="21"/>
              </w:rPr>
              <w:t>HIV</w:t>
            </w:r>
            <w:r>
              <w:rPr>
                <w:spacing w:val="-9"/>
                <w:sz w:val="21"/>
              </w:rPr>
              <w:t> 病毒作用的疗法被发现以后，或能防止</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AIDS 发生的医疗方法被研究出来以后，本保障将不再予以赔付。</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pacing w:val="-2"/>
                <w:sz w:val="21"/>
              </w:rPr>
              <w:t>任何因其他传播方式</w:t>
            </w:r>
            <w:r>
              <w:rPr>
                <w:sz w:val="21"/>
              </w:rPr>
              <w:t>（</w:t>
            </w:r>
            <w:r>
              <w:rPr>
                <w:spacing w:val="-4"/>
                <w:sz w:val="21"/>
              </w:rPr>
              <w:t>包括：性传播或静脉注射毒品</w:t>
            </w:r>
            <w:r>
              <w:rPr>
                <w:spacing w:val="-17"/>
                <w:sz w:val="21"/>
              </w:rPr>
              <w:t>）</w:t>
            </w:r>
            <w:r>
              <w:rPr>
                <w:spacing w:val="-14"/>
                <w:sz w:val="21"/>
              </w:rPr>
              <w:t>导致的 </w:t>
            </w:r>
            <w:r>
              <w:rPr>
                <w:sz w:val="21"/>
              </w:rPr>
              <w:t>HIV</w:t>
            </w:r>
            <w:r>
              <w:rPr>
                <w:spacing w:val="-10"/>
                <w:sz w:val="21"/>
              </w:rPr>
              <w:t> 感染不在本</w:t>
            </w:r>
          </w:p>
        </w:tc>
      </w:tr>
      <w:tr>
        <w:trPr>
          <w:trHeight w:val="311"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保单保障范围内。保险公司必须拥有获得使用被保险人的所有血液样本的权利</w:t>
            </w:r>
          </w:p>
        </w:tc>
      </w:tr>
      <w:tr>
        <w:trPr>
          <w:trHeight w:val="425" w:hRule="atLeast"/>
        </w:trPr>
        <w:tc>
          <w:tcPr>
            <w:tcW w:w="2711" w:type="dxa"/>
            <w:gridSpan w:val="2"/>
            <w:vMerge/>
            <w:tcBorders>
              <w:top w:val="nil"/>
            </w:tcBorders>
          </w:tcPr>
          <w:p>
            <w:pPr>
              <w:rPr>
                <w:sz w:val="2"/>
                <w:szCs w:val="2"/>
              </w:rPr>
            </w:pPr>
          </w:p>
        </w:tc>
        <w:tc>
          <w:tcPr>
            <w:tcW w:w="7262" w:type="dxa"/>
          </w:tcPr>
          <w:p>
            <w:pPr>
              <w:pStyle w:val="TableParagraph"/>
              <w:spacing w:line="261" w:lineRule="exact"/>
              <w:ind w:left="121"/>
              <w:rPr>
                <w:sz w:val="21"/>
              </w:rPr>
            </w:pPr>
            <w:r>
              <w:rPr>
                <w:sz w:val="21"/>
              </w:rPr>
              <w:t>和能够对这些样本进行独立检验的权利。</w:t>
            </w:r>
          </w:p>
        </w:tc>
      </w:tr>
      <w:tr>
        <w:trPr>
          <w:trHeight w:val="425" w:hRule="atLeast"/>
        </w:trPr>
        <w:tc>
          <w:tcPr>
            <w:tcW w:w="793" w:type="dxa"/>
          </w:tcPr>
          <w:p>
            <w:pPr>
              <w:pStyle w:val="TableParagraph"/>
              <w:spacing w:before="99"/>
              <w:ind w:left="31" w:right="88"/>
              <w:jc w:val="center"/>
              <w:rPr>
                <w:b/>
                <w:sz w:val="21"/>
              </w:rPr>
            </w:pPr>
            <w:r>
              <w:rPr>
                <w:b/>
                <w:sz w:val="21"/>
              </w:rPr>
              <w:t>三十二</w:t>
            </w:r>
          </w:p>
        </w:tc>
        <w:tc>
          <w:tcPr>
            <w:tcW w:w="1918" w:type="dxa"/>
          </w:tcPr>
          <w:p>
            <w:pPr>
              <w:pStyle w:val="TableParagraph"/>
              <w:spacing w:before="99"/>
              <w:ind w:left="108"/>
              <w:rPr>
                <w:b/>
                <w:sz w:val="21"/>
              </w:rPr>
            </w:pPr>
            <w:r>
              <w:rPr>
                <w:b/>
                <w:w w:val="95"/>
                <w:sz w:val="21"/>
              </w:rPr>
              <w:t>脊髓灰质炎</w:t>
            </w:r>
          </w:p>
        </w:tc>
        <w:tc>
          <w:tcPr>
            <w:tcW w:w="7262" w:type="dxa"/>
          </w:tcPr>
          <w:p>
            <w:pPr>
              <w:pStyle w:val="TableParagraph"/>
              <w:spacing w:before="99"/>
              <w:ind w:left="121"/>
              <w:rPr>
                <w:sz w:val="21"/>
              </w:rPr>
            </w:pPr>
            <w:r>
              <w:rPr>
                <w:sz w:val="21"/>
              </w:rPr>
              <w:t>脊髓灰质炎是由于脊髓灰质炎病毒感染所致的瘫痪性疾病，临床表现为运动功</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能损害或呼吸无力。脊髓灰质炎必须明确诊断。本保单仅对脊髓灰质炎造成的</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神经系统功能损害导致被保险人一肢或一肢以上肢体机能永久完全丧失的情</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pacing w:val="-7"/>
                <w:sz w:val="21"/>
              </w:rPr>
              <w:t>况予以理赔。肢体机能永久完全丧失，指疾病确诊 </w:t>
            </w:r>
            <w:r>
              <w:rPr>
                <w:sz w:val="21"/>
              </w:rPr>
              <w:t>180</w:t>
            </w:r>
            <w:r>
              <w:rPr>
                <w:spacing w:val="-9"/>
                <w:sz w:val="21"/>
              </w:rPr>
              <w:t> 天后，每肢三大关节中</w:t>
            </w:r>
          </w:p>
        </w:tc>
      </w:tr>
      <w:tr>
        <w:trPr>
          <w:trHeight w:val="425"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的两大关节仍然完全僵硬，或不能随意识活动。</w:t>
            </w:r>
          </w:p>
        </w:tc>
      </w:tr>
      <w:tr>
        <w:trPr>
          <w:trHeight w:val="425" w:hRule="atLeast"/>
        </w:trPr>
        <w:tc>
          <w:tcPr>
            <w:tcW w:w="793" w:type="dxa"/>
          </w:tcPr>
          <w:p>
            <w:pPr>
              <w:pStyle w:val="TableParagraph"/>
              <w:spacing w:before="99"/>
              <w:ind w:left="31" w:right="88"/>
              <w:jc w:val="center"/>
              <w:rPr>
                <w:b/>
                <w:sz w:val="21"/>
              </w:rPr>
            </w:pPr>
            <w:r>
              <w:rPr>
                <w:b/>
                <w:sz w:val="21"/>
              </w:rPr>
              <w:t>三十三</w:t>
            </w:r>
          </w:p>
        </w:tc>
        <w:tc>
          <w:tcPr>
            <w:tcW w:w="1918" w:type="dxa"/>
          </w:tcPr>
          <w:p>
            <w:pPr>
              <w:pStyle w:val="TableParagraph"/>
              <w:spacing w:before="99"/>
              <w:ind w:left="108"/>
              <w:rPr>
                <w:b/>
                <w:sz w:val="21"/>
              </w:rPr>
            </w:pPr>
            <w:r>
              <w:rPr>
                <w:b/>
                <w:w w:val="95"/>
                <w:sz w:val="21"/>
              </w:rPr>
              <w:t>全身性重症肌无力</w:t>
            </w:r>
          </w:p>
        </w:tc>
        <w:tc>
          <w:tcPr>
            <w:tcW w:w="7262" w:type="dxa"/>
          </w:tcPr>
          <w:p>
            <w:pPr>
              <w:pStyle w:val="TableParagraph"/>
              <w:spacing w:before="99"/>
              <w:ind w:left="121"/>
              <w:rPr>
                <w:sz w:val="21"/>
              </w:rPr>
            </w:pPr>
            <w:r>
              <w:rPr>
                <w:sz w:val="21"/>
              </w:rPr>
              <w:t>重症肌无力是一种神经肌肉接头传递障碍所致的疾病，表现为局部或全身骨骼</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肌（特别是眼外肌）极易疲劳。疾病可以累及呼吸肌、上肢或下肢的近端肌群</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或全身肌肉，必须满足下列全部条件：</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（1）经药物治疗和胸腺切除治疗一年以上仍无法控制病情；</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left="121"/>
              <w:rPr>
                <w:sz w:val="21"/>
              </w:rPr>
            </w:pPr>
            <w:r>
              <w:rPr>
                <w:w w:val="95"/>
                <w:sz w:val="21"/>
              </w:rPr>
              <w:t>（2）自主生活能力完全丧失，无法独立完成</w:t>
            </w:r>
            <w:r>
              <w:rPr>
                <w:b/>
                <w:w w:val="95"/>
                <w:sz w:val="21"/>
              </w:rPr>
              <w:t>六项基本日常生活活动</w:t>
            </w:r>
            <w:r>
              <w:rPr>
                <w:w w:val="95"/>
                <w:sz w:val="21"/>
              </w:rPr>
              <w:t>中的三项</w:t>
            </w:r>
          </w:p>
        </w:tc>
      </w:tr>
      <w:tr>
        <w:trPr>
          <w:trHeight w:val="795"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before="37"/>
              <w:ind w:left="625"/>
              <w:rPr>
                <w:sz w:val="21"/>
              </w:rPr>
            </w:pPr>
            <w:r>
              <w:rPr>
                <w:sz w:val="21"/>
              </w:rPr>
              <w:t>或三项以上。</w:t>
            </w:r>
          </w:p>
          <w:p>
            <w:pPr>
              <w:pStyle w:val="TableParagraph"/>
              <w:spacing w:before="13"/>
              <w:ind w:left="121"/>
              <w:rPr>
                <w:b/>
                <w:sz w:val="24"/>
              </w:rPr>
            </w:pPr>
            <w:r>
              <w:rPr>
                <w:b/>
                <w:sz w:val="24"/>
              </w:rPr>
              <w:t>本公司仅承担被保险人年满 18 周岁后的保障责任。</w:t>
            </w:r>
          </w:p>
        </w:tc>
      </w:tr>
      <w:tr>
        <w:trPr>
          <w:trHeight w:val="417" w:hRule="atLeast"/>
        </w:trPr>
        <w:tc>
          <w:tcPr>
            <w:tcW w:w="793" w:type="dxa"/>
          </w:tcPr>
          <w:p>
            <w:pPr>
              <w:pStyle w:val="TableParagraph"/>
              <w:spacing w:before="92"/>
              <w:ind w:left="31" w:right="88"/>
              <w:jc w:val="center"/>
              <w:rPr>
                <w:b/>
                <w:sz w:val="21"/>
              </w:rPr>
            </w:pPr>
            <w:r>
              <w:rPr>
                <w:b/>
                <w:sz w:val="21"/>
              </w:rPr>
              <w:t>三十四</w:t>
            </w:r>
          </w:p>
        </w:tc>
        <w:tc>
          <w:tcPr>
            <w:tcW w:w="1918" w:type="dxa"/>
          </w:tcPr>
          <w:p>
            <w:pPr>
              <w:pStyle w:val="TableParagraph"/>
              <w:spacing w:before="92"/>
              <w:ind w:left="108"/>
              <w:rPr>
                <w:b/>
                <w:sz w:val="21"/>
              </w:rPr>
            </w:pPr>
            <w:r>
              <w:rPr>
                <w:b/>
                <w:sz w:val="21"/>
              </w:rPr>
              <w:t>I 型糖尿病</w:t>
            </w:r>
          </w:p>
        </w:tc>
        <w:tc>
          <w:tcPr>
            <w:tcW w:w="7262" w:type="dxa"/>
          </w:tcPr>
          <w:p>
            <w:pPr>
              <w:pStyle w:val="TableParagraph"/>
              <w:spacing w:before="92"/>
              <w:ind w:left="121"/>
              <w:rPr>
                <w:sz w:val="21"/>
              </w:rPr>
            </w:pPr>
            <w:r>
              <w:rPr>
                <w:sz w:val="21"/>
              </w:rPr>
              <w:t>I 型糖尿病的特征为由于胰岛素分泌绝对不足引起严重胰岛素缺乏导致慢性血</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糖升高， 需要依赖外源性胰岛素进行机体的葡萄糖代谢和维持生命。被保险</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pacing w:val="-18"/>
                <w:sz w:val="21"/>
              </w:rPr>
              <w:t>人的 </w:t>
            </w:r>
            <w:r>
              <w:rPr>
                <w:sz w:val="21"/>
              </w:rPr>
              <w:t>1</w:t>
            </w:r>
            <w:r>
              <w:rPr>
                <w:spacing w:val="-14"/>
                <w:sz w:val="21"/>
              </w:rPr>
              <w:t> 型糖尿病必须明确诊断，而且有血胰岛素测定及血 </w:t>
            </w:r>
            <w:r>
              <w:rPr>
                <w:sz w:val="21"/>
              </w:rPr>
              <w:t>C</w:t>
            </w:r>
            <w:r>
              <w:rPr>
                <w:spacing w:val="-22"/>
                <w:sz w:val="21"/>
              </w:rPr>
              <w:t> 肽或尿 </w:t>
            </w:r>
            <w:r>
              <w:rPr>
                <w:sz w:val="21"/>
              </w:rPr>
              <w:t>C</w:t>
            </w:r>
            <w:r>
              <w:rPr>
                <w:spacing w:val="-12"/>
                <w:sz w:val="21"/>
              </w:rPr>
              <w:t> 肽测定结</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果支持诊断，并且满足下列全部条件：</w:t>
            </w:r>
          </w:p>
        </w:tc>
      </w:tr>
      <w:tr>
        <w:trPr>
          <w:trHeight w:val="311" w:hRule="atLeast"/>
        </w:trPr>
        <w:tc>
          <w:tcPr>
            <w:tcW w:w="793" w:type="dxa"/>
          </w:tcPr>
          <w:p>
            <w:pPr>
              <w:pStyle w:val="TableParagraph"/>
              <w:rPr>
                <w:rFonts w:ascii="Times New Roman"/>
                <w:sz w:val="20"/>
              </w:rPr>
            </w:pPr>
          </w:p>
        </w:tc>
        <w:tc>
          <w:tcPr>
            <w:tcW w:w="1918" w:type="dxa"/>
          </w:tcPr>
          <w:p>
            <w:pPr>
              <w:pStyle w:val="TableParagraph"/>
              <w:rPr>
                <w:rFonts w:ascii="Times New Roman"/>
                <w:sz w:val="20"/>
              </w:rPr>
            </w:pPr>
          </w:p>
        </w:tc>
        <w:tc>
          <w:tcPr>
            <w:tcW w:w="7262" w:type="dxa"/>
          </w:tcPr>
          <w:p>
            <w:pPr>
              <w:pStyle w:val="TableParagraph"/>
              <w:spacing w:line="261" w:lineRule="exact"/>
              <w:ind w:left="121"/>
              <w:rPr>
                <w:sz w:val="21"/>
              </w:rPr>
            </w:pPr>
            <w:r>
              <w:rPr>
                <w:sz w:val="21"/>
              </w:rPr>
              <w:t>（1）已经持续性地接受外源性胰岛素注射治疗连续 180 天以上；</w:t>
            </w:r>
          </w:p>
        </w:tc>
      </w:tr>
      <w:tr>
        <w:trPr>
          <w:trHeight w:val="260" w:hRule="atLeast"/>
        </w:trPr>
        <w:tc>
          <w:tcPr>
            <w:tcW w:w="793" w:type="dxa"/>
          </w:tcPr>
          <w:p>
            <w:pPr>
              <w:pStyle w:val="TableParagraph"/>
              <w:rPr>
                <w:rFonts w:ascii="Times New Roman"/>
                <w:sz w:val="18"/>
              </w:rPr>
            </w:pPr>
          </w:p>
        </w:tc>
        <w:tc>
          <w:tcPr>
            <w:tcW w:w="1918" w:type="dxa"/>
          </w:tcPr>
          <w:p>
            <w:pPr>
              <w:pStyle w:val="TableParagraph"/>
              <w:rPr>
                <w:rFonts w:ascii="Times New Roman"/>
                <w:sz w:val="18"/>
              </w:rPr>
            </w:pPr>
          </w:p>
        </w:tc>
        <w:tc>
          <w:tcPr>
            <w:tcW w:w="7262" w:type="dxa"/>
          </w:tcPr>
          <w:p>
            <w:pPr>
              <w:pStyle w:val="TableParagraph"/>
              <w:spacing w:line="241" w:lineRule="exact"/>
              <w:ind w:left="121"/>
              <w:rPr>
                <w:sz w:val="21"/>
              </w:rPr>
            </w:pPr>
            <w:r>
              <w:rPr>
                <w:sz w:val="21"/>
              </w:rPr>
              <w:t>（2）因需要已经接受了下列治疗：</w:t>
            </w:r>
          </w:p>
        </w:tc>
      </w:tr>
    </w:tbl>
    <w:p>
      <w:pPr>
        <w:pStyle w:val="BodyText"/>
        <w:spacing w:before="41"/>
        <w:ind w:left="3363"/>
      </w:pPr>
      <w:r>
        <w:rPr/>
        <w:t>① 因严重心律失常植入了心脏起搏器；或</w:t>
      </w:r>
    </w:p>
    <w:p>
      <w:pPr>
        <w:pStyle w:val="BodyText"/>
        <w:spacing w:before="37"/>
        <w:ind w:left="3363"/>
      </w:pPr>
      <w:r>
        <w:rPr/>
        <w:t>② 因坏疽自跖趾关节或以上切除了一趾或多趾。</w:t>
      </w:r>
    </w:p>
    <w:p>
      <w:pPr>
        <w:pStyle w:val="BodyText"/>
        <w:spacing w:before="3"/>
        <w:rPr>
          <w:sz w:val="20"/>
        </w:rPr>
      </w:pPr>
    </w:p>
    <w:p>
      <w:pPr>
        <w:pStyle w:val="BodyText"/>
        <w:tabs>
          <w:tab w:pos="1013" w:val="left" w:leader="none"/>
          <w:tab w:pos="2943" w:val="left" w:leader="none"/>
        </w:tabs>
        <w:spacing w:line="273" w:lineRule="auto"/>
        <w:ind w:left="2943" w:right="208" w:hanging="2783"/>
      </w:pPr>
      <w:r>
        <w:rPr>
          <w:b/>
        </w:rPr>
        <w:t>三十五</w:t>
        <w:tab/>
        <w:t>植物人状态</w:t>
        <w:tab/>
      </w:r>
      <w:r>
        <w:rPr/>
        <w:t>植物人状态系指由于严重颅脑外伤造成大脑严重损害导致完全永久性的对自身和环境的意识丧失和中枢神经系统功能丧失</w:t>
      </w:r>
      <w:r>
        <w:rPr>
          <w:spacing w:val="-51"/>
        </w:rPr>
        <w:t>，</w:t>
      </w:r>
      <w:r>
        <w:rPr/>
        <w:t>仅残存植物神经功能的疾病状态</w:t>
      </w:r>
      <w:r>
        <w:rPr>
          <w:spacing w:val="-26"/>
        </w:rPr>
        <w:t>。</w:t>
      </w:r>
      <w:r>
        <w:rPr/>
        <w:t>诊断必须明确并且具有严重颅脑外伤和脑损害的证据</w:t>
      </w:r>
      <w:r>
        <w:rPr>
          <w:spacing w:val="-26"/>
        </w:rPr>
        <w:t>。</w:t>
      </w:r>
      <w:r>
        <w:rPr/>
        <w:t>植物人状态必须持续</w:t>
      </w:r>
      <w:r>
        <w:rPr>
          <w:spacing w:val="-55"/>
        </w:rPr>
        <w:t> </w:t>
      </w:r>
      <w:r>
        <w:rPr/>
        <w:t>30</w:t>
      </w:r>
      <w:r>
        <w:rPr>
          <w:spacing w:val="-54"/>
        </w:rPr>
        <w:t> </w:t>
      </w:r>
      <w:r>
        <w:rPr/>
        <w:t>天以上方可申请理赔。</w:t>
      </w:r>
    </w:p>
    <w:p>
      <w:pPr>
        <w:pStyle w:val="BodyText"/>
        <w:spacing w:before="2"/>
        <w:rPr>
          <w:sz w:val="15"/>
        </w:rPr>
      </w:pPr>
    </w:p>
    <w:p>
      <w:pPr>
        <w:spacing w:after="0"/>
        <w:rPr>
          <w:sz w:val="15"/>
        </w:rPr>
        <w:sectPr>
          <w:pgSz w:w="11910" w:h="16840"/>
          <w:pgMar w:top="1180" w:bottom="280" w:left="860" w:right="800"/>
        </w:sectPr>
      </w:pPr>
    </w:p>
    <w:p>
      <w:pPr>
        <w:pStyle w:val="Heading3"/>
        <w:tabs>
          <w:tab w:pos="1013" w:val="left" w:leader="none"/>
        </w:tabs>
        <w:spacing w:before="36"/>
        <w:ind w:left="161"/>
      </w:pPr>
      <w:r>
        <w:rPr/>
        <w:t>三十六</w:t>
        <w:tab/>
      </w:r>
      <w:r>
        <w:rPr>
          <w:w w:val="95"/>
        </w:rPr>
        <w:t>川崎病（伴有冠状</w:t>
      </w:r>
    </w:p>
    <w:p>
      <w:pPr>
        <w:spacing w:before="37"/>
        <w:ind w:left="1013" w:right="0" w:firstLine="0"/>
        <w:jc w:val="left"/>
        <w:rPr>
          <w:b/>
          <w:sz w:val="21"/>
        </w:rPr>
      </w:pPr>
      <w:r>
        <w:rPr>
          <w:b/>
          <w:w w:val="95"/>
          <w:sz w:val="21"/>
        </w:rPr>
        <w:t>动脉瘤形成）</w:t>
      </w:r>
    </w:p>
    <w:p>
      <w:pPr>
        <w:pStyle w:val="BodyText"/>
        <w:spacing w:line="273" w:lineRule="auto" w:before="36"/>
        <w:ind w:left="161" w:right="146"/>
      </w:pPr>
      <w:r>
        <w:rPr/>
        <w:br w:type="column"/>
      </w:r>
      <w:r>
        <w:rPr/>
        <w:t>指一种以全身血管炎变为主要病理改变的急性发热性出疹性小儿疾病。必须由本公司认可的儿科医生确诊并且同时满足下列指标：</w:t>
      </w:r>
    </w:p>
    <w:p>
      <w:pPr>
        <w:pStyle w:val="BodyText"/>
        <w:spacing w:line="273" w:lineRule="auto" w:before="8"/>
        <w:ind w:left="686" w:right="263" w:hanging="526"/>
      </w:pPr>
      <w:r>
        <w:rPr/>
        <w:t>（1）血液化验显示：不成熟型白细胞增多和明显的血小板增多，贫血，血沉升高；</w:t>
      </w:r>
    </w:p>
    <w:p>
      <w:pPr>
        <w:pStyle w:val="BodyText"/>
        <w:spacing w:line="273" w:lineRule="auto" w:before="8"/>
        <w:ind w:left="665" w:right="263" w:hanging="504"/>
      </w:pPr>
      <w:r>
        <w:rPr/>
        <w:t>（2）因严重心脏并发症确已接受开胸手术以矫正冠状动脉狭窄或阻塞手术治疗；或确已接受心脏瓣膜置换手术（瓣膜包括生物瓣膜和机械瓣膜</w:t>
      </w:r>
      <w:r>
        <w:rPr>
          <w:spacing w:val="-105"/>
        </w:rPr>
        <w:t>）</w:t>
      </w:r>
      <w:r>
        <w:rPr/>
        <w:t>。</w:t>
      </w:r>
    </w:p>
    <w:p>
      <w:pPr>
        <w:pStyle w:val="Heading2"/>
        <w:spacing w:line="298" w:lineRule="exact"/>
        <w:ind w:left="161"/>
      </w:pPr>
      <w:r>
        <w:rPr/>
        <w:t>本公司仅承担被保险人未满 18 周岁时的保障责任。</w:t>
      </w:r>
    </w:p>
    <w:p>
      <w:pPr>
        <w:spacing w:after="0" w:line="298" w:lineRule="exact"/>
        <w:sectPr>
          <w:type w:val="continuous"/>
          <w:pgSz w:w="11910" w:h="16840"/>
          <w:pgMar w:top="520" w:bottom="280" w:left="860" w:right="800"/>
          <w:cols w:num="2" w:equalWidth="0">
            <w:col w:w="2701" w:space="82"/>
            <w:col w:w="7467"/>
          </w:cols>
        </w:sectPr>
      </w:pPr>
    </w:p>
    <w:p>
      <w:pPr>
        <w:pStyle w:val="BodyText"/>
        <w:spacing w:before="4"/>
        <w:rPr>
          <w:b/>
          <w:sz w:val="16"/>
        </w:rPr>
      </w:pPr>
    </w:p>
    <w:p>
      <w:pPr>
        <w:spacing w:after="0"/>
        <w:rPr>
          <w:sz w:val="16"/>
        </w:rPr>
        <w:sectPr>
          <w:type w:val="continuous"/>
          <w:pgSz w:w="11910" w:h="16840"/>
          <w:pgMar w:top="520" w:bottom="280" w:left="860" w:right="800"/>
        </w:sectPr>
      </w:pPr>
    </w:p>
    <w:p>
      <w:pPr>
        <w:pStyle w:val="Heading3"/>
        <w:tabs>
          <w:tab w:pos="1013" w:val="left" w:leader="none"/>
        </w:tabs>
        <w:ind w:left="161"/>
      </w:pPr>
      <w:r>
        <w:rPr/>
        <w:t>三十七</w:t>
        <w:tab/>
      </w:r>
      <w:r>
        <w:rPr>
          <w:w w:val="95"/>
        </w:rPr>
        <w:t>幼年类风湿性关节</w:t>
      </w:r>
    </w:p>
    <w:p>
      <w:pPr>
        <w:spacing w:before="36"/>
        <w:ind w:left="1013" w:right="0" w:firstLine="0"/>
        <w:jc w:val="left"/>
        <w:rPr>
          <w:b/>
          <w:sz w:val="21"/>
        </w:rPr>
      </w:pPr>
      <w:r>
        <w:rPr>
          <w:b/>
          <w:w w:val="95"/>
          <w:sz w:val="21"/>
        </w:rPr>
        <w:t>炎－斯蒂尔病</w:t>
      </w:r>
    </w:p>
    <w:p>
      <w:pPr>
        <w:pStyle w:val="BodyText"/>
        <w:spacing w:line="273" w:lineRule="auto" w:before="35"/>
        <w:ind w:left="161" w:right="104"/>
      </w:pPr>
      <w:r>
        <w:rPr/>
        <w:br w:type="column"/>
      </w:r>
      <w:r>
        <w:rPr>
          <w:spacing w:val="-2"/>
        </w:rPr>
        <w:t>因非传染的慢性关节滑膜炎引起多处关节呈现的慢性关节炎症，并导致自身免</w:t>
      </w:r>
      <w:r>
        <w:rPr>
          <w:spacing w:val="-13"/>
        </w:rPr>
        <w:t>疫失调。本病须经本公司认可的类风湿科医生出具医学诊断证明，因病情严重， </w:t>
      </w:r>
      <w:r>
        <w:rPr>
          <w:spacing w:val="-15"/>
        </w:rPr>
        <w:t>在医生的建议下已接受以治疗为目的的膝或髋关节的置换手术，其他类型的儿童类风湿性关节炎除外。</w:t>
      </w:r>
    </w:p>
    <w:p>
      <w:pPr>
        <w:pStyle w:val="Heading2"/>
        <w:spacing w:line="298" w:lineRule="exact"/>
        <w:ind w:left="161"/>
      </w:pPr>
      <w:r>
        <w:rPr/>
        <w:t>本公司仅承担被保险人未满 18 周岁时的保障责任。</w:t>
      </w:r>
    </w:p>
    <w:p>
      <w:pPr>
        <w:spacing w:after="0" w:line="298" w:lineRule="exact"/>
        <w:sectPr>
          <w:type w:val="continuous"/>
          <w:pgSz w:w="11910" w:h="16840"/>
          <w:pgMar w:top="520" w:bottom="280" w:left="860" w:right="800"/>
          <w:cols w:num="2" w:equalWidth="0">
            <w:col w:w="2701" w:space="82"/>
            <w:col w:w="7467"/>
          </w:cols>
        </w:sectPr>
      </w:pPr>
    </w:p>
    <w:p>
      <w:pPr>
        <w:pStyle w:val="Heading3"/>
        <w:tabs>
          <w:tab w:pos="953" w:val="left" w:leader="none"/>
        </w:tabs>
        <w:spacing w:before="26"/>
        <w:ind w:left="101"/>
      </w:pPr>
      <w:r>
        <w:rPr/>
        <w:t>注</w:t>
      </w:r>
      <w:r>
        <w:rPr>
          <w:spacing w:val="-53"/>
        </w:rPr>
        <w:t> </w:t>
      </w:r>
      <w:r>
        <w:rPr/>
        <w:t>1</w:t>
        <w:tab/>
      </w:r>
      <w:r>
        <w:rPr>
          <w:w w:val="95"/>
        </w:rPr>
        <w:t>六项基本日常生活</w:t>
      </w:r>
    </w:p>
    <w:p>
      <w:pPr>
        <w:spacing w:before="37"/>
        <w:ind w:left="935" w:right="1244" w:firstLine="0"/>
        <w:jc w:val="center"/>
        <w:rPr>
          <w:b/>
          <w:sz w:val="21"/>
        </w:rPr>
      </w:pPr>
      <w:r>
        <w:rPr>
          <w:b/>
          <w:sz w:val="21"/>
        </w:rPr>
        <w:t>活动</w:t>
      </w:r>
    </w:p>
    <w:p>
      <w:pPr>
        <w:pStyle w:val="BodyText"/>
        <w:spacing w:before="26"/>
        <w:ind w:left="101"/>
      </w:pPr>
      <w:r>
        <w:rPr/>
        <w:br w:type="column"/>
      </w:r>
      <w:r>
        <w:rPr/>
        <w:t>适用于年龄 </w:t>
      </w:r>
      <w:r>
        <w:rPr>
          <w:rFonts w:ascii="Times New Roman" w:eastAsia="Times New Roman"/>
        </w:rPr>
        <w:t>4 </w:t>
      </w:r>
      <w:r>
        <w:rPr/>
        <w:t>周岁以上被保险人，包括：</w:t>
      </w:r>
    </w:p>
    <w:p>
      <w:pPr>
        <w:pStyle w:val="BodyText"/>
        <w:spacing w:before="21"/>
        <w:ind w:left="101"/>
      </w:pPr>
      <w:r>
        <w:rPr/>
        <w:t>（</w:t>
      </w:r>
      <w:r>
        <w:rPr>
          <w:rFonts w:ascii="Times New Roman" w:eastAsia="Times New Roman"/>
        </w:rPr>
        <w:t>1</w:t>
      </w:r>
      <w:r>
        <w:rPr/>
        <w:t>）穿衣：自己能够穿衣及脱衣；</w:t>
      </w:r>
    </w:p>
    <w:p>
      <w:pPr>
        <w:pStyle w:val="BodyText"/>
        <w:spacing w:before="21"/>
        <w:ind w:left="101"/>
      </w:pPr>
      <w:r>
        <w:rPr/>
        <w:t>（</w:t>
      </w:r>
      <w:r>
        <w:rPr>
          <w:rFonts w:ascii="Times New Roman" w:eastAsia="Times New Roman"/>
        </w:rPr>
        <w:t>2</w:t>
      </w:r>
      <w:r>
        <w:rPr/>
        <w:t>）移动：自己从一个房间到另一个房间；</w:t>
      </w:r>
    </w:p>
    <w:p>
      <w:pPr>
        <w:pStyle w:val="BodyText"/>
        <w:spacing w:before="21"/>
        <w:ind w:left="101"/>
      </w:pPr>
      <w:r>
        <w:rPr/>
        <w:t>（</w:t>
      </w:r>
      <w:r>
        <w:rPr>
          <w:rFonts w:ascii="Times New Roman" w:eastAsia="Times New Roman"/>
        </w:rPr>
        <w:t>3</w:t>
      </w:r>
      <w:r>
        <w:rPr/>
        <w:t>）行动：自己上下床或上下轮椅；</w:t>
      </w:r>
    </w:p>
    <w:p>
      <w:pPr>
        <w:pStyle w:val="BodyText"/>
        <w:spacing w:before="21"/>
        <w:ind w:left="101"/>
      </w:pPr>
      <w:r>
        <w:rPr/>
        <w:t>（</w:t>
      </w:r>
      <w:r>
        <w:rPr>
          <w:rFonts w:ascii="Times New Roman" w:eastAsia="Times New Roman"/>
        </w:rPr>
        <w:t>4</w:t>
      </w:r>
      <w:r>
        <w:rPr/>
        <w:t>）如厕：自己控制进行大小便；</w:t>
      </w:r>
    </w:p>
    <w:p>
      <w:pPr>
        <w:pStyle w:val="BodyText"/>
        <w:spacing w:before="21"/>
        <w:ind w:left="101"/>
      </w:pPr>
      <w:r>
        <w:rPr/>
        <w:t>（</w:t>
      </w:r>
      <w:r>
        <w:rPr>
          <w:rFonts w:ascii="Times New Roman" w:eastAsia="Times New Roman"/>
        </w:rPr>
        <w:t>5</w:t>
      </w:r>
      <w:r>
        <w:rPr/>
        <w:t>）进食：自己从已准备好的碗或碟中取食物放入口中；</w:t>
      </w:r>
    </w:p>
    <w:p>
      <w:pPr>
        <w:pStyle w:val="BodyText"/>
        <w:spacing w:before="21"/>
        <w:ind w:left="101"/>
      </w:pPr>
      <w:r>
        <w:rPr/>
        <w:t>（</w:t>
      </w:r>
      <w:r>
        <w:rPr>
          <w:rFonts w:ascii="Times New Roman" w:eastAsia="Times New Roman"/>
        </w:rPr>
        <w:t>6</w:t>
      </w:r>
      <w:r>
        <w:rPr/>
        <w:t>）洗澡：自己进行淋浴或盆浴。</w:t>
      </w:r>
    </w:p>
    <w:p>
      <w:pPr>
        <w:spacing w:after="0"/>
        <w:sectPr>
          <w:pgSz w:w="11910" w:h="16840"/>
          <w:pgMar w:top="1320" w:bottom="280" w:left="920" w:right="800"/>
          <w:cols w:num="2" w:equalWidth="0">
            <w:col w:w="2641" w:space="142"/>
            <w:col w:w="7407"/>
          </w:cols>
        </w:sectPr>
      </w:pPr>
    </w:p>
    <w:p>
      <w:pPr>
        <w:pStyle w:val="BodyText"/>
        <w:spacing w:before="3"/>
        <w:rPr>
          <w:sz w:val="16"/>
        </w:rPr>
      </w:pPr>
    </w:p>
    <w:p>
      <w:pPr>
        <w:pStyle w:val="BodyText"/>
        <w:tabs>
          <w:tab w:pos="953" w:val="left" w:leader="none"/>
          <w:tab w:pos="2884" w:val="left" w:leader="none"/>
        </w:tabs>
        <w:spacing w:line="273" w:lineRule="auto" w:before="36"/>
        <w:ind w:left="2884" w:right="208" w:hanging="2783"/>
      </w:pPr>
      <w:r>
        <w:rPr>
          <w:b/>
        </w:rPr>
        <w:t>注</w:t>
      </w:r>
      <w:r>
        <w:rPr>
          <w:b/>
          <w:spacing w:val="-53"/>
        </w:rPr>
        <w:t> </w:t>
      </w:r>
      <w:r>
        <w:rPr>
          <w:b/>
        </w:rPr>
        <w:t>2</w:t>
        <w:tab/>
        <w:t>肢体机能完全丧失</w:t>
        <w:tab/>
      </w:r>
      <w:r>
        <w:rPr/>
        <w:t>指肢体的三大关节中的两大关节僵硬</w:t>
      </w:r>
      <w:r>
        <w:rPr>
          <w:spacing w:val="-26"/>
        </w:rPr>
        <w:t>，</w:t>
      </w:r>
      <w:r>
        <w:rPr/>
        <w:t>或不能随意识活动</w:t>
      </w:r>
      <w:r>
        <w:rPr>
          <w:spacing w:val="-26"/>
        </w:rPr>
        <w:t>。</w:t>
      </w:r>
      <w:r>
        <w:rPr/>
        <w:t>肢体是指包括肩关节的整个上肢或包括髋关节的整个下肢。</w:t>
      </w:r>
    </w:p>
    <w:p>
      <w:pPr>
        <w:pStyle w:val="BodyText"/>
        <w:spacing w:before="3"/>
        <w:rPr>
          <w:sz w:val="15"/>
        </w:rPr>
      </w:pPr>
    </w:p>
    <w:p>
      <w:pPr>
        <w:spacing w:after="0"/>
        <w:rPr>
          <w:sz w:val="15"/>
        </w:rPr>
        <w:sectPr>
          <w:type w:val="continuous"/>
          <w:pgSz w:w="11910" w:h="16840"/>
          <w:pgMar w:top="520" w:bottom="280" w:left="920" w:right="800"/>
        </w:sectPr>
      </w:pPr>
    </w:p>
    <w:p>
      <w:pPr>
        <w:pStyle w:val="Heading3"/>
        <w:tabs>
          <w:tab w:pos="953" w:val="left" w:leader="none"/>
        </w:tabs>
        <w:ind w:left="101"/>
      </w:pPr>
      <w:r>
        <w:rPr/>
        <w:t>注</w:t>
      </w:r>
      <w:r>
        <w:rPr>
          <w:spacing w:val="-53"/>
        </w:rPr>
        <w:t> </w:t>
      </w:r>
      <w:r>
        <w:rPr/>
        <w:t>3</w:t>
        <w:tab/>
      </w:r>
      <w:r>
        <w:rPr>
          <w:w w:val="95"/>
        </w:rPr>
        <w:t>语言能力或咀嚼吞</w:t>
      </w:r>
    </w:p>
    <w:p>
      <w:pPr>
        <w:spacing w:before="36"/>
        <w:ind w:left="953" w:right="0" w:firstLine="0"/>
        <w:jc w:val="left"/>
        <w:rPr>
          <w:b/>
          <w:sz w:val="21"/>
        </w:rPr>
      </w:pPr>
      <w:r>
        <w:rPr>
          <w:b/>
          <w:w w:val="95"/>
          <w:sz w:val="21"/>
        </w:rPr>
        <w:t>咽能力完全丧失</w:t>
      </w:r>
    </w:p>
    <w:p>
      <w:pPr>
        <w:pStyle w:val="BodyText"/>
        <w:spacing w:line="273" w:lineRule="auto" w:before="35"/>
        <w:ind w:left="101" w:right="103"/>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20" w:bottom="280" w:left="920" w:right="800"/>
          <w:cols w:num="2" w:equalWidth="0">
            <w:col w:w="2641" w:space="142"/>
            <w:col w:w="7407"/>
          </w:cols>
        </w:sectPr>
      </w:pPr>
    </w:p>
    <w:p>
      <w:pPr>
        <w:pStyle w:val="BodyText"/>
        <w:spacing w:before="10"/>
        <w:rPr>
          <w:sz w:val="14"/>
        </w:rPr>
      </w:pPr>
    </w:p>
    <w:p>
      <w:pPr>
        <w:pStyle w:val="BodyText"/>
        <w:tabs>
          <w:tab w:pos="953" w:val="left" w:leader="none"/>
          <w:tab w:pos="2884" w:val="left" w:leader="none"/>
        </w:tabs>
        <w:spacing w:line="256" w:lineRule="auto" w:before="42"/>
        <w:ind w:left="2884" w:right="208" w:hanging="2783"/>
      </w:pPr>
      <w:r>
        <w:rPr>
          <w:b/>
        </w:rPr>
        <w:t>注</w:t>
      </w:r>
      <w:r>
        <w:rPr>
          <w:b/>
          <w:spacing w:val="-53"/>
        </w:rPr>
        <w:t> </w:t>
      </w:r>
      <w:r>
        <w:rPr>
          <w:b/>
        </w:rPr>
        <w:t>4</w:t>
        <w:tab/>
        <w:t>永久不可逆</w:t>
        <w:tab/>
      </w:r>
      <w:r>
        <w:rPr/>
        <w:t>指自疾病确诊或意外伤害发生之日起</w:t>
      </w:r>
      <w:r>
        <w:rPr>
          <w:spacing w:val="-26"/>
        </w:rPr>
        <w:t>，</w:t>
      </w:r>
      <w:r>
        <w:rPr/>
        <w:t>经过积极治疗</w:t>
      </w:r>
      <w:r>
        <w:rPr>
          <w:spacing w:val="-54"/>
        </w:rPr>
        <w:t> </w:t>
      </w:r>
      <w:r>
        <w:rPr>
          <w:rFonts w:ascii="Times New Roman" w:eastAsia="Times New Roman"/>
        </w:rPr>
        <w:t>180</w:t>
      </w:r>
      <w:r>
        <w:rPr>
          <w:rFonts w:ascii="Times New Roman" w:eastAsia="Times New Roman"/>
          <w:spacing w:val="-2"/>
        </w:rPr>
        <w:t> </w:t>
      </w:r>
      <w:r>
        <w:rPr/>
        <w:t>天后</w:t>
      </w:r>
      <w:r>
        <w:rPr>
          <w:spacing w:val="-26"/>
        </w:rPr>
        <w:t>，</w:t>
      </w:r>
      <w:r>
        <w:rPr/>
        <w:t>仍无法通过现有医疗手段恢复。</w:t>
      </w:r>
    </w:p>
    <w:sectPr>
      <w:type w:val="continuous"/>
      <w:pgSz w:w="11910" w:h="16840"/>
      <w:pgMar w:top="52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upperRoman"/>
      <w:lvlText w:val="%1"/>
      <w:lvlJc w:val="left"/>
      <w:pPr>
        <w:ind w:left="259" w:hanging="159"/>
        <w:jc w:val="left"/>
      </w:pPr>
      <w:rPr>
        <w:rFonts w:hint="default" w:ascii="宋体" w:hAnsi="宋体" w:eastAsia="宋体" w:cs="宋体"/>
        <w:w w:val="100"/>
        <w:sz w:val="21"/>
        <w:szCs w:val="21"/>
      </w:rPr>
    </w:lvl>
    <w:lvl w:ilvl="1">
      <w:start w:val="0"/>
      <w:numFmt w:val="bullet"/>
      <w:lvlText w:val="•"/>
      <w:lvlJc w:val="left"/>
      <w:pPr>
        <w:ind w:left="974" w:hanging="159"/>
      </w:pPr>
      <w:rPr>
        <w:rFonts w:hint="default"/>
      </w:rPr>
    </w:lvl>
    <w:lvl w:ilvl="2">
      <w:start w:val="0"/>
      <w:numFmt w:val="bullet"/>
      <w:lvlText w:val="•"/>
      <w:lvlJc w:val="left"/>
      <w:pPr>
        <w:ind w:left="1688" w:hanging="159"/>
      </w:pPr>
      <w:rPr>
        <w:rFonts w:hint="default"/>
      </w:rPr>
    </w:lvl>
    <w:lvl w:ilvl="3">
      <w:start w:val="0"/>
      <w:numFmt w:val="bullet"/>
      <w:lvlText w:val="•"/>
      <w:lvlJc w:val="left"/>
      <w:pPr>
        <w:ind w:left="2402" w:hanging="159"/>
      </w:pPr>
      <w:rPr>
        <w:rFonts w:hint="default"/>
      </w:rPr>
    </w:lvl>
    <w:lvl w:ilvl="4">
      <w:start w:val="0"/>
      <w:numFmt w:val="bullet"/>
      <w:lvlText w:val="•"/>
      <w:lvlJc w:val="left"/>
      <w:pPr>
        <w:ind w:left="3116" w:hanging="159"/>
      </w:pPr>
      <w:rPr>
        <w:rFonts w:hint="default"/>
      </w:rPr>
    </w:lvl>
    <w:lvl w:ilvl="5">
      <w:start w:val="0"/>
      <w:numFmt w:val="bullet"/>
      <w:lvlText w:val="•"/>
      <w:lvlJc w:val="left"/>
      <w:pPr>
        <w:ind w:left="3830" w:hanging="159"/>
      </w:pPr>
      <w:rPr>
        <w:rFonts w:hint="default"/>
      </w:rPr>
    </w:lvl>
    <w:lvl w:ilvl="6">
      <w:start w:val="0"/>
      <w:numFmt w:val="bullet"/>
      <w:lvlText w:val="•"/>
      <w:lvlJc w:val="left"/>
      <w:pPr>
        <w:ind w:left="4544" w:hanging="159"/>
      </w:pPr>
      <w:rPr>
        <w:rFonts w:hint="default"/>
      </w:rPr>
    </w:lvl>
    <w:lvl w:ilvl="7">
      <w:start w:val="0"/>
      <w:numFmt w:val="bullet"/>
      <w:lvlText w:val="•"/>
      <w:lvlJc w:val="left"/>
      <w:pPr>
        <w:ind w:left="5259" w:hanging="159"/>
      </w:pPr>
      <w:rPr>
        <w:rFonts w:hint="default"/>
      </w:rPr>
    </w:lvl>
    <w:lvl w:ilvl="8">
      <w:start w:val="0"/>
      <w:numFmt w:val="bullet"/>
      <w:lvlText w:val="•"/>
      <w:lvlJc w:val="left"/>
      <w:pPr>
        <w:ind w:left="5973" w:hanging="159"/>
      </w:pPr>
      <w:rPr>
        <w:rFonts w:hint="default"/>
      </w:rPr>
    </w:lvl>
  </w:abstractNum>
  <w:abstractNum w:abstractNumId="13">
    <w:multiLevelType w:val="hybridMultilevel"/>
    <w:lvl w:ilvl="0">
      <w:start w:val="9"/>
      <w:numFmt w:val="decimal"/>
      <w:lvlText w:val="%1"/>
      <w:lvlJc w:val="left"/>
      <w:pPr>
        <w:ind w:left="3004" w:hanging="853"/>
        <w:jc w:val="left"/>
      </w:pPr>
      <w:rPr>
        <w:rFonts w:hint="default"/>
      </w:rPr>
    </w:lvl>
    <w:lvl w:ilvl="1">
      <w:start w:val="1"/>
      <w:numFmt w:val="decimal"/>
      <w:lvlText w:val="%1.%2"/>
      <w:lvlJc w:val="left"/>
      <w:pPr>
        <w:ind w:left="3004" w:hanging="853"/>
        <w:jc w:val="left"/>
      </w:pPr>
      <w:rPr>
        <w:rFonts w:hint="default" w:ascii="宋体" w:hAnsi="宋体" w:eastAsia="宋体" w:cs="宋体"/>
        <w:b/>
        <w:bCs/>
        <w:w w:val="99"/>
        <w:sz w:val="21"/>
        <w:szCs w:val="21"/>
      </w:rPr>
    </w:lvl>
    <w:lvl w:ilvl="2">
      <w:start w:val="0"/>
      <w:numFmt w:val="bullet"/>
      <w:lvlText w:val="•"/>
      <w:lvlJc w:val="left"/>
      <w:pPr>
        <w:ind w:left="4291" w:hanging="853"/>
      </w:pPr>
      <w:rPr>
        <w:rFonts w:hint="default"/>
      </w:rPr>
    </w:lvl>
    <w:lvl w:ilvl="3">
      <w:start w:val="0"/>
      <w:numFmt w:val="bullet"/>
      <w:lvlText w:val="•"/>
      <w:lvlJc w:val="left"/>
      <w:pPr>
        <w:ind w:left="5043" w:hanging="853"/>
      </w:pPr>
      <w:rPr>
        <w:rFonts w:hint="default"/>
      </w:rPr>
    </w:lvl>
    <w:lvl w:ilvl="4">
      <w:start w:val="0"/>
      <w:numFmt w:val="bullet"/>
      <w:lvlText w:val="•"/>
      <w:lvlJc w:val="left"/>
      <w:pPr>
        <w:ind w:left="5794" w:hanging="853"/>
      </w:pPr>
      <w:rPr>
        <w:rFonts w:hint="default"/>
      </w:rPr>
    </w:lvl>
    <w:lvl w:ilvl="5">
      <w:start w:val="0"/>
      <w:numFmt w:val="bullet"/>
      <w:lvlText w:val="•"/>
      <w:lvlJc w:val="left"/>
      <w:pPr>
        <w:ind w:left="6546" w:hanging="853"/>
      </w:pPr>
      <w:rPr>
        <w:rFonts w:hint="default"/>
      </w:rPr>
    </w:lvl>
    <w:lvl w:ilvl="6">
      <w:start w:val="0"/>
      <w:numFmt w:val="bullet"/>
      <w:lvlText w:val="•"/>
      <w:lvlJc w:val="left"/>
      <w:pPr>
        <w:ind w:left="7298" w:hanging="853"/>
      </w:pPr>
      <w:rPr>
        <w:rFonts w:hint="default"/>
      </w:rPr>
    </w:lvl>
    <w:lvl w:ilvl="7">
      <w:start w:val="0"/>
      <w:numFmt w:val="bullet"/>
      <w:lvlText w:val="•"/>
      <w:lvlJc w:val="left"/>
      <w:pPr>
        <w:ind w:left="8049" w:hanging="853"/>
      </w:pPr>
      <w:rPr>
        <w:rFonts w:hint="default"/>
      </w:rPr>
    </w:lvl>
    <w:lvl w:ilvl="8">
      <w:start w:val="0"/>
      <w:numFmt w:val="bullet"/>
      <w:lvlText w:val="•"/>
      <w:lvlJc w:val="left"/>
      <w:pPr>
        <w:ind w:left="8801" w:hanging="853"/>
      </w:pPr>
      <w:rPr>
        <w:rFonts w:hint="default"/>
      </w:rPr>
    </w:lvl>
  </w:abstractNum>
  <w:abstractNum w:abstractNumId="12">
    <w:multiLevelType w:val="hybridMultilevel"/>
    <w:lvl w:ilvl="0">
      <w:start w:val="8"/>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11">
    <w:multiLevelType w:val="hybridMultilevel"/>
    <w:lvl w:ilvl="0">
      <w:start w:val="6"/>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10">
    <w:multiLevelType w:val="hybridMultilevel"/>
    <w:lvl w:ilvl="0">
      <w:start w:val="3"/>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9">
    <w:multiLevelType w:val="hybridMultilevel"/>
    <w:lvl w:ilvl="0">
      <w:start w:val="2"/>
      <w:numFmt w:val="decimal"/>
      <w:lvlText w:val="%1"/>
      <w:lvlJc w:val="left"/>
      <w:pPr>
        <w:ind w:left="3003" w:hanging="853"/>
        <w:jc w:val="left"/>
      </w:pPr>
      <w:rPr>
        <w:rFonts w:hint="default"/>
      </w:rPr>
    </w:lvl>
    <w:lvl w:ilvl="1">
      <w:start w:val="1"/>
      <w:numFmt w:val="decimal"/>
      <w:lvlText w:val="%1.%2"/>
      <w:lvlJc w:val="left"/>
      <w:pPr>
        <w:ind w:left="3003" w:hanging="853"/>
        <w:jc w:val="left"/>
      </w:pPr>
      <w:rPr>
        <w:rFonts w:hint="default" w:ascii="宋体" w:hAnsi="宋体" w:eastAsia="宋体" w:cs="宋体"/>
        <w:b/>
        <w:bCs/>
        <w:spacing w:val="0"/>
        <w:w w:val="99"/>
        <w:sz w:val="21"/>
        <w:szCs w:val="21"/>
      </w:rPr>
    </w:lvl>
    <w:lvl w:ilvl="2">
      <w:start w:val="0"/>
      <w:numFmt w:val="bullet"/>
      <w:lvlText w:val="•"/>
      <w:lvlJc w:val="left"/>
      <w:pPr>
        <w:ind w:left="4460" w:hanging="853"/>
      </w:pPr>
      <w:rPr>
        <w:rFonts w:hint="default"/>
      </w:rPr>
    </w:lvl>
    <w:lvl w:ilvl="3">
      <w:start w:val="0"/>
      <w:numFmt w:val="bullet"/>
      <w:lvlText w:val="•"/>
      <w:lvlJc w:val="left"/>
      <w:pPr>
        <w:ind w:left="5191" w:hanging="853"/>
      </w:pPr>
      <w:rPr>
        <w:rFonts w:hint="default"/>
      </w:rPr>
    </w:lvl>
    <w:lvl w:ilvl="4">
      <w:start w:val="0"/>
      <w:numFmt w:val="bullet"/>
      <w:lvlText w:val="•"/>
      <w:lvlJc w:val="left"/>
      <w:pPr>
        <w:ind w:left="5921" w:hanging="853"/>
      </w:pPr>
      <w:rPr>
        <w:rFonts w:hint="default"/>
      </w:rPr>
    </w:lvl>
    <w:lvl w:ilvl="5">
      <w:start w:val="0"/>
      <w:numFmt w:val="bullet"/>
      <w:lvlText w:val="•"/>
      <w:lvlJc w:val="left"/>
      <w:pPr>
        <w:ind w:left="6652" w:hanging="853"/>
      </w:pPr>
      <w:rPr>
        <w:rFonts w:hint="default"/>
      </w:rPr>
    </w:lvl>
    <w:lvl w:ilvl="6">
      <w:start w:val="0"/>
      <w:numFmt w:val="bullet"/>
      <w:lvlText w:val="•"/>
      <w:lvlJc w:val="left"/>
      <w:pPr>
        <w:ind w:left="7382" w:hanging="853"/>
      </w:pPr>
      <w:rPr>
        <w:rFonts w:hint="default"/>
      </w:rPr>
    </w:lvl>
    <w:lvl w:ilvl="7">
      <w:start w:val="0"/>
      <w:numFmt w:val="bullet"/>
      <w:lvlText w:val="•"/>
      <w:lvlJc w:val="left"/>
      <w:pPr>
        <w:ind w:left="8113" w:hanging="853"/>
      </w:pPr>
      <w:rPr>
        <w:rFonts w:hint="default"/>
      </w:rPr>
    </w:lvl>
    <w:lvl w:ilvl="8">
      <w:start w:val="0"/>
      <w:numFmt w:val="bullet"/>
      <w:lvlText w:val="•"/>
      <w:lvlJc w:val="left"/>
      <w:pPr>
        <w:ind w:left="8843" w:hanging="853"/>
      </w:pPr>
      <w:rPr>
        <w:rFonts w:hint="default"/>
      </w:rPr>
    </w:lvl>
  </w:abstractNum>
  <w:abstractNum w:abstractNumId="8">
    <w:multiLevelType w:val="hybridMultilevel"/>
    <w:lvl w:ilvl="0">
      <w:start w:val="1"/>
      <w:numFmt w:val="decimal"/>
      <w:lvlText w:val="%1"/>
      <w:lvlJc w:val="left"/>
      <w:pPr>
        <w:ind w:left="3003" w:hanging="852"/>
        <w:jc w:val="left"/>
      </w:pPr>
      <w:rPr>
        <w:rFonts w:hint="default"/>
      </w:rPr>
    </w:lvl>
    <w:lvl w:ilvl="1">
      <w:start w:val="1"/>
      <w:numFmt w:val="decimal"/>
      <w:lvlText w:val="%1.%2"/>
      <w:lvlJc w:val="left"/>
      <w:pPr>
        <w:ind w:left="3003" w:hanging="852"/>
        <w:jc w:val="left"/>
      </w:pPr>
      <w:rPr>
        <w:rFonts w:hint="default" w:ascii="宋体" w:hAnsi="宋体" w:eastAsia="宋体" w:cs="宋体"/>
        <w:b/>
        <w:bCs/>
        <w:w w:val="99"/>
        <w:sz w:val="21"/>
        <w:szCs w:val="21"/>
      </w:rPr>
    </w:lvl>
    <w:lvl w:ilvl="2">
      <w:start w:val="0"/>
      <w:numFmt w:val="bullet"/>
      <w:lvlText w:val="•"/>
      <w:lvlJc w:val="left"/>
      <w:pPr>
        <w:ind w:left="4460" w:hanging="852"/>
      </w:pPr>
      <w:rPr>
        <w:rFonts w:hint="default"/>
      </w:rPr>
    </w:lvl>
    <w:lvl w:ilvl="3">
      <w:start w:val="0"/>
      <w:numFmt w:val="bullet"/>
      <w:lvlText w:val="•"/>
      <w:lvlJc w:val="left"/>
      <w:pPr>
        <w:ind w:left="5191" w:hanging="852"/>
      </w:pPr>
      <w:rPr>
        <w:rFonts w:hint="default"/>
      </w:rPr>
    </w:lvl>
    <w:lvl w:ilvl="4">
      <w:start w:val="0"/>
      <w:numFmt w:val="bullet"/>
      <w:lvlText w:val="•"/>
      <w:lvlJc w:val="left"/>
      <w:pPr>
        <w:ind w:left="5921" w:hanging="852"/>
      </w:pPr>
      <w:rPr>
        <w:rFonts w:hint="default"/>
      </w:rPr>
    </w:lvl>
    <w:lvl w:ilvl="5">
      <w:start w:val="0"/>
      <w:numFmt w:val="bullet"/>
      <w:lvlText w:val="•"/>
      <w:lvlJc w:val="left"/>
      <w:pPr>
        <w:ind w:left="6652" w:hanging="852"/>
      </w:pPr>
      <w:rPr>
        <w:rFonts w:hint="default"/>
      </w:rPr>
    </w:lvl>
    <w:lvl w:ilvl="6">
      <w:start w:val="0"/>
      <w:numFmt w:val="bullet"/>
      <w:lvlText w:val="•"/>
      <w:lvlJc w:val="left"/>
      <w:pPr>
        <w:ind w:left="7382" w:hanging="852"/>
      </w:pPr>
      <w:rPr>
        <w:rFonts w:hint="default"/>
      </w:rPr>
    </w:lvl>
    <w:lvl w:ilvl="7">
      <w:start w:val="0"/>
      <w:numFmt w:val="bullet"/>
      <w:lvlText w:val="•"/>
      <w:lvlJc w:val="left"/>
      <w:pPr>
        <w:ind w:left="8113" w:hanging="852"/>
      </w:pPr>
      <w:rPr>
        <w:rFonts w:hint="default"/>
      </w:rPr>
    </w:lvl>
    <w:lvl w:ilvl="8">
      <w:start w:val="0"/>
      <w:numFmt w:val="bullet"/>
      <w:lvlText w:val="•"/>
      <w:lvlJc w:val="left"/>
      <w:pPr>
        <w:ind w:left="8843" w:hanging="852"/>
      </w:pPr>
      <w:rPr>
        <w:rFonts w:hint="default"/>
      </w:rPr>
    </w:lvl>
  </w:abstractNum>
  <w:abstractNum w:abstractNumId="7">
    <w:multiLevelType w:val="hybridMultilevel"/>
    <w:lvl w:ilvl="0">
      <w:start w:val="9"/>
      <w:numFmt w:val="decimal"/>
      <w:lvlText w:val="%1"/>
      <w:lvlJc w:val="left"/>
      <w:pPr>
        <w:ind w:left="999" w:hanging="420"/>
        <w:jc w:val="left"/>
      </w:pPr>
      <w:rPr>
        <w:rFonts w:hint="default"/>
      </w:rPr>
    </w:lvl>
    <w:lvl w:ilvl="1">
      <w:start w:val="1"/>
      <w:numFmt w:val="decimal"/>
      <w:lvlText w:val="%1.%2"/>
      <w:lvlJc w:val="left"/>
      <w:pPr>
        <w:ind w:left="1000" w:hanging="420"/>
        <w:jc w:val="left"/>
      </w:pPr>
      <w:rPr>
        <w:rFonts w:hint="default" w:ascii="宋体" w:hAnsi="宋体" w:eastAsia="宋体" w:cs="宋体"/>
        <w:spacing w:val="-1"/>
        <w:w w:val="100"/>
        <w:sz w:val="21"/>
        <w:szCs w:val="21"/>
      </w:rPr>
    </w:lvl>
    <w:lvl w:ilvl="2">
      <w:start w:val="0"/>
      <w:numFmt w:val="bullet"/>
      <w:lvlText w:val="•"/>
      <w:lvlJc w:val="left"/>
      <w:pPr>
        <w:ind w:left="2167" w:hanging="420"/>
      </w:pPr>
      <w:rPr>
        <w:rFonts w:hint="default"/>
      </w:rPr>
    </w:lvl>
    <w:lvl w:ilvl="3">
      <w:start w:val="0"/>
      <w:numFmt w:val="bullet"/>
      <w:lvlText w:val="•"/>
      <w:lvlJc w:val="left"/>
      <w:pPr>
        <w:ind w:left="2750" w:hanging="420"/>
      </w:pPr>
      <w:rPr>
        <w:rFonts w:hint="default"/>
      </w:rPr>
    </w:lvl>
    <w:lvl w:ilvl="4">
      <w:start w:val="0"/>
      <w:numFmt w:val="bullet"/>
      <w:lvlText w:val="•"/>
      <w:lvlJc w:val="left"/>
      <w:pPr>
        <w:ind w:left="3334" w:hanging="420"/>
      </w:pPr>
      <w:rPr>
        <w:rFonts w:hint="default"/>
      </w:rPr>
    </w:lvl>
    <w:lvl w:ilvl="5">
      <w:start w:val="0"/>
      <w:numFmt w:val="bullet"/>
      <w:lvlText w:val="•"/>
      <w:lvlJc w:val="left"/>
      <w:pPr>
        <w:ind w:left="3917" w:hanging="420"/>
      </w:pPr>
      <w:rPr>
        <w:rFonts w:hint="default"/>
      </w:rPr>
    </w:lvl>
    <w:lvl w:ilvl="6">
      <w:start w:val="0"/>
      <w:numFmt w:val="bullet"/>
      <w:lvlText w:val="•"/>
      <w:lvlJc w:val="left"/>
      <w:pPr>
        <w:ind w:left="4501" w:hanging="420"/>
      </w:pPr>
      <w:rPr>
        <w:rFonts w:hint="default"/>
      </w:rPr>
    </w:lvl>
    <w:lvl w:ilvl="7">
      <w:start w:val="0"/>
      <w:numFmt w:val="bullet"/>
      <w:lvlText w:val="•"/>
      <w:lvlJc w:val="left"/>
      <w:pPr>
        <w:ind w:left="5084" w:hanging="420"/>
      </w:pPr>
      <w:rPr>
        <w:rFonts w:hint="default"/>
      </w:rPr>
    </w:lvl>
    <w:lvl w:ilvl="8">
      <w:start w:val="0"/>
      <w:numFmt w:val="bullet"/>
      <w:lvlText w:val="•"/>
      <w:lvlJc w:val="left"/>
      <w:pPr>
        <w:ind w:left="5668" w:hanging="420"/>
      </w:pPr>
      <w:rPr>
        <w:rFonts w:hint="default"/>
      </w:rPr>
    </w:lvl>
  </w:abstractNum>
  <w:abstractNum w:abstractNumId="6">
    <w:multiLevelType w:val="hybridMultilevel"/>
    <w:lvl w:ilvl="0">
      <w:start w:val="8"/>
      <w:numFmt w:val="decimal"/>
      <w:lvlText w:val="%1"/>
      <w:lvlJc w:val="left"/>
      <w:pPr>
        <w:ind w:left="370" w:hanging="420"/>
        <w:jc w:val="left"/>
      </w:pPr>
      <w:rPr>
        <w:rFonts w:hint="default"/>
      </w:rPr>
    </w:lvl>
    <w:lvl w:ilvl="1">
      <w:start w:val="1"/>
      <w:numFmt w:val="decimal"/>
      <w:lvlText w:val="%1.%2"/>
      <w:lvlJc w:val="left"/>
      <w:pPr>
        <w:ind w:left="370" w:hanging="420"/>
        <w:jc w:val="left"/>
      </w:pPr>
      <w:rPr>
        <w:rFonts w:hint="default" w:ascii="宋体" w:hAnsi="宋体" w:eastAsia="宋体" w:cs="宋体"/>
        <w:w w:val="100"/>
        <w:sz w:val="21"/>
        <w:szCs w:val="21"/>
      </w:rPr>
    </w:lvl>
    <w:lvl w:ilvl="2">
      <w:start w:val="0"/>
      <w:numFmt w:val="bullet"/>
      <w:lvlText w:val="•"/>
      <w:lvlJc w:val="left"/>
      <w:pPr>
        <w:ind w:left="1671" w:hanging="420"/>
      </w:pPr>
      <w:rPr>
        <w:rFonts w:hint="default"/>
      </w:rPr>
    </w:lvl>
    <w:lvl w:ilvl="3">
      <w:start w:val="0"/>
      <w:numFmt w:val="bullet"/>
      <w:lvlText w:val="•"/>
      <w:lvlJc w:val="left"/>
      <w:pPr>
        <w:ind w:left="2316" w:hanging="420"/>
      </w:pPr>
      <w:rPr>
        <w:rFonts w:hint="default"/>
      </w:rPr>
    </w:lvl>
    <w:lvl w:ilvl="4">
      <w:start w:val="0"/>
      <w:numFmt w:val="bullet"/>
      <w:lvlText w:val="•"/>
      <w:lvlJc w:val="left"/>
      <w:pPr>
        <w:ind w:left="2962" w:hanging="420"/>
      </w:pPr>
      <w:rPr>
        <w:rFonts w:hint="default"/>
      </w:rPr>
    </w:lvl>
    <w:lvl w:ilvl="5">
      <w:start w:val="0"/>
      <w:numFmt w:val="bullet"/>
      <w:lvlText w:val="•"/>
      <w:lvlJc w:val="left"/>
      <w:pPr>
        <w:ind w:left="3607" w:hanging="420"/>
      </w:pPr>
      <w:rPr>
        <w:rFonts w:hint="default"/>
      </w:rPr>
    </w:lvl>
    <w:lvl w:ilvl="6">
      <w:start w:val="0"/>
      <w:numFmt w:val="bullet"/>
      <w:lvlText w:val="•"/>
      <w:lvlJc w:val="left"/>
      <w:pPr>
        <w:ind w:left="4253" w:hanging="420"/>
      </w:pPr>
      <w:rPr>
        <w:rFonts w:hint="default"/>
      </w:rPr>
    </w:lvl>
    <w:lvl w:ilvl="7">
      <w:start w:val="0"/>
      <w:numFmt w:val="bullet"/>
      <w:lvlText w:val="•"/>
      <w:lvlJc w:val="left"/>
      <w:pPr>
        <w:ind w:left="4898" w:hanging="420"/>
      </w:pPr>
      <w:rPr>
        <w:rFonts w:hint="default"/>
      </w:rPr>
    </w:lvl>
    <w:lvl w:ilvl="8">
      <w:start w:val="0"/>
      <w:numFmt w:val="bullet"/>
      <w:lvlText w:val="•"/>
      <w:lvlJc w:val="left"/>
      <w:pPr>
        <w:ind w:left="5544" w:hanging="420"/>
      </w:pPr>
      <w:rPr>
        <w:rFonts w:hint="default"/>
      </w:rPr>
    </w:lvl>
  </w:abstractNum>
  <w:abstractNum w:abstractNumId="5">
    <w:multiLevelType w:val="hybridMultilevel"/>
    <w:lvl w:ilvl="0">
      <w:start w:val="6"/>
      <w:numFmt w:val="decimal"/>
      <w:lvlText w:val="%1"/>
      <w:lvlJc w:val="left"/>
      <w:pPr>
        <w:ind w:left="370" w:hanging="420"/>
        <w:jc w:val="left"/>
      </w:pPr>
      <w:rPr>
        <w:rFonts w:hint="default"/>
      </w:rPr>
    </w:lvl>
    <w:lvl w:ilvl="1">
      <w:start w:val="1"/>
      <w:numFmt w:val="decimal"/>
      <w:lvlText w:val="%1.%2"/>
      <w:lvlJc w:val="left"/>
      <w:pPr>
        <w:ind w:left="370" w:hanging="420"/>
        <w:jc w:val="left"/>
      </w:pPr>
      <w:rPr>
        <w:rFonts w:hint="default" w:ascii="宋体" w:hAnsi="宋体" w:eastAsia="宋体" w:cs="宋体"/>
        <w:w w:val="100"/>
        <w:sz w:val="21"/>
        <w:szCs w:val="21"/>
      </w:rPr>
    </w:lvl>
    <w:lvl w:ilvl="2">
      <w:start w:val="0"/>
      <w:numFmt w:val="bullet"/>
      <w:lvlText w:val="•"/>
      <w:lvlJc w:val="left"/>
      <w:pPr>
        <w:ind w:left="1671" w:hanging="420"/>
      </w:pPr>
      <w:rPr>
        <w:rFonts w:hint="default"/>
      </w:rPr>
    </w:lvl>
    <w:lvl w:ilvl="3">
      <w:start w:val="0"/>
      <w:numFmt w:val="bullet"/>
      <w:lvlText w:val="•"/>
      <w:lvlJc w:val="left"/>
      <w:pPr>
        <w:ind w:left="2316" w:hanging="420"/>
      </w:pPr>
      <w:rPr>
        <w:rFonts w:hint="default"/>
      </w:rPr>
    </w:lvl>
    <w:lvl w:ilvl="4">
      <w:start w:val="0"/>
      <w:numFmt w:val="bullet"/>
      <w:lvlText w:val="•"/>
      <w:lvlJc w:val="left"/>
      <w:pPr>
        <w:ind w:left="2962" w:hanging="420"/>
      </w:pPr>
      <w:rPr>
        <w:rFonts w:hint="default"/>
      </w:rPr>
    </w:lvl>
    <w:lvl w:ilvl="5">
      <w:start w:val="0"/>
      <w:numFmt w:val="bullet"/>
      <w:lvlText w:val="•"/>
      <w:lvlJc w:val="left"/>
      <w:pPr>
        <w:ind w:left="3607" w:hanging="420"/>
      </w:pPr>
      <w:rPr>
        <w:rFonts w:hint="default"/>
      </w:rPr>
    </w:lvl>
    <w:lvl w:ilvl="6">
      <w:start w:val="0"/>
      <w:numFmt w:val="bullet"/>
      <w:lvlText w:val="•"/>
      <w:lvlJc w:val="left"/>
      <w:pPr>
        <w:ind w:left="4253" w:hanging="420"/>
      </w:pPr>
      <w:rPr>
        <w:rFonts w:hint="default"/>
      </w:rPr>
    </w:lvl>
    <w:lvl w:ilvl="7">
      <w:start w:val="0"/>
      <w:numFmt w:val="bullet"/>
      <w:lvlText w:val="•"/>
      <w:lvlJc w:val="left"/>
      <w:pPr>
        <w:ind w:left="4898" w:hanging="420"/>
      </w:pPr>
      <w:rPr>
        <w:rFonts w:hint="default"/>
      </w:rPr>
    </w:lvl>
    <w:lvl w:ilvl="8">
      <w:start w:val="0"/>
      <w:numFmt w:val="bullet"/>
      <w:lvlText w:val="•"/>
      <w:lvlJc w:val="left"/>
      <w:pPr>
        <w:ind w:left="5544" w:hanging="420"/>
      </w:pPr>
      <w:rPr>
        <w:rFonts w:hint="default"/>
      </w:rPr>
    </w:lvl>
  </w:abstractNum>
  <w:abstractNum w:abstractNumId="4">
    <w:multiLevelType w:val="hybridMultilevel"/>
    <w:lvl w:ilvl="0">
      <w:start w:val="4"/>
      <w:numFmt w:val="decimal"/>
      <w:lvlText w:val="%1."/>
      <w:lvlJc w:val="left"/>
      <w:pPr>
        <w:ind w:left="1441" w:hanging="316"/>
        <w:jc w:val="left"/>
      </w:pPr>
      <w:rPr>
        <w:rFonts w:hint="default" w:ascii="宋体" w:hAnsi="宋体" w:eastAsia="宋体" w:cs="宋体"/>
        <w:w w:val="100"/>
        <w:sz w:val="21"/>
        <w:szCs w:val="21"/>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1958" w:hanging="420"/>
      </w:pPr>
      <w:rPr>
        <w:rFonts w:hint="default"/>
      </w:rPr>
    </w:lvl>
    <w:lvl w:ilvl="3">
      <w:start w:val="0"/>
      <w:numFmt w:val="bullet"/>
      <w:lvlText w:val="•"/>
      <w:lvlJc w:val="left"/>
      <w:pPr>
        <w:ind w:left="2157" w:hanging="420"/>
      </w:pPr>
      <w:rPr>
        <w:rFonts w:hint="default"/>
      </w:rPr>
    </w:lvl>
    <w:lvl w:ilvl="4">
      <w:start w:val="0"/>
      <w:numFmt w:val="bullet"/>
      <w:lvlText w:val="•"/>
      <w:lvlJc w:val="left"/>
      <w:pPr>
        <w:ind w:left="2356" w:hanging="420"/>
      </w:pPr>
      <w:rPr>
        <w:rFonts w:hint="default"/>
      </w:rPr>
    </w:lvl>
    <w:lvl w:ilvl="5">
      <w:start w:val="0"/>
      <w:numFmt w:val="bullet"/>
      <w:lvlText w:val="•"/>
      <w:lvlJc w:val="left"/>
      <w:pPr>
        <w:ind w:left="2555" w:hanging="420"/>
      </w:pPr>
      <w:rPr>
        <w:rFonts w:hint="default"/>
      </w:rPr>
    </w:lvl>
    <w:lvl w:ilvl="6">
      <w:start w:val="0"/>
      <w:numFmt w:val="bullet"/>
      <w:lvlText w:val="•"/>
      <w:lvlJc w:val="left"/>
      <w:pPr>
        <w:ind w:left="2754" w:hanging="420"/>
      </w:pPr>
      <w:rPr>
        <w:rFonts w:hint="default"/>
      </w:rPr>
    </w:lvl>
    <w:lvl w:ilvl="7">
      <w:start w:val="0"/>
      <w:numFmt w:val="bullet"/>
      <w:lvlText w:val="•"/>
      <w:lvlJc w:val="left"/>
      <w:pPr>
        <w:ind w:left="2952" w:hanging="420"/>
      </w:pPr>
      <w:rPr>
        <w:rFonts w:hint="default"/>
      </w:rPr>
    </w:lvl>
    <w:lvl w:ilvl="8">
      <w:start w:val="0"/>
      <w:numFmt w:val="bullet"/>
      <w:lvlText w:val="•"/>
      <w:lvlJc w:val="left"/>
      <w:pPr>
        <w:ind w:left="3151" w:hanging="420"/>
      </w:pPr>
      <w:rPr>
        <w:rFonts w:hint="default"/>
      </w:rPr>
    </w:lvl>
  </w:abstractNum>
  <w:abstractNum w:abstractNumId="3">
    <w:multiLevelType w:val="hybridMultilevel"/>
    <w:lvl w:ilvl="0">
      <w:start w:val="3"/>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2">
    <w:multiLevelType w:val="hybridMultilevel"/>
    <w:lvl w:ilvl="0">
      <w:start w:val="2"/>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1">
    <w:multiLevelType w:val="hybridMultilevel"/>
    <w:lvl w:ilvl="0">
      <w:start w:val="1"/>
      <w:numFmt w:val="decimal"/>
      <w:lvlText w:val="%1"/>
      <w:lvlJc w:val="left"/>
      <w:pPr>
        <w:ind w:left="1755" w:hanging="420"/>
        <w:jc w:val="left"/>
      </w:pPr>
      <w:rPr>
        <w:rFonts w:hint="default"/>
      </w:rPr>
    </w:lvl>
    <w:lvl w:ilvl="1">
      <w:start w:val="1"/>
      <w:numFmt w:val="decimal"/>
      <w:lvlText w:val="%1.%2"/>
      <w:lvlJc w:val="left"/>
      <w:pPr>
        <w:ind w:left="1755" w:hanging="420"/>
        <w:jc w:val="left"/>
      </w:pPr>
      <w:rPr>
        <w:rFonts w:hint="default" w:ascii="宋体" w:hAnsi="宋体" w:eastAsia="宋体" w:cs="宋体"/>
        <w:w w:val="100"/>
        <w:sz w:val="21"/>
        <w:szCs w:val="21"/>
      </w:rPr>
    </w:lvl>
    <w:lvl w:ilvl="2">
      <w:start w:val="0"/>
      <w:numFmt w:val="bullet"/>
      <w:lvlText w:val="•"/>
      <w:lvlJc w:val="left"/>
      <w:pPr>
        <w:ind w:left="2117" w:hanging="420"/>
      </w:pPr>
      <w:rPr>
        <w:rFonts w:hint="default"/>
      </w:rPr>
    </w:lvl>
    <w:lvl w:ilvl="3">
      <w:start w:val="0"/>
      <w:numFmt w:val="bullet"/>
      <w:lvlText w:val="•"/>
      <w:lvlJc w:val="left"/>
      <w:pPr>
        <w:ind w:left="2296" w:hanging="420"/>
      </w:pPr>
      <w:rPr>
        <w:rFonts w:hint="default"/>
      </w:rPr>
    </w:lvl>
    <w:lvl w:ilvl="4">
      <w:start w:val="0"/>
      <w:numFmt w:val="bullet"/>
      <w:lvlText w:val="•"/>
      <w:lvlJc w:val="left"/>
      <w:pPr>
        <w:ind w:left="2475" w:hanging="420"/>
      </w:pPr>
      <w:rPr>
        <w:rFonts w:hint="default"/>
      </w:rPr>
    </w:lvl>
    <w:lvl w:ilvl="5">
      <w:start w:val="0"/>
      <w:numFmt w:val="bullet"/>
      <w:lvlText w:val="•"/>
      <w:lvlJc w:val="left"/>
      <w:pPr>
        <w:ind w:left="2654" w:hanging="420"/>
      </w:pPr>
      <w:rPr>
        <w:rFonts w:hint="default"/>
      </w:rPr>
    </w:lvl>
    <w:lvl w:ilvl="6">
      <w:start w:val="0"/>
      <w:numFmt w:val="bullet"/>
      <w:lvlText w:val="•"/>
      <w:lvlJc w:val="left"/>
      <w:pPr>
        <w:ind w:left="2833" w:hanging="420"/>
      </w:pPr>
      <w:rPr>
        <w:rFonts w:hint="default"/>
      </w:rPr>
    </w:lvl>
    <w:lvl w:ilvl="7">
      <w:start w:val="0"/>
      <w:numFmt w:val="bullet"/>
      <w:lvlText w:val="•"/>
      <w:lvlJc w:val="left"/>
      <w:pPr>
        <w:ind w:left="3012" w:hanging="420"/>
      </w:pPr>
      <w:rPr>
        <w:rFonts w:hint="default"/>
      </w:rPr>
    </w:lvl>
    <w:lvl w:ilvl="8">
      <w:start w:val="0"/>
      <w:numFmt w:val="bullet"/>
      <w:lvlText w:val="•"/>
      <w:lvlJc w:val="left"/>
      <w:pPr>
        <w:ind w:left="3191"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72" w:hanging="420"/>
      </w:pPr>
      <w:rPr>
        <w:rFonts w:hint="default"/>
      </w:rPr>
    </w:lvl>
    <w:lvl w:ilvl="2">
      <w:start w:val="0"/>
      <w:numFmt w:val="bullet"/>
      <w:lvlText w:val="•"/>
      <w:lvlJc w:val="left"/>
      <w:pPr>
        <w:ind w:left="3444" w:hanging="420"/>
      </w:pPr>
      <w:rPr>
        <w:rFonts w:hint="default"/>
      </w:rPr>
    </w:lvl>
    <w:lvl w:ilvl="3">
      <w:start w:val="0"/>
      <w:numFmt w:val="bullet"/>
      <w:lvlText w:val="•"/>
      <w:lvlJc w:val="left"/>
      <w:pPr>
        <w:ind w:left="4317" w:hanging="420"/>
      </w:pPr>
      <w:rPr>
        <w:rFonts w:hint="default"/>
      </w:rPr>
    </w:lvl>
    <w:lvl w:ilvl="4">
      <w:start w:val="0"/>
      <w:numFmt w:val="bullet"/>
      <w:lvlText w:val="•"/>
      <w:lvlJc w:val="left"/>
      <w:pPr>
        <w:ind w:left="5189" w:hanging="420"/>
      </w:pPr>
      <w:rPr>
        <w:rFonts w:hint="default"/>
      </w:rPr>
    </w:lvl>
    <w:lvl w:ilvl="5">
      <w:start w:val="0"/>
      <w:numFmt w:val="bullet"/>
      <w:lvlText w:val="•"/>
      <w:lvlJc w:val="left"/>
      <w:pPr>
        <w:ind w:left="6062" w:hanging="420"/>
      </w:pPr>
      <w:rPr>
        <w:rFonts w:hint="default"/>
      </w:rPr>
    </w:lvl>
    <w:lvl w:ilvl="6">
      <w:start w:val="0"/>
      <w:numFmt w:val="bullet"/>
      <w:lvlText w:val="•"/>
      <w:lvlJc w:val="left"/>
      <w:pPr>
        <w:ind w:left="6934" w:hanging="420"/>
      </w:pPr>
      <w:rPr>
        <w:rFonts w:hint="default"/>
      </w:rPr>
    </w:lvl>
    <w:lvl w:ilvl="7">
      <w:start w:val="0"/>
      <w:numFmt w:val="bullet"/>
      <w:lvlText w:val="•"/>
      <w:lvlJc w:val="left"/>
      <w:pPr>
        <w:ind w:left="7807" w:hanging="420"/>
      </w:pPr>
      <w:rPr>
        <w:rFonts w:hint="default"/>
      </w:rPr>
    </w:lvl>
    <w:lvl w:ilvl="8">
      <w:start w:val="0"/>
      <w:numFmt w:val="bullet"/>
      <w:lvlText w:val="•"/>
      <w:lvlJc w:val="left"/>
      <w:pPr>
        <w:ind w:left="8679"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526"/>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953"/>
      <w:outlineLvl w:val="3"/>
    </w:pPr>
    <w:rPr>
      <w:rFonts w:ascii="宋体" w:hAnsi="宋体" w:eastAsia="宋体" w:cs="宋体"/>
      <w:b/>
      <w:bCs/>
      <w:sz w:val="21"/>
      <w:szCs w:val="21"/>
    </w:rPr>
  </w:style>
  <w:style w:styleId="ListParagraph" w:type="paragraph">
    <w:name w:val="List Paragraph"/>
    <w:basedOn w:val="Normal"/>
    <w:uiPriority w:val="1"/>
    <w:qFormat/>
    <w:pPr>
      <w:ind w:left="175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&lt;4D6963726F736F667420576F7264202D20BDBBD2F8BFB5C1AAB8BDBCD3D6D8B4F3BCB2B2A1B1A3CFD5A3A843A3A92DCCF5BFEE2D31A3A8B6FECEACC2EBA3A9&gt;</dc:title>
  <dcterms:created xsi:type="dcterms:W3CDTF">2018-10-19T22:50:55Z</dcterms:created>
  <dcterms:modified xsi:type="dcterms:W3CDTF">2018-10-19T22:50:55Z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2014-04-29T00:00:00Z</vt:filetime>
  </property>
  <property fmtid="{D5CDD505-2E9C-101B-9397-08002B2CF9AE}" pid="3" name="Creator">
    <vt:lpwstr>PScript5.dll Version 5.2.2</vt:lpwstr>
  </property>
  <property fmtid="{D5CDD505-2E9C-101B-9397-08002B2CF9AE}" pid="4" name="LastSaved">
    <vt:filetime>2018-10-19T00:00:00Z</vt:filetime>
  </property>
</Properties>
</file>