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0" w:right="282" w:firstLine="0"/>
        <w:jc w:val="right"/>
        <w:rPr>
          <w:sz w:val="18"/>
        </w:rPr>
      </w:pPr>
      <w:r>
        <w:rPr/>
        <w:drawing>
          <wp:anchor distT="0" distB="0" distL="0" distR="0" allowOverlap="1" layoutInCell="1" locked="0" behindDoc="0" simplePos="0" relativeHeight="0">
            <wp:simplePos x="0" y="0"/>
            <wp:positionH relativeFrom="page">
              <wp:posOffset>6140195</wp:posOffset>
            </wp:positionH>
            <wp:positionV relativeFrom="paragraph">
              <wp:posOffset>235098</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sz w:val="18"/>
        </w:rPr>
        <w:t>国华人寿[2012]疾病保险 005 号</w:t>
      </w:r>
    </w:p>
    <w:p>
      <w:pPr>
        <w:pStyle w:val="BodyText"/>
        <w:spacing w:before="6"/>
        <w:ind w:left="0"/>
        <w:rPr>
          <w:sz w:val="25"/>
        </w:rPr>
      </w:pPr>
    </w:p>
    <w:p>
      <w:pPr>
        <w:pStyle w:val="Heading1"/>
        <w:ind w:left="1463"/>
      </w:pPr>
      <w:r>
        <w:rPr/>
        <w:t>国华附加两全提前给付重大疾病保险（2009）条款</w:t>
      </w:r>
    </w:p>
    <w:p>
      <w:pPr>
        <w:pStyle w:val="BodyText"/>
        <w:spacing w:before="14"/>
        <w:ind w:left="0"/>
        <w:rPr>
          <w:rFonts w:ascii="微软雅黑"/>
          <w:b/>
          <w:sz w:val="6"/>
        </w:rPr>
      </w:pPr>
    </w:p>
    <w:p>
      <w:pPr>
        <w:spacing w:after="0"/>
        <w:rPr>
          <w:rFonts w:ascii="微软雅黑"/>
          <w:sz w:val="6"/>
        </w:rPr>
        <w:sectPr>
          <w:type w:val="continuous"/>
          <w:pgSz w:w="11910" w:h="16840"/>
          <w:pgMar w:top="480" w:bottom="280" w:left="680" w:right="8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6"/>
        <w:ind w:left="0"/>
        <w:rPr>
          <w:rFonts w:ascii="微软雅黑"/>
          <w:b/>
          <w:sz w:val="18"/>
        </w:rPr>
      </w:pPr>
      <w:r>
        <w:rPr/>
        <w:br w:type="column"/>
      </w:r>
      <w:r>
        <w:rPr>
          <w:rFonts w:ascii="微软雅黑"/>
          <w:b/>
          <w:sz w:val="18"/>
        </w:rPr>
      </w:r>
    </w:p>
    <w:p>
      <w:pPr>
        <w:spacing w:before="0"/>
        <w:ind w:left="2129" w:right="0" w:firstLine="0"/>
        <w:jc w:val="left"/>
        <w:rPr>
          <w:sz w:val="18"/>
        </w:rPr>
      </w:pPr>
      <w:r>
        <w:rPr>
          <w:sz w:val="18"/>
        </w:rPr>
        <w:t>请扫描以查询验证条款</w:t>
      </w:r>
    </w:p>
    <w:p>
      <w:pPr>
        <w:spacing w:after="0"/>
        <w:jc w:val="left"/>
        <w:rPr>
          <w:sz w:val="18"/>
        </w:rPr>
        <w:sectPr>
          <w:type w:val="continuous"/>
          <w:pgSz w:w="11910" w:h="16840"/>
          <w:pgMar w:top="480" w:bottom="280" w:left="680" w:right="820"/>
          <w:cols w:num="2" w:equalWidth="0">
            <w:col w:w="6153" w:space="40"/>
            <w:col w:w="4217"/>
          </w:cols>
        </w:sectPr>
      </w:pPr>
    </w:p>
    <w:p>
      <w:pPr>
        <w:spacing w:before="66"/>
        <w:ind w:left="340" w:right="0" w:firstLine="0"/>
        <w:jc w:val="left"/>
        <w:rPr>
          <w:sz w:val="20"/>
        </w:rPr>
      </w:pPr>
      <w:r>
        <w:rPr/>
        <w:pict>
          <v:group style="position:absolute;margin-left:39pt;margin-top:27.099667pt;width:502.2pt;height:647.4pt;mso-position-horizontal-relative:page;mso-position-vertical-relative:paragraph;z-index:-33856" coordorigin="780,542" coordsize="10044,12948">
            <v:shape style="position:absolute;left:780;top:541;width:10044;height:12948" type="#_x0000_t75" stroked="false">
              <v:imagedata r:id="rId6" o:title=""/>
            </v:shape>
            <v:rect style="position:absolute;left:1963;top:6939;width:8403;height:5792" filled="false" stroked="true" strokeweight=".75pt" strokecolor="#000000">
              <v:stroke dashstyle="shortdot"/>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61"/>
          <w:w w:val="99"/>
          <w:sz w:val="20"/>
        </w:rPr>
        <w:t>，</w:t>
      </w:r>
      <w:r>
        <w:rPr>
          <w:spacing w:val="-77"/>
          <w:w w:val="99"/>
          <w:position w:val="-7"/>
          <w:sz w:val="20"/>
        </w:rPr>
        <w:t>．</w:t>
      </w:r>
      <w:r>
        <w:rPr>
          <w:spacing w:val="-142"/>
          <w:w w:val="99"/>
          <w:sz w:val="20"/>
        </w:rPr>
        <w:t>对</w:t>
      </w:r>
      <w:r>
        <w:rPr>
          <w:spacing w:val="-96"/>
          <w:w w:val="99"/>
          <w:position w:val="-7"/>
          <w:sz w:val="20"/>
        </w:rPr>
        <w:t>．</w:t>
      </w:r>
      <w:r>
        <w:rPr>
          <w:b/>
          <w:spacing w:val="-120"/>
          <w:w w:val="99"/>
          <w:sz w:val="20"/>
        </w:rPr>
        <w:t>“</w:t>
      </w:r>
      <w:r>
        <w:rPr>
          <w:spacing w:val="-77"/>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两</w:t>
      </w:r>
      <w:r>
        <w:rPr>
          <w:spacing w:val="-58"/>
          <w:w w:val="99"/>
          <w:position w:val="-7"/>
          <w:sz w:val="20"/>
        </w:rPr>
        <w:t>．</w:t>
      </w:r>
      <w:r>
        <w:rPr>
          <w:b/>
          <w:spacing w:val="-142"/>
          <w:w w:val="99"/>
          <w:sz w:val="20"/>
        </w:rPr>
        <w:t>全</w:t>
      </w:r>
      <w:r>
        <w:rPr>
          <w:spacing w:val="-58"/>
          <w:w w:val="99"/>
          <w:position w:val="-7"/>
          <w:sz w:val="20"/>
        </w:rPr>
        <w:t>．</w:t>
      </w:r>
      <w:r>
        <w:rPr>
          <w:b/>
          <w:spacing w:val="-142"/>
          <w:w w:val="99"/>
          <w:sz w:val="20"/>
        </w:rPr>
        <w:t>提</w:t>
      </w:r>
      <w:r>
        <w:rPr>
          <w:spacing w:val="-56"/>
          <w:w w:val="99"/>
          <w:position w:val="-7"/>
          <w:sz w:val="20"/>
        </w:rPr>
        <w:t>．</w:t>
      </w:r>
      <w:r>
        <w:rPr>
          <w:b/>
          <w:spacing w:val="-142"/>
          <w:w w:val="99"/>
          <w:sz w:val="20"/>
        </w:rPr>
        <w:t>前</w:t>
      </w:r>
      <w:r>
        <w:rPr>
          <w:spacing w:val="-58"/>
          <w:w w:val="99"/>
          <w:position w:val="-7"/>
          <w:sz w:val="20"/>
        </w:rPr>
        <w:t>．</w:t>
      </w:r>
      <w:r>
        <w:rPr>
          <w:b/>
          <w:spacing w:val="-140"/>
          <w:w w:val="99"/>
          <w:sz w:val="20"/>
        </w:rPr>
        <w:t>给</w:t>
      </w:r>
      <w:r>
        <w:rPr>
          <w:spacing w:val="-58"/>
          <w:w w:val="99"/>
          <w:position w:val="-7"/>
          <w:sz w:val="20"/>
        </w:rPr>
        <w:t>．</w:t>
      </w:r>
      <w:r>
        <w:rPr>
          <w:b/>
          <w:spacing w:val="-140"/>
          <w:w w:val="99"/>
          <w:sz w:val="20"/>
        </w:rPr>
        <w:t>付</w:t>
      </w:r>
      <w:r>
        <w:rPr>
          <w:spacing w:val="-58"/>
          <w:w w:val="99"/>
          <w:position w:val="-7"/>
          <w:sz w:val="20"/>
        </w:rPr>
        <w:t>．</w:t>
      </w:r>
      <w:r>
        <w:rPr>
          <w:b/>
          <w:spacing w:val="-142"/>
          <w:w w:val="99"/>
          <w:sz w:val="20"/>
        </w:rPr>
        <w:t>重</w:t>
      </w:r>
      <w:r>
        <w:rPr>
          <w:spacing w:val="-56"/>
          <w:w w:val="99"/>
          <w:position w:val="-7"/>
          <w:sz w:val="20"/>
        </w:rPr>
        <w:t>．</w:t>
      </w:r>
      <w:r>
        <w:rPr>
          <w:b/>
          <w:spacing w:val="-142"/>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2"/>
          <w:w w:val="99"/>
          <w:sz w:val="20"/>
        </w:rPr>
        <w:t>险</w:t>
      </w:r>
      <w:r>
        <w:rPr>
          <w:spacing w:val="-58"/>
          <w:w w:val="99"/>
          <w:position w:val="-7"/>
          <w:sz w:val="20"/>
        </w:rPr>
        <w:t>．</w:t>
      </w:r>
      <w:r>
        <w:rPr>
          <w:b/>
          <w:spacing w:val="-90"/>
          <w:w w:val="98"/>
          <w:sz w:val="20"/>
        </w:rPr>
        <w:t>(</w:t>
      </w:r>
      <w:r>
        <w:rPr>
          <w:spacing w:val="-108"/>
          <w:w w:val="99"/>
          <w:position w:val="-7"/>
          <w:sz w:val="20"/>
        </w:rPr>
        <w:t>．</w:t>
      </w:r>
      <w:r>
        <w:rPr>
          <w:b/>
          <w:spacing w:val="-90"/>
          <w:w w:val="98"/>
          <w:sz w:val="20"/>
        </w:rPr>
        <w:t>2</w:t>
      </w:r>
      <w:r>
        <w:rPr>
          <w:spacing w:val="-109"/>
          <w:w w:val="99"/>
          <w:position w:val="-7"/>
          <w:sz w:val="20"/>
        </w:rPr>
        <w:t>．</w:t>
      </w:r>
      <w:r>
        <w:rPr>
          <w:b/>
          <w:spacing w:val="-90"/>
          <w:w w:val="98"/>
          <w:sz w:val="20"/>
        </w:rPr>
        <w:t>0</w:t>
      </w:r>
      <w:r>
        <w:rPr>
          <w:spacing w:val="-109"/>
          <w:w w:val="99"/>
          <w:position w:val="-7"/>
          <w:sz w:val="20"/>
        </w:rPr>
        <w:t>．</w:t>
      </w:r>
      <w:r>
        <w:rPr>
          <w:b/>
          <w:spacing w:val="-90"/>
          <w:w w:val="98"/>
          <w:sz w:val="20"/>
        </w:rPr>
        <w:t>0</w:t>
      </w:r>
      <w:r>
        <w:rPr>
          <w:spacing w:val="-109"/>
          <w:w w:val="99"/>
          <w:position w:val="-7"/>
          <w:sz w:val="20"/>
        </w:rPr>
        <w:t>．</w:t>
      </w:r>
      <w:r>
        <w:rPr>
          <w:b/>
          <w:spacing w:val="-90"/>
          <w:w w:val="98"/>
          <w:sz w:val="20"/>
        </w:rPr>
        <w:t>9</w:t>
      </w:r>
      <w:r>
        <w:rPr>
          <w:spacing w:val="-108"/>
          <w:w w:val="99"/>
          <w:position w:val="-7"/>
          <w:sz w:val="20"/>
        </w:rPr>
        <w:t>．</w:t>
      </w:r>
      <w:r>
        <w:rPr>
          <w:b/>
          <w:spacing w:val="-159"/>
          <w:w w:val="99"/>
          <w:sz w:val="20"/>
        </w:rPr>
        <w:t>）</w:t>
      </w:r>
      <w:r>
        <w:rPr>
          <w:spacing w:val="-77"/>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spacing w:val="-161"/>
          <w:w w:val="99"/>
          <w:sz w:val="20"/>
        </w:rPr>
        <w:t>”</w:t>
      </w:r>
      <w:r>
        <w:rPr>
          <w:spacing w:val="-77"/>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6"/>
          <w:w w:val="99"/>
          <w:position w:val="-7"/>
          <w:sz w:val="20"/>
        </w:rPr>
        <w:t>．</w:t>
      </w:r>
      <w:r>
        <w:rPr>
          <w:spacing w:val="-142"/>
          <w:w w:val="99"/>
          <w:sz w:val="20"/>
        </w:rPr>
        <w:t>为</w:t>
      </w:r>
      <w:r>
        <w:rPr>
          <w:spacing w:val="-58"/>
          <w:w w:val="99"/>
          <w:position w:val="-7"/>
          <w:sz w:val="20"/>
        </w:rPr>
        <w:t>．</w:t>
      </w:r>
      <w:r>
        <w:rPr>
          <w:spacing w:val="-142"/>
          <w:w w:val="99"/>
          <w:sz w:val="20"/>
        </w:rPr>
        <w:t>准</w:t>
      </w:r>
      <w:r>
        <w:rPr>
          <w:spacing w:val="-58"/>
          <w:w w:val="99"/>
          <w:position w:val="-7"/>
          <w:sz w:val="20"/>
        </w:rPr>
        <w:t>．</w:t>
      </w:r>
      <w:r>
        <w:rPr>
          <w:w w:val="99"/>
          <w:sz w:val="20"/>
        </w:rPr>
        <w:t>。</w:t>
      </w:r>
    </w:p>
    <w:p>
      <w:pPr>
        <w:pStyle w:val="BodyText"/>
        <w:spacing w:before="4"/>
        <w:ind w:left="0"/>
      </w:pPr>
    </w:p>
    <w:p>
      <w:pPr>
        <w:pStyle w:val="Heading3"/>
        <w:tabs>
          <w:tab w:pos="1350" w:val="left" w:leader="none"/>
        </w:tabs>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5"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您可</w:t>
      </w:r>
      <w:r>
        <w:rPr>
          <w:sz w:val="21"/>
        </w:rPr>
        <w:t>以</w:t>
      </w:r>
      <w:r>
        <w:rPr>
          <w:spacing w:val="-3"/>
          <w:sz w:val="21"/>
        </w:rPr>
        <w:t>要</w:t>
      </w:r>
      <w:r>
        <w:rPr>
          <w:sz w:val="21"/>
        </w:rPr>
        <w:t>求全额</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提供</w:t>
      </w:r>
      <w:r>
        <w:rPr>
          <w:sz w:val="21"/>
        </w:rPr>
        <w:t>的</w:t>
      </w:r>
      <w:r>
        <w:rPr>
          <w:spacing w:val="-3"/>
          <w:sz w:val="21"/>
        </w:rPr>
        <w:t>保障</w:t>
        <w:tab/>
      </w:r>
      <w:r>
        <w:rPr>
          <w:sz w:val="21"/>
        </w:rPr>
        <w:t>2.4</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3"/>
        <w:tabs>
          <w:tab w:pos="1350" w:val="left" w:leader="none"/>
        </w:tabs>
        <w:spacing w:before="334"/>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付保</w:t>
      </w:r>
      <w:r>
        <w:rPr>
          <w:sz w:val="21"/>
        </w:rPr>
        <w:t>险费</w:t>
        <w:tab/>
        <w:t>4.1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1" w:val="left" w:leader="none"/>
          <w:tab w:pos="1733" w:val="left" w:leader="none"/>
          <w:tab w:pos="9402"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s>
        <w:spacing w:line="240" w:lineRule="auto" w:before="22" w:after="0"/>
        <w:ind w:left="1732" w:right="0" w:hanging="420"/>
        <w:jc w:val="left"/>
        <w:rPr>
          <w:sz w:val="21"/>
        </w:rPr>
      </w:pPr>
      <w:r>
        <w:rPr>
          <w:spacing w:val="-3"/>
          <w:sz w:val="21"/>
        </w:rPr>
        <w:t>保险条款有关于疾病的释义，请您留意…………………………</w:t>
      </w:r>
      <w:r>
        <w:rPr>
          <w:spacing w:val="-1"/>
          <w:sz w:val="21"/>
        </w:rPr>
        <w:t>…8.5、8.6</w:t>
      </w:r>
      <w:r>
        <w:rPr>
          <w:spacing w:val="-3"/>
          <w:sz w:val="21"/>
        </w:rPr>
        <w:t>、</w:t>
      </w:r>
      <w:r>
        <w:rPr>
          <w:spacing w:val="-1"/>
          <w:sz w:val="21"/>
        </w:rPr>
        <w:t>8.7</w:t>
      </w:r>
      <w:r>
        <w:rPr>
          <w:sz w:val="21"/>
        </w:rPr>
        <w:t>、8.8</w:t>
      </w:r>
    </w:p>
    <w:p>
      <w:pPr>
        <w:pStyle w:val="BodyText"/>
        <w:spacing w:before="7"/>
        <w:ind w:left="0"/>
        <w:rPr>
          <w:sz w:val="25"/>
        </w:rPr>
      </w:pPr>
    </w:p>
    <w:p>
      <w:pPr>
        <w:pStyle w:val="Heading3"/>
        <w:tabs>
          <w:tab w:pos="1350" w:val="left" w:leader="none"/>
        </w:tabs>
        <w:ind w:left="340"/>
      </w:pPr>
      <w:r>
        <w:rPr>
          <w:rFonts w:ascii="Arial" w:hAnsi="Arial" w:eastAsia="Arial"/>
          <w:w w:val="105"/>
          <w:position w:val="-11"/>
          <w:sz w:val="52"/>
        </w:rPr>
        <w:t></w:t>
        <w:tab/>
      </w:r>
      <w:r>
        <w:rPr>
          <w:spacing w:val="-3"/>
        </w:rPr>
        <w:t>条款是保险合同的重要内容，为充分保障您的权益，请您仔细阅读本条款。</w:t>
      </w:r>
    </w:p>
    <w:p>
      <w:pPr>
        <w:tabs>
          <w:tab w:pos="1350" w:val="left" w:leader="none"/>
        </w:tabs>
        <w:spacing w:before="337"/>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80" w:bottom="280" w:left="680" w:right="820"/>
        </w:sectPr>
      </w:pPr>
    </w:p>
    <w:p>
      <w:pPr>
        <w:pStyle w:val="Heading3"/>
        <w:spacing w:before="1"/>
        <w:ind w:left="1528"/>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109" w:val="left" w:leader="none"/>
        </w:tabs>
        <w:spacing w:line="240" w:lineRule="auto" w:before="12" w:after="0"/>
        <w:ind w:left="2108" w:right="0" w:hanging="369"/>
        <w:jc w:val="left"/>
        <w:rPr>
          <w:sz w:val="21"/>
        </w:rPr>
      </w:pPr>
      <w:r>
        <w:rPr>
          <w:spacing w:val="-3"/>
          <w:sz w:val="21"/>
        </w:rPr>
        <w:t>保险合同构成</w:t>
      </w:r>
    </w:p>
    <w:p>
      <w:pPr>
        <w:pStyle w:val="ListParagraph"/>
        <w:numPr>
          <w:ilvl w:val="1"/>
          <w:numId w:val="2"/>
        </w:numPr>
        <w:tabs>
          <w:tab w:pos="2109" w:val="left" w:leader="none"/>
        </w:tabs>
        <w:spacing w:line="240" w:lineRule="auto" w:before="36" w:after="0"/>
        <w:ind w:left="2108" w:right="0" w:hanging="369"/>
        <w:jc w:val="left"/>
        <w:rPr>
          <w:sz w:val="21"/>
        </w:rPr>
      </w:pPr>
      <w:r>
        <w:rPr>
          <w:spacing w:val="-3"/>
          <w:sz w:val="21"/>
        </w:rPr>
        <w:t>保险合同成立与生效</w:t>
      </w:r>
    </w:p>
    <w:p>
      <w:pPr>
        <w:pStyle w:val="ListParagraph"/>
        <w:numPr>
          <w:ilvl w:val="1"/>
          <w:numId w:val="2"/>
        </w:numPr>
        <w:tabs>
          <w:tab w:pos="2109" w:val="left" w:leader="none"/>
        </w:tabs>
        <w:spacing w:line="260" w:lineRule="exact" w:before="36" w:after="0"/>
        <w:ind w:left="2108" w:right="0" w:hanging="369"/>
        <w:jc w:val="left"/>
        <w:rPr>
          <w:sz w:val="21"/>
        </w:rPr>
      </w:pPr>
      <w:r>
        <w:rPr>
          <w:spacing w:val="-3"/>
          <w:sz w:val="21"/>
        </w:rPr>
        <w:t>犹豫期</w:t>
      </w:r>
    </w:p>
    <w:p>
      <w:pPr>
        <w:pStyle w:val="Heading3"/>
        <w:spacing w:line="351" w:lineRule="exact"/>
        <w:ind w:left="1528"/>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109" w:val="left" w:leader="none"/>
        </w:tabs>
        <w:spacing w:line="240" w:lineRule="auto" w:before="38" w:after="0"/>
        <w:ind w:left="2108" w:right="0" w:hanging="369"/>
        <w:jc w:val="left"/>
        <w:rPr>
          <w:sz w:val="21"/>
        </w:rPr>
      </w:pPr>
      <w:r>
        <w:rPr>
          <w:spacing w:val="-2"/>
          <w:sz w:val="21"/>
        </w:rPr>
        <w:t>保险期间</w:t>
      </w:r>
    </w:p>
    <w:p>
      <w:pPr>
        <w:pStyle w:val="ListParagraph"/>
        <w:numPr>
          <w:ilvl w:val="1"/>
          <w:numId w:val="3"/>
        </w:numPr>
        <w:tabs>
          <w:tab w:pos="2109" w:val="left" w:leader="none"/>
        </w:tabs>
        <w:spacing w:line="240" w:lineRule="auto" w:before="23" w:after="0"/>
        <w:ind w:left="2108" w:right="0" w:hanging="369"/>
        <w:jc w:val="left"/>
        <w:rPr>
          <w:sz w:val="21"/>
        </w:rPr>
      </w:pPr>
      <w:r>
        <w:rPr>
          <w:spacing w:val="-2"/>
          <w:sz w:val="21"/>
        </w:rPr>
        <w:t>投保条件</w:t>
      </w:r>
    </w:p>
    <w:p>
      <w:pPr>
        <w:pStyle w:val="ListParagraph"/>
        <w:numPr>
          <w:ilvl w:val="1"/>
          <w:numId w:val="3"/>
        </w:numPr>
        <w:tabs>
          <w:tab w:pos="2109" w:val="left" w:leader="none"/>
        </w:tabs>
        <w:spacing w:line="240" w:lineRule="auto" w:before="37" w:after="0"/>
        <w:ind w:left="2108" w:right="0" w:hanging="369"/>
        <w:jc w:val="left"/>
        <w:rPr>
          <w:sz w:val="21"/>
        </w:rPr>
      </w:pPr>
      <w:r>
        <w:rPr>
          <w:spacing w:val="-3"/>
          <w:sz w:val="21"/>
        </w:rPr>
        <w:t>基本保险金额</w:t>
      </w:r>
    </w:p>
    <w:p>
      <w:pPr>
        <w:pStyle w:val="ListParagraph"/>
        <w:numPr>
          <w:ilvl w:val="1"/>
          <w:numId w:val="3"/>
        </w:numPr>
        <w:tabs>
          <w:tab w:pos="2109" w:val="left" w:leader="none"/>
        </w:tabs>
        <w:spacing w:line="240" w:lineRule="auto" w:before="37" w:after="0"/>
        <w:ind w:left="2108" w:right="0" w:hanging="369"/>
        <w:jc w:val="left"/>
        <w:rPr>
          <w:sz w:val="21"/>
        </w:rPr>
      </w:pPr>
      <w:r>
        <w:rPr>
          <w:spacing w:val="-2"/>
          <w:sz w:val="21"/>
        </w:rPr>
        <w:t>保险责任</w:t>
      </w:r>
    </w:p>
    <w:p>
      <w:pPr>
        <w:pStyle w:val="ListParagraph"/>
        <w:numPr>
          <w:ilvl w:val="1"/>
          <w:numId w:val="3"/>
        </w:numPr>
        <w:tabs>
          <w:tab w:pos="2109" w:val="left" w:leader="none"/>
        </w:tabs>
        <w:spacing w:line="260" w:lineRule="exact" w:before="37" w:after="0"/>
        <w:ind w:left="2108" w:right="0" w:hanging="369"/>
        <w:jc w:val="left"/>
        <w:rPr>
          <w:sz w:val="21"/>
        </w:rPr>
      </w:pPr>
      <w:r>
        <w:rPr>
          <w:spacing w:val="-2"/>
          <w:sz w:val="21"/>
        </w:rPr>
        <w:t>责任免除</w:t>
      </w:r>
    </w:p>
    <w:p>
      <w:pPr>
        <w:pStyle w:val="Heading3"/>
        <w:spacing w:line="351" w:lineRule="exact"/>
        <w:ind w:left="1528"/>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2109" w:val="left" w:leader="none"/>
        </w:tabs>
        <w:spacing w:line="240" w:lineRule="auto" w:before="13" w:after="0"/>
        <w:ind w:left="2108" w:right="0" w:hanging="369"/>
        <w:jc w:val="left"/>
        <w:rPr>
          <w:sz w:val="21"/>
        </w:rPr>
      </w:pPr>
      <w:r>
        <w:rPr>
          <w:spacing w:val="-3"/>
          <w:sz w:val="21"/>
        </w:rPr>
        <w:t>受益人</w:t>
      </w:r>
    </w:p>
    <w:p>
      <w:pPr>
        <w:pStyle w:val="ListParagraph"/>
        <w:numPr>
          <w:ilvl w:val="1"/>
          <w:numId w:val="4"/>
        </w:numPr>
        <w:tabs>
          <w:tab w:pos="2109" w:val="left" w:leader="none"/>
        </w:tabs>
        <w:spacing w:line="240" w:lineRule="auto" w:before="36" w:after="0"/>
        <w:ind w:left="2108" w:right="0" w:hanging="369"/>
        <w:jc w:val="left"/>
        <w:rPr>
          <w:sz w:val="21"/>
        </w:rPr>
      </w:pPr>
      <w:r>
        <w:rPr>
          <w:spacing w:val="-3"/>
          <w:sz w:val="21"/>
        </w:rPr>
        <w:t>保险金申请</w:t>
      </w:r>
    </w:p>
    <w:p>
      <w:pPr>
        <w:pStyle w:val="ListParagraph"/>
        <w:numPr>
          <w:ilvl w:val="1"/>
          <w:numId w:val="4"/>
        </w:numPr>
        <w:tabs>
          <w:tab w:pos="2109" w:val="left" w:leader="none"/>
        </w:tabs>
        <w:spacing w:line="240" w:lineRule="auto" w:before="36" w:after="0"/>
        <w:ind w:left="2108" w:right="0" w:hanging="369"/>
        <w:jc w:val="left"/>
        <w:rPr>
          <w:sz w:val="21"/>
        </w:rPr>
      </w:pPr>
      <w:r>
        <w:rPr>
          <w:spacing w:val="-3"/>
          <w:sz w:val="21"/>
        </w:rPr>
        <w:t>保险金给付</w:t>
      </w:r>
    </w:p>
    <w:p>
      <w:pPr>
        <w:pStyle w:val="ListParagraph"/>
        <w:numPr>
          <w:ilvl w:val="1"/>
          <w:numId w:val="4"/>
        </w:numPr>
        <w:tabs>
          <w:tab w:pos="2109" w:val="left" w:leader="none"/>
        </w:tabs>
        <w:spacing w:line="260" w:lineRule="exact" w:before="36" w:after="0"/>
        <w:ind w:left="2108" w:right="0" w:hanging="369"/>
        <w:jc w:val="left"/>
        <w:rPr>
          <w:sz w:val="21"/>
        </w:rPr>
      </w:pPr>
      <w:r>
        <w:rPr>
          <w:spacing w:val="-3"/>
          <w:sz w:val="21"/>
        </w:rPr>
        <w:t>诉讼时效</w:t>
      </w:r>
    </w:p>
    <w:p>
      <w:pPr>
        <w:pStyle w:val="Heading3"/>
        <w:spacing w:line="351" w:lineRule="exact"/>
        <w:ind w:left="1528"/>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2162" w:val="left" w:leader="none"/>
        </w:tabs>
        <w:spacing w:line="240" w:lineRule="auto" w:before="14" w:after="0"/>
        <w:ind w:left="2161" w:right="0" w:hanging="422"/>
        <w:jc w:val="left"/>
        <w:rPr>
          <w:sz w:val="21"/>
        </w:rPr>
      </w:pPr>
      <w:r>
        <w:rPr>
          <w:spacing w:val="-3"/>
          <w:sz w:val="21"/>
        </w:rPr>
        <w:t>保险费的支付</w:t>
      </w:r>
    </w:p>
    <w:p>
      <w:pPr>
        <w:pStyle w:val="ListParagraph"/>
        <w:numPr>
          <w:ilvl w:val="1"/>
          <w:numId w:val="5"/>
        </w:numPr>
        <w:tabs>
          <w:tab w:pos="2162" w:val="left" w:leader="none"/>
        </w:tabs>
        <w:spacing w:line="240" w:lineRule="auto" w:before="37" w:after="0"/>
        <w:ind w:left="2161" w:right="0" w:hanging="422"/>
        <w:jc w:val="left"/>
        <w:rPr>
          <w:sz w:val="21"/>
        </w:rPr>
      </w:pPr>
      <w:r>
        <w:rPr>
          <w:spacing w:val="-3"/>
          <w:sz w:val="21"/>
        </w:rPr>
        <w:t>保险费率调整</w:t>
      </w:r>
    </w:p>
    <w:p>
      <w:pPr>
        <w:pStyle w:val="Heading3"/>
        <w:spacing w:before="1"/>
        <w:ind w:left="329"/>
        <w:rPr>
          <w:rFonts w:ascii="Microsoft JhengHei" w:eastAsia="Microsoft JhengHei" w:hint="eastAsia"/>
        </w:rPr>
      </w:pPr>
      <w:r>
        <w:rPr>
          <w:b w:val="0"/>
        </w:rPr>
        <w:br w:type="column"/>
      </w:r>
      <w:r>
        <w:rPr/>
        <w:t>5.</w:t>
      </w:r>
      <w:r>
        <w:rPr>
          <w:rFonts w:ascii="Microsoft JhengHei" w:eastAsia="Microsoft JhengHei" w:hint="eastAsia"/>
        </w:rPr>
        <w:t>如何恢复合同效力</w:t>
      </w:r>
    </w:p>
    <w:p>
      <w:pPr>
        <w:pStyle w:val="BodyText"/>
        <w:spacing w:line="260" w:lineRule="exact" w:before="12"/>
        <w:ind w:left="540"/>
      </w:pPr>
      <w:r>
        <w:rPr/>
        <w:t>5.1 效力恢复</w:t>
      </w:r>
    </w:p>
    <w:p>
      <w:pPr>
        <w:pStyle w:val="Heading3"/>
        <w:spacing w:line="351" w:lineRule="exact"/>
        <w:ind w:left="329"/>
        <w:rPr>
          <w:rFonts w:ascii="Microsoft JhengHei" w:eastAsia="Microsoft JhengHei" w:hint="eastAsia"/>
        </w:rPr>
      </w:pPr>
      <w:r>
        <w:rPr/>
        <w:t>6.</w:t>
      </w:r>
      <w:r>
        <w:rPr>
          <w:rFonts w:ascii="Microsoft JhengHei" w:eastAsia="Microsoft JhengHei" w:hint="eastAsia"/>
        </w:rPr>
        <w:t>如何解除保险合同</w:t>
      </w:r>
    </w:p>
    <w:p>
      <w:pPr>
        <w:pStyle w:val="BodyText"/>
        <w:spacing w:line="273" w:lineRule="auto" w:before="14"/>
        <w:ind w:left="960" w:hanging="421"/>
      </w:pPr>
      <w:r>
        <w:rPr/>
        <w:t>6.1 您解除合同的手续及风险</w:t>
      </w:r>
    </w:p>
    <w:p>
      <w:pPr>
        <w:pStyle w:val="Heading3"/>
        <w:spacing w:line="307" w:lineRule="exact"/>
        <w:ind w:left="329"/>
        <w:rPr>
          <w:rFonts w:ascii="Microsoft JhengHei" w:eastAsia="Microsoft JhengHei" w:hint="eastAsia"/>
        </w:rPr>
      </w:pPr>
      <w:r>
        <w:rPr/>
        <w:t>7.</w:t>
      </w:r>
      <w:r>
        <w:rPr>
          <w:rFonts w:ascii="Microsoft JhengHei" w:eastAsia="Microsoft JhengHei" w:hint="eastAsia"/>
        </w:rPr>
        <w:t>其他需要关注的事项</w:t>
      </w:r>
    </w:p>
    <w:p>
      <w:pPr>
        <w:pStyle w:val="ListParagraph"/>
        <w:numPr>
          <w:ilvl w:val="1"/>
          <w:numId w:val="6"/>
        </w:numPr>
        <w:tabs>
          <w:tab w:pos="963" w:val="left" w:leader="none"/>
        </w:tabs>
        <w:spacing w:line="240" w:lineRule="auto" w:before="13" w:after="0"/>
        <w:ind w:left="962" w:right="0" w:hanging="422"/>
        <w:jc w:val="left"/>
        <w:rPr>
          <w:sz w:val="21"/>
        </w:rPr>
      </w:pPr>
      <w:r>
        <w:rPr>
          <w:spacing w:val="-2"/>
          <w:sz w:val="21"/>
        </w:rPr>
        <w:t>年龄错误</w:t>
      </w:r>
    </w:p>
    <w:p>
      <w:pPr>
        <w:pStyle w:val="ListParagraph"/>
        <w:numPr>
          <w:ilvl w:val="1"/>
          <w:numId w:val="6"/>
        </w:numPr>
        <w:tabs>
          <w:tab w:pos="963" w:val="left" w:leader="none"/>
        </w:tabs>
        <w:spacing w:line="240" w:lineRule="auto" w:before="37" w:after="0"/>
        <w:ind w:left="962" w:right="0" w:hanging="422"/>
        <w:jc w:val="left"/>
        <w:rPr>
          <w:sz w:val="21"/>
        </w:rPr>
      </w:pPr>
      <w:r>
        <w:rPr>
          <w:spacing w:val="-2"/>
          <w:sz w:val="21"/>
        </w:rPr>
        <w:t>效力终止</w:t>
      </w:r>
    </w:p>
    <w:p>
      <w:pPr>
        <w:pStyle w:val="ListParagraph"/>
        <w:numPr>
          <w:ilvl w:val="1"/>
          <w:numId w:val="6"/>
        </w:numPr>
        <w:tabs>
          <w:tab w:pos="963" w:val="left" w:leader="none"/>
        </w:tabs>
        <w:spacing w:line="260" w:lineRule="exact" w:before="37" w:after="0"/>
        <w:ind w:left="962" w:right="0" w:hanging="422"/>
        <w:jc w:val="left"/>
        <w:rPr>
          <w:sz w:val="21"/>
        </w:rPr>
      </w:pPr>
      <w:r>
        <w:rPr>
          <w:spacing w:val="-3"/>
          <w:sz w:val="21"/>
        </w:rPr>
        <w:t>适用主合同条款</w:t>
      </w:r>
    </w:p>
    <w:p>
      <w:pPr>
        <w:pStyle w:val="Heading3"/>
        <w:spacing w:line="351" w:lineRule="exact"/>
        <w:ind w:left="329"/>
        <w:rPr>
          <w:rFonts w:ascii="Microsoft JhengHei" w:eastAsia="Microsoft JhengHei" w:hint="eastAsia"/>
        </w:rPr>
      </w:pPr>
      <w:r>
        <w:rPr/>
        <w:t>8.</w:t>
      </w:r>
      <w:r>
        <w:rPr>
          <w:rFonts w:ascii="Microsoft JhengHei" w:eastAsia="Microsoft JhengHei" w:hint="eastAsia"/>
        </w:rPr>
        <w:t>释义</w:t>
      </w:r>
    </w:p>
    <w:p>
      <w:pPr>
        <w:pStyle w:val="ListParagraph"/>
        <w:numPr>
          <w:ilvl w:val="1"/>
          <w:numId w:val="7"/>
        </w:numPr>
        <w:tabs>
          <w:tab w:pos="963" w:val="left" w:leader="none"/>
        </w:tabs>
        <w:spacing w:line="240" w:lineRule="auto" w:before="13" w:after="0"/>
        <w:ind w:left="1107" w:right="0" w:hanging="567"/>
        <w:jc w:val="left"/>
        <w:rPr>
          <w:sz w:val="21"/>
        </w:rPr>
      </w:pPr>
      <w:r>
        <w:rPr>
          <w:spacing w:val="-2"/>
          <w:sz w:val="21"/>
        </w:rPr>
        <w:t>保单年度</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有效身份证件</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周岁</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意外伤害事故</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少儿重大疾病</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少儿特别重大疾病</w:t>
      </w:r>
    </w:p>
    <w:p>
      <w:pPr>
        <w:pStyle w:val="ListParagraph"/>
        <w:numPr>
          <w:ilvl w:val="1"/>
          <w:numId w:val="7"/>
        </w:numPr>
        <w:tabs>
          <w:tab w:pos="963" w:val="left" w:leader="none"/>
        </w:tabs>
        <w:spacing w:line="240" w:lineRule="auto" w:before="36" w:after="0"/>
        <w:ind w:left="1107" w:right="0" w:hanging="567"/>
        <w:jc w:val="left"/>
        <w:rPr>
          <w:sz w:val="21"/>
        </w:rPr>
      </w:pPr>
      <w:r>
        <w:rPr>
          <w:spacing w:val="-3"/>
          <w:sz w:val="21"/>
        </w:rPr>
        <w:t>成人重大疾病</w:t>
      </w:r>
    </w:p>
    <w:p>
      <w:pPr>
        <w:pStyle w:val="ListParagraph"/>
        <w:numPr>
          <w:ilvl w:val="1"/>
          <w:numId w:val="7"/>
        </w:numPr>
        <w:tabs>
          <w:tab w:pos="1007" w:val="left" w:leader="none"/>
        </w:tabs>
        <w:spacing w:line="240" w:lineRule="auto" w:before="128" w:after="0"/>
        <w:ind w:left="1006" w:right="0" w:hanging="423"/>
        <w:jc w:val="left"/>
        <w:rPr>
          <w:sz w:val="21"/>
        </w:rPr>
      </w:pPr>
      <w:r>
        <w:rPr>
          <w:spacing w:val="-3"/>
          <w:w w:val="100"/>
          <w:sz w:val="21"/>
        </w:rPr>
        <w:br w:type="column"/>
      </w:r>
      <w:r>
        <w:rPr>
          <w:spacing w:val="-3"/>
          <w:sz w:val="21"/>
        </w:rPr>
        <w:t>成人轻症疾病</w:t>
      </w:r>
    </w:p>
    <w:p>
      <w:pPr>
        <w:pStyle w:val="ListParagraph"/>
        <w:numPr>
          <w:ilvl w:val="1"/>
          <w:numId w:val="7"/>
        </w:numPr>
        <w:tabs>
          <w:tab w:pos="1007" w:val="left" w:leader="none"/>
        </w:tabs>
        <w:spacing w:line="240" w:lineRule="auto" w:before="36" w:after="0"/>
        <w:ind w:left="1006" w:right="0" w:hanging="423"/>
        <w:jc w:val="left"/>
        <w:rPr>
          <w:sz w:val="21"/>
        </w:rPr>
      </w:pPr>
      <w:r>
        <w:rPr>
          <w:spacing w:val="-2"/>
          <w:sz w:val="21"/>
        </w:rPr>
        <w:t>现金价值</w:t>
      </w:r>
    </w:p>
    <w:p>
      <w:pPr>
        <w:pStyle w:val="ListParagraph"/>
        <w:numPr>
          <w:ilvl w:val="1"/>
          <w:numId w:val="7"/>
        </w:numPr>
        <w:tabs>
          <w:tab w:pos="1057" w:val="left" w:leader="none"/>
        </w:tabs>
        <w:spacing w:line="240" w:lineRule="auto" w:before="36" w:after="0"/>
        <w:ind w:left="1056" w:right="0" w:hanging="473"/>
        <w:jc w:val="left"/>
        <w:rPr>
          <w:sz w:val="21"/>
        </w:rPr>
      </w:pPr>
      <w:r>
        <w:rPr>
          <w:spacing w:val="-2"/>
          <w:sz w:val="21"/>
        </w:rPr>
        <w:t>初次发生</w:t>
      </w:r>
    </w:p>
    <w:p>
      <w:pPr>
        <w:pStyle w:val="ListParagraph"/>
        <w:numPr>
          <w:ilvl w:val="1"/>
          <w:numId w:val="7"/>
        </w:numPr>
        <w:tabs>
          <w:tab w:pos="1057" w:val="left" w:leader="none"/>
        </w:tabs>
        <w:spacing w:line="240" w:lineRule="auto" w:before="36" w:after="0"/>
        <w:ind w:left="1056" w:right="0" w:hanging="473"/>
        <w:jc w:val="left"/>
        <w:rPr>
          <w:sz w:val="21"/>
        </w:rPr>
      </w:pPr>
      <w:r>
        <w:rPr>
          <w:sz w:val="21"/>
        </w:rPr>
        <w:t>医院</w:t>
      </w:r>
    </w:p>
    <w:p>
      <w:pPr>
        <w:pStyle w:val="ListParagraph"/>
        <w:numPr>
          <w:ilvl w:val="1"/>
          <w:numId w:val="7"/>
        </w:numPr>
        <w:tabs>
          <w:tab w:pos="1057" w:val="left" w:leader="none"/>
        </w:tabs>
        <w:spacing w:line="240" w:lineRule="auto" w:before="36" w:after="0"/>
        <w:ind w:left="1056" w:right="0" w:hanging="473"/>
        <w:jc w:val="left"/>
        <w:rPr>
          <w:sz w:val="21"/>
        </w:rPr>
      </w:pPr>
      <w:r>
        <w:rPr>
          <w:spacing w:val="-2"/>
          <w:sz w:val="21"/>
        </w:rPr>
        <w:t>专科医生</w:t>
      </w:r>
    </w:p>
    <w:p>
      <w:pPr>
        <w:pStyle w:val="ListParagraph"/>
        <w:numPr>
          <w:ilvl w:val="1"/>
          <w:numId w:val="7"/>
        </w:numPr>
        <w:tabs>
          <w:tab w:pos="1057" w:val="left" w:leader="none"/>
        </w:tabs>
        <w:spacing w:line="240" w:lineRule="auto" w:before="36" w:after="0"/>
        <w:ind w:left="1056" w:right="0" w:hanging="472"/>
        <w:jc w:val="left"/>
        <w:rPr>
          <w:sz w:val="21"/>
        </w:rPr>
      </w:pPr>
      <w:r>
        <w:rPr>
          <w:sz w:val="21"/>
        </w:rPr>
        <w:t>毒品</w:t>
      </w:r>
    </w:p>
    <w:p>
      <w:pPr>
        <w:pStyle w:val="ListParagraph"/>
        <w:numPr>
          <w:ilvl w:val="1"/>
          <w:numId w:val="7"/>
        </w:numPr>
        <w:tabs>
          <w:tab w:pos="1058" w:val="left" w:leader="none"/>
        </w:tabs>
        <w:spacing w:line="240" w:lineRule="auto" w:before="36" w:after="0"/>
        <w:ind w:left="1057" w:right="0" w:hanging="473"/>
        <w:jc w:val="left"/>
        <w:rPr>
          <w:sz w:val="21"/>
        </w:rPr>
      </w:pPr>
      <w:r>
        <w:rPr>
          <w:spacing w:val="-2"/>
          <w:sz w:val="21"/>
        </w:rPr>
        <w:t>酒后驾驶</w:t>
      </w:r>
    </w:p>
    <w:p>
      <w:pPr>
        <w:pStyle w:val="ListParagraph"/>
        <w:numPr>
          <w:ilvl w:val="1"/>
          <w:numId w:val="7"/>
        </w:numPr>
        <w:tabs>
          <w:tab w:pos="1094" w:val="left" w:leader="none"/>
        </w:tabs>
        <w:spacing w:line="273" w:lineRule="auto" w:before="36" w:after="0"/>
        <w:ind w:left="1107" w:right="912" w:hanging="523"/>
        <w:jc w:val="left"/>
        <w:rPr>
          <w:sz w:val="21"/>
        </w:rPr>
      </w:pPr>
      <w:r>
        <w:rPr>
          <w:spacing w:val="-3"/>
          <w:sz w:val="21"/>
        </w:rPr>
        <w:t>无合法有效驾驶证驾驶</w:t>
      </w:r>
    </w:p>
    <w:p>
      <w:pPr>
        <w:pStyle w:val="ListParagraph"/>
        <w:numPr>
          <w:ilvl w:val="1"/>
          <w:numId w:val="7"/>
        </w:numPr>
        <w:tabs>
          <w:tab w:pos="1058" w:val="left" w:leader="none"/>
        </w:tabs>
        <w:spacing w:line="240" w:lineRule="auto" w:before="7" w:after="0"/>
        <w:ind w:left="1057" w:right="0" w:hanging="473"/>
        <w:jc w:val="left"/>
        <w:rPr>
          <w:sz w:val="21"/>
        </w:rPr>
      </w:pPr>
      <w:r>
        <w:rPr>
          <w:spacing w:val="-3"/>
          <w:sz w:val="21"/>
        </w:rPr>
        <w:t>无有效行驶证</w:t>
      </w:r>
    </w:p>
    <w:p>
      <w:pPr>
        <w:pStyle w:val="ListParagraph"/>
        <w:numPr>
          <w:ilvl w:val="1"/>
          <w:numId w:val="7"/>
        </w:numPr>
        <w:tabs>
          <w:tab w:pos="1094" w:val="left" w:leader="none"/>
        </w:tabs>
        <w:spacing w:line="273" w:lineRule="auto" w:before="37" w:after="0"/>
        <w:ind w:left="1107" w:right="912" w:hanging="523"/>
        <w:jc w:val="left"/>
        <w:rPr>
          <w:sz w:val="21"/>
        </w:rPr>
      </w:pPr>
      <w:r>
        <w:rPr>
          <w:spacing w:val="-3"/>
          <w:sz w:val="21"/>
        </w:rPr>
        <w:t>感染艾滋病病毒或</w:t>
      </w:r>
      <w:r>
        <w:rPr>
          <w:spacing w:val="-2"/>
          <w:sz w:val="21"/>
        </w:rPr>
        <w:t>患艾滋病</w:t>
      </w:r>
    </w:p>
    <w:p>
      <w:pPr>
        <w:pStyle w:val="ListParagraph"/>
        <w:numPr>
          <w:ilvl w:val="1"/>
          <w:numId w:val="7"/>
        </w:numPr>
        <w:tabs>
          <w:tab w:pos="1111" w:val="left" w:leader="none"/>
        </w:tabs>
        <w:spacing w:line="240" w:lineRule="auto" w:before="7" w:after="0"/>
        <w:ind w:left="1110" w:right="0" w:hanging="526"/>
        <w:jc w:val="left"/>
        <w:rPr>
          <w:sz w:val="21"/>
        </w:rPr>
      </w:pPr>
      <w:r>
        <w:rPr>
          <w:spacing w:val="-3"/>
          <w:sz w:val="21"/>
        </w:rPr>
        <w:t>遗传性疾病</w:t>
      </w:r>
    </w:p>
    <w:p>
      <w:pPr>
        <w:pStyle w:val="ListParagraph"/>
        <w:numPr>
          <w:ilvl w:val="1"/>
          <w:numId w:val="7"/>
        </w:numPr>
        <w:tabs>
          <w:tab w:pos="1094" w:val="left" w:leader="none"/>
        </w:tabs>
        <w:spacing w:line="273" w:lineRule="auto" w:before="36" w:after="0"/>
        <w:ind w:left="1107" w:right="912" w:hanging="523"/>
        <w:jc w:val="left"/>
        <w:rPr>
          <w:sz w:val="21"/>
        </w:rPr>
      </w:pPr>
      <w:r>
        <w:rPr>
          <w:spacing w:val="-3"/>
          <w:sz w:val="21"/>
        </w:rPr>
        <w:t>先天性畸形、变形或染色体异常</w:t>
      </w:r>
    </w:p>
    <w:p>
      <w:pPr>
        <w:spacing w:after="0" w:line="273" w:lineRule="auto"/>
        <w:jc w:val="left"/>
        <w:rPr>
          <w:sz w:val="21"/>
        </w:rPr>
        <w:sectPr>
          <w:type w:val="continuous"/>
          <w:pgSz w:w="11910" w:h="16840"/>
          <w:pgMar w:top="480" w:bottom="280" w:left="680" w:right="820"/>
          <w:cols w:num="3" w:equalWidth="0">
            <w:col w:w="3996" w:space="40"/>
            <w:col w:w="2644" w:space="39"/>
            <w:col w:w="3691"/>
          </w:cols>
        </w:sectPr>
      </w:pPr>
    </w:p>
    <w:p>
      <w:pPr>
        <w:pStyle w:val="BodyText"/>
        <w:spacing w:before="0"/>
        <w:ind w:left="217"/>
        <w:rPr>
          <w:sz w:val="20"/>
        </w:rPr>
      </w:pPr>
      <w:r>
        <w:rPr>
          <w:sz w:val="20"/>
        </w:rPr>
        <w:drawing>
          <wp:inline distT="0" distB="0" distL="0" distR="0">
            <wp:extent cx="6284401"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84401" cy="859535"/>
                    </a:xfrm>
                    <a:prstGeom prst="rect">
                      <a:avLst/>
                    </a:prstGeom>
                  </pic:spPr>
                </pic:pic>
              </a:graphicData>
            </a:graphic>
          </wp:inline>
        </w:drawing>
      </w:r>
      <w:r>
        <w:rPr>
          <w:sz w:val="20"/>
        </w:rPr>
      </w:r>
    </w:p>
    <w:p>
      <w:pPr>
        <w:pStyle w:val="BodyText"/>
        <w:spacing w:before="0"/>
        <w:ind w:left="0"/>
        <w:rPr>
          <w:sz w:val="20"/>
        </w:rPr>
      </w:pPr>
    </w:p>
    <w:p>
      <w:pPr>
        <w:pStyle w:val="Heading1"/>
        <w:spacing w:before="113"/>
        <w:ind w:left="1552"/>
      </w:pPr>
      <w:r>
        <w:rPr/>
        <w:t>国华附加两全提前给付重大疾病保险（2009）条款</w:t>
      </w:r>
    </w:p>
    <w:p>
      <w:pPr>
        <w:pStyle w:val="BodyText"/>
        <w:spacing w:before="4"/>
        <w:ind w:left="0"/>
        <w:rPr>
          <w:rFonts w:ascii="微软雅黑"/>
          <w:b/>
          <w:sz w:val="24"/>
        </w:rPr>
      </w:pPr>
    </w:p>
    <w:p>
      <w:pPr>
        <w:pStyle w:val="BodyText"/>
        <w:spacing w:before="0"/>
        <w:ind w:left="220"/>
      </w:pPr>
      <w:r>
        <w:rPr/>
        <w:t>在本条款中，“您”指投保人，“我们”、“本公司”均指国华人寿保险股份有限公司。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80"/>
        <w:gridCol w:w="7373"/>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4"/>
              <w:ind w:left="141"/>
              <w:rPr>
                <w:b/>
                <w:sz w:val="24"/>
              </w:rPr>
            </w:pPr>
            <w:r>
              <w:rPr>
                <w:b/>
                <w:w w:val="95"/>
                <w:sz w:val="24"/>
              </w:rPr>
              <w:t>您与我们的合同</w:t>
            </w:r>
          </w:p>
        </w:tc>
        <w:tc>
          <w:tcPr>
            <w:tcW w:w="7373" w:type="dxa"/>
            <w:tcBorders>
              <w:bottom w:val="single" w:sz="8" w:space="0" w:color="000000"/>
            </w:tcBorders>
          </w:tcPr>
          <w:p>
            <w:pPr>
              <w:pStyle w:val="TableParagraph"/>
              <w:rPr>
                <w:rFonts w:ascii="Times New Roman"/>
                <w:sz w:val="20"/>
              </w:rPr>
            </w:pPr>
          </w:p>
        </w:tc>
      </w:tr>
      <w:tr>
        <w:trPr>
          <w:trHeight w:val="1718"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1.1</w:t>
            </w:r>
          </w:p>
        </w:tc>
        <w:tc>
          <w:tcPr>
            <w:tcW w:w="1980" w:type="dxa"/>
            <w:tcBorders>
              <w:top w:val="single" w:sz="8" w:space="0" w:color="000000"/>
            </w:tcBorders>
          </w:tcPr>
          <w:p>
            <w:pPr>
              <w:pStyle w:val="TableParagraph"/>
              <w:rPr>
                <w:sz w:val="23"/>
              </w:rPr>
            </w:pPr>
          </w:p>
          <w:p>
            <w:pPr>
              <w:pStyle w:val="TableParagraph"/>
              <w:ind w:left="141"/>
              <w:rPr>
                <w:b/>
                <w:sz w:val="21"/>
              </w:rPr>
            </w:pPr>
            <w:r>
              <w:rPr>
                <w:b/>
                <w:sz w:val="21"/>
              </w:rPr>
              <w:t>保险合同构成</w:t>
            </w:r>
          </w:p>
        </w:tc>
        <w:tc>
          <w:tcPr>
            <w:tcW w:w="7373" w:type="dxa"/>
            <w:tcBorders>
              <w:top w:val="single" w:sz="8" w:space="0" w:color="000000"/>
            </w:tcBorders>
          </w:tcPr>
          <w:p>
            <w:pPr>
              <w:pStyle w:val="TableParagraph"/>
              <w:rPr>
                <w:sz w:val="23"/>
              </w:rPr>
            </w:pPr>
          </w:p>
          <w:p>
            <w:pPr>
              <w:pStyle w:val="TableParagraph"/>
              <w:spacing w:line="273" w:lineRule="auto"/>
              <w:ind w:left="148" w:right="105"/>
              <w:rPr>
                <w:sz w:val="21"/>
              </w:rPr>
            </w:pPr>
            <w:r>
              <w:rPr>
                <w:spacing w:val="-8"/>
                <w:sz w:val="21"/>
              </w:rPr>
              <w:t>本附加保险合同</w:t>
            </w:r>
            <w:r>
              <w:rPr>
                <w:spacing w:val="-3"/>
                <w:sz w:val="21"/>
              </w:rPr>
              <w:t>（</w:t>
            </w:r>
            <w:r>
              <w:rPr>
                <w:spacing w:val="-14"/>
                <w:sz w:val="21"/>
              </w:rPr>
              <w:t>以下简称“本附加合同”</w:t>
            </w:r>
            <w:r>
              <w:rPr>
                <w:spacing w:val="-70"/>
                <w:sz w:val="21"/>
              </w:rPr>
              <w:t>）</w:t>
            </w:r>
            <w:r>
              <w:rPr>
                <w:spacing w:val="-6"/>
                <w:sz w:val="21"/>
              </w:rPr>
              <w:t>附加于我们规定的主保险合同</w:t>
            </w:r>
            <w:r>
              <w:rPr>
                <w:spacing w:val="-3"/>
                <w:sz w:val="21"/>
              </w:rPr>
              <w:t>（以</w:t>
            </w:r>
            <w:r>
              <w:rPr>
                <w:spacing w:val="-16"/>
                <w:w w:val="100"/>
                <w:sz w:val="21"/>
              </w:rPr>
              <w:t>下简称“主合同”</w:t>
            </w:r>
            <w:r>
              <w:rPr>
                <w:spacing w:val="-3"/>
                <w:w w:val="100"/>
                <w:sz w:val="21"/>
              </w:rPr>
              <w:t>）上。主合同所附条款、投保单及与本附加合同有关的其他</w:t>
            </w:r>
            <w:r>
              <w:rPr>
                <w:spacing w:val="-7"/>
                <w:sz w:val="21"/>
              </w:rPr>
              <w:t>投保文件、合法有效的声明、批注、批单和其他书面协议，凡与本附加合同相</w:t>
            </w:r>
            <w:r>
              <w:rPr>
                <w:spacing w:val="-3"/>
                <w:sz w:val="21"/>
              </w:rPr>
              <w:t>关者，均为本附加合同的构成部分。</w:t>
            </w:r>
          </w:p>
        </w:tc>
      </w:tr>
      <w:tr>
        <w:trPr>
          <w:trHeight w:val="3432" w:hRule="atLeast"/>
        </w:trPr>
        <w:tc>
          <w:tcPr>
            <w:tcW w:w="607" w:type="dxa"/>
          </w:tcPr>
          <w:p>
            <w:pPr>
              <w:pStyle w:val="TableParagraph"/>
              <w:spacing w:before="142"/>
              <w:ind w:left="88" w:right="160"/>
              <w:jc w:val="center"/>
              <w:rPr>
                <w:b/>
                <w:sz w:val="21"/>
              </w:rPr>
            </w:pPr>
            <w:r>
              <w:rPr>
                <w:b/>
                <w:sz w:val="21"/>
              </w:rPr>
              <w:t>1.2</w:t>
            </w:r>
          </w:p>
        </w:tc>
        <w:tc>
          <w:tcPr>
            <w:tcW w:w="1980" w:type="dxa"/>
          </w:tcPr>
          <w:p>
            <w:pPr>
              <w:pStyle w:val="TableParagraph"/>
              <w:spacing w:line="273" w:lineRule="auto" w:before="142"/>
              <w:ind w:left="141" w:right="146"/>
              <w:rPr>
                <w:b/>
                <w:sz w:val="21"/>
              </w:rPr>
            </w:pPr>
            <w:r>
              <w:rPr>
                <w:b/>
                <w:sz w:val="21"/>
              </w:rPr>
              <w:t>保险合同成立与生效</w:t>
            </w:r>
          </w:p>
        </w:tc>
        <w:tc>
          <w:tcPr>
            <w:tcW w:w="7373" w:type="dxa"/>
          </w:tcPr>
          <w:p>
            <w:pPr>
              <w:pStyle w:val="TableParagraph"/>
              <w:spacing w:before="142"/>
              <w:ind w:left="149"/>
              <w:rPr>
                <w:sz w:val="21"/>
              </w:rPr>
            </w:pPr>
            <w:r>
              <w:rPr>
                <w:sz w:val="21"/>
              </w:rPr>
              <w:t>您提出保险申请、我们同意承保，本附加合同成立。</w:t>
            </w:r>
          </w:p>
          <w:p>
            <w:pPr>
              <w:pStyle w:val="TableParagraph"/>
              <w:spacing w:before="8"/>
              <w:rPr>
                <w:sz w:val="26"/>
              </w:rPr>
            </w:pPr>
          </w:p>
          <w:p>
            <w:pPr>
              <w:pStyle w:val="TableParagraph"/>
              <w:ind w:left="149"/>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49" w:right="65"/>
              <w:rPr>
                <w:sz w:val="21"/>
              </w:rPr>
            </w:pPr>
            <w:r>
              <w:rPr>
                <w:sz w:val="21"/>
              </w:rPr>
              <w:t>如果您在主合同有效期内投保本附加合同，本附加合同自我们同意承保、收取首期保险费并签发保险单开始生效，具体生效日以保险单所载的日期为准。</w:t>
            </w:r>
          </w:p>
          <w:p>
            <w:pPr>
              <w:pStyle w:val="TableParagraph"/>
              <w:spacing w:before="5"/>
              <w:rPr>
                <w:sz w:val="24"/>
              </w:rPr>
            </w:pPr>
          </w:p>
          <w:p>
            <w:pPr>
              <w:pStyle w:val="TableParagraph"/>
              <w:spacing w:line="273" w:lineRule="auto"/>
              <w:ind w:left="148" w:right="81"/>
              <w:jc w:val="both"/>
              <w:rPr>
                <w:sz w:val="21"/>
              </w:rPr>
            </w:pPr>
            <w:r>
              <w:rPr>
                <w:spacing w:val="-5"/>
                <w:w w:val="100"/>
                <w:sz w:val="21"/>
              </w:rPr>
              <w:t>本附加合同生效日以后每年对应的保单周年日、</w:t>
            </w:r>
            <w:r>
              <w:rPr>
                <w:b/>
                <w:spacing w:val="-7"/>
                <w:w w:val="100"/>
                <w:sz w:val="21"/>
              </w:rPr>
              <w:t>保单年度</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、保单周月</w:t>
            </w:r>
            <w:r>
              <w:rPr>
                <w:spacing w:val="-3"/>
                <w:sz w:val="21"/>
              </w:rPr>
              <w:t>日、保险费约定支付日和保单满期日均以该日期计算。如当月无对应同一日， 则以该月最后一日作为对应日。</w:t>
            </w:r>
          </w:p>
        </w:tc>
      </w:tr>
      <w:tr>
        <w:trPr>
          <w:trHeight w:val="2520" w:hRule="atLeast"/>
        </w:trPr>
        <w:tc>
          <w:tcPr>
            <w:tcW w:w="607" w:type="dxa"/>
          </w:tcPr>
          <w:p>
            <w:pPr>
              <w:pStyle w:val="TableParagraph"/>
              <w:spacing w:before="142"/>
              <w:ind w:left="88" w:right="160"/>
              <w:jc w:val="center"/>
              <w:rPr>
                <w:b/>
                <w:sz w:val="21"/>
              </w:rPr>
            </w:pPr>
            <w:r>
              <w:rPr>
                <w:b/>
                <w:sz w:val="21"/>
              </w:rPr>
              <w:t>1.3</w:t>
            </w:r>
          </w:p>
        </w:tc>
        <w:tc>
          <w:tcPr>
            <w:tcW w:w="1980" w:type="dxa"/>
          </w:tcPr>
          <w:p>
            <w:pPr>
              <w:pStyle w:val="TableParagraph"/>
              <w:spacing w:before="142"/>
              <w:ind w:left="141"/>
              <w:rPr>
                <w:b/>
                <w:sz w:val="21"/>
              </w:rPr>
            </w:pPr>
            <w:r>
              <w:rPr>
                <w:b/>
                <w:sz w:val="21"/>
              </w:rPr>
              <w:t>犹豫期</w:t>
            </w:r>
          </w:p>
        </w:tc>
        <w:tc>
          <w:tcPr>
            <w:tcW w:w="7373" w:type="dxa"/>
          </w:tcPr>
          <w:p>
            <w:pPr>
              <w:pStyle w:val="TableParagraph"/>
              <w:spacing w:line="273" w:lineRule="auto" w:before="142"/>
              <w:ind w:left="149" w:right="104" w:hanging="1"/>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5"/>
                <w:sz w:val="21"/>
              </w:rPr>
              <w:t>加合同，如果您认为本附加合同与您的需求不相符，您可以在此期间提出解除</w:t>
            </w:r>
            <w:r>
              <w:rPr>
                <w:spacing w:val="-3"/>
                <w:sz w:val="21"/>
              </w:rPr>
              <w:t>本附加合同，我们将无息退还您所支付的全部保险费。</w:t>
            </w:r>
          </w:p>
          <w:p>
            <w:pPr>
              <w:pStyle w:val="TableParagraph"/>
              <w:spacing w:before="5"/>
              <w:rPr>
                <w:sz w:val="24"/>
              </w:rPr>
            </w:pPr>
          </w:p>
          <w:p>
            <w:pPr>
              <w:pStyle w:val="TableParagraph"/>
              <w:ind w:left="149"/>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49" w:right="103"/>
              <w:jc w:val="both"/>
              <w:rPr>
                <w:sz w:val="21"/>
              </w:rPr>
            </w:pPr>
            <w:r>
              <w:rPr>
                <w:w w:val="100"/>
                <w:sz w:val="21"/>
              </w:rPr>
              <w:t>（见</w:t>
            </w:r>
            <w:r>
              <w:rPr>
                <w:spacing w:val="-53"/>
                <w:sz w:val="21"/>
              </w:rPr>
              <w:t> </w:t>
            </w:r>
            <w:r>
              <w:rPr>
                <w:spacing w:val="-3"/>
                <w:w w:val="100"/>
                <w:sz w:val="21"/>
              </w:rPr>
              <w:t>8.</w:t>
            </w:r>
            <w:r>
              <w:rPr>
                <w:spacing w:val="1"/>
                <w:w w:val="100"/>
                <w:sz w:val="21"/>
              </w:rPr>
              <w:t>2</w:t>
            </w:r>
            <w:r>
              <w:rPr>
                <w:spacing w:val="-106"/>
                <w:w w:val="100"/>
                <w:sz w:val="21"/>
              </w:rPr>
              <w:t>）</w:t>
            </w:r>
            <w:r>
              <w:rPr>
                <w:spacing w:val="-10"/>
                <w:w w:val="100"/>
                <w:sz w:val="21"/>
              </w:rPr>
              <w:t>。自我们收到您解除合同的书面申请时起，本附加合同即被解除，合</w:t>
            </w:r>
            <w:r>
              <w:rPr>
                <w:spacing w:val="-5"/>
                <w:sz w:val="21"/>
              </w:rPr>
              <w:t>同解除前发生的保险事故我们不承担保险责任。</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0"/>
              <w:rPr>
                <w:sz w:val="18"/>
              </w:rPr>
            </w:pPr>
          </w:p>
          <w:p>
            <w:pPr>
              <w:pStyle w:val="TableParagraph"/>
              <w:ind w:left="141"/>
              <w:rPr>
                <w:b/>
                <w:sz w:val="24"/>
              </w:rPr>
            </w:pPr>
            <w:r>
              <w:rPr>
                <w:b/>
                <w:w w:val="95"/>
                <w:sz w:val="24"/>
              </w:rPr>
              <w:t>我们提供的保障</w:t>
            </w:r>
          </w:p>
        </w:tc>
        <w:tc>
          <w:tcPr>
            <w:tcW w:w="7373" w:type="dxa"/>
            <w:tcBorders>
              <w:bottom w:val="single" w:sz="8" w:space="0" w:color="000000"/>
            </w:tcBorders>
          </w:tcPr>
          <w:p>
            <w:pPr>
              <w:pStyle w:val="TableParagraph"/>
              <w:rPr>
                <w:rFonts w:ascii="Times New Roman"/>
                <w:sz w:val="20"/>
              </w:rPr>
            </w:pPr>
          </w:p>
        </w:tc>
      </w:tr>
      <w:tr>
        <w:trPr>
          <w:trHeight w:val="780"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2.1</w:t>
            </w:r>
          </w:p>
        </w:tc>
        <w:tc>
          <w:tcPr>
            <w:tcW w:w="1980" w:type="dxa"/>
            <w:tcBorders>
              <w:top w:val="single" w:sz="8" w:space="0" w:color="000000"/>
            </w:tcBorders>
          </w:tcPr>
          <w:p>
            <w:pPr>
              <w:pStyle w:val="TableParagraph"/>
              <w:spacing w:before="11"/>
              <w:rPr>
                <w:sz w:val="22"/>
              </w:rPr>
            </w:pPr>
          </w:p>
          <w:p>
            <w:pPr>
              <w:pStyle w:val="TableParagraph"/>
              <w:ind w:left="141"/>
              <w:rPr>
                <w:b/>
                <w:sz w:val="21"/>
              </w:rPr>
            </w:pPr>
            <w:r>
              <w:rPr>
                <w:b/>
                <w:sz w:val="21"/>
              </w:rPr>
              <w:t>保险期间</w:t>
            </w:r>
          </w:p>
        </w:tc>
        <w:tc>
          <w:tcPr>
            <w:tcW w:w="7373" w:type="dxa"/>
            <w:tcBorders>
              <w:top w:val="single" w:sz="8" w:space="0" w:color="000000"/>
            </w:tcBorders>
          </w:tcPr>
          <w:p>
            <w:pPr>
              <w:pStyle w:val="TableParagraph"/>
              <w:spacing w:before="11"/>
              <w:rPr>
                <w:sz w:val="22"/>
              </w:rPr>
            </w:pPr>
          </w:p>
          <w:p>
            <w:pPr>
              <w:pStyle w:val="TableParagraph"/>
              <w:ind w:left="149"/>
              <w:rPr>
                <w:sz w:val="21"/>
              </w:rPr>
            </w:pPr>
            <w:r>
              <w:rPr>
                <w:sz w:val="21"/>
              </w:rPr>
              <w:t>本附加合同的保险期间由您与我们约定并在保险单上载明。</w:t>
            </w:r>
          </w:p>
        </w:tc>
      </w:tr>
      <w:tr>
        <w:trPr>
          <w:trHeight w:val="417" w:hRule="atLeast"/>
        </w:trPr>
        <w:tc>
          <w:tcPr>
            <w:tcW w:w="607" w:type="dxa"/>
          </w:tcPr>
          <w:p>
            <w:pPr>
              <w:pStyle w:val="TableParagraph"/>
              <w:spacing w:line="255" w:lineRule="exact" w:before="142"/>
              <w:ind w:left="88" w:right="160"/>
              <w:jc w:val="center"/>
              <w:rPr>
                <w:b/>
                <w:sz w:val="21"/>
              </w:rPr>
            </w:pPr>
            <w:r>
              <w:rPr>
                <w:b/>
                <w:sz w:val="21"/>
              </w:rPr>
              <w:t>2.2</w:t>
            </w:r>
          </w:p>
        </w:tc>
        <w:tc>
          <w:tcPr>
            <w:tcW w:w="1980" w:type="dxa"/>
          </w:tcPr>
          <w:p>
            <w:pPr>
              <w:pStyle w:val="TableParagraph"/>
              <w:spacing w:line="255" w:lineRule="exact" w:before="142"/>
              <w:ind w:left="141"/>
              <w:rPr>
                <w:b/>
                <w:sz w:val="21"/>
              </w:rPr>
            </w:pPr>
            <w:r>
              <w:rPr>
                <w:b/>
                <w:sz w:val="21"/>
              </w:rPr>
              <w:t>投保条件</w:t>
            </w:r>
          </w:p>
        </w:tc>
        <w:tc>
          <w:tcPr>
            <w:tcW w:w="7373" w:type="dxa"/>
          </w:tcPr>
          <w:p>
            <w:pPr>
              <w:pStyle w:val="TableParagraph"/>
              <w:spacing w:line="255" w:lineRule="exact" w:before="142"/>
              <w:ind w:left="149"/>
              <w:rPr>
                <w:sz w:val="21"/>
              </w:rPr>
            </w:pPr>
            <w:r>
              <w:rPr>
                <w:sz w:val="21"/>
              </w:rPr>
              <w:t>您和被保险人必须符合以下条件：</w:t>
            </w:r>
          </w:p>
        </w:tc>
      </w:tr>
    </w:tbl>
    <w:p>
      <w:pPr>
        <w:spacing w:after="0" w:line="255" w:lineRule="exact"/>
        <w:rPr>
          <w:sz w:val="21"/>
        </w:rPr>
        <w:sectPr>
          <w:pgSz w:w="11910" w:h="16840"/>
          <w:pgMar w:top="1520" w:bottom="28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7"/>
        <w:gridCol w:w="7577"/>
      </w:tblGrid>
      <w:tr>
        <w:trPr>
          <w:trHeight w:val="729" w:hRule="atLeast"/>
        </w:trPr>
        <w:tc>
          <w:tcPr>
            <w:tcW w:w="679" w:type="dxa"/>
          </w:tcPr>
          <w:p>
            <w:pPr>
              <w:pStyle w:val="TableParagraph"/>
              <w:rPr>
                <w:rFonts w:ascii="Times New Roman"/>
                <w:sz w:val="20"/>
              </w:rPr>
            </w:pPr>
          </w:p>
        </w:tc>
        <w:tc>
          <w:tcPr>
            <w:tcW w:w="1997" w:type="dxa"/>
          </w:tcPr>
          <w:p>
            <w:pPr>
              <w:pStyle w:val="TableParagraph"/>
              <w:spacing w:line="261" w:lineRule="exact"/>
              <w:ind w:left="161"/>
              <w:rPr>
                <w:rFonts w:ascii="等线" w:eastAsia="等线" w:hint="eastAsia"/>
                <w:b/>
                <w:sz w:val="24"/>
              </w:rPr>
            </w:pPr>
            <w:r>
              <w:rPr>
                <w:rFonts w:ascii="等线" w:eastAsia="等线" w:hint="eastAsia"/>
                <w:b/>
                <w:sz w:val="24"/>
              </w:rPr>
              <w:t>被保险人条件</w:t>
            </w:r>
          </w:p>
        </w:tc>
        <w:tc>
          <w:tcPr>
            <w:tcW w:w="7577" w:type="dxa"/>
          </w:tcPr>
          <w:p>
            <w:pPr>
              <w:pStyle w:val="TableParagraph"/>
              <w:spacing w:line="211" w:lineRule="exact"/>
              <w:ind w:left="151"/>
              <w:rPr>
                <w:sz w:val="21"/>
              </w:rPr>
            </w:pPr>
            <w:r>
              <w:rPr>
                <w:spacing w:val="-3"/>
                <w:w w:val="100"/>
                <w:sz w:val="21"/>
              </w:rPr>
              <w:t>凡投保时出生满</w:t>
            </w:r>
            <w:r>
              <w:rPr>
                <w:spacing w:val="-53"/>
                <w:sz w:val="21"/>
              </w:rPr>
              <w:t> </w:t>
            </w:r>
            <w:r>
              <w:rPr>
                <w:w w:val="100"/>
                <w:sz w:val="21"/>
              </w:rPr>
              <w:t>28</w:t>
            </w:r>
            <w:r>
              <w:rPr>
                <w:spacing w:val="-55"/>
                <w:sz w:val="21"/>
              </w:rPr>
              <w:t> </w:t>
            </w:r>
            <w:r>
              <w:rPr>
                <w:w w:val="100"/>
                <w:sz w:val="21"/>
              </w:rPr>
              <w:t>日至</w:t>
            </w:r>
            <w:r>
              <w:rPr>
                <w:spacing w:val="-55"/>
                <w:sz w:val="21"/>
              </w:rPr>
              <w:t> </w:t>
            </w:r>
            <w:r>
              <w:rPr>
                <w:spacing w:val="-3"/>
                <w:w w:val="100"/>
                <w:sz w:val="21"/>
              </w:rPr>
              <w:t>5</w:t>
            </w:r>
            <w:r>
              <w:rPr>
                <w:w w:val="100"/>
                <w:sz w:val="21"/>
              </w:rPr>
              <w:t>0</w:t>
            </w:r>
            <w:r>
              <w:rPr>
                <w:spacing w:val="-55"/>
                <w:sz w:val="21"/>
              </w:rPr>
              <w:t> </w:t>
            </w:r>
            <w:r>
              <w:rPr>
                <w:b/>
                <w:spacing w:val="-9"/>
                <w:w w:val="100"/>
                <w:sz w:val="21"/>
              </w:rPr>
              <w:t>周岁</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3</w:t>
            </w:r>
            <w:r>
              <w:rPr>
                <w:spacing w:val="-128"/>
                <w:w w:val="100"/>
                <w:sz w:val="21"/>
              </w:rPr>
              <w:t>）（</w:t>
            </w:r>
            <w:r>
              <w:rPr>
                <w:w w:val="100"/>
                <w:sz w:val="21"/>
              </w:rPr>
              <w:t>含</w:t>
            </w:r>
            <w:r>
              <w:rPr>
                <w:spacing w:val="-16"/>
                <w:sz w:val="21"/>
              </w:rPr>
              <w:t>  </w:t>
            </w:r>
            <w:r>
              <w:rPr>
                <w:spacing w:val="-3"/>
                <w:w w:val="100"/>
                <w:sz w:val="21"/>
              </w:rPr>
              <w:t>5</w:t>
            </w:r>
            <w:r>
              <w:rPr>
                <w:w w:val="100"/>
                <w:sz w:val="21"/>
              </w:rPr>
              <w:t>0</w:t>
            </w:r>
            <w:r>
              <w:rPr>
                <w:spacing w:val="-53"/>
                <w:sz w:val="21"/>
              </w:rPr>
              <w:t> </w:t>
            </w:r>
            <w:r>
              <w:rPr>
                <w:spacing w:val="-3"/>
                <w:w w:val="100"/>
                <w:sz w:val="21"/>
              </w:rPr>
              <w:t>周岁</w:t>
            </w:r>
            <w:r>
              <w:rPr>
                <w:spacing w:val="-104"/>
                <w:w w:val="100"/>
                <w:sz w:val="21"/>
              </w:rPr>
              <w:t>）</w:t>
            </w:r>
            <w:r>
              <w:rPr>
                <w:spacing w:val="-9"/>
                <w:w w:val="100"/>
                <w:sz w:val="21"/>
              </w:rPr>
              <w:t>，身体健康，且符合我</w:t>
            </w:r>
          </w:p>
          <w:p>
            <w:pPr>
              <w:pStyle w:val="TableParagraph"/>
              <w:spacing w:before="37"/>
              <w:ind w:left="152"/>
              <w:rPr>
                <w:sz w:val="21"/>
              </w:rPr>
            </w:pPr>
            <w:r>
              <w:rPr>
                <w:sz w:val="21"/>
              </w:rPr>
              <w:t>们承保条件的人，均可作为本保险的被保险人。</w:t>
            </w:r>
          </w:p>
        </w:tc>
      </w:tr>
      <w:tr>
        <w:trPr>
          <w:trHeight w:val="936" w:hRule="atLeast"/>
        </w:trPr>
        <w:tc>
          <w:tcPr>
            <w:tcW w:w="679" w:type="dxa"/>
          </w:tcPr>
          <w:p>
            <w:pPr>
              <w:pStyle w:val="TableParagraph"/>
              <w:rPr>
                <w:rFonts w:ascii="Times New Roman"/>
                <w:sz w:val="20"/>
              </w:rPr>
            </w:pPr>
          </w:p>
        </w:tc>
        <w:tc>
          <w:tcPr>
            <w:tcW w:w="1997" w:type="dxa"/>
          </w:tcPr>
          <w:p>
            <w:pPr>
              <w:pStyle w:val="TableParagraph"/>
              <w:spacing w:before="140"/>
              <w:ind w:left="161"/>
              <w:rPr>
                <w:rFonts w:ascii="等线" w:eastAsia="等线" w:hint="eastAsia"/>
                <w:b/>
                <w:sz w:val="24"/>
              </w:rPr>
            </w:pPr>
            <w:r>
              <w:rPr>
                <w:rFonts w:ascii="等线" w:eastAsia="等线" w:hint="eastAsia"/>
                <w:b/>
                <w:sz w:val="24"/>
              </w:rPr>
              <w:t>投保人条件</w:t>
            </w:r>
          </w:p>
        </w:tc>
        <w:tc>
          <w:tcPr>
            <w:tcW w:w="7577" w:type="dxa"/>
          </w:tcPr>
          <w:p>
            <w:pPr>
              <w:pStyle w:val="TableParagraph"/>
              <w:spacing w:line="273" w:lineRule="auto" w:before="142"/>
              <w:ind w:left="151" w:right="255"/>
              <w:rPr>
                <w:sz w:val="21"/>
              </w:rPr>
            </w:pPr>
            <w:r>
              <w:rPr>
                <w:sz w:val="21"/>
              </w:rPr>
              <w:t>凡年满 18 周岁，具有完全民事行为能力且对被保险人具有保险利益的人，均可作为本保险的投保人。</w:t>
            </w:r>
          </w:p>
        </w:tc>
      </w:tr>
      <w:tr>
        <w:trPr>
          <w:trHeight w:val="936" w:hRule="atLeast"/>
        </w:trPr>
        <w:tc>
          <w:tcPr>
            <w:tcW w:w="679" w:type="dxa"/>
          </w:tcPr>
          <w:p>
            <w:pPr>
              <w:pStyle w:val="TableParagraph"/>
              <w:spacing w:before="142"/>
              <w:ind w:right="160"/>
              <w:jc w:val="right"/>
              <w:rPr>
                <w:b/>
                <w:sz w:val="21"/>
              </w:rPr>
            </w:pPr>
            <w:r>
              <w:rPr>
                <w:b/>
                <w:w w:val="95"/>
                <w:sz w:val="21"/>
              </w:rPr>
              <w:t>2.3</w:t>
            </w:r>
          </w:p>
        </w:tc>
        <w:tc>
          <w:tcPr>
            <w:tcW w:w="1997" w:type="dxa"/>
          </w:tcPr>
          <w:p>
            <w:pPr>
              <w:pStyle w:val="TableParagraph"/>
              <w:spacing w:before="142"/>
              <w:ind w:left="161"/>
              <w:rPr>
                <w:b/>
                <w:sz w:val="21"/>
              </w:rPr>
            </w:pPr>
            <w:r>
              <w:rPr>
                <w:b/>
                <w:sz w:val="21"/>
              </w:rPr>
              <w:t>基本保险金额</w:t>
            </w:r>
          </w:p>
        </w:tc>
        <w:tc>
          <w:tcPr>
            <w:tcW w:w="7577" w:type="dxa"/>
          </w:tcPr>
          <w:p>
            <w:pPr>
              <w:pStyle w:val="TableParagraph"/>
              <w:spacing w:line="273" w:lineRule="auto" w:before="142"/>
              <w:ind w:left="151" w:right="267"/>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679" w:type="dxa"/>
          </w:tcPr>
          <w:p>
            <w:pPr>
              <w:pStyle w:val="TableParagraph"/>
              <w:spacing w:before="142"/>
              <w:ind w:right="160"/>
              <w:jc w:val="right"/>
              <w:rPr>
                <w:b/>
                <w:sz w:val="21"/>
              </w:rPr>
            </w:pPr>
            <w:r>
              <w:rPr>
                <w:b/>
                <w:sz w:val="21"/>
              </w:rPr>
              <w:t>2.4</w:t>
            </w:r>
          </w:p>
        </w:tc>
        <w:tc>
          <w:tcPr>
            <w:tcW w:w="1997" w:type="dxa"/>
          </w:tcPr>
          <w:p>
            <w:pPr>
              <w:pStyle w:val="TableParagraph"/>
              <w:spacing w:before="142"/>
              <w:ind w:left="161"/>
              <w:rPr>
                <w:b/>
                <w:sz w:val="21"/>
              </w:rPr>
            </w:pPr>
            <w:r>
              <w:rPr>
                <w:b/>
                <w:sz w:val="21"/>
              </w:rPr>
              <w:t>保险责任</w:t>
            </w:r>
          </w:p>
        </w:tc>
        <w:tc>
          <w:tcPr>
            <w:tcW w:w="7577" w:type="dxa"/>
          </w:tcPr>
          <w:p>
            <w:pPr>
              <w:pStyle w:val="TableParagraph"/>
              <w:spacing w:before="142"/>
              <w:ind w:left="151"/>
              <w:rPr>
                <w:sz w:val="21"/>
              </w:rPr>
            </w:pPr>
            <w:r>
              <w:rPr>
                <w:sz w:val="21"/>
              </w:rPr>
              <w:t>在本附加合同有效期内，我们承担如下保险责任：</w:t>
            </w:r>
          </w:p>
        </w:tc>
      </w:tr>
      <w:tr>
        <w:trPr>
          <w:trHeight w:val="2183" w:hRule="atLeast"/>
        </w:trPr>
        <w:tc>
          <w:tcPr>
            <w:tcW w:w="679" w:type="dxa"/>
          </w:tcPr>
          <w:p>
            <w:pPr>
              <w:pStyle w:val="TableParagraph"/>
              <w:rPr>
                <w:rFonts w:ascii="Times New Roman"/>
                <w:sz w:val="20"/>
              </w:rPr>
            </w:pPr>
          </w:p>
        </w:tc>
        <w:tc>
          <w:tcPr>
            <w:tcW w:w="1997" w:type="dxa"/>
          </w:tcPr>
          <w:p>
            <w:pPr>
              <w:pStyle w:val="TableParagraph"/>
              <w:spacing w:before="140"/>
              <w:ind w:left="161"/>
              <w:rPr>
                <w:rFonts w:ascii="等线" w:eastAsia="等线" w:hint="eastAsia"/>
                <w:b/>
                <w:sz w:val="24"/>
              </w:rPr>
            </w:pPr>
            <w:r>
              <w:rPr>
                <w:rFonts w:ascii="等线" w:eastAsia="等线" w:hint="eastAsia"/>
                <w:b/>
                <w:sz w:val="24"/>
              </w:rPr>
              <w:t>等待期</w:t>
            </w:r>
          </w:p>
        </w:tc>
        <w:tc>
          <w:tcPr>
            <w:tcW w:w="7577" w:type="dxa"/>
          </w:tcPr>
          <w:p>
            <w:pPr>
              <w:pStyle w:val="TableParagraph"/>
              <w:spacing w:line="273" w:lineRule="auto" w:before="142"/>
              <w:ind w:left="151" w:right="198"/>
              <w:rPr>
                <w:sz w:val="21"/>
              </w:rPr>
            </w:pPr>
            <w:r>
              <w:rPr>
                <w:spacing w:val="-5"/>
                <w:sz w:val="21"/>
              </w:rPr>
              <w:t>在本附加合同生效或最后复效日(以较迟者为准)起 </w:t>
            </w:r>
            <w:r>
              <w:rPr>
                <w:sz w:val="21"/>
              </w:rPr>
              <w:t>180</w:t>
            </w:r>
            <w:r>
              <w:rPr>
                <w:spacing w:val="-11"/>
                <w:sz w:val="21"/>
              </w:rPr>
              <w:t> 日内，被保险人因</w:t>
            </w:r>
            <w:r>
              <w:rPr>
                <w:b/>
                <w:sz w:val="21"/>
              </w:rPr>
              <w:t>意外</w:t>
            </w:r>
            <w:r>
              <w:rPr>
                <w:b/>
                <w:w w:val="100"/>
                <w:sz w:val="21"/>
              </w:rPr>
              <w:t>伤害事故</w:t>
            </w:r>
            <w:r>
              <w:rPr>
                <w:spacing w:val="-3"/>
                <w:w w:val="100"/>
                <w:sz w:val="21"/>
              </w:rPr>
              <w:t>（</w:t>
            </w:r>
            <w:r>
              <w:rPr>
                <w:w w:val="100"/>
                <w:sz w:val="21"/>
              </w:rPr>
              <w:t>见</w:t>
            </w:r>
            <w:r>
              <w:rPr>
                <w:spacing w:val="-53"/>
                <w:sz w:val="21"/>
              </w:rPr>
              <w:t> </w:t>
            </w:r>
            <w:r>
              <w:rPr>
                <w:w w:val="100"/>
                <w:sz w:val="21"/>
              </w:rPr>
              <w:t>8.</w:t>
            </w:r>
            <w:r>
              <w:rPr>
                <w:spacing w:val="-3"/>
                <w:w w:val="100"/>
                <w:sz w:val="21"/>
              </w:rPr>
              <w:t>4</w:t>
            </w:r>
            <w:r>
              <w:rPr>
                <w:w w:val="100"/>
                <w:sz w:val="21"/>
              </w:rPr>
              <w:t>）</w:t>
            </w:r>
            <w:r>
              <w:rPr>
                <w:spacing w:val="-4"/>
                <w:w w:val="100"/>
                <w:sz w:val="21"/>
              </w:rPr>
              <w:t>以外的原因患本附加合同约定的</w:t>
            </w:r>
            <w:r>
              <w:rPr>
                <w:b/>
                <w:w w:val="100"/>
                <w:sz w:val="21"/>
              </w:rPr>
              <w:t>少儿重大疾病</w:t>
            </w:r>
            <w:r>
              <w:rPr>
                <w:spacing w:val="-3"/>
                <w:w w:val="100"/>
                <w:sz w:val="21"/>
              </w:rPr>
              <w:t>（</w:t>
            </w:r>
            <w:r>
              <w:rPr>
                <w:w w:val="100"/>
                <w:sz w:val="21"/>
              </w:rPr>
              <w:t>见</w:t>
            </w:r>
            <w:r>
              <w:rPr>
                <w:spacing w:val="-53"/>
                <w:sz w:val="21"/>
              </w:rPr>
              <w:t> </w:t>
            </w:r>
            <w:r>
              <w:rPr>
                <w:w w:val="100"/>
                <w:sz w:val="21"/>
              </w:rPr>
              <w:t>8.5</w:t>
            </w:r>
            <w:r>
              <w:rPr>
                <w:spacing w:val="-108"/>
                <w:w w:val="100"/>
                <w:sz w:val="21"/>
              </w:rPr>
              <w:t>）</w:t>
            </w:r>
            <w:r>
              <w:rPr>
                <w:w w:val="100"/>
                <w:sz w:val="21"/>
              </w:rPr>
              <w:t>、</w:t>
            </w:r>
            <w:r>
              <w:rPr>
                <w:b/>
                <w:spacing w:val="-8"/>
                <w:w w:val="100"/>
                <w:sz w:val="21"/>
              </w:rPr>
              <w:t>少儿特别重大疾病</w:t>
            </w:r>
            <w:r>
              <w:rPr>
                <w:spacing w:val="-3"/>
                <w:w w:val="100"/>
                <w:sz w:val="21"/>
              </w:rPr>
              <w:t>（</w:t>
            </w:r>
            <w:r>
              <w:rPr>
                <w:w w:val="100"/>
                <w:sz w:val="21"/>
              </w:rPr>
              <w:t>见</w:t>
            </w:r>
            <w:r>
              <w:rPr>
                <w:spacing w:val="-55"/>
                <w:sz w:val="21"/>
              </w:rPr>
              <w:t> </w:t>
            </w:r>
            <w:r>
              <w:rPr>
                <w:w w:val="100"/>
                <w:sz w:val="21"/>
              </w:rPr>
              <w:t>8.</w:t>
            </w:r>
            <w:r>
              <w:rPr>
                <w:spacing w:val="-3"/>
                <w:w w:val="100"/>
                <w:sz w:val="21"/>
              </w:rPr>
              <w:t>6</w:t>
            </w:r>
            <w:r>
              <w:rPr>
                <w:spacing w:val="-106"/>
                <w:w w:val="100"/>
                <w:sz w:val="21"/>
              </w:rPr>
              <w:t>）</w:t>
            </w:r>
            <w:r>
              <w:rPr>
                <w:spacing w:val="-63"/>
                <w:w w:val="100"/>
                <w:sz w:val="21"/>
              </w:rPr>
              <w:t>、</w:t>
            </w:r>
            <w:r>
              <w:rPr>
                <w:b/>
                <w:spacing w:val="-10"/>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3"/>
                <w:w w:val="100"/>
                <w:sz w:val="21"/>
              </w:rPr>
              <w:t>7</w:t>
            </w:r>
            <w:r>
              <w:rPr>
                <w:spacing w:val="-63"/>
                <w:w w:val="100"/>
                <w:sz w:val="21"/>
              </w:rPr>
              <w:t>）</w:t>
            </w:r>
            <w:r>
              <w:rPr>
                <w:spacing w:val="-3"/>
                <w:w w:val="100"/>
                <w:sz w:val="21"/>
              </w:rPr>
              <w:t>或</w:t>
            </w:r>
            <w:r>
              <w:rPr>
                <w:b/>
                <w:spacing w:val="-10"/>
                <w:w w:val="100"/>
                <w:sz w:val="21"/>
              </w:rPr>
              <w:t>成人轻症疾病</w:t>
            </w:r>
            <w:r>
              <w:rPr>
                <w:spacing w:val="-3"/>
                <w:w w:val="100"/>
                <w:sz w:val="21"/>
              </w:rPr>
              <w:t>（</w:t>
            </w:r>
            <w:r>
              <w:rPr>
                <w:w w:val="100"/>
                <w:sz w:val="21"/>
              </w:rPr>
              <w:t>见</w:t>
            </w:r>
            <w:r>
              <w:rPr>
                <w:spacing w:val="-53"/>
                <w:sz w:val="21"/>
              </w:rPr>
              <w:t> </w:t>
            </w:r>
            <w:r>
              <w:rPr>
                <w:w w:val="100"/>
                <w:sz w:val="21"/>
              </w:rPr>
              <w:t>8.</w:t>
            </w:r>
            <w:r>
              <w:rPr>
                <w:spacing w:val="-3"/>
                <w:w w:val="100"/>
                <w:sz w:val="21"/>
              </w:rPr>
              <w:t>8</w:t>
            </w:r>
            <w:r>
              <w:rPr>
                <w:w w:val="100"/>
                <w:sz w:val="21"/>
              </w:rPr>
              <w:t>）的</w:t>
            </w:r>
            <w:r>
              <w:rPr>
                <w:spacing w:val="-3"/>
                <w:w w:val="100"/>
                <w:sz w:val="21"/>
              </w:rPr>
              <w:t>（无论一种或多种</w:t>
            </w:r>
            <w:r>
              <w:rPr>
                <w:spacing w:val="-106"/>
                <w:w w:val="100"/>
                <w:sz w:val="21"/>
              </w:rPr>
              <w:t>）</w:t>
            </w:r>
            <w:r>
              <w:rPr>
                <w:spacing w:val="-3"/>
                <w:w w:val="100"/>
                <w:sz w:val="21"/>
              </w:rPr>
              <w:t>，我们不承担保险责任，退还</w:t>
            </w:r>
            <w:r>
              <w:rPr>
                <w:b/>
                <w:w w:val="100"/>
                <w:sz w:val="21"/>
              </w:rPr>
              <w:t>现金价值</w:t>
            </w:r>
            <w:r>
              <w:rPr>
                <w:spacing w:val="-3"/>
                <w:w w:val="100"/>
                <w:sz w:val="21"/>
              </w:rPr>
              <w:t>（</w:t>
            </w:r>
            <w:r>
              <w:rPr>
                <w:w w:val="100"/>
                <w:sz w:val="21"/>
              </w:rPr>
              <w:t>见</w:t>
            </w:r>
            <w:r>
              <w:rPr>
                <w:spacing w:val="-53"/>
                <w:sz w:val="21"/>
              </w:rPr>
              <w:t> </w:t>
            </w:r>
            <w:r>
              <w:rPr>
                <w:w w:val="100"/>
                <w:sz w:val="21"/>
              </w:rPr>
              <w:t>8.</w:t>
            </w:r>
            <w:r>
              <w:rPr>
                <w:spacing w:val="-3"/>
                <w:w w:val="100"/>
                <w:sz w:val="21"/>
              </w:rPr>
              <w:t>9</w:t>
            </w:r>
            <w:r>
              <w:rPr>
                <w:spacing w:val="-106"/>
                <w:w w:val="100"/>
                <w:sz w:val="21"/>
              </w:rPr>
              <w:t>）</w:t>
            </w:r>
            <w:r>
              <w:rPr>
                <w:spacing w:val="-3"/>
                <w:w w:val="100"/>
                <w:sz w:val="21"/>
              </w:rPr>
              <w:t>，本附</w:t>
            </w:r>
            <w:r>
              <w:rPr>
                <w:spacing w:val="-8"/>
                <w:sz w:val="21"/>
              </w:rPr>
              <w:t>加合同终止。这 </w:t>
            </w:r>
            <w:r>
              <w:rPr>
                <w:sz w:val="21"/>
              </w:rPr>
              <w:t>180</w:t>
            </w:r>
            <w:r>
              <w:rPr>
                <w:spacing w:val="-8"/>
                <w:sz w:val="21"/>
              </w:rPr>
              <w:t> 日的时间称为等待期。</w:t>
            </w:r>
          </w:p>
          <w:p>
            <w:pPr>
              <w:pStyle w:val="TableParagraph"/>
              <w:spacing w:before="7"/>
              <w:ind w:left="152"/>
              <w:rPr>
                <w:sz w:val="21"/>
              </w:rPr>
            </w:pPr>
            <w:r>
              <w:rPr>
                <w:sz w:val="21"/>
              </w:rPr>
              <w:t>因意外伤害事故患上述疾病的无等待期。</w:t>
            </w:r>
          </w:p>
        </w:tc>
      </w:tr>
      <w:tr>
        <w:trPr>
          <w:trHeight w:val="934" w:hRule="atLeast"/>
        </w:trPr>
        <w:tc>
          <w:tcPr>
            <w:tcW w:w="679" w:type="dxa"/>
          </w:tcPr>
          <w:p>
            <w:pPr>
              <w:pStyle w:val="TableParagraph"/>
              <w:rPr>
                <w:rFonts w:ascii="Times New Roman"/>
                <w:sz w:val="20"/>
              </w:rPr>
            </w:pPr>
          </w:p>
        </w:tc>
        <w:tc>
          <w:tcPr>
            <w:tcW w:w="1997" w:type="dxa"/>
          </w:tcPr>
          <w:p>
            <w:pPr>
              <w:pStyle w:val="TableParagraph"/>
              <w:rPr>
                <w:rFonts w:ascii="Times New Roman"/>
                <w:sz w:val="20"/>
              </w:rPr>
            </w:pPr>
          </w:p>
        </w:tc>
        <w:tc>
          <w:tcPr>
            <w:tcW w:w="7577" w:type="dxa"/>
          </w:tcPr>
          <w:p>
            <w:pPr>
              <w:pStyle w:val="TableParagraph"/>
              <w:spacing w:line="273" w:lineRule="auto" w:before="142"/>
              <w:ind w:left="151" w:right="255"/>
              <w:rPr>
                <w:sz w:val="21"/>
              </w:rPr>
            </w:pPr>
            <w:r>
              <w:rPr>
                <w:sz w:val="21"/>
              </w:rPr>
              <w:t>如被保险人在等待期后发生本附加合同所约定的保险事故，我们按照下列方式给付保险金：</w:t>
            </w:r>
          </w:p>
        </w:tc>
      </w:tr>
      <w:tr>
        <w:trPr>
          <w:trHeight w:val="3743"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少儿重大疾病保险金</w:t>
            </w:r>
          </w:p>
        </w:tc>
        <w:tc>
          <w:tcPr>
            <w:tcW w:w="7577" w:type="dxa"/>
          </w:tcPr>
          <w:p>
            <w:pPr>
              <w:pStyle w:val="TableParagraph"/>
              <w:spacing w:line="273" w:lineRule="auto" w:before="144"/>
              <w:ind w:left="151" w:right="303"/>
              <w:jc w:val="both"/>
              <w:rPr>
                <w:sz w:val="21"/>
              </w:rPr>
            </w:pPr>
            <w:r>
              <w:rPr>
                <w:spacing w:val="-11"/>
                <w:sz w:val="21"/>
              </w:rPr>
              <w:t>被保险人在 </w:t>
            </w:r>
            <w:r>
              <w:rPr>
                <w:sz w:val="21"/>
              </w:rPr>
              <w:t>18</w:t>
            </w:r>
            <w:r>
              <w:rPr>
                <w:spacing w:val="-12"/>
                <w:sz w:val="21"/>
              </w:rPr>
              <w:t> 周岁之前，</w:t>
            </w:r>
            <w:r>
              <w:rPr>
                <w:b/>
                <w:spacing w:val="-2"/>
                <w:sz w:val="21"/>
              </w:rPr>
              <w:t>初次发生</w:t>
            </w:r>
            <w:r>
              <w:rPr>
                <w:sz w:val="21"/>
              </w:rPr>
              <w:t>（</w:t>
            </w:r>
            <w:r>
              <w:rPr>
                <w:spacing w:val="-25"/>
                <w:sz w:val="21"/>
              </w:rPr>
              <w:t>见 </w:t>
            </w:r>
            <w:r>
              <w:rPr>
                <w:sz w:val="21"/>
              </w:rPr>
              <w:t>8.10）</w:t>
            </w:r>
            <w:r>
              <w:rPr>
                <w:spacing w:val="-2"/>
                <w:sz w:val="21"/>
              </w:rPr>
              <w:t>并被</w:t>
            </w:r>
            <w:r>
              <w:rPr>
                <w:b/>
                <w:spacing w:val="-3"/>
                <w:sz w:val="21"/>
              </w:rPr>
              <w:t>医院</w:t>
            </w:r>
            <w:r>
              <w:rPr>
                <w:spacing w:val="-3"/>
                <w:sz w:val="21"/>
              </w:rPr>
              <w:t>（</w:t>
            </w:r>
            <w:r>
              <w:rPr>
                <w:spacing w:val="-24"/>
                <w:sz w:val="21"/>
              </w:rPr>
              <w:t>见 </w:t>
            </w:r>
            <w:r>
              <w:rPr>
                <w:spacing w:val="-3"/>
                <w:sz w:val="21"/>
              </w:rPr>
              <w:t>8.11）的</w:t>
            </w:r>
            <w:r>
              <w:rPr>
                <w:b/>
                <w:sz w:val="21"/>
              </w:rPr>
              <w:t>专科医</w:t>
            </w:r>
            <w:r>
              <w:rPr>
                <w:b/>
                <w:spacing w:val="-24"/>
                <w:sz w:val="21"/>
              </w:rPr>
              <w:t>生</w:t>
            </w:r>
            <w:r>
              <w:rPr>
                <w:spacing w:val="-3"/>
                <w:sz w:val="21"/>
              </w:rPr>
              <w:t>（</w:t>
            </w:r>
            <w:r>
              <w:rPr>
                <w:spacing w:val="-11"/>
                <w:sz w:val="21"/>
              </w:rPr>
              <w:t>见 </w:t>
            </w:r>
            <w:r>
              <w:rPr>
                <w:spacing w:val="-7"/>
                <w:sz w:val="21"/>
              </w:rPr>
              <w:t>8.12）</w:t>
            </w:r>
            <w:r>
              <w:rPr>
                <w:spacing w:val="-5"/>
                <w:sz w:val="21"/>
              </w:rPr>
              <w:t>确诊为本附加合同约定的少儿重大疾病，我们按本附加合同基本</w:t>
            </w:r>
            <w:r>
              <w:rPr>
                <w:spacing w:val="-6"/>
                <w:sz w:val="21"/>
              </w:rPr>
              <w:t>保险金额给付少儿重大疾病保险金；主合同基本保险金额减少为扣除本附加合</w:t>
            </w:r>
            <w:r>
              <w:rPr>
                <w:spacing w:val="-3"/>
                <w:sz w:val="21"/>
              </w:rPr>
              <w:t>同基本保险金额后的金额。</w:t>
            </w:r>
          </w:p>
          <w:p>
            <w:pPr>
              <w:pStyle w:val="TableParagraph"/>
              <w:spacing w:before="5"/>
              <w:rPr>
                <w:sz w:val="24"/>
              </w:rPr>
            </w:pPr>
          </w:p>
          <w:p>
            <w:pPr>
              <w:pStyle w:val="TableParagraph"/>
              <w:spacing w:line="273" w:lineRule="auto"/>
              <w:ind w:left="152" w:right="303"/>
              <w:rPr>
                <w:sz w:val="21"/>
              </w:rPr>
            </w:pPr>
            <w:r>
              <w:rPr>
                <w:spacing w:val="-6"/>
                <w:sz w:val="21"/>
              </w:rPr>
              <w:t>少儿重大疾病保险金只给付 </w:t>
            </w:r>
            <w:r>
              <w:rPr>
                <w:sz w:val="21"/>
              </w:rPr>
              <w:t>1</w:t>
            </w:r>
            <w:r>
              <w:rPr>
                <w:spacing w:val="-10"/>
                <w:sz w:val="21"/>
              </w:rPr>
              <w:t> 次。被保险人被确诊为与本附加合同约定的少儿</w:t>
            </w:r>
            <w:r>
              <w:rPr>
                <w:spacing w:val="-5"/>
                <w:sz w:val="21"/>
              </w:rPr>
              <w:t>特别重大疾病不同的其他少儿重大疾病的，少儿重大疾病保险金给付后，本附</w:t>
            </w:r>
            <w:r>
              <w:rPr>
                <w:spacing w:val="-7"/>
                <w:sz w:val="21"/>
              </w:rPr>
              <w:t>加合同终止；被保险人被确诊为与本附加合同约定的少儿特别重大疾病相同的少儿重大疾病的，少儿重大疾病保险金给付后，本附加合同的少儿重大疾病保</w:t>
            </w:r>
            <w:r>
              <w:rPr>
                <w:spacing w:val="-3"/>
                <w:sz w:val="21"/>
              </w:rPr>
              <w:t>险金、成人重大疾病保险金和成人轻症疾病提前给付保险金三项保险责任终 止。</w:t>
            </w:r>
          </w:p>
        </w:tc>
      </w:tr>
      <w:tr>
        <w:trPr>
          <w:trHeight w:val="1248"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少儿特别重大疾病保险金</w:t>
            </w:r>
          </w:p>
        </w:tc>
        <w:tc>
          <w:tcPr>
            <w:tcW w:w="7577" w:type="dxa"/>
          </w:tcPr>
          <w:p>
            <w:pPr>
              <w:pStyle w:val="TableParagraph"/>
              <w:spacing w:before="144"/>
              <w:ind w:left="151"/>
              <w:rPr>
                <w:sz w:val="21"/>
              </w:rPr>
            </w:pPr>
            <w:r>
              <w:rPr>
                <w:sz w:val="21"/>
              </w:rPr>
              <w:t>被保险人在 18 周岁之前，初次发生并被医院的专科医生确诊为本附加合同约</w:t>
            </w:r>
          </w:p>
          <w:p>
            <w:pPr>
              <w:pStyle w:val="TableParagraph"/>
              <w:spacing w:line="273" w:lineRule="auto" w:before="36"/>
              <w:ind w:left="152" w:right="281" w:hanging="1"/>
              <w:rPr>
                <w:sz w:val="21"/>
              </w:rPr>
            </w:pPr>
            <w:r>
              <w:rPr>
                <w:spacing w:val="-3"/>
                <w:w w:val="100"/>
                <w:sz w:val="21"/>
              </w:rPr>
              <w:t>定的少儿特别重大疾病，自确诊之日起生存满</w:t>
            </w:r>
            <w:r>
              <w:rPr>
                <w:spacing w:val="-3"/>
                <w:sz w:val="21"/>
              </w:rPr>
              <w:t> </w:t>
            </w:r>
            <w:r>
              <w:rPr>
                <w:w w:val="100"/>
                <w:sz w:val="21"/>
              </w:rPr>
              <w:t>30</w:t>
            </w:r>
            <w:r>
              <w:rPr>
                <w:spacing w:val="-55"/>
                <w:sz w:val="21"/>
              </w:rPr>
              <w:t> </w:t>
            </w:r>
            <w:r>
              <w:rPr>
                <w:spacing w:val="-3"/>
                <w:w w:val="100"/>
                <w:sz w:val="21"/>
              </w:rPr>
              <w:t>日（</w:t>
            </w:r>
            <w:r>
              <w:rPr>
                <w:w w:val="100"/>
                <w:sz w:val="21"/>
              </w:rPr>
              <w:t>含</w:t>
            </w:r>
            <w:r>
              <w:rPr>
                <w:sz w:val="21"/>
              </w:rPr>
              <w:t> </w:t>
            </w:r>
            <w:r>
              <w:rPr>
                <w:spacing w:val="-3"/>
                <w:w w:val="100"/>
                <w:sz w:val="21"/>
              </w:rPr>
              <w:t>3</w:t>
            </w:r>
            <w:r>
              <w:rPr>
                <w:w w:val="100"/>
                <w:sz w:val="21"/>
              </w:rPr>
              <w:t>0</w:t>
            </w:r>
            <w:r>
              <w:rPr>
                <w:spacing w:val="-53"/>
                <w:sz w:val="21"/>
              </w:rPr>
              <w:t> </w:t>
            </w:r>
            <w:r>
              <w:rPr>
                <w:spacing w:val="-2"/>
                <w:w w:val="100"/>
                <w:sz w:val="21"/>
              </w:rPr>
              <w:t>日当日</w:t>
            </w:r>
            <w:r>
              <w:rPr>
                <w:spacing w:val="-108"/>
                <w:w w:val="100"/>
                <w:sz w:val="21"/>
              </w:rPr>
              <w:t>）</w:t>
            </w:r>
            <w:r>
              <w:rPr>
                <w:spacing w:val="-2"/>
                <w:w w:val="100"/>
                <w:sz w:val="21"/>
              </w:rPr>
              <w:t>，我们将</w:t>
            </w:r>
            <w:r>
              <w:rPr>
                <w:spacing w:val="-3"/>
                <w:sz w:val="21"/>
              </w:rPr>
              <w:t>按本附加合同基本保险金额给付少儿特别重大疾病保险金，本附加合同终止。</w:t>
            </w:r>
          </w:p>
        </w:tc>
      </w:tr>
      <w:tr>
        <w:trPr>
          <w:trHeight w:val="1871"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成人重大疾病保险金</w:t>
            </w:r>
          </w:p>
        </w:tc>
        <w:tc>
          <w:tcPr>
            <w:tcW w:w="7577" w:type="dxa"/>
          </w:tcPr>
          <w:p>
            <w:pPr>
              <w:pStyle w:val="TableParagraph"/>
              <w:spacing w:line="273" w:lineRule="auto" w:before="144"/>
              <w:ind w:left="152" w:right="282"/>
              <w:jc w:val="both"/>
              <w:rPr>
                <w:sz w:val="21"/>
              </w:rPr>
            </w:pPr>
            <w:r>
              <w:rPr>
                <w:spacing w:val="-10"/>
                <w:sz w:val="21"/>
              </w:rPr>
              <w:t>被保险人在 </w:t>
            </w:r>
            <w:r>
              <w:rPr>
                <w:sz w:val="21"/>
              </w:rPr>
              <w:t>18</w:t>
            </w:r>
            <w:r>
              <w:rPr>
                <w:spacing w:val="-20"/>
                <w:sz w:val="21"/>
              </w:rPr>
              <w:t> 周岁</w:t>
            </w:r>
            <w:r>
              <w:rPr>
                <w:spacing w:val="-3"/>
                <w:sz w:val="21"/>
              </w:rPr>
              <w:t>（</w:t>
            </w:r>
            <w:r>
              <w:rPr>
                <w:spacing w:val="-23"/>
                <w:sz w:val="21"/>
              </w:rPr>
              <w:t>含 </w:t>
            </w:r>
            <w:r>
              <w:rPr>
                <w:sz w:val="21"/>
              </w:rPr>
              <w:t>18</w:t>
            </w:r>
            <w:r>
              <w:rPr>
                <w:spacing w:val="-17"/>
                <w:sz w:val="21"/>
              </w:rPr>
              <w:t> 周岁</w:t>
            </w:r>
            <w:r>
              <w:rPr>
                <w:spacing w:val="-10"/>
                <w:sz w:val="21"/>
              </w:rPr>
              <w:t>）</w:t>
            </w:r>
            <w:r>
              <w:rPr>
                <w:spacing w:val="-4"/>
                <w:sz w:val="21"/>
              </w:rPr>
              <w:t>之后，初次发生并被医院的专科医生确诊为</w:t>
            </w:r>
            <w:r>
              <w:rPr>
                <w:spacing w:val="-5"/>
                <w:sz w:val="21"/>
              </w:rPr>
              <w:t>本附加合同约定的成人重大疾病，我们按本附加合同当时的基本保险金额</w:t>
            </w:r>
            <w:r>
              <w:rPr>
                <w:spacing w:val="-3"/>
                <w:sz w:val="21"/>
              </w:rPr>
              <w:t>（</w:t>
            </w:r>
            <w:r>
              <w:rPr>
                <w:sz w:val="21"/>
              </w:rPr>
              <w:t>扣</w:t>
            </w:r>
            <w:r>
              <w:rPr>
                <w:spacing w:val="-3"/>
                <w:sz w:val="21"/>
              </w:rPr>
              <w:t>除给付的轻症疾病提前给付保险金之和后的金额）给付成人重大疾病保险金， </w:t>
            </w:r>
            <w:r>
              <w:rPr>
                <w:spacing w:val="-6"/>
                <w:sz w:val="21"/>
              </w:rPr>
              <w:t>本附加合同终止；主合同基本保险金额减少为扣除本附加合同基本保险金额后</w:t>
            </w:r>
            <w:r>
              <w:rPr>
                <w:spacing w:val="-1"/>
                <w:sz w:val="21"/>
              </w:rPr>
              <w:t>的金额。</w:t>
            </w:r>
          </w:p>
        </w:tc>
      </w:tr>
      <w:tr>
        <w:trPr>
          <w:trHeight w:val="1043" w:hRule="atLeast"/>
        </w:trPr>
        <w:tc>
          <w:tcPr>
            <w:tcW w:w="679" w:type="dxa"/>
          </w:tcPr>
          <w:p>
            <w:pPr>
              <w:pStyle w:val="TableParagraph"/>
              <w:rPr>
                <w:rFonts w:ascii="Times New Roman"/>
                <w:sz w:val="20"/>
              </w:rPr>
            </w:pPr>
          </w:p>
        </w:tc>
        <w:tc>
          <w:tcPr>
            <w:tcW w:w="1997" w:type="dxa"/>
          </w:tcPr>
          <w:p>
            <w:pPr>
              <w:pStyle w:val="TableParagraph"/>
              <w:spacing w:line="220" w:lineRule="auto" w:before="151"/>
              <w:ind w:left="161" w:right="150"/>
              <w:rPr>
                <w:rFonts w:ascii="等线" w:eastAsia="等线" w:hint="eastAsia"/>
                <w:b/>
                <w:sz w:val="24"/>
              </w:rPr>
            </w:pPr>
            <w:r>
              <w:rPr>
                <w:rFonts w:ascii="等线" w:eastAsia="等线" w:hint="eastAsia"/>
                <w:b/>
                <w:sz w:val="24"/>
              </w:rPr>
              <w:t>成人轻症疾病提前给付保险金</w:t>
            </w:r>
          </w:p>
        </w:tc>
        <w:tc>
          <w:tcPr>
            <w:tcW w:w="7577" w:type="dxa"/>
          </w:tcPr>
          <w:p>
            <w:pPr>
              <w:pStyle w:val="TableParagraph"/>
              <w:spacing w:line="310" w:lineRule="atLeast" w:before="109"/>
              <w:ind w:left="152" w:right="301" w:hanging="1"/>
              <w:jc w:val="both"/>
              <w:rPr>
                <w:sz w:val="21"/>
              </w:rPr>
            </w:pPr>
            <w:r>
              <w:rPr>
                <w:spacing w:val="-10"/>
                <w:sz w:val="21"/>
              </w:rPr>
              <w:t>被保险人在 </w:t>
            </w:r>
            <w:r>
              <w:rPr>
                <w:sz w:val="21"/>
              </w:rPr>
              <w:t>18</w:t>
            </w:r>
            <w:r>
              <w:rPr>
                <w:spacing w:val="-20"/>
                <w:sz w:val="21"/>
              </w:rPr>
              <w:t> 周岁</w:t>
            </w:r>
            <w:r>
              <w:rPr>
                <w:spacing w:val="-3"/>
                <w:sz w:val="21"/>
              </w:rPr>
              <w:t>（</w:t>
            </w:r>
            <w:r>
              <w:rPr>
                <w:spacing w:val="-22"/>
                <w:sz w:val="21"/>
              </w:rPr>
              <w:t>含 </w:t>
            </w:r>
            <w:r>
              <w:rPr>
                <w:sz w:val="21"/>
              </w:rPr>
              <w:t>18</w:t>
            </w:r>
            <w:r>
              <w:rPr>
                <w:spacing w:val="-16"/>
                <w:sz w:val="21"/>
              </w:rPr>
              <w:t> 周岁</w:t>
            </w:r>
            <w:r>
              <w:rPr>
                <w:spacing w:val="-10"/>
                <w:sz w:val="21"/>
              </w:rPr>
              <w:t>）</w:t>
            </w:r>
            <w:r>
              <w:rPr>
                <w:spacing w:val="-4"/>
                <w:sz w:val="21"/>
              </w:rPr>
              <w:t>之后，初次发生并被医院的专科医生确诊为</w:t>
            </w:r>
            <w:r>
              <w:rPr>
                <w:spacing w:val="-9"/>
                <w:sz w:val="21"/>
              </w:rPr>
              <w:t>本附加合同约定的成人轻症疾病，我们按本附加合同基本保险金额 </w:t>
            </w:r>
            <w:r>
              <w:rPr>
                <w:sz w:val="21"/>
              </w:rPr>
              <w:t>20</w:t>
            </w:r>
            <w:r>
              <w:rPr>
                <w:spacing w:val="-2"/>
                <w:sz w:val="21"/>
              </w:rPr>
              <w:t>％给付成</w:t>
            </w:r>
            <w:r>
              <w:rPr>
                <w:spacing w:val="-5"/>
                <w:sz w:val="21"/>
              </w:rPr>
              <w:t>人轻症疾病提前给付保险金，但最多不超过人民币 </w:t>
            </w:r>
            <w:r>
              <w:rPr>
                <w:sz w:val="21"/>
              </w:rPr>
              <w:t>50000</w:t>
            </w:r>
            <w:r>
              <w:rPr>
                <w:spacing w:val="-13"/>
                <w:sz w:val="21"/>
              </w:rPr>
              <w:t> 元。</w:t>
            </w:r>
          </w:p>
        </w:tc>
      </w:tr>
    </w:tbl>
    <w:p>
      <w:pPr>
        <w:spacing w:after="0" w:line="310" w:lineRule="atLeast"/>
        <w:jc w:val="both"/>
        <w:rPr>
          <w:sz w:val="21"/>
        </w:rPr>
        <w:sectPr>
          <w:pgSz w:w="11910" w:h="16840"/>
          <w:pgMar w:top="1160" w:bottom="280" w:left="7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976"/>
        <w:gridCol w:w="7376"/>
      </w:tblGrid>
      <w:tr>
        <w:trPr>
          <w:trHeight w:val="2365" w:hRule="atLeast"/>
        </w:trPr>
        <w:tc>
          <w:tcPr>
            <w:tcW w:w="607" w:type="dxa"/>
          </w:tcPr>
          <w:p>
            <w:pPr>
              <w:pStyle w:val="TableParagraph"/>
              <w:rPr>
                <w:rFonts w:ascii="Times New Roman"/>
                <w:sz w:val="20"/>
              </w:rPr>
            </w:pPr>
          </w:p>
        </w:tc>
        <w:tc>
          <w:tcPr>
            <w:tcW w:w="1976" w:type="dxa"/>
          </w:tcPr>
          <w:p>
            <w:pPr>
              <w:pStyle w:val="TableParagraph"/>
              <w:rPr>
                <w:rFonts w:ascii="Times New Roman"/>
                <w:sz w:val="20"/>
              </w:rPr>
            </w:pPr>
          </w:p>
        </w:tc>
        <w:tc>
          <w:tcPr>
            <w:tcW w:w="7376" w:type="dxa"/>
          </w:tcPr>
          <w:p>
            <w:pPr>
              <w:pStyle w:val="TableParagraph"/>
              <w:spacing w:line="209" w:lineRule="exact"/>
              <w:ind w:left="153"/>
              <w:rPr>
                <w:sz w:val="21"/>
              </w:rPr>
            </w:pPr>
            <w:r>
              <w:rPr>
                <w:spacing w:val="-6"/>
                <w:sz w:val="21"/>
              </w:rPr>
              <w:t>每种成人轻症疾病只给付 </w:t>
            </w:r>
            <w:r>
              <w:rPr>
                <w:sz w:val="21"/>
              </w:rPr>
              <w:t>1</w:t>
            </w:r>
            <w:r>
              <w:rPr>
                <w:spacing w:val="-9"/>
                <w:sz w:val="21"/>
              </w:rPr>
              <w:t> 次成人轻症疾病提前给付保险金，给付后该种成人</w:t>
            </w:r>
          </w:p>
          <w:p>
            <w:pPr>
              <w:pStyle w:val="TableParagraph"/>
              <w:spacing w:before="37"/>
              <w:ind w:left="153"/>
              <w:rPr>
                <w:sz w:val="21"/>
              </w:rPr>
            </w:pPr>
            <w:r>
              <w:rPr>
                <w:sz w:val="21"/>
              </w:rPr>
              <w:t>轻症疾病提前给付保险金保险责任终止。</w:t>
            </w:r>
          </w:p>
          <w:p>
            <w:pPr>
              <w:pStyle w:val="TableParagraph"/>
              <w:spacing w:before="8"/>
              <w:rPr>
                <w:sz w:val="26"/>
              </w:rPr>
            </w:pPr>
          </w:p>
          <w:p>
            <w:pPr>
              <w:pStyle w:val="TableParagraph"/>
              <w:spacing w:line="273" w:lineRule="auto"/>
              <w:ind w:left="153" w:right="103"/>
              <w:rPr>
                <w:sz w:val="21"/>
              </w:rPr>
            </w:pPr>
            <w:r>
              <w:rPr>
                <w:spacing w:val="-5"/>
                <w:sz w:val="21"/>
              </w:rPr>
              <w:t>轻症疾病提前给付保险金给付后，本附加合同的基本保险金额递减为扣除成人</w:t>
            </w:r>
            <w:r>
              <w:rPr>
                <w:spacing w:val="-3"/>
                <w:sz w:val="21"/>
              </w:rPr>
              <w:t>轻症疾病提前给付保险金后的金额，当本附加合同的基本保险金额递减为零 </w:t>
            </w:r>
            <w:r>
              <w:rPr>
                <w:spacing w:val="-6"/>
                <w:sz w:val="21"/>
              </w:rPr>
              <w:t>时，本附加合同终止；主合同基本保险金额减少为扣除成人轻症疾病提前给付</w:t>
            </w:r>
            <w:r>
              <w:rPr>
                <w:spacing w:val="-3"/>
                <w:sz w:val="21"/>
              </w:rPr>
              <w:t>保险金之和后的金额。</w:t>
            </w:r>
          </w:p>
        </w:tc>
      </w:tr>
      <w:tr>
        <w:trPr>
          <w:trHeight w:val="1015" w:hRule="atLeast"/>
        </w:trPr>
        <w:tc>
          <w:tcPr>
            <w:tcW w:w="607" w:type="dxa"/>
          </w:tcPr>
          <w:p>
            <w:pPr>
              <w:pStyle w:val="TableParagraph"/>
              <w:rPr>
                <w:rFonts w:ascii="Times New Roman"/>
                <w:sz w:val="20"/>
              </w:rPr>
            </w:pPr>
          </w:p>
        </w:tc>
        <w:tc>
          <w:tcPr>
            <w:tcW w:w="1976" w:type="dxa"/>
          </w:tcPr>
          <w:p>
            <w:pPr>
              <w:pStyle w:val="TableParagraph"/>
              <w:spacing w:before="201"/>
              <w:ind w:left="141"/>
              <w:rPr>
                <w:rFonts w:ascii="等线" w:eastAsia="等线" w:hint="eastAsia"/>
                <w:b/>
                <w:sz w:val="24"/>
              </w:rPr>
            </w:pPr>
            <w:r>
              <w:rPr>
                <w:rFonts w:ascii="等线" w:eastAsia="等线" w:hint="eastAsia"/>
                <w:b/>
                <w:sz w:val="24"/>
              </w:rPr>
              <w:t>对主合同的影响</w:t>
            </w:r>
          </w:p>
        </w:tc>
        <w:tc>
          <w:tcPr>
            <w:tcW w:w="7376" w:type="dxa"/>
          </w:tcPr>
          <w:p>
            <w:pPr>
              <w:pStyle w:val="TableParagraph"/>
              <w:spacing w:before="10"/>
              <w:rPr>
                <w:sz w:val="16"/>
              </w:rPr>
            </w:pPr>
          </w:p>
          <w:p>
            <w:pPr>
              <w:pStyle w:val="TableParagraph"/>
              <w:spacing w:line="273" w:lineRule="auto"/>
              <w:ind w:left="152" w:right="289"/>
              <w:rPr>
                <w:sz w:val="21"/>
              </w:rPr>
            </w:pPr>
            <w:r>
              <w:rPr>
                <w:sz w:val="21"/>
              </w:rPr>
              <w:t>主合同约定的各项保险责任及保险单上载明的现金价值按减少或再次减少后的基本保险金额确定。当主合同基本保险金额减少至零时，主合同终止。</w:t>
            </w:r>
          </w:p>
        </w:tc>
      </w:tr>
      <w:tr>
        <w:trPr>
          <w:trHeight w:val="4704" w:hRule="atLeast"/>
        </w:trPr>
        <w:tc>
          <w:tcPr>
            <w:tcW w:w="607" w:type="dxa"/>
          </w:tcPr>
          <w:p>
            <w:pPr>
              <w:pStyle w:val="TableParagraph"/>
              <w:spacing w:before="140"/>
              <w:ind w:left="88" w:right="160"/>
              <w:jc w:val="center"/>
              <w:rPr>
                <w:b/>
                <w:sz w:val="21"/>
              </w:rPr>
            </w:pPr>
            <w:r>
              <w:rPr>
                <w:b/>
                <w:sz w:val="21"/>
              </w:rPr>
              <w:t>2.5</w:t>
            </w:r>
          </w:p>
        </w:tc>
        <w:tc>
          <w:tcPr>
            <w:tcW w:w="1976" w:type="dxa"/>
          </w:tcPr>
          <w:p>
            <w:pPr>
              <w:pStyle w:val="TableParagraph"/>
              <w:spacing w:before="140"/>
              <w:ind w:left="141"/>
              <w:rPr>
                <w:b/>
                <w:sz w:val="21"/>
              </w:rPr>
            </w:pPr>
            <w:r>
              <w:rPr>
                <w:b/>
                <w:sz w:val="21"/>
              </w:rPr>
              <w:t>责任免除</w:t>
            </w:r>
          </w:p>
        </w:tc>
        <w:tc>
          <w:tcPr>
            <w:tcW w:w="7376" w:type="dxa"/>
          </w:tcPr>
          <w:p>
            <w:pPr>
              <w:pStyle w:val="TableParagraph"/>
              <w:spacing w:line="273" w:lineRule="auto" w:before="140"/>
              <w:ind w:left="153" w:right="103"/>
              <w:jc w:val="both"/>
              <w:rPr>
                <w:rFonts w:ascii="黑体" w:hAnsi="黑体" w:eastAsia="黑体" w:hint="eastAsia"/>
                <w:sz w:val="21"/>
              </w:rPr>
            </w:pPr>
            <w:r>
              <w:rPr>
                <w:rFonts w:ascii="黑体" w:hAnsi="黑体" w:eastAsia="黑体" w:hint="eastAsia"/>
                <w:spacing w:val="-4"/>
                <w:sz w:val="21"/>
              </w:rPr>
              <w:t>因下列情形之一，导致被保险人初次发</w:t>
            </w:r>
            <w:r>
              <w:rPr>
                <w:rFonts w:ascii="黑体" w:hAnsi="黑体" w:eastAsia="黑体" w:hint="eastAsia"/>
                <w:spacing w:val="-3"/>
                <w:sz w:val="21"/>
              </w:rPr>
              <w:t>Th</w:t>
            </w:r>
            <w:r>
              <w:rPr>
                <w:rFonts w:ascii="黑体" w:hAnsi="黑体" w:eastAsia="黑体" w:hint="eastAsia"/>
                <w:spacing w:val="-5"/>
                <w:sz w:val="21"/>
              </w:rPr>
              <w:t>“少儿重大疾病”、“少儿特别重大疾病”、“成人重大疾病”或“成人轻症疾病”的，我们不承担给付保险金的</w:t>
            </w:r>
            <w:r>
              <w:rPr>
                <w:rFonts w:ascii="黑体" w:hAnsi="黑体" w:eastAsia="黑体" w:hint="eastAsia"/>
                <w:sz w:val="21"/>
              </w:rPr>
              <w:t>责任：</w:t>
            </w:r>
          </w:p>
          <w:p>
            <w:pPr>
              <w:pStyle w:val="TableParagraph"/>
              <w:spacing w:before="7"/>
              <w:ind w:left="153"/>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153"/>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153"/>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678" w:right="102" w:hanging="526"/>
              <w:rPr>
                <w:rFonts w:ascii="黑体" w:eastAsia="黑体" w:hint="eastAsia"/>
                <w:sz w:val="21"/>
              </w:rPr>
            </w:pPr>
            <w:r>
              <w:rPr>
                <w:rFonts w:ascii="黑体" w:eastAsia="黑体" w:hint="eastAsia"/>
                <w:w w:val="100"/>
                <w:sz w:val="21"/>
              </w:rPr>
              <w:t>（4</w:t>
            </w:r>
            <w:r>
              <w:rPr>
                <w:rFonts w:ascii="黑体" w:eastAsia="黑体" w:hint="eastAsia"/>
                <w:spacing w:val="-10"/>
                <w:w w:val="100"/>
                <w:sz w:val="21"/>
              </w:rPr>
              <w:t>）</w:t>
            </w:r>
            <w:r>
              <w:rPr>
                <w:rFonts w:ascii="黑体" w:eastAsia="黑体" w:hint="eastAsia"/>
                <w:spacing w:val="-3"/>
                <w:w w:val="100"/>
                <w:sz w:val="21"/>
              </w:rPr>
              <w:t>被保险人</w:t>
            </w:r>
            <w:r>
              <w:rPr>
                <w:rFonts w:ascii="黑体" w:eastAsia="黑体" w:hint="eastAsia"/>
                <w:b/>
                <w:spacing w:val="-2"/>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r>
              <w:rPr>
                <w:rFonts w:ascii="黑体" w:eastAsia="黑体" w:hint="eastAsia"/>
                <w:spacing w:val="-5"/>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8.16）</w:t>
            </w:r>
            <w:r>
              <w:rPr>
                <w:rFonts w:ascii="黑体" w:eastAsia="黑体" w:hint="eastAsia"/>
                <w:spacing w:val="-3"/>
                <w:sz w:val="21"/>
              </w:rPr>
              <w:t>的机动车；</w:t>
            </w:r>
          </w:p>
          <w:p>
            <w:pPr>
              <w:pStyle w:val="TableParagraph"/>
              <w:spacing w:before="7"/>
              <w:ind w:left="153"/>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8.17）期间因疾病导致的；</w:t>
            </w:r>
          </w:p>
          <w:p>
            <w:pPr>
              <w:pStyle w:val="TableParagraph"/>
              <w:spacing w:before="37"/>
              <w:ind w:left="153"/>
              <w:rPr>
                <w:rFonts w:ascii="黑体" w:eastAsia="黑体" w:hint="eastAsia"/>
                <w:sz w:val="21"/>
              </w:rPr>
            </w:pPr>
            <w:r>
              <w:rPr>
                <w:rFonts w:ascii="黑体" w:eastAsia="黑体" w:hint="eastAsia"/>
                <w:sz w:val="21"/>
              </w:rPr>
              <w:t>（6）战争、军事冲突、暴乱或武装叛乱；</w:t>
            </w:r>
          </w:p>
          <w:p>
            <w:pPr>
              <w:pStyle w:val="TableParagraph"/>
              <w:spacing w:before="37"/>
              <w:ind w:left="153"/>
              <w:rPr>
                <w:rFonts w:ascii="黑体" w:eastAsia="黑体" w:hint="eastAsia"/>
                <w:sz w:val="21"/>
              </w:rPr>
            </w:pPr>
            <w:r>
              <w:rPr>
                <w:rFonts w:ascii="黑体" w:eastAsia="黑体" w:hint="eastAsia"/>
                <w:sz w:val="21"/>
              </w:rPr>
              <w:t>（7）核爆炸、核辐射或核污染；</w:t>
            </w:r>
          </w:p>
          <w:p>
            <w:pPr>
              <w:pStyle w:val="TableParagraph"/>
              <w:spacing w:before="37"/>
              <w:ind w:left="153"/>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19</w:t>
            </w:r>
            <w:r>
              <w:rPr>
                <w:rFonts w:ascii="黑体" w:eastAsia="黑体" w:hint="eastAsia"/>
                <w:spacing w:val="-108"/>
                <w:w w:val="100"/>
                <w:sz w:val="21"/>
              </w:rPr>
              <w:t>）。</w:t>
            </w:r>
          </w:p>
          <w:p>
            <w:pPr>
              <w:pStyle w:val="TableParagraph"/>
              <w:spacing w:before="9"/>
              <w:rPr>
                <w:sz w:val="26"/>
              </w:rPr>
            </w:pPr>
          </w:p>
          <w:p>
            <w:pPr>
              <w:pStyle w:val="TableParagraph"/>
              <w:ind w:left="153"/>
              <w:rPr>
                <w:rFonts w:ascii="黑体" w:eastAsia="黑体" w:hint="eastAsia"/>
                <w:sz w:val="21"/>
              </w:rPr>
            </w:pPr>
            <w:r>
              <w:rPr>
                <w:rFonts w:ascii="黑体" w:eastAsia="黑体" w:hint="eastAsia"/>
                <w:sz w:val="21"/>
              </w:rPr>
              <w:t>发Th上述情形，本附加合同终止，我们退还现金价值。</w:t>
            </w:r>
          </w:p>
        </w:tc>
      </w:tr>
      <w:tr>
        <w:trPr>
          <w:trHeight w:val="753" w:hRule="atLeast"/>
        </w:trPr>
        <w:tc>
          <w:tcPr>
            <w:tcW w:w="607" w:type="dxa"/>
            <w:tcBorders>
              <w:bottom w:val="single" w:sz="8" w:space="0" w:color="000000"/>
            </w:tcBorders>
          </w:tcPr>
          <w:p>
            <w:pPr>
              <w:pStyle w:val="TableParagraph"/>
              <w:spacing w:before="192"/>
              <w:ind w:right="31"/>
              <w:jc w:val="center"/>
              <w:rPr>
                <w:rFonts w:ascii="Arial" w:hAnsi="Arial"/>
                <w:b/>
                <w:sz w:val="40"/>
              </w:rPr>
            </w:pPr>
            <w:r>
              <w:rPr>
                <w:rFonts w:ascii="Arial" w:hAnsi="Arial"/>
                <w:b/>
                <w:w w:val="119"/>
                <w:sz w:val="40"/>
              </w:rPr>
              <w:t></w:t>
            </w:r>
          </w:p>
        </w:tc>
        <w:tc>
          <w:tcPr>
            <w:tcW w:w="9352" w:type="dxa"/>
            <w:gridSpan w:val="2"/>
            <w:tcBorders>
              <w:bottom w:val="single" w:sz="8" w:space="0" w:color="000000"/>
            </w:tcBorders>
          </w:tcPr>
          <w:p>
            <w:pPr>
              <w:pStyle w:val="TableParagraph"/>
              <w:spacing w:before="7"/>
              <w:rPr>
                <w:sz w:val="18"/>
              </w:rPr>
            </w:pPr>
          </w:p>
          <w:p>
            <w:pPr>
              <w:pStyle w:val="TableParagraph"/>
              <w:spacing w:before="1"/>
              <w:ind w:left="141"/>
              <w:rPr>
                <w:b/>
                <w:sz w:val="24"/>
              </w:rPr>
            </w:pPr>
            <w:r>
              <w:rPr>
                <w:b/>
                <w:w w:val="95"/>
                <w:sz w:val="24"/>
              </w:rPr>
              <w:t>如何申请领取保险金</w:t>
            </w:r>
          </w:p>
        </w:tc>
      </w:tr>
      <w:tr>
        <w:trPr>
          <w:trHeight w:val="780" w:hRule="atLeast"/>
        </w:trPr>
        <w:tc>
          <w:tcPr>
            <w:tcW w:w="607" w:type="dxa"/>
            <w:tcBorders>
              <w:top w:val="single" w:sz="8" w:space="0" w:color="000000"/>
            </w:tcBorders>
          </w:tcPr>
          <w:p>
            <w:pPr>
              <w:pStyle w:val="TableParagraph"/>
              <w:spacing w:before="8"/>
              <w:rPr>
                <w:sz w:val="22"/>
              </w:rPr>
            </w:pPr>
          </w:p>
          <w:p>
            <w:pPr>
              <w:pStyle w:val="TableParagraph"/>
              <w:spacing w:before="1"/>
              <w:ind w:left="88" w:right="160"/>
              <w:jc w:val="center"/>
              <w:rPr>
                <w:b/>
                <w:sz w:val="21"/>
              </w:rPr>
            </w:pPr>
            <w:r>
              <w:rPr>
                <w:b/>
                <w:sz w:val="21"/>
              </w:rPr>
              <w:t>3.1</w:t>
            </w:r>
          </w:p>
        </w:tc>
        <w:tc>
          <w:tcPr>
            <w:tcW w:w="1976" w:type="dxa"/>
            <w:tcBorders>
              <w:top w:val="single" w:sz="8" w:space="0" w:color="000000"/>
            </w:tcBorders>
          </w:tcPr>
          <w:p>
            <w:pPr>
              <w:pStyle w:val="TableParagraph"/>
              <w:spacing w:before="8"/>
              <w:rPr>
                <w:sz w:val="22"/>
              </w:rPr>
            </w:pPr>
          </w:p>
          <w:p>
            <w:pPr>
              <w:pStyle w:val="TableParagraph"/>
              <w:spacing w:before="1"/>
              <w:ind w:left="141"/>
              <w:rPr>
                <w:b/>
                <w:sz w:val="21"/>
              </w:rPr>
            </w:pPr>
            <w:r>
              <w:rPr>
                <w:b/>
                <w:sz w:val="21"/>
              </w:rPr>
              <w:t>受益人</w:t>
            </w:r>
          </w:p>
        </w:tc>
        <w:tc>
          <w:tcPr>
            <w:tcW w:w="7376" w:type="dxa"/>
            <w:tcBorders>
              <w:top w:val="single" w:sz="8" w:space="0" w:color="000000"/>
            </w:tcBorders>
          </w:tcPr>
          <w:p>
            <w:pPr>
              <w:pStyle w:val="TableParagraph"/>
              <w:spacing w:before="8"/>
              <w:rPr>
                <w:sz w:val="22"/>
              </w:rPr>
            </w:pPr>
          </w:p>
          <w:p>
            <w:pPr>
              <w:pStyle w:val="TableParagraph"/>
              <w:spacing w:before="1"/>
              <w:ind w:left="153"/>
              <w:rPr>
                <w:sz w:val="21"/>
              </w:rPr>
            </w:pPr>
            <w:r>
              <w:rPr>
                <w:sz w:val="21"/>
              </w:rPr>
              <w:t>除另有约定外，本附加合同各项保险金的受益人均为被保险人本人。</w:t>
            </w:r>
          </w:p>
        </w:tc>
      </w:tr>
      <w:tr>
        <w:trPr>
          <w:trHeight w:val="623" w:hRule="atLeast"/>
        </w:trPr>
        <w:tc>
          <w:tcPr>
            <w:tcW w:w="607" w:type="dxa"/>
          </w:tcPr>
          <w:p>
            <w:pPr>
              <w:pStyle w:val="TableParagraph"/>
              <w:spacing w:before="140"/>
              <w:ind w:left="88" w:right="160"/>
              <w:jc w:val="center"/>
              <w:rPr>
                <w:b/>
                <w:sz w:val="21"/>
              </w:rPr>
            </w:pPr>
            <w:r>
              <w:rPr>
                <w:b/>
                <w:sz w:val="21"/>
              </w:rPr>
              <w:t>3.2</w:t>
            </w:r>
          </w:p>
        </w:tc>
        <w:tc>
          <w:tcPr>
            <w:tcW w:w="1976" w:type="dxa"/>
          </w:tcPr>
          <w:p>
            <w:pPr>
              <w:pStyle w:val="TableParagraph"/>
              <w:spacing w:before="140"/>
              <w:ind w:left="141"/>
              <w:rPr>
                <w:b/>
                <w:sz w:val="21"/>
              </w:rPr>
            </w:pPr>
            <w:r>
              <w:rPr>
                <w:b/>
                <w:sz w:val="21"/>
              </w:rPr>
              <w:t>保险金申请</w:t>
            </w:r>
          </w:p>
        </w:tc>
        <w:tc>
          <w:tcPr>
            <w:tcW w:w="7376" w:type="dxa"/>
          </w:tcPr>
          <w:p>
            <w:pPr>
              <w:pStyle w:val="TableParagraph"/>
              <w:spacing w:before="140"/>
              <w:ind w:left="153"/>
              <w:rPr>
                <w:sz w:val="21"/>
              </w:rPr>
            </w:pPr>
            <w:r>
              <w:rPr>
                <w:sz w:val="21"/>
              </w:rPr>
              <w:t>在申请保险金时，请按照下列方式办理：</w:t>
            </w:r>
          </w:p>
        </w:tc>
      </w:tr>
      <w:tr>
        <w:trPr>
          <w:trHeight w:val="3119" w:hRule="atLeast"/>
        </w:trPr>
        <w:tc>
          <w:tcPr>
            <w:tcW w:w="607" w:type="dxa"/>
          </w:tcPr>
          <w:p>
            <w:pPr>
              <w:pStyle w:val="TableParagraph"/>
              <w:rPr>
                <w:rFonts w:ascii="Times New Roman"/>
                <w:sz w:val="20"/>
              </w:rPr>
            </w:pPr>
          </w:p>
        </w:tc>
        <w:tc>
          <w:tcPr>
            <w:tcW w:w="1976" w:type="dxa"/>
          </w:tcPr>
          <w:p>
            <w:pPr>
              <w:pStyle w:val="TableParagraph"/>
              <w:spacing w:before="138"/>
              <w:ind w:left="141"/>
              <w:rPr>
                <w:rFonts w:ascii="等线" w:eastAsia="等线" w:hint="eastAsia"/>
                <w:b/>
                <w:sz w:val="24"/>
              </w:rPr>
            </w:pPr>
            <w:r>
              <w:rPr>
                <w:rFonts w:ascii="等线" w:eastAsia="等线" w:hint="eastAsia"/>
                <w:b/>
                <w:sz w:val="24"/>
              </w:rPr>
              <w:t>保险金申请</w:t>
            </w:r>
          </w:p>
        </w:tc>
        <w:tc>
          <w:tcPr>
            <w:tcW w:w="7376" w:type="dxa"/>
          </w:tcPr>
          <w:p>
            <w:pPr>
              <w:pStyle w:val="TableParagraph"/>
              <w:spacing w:before="140"/>
              <w:ind w:left="153"/>
              <w:rPr>
                <w:sz w:val="21"/>
              </w:rPr>
            </w:pPr>
            <w:r>
              <w:rPr>
                <w:sz w:val="21"/>
              </w:rPr>
              <w:t>在申请保险金时，申请人须填写保险金给付申请书，并提供下列证明和资料：</w:t>
            </w:r>
          </w:p>
          <w:p>
            <w:pPr>
              <w:pStyle w:val="TableParagraph"/>
              <w:spacing w:before="37"/>
              <w:ind w:left="153"/>
              <w:rPr>
                <w:sz w:val="21"/>
              </w:rPr>
            </w:pPr>
            <w:r>
              <w:rPr>
                <w:sz w:val="21"/>
              </w:rPr>
              <w:t>（1）保险合同；</w:t>
            </w:r>
          </w:p>
          <w:p>
            <w:pPr>
              <w:pStyle w:val="TableParagraph"/>
              <w:spacing w:before="37"/>
              <w:ind w:left="153"/>
              <w:rPr>
                <w:sz w:val="21"/>
              </w:rPr>
            </w:pPr>
            <w:r>
              <w:rPr>
                <w:sz w:val="21"/>
              </w:rPr>
              <w:t>（2）申请人的有效身份证件；</w:t>
            </w:r>
          </w:p>
          <w:p>
            <w:pPr>
              <w:pStyle w:val="TableParagraph"/>
              <w:spacing w:line="273" w:lineRule="auto" w:before="37"/>
              <w:ind w:left="657" w:right="180" w:hanging="505"/>
              <w:rPr>
                <w:sz w:val="21"/>
              </w:rPr>
            </w:pPr>
            <w:r>
              <w:rPr>
                <w:sz w:val="21"/>
              </w:rPr>
              <w:t>（3）医院出具的附有病理显微镜检查、血液检验及其他科学方法检验报告的疾病诊断证明书；</w:t>
            </w:r>
          </w:p>
          <w:p>
            <w:pPr>
              <w:pStyle w:val="TableParagraph"/>
              <w:spacing w:before="8"/>
              <w:ind w:left="153"/>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153" w:right="63"/>
              <w:rPr>
                <w:sz w:val="21"/>
              </w:rPr>
            </w:pPr>
            <w:r>
              <w:rPr>
                <w:sz w:val="21"/>
              </w:rPr>
              <w:t>以上证明和资料不完整的，我们将及时一次性通知申请人补充提供有关证明和资料。</w:t>
            </w:r>
          </w:p>
        </w:tc>
      </w:tr>
      <w:tr>
        <w:trPr>
          <w:trHeight w:val="729" w:hRule="atLeast"/>
        </w:trPr>
        <w:tc>
          <w:tcPr>
            <w:tcW w:w="607" w:type="dxa"/>
          </w:tcPr>
          <w:p>
            <w:pPr>
              <w:pStyle w:val="TableParagraph"/>
              <w:spacing w:before="140"/>
              <w:ind w:left="88" w:right="160"/>
              <w:jc w:val="center"/>
              <w:rPr>
                <w:b/>
                <w:sz w:val="21"/>
              </w:rPr>
            </w:pPr>
            <w:r>
              <w:rPr>
                <w:b/>
                <w:sz w:val="21"/>
              </w:rPr>
              <w:t>3.3</w:t>
            </w:r>
          </w:p>
        </w:tc>
        <w:tc>
          <w:tcPr>
            <w:tcW w:w="1976" w:type="dxa"/>
          </w:tcPr>
          <w:p>
            <w:pPr>
              <w:pStyle w:val="TableParagraph"/>
              <w:spacing w:before="140"/>
              <w:ind w:left="141"/>
              <w:rPr>
                <w:b/>
                <w:sz w:val="21"/>
              </w:rPr>
            </w:pPr>
            <w:r>
              <w:rPr>
                <w:b/>
                <w:sz w:val="21"/>
              </w:rPr>
              <w:t>保险金给付</w:t>
            </w:r>
          </w:p>
        </w:tc>
        <w:tc>
          <w:tcPr>
            <w:tcW w:w="7376" w:type="dxa"/>
          </w:tcPr>
          <w:p>
            <w:pPr>
              <w:pStyle w:val="TableParagraph"/>
              <w:spacing w:before="140"/>
              <w:ind w:left="153"/>
              <w:rPr>
                <w:sz w:val="21"/>
              </w:rPr>
            </w:pPr>
            <w:r>
              <w:rPr>
                <w:spacing w:val="-5"/>
                <w:sz w:val="21"/>
              </w:rPr>
              <w:t>我们在收到保险金给付申请书及合同约定的证明和资料后，将在 </w:t>
            </w:r>
            <w:r>
              <w:rPr>
                <w:sz w:val="21"/>
              </w:rPr>
              <w:t>5</w:t>
            </w:r>
            <w:r>
              <w:rPr>
                <w:spacing w:val="-10"/>
                <w:sz w:val="21"/>
              </w:rPr>
              <w:t> 日内作出核</w:t>
            </w:r>
          </w:p>
          <w:p>
            <w:pPr>
              <w:pStyle w:val="TableParagraph"/>
              <w:spacing w:line="257" w:lineRule="exact" w:before="36"/>
              <w:ind w:left="152"/>
              <w:rPr>
                <w:sz w:val="21"/>
              </w:rPr>
            </w:pPr>
            <w:r>
              <w:rPr>
                <w:sz w:val="21"/>
              </w:rPr>
              <w:t>定；情形复杂的，在 30 日内作出核定。但因第三方责任或其他非我们的责任</w:t>
            </w:r>
          </w:p>
        </w:tc>
      </w:tr>
    </w:tbl>
    <w:p>
      <w:pPr>
        <w:spacing w:after="0" w:line="257" w:lineRule="exact"/>
        <w:rPr>
          <w:sz w:val="21"/>
        </w:rPr>
        <w:sectPr>
          <w:pgSz w:w="11910" w:h="16840"/>
          <w:pgMar w:top="148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769"/>
        <w:gridCol w:w="7584"/>
      </w:tblGrid>
      <w:tr>
        <w:trPr>
          <w:trHeight w:val="4473" w:hRule="atLeast"/>
        </w:trPr>
        <w:tc>
          <w:tcPr>
            <w:tcW w:w="607" w:type="dxa"/>
          </w:tcPr>
          <w:p>
            <w:pPr>
              <w:pStyle w:val="TableParagraph"/>
              <w:rPr>
                <w:rFonts w:ascii="Times New Roman"/>
                <w:sz w:val="20"/>
              </w:rPr>
            </w:pPr>
          </w:p>
        </w:tc>
        <w:tc>
          <w:tcPr>
            <w:tcW w:w="1769" w:type="dxa"/>
          </w:tcPr>
          <w:p>
            <w:pPr>
              <w:pStyle w:val="TableParagraph"/>
              <w:rPr>
                <w:rFonts w:ascii="Times New Roman"/>
                <w:sz w:val="20"/>
              </w:rPr>
            </w:pPr>
          </w:p>
        </w:tc>
        <w:tc>
          <w:tcPr>
            <w:tcW w:w="7584" w:type="dxa"/>
          </w:tcPr>
          <w:p>
            <w:pPr>
              <w:pStyle w:val="TableParagraph"/>
              <w:spacing w:line="211" w:lineRule="exact"/>
              <w:ind w:left="360"/>
              <w:rPr>
                <w:sz w:val="21"/>
              </w:rPr>
            </w:pPr>
            <w:r>
              <w:rPr>
                <w:sz w:val="21"/>
              </w:rPr>
              <w:t>导致保险事故的性质、金额无法确定的除外。</w:t>
            </w:r>
          </w:p>
          <w:p>
            <w:pPr>
              <w:pStyle w:val="TableParagraph"/>
              <w:spacing w:before="8"/>
              <w:rPr>
                <w:sz w:val="26"/>
              </w:rPr>
            </w:pPr>
          </w:p>
          <w:p>
            <w:pPr>
              <w:pStyle w:val="TableParagraph"/>
              <w:spacing w:line="273" w:lineRule="auto" w:before="1"/>
              <w:ind w:left="359" w:right="182"/>
              <w:rPr>
                <w:sz w:val="21"/>
              </w:rPr>
            </w:pPr>
            <w:r>
              <w:rPr>
                <w:spacing w:val="-5"/>
                <w:sz w:val="21"/>
              </w:rPr>
              <w:t>对确定属于保险责任的，在与受益人达成有关给付保险金数额的协议后 </w:t>
            </w:r>
            <w:r>
              <w:rPr>
                <w:sz w:val="21"/>
              </w:rPr>
              <w:t>10</w:t>
            </w:r>
            <w:r>
              <w:rPr>
                <w:spacing w:val="-19"/>
                <w:sz w:val="21"/>
              </w:rPr>
              <w:t> 日</w:t>
            </w:r>
            <w:r>
              <w:rPr>
                <w:spacing w:val="-8"/>
                <w:sz w:val="21"/>
              </w:rPr>
              <w:t>内，履行给付保险金义务。</w:t>
            </w:r>
          </w:p>
          <w:p>
            <w:pPr>
              <w:pStyle w:val="TableParagraph"/>
              <w:spacing w:before="5"/>
              <w:rPr>
                <w:sz w:val="24"/>
              </w:rPr>
            </w:pPr>
          </w:p>
          <w:p>
            <w:pPr>
              <w:pStyle w:val="TableParagraph"/>
              <w:spacing w:line="273" w:lineRule="auto"/>
              <w:ind w:left="360" w:right="64"/>
              <w:rPr>
                <w:sz w:val="21"/>
              </w:rPr>
            </w:pPr>
            <w:r>
              <w:rPr>
                <w:sz w:val="21"/>
              </w:rPr>
              <w:t>我们未及时履行前款规定义务的，除支付保险金外，应当赔偿受益人因此受到的损失。</w:t>
            </w:r>
          </w:p>
          <w:p>
            <w:pPr>
              <w:pStyle w:val="TableParagraph"/>
              <w:spacing w:before="4"/>
              <w:rPr>
                <w:sz w:val="24"/>
              </w:rPr>
            </w:pPr>
          </w:p>
          <w:p>
            <w:pPr>
              <w:pStyle w:val="TableParagraph"/>
              <w:spacing w:line="273" w:lineRule="auto" w:before="1"/>
              <w:ind w:left="360" w:right="105"/>
              <w:rPr>
                <w:sz w:val="21"/>
              </w:rPr>
            </w:pPr>
            <w:r>
              <w:rPr>
                <w:spacing w:val="-8"/>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360" w:right="102"/>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961" w:hRule="atLeast"/>
        </w:trPr>
        <w:tc>
          <w:tcPr>
            <w:tcW w:w="607" w:type="dxa"/>
          </w:tcPr>
          <w:p>
            <w:pPr>
              <w:pStyle w:val="TableParagraph"/>
              <w:spacing w:before="143"/>
              <w:ind w:left="88" w:right="160"/>
              <w:jc w:val="center"/>
              <w:rPr>
                <w:b/>
                <w:sz w:val="21"/>
              </w:rPr>
            </w:pPr>
            <w:r>
              <w:rPr>
                <w:b/>
                <w:sz w:val="21"/>
              </w:rPr>
              <w:t>3.4</w:t>
            </w:r>
          </w:p>
        </w:tc>
        <w:tc>
          <w:tcPr>
            <w:tcW w:w="1769" w:type="dxa"/>
          </w:tcPr>
          <w:p>
            <w:pPr>
              <w:pStyle w:val="TableParagraph"/>
              <w:spacing w:before="143"/>
              <w:ind w:left="141"/>
              <w:rPr>
                <w:b/>
                <w:sz w:val="21"/>
              </w:rPr>
            </w:pPr>
            <w:r>
              <w:rPr>
                <w:b/>
                <w:sz w:val="21"/>
              </w:rPr>
              <w:t>诉讼时效</w:t>
            </w:r>
          </w:p>
        </w:tc>
        <w:tc>
          <w:tcPr>
            <w:tcW w:w="7584" w:type="dxa"/>
          </w:tcPr>
          <w:p>
            <w:pPr>
              <w:pStyle w:val="TableParagraph"/>
              <w:spacing w:line="273" w:lineRule="auto" w:before="143"/>
              <w:ind w:left="360" w:right="105" w:hanging="1"/>
              <w:rPr>
                <w:sz w:val="21"/>
              </w:rPr>
            </w:pPr>
            <w:r>
              <w:rPr>
                <w:spacing w:val="-5"/>
                <w:sz w:val="21"/>
              </w:rPr>
              <w:t>受益人向我们请求给付保险金的诉讼时效期间为 </w:t>
            </w:r>
            <w:r>
              <w:rPr>
                <w:sz w:val="21"/>
              </w:rPr>
              <w:t>2</w:t>
            </w:r>
            <w:r>
              <w:rPr>
                <w:spacing w:val="-10"/>
                <w:sz w:val="21"/>
              </w:rPr>
              <w:t> 年，自其知道或者应当知道</w:t>
            </w:r>
            <w:r>
              <w:rPr>
                <w:spacing w:val="-3"/>
                <w:sz w:val="21"/>
              </w:rPr>
              <w:t>保险事故发生之日起计算。</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如何支付保险费</w:t>
            </w:r>
          </w:p>
        </w:tc>
      </w:tr>
      <w:tr>
        <w:trPr>
          <w:trHeight w:val="2030" w:hRule="atLeast"/>
        </w:trPr>
        <w:tc>
          <w:tcPr>
            <w:tcW w:w="607" w:type="dxa"/>
            <w:tcBorders>
              <w:top w:val="single" w:sz="8" w:space="0" w:color="000000"/>
            </w:tcBorders>
          </w:tcPr>
          <w:p>
            <w:pPr>
              <w:pStyle w:val="TableParagraph"/>
              <w:rPr>
                <w:sz w:val="23"/>
              </w:rPr>
            </w:pPr>
          </w:p>
          <w:p>
            <w:pPr>
              <w:pStyle w:val="TableParagraph"/>
              <w:ind w:left="88" w:right="160"/>
              <w:jc w:val="center"/>
              <w:rPr>
                <w:b/>
                <w:sz w:val="21"/>
              </w:rPr>
            </w:pPr>
            <w:r>
              <w:rPr>
                <w:b/>
                <w:sz w:val="21"/>
              </w:rPr>
              <w:t>4.1</w:t>
            </w:r>
          </w:p>
        </w:tc>
        <w:tc>
          <w:tcPr>
            <w:tcW w:w="1769" w:type="dxa"/>
            <w:tcBorders>
              <w:top w:val="single" w:sz="8" w:space="0" w:color="000000"/>
            </w:tcBorders>
          </w:tcPr>
          <w:p>
            <w:pPr>
              <w:pStyle w:val="TableParagraph"/>
              <w:rPr>
                <w:sz w:val="23"/>
              </w:rPr>
            </w:pPr>
          </w:p>
          <w:p>
            <w:pPr>
              <w:pStyle w:val="TableParagraph"/>
              <w:ind w:left="141"/>
              <w:rPr>
                <w:b/>
                <w:sz w:val="21"/>
              </w:rPr>
            </w:pPr>
            <w:r>
              <w:rPr>
                <w:b/>
                <w:sz w:val="21"/>
              </w:rPr>
              <w:t>保险费的支付</w:t>
            </w:r>
          </w:p>
        </w:tc>
        <w:tc>
          <w:tcPr>
            <w:tcW w:w="7584" w:type="dxa"/>
            <w:tcBorders>
              <w:top w:val="single" w:sz="8" w:space="0" w:color="000000"/>
            </w:tcBorders>
          </w:tcPr>
          <w:p>
            <w:pPr>
              <w:pStyle w:val="TableParagraph"/>
              <w:rPr>
                <w:sz w:val="23"/>
              </w:rPr>
            </w:pPr>
          </w:p>
          <w:p>
            <w:pPr>
              <w:pStyle w:val="TableParagraph"/>
              <w:spacing w:line="273" w:lineRule="auto"/>
              <w:ind w:left="360" w:right="81" w:hanging="1"/>
              <w:rPr>
                <w:sz w:val="21"/>
              </w:rPr>
            </w:pPr>
            <w:r>
              <w:rPr>
                <w:spacing w:val="-3"/>
                <w:sz w:val="21"/>
              </w:rPr>
              <w:t>您应当按照本附加合同约定向我们支付保险费。如果您选择分期支付保险费， 您在支付首期保险费后，应在每期保险费应交日或之前支付对应各期的保险 </w:t>
            </w:r>
            <w:r>
              <w:rPr>
                <w:sz w:val="21"/>
              </w:rPr>
              <w:t>费。</w:t>
            </w:r>
          </w:p>
          <w:p>
            <w:pPr>
              <w:pStyle w:val="TableParagraph"/>
              <w:spacing w:before="5"/>
              <w:rPr>
                <w:sz w:val="24"/>
              </w:rPr>
            </w:pPr>
          </w:p>
          <w:p>
            <w:pPr>
              <w:pStyle w:val="TableParagraph"/>
              <w:ind w:left="360"/>
              <w:rPr>
                <w:sz w:val="21"/>
              </w:rPr>
            </w:pPr>
            <w:r>
              <w:rPr>
                <w:sz w:val="21"/>
              </w:rPr>
              <w:t>本附加合同的保险费应与主合同保险费一并支付。</w:t>
            </w:r>
          </w:p>
        </w:tc>
      </w:tr>
      <w:tr>
        <w:trPr>
          <w:trHeight w:val="2521" w:hRule="atLeast"/>
        </w:trPr>
        <w:tc>
          <w:tcPr>
            <w:tcW w:w="607" w:type="dxa"/>
          </w:tcPr>
          <w:p>
            <w:pPr>
              <w:pStyle w:val="TableParagraph"/>
              <w:spacing w:before="142"/>
              <w:ind w:left="88" w:right="160"/>
              <w:jc w:val="center"/>
              <w:rPr>
                <w:b/>
                <w:sz w:val="21"/>
              </w:rPr>
            </w:pPr>
            <w:r>
              <w:rPr>
                <w:b/>
                <w:sz w:val="21"/>
              </w:rPr>
              <w:t>4.2</w:t>
            </w:r>
          </w:p>
        </w:tc>
        <w:tc>
          <w:tcPr>
            <w:tcW w:w="1769" w:type="dxa"/>
          </w:tcPr>
          <w:p>
            <w:pPr>
              <w:pStyle w:val="TableParagraph"/>
              <w:spacing w:before="142"/>
              <w:ind w:left="141"/>
              <w:rPr>
                <w:b/>
                <w:sz w:val="21"/>
              </w:rPr>
            </w:pPr>
            <w:r>
              <w:rPr>
                <w:b/>
                <w:sz w:val="21"/>
              </w:rPr>
              <w:t>保险费率调整</w:t>
            </w:r>
          </w:p>
        </w:tc>
        <w:tc>
          <w:tcPr>
            <w:tcW w:w="7584" w:type="dxa"/>
          </w:tcPr>
          <w:p>
            <w:pPr>
              <w:pStyle w:val="TableParagraph"/>
              <w:spacing w:before="142"/>
              <w:ind w:left="360"/>
              <w:rPr>
                <w:sz w:val="21"/>
              </w:rPr>
            </w:pPr>
            <w:r>
              <w:rPr>
                <w:sz w:val="21"/>
              </w:rPr>
              <w:t>我们保留提高或降低保险费率的权利。</w:t>
            </w:r>
          </w:p>
          <w:p>
            <w:pPr>
              <w:pStyle w:val="TableParagraph"/>
              <w:spacing w:line="273" w:lineRule="auto" w:before="34"/>
              <w:ind w:left="359" w:right="105"/>
              <w:jc w:val="both"/>
              <w:rPr>
                <w:sz w:val="21"/>
              </w:rPr>
            </w:pPr>
            <w:r>
              <w:rPr>
                <w:spacing w:val="-5"/>
                <w:sz w:val="21"/>
              </w:rPr>
              <w:t>我们将根据整体风险的变化情况，决定是否调整保险费率。本附加保险的费率</w:t>
            </w:r>
            <w:r>
              <w:rPr>
                <w:spacing w:val="-3"/>
                <w:sz w:val="21"/>
              </w:rPr>
              <w:t>调整针对所有被保险人或同一投保年龄的所有被保险人。</w:t>
            </w:r>
          </w:p>
          <w:p>
            <w:pPr>
              <w:pStyle w:val="TableParagraph"/>
              <w:spacing w:before="8"/>
              <w:rPr>
                <w:sz w:val="24"/>
              </w:rPr>
            </w:pPr>
          </w:p>
          <w:p>
            <w:pPr>
              <w:pStyle w:val="TableParagraph"/>
              <w:spacing w:line="273" w:lineRule="auto"/>
              <w:ind w:left="359" w:right="104"/>
              <w:jc w:val="both"/>
              <w:rPr>
                <w:sz w:val="21"/>
              </w:rPr>
            </w:pPr>
            <w:r>
              <w:rPr>
                <w:spacing w:val="-5"/>
                <w:sz w:val="21"/>
              </w:rPr>
              <w:t>我们进行保险费率调整并向保险监管机关备案后，您须按调整后支付续期保险费当时的保险费率支付续期保险费，保险费率调整前您已经支付的保险费不受</w:t>
            </w:r>
            <w:r>
              <w:rPr>
                <w:sz w:val="21"/>
              </w:rPr>
              <w:t>影响。</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rPr>
                <w:sz w:val="18"/>
              </w:rPr>
            </w:pPr>
          </w:p>
          <w:p>
            <w:pPr>
              <w:pStyle w:val="TableParagraph"/>
              <w:ind w:left="141"/>
              <w:rPr>
                <w:b/>
                <w:sz w:val="24"/>
              </w:rPr>
            </w:pPr>
            <w:r>
              <w:rPr>
                <w:b/>
                <w:w w:val="95"/>
                <w:sz w:val="24"/>
              </w:rPr>
              <w:t>如何恢复合同效力</w:t>
            </w:r>
          </w:p>
        </w:tc>
      </w:tr>
      <w:tr>
        <w:trPr>
          <w:trHeight w:val="2445" w:hRule="atLeast"/>
        </w:trPr>
        <w:tc>
          <w:tcPr>
            <w:tcW w:w="607" w:type="dxa"/>
            <w:tcBorders>
              <w:top w:val="single" w:sz="8" w:space="0" w:color="000000"/>
            </w:tcBorders>
          </w:tcPr>
          <w:p>
            <w:pPr>
              <w:pStyle w:val="TableParagraph"/>
              <w:spacing w:before="11"/>
              <w:rPr>
                <w:sz w:val="22"/>
              </w:rPr>
            </w:pPr>
          </w:p>
          <w:p>
            <w:pPr>
              <w:pStyle w:val="TableParagraph"/>
              <w:ind w:left="88" w:right="160"/>
              <w:jc w:val="center"/>
              <w:rPr>
                <w:b/>
                <w:sz w:val="21"/>
              </w:rPr>
            </w:pPr>
            <w:r>
              <w:rPr>
                <w:b/>
                <w:sz w:val="21"/>
              </w:rPr>
              <w:t>5.1</w:t>
            </w:r>
          </w:p>
        </w:tc>
        <w:tc>
          <w:tcPr>
            <w:tcW w:w="1769" w:type="dxa"/>
            <w:tcBorders>
              <w:top w:val="single" w:sz="8" w:space="0" w:color="000000"/>
            </w:tcBorders>
          </w:tcPr>
          <w:p>
            <w:pPr>
              <w:pStyle w:val="TableParagraph"/>
              <w:spacing w:before="11"/>
              <w:rPr>
                <w:sz w:val="22"/>
              </w:rPr>
            </w:pPr>
          </w:p>
          <w:p>
            <w:pPr>
              <w:pStyle w:val="TableParagraph"/>
              <w:ind w:left="141"/>
              <w:rPr>
                <w:b/>
                <w:sz w:val="21"/>
              </w:rPr>
            </w:pPr>
            <w:r>
              <w:rPr>
                <w:b/>
                <w:sz w:val="21"/>
              </w:rPr>
              <w:t>效力恢复</w:t>
            </w:r>
          </w:p>
        </w:tc>
        <w:tc>
          <w:tcPr>
            <w:tcW w:w="7584" w:type="dxa"/>
            <w:tcBorders>
              <w:top w:val="single" w:sz="8" w:space="0" w:color="000000"/>
            </w:tcBorders>
          </w:tcPr>
          <w:p>
            <w:pPr>
              <w:pStyle w:val="TableParagraph"/>
              <w:spacing w:before="11"/>
              <w:rPr>
                <w:sz w:val="22"/>
              </w:rPr>
            </w:pPr>
          </w:p>
          <w:p>
            <w:pPr>
              <w:pStyle w:val="TableParagraph"/>
              <w:spacing w:line="273" w:lineRule="auto"/>
              <w:ind w:left="359" w:right="105"/>
              <w:rPr>
                <w:sz w:val="21"/>
              </w:rPr>
            </w:pPr>
            <w:r>
              <w:rPr>
                <w:spacing w:val="-6"/>
                <w:sz w:val="21"/>
              </w:rPr>
              <w:t>本附加合同效力中止后 </w:t>
            </w:r>
            <w:r>
              <w:rPr>
                <w:sz w:val="21"/>
              </w:rPr>
              <w:t>2</w:t>
            </w:r>
            <w:r>
              <w:rPr>
                <w:spacing w:val="-10"/>
                <w:sz w:val="21"/>
              </w:rPr>
              <w:t> 年内，您可以申请恢复合同效力。经我们与您协商并</w:t>
            </w:r>
            <w:r>
              <w:rPr>
                <w:spacing w:val="-3"/>
                <w:sz w:val="21"/>
              </w:rPr>
              <w:t>达成协议，在您补交保险费及其他未还款项之日起，合同效力恢复。</w:t>
            </w:r>
          </w:p>
          <w:p>
            <w:pPr>
              <w:pStyle w:val="TableParagraph"/>
              <w:spacing w:before="5"/>
              <w:rPr>
                <w:sz w:val="24"/>
              </w:rPr>
            </w:pPr>
          </w:p>
          <w:p>
            <w:pPr>
              <w:pStyle w:val="TableParagraph"/>
              <w:spacing w:line="273" w:lineRule="auto"/>
              <w:ind w:left="360" w:right="105"/>
              <w:rPr>
                <w:sz w:val="21"/>
              </w:rPr>
            </w:pPr>
            <w:r>
              <w:rPr>
                <w:spacing w:val="-6"/>
                <w:sz w:val="21"/>
              </w:rPr>
              <w:t>自本附加合同效力中止之日起满 </w:t>
            </w:r>
            <w:r>
              <w:rPr>
                <w:sz w:val="21"/>
              </w:rPr>
              <w:t>2</w:t>
            </w:r>
            <w:r>
              <w:rPr>
                <w:spacing w:val="-10"/>
                <w:sz w:val="21"/>
              </w:rPr>
              <w:t> 年您和我们未达成协议的，我们有权解除合</w:t>
            </w:r>
            <w:r>
              <w:rPr>
                <w:sz w:val="21"/>
              </w:rPr>
              <w:t>同。</w:t>
            </w:r>
          </w:p>
          <w:p>
            <w:pPr>
              <w:pStyle w:val="TableParagraph"/>
              <w:spacing w:before="5"/>
              <w:rPr>
                <w:sz w:val="24"/>
              </w:rPr>
            </w:pPr>
          </w:p>
          <w:p>
            <w:pPr>
              <w:pStyle w:val="TableParagraph"/>
              <w:spacing w:line="255" w:lineRule="exact"/>
              <w:ind w:left="360"/>
              <w:rPr>
                <w:sz w:val="21"/>
              </w:rPr>
            </w:pPr>
            <w:r>
              <w:rPr>
                <w:sz w:val="21"/>
              </w:rPr>
              <w:t>主合同效力中止期间，本附加合同不得单独申请复效。</w:t>
            </w:r>
          </w:p>
        </w:tc>
      </w:tr>
    </w:tbl>
    <w:p>
      <w:pPr>
        <w:spacing w:after="0" w:line="255" w:lineRule="exact"/>
        <w:rPr>
          <w:sz w:val="21"/>
        </w:rPr>
        <w:sectPr>
          <w:pgSz w:w="11910" w:h="16840"/>
          <w:pgMar w:top="1160" w:bottom="280" w:left="800" w:right="9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980"/>
        <w:gridCol w:w="7373"/>
      </w:tblGrid>
      <w:tr>
        <w:trPr>
          <w:trHeight w:val="522" w:hRule="atLeast"/>
        </w:trPr>
        <w:tc>
          <w:tcPr>
            <w:tcW w:w="618" w:type="dxa"/>
            <w:tcBorders>
              <w:bottom w:val="single" w:sz="8" w:space="0" w:color="000000"/>
            </w:tcBorders>
          </w:tcPr>
          <w:p>
            <w:pPr>
              <w:pStyle w:val="TableParagraph"/>
              <w:spacing w:line="418" w:lineRule="exact"/>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10"/>
              <w:ind w:left="141"/>
              <w:rPr>
                <w:b/>
                <w:sz w:val="24"/>
              </w:rPr>
            </w:pPr>
            <w:r>
              <w:rPr>
                <w:b/>
                <w:w w:val="95"/>
                <w:sz w:val="24"/>
              </w:rPr>
              <w:t>如何解除保险合同</w:t>
            </w:r>
          </w:p>
        </w:tc>
      </w:tr>
      <w:tr>
        <w:trPr>
          <w:trHeight w:val="3303" w:hRule="atLeast"/>
        </w:trPr>
        <w:tc>
          <w:tcPr>
            <w:tcW w:w="618" w:type="dxa"/>
            <w:tcBorders>
              <w:top w:val="single" w:sz="8" w:space="0" w:color="000000"/>
            </w:tcBorders>
          </w:tcPr>
          <w:p>
            <w:pPr>
              <w:pStyle w:val="TableParagraph"/>
              <w:spacing w:before="9"/>
              <w:rPr>
                <w:sz w:val="22"/>
              </w:rPr>
            </w:pPr>
          </w:p>
          <w:p>
            <w:pPr>
              <w:pStyle w:val="TableParagraph"/>
              <w:ind w:left="99" w:right="160"/>
              <w:jc w:val="center"/>
              <w:rPr>
                <w:b/>
                <w:sz w:val="21"/>
              </w:rPr>
            </w:pPr>
            <w:r>
              <w:rPr>
                <w:b/>
                <w:sz w:val="21"/>
              </w:rPr>
              <w:t>6.1</w:t>
            </w:r>
          </w:p>
        </w:tc>
        <w:tc>
          <w:tcPr>
            <w:tcW w:w="1980" w:type="dxa"/>
            <w:tcBorders>
              <w:top w:val="single" w:sz="8" w:space="0" w:color="000000"/>
            </w:tcBorders>
          </w:tcPr>
          <w:p>
            <w:pPr>
              <w:pStyle w:val="TableParagraph"/>
              <w:spacing w:before="9"/>
              <w:rPr>
                <w:sz w:val="22"/>
              </w:rPr>
            </w:pPr>
          </w:p>
          <w:p>
            <w:pPr>
              <w:pStyle w:val="TableParagraph"/>
              <w:spacing w:line="273" w:lineRule="auto"/>
              <w:ind w:left="141" w:right="146"/>
              <w:rPr>
                <w:b/>
                <w:sz w:val="21"/>
              </w:rPr>
            </w:pPr>
            <w:r>
              <w:rPr>
                <w:b/>
                <w:sz w:val="21"/>
              </w:rPr>
              <w:t>您解除合同的手续及风险</w:t>
            </w:r>
          </w:p>
        </w:tc>
        <w:tc>
          <w:tcPr>
            <w:tcW w:w="7373" w:type="dxa"/>
            <w:tcBorders>
              <w:top w:val="single" w:sz="8" w:space="0" w:color="000000"/>
            </w:tcBorders>
          </w:tcPr>
          <w:p>
            <w:pPr>
              <w:pStyle w:val="TableParagraph"/>
              <w:spacing w:before="9"/>
              <w:rPr>
                <w:sz w:val="22"/>
              </w:rPr>
            </w:pPr>
          </w:p>
          <w:p>
            <w:pPr>
              <w:pStyle w:val="TableParagraph"/>
              <w:spacing w:line="273" w:lineRule="auto"/>
              <w:ind w:left="148" w:right="65"/>
              <w:rPr>
                <w:sz w:val="21"/>
              </w:rPr>
            </w:pPr>
            <w:r>
              <w:rPr>
                <w:sz w:val="21"/>
              </w:rPr>
              <w:t>如您在犹豫期后申请解除本附加合同，请填写解除合同申请书并向我们提供下列资料：</w:t>
            </w:r>
          </w:p>
          <w:p>
            <w:pPr>
              <w:pStyle w:val="TableParagraph"/>
              <w:spacing w:before="7"/>
              <w:ind w:left="148"/>
              <w:rPr>
                <w:sz w:val="21"/>
              </w:rPr>
            </w:pPr>
            <w:r>
              <w:rPr>
                <w:sz w:val="21"/>
              </w:rPr>
              <w:t>（1）保险合同；</w:t>
            </w:r>
          </w:p>
          <w:p>
            <w:pPr>
              <w:pStyle w:val="TableParagraph"/>
              <w:spacing w:before="36"/>
              <w:ind w:left="148"/>
              <w:rPr>
                <w:sz w:val="21"/>
              </w:rPr>
            </w:pPr>
            <w:r>
              <w:rPr>
                <w:sz w:val="21"/>
              </w:rPr>
              <w:t>（2）您的有效身份证件。</w:t>
            </w:r>
          </w:p>
          <w:p>
            <w:pPr>
              <w:pStyle w:val="TableParagraph"/>
              <w:spacing w:before="8"/>
              <w:rPr>
                <w:sz w:val="26"/>
              </w:rPr>
            </w:pPr>
          </w:p>
          <w:p>
            <w:pPr>
              <w:pStyle w:val="TableParagraph"/>
              <w:spacing w:line="273" w:lineRule="auto"/>
              <w:ind w:left="148" w:right="70"/>
              <w:rPr>
                <w:sz w:val="21"/>
              </w:rPr>
            </w:pPr>
            <w:r>
              <w:rPr>
                <w:sz w:val="21"/>
              </w:rPr>
              <w:t>自我们收到解除合同申请书时起，本附加合同终止。我们自收到解除合同申请书之日起 30 日内向您退还保险单的现金价值。</w:t>
            </w:r>
          </w:p>
          <w:p>
            <w:pPr>
              <w:pStyle w:val="TableParagraph"/>
              <w:spacing w:before="5"/>
              <w:rPr>
                <w:sz w:val="24"/>
              </w:rPr>
            </w:pPr>
          </w:p>
          <w:p>
            <w:pPr>
              <w:pStyle w:val="TableParagraph"/>
              <w:ind w:left="149"/>
              <w:rPr>
                <w:sz w:val="21"/>
              </w:rPr>
            </w:pPr>
            <w:r>
              <w:rPr>
                <w:sz w:val="21"/>
              </w:rPr>
              <w:t>您犹豫期后解除合同会遭受一定损失。</w:t>
            </w:r>
          </w:p>
        </w:tc>
      </w:tr>
      <w:tr>
        <w:trPr>
          <w:trHeight w:val="753" w:hRule="atLeast"/>
        </w:trPr>
        <w:tc>
          <w:tcPr>
            <w:tcW w:w="618" w:type="dxa"/>
            <w:tcBorders>
              <w:bottom w:val="single" w:sz="8" w:space="0" w:color="000000"/>
            </w:tcBorders>
          </w:tcPr>
          <w:p>
            <w:pPr>
              <w:pStyle w:val="TableParagraph"/>
              <w:spacing w:before="190"/>
              <w:ind w:right="21"/>
              <w:jc w:val="center"/>
              <w:rPr>
                <w:rFonts w:ascii="Arial" w:hAnsi="Arial"/>
                <w:b/>
                <w:sz w:val="40"/>
              </w:rPr>
            </w:pPr>
            <w:r>
              <w:rPr>
                <w:rFonts w:ascii="Arial" w:hAnsi="Arial"/>
                <w:b/>
                <w:w w:val="119"/>
                <w:sz w:val="40"/>
              </w:rPr>
              <w:t></w:t>
            </w:r>
          </w:p>
        </w:tc>
        <w:tc>
          <w:tcPr>
            <w:tcW w:w="9353" w:type="dxa"/>
            <w:gridSpan w:val="2"/>
            <w:tcBorders>
              <w:bottom w:val="single" w:sz="8" w:space="0" w:color="000000"/>
            </w:tcBorders>
          </w:tcPr>
          <w:p>
            <w:pPr>
              <w:pStyle w:val="TableParagraph"/>
              <w:spacing w:before="6"/>
              <w:rPr>
                <w:sz w:val="18"/>
              </w:rPr>
            </w:pPr>
          </w:p>
          <w:p>
            <w:pPr>
              <w:pStyle w:val="TableParagraph"/>
              <w:ind w:left="141"/>
              <w:rPr>
                <w:b/>
                <w:sz w:val="24"/>
              </w:rPr>
            </w:pPr>
            <w:r>
              <w:rPr>
                <w:b/>
                <w:w w:val="95"/>
                <w:sz w:val="24"/>
              </w:rPr>
              <w:t>其他需要关注的事项</w:t>
            </w:r>
          </w:p>
        </w:tc>
      </w:tr>
      <w:tr>
        <w:trPr>
          <w:trHeight w:val="3900" w:hRule="atLeast"/>
        </w:trPr>
        <w:tc>
          <w:tcPr>
            <w:tcW w:w="618" w:type="dxa"/>
            <w:tcBorders>
              <w:top w:val="single" w:sz="8" w:space="0" w:color="000000"/>
            </w:tcBorders>
          </w:tcPr>
          <w:p>
            <w:pPr>
              <w:pStyle w:val="TableParagraph"/>
              <w:spacing w:before="6"/>
              <w:rPr>
                <w:sz w:val="22"/>
              </w:rPr>
            </w:pPr>
          </w:p>
          <w:p>
            <w:pPr>
              <w:pStyle w:val="TableParagraph"/>
              <w:spacing w:before="1"/>
              <w:ind w:left="99" w:right="160"/>
              <w:jc w:val="center"/>
              <w:rPr>
                <w:b/>
                <w:sz w:val="21"/>
              </w:rPr>
            </w:pPr>
            <w:r>
              <w:rPr>
                <w:b/>
                <w:sz w:val="21"/>
              </w:rPr>
              <w:t>7.1</w:t>
            </w:r>
          </w:p>
        </w:tc>
        <w:tc>
          <w:tcPr>
            <w:tcW w:w="1980" w:type="dxa"/>
            <w:tcBorders>
              <w:top w:val="single" w:sz="8" w:space="0" w:color="000000"/>
            </w:tcBorders>
          </w:tcPr>
          <w:p>
            <w:pPr>
              <w:pStyle w:val="TableParagraph"/>
              <w:spacing w:before="6"/>
              <w:rPr>
                <w:sz w:val="22"/>
              </w:rPr>
            </w:pPr>
          </w:p>
          <w:p>
            <w:pPr>
              <w:pStyle w:val="TableParagraph"/>
              <w:spacing w:before="1"/>
              <w:ind w:left="141"/>
              <w:rPr>
                <w:b/>
                <w:sz w:val="21"/>
              </w:rPr>
            </w:pPr>
            <w:r>
              <w:rPr>
                <w:b/>
                <w:sz w:val="21"/>
              </w:rPr>
              <w:t>年龄错误</w:t>
            </w:r>
          </w:p>
        </w:tc>
        <w:tc>
          <w:tcPr>
            <w:tcW w:w="7373" w:type="dxa"/>
            <w:tcBorders>
              <w:top w:val="single" w:sz="8" w:space="0" w:color="000000"/>
            </w:tcBorders>
          </w:tcPr>
          <w:p>
            <w:pPr>
              <w:pStyle w:val="TableParagraph"/>
              <w:spacing w:before="6"/>
              <w:rPr>
                <w:sz w:val="22"/>
              </w:rPr>
            </w:pPr>
          </w:p>
          <w:p>
            <w:pPr>
              <w:pStyle w:val="TableParagraph"/>
              <w:spacing w:line="273" w:lineRule="auto" w:before="1"/>
              <w:ind w:left="148" w:right="83"/>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8"/>
              <w:ind w:left="669" w:right="1" w:hanging="521"/>
              <w:rPr>
                <w:sz w:val="21"/>
              </w:rPr>
            </w:pPr>
            <w:r>
              <w:rPr>
                <w:sz w:val="21"/>
              </w:rPr>
              <w:t>（1）您申报的被保险人年龄不真实，并且真实年龄不符合本附加合同约定的投保年龄限制的，在保险事故发生之前我们有权解除合同，并向您退还</w:t>
            </w:r>
            <w:r>
              <w:rPr>
                <w:spacing w:val="-5"/>
                <w:sz w:val="21"/>
              </w:rPr>
              <w:t>保险单的现金价值。我们行使合同解除权适用“我们合同解除权的限制” </w:t>
            </w:r>
            <w:r>
              <w:rPr>
                <w:spacing w:val="-4"/>
                <w:sz w:val="21"/>
              </w:rPr>
              <w:t>的规定。</w:t>
            </w:r>
          </w:p>
          <w:p>
            <w:pPr>
              <w:pStyle w:val="TableParagraph"/>
              <w:spacing w:line="273" w:lineRule="auto" w:before="8"/>
              <w:ind w:left="669" w:right="101"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8"/>
              <w:ind w:left="669" w:right="103" w:hanging="521"/>
              <w:rPr>
                <w:sz w:val="21"/>
              </w:rPr>
            </w:pPr>
            <w:r>
              <w:rPr>
                <w:sz w:val="21"/>
              </w:rPr>
              <w:t>（3）您申报的被保险人年龄不真实，致使您实付保险费多于应付保险费的， 我们会将多收的保险费退还给您。</w:t>
            </w:r>
          </w:p>
        </w:tc>
      </w:tr>
      <w:tr>
        <w:trPr>
          <w:trHeight w:val="1560" w:hRule="atLeast"/>
        </w:trPr>
        <w:tc>
          <w:tcPr>
            <w:tcW w:w="618" w:type="dxa"/>
          </w:tcPr>
          <w:p>
            <w:pPr>
              <w:pStyle w:val="TableParagraph"/>
              <w:spacing w:before="138"/>
              <w:ind w:left="99" w:right="160"/>
              <w:jc w:val="center"/>
              <w:rPr>
                <w:b/>
                <w:sz w:val="21"/>
              </w:rPr>
            </w:pPr>
            <w:r>
              <w:rPr>
                <w:b/>
                <w:sz w:val="21"/>
              </w:rPr>
              <w:t>7.2</w:t>
            </w:r>
          </w:p>
        </w:tc>
        <w:tc>
          <w:tcPr>
            <w:tcW w:w="1980" w:type="dxa"/>
          </w:tcPr>
          <w:p>
            <w:pPr>
              <w:pStyle w:val="TableParagraph"/>
              <w:spacing w:before="138"/>
              <w:ind w:left="141"/>
              <w:rPr>
                <w:b/>
                <w:sz w:val="21"/>
              </w:rPr>
            </w:pPr>
            <w:r>
              <w:rPr>
                <w:b/>
                <w:sz w:val="21"/>
              </w:rPr>
              <w:t>效力终止</w:t>
            </w:r>
          </w:p>
        </w:tc>
        <w:tc>
          <w:tcPr>
            <w:tcW w:w="7373" w:type="dxa"/>
          </w:tcPr>
          <w:p>
            <w:pPr>
              <w:pStyle w:val="TableParagraph"/>
              <w:spacing w:before="138"/>
              <w:ind w:left="148"/>
              <w:rPr>
                <w:sz w:val="21"/>
              </w:rPr>
            </w:pPr>
            <w:r>
              <w:rPr>
                <w:sz w:val="21"/>
              </w:rPr>
              <w:t>当发生下列情形之一时，本附加合同效力终止：</w:t>
            </w:r>
          </w:p>
          <w:p>
            <w:pPr>
              <w:pStyle w:val="TableParagraph"/>
              <w:spacing w:before="36"/>
              <w:ind w:left="148"/>
              <w:rPr>
                <w:sz w:val="21"/>
              </w:rPr>
            </w:pPr>
            <w:r>
              <w:rPr>
                <w:sz w:val="21"/>
              </w:rPr>
              <w:t>（1）主合同效力终止；</w:t>
            </w:r>
          </w:p>
          <w:p>
            <w:pPr>
              <w:pStyle w:val="TableParagraph"/>
              <w:spacing w:before="36"/>
              <w:ind w:left="148"/>
              <w:rPr>
                <w:sz w:val="21"/>
              </w:rPr>
            </w:pPr>
            <w:r>
              <w:rPr>
                <w:sz w:val="21"/>
              </w:rPr>
              <w:t>（2）主合同办理减额交清；</w:t>
            </w:r>
          </w:p>
          <w:p>
            <w:pPr>
              <w:pStyle w:val="TableParagraph"/>
              <w:spacing w:before="36"/>
              <w:ind w:left="148"/>
              <w:rPr>
                <w:sz w:val="21"/>
              </w:rPr>
            </w:pPr>
            <w:r>
              <w:rPr>
                <w:sz w:val="21"/>
              </w:rPr>
              <w:t>（3）您申请解除本附加合同。</w:t>
            </w:r>
          </w:p>
        </w:tc>
      </w:tr>
      <w:tr>
        <w:trPr>
          <w:trHeight w:val="3456" w:hRule="atLeast"/>
        </w:trPr>
        <w:tc>
          <w:tcPr>
            <w:tcW w:w="618" w:type="dxa"/>
          </w:tcPr>
          <w:p>
            <w:pPr>
              <w:pStyle w:val="TableParagraph"/>
              <w:spacing w:before="138"/>
              <w:ind w:left="99" w:right="160"/>
              <w:jc w:val="center"/>
              <w:rPr>
                <w:b/>
                <w:sz w:val="21"/>
              </w:rPr>
            </w:pPr>
            <w:r>
              <w:rPr>
                <w:b/>
                <w:sz w:val="21"/>
              </w:rPr>
              <w:t>7.3</w:t>
            </w:r>
          </w:p>
        </w:tc>
        <w:tc>
          <w:tcPr>
            <w:tcW w:w="1980" w:type="dxa"/>
          </w:tcPr>
          <w:p>
            <w:pPr>
              <w:pStyle w:val="TableParagraph"/>
              <w:spacing w:before="138"/>
              <w:ind w:left="141"/>
              <w:rPr>
                <w:b/>
                <w:sz w:val="21"/>
              </w:rPr>
            </w:pPr>
            <w:r>
              <w:rPr>
                <w:b/>
                <w:sz w:val="21"/>
              </w:rPr>
              <w:t>适用主合同条款</w:t>
            </w:r>
          </w:p>
        </w:tc>
        <w:tc>
          <w:tcPr>
            <w:tcW w:w="7373" w:type="dxa"/>
          </w:tcPr>
          <w:p>
            <w:pPr>
              <w:pStyle w:val="TableParagraph"/>
              <w:spacing w:before="138"/>
              <w:ind w:left="148"/>
              <w:rPr>
                <w:sz w:val="21"/>
              </w:rPr>
            </w:pPr>
            <w:r>
              <w:rPr>
                <w:sz w:val="21"/>
              </w:rPr>
              <w:t>下列各项条款，适用主合同条款：</w:t>
            </w:r>
          </w:p>
          <w:p>
            <w:pPr>
              <w:pStyle w:val="TableParagraph"/>
              <w:spacing w:before="37"/>
              <w:ind w:left="148"/>
              <w:rPr>
                <w:sz w:val="21"/>
              </w:rPr>
            </w:pPr>
            <w:r>
              <w:rPr>
                <w:sz w:val="21"/>
              </w:rPr>
              <w:t>（1）保险事故通知；</w:t>
            </w:r>
          </w:p>
          <w:p>
            <w:pPr>
              <w:pStyle w:val="TableParagraph"/>
              <w:spacing w:before="37"/>
              <w:ind w:left="148"/>
              <w:rPr>
                <w:sz w:val="21"/>
              </w:rPr>
            </w:pPr>
            <w:r>
              <w:rPr>
                <w:sz w:val="21"/>
              </w:rPr>
              <w:t>（2）宽限期；</w:t>
            </w:r>
          </w:p>
          <w:p>
            <w:pPr>
              <w:pStyle w:val="TableParagraph"/>
              <w:spacing w:before="37"/>
              <w:ind w:left="148"/>
              <w:rPr>
                <w:sz w:val="21"/>
              </w:rPr>
            </w:pPr>
            <w:r>
              <w:rPr>
                <w:sz w:val="21"/>
              </w:rPr>
              <w:t>（3）效力中止；</w:t>
            </w:r>
          </w:p>
          <w:p>
            <w:pPr>
              <w:pStyle w:val="TableParagraph"/>
              <w:spacing w:before="37"/>
              <w:ind w:left="148"/>
              <w:rPr>
                <w:sz w:val="21"/>
              </w:rPr>
            </w:pPr>
            <w:r>
              <w:rPr>
                <w:sz w:val="21"/>
              </w:rPr>
              <w:t>（4）未还款项；</w:t>
            </w:r>
          </w:p>
          <w:p>
            <w:pPr>
              <w:pStyle w:val="TableParagraph"/>
              <w:spacing w:before="37"/>
              <w:ind w:left="148"/>
              <w:rPr>
                <w:sz w:val="21"/>
              </w:rPr>
            </w:pPr>
            <w:r>
              <w:rPr>
                <w:sz w:val="21"/>
              </w:rPr>
              <w:t>（5）明确说明与如实告知；</w:t>
            </w:r>
          </w:p>
          <w:p>
            <w:pPr>
              <w:pStyle w:val="TableParagraph"/>
              <w:spacing w:before="37"/>
              <w:ind w:left="148"/>
              <w:rPr>
                <w:sz w:val="21"/>
              </w:rPr>
            </w:pPr>
            <w:r>
              <w:rPr>
                <w:sz w:val="21"/>
              </w:rPr>
              <w:t>（6）我们合同解除权的限制；</w:t>
            </w:r>
          </w:p>
          <w:p>
            <w:pPr>
              <w:pStyle w:val="TableParagraph"/>
              <w:spacing w:before="37"/>
              <w:ind w:left="149"/>
              <w:rPr>
                <w:sz w:val="21"/>
              </w:rPr>
            </w:pPr>
            <w:r>
              <w:rPr>
                <w:sz w:val="21"/>
              </w:rPr>
              <w:t>（7）合同内容变更；</w:t>
            </w:r>
          </w:p>
          <w:p>
            <w:pPr>
              <w:pStyle w:val="TableParagraph"/>
              <w:spacing w:before="37"/>
              <w:ind w:left="149"/>
              <w:rPr>
                <w:sz w:val="21"/>
              </w:rPr>
            </w:pPr>
            <w:r>
              <w:rPr>
                <w:sz w:val="21"/>
              </w:rPr>
              <w:t>（8）联系方式变更；</w:t>
            </w:r>
          </w:p>
          <w:p>
            <w:pPr>
              <w:pStyle w:val="TableParagraph"/>
              <w:spacing w:before="37"/>
              <w:ind w:left="149"/>
              <w:rPr>
                <w:sz w:val="21"/>
              </w:rPr>
            </w:pPr>
            <w:r>
              <w:rPr>
                <w:sz w:val="21"/>
              </w:rPr>
              <w:t>（9）争议处理。</w:t>
            </w:r>
          </w:p>
        </w:tc>
      </w:tr>
      <w:tr>
        <w:trPr>
          <w:trHeight w:val="753" w:hRule="atLeast"/>
        </w:trPr>
        <w:tc>
          <w:tcPr>
            <w:tcW w:w="618" w:type="dxa"/>
            <w:tcBorders>
              <w:bottom w:val="single" w:sz="8" w:space="0" w:color="000000"/>
            </w:tcBorders>
          </w:tcPr>
          <w:p>
            <w:pPr>
              <w:pStyle w:val="TableParagraph"/>
              <w:spacing w:before="190"/>
              <w:ind w:right="21"/>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6"/>
              <w:rPr>
                <w:sz w:val="18"/>
              </w:rPr>
            </w:pPr>
          </w:p>
          <w:p>
            <w:pPr>
              <w:pStyle w:val="TableParagraph"/>
              <w:ind w:left="141"/>
              <w:rPr>
                <w:b/>
                <w:sz w:val="24"/>
              </w:rPr>
            </w:pPr>
            <w:r>
              <w:rPr>
                <w:b/>
                <w:sz w:val="24"/>
              </w:rPr>
              <w:t>释义</w:t>
            </w:r>
          </w:p>
        </w:tc>
        <w:tc>
          <w:tcPr>
            <w:tcW w:w="7373"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220" w:bottom="28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789"/>
        <w:gridCol w:w="7585"/>
      </w:tblGrid>
      <w:tr>
        <w:trPr>
          <w:trHeight w:val="1094" w:hRule="atLeast"/>
        </w:trPr>
        <w:tc>
          <w:tcPr>
            <w:tcW w:w="587" w:type="dxa"/>
            <w:tcBorders>
              <w:top w:val="single" w:sz="8" w:space="0" w:color="000000"/>
            </w:tcBorders>
          </w:tcPr>
          <w:p>
            <w:pPr>
              <w:pStyle w:val="TableParagraph"/>
              <w:spacing w:before="8"/>
              <w:rPr>
                <w:sz w:val="22"/>
              </w:rPr>
            </w:pPr>
          </w:p>
          <w:p>
            <w:pPr>
              <w:pStyle w:val="TableParagraph"/>
              <w:ind w:left="88" w:right="140"/>
              <w:jc w:val="center"/>
              <w:rPr>
                <w:b/>
                <w:sz w:val="21"/>
              </w:rPr>
            </w:pPr>
            <w:r>
              <w:rPr>
                <w:b/>
                <w:sz w:val="21"/>
              </w:rPr>
              <w:t>8.1</w:t>
            </w:r>
          </w:p>
        </w:tc>
        <w:tc>
          <w:tcPr>
            <w:tcW w:w="1789" w:type="dxa"/>
            <w:tcBorders>
              <w:top w:val="single" w:sz="8" w:space="0" w:color="000000"/>
            </w:tcBorders>
          </w:tcPr>
          <w:p>
            <w:pPr>
              <w:pStyle w:val="TableParagraph"/>
              <w:spacing w:before="8"/>
              <w:rPr>
                <w:sz w:val="22"/>
              </w:rPr>
            </w:pPr>
          </w:p>
          <w:p>
            <w:pPr>
              <w:pStyle w:val="TableParagraph"/>
              <w:ind w:left="161"/>
              <w:rPr>
                <w:b/>
                <w:sz w:val="21"/>
              </w:rPr>
            </w:pPr>
            <w:r>
              <w:rPr>
                <w:b/>
                <w:sz w:val="21"/>
              </w:rPr>
              <w:t>保单年度</w:t>
            </w:r>
          </w:p>
        </w:tc>
        <w:tc>
          <w:tcPr>
            <w:tcW w:w="7585" w:type="dxa"/>
            <w:tcBorders>
              <w:top w:val="single" w:sz="8" w:space="0" w:color="000000"/>
            </w:tcBorders>
          </w:tcPr>
          <w:p>
            <w:pPr>
              <w:pStyle w:val="TableParagraph"/>
              <w:spacing w:before="8"/>
              <w:rPr>
                <w:sz w:val="22"/>
              </w:rPr>
            </w:pPr>
          </w:p>
          <w:p>
            <w:pPr>
              <w:pStyle w:val="TableParagraph"/>
              <w:spacing w:line="273" w:lineRule="auto"/>
              <w:ind w:left="360" w:right="285"/>
              <w:rPr>
                <w:sz w:val="21"/>
              </w:rPr>
            </w:pPr>
            <w:r>
              <w:rPr>
                <w:sz w:val="21"/>
              </w:rPr>
              <w:t>指从保险合同生效日或生效对应日零时起至下一年度保险合同生效对应日零时止的期间为一个保单年度。</w:t>
            </w:r>
          </w:p>
        </w:tc>
      </w:tr>
      <w:tr>
        <w:trPr>
          <w:trHeight w:val="935" w:hRule="atLeast"/>
        </w:trPr>
        <w:tc>
          <w:tcPr>
            <w:tcW w:w="587" w:type="dxa"/>
          </w:tcPr>
          <w:p>
            <w:pPr>
              <w:pStyle w:val="TableParagraph"/>
              <w:spacing w:before="137"/>
              <w:ind w:left="88" w:right="140"/>
              <w:jc w:val="center"/>
              <w:rPr>
                <w:b/>
                <w:sz w:val="21"/>
              </w:rPr>
            </w:pPr>
            <w:r>
              <w:rPr>
                <w:b/>
                <w:sz w:val="21"/>
              </w:rPr>
              <w:t>8.2</w:t>
            </w:r>
          </w:p>
        </w:tc>
        <w:tc>
          <w:tcPr>
            <w:tcW w:w="1789" w:type="dxa"/>
          </w:tcPr>
          <w:p>
            <w:pPr>
              <w:pStyle w:val="TableParagraph"/>
              <w:spacing w:before="137"/>
              <w:ind w:left="161"/>
              <w:rPr>
                <w:b/>
                <w:sz w:val="21"/>
              </w:rPr>
            </w:pPr>
            <w:r>
              <w:rPr>
                <w:b/>
                <w:sz w:val="21"/>
              </w:rPr>
              <w:t>有效身份证件</w:t>
            </w:r>
          </w:p>
        </w:tc>
        <w:tc>
          <w:tcPr>
            <w:tcW w:w="7585" w:type="dxa"/>
          </w:tcPr>
          <w:p>
            <w:pPr>
              <w:pStyle w:val="TableParagraph"/>
              <w:spacing w:line="273" w:lineRule="auto" w:before="137"/>
              <w:ind w:left="360" w:right="82"/>
              <w:rPr>
                <w:sz w:val="21"/>
              </w:rPr>
            </w:pPr>
            <w:r>
              <w:rPr>
                <w:sz w:val="21"/>
              </w:rPr>
              <w:t>指由政府主管部门规定的证明其身份的证件，如：居民身份证、按规定可使用的有效护照、军官证、武警警官证、士兵证等证件。</w:t>
            </w:r>
          </w:p>
        </w:tc>
      </w:tr>
      <w:tr>
        <w:trPr>
          <w:trHeight w:val="936" w:hRule="atLeast"/>
        </w:trPr>
        <w:tc>
          <w:tcPr>
            <w:tcW w:w="587" w:type="dxa"/>
          </w:tcPr>
          <w:p>
            <w:pPr>
              <w:pStyle w:val="TableParagraph"/>
              <w:spacing w:before="137"/>
              <w:ind w:left="88" w:right="140"/>
              <w:jc w:val="center"/>
              <w:rPr>
                <w:b/>
                <w:sz w:val="21"/>
              </w:rPr>
            </w:pPr>
            <w:r>
              <w:rPr>
                <w:b/>
                <w:sz w:val="21"/>
              </w:rPr>
              <w:t>8.3</w:t>
            </w:r>
          </w:p>
        </w:tc>
        <w:tc>
          <w:tcPr>
            <w:tcW w:w="1789" w:type="dxa"/>
          </w:tcPr>
          <w:p>
            <w:pPr>
              <w:pStyle w:val="TableParagraph"/>
              <w:spacing w:before="137"/>
              <w:ind w:left="161"/>
              <w:rPr>
                <w:b/>
                <w:sz w:val="21"/>
              </w:rPr>
            </w:pPr>
            <w:r>
              <w:rPr>
                <w:b/>
                <w:sz w:val="21"/>
              </w:rPr>
              <w:t>周岁</w:t>
            </w:r>
          </w:p>
        </w:tc>
        <w:tc>
          <w:tcPr>
            <w:tcW w:w="7585" w:type="dxa"/>
          </w:tcPr>
          <w:p>
            <w:pPr>
              <w:pStyle w:val="TableParagraph"/>
              <w:spacing w:line="273" w:lineRule="auto" w:before="137"/>
              <w:ind w:left="360" w:right="66"/>
              <w:rPr>
                <w:sz w:val="21"/>
              </w:rPr>
            </w:pPr>
            <w:r>
              <w:rPr>
                <w:sz w:val="21"/>
              </w:rPr>
              <w:t>指按有效身份证件中记载的出生日期计算的年龄，自出生之日起为零周岁，每经过一年增加一岁，不足一年的不计。</w:t>
            </w:r>
          </w:p>
        </w:tc>
      </w:tr>
      <w:tr>
        <w:trPr>
          <w:trHeight w:val="624" w:hRule="atLeast"/>
        </w:trPr>
        <w:tc>
          <w:tcPr>
            <w:tcW w:w="587" w:type="dxa"/>
          </w:tcPr>
          <w:p>
            <w:pPr>
              <w:pStyle w:val="TableParagraph"/>
              <w:spacing w:before="137"/>
              <w:ind w:left="88" w:right="140"/>
              <w:jc w:val="center"/>
              <w:rPr>
                <w:b/>
                <w:sz w:val="21"/>
              </w:rPr>
            </w:pPr>
            <w:r>
              <w:rPr>
                <w:b/>
                <w:sz w:val="21"/>
              </w:rPr>
              <w:t>8.4</w:t>
            </w:r>
          </w:p>
        </w:tc>
        <w:tc>
          <w:tcPr>
            <w:tcW w:w="1789" w:type="dxa"/>
          </w:tcPr>
          <w:p>
            <w:pPr>
              <w:pStyle w:val="TableParagraph"/>
              <w:spacing w:before="137"/>
              <w:ind w:left="161"/>
              <w:rPr>
                <w:b/>
                <w:sz w:val="21"/>
              </w:rPr>
            </w:pPr>
            <w:r>
              <w:rPr>
                <w:b/>
                <w:sz w:val="21"/>
              </w:rPr>
              <w:t>意外伤害事故</w:t>
            </w:r>
          </w:p>
        </w:tc>
        <w:tc>
          <w:tcPr>
            <w:tcW w:w="7585" w:type="dxa"/>
          </w:tcPr>
          <w:p>
            <w:pPr>
              <w:pStyle w:val="TableParagraph"/>
              <w:spacing w:before="137"/>
              <w:ind w:left="360"/>
              <w:rPr>
                <w:sz w:val="21"/>
              </w:rPr>
            </w:pPr>
            <w:r>
              <w:rPr>
                <w:spacing w:val="-15"/>
                <w:sz w:val="21"/>
              </w:rPr>
              <w:t>指外来的、非本意的、突然的、非疾病的使被保险人身体受到伤害的客观事件。</w:t>
            </w:r>
          </w:p>
        </w:tc>
      </w:tr>
      <w:tr>
        <w:trPr>
          <w:trHeight w:val="10713" w:hRule="atLeast"/>
        </w:trPr>
        <w:tc>
          <w:tcPr>
            <w:tcW w:w="587" w:type="dxa"/>
          </w:tcPr>
          <w:p>
            <w:pPr>
              <w:pStyle w:val="TableParagraph"/>
              <w:spacing w:before="137"/>
              <w:ind w:left="88" w:right="140"/>
              <w:jc w:val="center"/>
              <w:rPr>
                <w:b/>
                <w:sz w:val="21"/>
              </w:rPr>
            </w:pPr>
            <w:r>
              <w:rPr>
                <w:b/>
                <w:sz w:val="21"/>
              </w:rPr>
              <w:t>8.5</w:t>
            </w:r>
          </w:p>
        </w:tc>
        <w:tc>
          <w:tcPr>
            <w:tcW w:w="1789" w:type="dxa"/>
          </w:tcPr>
          <w:p>
            <w:pPr>
              <w:pStyle w:val="TableParagraph"/>
              <w:spacing w:before="137"/>
              <w:ind w:left="161"/>
              <w:rPr>
                <w:b/>
                <w:sz w:val="21"/>
              </w:rPr>
            </w:pPr>
            <w:r>
              <w:rPr>
                <w:b/>
                <w:sz w:val="21"/>
              </w:rPr>
              <w:t>少儿重大疾病</w:t>
            </w:r>
          </w:p>
        </w:tc>
        <w:tc>
          <w:tcPr>
            <w:tcW w:w="7585" w:type="dxa"/>
          </w:tcPr>
          <w:p>
            <w:pPr>
              <w:pStyle w:val="TableParagraph"/>
              <w:spacing w:before="137"/>
              <w:ind w:left="360"/>
              <w:rPr>
                <w:b/>
                <w:sz w:val="21"/>
              </w:rPr>
            </w:pPr>
            <w:bookmarkStart w:name="（一）恶性肿瘤" w:id="1"/>
            <w:bookmarkEnd w:id="1"/>
            <w:r>
              <w:rPr/>
            </w:r>
            <w:r>
              <w:rPr>
                <w:b/>
                <w:sz w:val="21"/>
              </w:rPr>
              <w:t>（一）恶性肿瘤</w:t>
            </w:r>
          </w:p>
          <w:p>
            <w:pPr>
              <w:pStyle w:val="TableParagraph"/>
              <w:spacing w:line="273" w:lineRule="auto" w:before="37"/>
              <w:ind w:left="359" w:right="-15"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before="7"/>
              <w:ind w:left="360"/>
              <w:rPr>
                <w:sz w:val="21"/>
              </w:rPr>
            </w:pPr>
            <w:r>
              <w:rPr>
                <w:sz w:val="21"/>
              </w:rPr>
              <w:t>（ICD-10）的恶性肿瘤范畴。</w:t>
            </w:r>
          </w:p>
          <w:p>
            <w:pPr>
              <w:pStyle w:val="TableParagraph"/>
              <w:spacing w:before="36"/>
              <w:ind w:left="885"/>
              <w:rPr>
                <w:sz w:val="21"/>
              </w:rPr>
            </w:pPr>
            <w:r>
              <w:rPr>
                <w:sz w:val="21"/>
              </w:rPr>
              <w:t>下列疾病不在保障范围内：</w:t>
            </w:r>
          </w:p>
          <w:p>
            <w:pPr>
              <w:pStyle w:val="TableParagraph"/>
              <w:spacing w:before="36"/>
              <w:ind w:left="360"/>
              <w:rPr>
                <w:sz w:val="21"/>
              </w:rPr>
            </w:pPr>
            <w:r>
              <w:rPr>
                <w:sz w:val="21"/>
              </w:rPr>
              <w:t>（1）原位癌；</w:t>
            </w:r>
          </w:p>
          <w:p>
            <w:pPr>
              <w:pStyle w:val="TableParagraph"/>
              <w:spacing w:before="36"/>
              <w:ind w:left="360"/>
              <w:rPr>
                <w:sz w:val="21"/>
              </w:rPr>
            </w:pPr>
            <w:r>
              <w:rPr>
                <w:sz w:val="21"/>
              </w:rPr>
              <w:t>（2）相当于 Binet 分期方案 A 期程度的慢性淋巴细胞白血病；</w:t>
            </w:r>
          </w:p>
          <w:p>
            <w:pPr>
              <w:pStyle w:val="TableParagraph"/>
              <w:spacing w:before="36"/>
              <w:ind w:left="359"/>
              <w:rPr>
                <w:sz w:val="21"/>
              </w:rPr>
            </w:pPr>
            <w:r>
              <w:rPr>
                <w:sz w:val="21"/>
              </w:rPr>
              <w:t>（3）相当于 Ann Arbor 分期方案 I 期程度的何杰金氏病；</w:t>
            </w:r>
          </w:p>
          <w:p>
            <w:pPr>
              <w:pStyle w:val="TableParagraph"/>
              <w:spacing w:before="36"/>
              <w:ind w:left="35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59"/>
              <w:rPr>
                <w:sz w:val="21"/>
              </w:rPr>
            </w:pPr>
            <w:r>
              <w:rPr>
                <w:sz w:val="21"/>
              </w:rPr>
              <w:t>（5）TNM 分期为 T1N0M0 期或更轻分期的前列腺癌；</w:t>
            </w:r>
          </w:p>
          <w:p>
            <w:pPr>
              <w:pStyle w:val="TableParagraph"/>
              <w:spacing w:before="36"/>
              <w:ind w:left="359"/>
              <w:rPr>
                <w:sz w:val="21"/>
              </w:rPr>
            </w:pPr>
            <w:r>
              <w:rPr>
                <w:sz w:val="21"/>
              </w:rPr>
              <w:t>（6）感染艾滋病病毒或患艾滋病期间所患恶性肿瘤。</w:t>
            </w:r>
          </w:p>
          <w:p>
            <w:pPr>
              <w:pStyle w:val="TableParagraph"/>
              <w:spacing w:before="8"/>
              <w:rPr>
                <w:sz w:val="26"/>
              </w:rPr>
            </w:pPr>
          </w:p>
          <w:p>
            <w:pPr>
              <w:pStyle w:val="TableParagraph"/>
              <w:ind w:left="360"/>
              <w:rPr>
                <w:b/>
                <w:sz w:val="21"/>
              </w:rPr>
            </w:pPr>
            <w:bookmarkStart w:name="（二）脑炎后遗症或脑膜炎后遗症" w:id="2"/>
            <w:bookmarkEnd w:id="2"/>
            <w:r>
              <w:rPr/>
            </w:r>
            <w:r>
              <w:rPr>
                <w:b/>
                <w:sz w:val="21"/>
              </w:rPr>
              <w:t>（二）脑炎后遗症或脑膜炎后遗症</w:t>
            </w:r>
          </w:p>
          <w:p>
            <w:pPr>
              <w:pStyle w:val="TableParagraph"/>
              <w:spacing w:line="273" w:lineRule="auto" w:before="36"/>
              <w:ind w:left="360" w:right="101" w:firstLine="431"/>
              <w:jc w:val="both"/>
              <w:rPr>
                <w:sz w:val="21"/>
              </w:rPr>
            </w:pPr>
            <w:r>
              <w:rPr>
                <w:spacing w:val="-5"/>
                <w:sz w:val="21"/>
              </w:rPr>
              <w:t>指因患脑炎或脑膜炎导致的神经系统永久性的功能障碍。神经系统永久性</w:t>
            </w:r>
            <w:r>
              <w:rPr>
                <w:spacing w:val="-7"/>
                <w:sz w:val="21"/>
              </w:rPr>
              <w:t>的功能障碍，指疾病首次确诊 </w:t>
            </w:r>
            <w:r>
              <w:rPr>
                <w:sz w:val="21"/>
              </w:rPr>
              <w:t>180</w:t>
            </w:r>
            <w:r>
              <w:rPr>
                <w:spacing w:val="-7"/>
                <w:sz w:val="21"/>
              </w:rPr>
              <w:t> 日后，仍残留下列一种或一种以上障碍：</w:t>
            </w:r>
          </w:p>
          <w:p>
            <w:pPr>
              <w:pStyle w:val="TableParagraph"/>
              <w:spacing w:before="7"/>
              <w:ind w:left="360"/>
              <w:rPr>
                <w:sz w:val="21"/>
              </w:rPr>
            </w:pPr>
            <w:r>
              <w:rPr>
                <w:sz w:val="21"/>
              </w:rPr>
              <w:t>（1）一肢或一肢以上肢体机能完全丧失；</w:t>
            </w:r>
          </w:p>
          <w:p>
            <w:pPr>
              <w:pStyle w:val="TableParagraph"/>
              <w:spacing w:before="37"/>
              <w:ind w:left="360"/>
              <w:rPr>
                <w:sz w:val="21"/>
              </w:rPr>
            </w:pPr>
            <w:r>
              <w:rPr>
                <w:sz w:val="21"/>
              </w:rPr>
              <w:t>（2）语言能力或咀嚼吞咽能力完全丧失；</w:t>
            </w:r>
          </w:p>
          <w:p>
            <w:pPr>
              <w:pStyle w:val="TableParagraph"/>
              <w:spacing w:line="273" w:lineRule="auto" w:before="37"/>
              <w:ind w:left="359" w:right="103"/>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ind w:left="360"/>
              <w:rPr>
                <w:b/>
                <w:sz w:val="21"/>
              </w:rPr>
            </w:pPr>
            <w:bookmarkStart w:name="（三） 终末期肾病" w:id="3"/>
            <w:bookmarkEnd w:id="3"/>
            <w:r>
              <w:rPr/>
            </w:r>
            <w:r>
              <w:rPr>
                <w:b/>
                <w:sz w:val="21"/>
              </w:rPr>
              <w:t>（三） 终末期肾病</w:t>
            </w:r>
          </w:p>
          <w:p>
            <w:pPr>
              <w:pStyle w:val="TableParagraph"/>
              <w:spacing w:before="36"/>
              <w:ind w:left="791"/>
              <w:rPr>
                <w:sz w:val="21"/>
              </w:rPr>
            </w:pPr>
            <w:r>
              <w:rPr>
                <w:sz w:val="21"/>
              </w:rPr>
              <w:t>指双肾功能慢性不可逆性衰竭，达到尿毒症期，经诊断后已经进行了至少</w:t>
            </w:r>
          </w:p>
          <w:p>
            <w:pPr>
              <w:pStyle w:val="TableParagraph"/>
              <w:spacing w:before="36"/>
              <w:ind w:left="360"/>
              <w:rPr>
                <w:sz w:val="21"/>
              </w:rPr>
            </w:pPr>
            <w:r>
              <w:rPr>
                <w:sz w:val="21"/>
              </w:rPr>
              <w:t>90 日的规律性透析治疗或实施了肾脏移植手术。</w:t>
            </w:r>
          </w:p>
          <w:p>
            <w:pPr>
              <w:pStyle w:val="TableParagraph"/>
              <w:spacing w:before="8"/>
              <w:rPr>
                <w:sz w:val="26"/>
              </w:rPr>
            </w:pPr>
          </w:p>
          <w:p>
            <w:pPr>
              <w:pStyle w:val="TableParagraph"/>
              <w:ind w:left="360"/>
              <w:rPr>
                <w:b/>
                <w:sz w:val="21"/>
              </w:rPr>
            </w:pPr>
            <w:bookmarkStart w:name="（四）重大器官移植术或造血干细胞移植术" w:id="4"/>
            <w:bookmarkEnd w:id="4"/>
            <w:r>
              <w:rPr/>
            </w:r>
            <w:r>
              <w:rPr>
                <w:b/>
                <w:sz w:val="21"/>
              </w:rPr>
              <w:t>（四）重大器官移植术或造血干细胞移植术</w:t>
            </w:r>
          </w:p>
          <w:p>
            <w:pPr>
              <w:pStyle w:val="TableParagraph"/>
              <w:spacing w:line="273" w:lineRule="auto" w:before="37"/>
              <w:ind w:left="360" w:right="1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8"/>
              <w:ind w:left="360" w:right="101" w:firstLine="431"/>
              <w:jc w:val="both"/>
              <w:rPr>
                <w:sz w:val="21"/>
              </w:rPr>
            </w:pPr>
            <w:r>
              <w:rPr>
                <w:spacing w:val="-6"/>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6"/>
              <w:rPr>
                <w:sz w:val="24"/>
              </w:rPr>
            </w:pPr>
          </w:p>
          <w:p>
            <w:pPr>
              <w:pStyle w:val="TableParagraph"/>
              <w:ind w:left="360"/>
              <w:rPr>
                <w:b/>
                <w:sz w:val="21"/>
              </w:rPr>
            </w:pPr>
            <w:bookmarkStart w:name="（五）严重III度烧伤" w:id="5"/>
            <w:bookmarkEnd w:id="5"/>
            <w:r>
              <w:rPr/>
            </w:r>
            <w:r>
              <w:rPr>
                <w:b/>
                <w:sz w:val="21"/>
              </w:rPr>
              <w:t>（五）严重III度烧伤</w:t>
            </w:r>
          </w:p>
          <w:p>
            <w:pPr>
              <w:pStyle w:val="TableParagraph"/>
              <w:spacing w:line="261" w:lineRule="exact" w:before="37"/>
              <w:ind w:left="791"/>
              <w:rPr>
                <w:sz w:val="21"/>
              </w:rPr>
            </w:pPr>
            <w:r>
              <w:rPr>
                <w:sz w:val="21"/>
              </w:rPr>
              <w:t>指烧伤程度为Ⅲ度，且Ⅲ度烧伤面积达到全身体表面积的 20％或 20％以</w:t>
            </w:r>
          </w:p>
        </w:tc>
      </w:tr>
    </w:tbl>
    <w:p>
      <w:pPr>
        <w:spacing w:after="0" w:line="261" w:lineRule="exact"/>
        <w:rPr>
          <w:sz w:val="21"/>
        </w:rPr>
        <w:sectPr>
          <w:pgSz w:w="11910" w:h="16840"/>
          <w:pgMar w:top="1120" w:bottom="280" w:left="800" w:right="920"/>
        </w:sectPr>
      </w:pPr>
    </w:p>
    <w:p>
      <w:pPr>
        <w:pStyle w:val="BodyText"/>
        <w:spacing w:before="22"/>
      </w:pPr>
      <w:r>
        <w:rPr/>
        <w:t>上。体表面积根据 《中国新九分法》计算。</w:t>
      </w:r>
    </w:p>
    <w:p>
      <w:pPr>
        <w:pStyle w:val="BodyText"/>
        <w:spacing w:before="9"/>
        <w:ind w:left="0"/>
        <w:rPr>
          <w:sz w:val="26"/>
        </w:rPr>
      </w:pPr>
    </w:p>
    <w:p>
      <w:pPr>
        <w:pStyle w:val="Heading3"/>
      </w:pPr>
      <w:bookmarkStart w:name="（六）严重川崎病" w:id="6"/>
      <w:bookmarkEnd w:id="6"/>
      <w:r>
        <w:rPr>
          <w:b w:val="0"/>
        </w:rPr>
      </w:r>
      <w:r>
        <w:rPr/>
        <w:t>（六）严重川崎病</w:t>
      </w:r>
    </w:p>
    <w:p>
      <w:pPr>
        <w:pStyle w:val="BodyText"/>
        <w:ind w:left="2388"/>
      </w:pPr>
      <w:r>
        <w:rPr/>
        <w:t>川崎病为一种病因不明的系统性血管炎。</w:t>
      </w:r>
    </w:p>
    <w:p>
      <w:pPr>
        <w:pStyle w:val="BodyText"/>
        <w:spacing w:line="273" w:lineRule="auto"/>
        <w:ind w:right="168" w:firstLine="419"/>
      </w:pPr>
      <w:r>
        <w:rPr/>
        <w:t>本保单仅对诊断性检查证实川崎病并发动脉瘤或其他心血管异常，并且实际接受了手术治疗的情况予以理赔。</w:t>
      </w:r>
    </w:p>
    <w:p>
      <w:pPr>
        <w:pStyle w:val="BodyText"/>
        <w:spacing w:before="5"/>
        <w:ind w:left="0"/>
        <w:rPr>
          <w:sz w:val="24"/>
        </w:rPr>
      </w:pPr>
    </w:p>
    <w:p>
      <w:pPr>
        <w:pStyle w:val="Heading3"/>
        <w:spacing w:before="1"/>
      </w:pPr>
      <w:bookmarkStart w:name="（七）1型糖尿病" w:id="7"/>
      <w:bookmarkEnd w:id="7"/>
      <w:r>
        <w:rPr>
          <w:b w:val="0"/>
        </w:rPr>
      </w:r>
      <w:r>
        <w:rPr/>
        <w:t>（七）1 型糖尿病</w:t>
      </w:r>
    </w:p>
    <w:p>
      <w:pPr>
        <w:pStyle w:val="BodyText"/>
        <w:spacing w:line="273" w:lineRule="auto"/>
        <w:ind w:right="111" w:firstLine="419"/>
        <w:jc w:val="both"/>
      </w:pPr>
      <w:r>
        <w:rPr/>
        <w:t>1</w:t>
      </w:r>
      <w:r>
        <w:rPr>
          <w:spacing w:val="-4"/>
        </w:rPr>
        <w:t> 型糖尿病的特征为由于胰岛素分泌绝对不足引起严重胰岛素缺乏导致慢</w:t>
      </w:r>
      <w:r>
        <w:rPr>
          <w:spacing w:val="-6"/>
        </w:rPr>
        <w:t>性血糖升高，需要依赖外源性胰岛素进行机体的葡萄糖代谢和维持生命。被保</w:t>
      </w:r>
      <w:r>
        <w:rPr>
          <w:spacing w:val="-14"/>
        </w:rPr>
        <w:t>险人的 </w:t>
      </w:r>
      <w:r>
        <w:rPr/>
        <w:t>1</w:t>
      </w:r>
      <w:r>
        <w:rPr>
          <w:spacing w:val="-13"/>
        </w:rPr>
        <w:t> 型糖尿病必须诊断明确，而且有血胰岛素测定及血 </w:t>
      </w:r>
      <w:r>
        <w:rPr/>
        <w:t>C</w:t>
      </w:r>
      <w:r>
        <w:rPr>
          <w:spacing w:val="-21"/>
        </w:rPr>
        <w:t> 肽或尿 </w:t>
      </w:r>
      <w:r>
        <w:rPr/>
        <w:t>C</w:t>
      </w:r>
      <w:r>
        <w:rPr>
          <w:spacing w:val="-15"/>
        </w:rPr>
        <w:t> 肽测定</w:t>
      </w:r>
      <w:r>
        <w:rPr>
          <w:spacing w:val="-14"/>
        </w:rPr>
        <w:t>结果支持诊断，并且已经持续性地接受外源性胰岛素注射治疗连续 </w:t>
      </w:r>
      <w:r>
        <w:rPr/>
        <w:t>180</w:t>
      </w:r>
      <w:r>
        <w:rPr>
          <w:spacing w:val="-11"/>
        </w:rPr>
        <w:t> 日以上。</w:t>
      </w:r>
    </w:p>
    <w:p>
      <w:pPr>
        <w:pStyle w:val="BodyText"/>
        <w:spacing w:before="5"/>
        <w:ind w:left="0"/>
        <w:rPr>
          <w:sz w:val="24"/>
        </w:rPr>
      </w:pPr>
    </w:p>
    <w:p>
      <w:pPr>
        <w:pStyle w:val="Heading3"/>
      </w:pPr>
      <w:bookmarkStart w:name="（八）多个肢体缺失" w:id="8"/>
      <w:bookmarkEnd w:id="8"/>
      <w:r>
        <w:rPr>
          <w:b w:val="0"/>
        </w:rPr>
      </w:r>
      <w:r>
        <w:rPr/>
        <w:t>（八）多个肢体缺失</w:t>
      </w:r>
    </w:p>
    <w:p>
      <w:pPr>
        <w:pStyle w:val="BodyText"/>
        <w:spacing w:line="273" w:lineRule="auto" w:before="36"/>
        <w:ind w:right="163" w:firstLine="431"/>
      </w:pPr>
      <w:r>
        <w:rPr/>
        <w:t>指因疾病或意外伤害导致两个或两个以上肢体自腕关节或踝关节近端（靠近躯干端）以上完全性断离。</w:t>
      </w:r>
    </w:p>
    <w:p>
      <w:pPr>
        <w:pStyle w:val="BodyText"/>
        <w:spacing w:before="5"/>
        <w:ind w:left="0"/>
        <w:rPr>
          <w:sz w:val="24"/>
        </w:rPr>
      </w:pPr>
    </w:p>
    <w:p>
      <w:pPr>
        <w:pStyle w:val="Heading3"/>
      </w:pPr>
      <w:bookmarkStart w:name="（九）急性或亚急性重症肝炎" w:id="9"/>
      <w:bookmarkEnd w:id="9"/>
      <w:r>
        <w:rPr>
          <w:b w:val="0"/>
        </w:rPr>
      </w:r>
      <w:r>
        <w:rPr/>
        <w:t>（九）急性或亚急性重症肝炎</w:t>
      </w:r>
    </w:p>
    <w:p>
      <w:pPr>
        <w:pStyle w:val="BodyText"/>
        <w:spacing w:line="273" w:lineRule="auto"/>
        <w:ind w:right="167" w:firstLine="431"/>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3"/>
        <w:spacing w:before="1"/>
      </w:pPr>
      <w:bookmarkStart w:name="（十）良性脑肿瘤" w:id="10"/>
      <w:bookmarkEnd w:id="10"/>
      <w:r>
        <w:rPr>
          <w:b w:val="0"/>
        </w:rPr>
      </w:r>
      <w:r>
        <w:rPr/>
        <w:t>（十）良性脑肿瘤</w:t>
      </w:r>
    </w:p>
    <w:p>
      <w:pPr>
        <w:pStyle w:val="BodyText"/>
        <w:spacing w:line="273" w:lineRule="auto"/>
        <w:ind w:left="1967" w:right="214" w:firstLine="432"/>
        <w:jc w:val="both"/>
      </w:pPr>
      <w:r>
        <w:rPr>
          <w:spacing w:val="-7"/>
        </w:rPr>
        <w:t>指脑的良性肿瘤，已经引起颅内压增高，临床表现为视神经乳头水肿、精</w:t>
      </w:r>
      <w:r>
        <w:rPr>
          <w:w w:val="100"/>
        </w:rPr>
        <w:t>神症状、癫痫及运动感觉障碍等，并危及生命。须由头颅断层扫描</w:t>
      </w:r>
      <w:r>
        <w:rPr>
          <w:spacing w:val="0"/>
          <w:w w:val="100"/>
        </w:rPr>
        <w:t>（</w:t>
      </w:r>
      <w:r>
        <w:rPr>
          <w:w w:val="100"/>
        </w:rPr>
        <w:t>C</w:t>
      </w:r>
      <w:r>
        <w:rPr>
          <w:spacing w:val="1"/>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ind w:left="0"/>
        <w:rPr>
          <w:sz w:val="26"/>
        </w:rPr>
      </w:pPr>
    </w:p>
    <w:p>
      <w:pPr>
        <w:pStyle w:val="Heading3"/>
        <w:spacing w:before="1"/>
      </w:pPr>
      <w:bookmarkStart w:name="（十一）深度昏迷" w:id="11"/>
      <w:bookmarkEnd w:id="11"/>
      <w:r>
        <w:rPr>
          <w:b w:val="0"/>
        </w:rPr>
      </w:r>
      <w:r>
        <w:rPr/>
        <w:t>（十一）深度昏迷</w:t>
      </w:r>
    </w:p>
    <w:p>
      <w:pPr>
        <w:pStyle w:val="BodyText"/>
        <w:spacing w:line="273" w:lineRule="auto"/>
        <w:ind w:right="111" w:firstLine="431"/>
      </w:pPr>
      <w:r>
        <w:rPr/>
        <w:t>指因疾病或意外伤害导致意识丧失,对外界刺激和体内需求均无反应，昏</w:t>
      </w:r>
      <w:r>
        <w:rPr>
          <w:spacing w:val="-4"/>
        </w:rPr>
        <w:t>迷程度按照格拉斯哥昏迷分级</w:t>
      </w:r>
      <w:r>
        <w:rPr/>
        <w:t>（Glasgow</w:t>
      </w:r>
      <w:r>
        <w:rPr>
          <w:spacing w:val="-49"/>
        </w:rPr>
        <w:t> </w:t>
      </w:r>
      <w:r>
        <w:rPr/>
        <w:t>coma</w:t>
      </w:r>
      <w:r>
        <w:rPr>
          <w:spacing w:val="-49"/>
        </w:rPr>
        <w:t> </w:t>
      </w:r>
      <w:r>
        <w:rPr>
          <w:spacing w:val="-4"/>
        </w:rPr>
        <w:t>scale）</w:t>
      </w:r>
      <w:r>
        <w:rPr>
          <w:spacing w:val="-14"/>
        </w:rPr>
        <w:t>结果为 </w:t>
      </w:r>
      <w:r>
        <w:rPr/>
        <w:t>5</w:t>
      </w:r>
      <w:r>
        <w:rPr>
          <w:spacing w:val="-26"/>
        </w:rPr>
        <w:t> 分或 </w:t>
      </w:r>
      <w:r>
        <w:rPr/>
        <w:t>5</w:t>
      </w:r>
      <w:r>
        <w:rPr>
          <w:spacing w:val="-12"/>
        </w:rPr>
        <w:t> 分以下， </w:t>
      </w:r>
      <w:r>
        <w:rPr>
          <w:spacing w:val="-8"/>
        </w:rPr>
        <w:t>且已经持续使用呼吸机及其它生命维持系统 </w:t>
      </w:r>
      <w:r>
        <w:rPr/>
        <w:t>96</w:t>
      </w:r>
      <w:r>
        <w:rPr>
          <w:spacing w:val="-10"/>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3"/>
      </w:pPr>
      <w:bookmarkStart w:name="（十二）双耳失聪 " w:id="12"/>
      <w:bookmarkEnd w:id="12"/>
      <w:r>
        <w:rPr>
          <w:b w:val="0"/>
        </w:rPr>
      </w:r>
      <w:r>
        <w:rPr/>
        <w:t>（十二）双耳失聪</w:t>
      </w:r>
    </w:p>
    <w:p>
      <w:pPr>
        <w:pStyle w:val="BodyText"/>
        <w:spacing w:before="36"/>
        <w:ind w:left="2400"/>
      </w:pPr>
      <w:r>
        <w:rPr/>
        <w:t>指因疾病或意外伤害导致双耳听力永久不可逆性丧失，在 500 赫兹、1000</w:t>
      </w:r>
    </w:p>
    <w:p>
      <w:pPr>
        <w:pStyle w:val="BodyText"/>
        <w:spacing w:line="273" w:lineRule="auto" w:before="36"/>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right="167" w:firstLine="431"/>
      </w:pPr>
      <w:r>
        <w:rPr/>
        <w:t>被保险人申请理赔时年龄必须在三周岁以上，并且提供理赔当时的听力丧失诊断及检查证据。</w:t>
      </w:r>
    </w:p>
    <w:p>
      <w:pPr>
        <w:spacing w:after="0" w:line="273" w:lineRule="auto"/>
        <w:sectPr>
          <w:pgSz w:w="11910" w:h="16840"/>
          <w:pgMar w:top="1080" w:bottom="280" w:left="1680" w:right="920"/>
        </w:sectPr>
      </w:pPr>
    </w:p>
    <w:p>
      <w:pPr>
        <w:pStyle w:val="Heading3"/>
        <w:spacing w:before="14"/>
      </w:pPr>
      <w:bookmarkStart w:name="（十三）双目失明 " w:id="13"/>
      <w:bookmarkEnd w:id="13"/>
      <w:r>
        <w:rPr>
          <w:b w:val="0"/>
        </w:rPr>
      </w:r>
      <w:r>
        <w:rPr/>
        <w:t>（十三）双目失明</w:t>
      </w:r>
    </w:p>
    <w:p>
      <w:pPr>
        <w:pStyle w:val="BodyText"/>
        <w:spacing w:line="273" w:lineRule="auto"/>
        <w:ind w:left="1967" w:right="114" w:firstLine="420"/>
        <w:jc w:val="both"/>
      </w:pPr>
      <w:r>
        <w:rPr>
          <w:spacing w:val="-4"/>
        </w:rPr>
        <w:t>指因疾病或意外伤害导致双目视力永久不可逆性丧失，双眼中较好眼须满</w:t>
      </w:r>
      <w:r>
        <w:rPr>
          <w:spacing w:val="-3"/>
        </w:rPr>
        <w:t>足下列至少一项条件：</w:t>
      </w:r>
    </w:p>
    <w:p>
      <w:pPr>
        <w:pStyle w:val="BodyText"/>
        <w:spacing w:before="7"/>
        <w:ind w:left="1967"/>
      </w:pPr>
      <w:r>
        <w:rPr/>
        <w:t>（1）眼球缺失或摘除；</w:t>
      </w:r>
    </w:p>
    <w:p>
      <w:pPr>
        <w:pStyle w:val="BodyText"/>
        <w:spacing w:line="273" w:lineRule="auto" w:before="36"/>
        <w:ind w:left="1967" w:right="119"/>
      </w:pPr>
      <w:r>
        <w:rPr/>
        <w:t>（2）</w:t>
      </w:r>
      <w:r>
        <w:rPr>
          <w:spacing w:val="-2"/>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line="273" w:lineRule="auto"/>
        <w:ind w:right="114" w:firstLine="431"/>
        <w:jc w:val="both"/>
      </w:pPr>
      <w:r>
        <w:rPr>
          <w:spacing w:val="-5"/>
        </w:rPr>
        <w:t>被保险人申请理赔时年龄必须在三周岁以上，并且提供理赔当时的视力丧</w:t>
      </w:r>
      <w:r>
        <w:rPr>
          <w:spacing w:val="-4"/>
        </w:rPr>
        <w:t>失诊断及检查证据。</w:t>
      </w:r>
    </w:p>
    <w:p>
      <w:pPr>
        <w:pStyle w:val="BodyText"/>
        <w:spacing w:before="6"/>
        <w:ind w:left="0"/>
        <w:rPr>
          <w:sz w:val="24"/>
        </w:rPr>
      </w:pPr>
    </w:p>
    <w:p>
      <w:pPr>
        <w:pStyle w:val="Heading3"/>
      </w:pPr>
      <w:bookmarkStart w:name="（十四）瘫痪" w:id="14"/>
      <w:bookmarkEnd w:id="14"/>
      <w:r>
        <w:rPr>
          <w:b w:val="0"/>
        </w:rPr>
      </w:r>
      <w:r>
        <w:rPr/>
        <w:t>（十四）瘫痪</w:t>
      </w:r>
    </w:p>
    <w:p>
      <w:pPr>
        <w:pStyle w:val="BodyText"/>
        <w:spacing w:line="273" w:lineRule="auto"/>
        <w:ind w:right="114" w:firstLine="431"/>
        <w:jc w:val="both"/>
      </w:pPr>
      <w:r>
        <w:rPr>
          <w:spacing w:val="-5"/>
        </w:rPr>
        <w:t>指因疾病或意外伤害导致两肢或两肢以上肢体机能永久完全丧失。肢体机</w:t>
      </w:r>
      <w:r>
        <w:rPr>
          <w:spacing w:val="-6"/>
        </w:rPr>
        <w:t>能永久完全丧失，指疾病确诊 </w:t>
      </w:r>
      <w:r>
        <w:rPr/>
        <w:t>180</w:t>
      </w:r>
      <w:r>
        <w:rPr>
          <w:spacing w:val="-9"/>
        </w:rPr>
        <w:t> 日后或意外伤害发生 </w:t>
      </w:r>
      <w:r>
        <w:rPr/>
        <w:t>180</w:t>
      </w:r>
      <w:r>
        <w:rPr>
          <w:spacing w:val="-17"/>
        </w:rPr>
        <w:t> 日后，、每肢三大</w:t>
      </w:r>
      <w:r>
        <w:rPr>
          <w:spacing w:val="-7"/>
        </w:rPr>
        <w:t>关节中的两大关节仍然完全僵硬，或不能随意识活动。</w:t>
      </w:r>
    </w:p>
    <w:p>
      <w:pPr>
        <w:pStyle w:val="BodyText"/>
        <w:spacing w:before="5"/>
        <w:ind w:left="0"/>
        <w:rPr>
          <w:sz w:val="24"/>
        </w:rPr>
      </w:pPr>
    </w:p>
    <w:p>
      <w:pPr>
        <w:pStyle w:val="Heading3"/>
      </w:pPr>
      <w:bookmarkStart w:name="（十五）严重脑损伤" w:id="15"/>
      <w:bookmarkEnd w:id="15"/>
      <w:r>
        <w:rPr>
          <w:b w:val="0"/>
        </w:rPr>
      </w:r>
      <w:r>
        <w:rPr/>
        <w:t>（十五）严重脑损伤</w:t>
      </w:r>
    </w:p>
    <w:p>
      <w:pPr>
        <w:pStyle w:val="BodyText"/>
        <w:spacing w:line="273" w:lineRule="auto" w:before="36"/>
        <w:ind w:right="1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spacing w:val="-3"/>
        </w:rPr>
        <w:t>扫描（PET）</w:t>
      </w:r>
      <w:r>
        <w:rPr>
          <w:spacing w:val="-1"/>
        </w:rPr>
        <w:t>等影像学检查证实。神经系统永久性的功能障碍，指脑损伤 </w:t>
      </w:r>
      <w:r>
        <w:rPr/>
        <w:t>180 </w:t>
      </w:r>
      <w:r>
        <w:rPr>
          <w:spacing w:val="-3"/>
        </w:rPr>
        <w:t>日后，仍遗留下列一种或一种以上障碍：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1967" w:right="116"/>
      </w:pPr>
      <w:r>
        <w:rPr/>
        <w:t>（3）自主生活能力完全丧失，无法独立完成六项基本日常生活活动中的三项或三项以上。</w:t>
      </w:r>
    </w:p>
    <w:p>
      <w:pPr>
        <w:pStyle w:val="BodyText"/>
        <w:spacing w:before="5"/>
        <w:ind w:left="0"/>
        <w:rPr>
          <w:sz w:val="24"/>
        </w:rPr>
      </w:pPr>
    </w:p>
    <w:p>
      <w:pPr>
        <w:pStyle w:val="Heading3"/>
        <w:spacing w:before="1"/>
      </w:pPr>
      <w:bookmarkStart w:name="（十六）严重原发性肺动脉高压" w:id="16"/>
      <w:bookmarkEnd w:id="16"/>
      <w:r>
        <w:rPr>
          <w:b w:val="0"/>
        </w:rPr>
      </w:r>
      <w:r>
        <w:rPr/>
        <w:t>（十六）严重原发性肺动脉高压</w:t>
      </w:r>
    </w:p>
    <w:p>
      <w:pPr>
        <w:pStyle w:val="BodyText"/>
        <w:spacing w:line="273" w:lineRule="auto"/>
        <w:ind w:right="114" w:firstLine="431"/>
        <w:jc w:val="both"/>
      </w:pPr>
      <w:r>
        <w:rPr>
          <w:spacing w:val="-6"/>
        </w:rPr>
        <w:t>指不明原因的肺动脉压力持续性增高，进行性发展而导致的慢性疾病，已</w:t>
      </w:r>
      <w:r>
        <w:rPr>
          <w:spacing w:val="-5"/>
        </w:rPr>
        <w:t>经造成永久不可逆性的体力活动能力受限，达到美国纽约心脏病学会心功能状</w:t>
      </w:r>
      <w:r>
        <w:rPr>
          <w:spacing w:val="-13"/>
        </w:rPr>
        <w:t>态分级 </w:t>
      </w:r>
      <w:r>
        <w:rPr/>
        <w:t>IV</w:t>
      </w:r>
      <w:r>
        <w:rPr>
          <w:spacing w:val="-13"/>
        </w:rPr>
        <w:t> 级，静息状态下肺动脉平均压超过 </w:t>
      </w:r>
      <w:r>
        <w:rPr/>
        <w:t>30mmHg。</w:t>
      </w:r>
    </w:p>
    <w:p>
      <w:pPr>
        <w:pStyle w:val="BodyText"/>
        <w:spacing w:before="5"/>
        <w:ind w:left="0"/>
        <w:rPr>
          <w:sz w:val="24"/>
        </w:rPr>
      </w:pPr>
    </w:p>
    <w:p>
      <w:pPr>
        <w:pStyle w:val="Heading3"/>
      </w:pPr>
      <w:bookmarkStart w:name="（十七）严重运动神经元病" w:id="17"/>
      <w:bookmarkEnd w:id="17"/>
      <w:r>
        <w:rPr>
          <w:b w:val="0"/>
        </w:rPr>
      </w:r>
      <w:r>
        <w:rPr/>
        <w:t>（十七）严重运动神经元病</w:t>
      </w:r>
    </w:p>
    <w:p>
      <w:pPr>
        <w:pStyle w:val="BodyText"/>
        <w:spacing w:line="273" w:lineRule="auto" w:before="36"/>
        <w:ind w:right="11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w:t>
      </w:r>
      <w:r>
        <w:rPr>
          <w:spacing w:val="-6"/>
        </w:rPr>
        <w:t>主生活能力完全丧失，无法独立完成六项基本日常生活活动中的三项或三项以</w:t>
      </w:r>
      <w:r>
        <w:rPr/>
        <w:t>上。</w:t>
      </w:r>
    </w:p>
    <w:p>
      <w:pPr>
        <w:pStyle w:val="BodyText"/>
        <w:spacing w:before="5"/>
        <w:ind w:left="0"/>
        <w:rPr>
          <w:sz w:val="24"/>
        </w:rPr>
      </w:pPr>
    </w:p>
    <w:p>
      <w:pPr>
        <w:pStyle w:val="Heading3"/>
      </w:pPr>
      <w:bookmarkStart w:name="（十八）语言能力丧失 " w:id="18"/>
      <w:bookmarkEnd w:id="18"/>
      <w:r>
        <w:rPr>
          <w:b w:val="0"/>
        </w:rPr>
      </w:r>
      <w:r>
        <w:rPr/>
        <w:t>（十八）语言能力丧失</w:t>
      </w:r>
    </w:p>
    <w:p>
      <w:pPr>
        <w:pStyle w:val="BodyText"/>
        <w:ind w:left="2400"/>
      </w:pPr>
      <w:r>
        <w:rPr/>
        <w:t>指因疾病或意外伤害导致完全丧失语言能力，经过积极治疗至少 12 个月</w:t>
      </w:r>
    </w:p>
    <w:p>
      <w:pPr>
        <w:pStyle w:val="BodyText"/>
        <w:spacing w:line="273" w:lineRule="auto"/>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pPr>
      <w:r>
        <w:rPr/>
        <w:t>力丧失诊断及检查证据。</w:t>
      </w:r>
    </w:p>
    <w:p>
      <w:pPr>
        <w:pStyle w:val="BodyText"/>
        <w:spacing w:before="0"/>
        <w:ind w:left="0"/>
        <w:rPr>
          <w:sz w:val="20"/>
        </w:rPr>
      </w:pPr>
    </w:p>
    <w:p>
      <w:pPr>
        <w:pStyle w:val="Heading3"/>
        <w:spacing w:before="166"/>
      </w:pPr>
      <w:bookmarkStart w:name="（十九）重型再生障碍性贫血" w:id="19"/>
      <w:bookmarkEnd w:id="19"/>
      <w:r>
        <w:rPr>
          <w:b w:val="0"/>
        </w:rPr>
      </w:r>
      <w:r>
        <w:rPr/>
        <w:t>（十九）重型再生障碍性贫血</w:t>
      </w:r>
    </w:p>
    <w:p>
      <w:pPr>
        <w:pStyle w:val="BodyText"/>
        <w:spacing w:before="36"/>
        <w:ind w:left="2400"/>
      </w:pPr>
      <w:r>
        <w:rPr/>
        <w:t>指因骨髓造血功能慢性持续性衰竭导致的贫血、中性粒细胞减少及血小板</w:t>
      </w:r>
    </w:p>
    <w:p>
      <w:pPr>
        <w:spacing w:after="0"/>
        <w:sectPr>
          <w:pgSz w:w="11910" w:h="16840"/>
          <w:pgMar w:top="1400" w:bottom="280" w:left="168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00"/>
        <w:gridCol w:w="7574"/>
      </w:tblGrid>
      <w:tr>
        <w:trPr>
          <w:trHeight w:val="9465" w:hRule="atLeast"/>
        </w:trPr>
        <w:tc>
          <w:tcPr>
            <w:tcW w:w="679" w:type="dxa"/>
          </w:tcPr>
          <w:p>
            <w:pPr>
              <w:pStyle w:val="TableParagraph"/>
              <w:rPr>
                <w:rFonts w:ascii="Times New Roman"/>
                <w:sz w:val="20"/>
              </w:rPr>
            </w:pPr>
          </w:p>
        </w:tc>
        <w:tc>
          <w:tcPr>
            <w:tcW w:w="2000" w:type="dxa"/>
          </w:tcPr>
          <w:p>
            <w:pPr>
              <w:pStyle w:val="TableParagraph"/>
              <w:rPr>
                <w:rFonts w:ascii="Times New Roman"/>
                <w:sz w:val="20"/>
              </w:rPr>
            </w:pPr>
          </w:p>
        </w:tc>
        <w:tc>
          <w:tcPr>
            <w:tcW w:w="7574" w:type="dxa"/>
          </w:tcPr>
          <w:p>
            <w:pPr>
              <w:pStyle w:val="TableParagraph"/>
              <w:spacing w:line="211" w:lineRule="exact"/>
              <w:ind w:left="149"/>
              <w:rPr>
                <w:sz w:val="21"/>
              </w:rPr>
            </w:pPr>
            <w:r>
              <w:rPr>
                <w:sz w:val="21"/>
              </w:rPr>
              <w:t>减少，须满足下列全部条件：</w:t>
            </w:r>
          </w:p>
          <w:p>
            <w:pPr>
              <w:pStyle w:val="TableParagraph"/>
              <w:spacing w:before="37"/>
              <w:ind w:left="149"/>
              <w:rPr>
                <w:sz w:val="21"/>
              </w:rPr>
            </w:pPr>
            <w:r>
              <w:rPr>
                <w:sz w:val="21"/>
              </w:rPr>
              <w:t>（1）骨髓穿刺检查或骨髓活检结果支持诊断；</w:t>
            </w:r>
          </w:p>
          <w:p>
            <w:pPr>
              <w:pStyle w:val="TableParagraph"/>
              <w:spacing w:before="37"/>
              <w:ind w:left="148"/>
              <w:rPr>
                <w:sz w:val="21"/>
              </w:rPr>
            </w:pPr>
            <w:r>
              <w:rPr>
                <w:sz w:val="21"/>
              </w:rPr>
              <w:t>（2）外周血象必须具备以下三项条件：</w:t>
            </w:r>
          </w:p>
          <w:p>
            <w:pPr>
              <w:pStyle w:val="TableParagraph"/>
              <w:spacing w:before="37"/>
              <w:ind w:left="808"/>
              <w:rPr>
                <w:sz w:val="21"/>
              </w:rPr>
            </w:pPr>
            <w:r>
              <w:rPr>
                <w:sz w:val="21"/>
              </w:rPr>
              <w:t>① 中性粒细胞绝对值≤0.5×10</w:t>
            </w:r>
            <w:r>
              <w:rPr>
                <w:position w:val="11"/>
                <w:sz w:val="11"/>
              </w:rPr>
              <w:t>9</w:t>
            </w:r>
            <w:r>
              <w:rPr>
                <w:sz w:val="21"/>
              </w:rPr>
              <w:t>/L；</w:t>
            </w:r>
          </w:p>
          <w:p>
            <w:pPr>
              <w:pStyle w:val="TableParagraph"/>
              <w:spacing w:before="37"/>
              <w:ind w:left="809"/>
              <w:rPr>
                <w:sz w:val="21"/>
              </w:rPr>
            </w:pPr>
            <w:r>
              <w:rPr>
                <w:sz w:val="21"/>
              </w:rPr>
              <w:t>② 网织红细胞＜1%；</w:t>
            </w:r>
          </w:p>
          <w:p>
            <w:pPr>
              <w:pStyle w:val="TableParagraph"/>
              <w:spacing w:before="37"/>
              <w:ind w:left="809"/>
              <w:rPr>
                <w:sz w:val="21"/>
              </w:rPr>
            </w:pPr>
            <w:r>
              <w:rPr>
                <w:sz w:val="21"/>
              </w:rPr>
              <w:t>③ 血小板绝对值≤20×10</w:t>
            </w:r>
            <w:r>
              <w:rPr>
                <w:position w:val="11"/>
                <w:sz w:val="11"/>
              </w:rPr>
              <w:t>9</w:t>
            </w:r>
            <w:r>
              <w:rPr>
                <w:sz w:val="21"/>
              </w:rPr>
              <w:t>/L。</w:t>
            </w:r>
          </w:p>
          <w:p>
            <w:pPr>
              <w:pStyle w:val="TableParagraph"/>
              <w:spacing w:before="12"/>
              <w:rPr>
                <w:sz w:val="25"/>
              </w:rPr>
            </w:pPr>
          </w:p>
          <w:p>
            <w:pPr>
              <w:pStyle w:val="TableParagraph"/>
              <w:spacing w:before="1"/>
              <w:ind w:left="149"/>
              <w:rPr>
                <w:b/>
                <w:sz w:val="22"/>
              </w:rPr>
            </w:pPr>
            <w:bookmarkStart w:name="（二十）经输血导致的人类免疫缺陷病毒感染" w:id="20"/>
            <w:bookmarkEnd w:id="20"/>
            <w:r>
              <w:rPr/>
            </w:r>
            <w:r>
              <w:rPr>
                <w:b/>
                <w:sz w:val="21"/>
              </w:rPr>
              <w:t>（二十）</w:t>
            </w:r>
            <w:r>
              <w:rPr>
                <w:b/>
                <w:sz w:val="22"/>
              </w:rPr>
              <w:t>经输血导致的人类免疫缺陷病毒感染</w:t>
            </w:r>
          </w:p>
          <w:p>
            <w:pPr>
              <w:pStyle w:val="TableParagraph"/>
              <w:spacing w:before="33"/>
              <w:ind w:left="581"/>
              <w:rPr>
                <w:sz w:val="21"/>
              </w:rPr>
            </w:pPr>
            <w:r>
              <w:rPr>
                <w:sz w:val="21"/>
              </w:rPr>
              <w:t>被保险人感染上人类免疫缺陷病毒（HIV）并且满足下列全部条件：</w:t>
            </w:r>
          </w:p>
          <w:p>
            <w:pPr>
              <w:pStyle w:val="TableParagraph"/>
              <w:spacing w:before="36"/>
              <w:ind w:left="576"/>
              <w:rPr>
                <w:sz w:val="21"/>
              </w:rPr>
            </w:pPr>
            <w:r>
              <w:rPr>
                <w:sz w:val="21"/>
              </w:rPr>
              <w:t>（1）在保障起始日或复效日之后，被保险人因输血而感染 HIV；</w:t>
            </w:r>
          </w:p>
          <w:p>
            <w:pPr>
              <w:pStyle w:val="TableParagraph"/>
              <w:spacing w:line="273" w:lineRule="auto" w:before="36"/>
              <w:ind w:left="149" w:right="303" w:firstLine="427"/>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7"/>
              <w:ind w:left="576"/>
              <w:rPr>
                <w:sz w:val="21"/>
              </w:rPr>
            </w:pPr>
            <w:r>
              <w:rPr>
                <w:sz w:val="21"/>
              </w:rPr>
              <w:t>（3）受感染的被保险人不是血友病患者。</w:t>
            </w:r>
          </w:p>
          <w:p>
            <w:pPr>
              <w:pStyle w:val="TableParagraph"/>
              <w:spacing w:line="273" w:lineRule="auto" w:before="37"/>
              <w:ind w:left="149" w:right="303" w:firstLine="427"/>
              <w:jc w:val="both"/>
              <w:rPr>
                <w:sz w:val="21"/>
              </w:rPr>
            </w:pPr>
            <w:r>
              <w:rPr>
                <w:spacing w:val="-5"/>
                <w:sz w:val="21"/>
              </w:rPr>
              <w:t>在任何治愈艾滋病</w:t>
            </w:r>
            <w:r>
              <w:rPr>
                <w:spacing w:val="-3"/>
                <w:sz w:val="21"/>
              </w:rPr>
              <w:t>（AIDS）</w:t>
            </w:r>
            <w:r>
              <w:rPr>
                <w:spacing w:val="-11"/>
                <w:sz w:val="21"/>
              </w:rPr>
              <w:t>或阻止 </w:t>
            </w:r>
            <w:r>
              <w:rPr>
                <w:sz w:val="21"/>
              </w:rPr>
              <w:t>HIV</w:t>
            </w:r>
            <w:r>
              <w:rPr>
                <w:spacing w:val="-9"/>
                <w:sz w:val="21"/>
              </w:rPr>
              <w:t> 病毒作用的疗法被发现以后，或能</w:t>
            </w:r>
            <w:r>
              <w:rPr>
                <w:spacing w:val="-19"/>
                <w:sz w:val="21"/>
              </w:rPr>
              <w:t>防止 </w:t>
            </w:r>
            <w:r>
              <w:rPr>
                <w:sz w:val="21"/>
              </w:rPr>
              <w:t>AIDS</w:t>
            </w:r>
            <w:r>
              <w:rPr>
                <w:spacing w:val="-8"/>
                <w:sz w:val="21"/>
              </w:rPr>
              <w:t> 发生的医疗方法被研究出来以后，本保障将不再予以赔付。</w:t>
            </w:r>
          </w:p>
          <w:p>
            <w:pPr>
              <w:pStyle w:val="TableParagraph"/>
              <w:spacing w:line="273" w:lineRule="auto" w:before="8"/>
              <w:ind w:left="149" w:right="305" w:firstLine="427"/>
              <w:jc w:val="both"/>
              <w:rPr>
                <w:sz w:val="21"/>
              </w:rPr>
            </w:pPr>
            <w:r>
              <w:rPr>
                <w:spacing w:val="-5"/>
                <w:sz w:val="21"/>
              </w:rPr>
              <w:t>任何因其他传播方式</w:t>
            </w:r>
            <w:r>
              <w:rPr>
                <w:spacing w:val="-3"/>
                <w:sz w:val="21"/>
              </w:rPr>
              <w:t>（</w:t>
            </w:r>
            <w:r>
              <w:rPr>
                <w:spacing w:val="-5"/>
                <w:sz w:val="21"/>
              </w:rPr>
              <w:t>包括：性传播或静脉注射毒品</w:t>
            </w:r>
            <w:r>
              <w:rPr>
                <w:spacing w:val="-13"/>
                <w:sz w:val="21"/>
              </w:rPr>
              <w:t>）</w:t>
            </w:r>
            <w:r>
              <w:rPr>
                <w:spacing w:val="-12"/>
                <w:sz w:val="21"/>
              </w:rPr>
              <w:t>导致的 </w:t>
            </w:r>
            <w:r>
              <w:rPr>
                <w:sz w:val="21"/>
              </w:rPr>
              <w:t>HIV</w:t>
            </w:r>
            <w:r>
              <w:rPr>
                <w:spacing w:val="-12"/>
                <w:sz w:val="21"/>
              </w:rPr>
              <w:t> 感染不</w:t>
            </w:r>
            <w:r>
              <w:rPr>
                <w:spacing w:val="-6"/>
                <w:sz w:val="21"/>
              </w:rPr>
              <w:t>在本保单保障范围内。保险公司必须拥有获得使用被保险人的所有血液样本的</w:t>
            </w:r>
            <w:r>
              <w:rPr>
                <w:spacing w:val="-3"/>
                <w:sz w:val="21"/>
              </w:rPr>
              <w:t>权利和能够对这些样本进行独立检验的权利。</w:t>
            </w:r>
          </w:p>
          <w:p>
            <w:pPr>
              <w:pStyle w:val="TableParagraph"/>
              <w:spacing w:before="6"/>
              <w:rPr>
                <w:sz w:val="24"/>
              </w:rPr>
            </w:pPr>
          </w:p>
          <w:p>
            <w:pPr>
              <w:pStyle w:val="TableParagraph"/>
              <w:ind w:left="149"/>
              <w:rPr>
                <w:b/>
                <w:sz w:val="21"/>
              </w:rPr>
            </w:pPr>
            <w:bookmarkStart w:name="（二十一）严重心肌病 " w:id="21"/>
            <w:bookmarkEnd w:id="21"/>
            <w:r>
              <w:rPr/>
            </w:r>
            <w:r>
              <w:rPr>
                <w:b/>
                <w:sz w:val="21"/>
              </w:rPr>
              <w:t>（二十一）严重心肌病</w:t>
            </w:r>
          </w:p>
          <w:p>
            <w:pPr>
              <w:pStyle w:val="TableParagraph"/>
              <w:spacing w:line="266" w:lineRule="auto" w:before="37"/>
              <w:ind w:left="149" w:right="266" w:firstLine="431"/>
              <w:jc w:val="both"/>
              <w:rPr>
                <w:sz w:val="21"/>
              </w:rPr>
            </w:pPr>
            <w:r>
              <w:rPr>
                <w:spacing w:val="-3"/>
                <w:sz w:val="21"/>
              </w:rPr>
              <w:t>指被保人因心肌病导致慢性心功能损害造成永久不可逆性的心功能衰竭。</w:t>
            </w:r>
            <w:r>
              <w:rPr>
                <w:spacing w:val="-5"/>
                <w:sz w:val="21"/>
              </w:rPr>
              <w:t>心功能衰竭程度达到纽约心脏病学会的心功能分级标准之心功能 </w:t>
            </w:r>
            <w:r>
              <w:rPr>
                <w:rFonts w:ascii="Arial" w:eastAsia="Arial"/>
                <w:sz w:val="21"/>
              </w:rPr>
              <w:t>IV </w:t>
            </w:r>
            <w:r>
              <w:rPr>
                <w:spacing w:val="-20"/>
                <w:sz w:val="21"/>
              </w:rPr>
              <w:t>级。被保险</w:t>
            </w:r>
            <w:r>
              <w:rPr>
                <w:spacing w:val="-3"/>
                <w:sz w:val="21"/>
              </w:rPr>
              <w:t>人永久不可逆性的体力活动能力受限，不能从事任何体力活动。</w:t>
            </w:r>
          </w:p>
          <w:p>
            <w:pPr>
              <w:pStyle w:val="TableParagraph"/>
              <w:spacing w:before="12"/>
              <w:rPr>
                <w:sz w:val="24"/>
              </w:rPr>
            </w:pPr>
          </w:p>
          <w:p>
            <w:pPr>
              <w:pStyle w:val="TableParagraph"/>
              <w:ind w:left="149"/>
              <w:rPr>
                <w:b/>
                <w:sz w:val="21"/>
              </w:rPr>
            </w:pPr>
            <w:bookmarkStart w:name="（二十二）脊髓灰质炎" w:id="22"/>
            <w:bookmarkEnd w:id="22"/>
            <w:r>
              <w:rPr/>
            </w:r>
            <w:r>
              <w:rPr>
                <w:b/>
                <w:sz w:val="21"/>
              </w:rPr>
              <w:t>（二十二）脊髓灰质炎</w:t>
            </w:r>
          </w:p>
          <w:p>
            <w:pPr>
              <w:pStyle w:val="TableParagraph"/>
              <w:spacing w:line="273" w:lineRule="auto" w:before="37"/>
              <w:ind w:left="149" w:right="298" w:firstLine="431"/>
              <w:jc w:val="both"/>
              <w:rPr>
                <w:sz w:val="21"/>
              </w:rPr>
            </w:pPr>
            <w:r>
              <w:rPr>
                <w:spacing w:val="-5"/>
                <w:sz w:val="21"/>
              </w:rPr>
              <w:t>脊髓灰质炎是由于脊髓灰质炎病毒感染所致的瘫痪性疾病，临床表现为运</w:t>
            </w: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10"/>
                <w:sz w:val="21"/>
              </w:rPr>
              <w:t> 日后，每肢三大关</w:t>
            </w:r>
            <w:r>
              <w:rPr>
                <w:spacing w:val="-3"/>
                <w:sz w:val="21"/>
              </w:rPr>
              <w:t>节中的两大关节仍然完全僵硬，或不能随意识活动。</w:t>
            </w:r>
          </w:p>
        </w:tc>
      </w:tr>
      <w:tr>
        <w:trPr>
          <w:trHeight w:val="4785" w:hRule="atLeast"/>
        </w:trPr>
        <w:tc>
          <w:tcPr>
            <w:tcW w:w="679" w:type="dxa"/>
          </w:tcPr>
          <w:p>
            <w:pPr>
              <w:pStyle w:val="TableParagraph"/>
              <w:spacing w:before="142"/>
              <w:ind w:left="200"/>
              <w:rPr>
                <w:b/>
                <w:sz w:val="21"/>
              </w:rPr>
            </w:pPr>
            <w:r>
              <w:rPr>
                <w:b/>
                <w:sz w:val="21"/>
              </w:rPr>
              <w:t>8.6</w:t>
            </w:r>
          </w:p>
        </w:tc>
        <w:tc>
          <w:tcPr>
            <w:tcW w:w="2000" w:type="dxa"/>
          </w:tcPr>
          <w:p>
            <w:pPr>
              <w:pStyle w:val="TableParagraph"/>
              <w:spacing w:before="142"/>
              <w:ind w:left="161"/>
              <w:rPr>
                <w:b/>
                <w:sz w:val="21"/>
              </w:rPr>
            </w:pPr>
            <w:r>
              <w:rPr>
                <w:b/>
                <w:sz w:val="21"/>
              </w:rPr>
              <w:t>少儿特别重大疾病</w:t>
            </w:r>
          </w:p>
        </w:tc>
        <w:tc>
          <w:tcPr>
            <w:tcW w:w="7574" w:type="dxa"/>
          </w:tcPr>
          <w:p>
            <w:pPr>
              <w:pStyle w:val="TableParagraph"/>
              <w:spacing w:before="142"/>
              <w:ind w:left="149"/>
              <w:rPr>
                <w:b/>
                <w:sz w:val="21"/>
              </w:rPr>
            </w:pPr>
            <w:bookmarkStart w:name="（一）恶性肿瘤" w:id="23"/>
            <w:bookmarkEnd w:id="23"/>
            <w:r>
              <w:rPr/>
            </w:r>
            <w:r>
              <w:rPr>
                <w:b/>
                <w:sz w:val="21"/>
              </w:rPr>
              <w:t>（一）恶性肿瘤</w:t>
            </w:r>
          </w:p>
          <w:p>
            <w:pPr>
              <w:pStyle w:val="TableParagraph"/>
              <w:spacing w:line="273" w:lineRule="auto" w:before="36"/>
              <w:ind w:left="148"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before="7"/>
              <w:ind w:left="149"/>
              <w:rPr>
                <w:sz w:val="21"/>
              </w:rPr>
            </w:pPr>
            <w:r>
              <w:rPr>
                <w:sz w:val="21"/>
              </w:rPr>
              <w:t>（ICD-10）的恶性肿瘤范畴。</w:t>
            </w:r>
          </w:p>
          <w:p>
            <w:pPr>
              <w:pStyle w:val="TableParagraph"/>
              <w:spacing w:before="37"/>
              <w:ind w:left="674"/>
              <w:rPr>
                <w:sz w:val="21"/>
              </w:rPr>
            </w:pPr>
            <w:r>
              <w:rPr>
                <w:sz w:val="21"/>
              </w:rPr>
              <w:t>下列疾病不在保障范围内：</w:t>
            </w:r>
          </w:p>
          <w:p>
            <w:pPr>
              <w:pStyle w:val="TableParagraph"/>
              <w:spacing w:before="37"/>
              <w:ind w:left="149"/>
              <w:rPr>
                <w:sz w:val="21"/>
              </w:rPr>
            </w:pPr>
            <w:r>
              <w:rPr>
                <w:sz w:val="21"/>
              </w:rPr>
              <w:t>（1）原位癌；</w:t>
            </w:r>
          </w:p>
          <w:p>
            <w:pPr>
              <w:pStyle w:val="TableParagraph"/>
              <w:spacing w:before="36"/>
              <w:ind w:left="149"/>
              <w:rPr>
                <w:sz w:val="21"/>
              </w:rPr>
            </w:pPr>
            <w:r>
              <w:rPr>
                <w:sz w:val="21"/>
              </w:rPr>
              <w:t>（2）相当于 Binet 分期方案 A 期程度的慢性淋巴细胞白血病；</w:t>
            </w:r>
          </w:p>
          <w:p>
            <w:pPr>
              <w:pStyle w:val="TableParagraph"/>
              <w:spacing w:before="36"/>
              <w:ind w:left="148"/>
              <w:rPr>
                <w:sz w:val="21"/>
              </w:rPr>
            </w:pPr>
            <w:r>
              <w:rPr>
                <w:sz w:val="21"/>
              </w:rPr>
              <w:t>（3）相当于 Ann Arbor 分期方案 I 期程度的何杰金氏病；</w:t>
            </w:r>
          </w:p>
          <w:p>
            <w:pPr>
              <w:pStyle w:val="TableParagraph"/>
              <w:spacing w:before="36"/>
              <w:ind w:left="148"/>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48"/>
              <w:rPr>
                <w:sz w:val="21"/>
              </w:rPr>
            </w:pPr>
            <w:r>
              <w:rPr>
                <w:sz w:val="21"/>
              </w:rPr>
              <w:t>（5）TNM 分期为 T1N0M0 期或更轻分期的前列腺癌；</w:t>
            </w:r>
          </w:p>
          <w:p>
            <w:pPr>
              <w:pStyle w:val="TableParagraph"/>
              <w:spacing w:before="36"/>
              <w:ind w:left="148"/>
              <w:rPr>
                <w:sz w:val="21"/>
              </w:rPr>
            </w:pPr>
            <w:r>
              <w:rPr>
                <w:sz w:val="21"/>
              </w:rPr>
              <w:t>（6）感染艾滋病病毒或患艾滋病期间所患恶性肿瘤。</w:t>
            </w:r>
          </w:p>
          <w:p>
            <w:pPr>
              <w:pStyle w:val="TableParagraph"/>
              <w:spacing w:before="8"/>
              <w:rPr>
                <w:sz w:val="26"/>
              </w:rPr>
            </w:pPr>
          </w:p>
          <w:p>
            <w:pPr>
              <w:pStyle w:val="TableParagraph"/>
              <w:ind w:left="149"/>
              <w:rPr>
                <w:b/>
                <w:sz w:val="21"/>
              </w:rPr>
            </w:pPr>
            <w:bookmarkStart w:name="（二）脑炎后遗症或脑膜炎后遗症" w:id="24"/>
            <w:bookmarkEnd w:id="24"/>
            <w:r>
              <w:rPr/>
            </w:r>
            <w:r>
              <w:rPr>
                <w:b/>
                <w:sz w:val="21"/>
              </w:rPr>
              <w:t>（二）脑炎后遗症或脑膜炎后遗症</w:t>
            </w:r>
          </w:p>
          <w:p>
            <w:pPr>
              <w:pStyle w:val="TableParagraph"/>
              <w:spacing w:line="255" w:lineRule="exact" w:before="36"/>
              <w:ind w:left="581"/>
              <w:rPr>
                <w:sz w:val="21"/>
              </w:rPr>
            </w:pPr>
            <w:r>
              <w:rPr>
                <w:sz w:val="21"/>
              </w:rPr>
              <w:t>指因患脑炎或脑膜炎导致的神经系统永久性的功能障碍。神经系统永久性</w:t>
            </w:r>
          </w:p>
        </w:tc>
      </w:tr>
    </w:tbl>
    <w:p>
      <w:pPr>
        <w:spacing w:after="0" w:line="255" w:lineRule="exact"/>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785"/>
      </w:tblGrid>
      <w:tr>
        <w:trPr>
          <w:trHeight w:val="6345"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785" w:type="dxa"/>
          </w:tcPr>
          <w:p>
            <w:pPr>
              <w:pStyle w:val="TableParagraph"/>
              <w:spacing w:line="211" w:lineRule="exact"/>
              <w:ind w:left="360"/>
              <w:rPr>
                <w:sz w:val="21"/>
              </w:rPr>
            </w:pPr>
            <w:r>
              <w:rPr>
                <w:sz w:val="21"/>
              </w:rPr>
              <w:t>的功能障碍，指疾病首次确诊 180 日后，仍残留下列一种或一种以上障碍：</w:t>
            </w:r>
          </w:p>
          <w:p>
            <w:pPr>
              <w:pStyle w:val="TableParagraph"/>
              <w:spacing w:before="37"/>
              <w:ind w:left="359"/>
              <w:rPr>
                <w:sz w:val="21"/>
              </w:rPr>
            </w:pPr>
            <w:r>
              <w:rPr>
                <w:sz w:val="21"/>
              </w:rPr>
              <w:t>（1）一肢或一肢以上肢体机能完全丧失；</w:t>
            </w:r>
          </w:p>
          <w:p>
            <w:pPr>
              <w:pStyle w:val="TableParagraph"/>
              <w:spacing w:before="37"/>
              <w:ind w:left="359"/>
              <w:rPr>
                <w:sz w:val="21"/>
              </w:rPr>
            </w:pPr>
            <w:r>
              <w:rPr>
                <w:sz w:val="21"/>
              </w:rPr>
              <w:t>（2）语言能力或咀嚼吞咽能力完全丧失；</w:t>
            </w:r>
          </w:p>
          <w:p>
            <w:pPr>
              <w:pStyle w:val="TableParagraph"/>
              <w:spacing w:line="273" w:lineRule="auto" w:before="37"/>
              <w:ind w:left="359" w:right="303"/>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spacing w:before="1"/>
              <w:ind w:left="360"/>
              <w:rPr>
                <w:b/>
                <w:sz w:val="21"/>
              </w:rPr>
            </w:pPr>
            <w:bookmarkStart w:name="（三）终末期肾病" w:id="25"/>
            <w:bookmarkEnd w:id="25"/>
            <w:r>
              <w:rPr/>
            </w:r>
            <w:r>
              <w:rPr>
                <w:b/>
                <w:sz w:val="21"/>
              </w:rPr>
              <w:t>（三）终末期肾病</w:t>
            </w:r>
          </w:p>
          <w:p>
            <w:pPr>
              <w:pStyle w:val="TableParagraph"/>
              <w:spacing w:before="37"/>
              <w:ind w:left="791"/>
              <w:rPr>
                <w:sz w:val="21"/>
              </w:rPr>
            </w:pPr>
            <w:r>
              <w:rPr>
                <w:sz w:val="21"/>
              </w:rPr>
              <w:t>指双肾功能慢性不可逆性衰竭，达到尿毒症期，经诊断后已经进行了至少</w:t>
            </w:r>
          </w:p>
          <w:p>
            <w:pPr>
              <w:pStyle w:val="TableParagraph"/>
              <w:spacing w:before="36"/>
              <w:ind w:left="360"/>
              <w:rPr>
                <w:sz w:val="21"/>
              </w:rPr>
            </w:pPr>
            <w:r>
              <w:rPr>
                <w:sz w:val="21"/>
              </w:rPr>
              <w:t>90 日的规律性透析治疗或实施了肾脏移植手术。</w:t>
            </w:r>
          </w:p>
          <w:p>
            <w:pPr>
              <w:pStyle w:val="TableParagraph"/>
              <w:spacing w:before="8"/>
              <w:rPr>
                <w:sz w:val="26"/>
              </w:rPr>
            </w:pPr>
          </w:p>
          <w:p>
            <w:pPr>
              <w:pStyle w:val="TableParagraph"/>
              <w:ind w:left="360"/>
              <w:rPr>
                <w:b/>
                <w:sz w:val="21"/>
              </w:rPr>
            </w:pPr>
            <w:bookmarkStart w:name="（四）重大器官移植术或造血干细胞移植术" w:id="26"/>
            <w:bookmarkEnd w:id="26"/>
            <w:r>
              <w:rPr/>
            </w:r>
            <w:r>
              <w:rPr>
                <w:b/>
                <w:sz w:val="21"/>
              </w:rPr>
              <w:t>（四）重大器官移植术或造血干细胞移植术</w:t>
            </w:r>
          </w:p>
          <w:p>
            <w:pPr>
              <w:pStyle w:val="TableParagraph"/>
              <w:spacing w:line="273" w:lineRule="auto" w:before="37"/>
              <w:ind w:left="360" w:right="301" w:firstLine="431"/>
              <w:jc w:val="both"/>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line="273" w:lineRule="auto" w:before="7"/>
              <w:ind w:left="360" w:right="301" w:firstLine="431"/>
              <w:jc w:val="both"/>
              <w:rPr>
                <w:sz w:val="21"/>
              </w:rPr>
            </w:pPr>
            <w:r>
              <w:rPr>
                <w:spacing w:val="-6"/>
                <w:sz w:val="21"/>
              </w:rPr>
              <w:t>造血干细胞移植术，指因造血功能损害或造血系统恶性肿瘤，已经实施了</w:t>
            </w:r>
            <w:r>
              <w:rPr>
                <w:spacing w:val="-4"/>
                <w:sz w:val="21"/>
              </w:rPr>
              <w:t>造血干细胞</w:t>
            </w:r>
            <w:r>
              <w:rPr>
                <w:spacing w:val="-3"/>
                <w:sz w:val="21"/>
              </w:rPr>
              <w:t>（</w:t>
            </w:r>
            <w:r>
              <w:rPr>
                <w:spacing w:val="-4"/>
                <w:sz w:val="21"/>
              </w:rPr>
              <w:t>包括骨髓造血干细胞、外周造血干细胞和脐血造血干细胞</w:t>
            </w:r>
            <w:r>
              <w:rPr>
                <w:spacing w:val="-10"/>
                <w:sz w:val="21"/>
              </w:rPr>
              <w:t>）</w:t>
            </w:r>
            <w:r>
              <w:rPr>
                <w:spacing w:val="-3"/>
                <w:sz w:val="21"/>
              </w:rPr>
              <w:t>的异</w:t>
            </w:r>
            <w:r>
              <w:rPr>
                <w:spacing w:val="-2"/>
                <w:sz w:val="21"/>
              </w:rPr>
              <w:t>体移植手术。</w:t>
            </w:r>
          </w:p>
          <w:p>
            <w:pPr>
              <w:pStyle w:val="TableParagraph"/>
              <w:spacing w:before="5"/>
              <w:rPr>
                <w:sz w:val="24"/>
              </w:rPr>
            </w:pPr>
          </w:p>
          <w:p>
            <w:pPr>
              <w:pStyle w:val="TableParagraph"/>
              <w:ind w:left="360"/>
              <w:rPr>
                <w:b/>
                <w:sz w:val="21"/>
              </w:rPr>
            </w:pPr>
            <w:bookmarkStart w:name="（五）严重III度烧伤" w:id="27"/>
            <w:bookmarkEnd w:id="27"/>
            <w:r>
              <w:rPr/>
            </w:r>
            <w:r>
              <w:rPr>
                <w:b/>
                <w:sz w:val="21"/>
              </w:rPr>
              <w:t>（五）严重III度烧伤</w:t>
            </w:r>
          </w:p>
          <w:p>
            <w:pPr>
              <w:pStyle w:val="TableParagraph"/>
              <w:spacing w:line="273" w:lineRule="auto" w:before="37"/>
              <w:ind w:left="360" w:right="383"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 《中国新九分法》计算。</w:t>
            </w:r>
          </w:p>
        </w:tc>
      </w:tr>
      <w:tr>
        <w:trPr>
          <w:trHeight w:val="7593" w:hRule="atLeast"/>
        </w:trPr>
        <w:tc>
          <w:tcPr>
            <w:tcW w:w="679" w:type="dxa"/>
          </w:tcPr>
          <w:p>
            <w:pPr>
              <w:pStyle w:val="TableParagraph"/>
              <w:spacing w:before="142"/>
              <w:ind w:left="200"/>
              <w:rPr>
                <w:b/>
                <w:sz w:val="21"/>
              </w:rPr>
            </w:pPr>
            <w:r>
              <w:rPr>
                <w:b/>
                <w:sz w:val="21"/>
              </w:rPr>
              <w:t>8.7</w:t>
            </w:r>
          </w:p>
        </w:tc>
        <w:tc>
          <w:tcPr>
            <w:tcW w:w="1789" w:type="dxa"/>
          </w:tcPr>
          <w:p>
            <w:pPr>
              <w:pStyle w:val="TableParagraph"/>
              <w:spacing w:before="142"/>
              <w:ind w:left="161"/>
              <w:rPr>
                <w:b/>
                <w:sz w:val="21"/>
              </w:rPr>
            </w:pPr>
            <w:r>
              <w:rPr>
                <w:b/>
                <w:sz w:val="21"/>
              </w:rPr>
              <w:t>成人重大疾病</w:t>
            </w:r>
          </w:p>
        </w:tc>
        <w:tc>
          <w:tcPr>
            <w:tcW w:w="7785" w:type="dxa"/>
          </w:tcPr>
          <w:p>
            <w:pPr>
              <w:pStyle w:val="TableParagraph"/>
              <w:spacing w:line="273" w:lineRule="auto" w:before="142"/>
              <w:ind w:left="360" w:right="485"/>
              <w:rPr>
                <w:sz w:val="21"/>
              </w:rPr>
            </w:pPr>
            <w:bookmarkStart w:name="以下重大疾病定义是由中国保险行业协会与中国医师协会共同制定的重大疾病保险的疾病定" w:id="28"/>
            <w:bookmarkEnd w:id="28"/>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60"/>
              <w:rPr>
                <w:b/>
                <w:sz w:val="21"/>
              </w:rPr>
            </w:pPr>
            <w:bookmarkStart w:name="（一）恶性肿瘤" w:id="29"/>
            <w:bookmarkEnd w:id="29"/>
            <w:r>
              <w:rPr/>
            </w:r>
            <w:r>
              <w:rPr>
                <w:b/>
                <w:sz w:val="21"/>
              </w:rPr>
              <w:t>（一）恶性肿瘤</w:t>
            </w:r>
          </w:p>
          <w:p>
            <w:pPr>
              <w:pStyle w:val="TableParagraph"/>
              <w:spacing w:line="273" w:lineRule="auto" w:before="37"/>
              <w:ind w:left="359" w:right="197" w:firstLine="420"/>
              <w:jc w:val="both"/>
              <w:rPr>
                <w:sz w:val="21"/>
              </w:rPr>
            </w:pPr>
            <w:r>
              <w:rPr>
                <w:spacing w:val="-5"/>
                <w:sz w:val="21"/>
              </w:rPr>
              <w:t>指恶性细胞不受控制的进行性增长和扩散，浸润和破坏周围正常组织，可</w:t>
            </w:r>
            <w:r>
              <w:rPr>
                <w:spacing w:val="-7"/>
                <w:sz w:val="21"/>
              </w:rPr>
              <w:t>以经血管、淋巴管和体腔扩散转移到身体其它部位的疾病。经病理学检查结果</w:t>
            </w:r>
            <w:r>
              <w:rPr>
                <w:spacing w:val="-15"/>
                <w:sz w:val="21"/>
              </w:rPr>
              <w:t>明确诊断，临床诊断属于世界卫生组织《疾病和有关健康问题的国际统计分类》</w:t>
            </w:r>
          </w:p>
          <w:p>
            <w:pPr>
              <w:pStyle w:val="TableParagraph"/>
              <w:spacing w:before="7"/>
              <w:ind w:left="360"/>
              <w:rPr>
                <w:sz w:val="21"/>
              </w:rPr>
            </w:pPr>
            <w:r>
              <w:rPr>
                <w:sz w:val="21"/>
              </w:rPr>
              <w:t>（ICD-10）的恶性肿瘤范畴。</w:t>
            </w:r>
          </w:p>
          <w:p>
            <w:pPr>
              <w:pStyle w:val="TableParagraph"/>
              <w:spacing w:before="36"/>
              <w:ind w:left="885"/>
              <w:rPr>
                <w:sz w:val="21"/>
              </w:rPr>
            </w:pPr>
            <w:r>
              <w:rPr>
                <w:sz w:val="21"/>
              </w:rPr>
              <w:t>下列疾病不在保障范围内：</w:t>
            </w:r>
          </w:p>
          <w:p>
            <w:pPr>
              <w:pStyle w:val="TableParagraph"/>
              <w:spacing w:before="36"/>
              <w:ind w:left="360"/>
              <w:rPr>
                <w:sz w:val="21"/>
              </w:rPr>
            </w:pPr>
            <w:r>
              <w:rPr>
                <w:sz w:val="21"/>
              </w:rPr>
              <w:t>（1）原位癌；</w:t>
            </w:r>
          </w:p>
          <w:p>
            <w:pPr>
              <w:pStyle w:val="TableParagraph"/>
              <w:spacing w:before="36"/>
              <w:ind w:left="360"/>
              <w:rPr>
                <w:sz w:val="21"/>
              </w:rPr>
            </w:pPr>
            <w:r>
              <w:rPr>
                <w:sz w:val="21"/>
              </w:rPr>
              <w:t>（2）相当于 Binet 分期方案 A 期程度的慢性淋巴细胞白血病；</w:t>
            </w:r>
          </w:p>
          <w:p>
            <w:pPr>
              <w:pStyle w:val="TableParagraph"/>
              <w:spacing w:before="36"/>
              <w:ind w:left="359"/>
              <w:rPr>
                <w:sz w:val="21"/>
              </w:rPr>
            </w:pPr>
            <w:r>
              <w:rPr>
                <w:sz w:val="21"/>
              </w:rPr>
              <w:t>（3）相当于 Ann Arbor 分期方案 I 期程度的何杰金氏病；</w:t>
            </w:r>
          </w:p>
          <w:p>
            <w:pPr>
              <w:pStyle w:val="TableParagraph"/>
              <w:spacing w:before="36"/>
              <w:ind w:left="359"/>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59"/>
              <w:rPr>
                <w:sz w:val="21"/>
              </w:rPr>
            </w:pPr>
            <w:r>
              <w:rPr>
                <w:sz w:val="21"/>
              </w:rPr>
              <w:t>（5）TNM 分期为 T1N0M0 期或更轻分期的前列腺癌；</w:t>
            </w:r>
          </w:p>
          <w:p>
            <w:pPr>
              <w:pStyle w:val="TableParagraph"/>
              <w:spacing w:before="36"/>
              <w:ind w:left="359"/>
              <w:rPr>
                <w:sz w:val="21"/>
              </w:rPr>
            </w:pPr>
            <w:r>
              <w:rPr>
                <w:sz w:val="21"/>
              </w:rPr>
              <w:t>（6）感染艾滋病病毒或患艾滋病期间所患恶性肿瘤。</w:t>
            </w:r>
          </w:p>
          <w:p>
            <w:pPr>
              <w:pStyle w:val="TableParagraph"/>
              <w:spacing w:before="8"/>
              <w:rPr>
                <w:sz w:val="26"/>
              </w:rPr>
            </w:pPr>
          </w:p>
          <w:p>
            <w:pPr>
              <w:pStyle w:val="TableParagraph"/>
              <w:spacing w:before="1"/>
              <w:ind w:left="360"/>
              <w:rPr>
                <w:b/>
                <w:sz w:val="21"/>
              </w:rPr>
            </w:pPr>
            <w:bookmarkStart w:name="（二）急性心肌梗塞" w:id="30"/>
            <w:bookmarkEnd w:id="30"/>
            <w:r>
              <w:rPr/>
            </w:r>
            <w:r>
              <w:rPr>
                <w:b/>
                <w:sz w:val="21"/>
              </w:rPr>
              <w:t>（二）急性心肌梗塞</w:t>
            </w:r>
          </w:p>
          <w:p>
            <w:pPr>
              <w:pStyle w:val="TableParagraph"/>
              <w:spacing w:line="273" w:lineRule="auto" w:before="37"/>
              <w:ind w:left="360" w:right="250" w:firstLine="431"/>
              <w:rPr>
                <w:sz w:val="21"/>
              </w:rPr>
            </w:pPr>
            <w:r>
              <w:rPr>
                <w:sz w:val="21"/>
              </w:rPr>
              <w:t>指因冠状动脉阻塞导致的相应区域供血不足造成部分心肌坏死。须满足下列至少三项条件：</w:t>
            </w:r>
          </w:p>
          <w:p>
            <w:pPr>
              <w:pStyle w:val="TableParagraph"/>
              <w:spacing w:before="7"/>
              <w:ind w:left="360"/>
              <w:rPr>
                <w:sz w:val="21"/>
              </w:rPr>
            </w:pPr>
            <w:r>
              <w:rPr>
                <w:sz w:val="21"/>
              </w:rPr>
              <w:t>（1）典型临床表现，例如急性胸痛等；</w:t>
            </w:r>
          </w:p>
          <w:p>
            <w:pPr>
              <w:pStyle w:val="TableParagraph"/>
              <w:spacing w:before="36"/>
              <w:ind w:left="360"/>
              <w:rPr>
                <w:sz w:val="21"/>
              </w:rPr>
            </w:pPr>
            <w:r>
              <w:rPr>
                <w:sz w:val="21"/>
              </w:rPr>
              <w:t>（2）新近的心电图改变提示急性心肌梗塞；</w:t>
            </w:r>
          </w:p>
          <w:p>
            <w:pPr>
              <w:pStyle w:val="TableParagraph"/>
              <w:spacing w:line="273" w:lineRule="auto" w:before="36"/>
              <w:ind w:left="359" w:right="303"/>
              <w:rPr>
                <w:sz w:val="21"/>
              </w:rPr>
            </w:pPr>
            <w:r>
              <w:rPr>
                <w:sz w:val="21"/>
              </w:rPr>
              <w:t>（3）心肌酶或肌钙蛋白有诊断意义的升高，或呈符合急性心肌梗塞的动态性变化；</w:t>
            </w:r>
          </w:p>
          <w:p>
            <w:pPr>
              <w:pStyle w:val="TableParagraph"/>
              <w:spacing w:line="255" w:lineRule="exact" w:before="7"/>
              <w:ind w:left="359"/>
              <w:rPr>
                <w:sz w:val="21"/>
              </w:rPr>
            </w:pPr>
            <w:r>
              <w:rPr>
                <w:spacing w:val="-9"/>
                <w:sz w:val="21"/>
              </w:rPr>
              <w:t>（4）</w:t>
            </w:r>
            <w:r>
              <w:rPr>
                <w:spacing w:val="-15"/>
                <w:sz w:val="21"/>
              </w:rPr>
              <w:t>发病 </w:t>
            </w:r>
            <w:r>
              <w:rPr>
                <w:sz w:val="21"/>
              </w:rPr>
              <w:t>90</w:t>
            </w:r>
            <w:r>
              <w:rPr>
                <w:spacing w:val="-14"/>
                <w:sz w:val="21"/>
              </w:rPr>
              <w:t> 日后，经检查证实左室功能降低的，如左心室射血分数低于 </w:t>
            </w:r>
            <w:r>
              <w:rPr>
                <w:spacing w:val="-3"/>
                <w:sz w:val="21"/>
              </w:rPr>
              <w:t>50</w:t>
            </w:r>
            <w:r>
              <w:rPr>
                <w:spacing w:val="-2"/>
                <w:sz w:val="21"/>
              </w:rPr>
              <w:t>%。</w:t>
            </w:r>
          </w:p>
        </w:tc>
      </w:tr>
    </w:tbl>
    <w:p>
      <w:pPr>
        <w:spacing w:after="0" w:line="255" w:lineRule="exact"/>
        <w:rPr>
          <w:sz w:val="21"/>
        </w:rPr>
        <w:sectPr>
          <w:pgSz w:w="11910" w:h="16840"/>
          <w:pgMar w:top="1160" w:bottom="280" w:left="720" w:right="720"/>
        </w:sectPr>
      </w:pPr>
    </w:p>
    <w:p>
      <w:pPr>
        <w:pStyle w:val="Heading3"/>
        <w:spacing w:before="22"/>
      </w:pPr>
      <w:bookmarkStart w:name="（三）脑中风后遗症" w:id="31"/>
      <w:bookmarkEnd w:id="31"/>
      <w:r>
        <w:rPr>
          <w:b w:val="0"/>
        </w:rPr>
      </w:r>
      <w:r>
        <w:rPr/>
        <w:t>（三）脑中风后遗症</w:t>
      </w:r>
    </w:p>
    <w:p>
      <w:pPr>
        <w:pStyle w:val="BodyText"/>
        <w:spacing w:line="273" w:lineRule="auto"/>
        <w:ind w:right="114" w:firstLine="431"/>
        <w:jc w:val="both"/>
      </w:pPr>
      <w:r>
        <w:rPr>
          <w:spacing w:val="-5"/>
        </w:rPr>
        <w:t>指因脑血管的突发病变引起脑血管出血、栓塞或梗塞，并导致神经系统永</w:t>
      </w:r>
      <w:r>
        <w:rPr>
          <w:spacing w:val="-7"/>
        </w:rPr>
        <w:t>久性功能障碍。神经系统永久性的功能障碍，指疾病确诊 </w:t>
      </w:r>
      <w:r>
        <w:rPr/>
        <w:t>180</w:t>
      </w:r>
      <w:r>
        <w:rPr>
          <w:spacing w:val="-9"/>
        </w:rPr>
        <w:t> 日后，仍遗留下</w:t>
      </w:r>
      <w:r>
        <w:rPr>
          <w:spacing w:val="-3"/>
        </w:rPr>
        <w:t>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1967" w:right="116"/>
      </w:pPr>
      <w:r>
        <w:rPr/>
        <w:t>（3）自主生活能力完全丧失，无法独立完成六项基本日常生活活动中的三项或三项以上。</w:t>
      </w:r>
    </w:p>
    <w:p>
      <w:pPr>
        <w:pStyle w:val="BodyText"/>
        <w:spacing w:before="5"/>
        <w:ind w:left="0"/>
        <w:rPr>
          <w:sz w:val="24"/>
        </w:rPr>
      </w:pPr>
    </w:p>
    <w:p>
      <w:pPr>
        <w:pStyle w:val="Heading3"/>
      </w:pPr>
      <w:bookmarkStart w:name="（四）重大器官移植术或造血干细胞移植术" w:id="32"/>
      <w:bookmarkEnd w:id="32"/>
      <w:r>
        <w:rPr>
          <w:b w:val="0"/>
        </w:rPr>
      </w:r>
      <w:r>
        <w:rPr/>
        <w:t>（四）重大器官移植术或造血干细胞移植术</w:t>
      </w:r>
    </w:p>
    <w:p>
      <w:pPr>
        <w:pStyle w:val="BodyText"/>
        <w:spacing w:line="273" w:lineRule="auto" w:before="36"/>
        <w:ind w:right="114" w:firstLine="431"/>
        <w:jc w:val="both"/>
      </w:pPr>
      <w:r>
        <w:rPr>
          <w:spacing w:val="-7"/>
        </w:rPr>
        <w:t>重大器官移植术，指因相应器官功能衰竭，已经实施了肾脏、肝脏、心脏</w:t>
      </w:r>
      <w:r>
        <w:rPr>
          <w:spacing w:val="-5"/>
        </w:rPr>
        <w:t>或肺脏的异体移植手术。</w:t>
      </w:r>
    </w:p>
    <w:p>
      <w:pPr>
        <w:pStyle w:val="BodyText"/>
        <w:spacing w:line="273" w:lineRule="auto" w:before="7"/>
        <w:ind w:right="114" w:firstLine="431"/>
        <w:jc w:val="both"/>
      </w:pPr>
      <w:r>
        <w:rPr>
          <w:spacing w:val="-6"/>
        </w:rPr>
        <w:t>造血干细胞移植术，指因造血功能损害或造血系统恶性肿瘤，已经实施了</w:t>
      </w:r>
      <w:r>
        <w:rPr>
          <w:spacing w:val="-4"/>
        </w:rPr>
        <w:t>造血干细胞</w:t>
      </w:r>
      <w:r>
        <w:rPr>
          <w:spacing w:val="-3"/>
        </w:rPr>
        <w:t>（</w:t>
      </w:r>
      <w:r>
        <w:rPr>
          <w:spacing w:val="-4"/>
        </w:rPr>
        <w:t>包括骨髓造血干细胞、外周造血干细胞和脐血造血干细胞</w:t>
      </w:r>
      <w:r>
        <w:rPr>
          <w:spacing w:val="-10"/>
        </w:rPr>
        <w:t>）</w:t>
      </w:r>
      <w:r>
        <w:rPr>
          <w:spacing w:val="-3"/>
        </w:rPr>
        <w:t>的异</w:t>
      </w:r>
      <w:r>
        <w:rPr>
          <w:spacing w:val="-2"/>
        </w:rPr>
        <w:t>体移植手术。</w:t>
      </w:r>
    </w:p>
    <w:p>
      <w:pPr>
        <w:pStyle w:val="BodyText"/>
        <w:spacing w:before="5"/>
        <w:ind w:left="0"/>
        <w:rPr>
          <w:sz w:val="24"/>
        </w:rPr>
      </w:pPr>
    </w:p>
    <w:p>
      <w:pPr>
        <w:pStyle w:val="Heading3"/>
        <w:spacing w:before="1"/>
      </w:pPr>
      <w:bookmarkStart w:name="（五）冠状动脉搭桥术" w:id="33"/>
      <w:bookmarkEnd w:id="33"/>
      <w:r>
        <w:rPr>
          <w:b w:val="0"/>
        </w:rPr>
      </w:r>
      <w:r>
        <w:rPr/>
        <w:t>（五）冠状动脉搭桥术</w:t>
      </w:r>
    </w:p>
    <w:p>
      <w:pPr>
        <w:pStyle w:val="BodyText"/>
        <w:spacing w:line="273" w:lineRule="auto"/>
        <w:ind w:right="114" w:firstLine="431"/>
        <w:jc w:val="both"/>
      </w:pPr>
      <w:r>
        <w:rPr>
          <w:spacing w:val="-7"/>
        </w:rPr>
        <w:t>指为治疗严重的冠心病，实际实施了开胸进行的冠状动脉血管旁路移植的手术。</w:t>
      </w:r>
    </w:p>
    <w:p>
      <w:pPr>
        <w:pStyle w:val="BodyText"/>
        <w:spacing w:line="273" w:lineRule="auto" w:before="7"/>
        <w:ind w:right="116" w:firstLine="431"/>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3"/>
      </w:pPr>
      <w:bookmarkStart w:name="（六）终末期肾病" w:id="34"/>
      <w:bookmarkEnd w:id="34"/>
      <w:r>
        <w:rPr>
          <w:b w:val="0"/>
        </w:rPr>
      </w:r>
      <w:r>
        <w:rPr/>
        <w:t>（六）终末期肾病</w:t>
      </w:r>
    </w:p>
    <w:p>
      <w:pPr>
        <w:pStyle w:val="BodyText"/>
        <w:spacing w:before="36"/>
        <w:ind w:left="2400"/>
      </w:pPr>
      <w:r>
        <w:rPr/>
        <w:t>指双肾功能慢性不可逆性衰竭，达到尿毒症期，经诊断后已经进行了至少</w:t>
      </w:r>
    </w:p>
    <w:p>
      <w:pPr>
        <w:pStyle w:val="BodyText"/>
        <w:spacing w:before="36"/>
      </w:pPr>
      <w:r>
        <w:rPr/>
        <w:t>90 日的规律性透析治疗或实施了肾脏移植手术。</w:t>
      </w:r>
    </w:p>
    <w:p>
      <w:pPr>
        <w:pStyle w:val="BodyText"/>
        <w:spacing w:before="8"/>
        <w:ind w:left="0"/>
        <w:rPr>
          <w:sz w:val="26"/>
        </w:rPr>
      </w:pPr>
    </w:p>
    <w:p>
      <w:pPr>
        <w:pStyle w:val="Heading3"/>
      </w:pPr>
      <w:bookmarkStart w:name="（七）多个肢体缺失" w:id="35"/>
      <w:bookmarkEnd w:id="35"/>
      <w:r>
        <w:rPr>
          <w:b w:val="0"/>
        </w:rPr>
      </w:r>
      <w:r>
        <w:rPr/>
        <w:t>（七）多个肢体缺失</w:t>
      </w:r>
    </w:p>
    <w:p>
      <w:pPr>
        <w:pStyle w:val="BodyText"/>
        <w:spacing w:line="273" w:lineRule="auto" w:before="36"/>
        <w:ind w:right="114" w:firstLine="431"/>
        <w:jc w:val="both"/>
      </w:pPr>
      <w:r>
        <w:rPr>
          <w:spacing w:val="-5"/>
        </w:rPr>
        <w:t>指因疾病或意外伤害导致两个或两个以上肢体自腕关节或踝关节近端</w:t>
      </w:r>
      <w:r>
        <w:rPr>
          <w:spacing w:val="-3"/>
        </w:rPr>
        <w:t>（</w:t>
      </w:r>
      <w:r>
        <w:rPr/>
        <w:t>靠</w:t>
      </w:r>
      <w:r>
        <w:rPr>
          <w:spacing w:val="-1"/>
        </w:rPr>
        <w:t>近躯干端</w:t>
      </w:r>
      <w:r>
        <w:rPr>
          <w:spacing w:val="-3"/>
        </w:rPr>
        <w:t>）以上完全性断离。</w:t>
      </w:r>
    </w:p>
    <w:p>
      <w:pPr>
        <w:pStyle w:val="BodyText"/>
        <w:spacing w:before="5"/>
        <w:ind w:left="0"/>
        <w:rPr>
          <w:sz w:val="24"/>
        </w:rPr>
      </w:pPr>
    </w:p>
    <w:p>
      <w:pPr>
        <w:pStyle w:val="Heading3"/>
      </w:pPr>
      <w:bookmarkStart w:name="（八）急性或亚急性重症肝炎" w:id="36"/>
      <w:bookmarkEnd w:id="36"/>
      <w:r>
        <w:rPr>
          <w:b w:val="0"/>
        </w:rPr>
      </w:r>
      <w:r>
        <w:rPr/>
        <w:t>（八）急性或亚急性重症肝炎</w:t>
      </w:r>
    </w:p>
    <w:p>
      <w:pPr>
        <w:pStyle w:val="BodyText"/>
        <w:spacing w:line="273" w:lineRule="auto"/>
        <w:ind w:right="114" w:firstLine="431"/>
        <w:jc w:val="both"/>
      </w:pPr>
      <w:r>
        <w:rPr>
          <w:spacing w:val="-5"/>
        </w:rPr>
        <w:t>指因肝炎病毒感染引起肝组织弥漫性坏死，导致急性肝功能衰竭，且经血</w:t>
      </w:r>
      <w:r>
        <w:rPr>
          <w:spacing w:val="-4"/>
        </w:rPr>
        <w:t>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3"/>
      </w:pPr>
      <w:bookmarkStart w:name="（九）良性脑肿瘤" w:id="37"/>
      <w:bookmarkEnd w:id="37"/>
      <w:r>
        <w:rPr>
          <w:b w:val="0"/>
        </w:rPr>
      </w:r>
      <w:r>
        <w:rPr/>
        <w:t>（九）良性脑肿瘤</w:t>
      </w:r>
    </w:p>
    <w:p>
      <w:pPr>
        <w:pStyle w:val="BodyText"/>
        <w:spacing w:line="273" w:lineRule="auto" w:before="36"/>
        <w:ind w:left="1967" w:right="114" w:firstLine="432"/>
        <w:jc w:val="both"/>
      </w:pPr>
      <w:r>
        <w:rPr>
          <w:spacing w:val="-7"/>
        </w:rPr>
        <w:t>指脑的良性肿瘤，已经引起颅内压增高，临床表现为视神经乳头水肿、精</w:t>
      </w:r>
      <w:r>
        <w:rPr>
          <w:w w:val="100"/>
        </w:rPr>
        <w:t>神症状、癫痫及运动感觉障碍等，并危及生命。须由头颅断层扫描</w:t>
      </w:r>
      <w:r>
        <w:rPr>
          <w:spacing w:val="0"/>
          <w:w w:val="100"/>
        </w:rPr>
        <w:t>（</w:t>
      </w:r>
      <w:r>
        <w:rPr>
          <w:w w:val="100"/>
        </w:rPr>
        <w:t>C</w:t>
      </w:r>
      <w:r>
        <w:rPr>
          <w:spacing w:val="1"/>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spacing w:after="0"/>
        <w:sectPr>
          <w:pgSz w:w="11910" w:h="16840"/>
          <w:pgMar w:top="1080" w:bottom="280" w:left="1680" w:right="1020"/>
        </w:sectPr>
      </w:pPr>
    </w:p>
    <w:p>
      <w:pPr>
        <w:pStyle w:val="Heading3"/>
        <w:spacing w:before="14"/>
      </w:pPr>
      <w:bookmarkStart w:name="（十）慢性肝功能衰竭失代偿期" w:id="38"/>
      <w:bookmarkEnd w:id="38"/>
      <w:r>
        <w:rPr>
          <w:b w:val="0"/>
        </w:rPr>
      </w:r>
      <w:r>
        <w:rPr/>
        <w:t>（十）慢性肝功能衰竭失代偿期</w:t>
      </w:r>
    </w:p>
    <w:p>
      <w:pPr>
        <w:pStyle w:val="BodyText"/>
        <w:ind w:left="2400"/>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400"/>
      </w:pPr>
      <w:r>
        <w:rPr/>
        <w:t>因酗酒或药物滥用导致的肝功能衰竭不在保障范围内。</w:t>
      </w:r>
    </w:p>
    <w:p>
      <w:pPr>
        <w:pStyle w:val="BodyText"/>
        <w:spacing w:before="9"/>
        <w:ind w:left="0"/>
        <w:rPr>
          <w:sz w:val="26"/>
        </w:rPr>
      </w:pPr>
    </w:p>
    <w:p>
      <w:pPr>
        <w:pStyle w:val="Heading3"/>
      </w:pPr>
      <w:bookmarkStart w:name="（十一）脑炎后遗症或脑膜炎后遗症" w:id="39"/>
      <w:bookmarkEnd w:id="39"/>
      <w:r>
        <w:rPr>
          <w:b w:val="0"/>
        </w:rPr>
      </w:r>
      <w:r>
        <w:rPr/>
        <w:t>（十一）脑炎后遗症或脑膜炎后遗症</w:t>
      </w:r>
    </w:p>
    <w:p>
      <w:pPr>
        <w:pStyle w:val="BodyText"/>
        <w:spacing w:line="273" w:lineRule="auto"/>
        <w:ind w:right="169" w:firstLine="431"/>
      </w:pPr>
      <w:r>
        <w:rPr/>
        <w:t>指因患脑炎或脑膜炎导致的神经系统永久性的功能障碍。神经系统永久性的功能障碍，指疾病首次确诊 180 日后，仍残留下列一种或一种以上障碍：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1967" w:right="216"/>
      </w:pPr>
      <w:r>
        <w:rPr/>
        <w:t>（3）自主生活能力完全丧失，无法独立完成六项基本日常生活活动中的三项或三项以上。</w:t>
      </w:r>
    </w:p>
    <w:p>
      <w:pPr>
        <w:pStyle w:val="BodyText"/>
        <w:spacing w:before="6"/>
        <w:ind w:left="0"/>
        <w:rPr>
          <w:sz w:val="24"/>
        </w:rPr>
      </w:pPr>
    </w:p>
    <w:p>
      <w:pPr>
        <w:pStyle w:val="Heading3"/>
      </w:pPr>
      <w:bookmarkStart w:name="（十二）深度昏迷" w:id="40"/>
      <w:bookmarkEnd w:id="40"/>
      <w:r>
        <w:rPr>
          <w:b w:val="0"/>
        </w:rPr>
      </w:r>
      <w:r>
        <w:rPr/>
        <w:t>（十二）深度昏迷</w:t>
      </w:r>
    </w:p>
    <w:p>
      <w:pPr>
        <w:pStyle w:val="BodyText"/>
        <w:spacing w:line="273" w:lineRule="auto"/>
        <w:ind w:right="111" w:firstLine="431"/>
      </w:pPr>
      <w:r>
        <w:rPr/>
        <w:t>指因疾病或意外伤害导致意识丧失,对外界刺激和体内需求均无反应，昏</w:t>
      </w:r>
      <w:r>
        <w:rPr>
          <w:spacing w:val="-4"/>
        </w:rPr>
        <w:t>迷程度按照格拉斯哥昏迷分级</w:t>
      </w:r>
      <w:r>
        <w:rPr/>
        <w:t>（Glasgow</w:t>
      </w:r>
      <w:r>
        <w:rPr>
          <w:spacing w:val="-49"/>
        </w:rPr>
        <w:t> </w:t>
      </w:r>
      <w:r>
        <w:rPr/>
        <w:t>coma</w:t>
      </w:r>
      <w:r>
        <w:rPr>
          <w:spacing w:val="-49"/>
        </w:rPr>
        <w:t> </w:t>
      </w:r>
      <w:r>
        <w:rPr>
          <w:spacing w:val="-4"/>
        </w:rPr>
        <w:t>scale）</w:t>
      </w:r>
      <w:r>
        <w:rPr>
          <w:spacing w:val="-14"/>
        </w:rPr>
        <w:t>结果为 </w:t>
      </w:r>
      <w:r>
        <w:rPr/>
        <w:t>5</w:t>
      </w:r>
      <w:r>
        <w:rPr>
          <w:spacing w:val="-26"/>
        </w:rPr>
        <w:t> 分或 </w:t>
      </w:r>
      <w:r>
        <w:rPr/>
        <w:t>5</w:t>
      </w:r>
      <w:r>
        <w:rPr>
          <w:spacing w:val="-12"/>
        </w:rPr>
        <w:t> 分以下， </w:t>
      </w:r>
      <w:r>
        <w:rPr>
          <w:spacing w:val="-8"/>
        </w:rPr>
        <w:t>且已经持续使用呼吸机及其它生命维持系统 </w:t>
      </w:r>
      <w:r>
        <w:rPr/>
        <w:t>96</w:t>
      </w:r>
      <w:r>
        <w:rPr>
          <w:spacing w:val="-10"/>
        </w:rPr>
        <w:t> 小时以上。</w:t>
      </w:r>
    </w:p>
    <w:p>
      <w:pPr>
        <w:pStyle w:val="BodyText"/>
        <w:spacing w:before="7"/>
        <w:ind w:left="2400"/>
      </w:pPr>
      <w:r>
        <w:rPr/>
        <w:t>由于酗酒或药物滥用导致的深度昏迷不在保障范围内。</w:t>
      </w:r>
    </w:p>
    <w:p>
      <w:pPr>
        <w:pStyle w:val="BodyText"/>
        <w:spacing w:before="8"/>
        <w:ind w:left="0"/>
        <w:rPr>
          <w:sz w:val="26"/>
        </w:rPr>
      </w:pPr>
    </w:p>
    <w:p>
      <w:pPr>
        <w:pStyle w:val="Heading3"/>
      </w:pPr>
      <w:bookmarkStart w:name="（十三）双耳失聪 " w:id="41"/>
      <w:bookmarkEnd w:id="41"/>
      <w:r>
        <w:rPr>
          <w:b w:val="0"/>
        </w:rPr>
      </w:r>
      <w:r>
        <w:rPr/>
        <w:t>（十三）双耳失聪</w:t>
      </w:r>
    </w:p>
    <w:p>
      <w:pPr>
        <w:pStyle w:val="BodyText"/>
        <w:spacing w:before="36"/>
        <w:ind w:left="2400"/>
      </w:pPr>
      <w:r>
        <w:rPr/>
        <w:t>指因疾病或意外伤害导致双耳听力永久不可逆性丧失，在 500 赫兹、1000</w:t>
      </w:r>
    </w:p>
    <w:p>
      <w:pPr>
        <w:pStyle w:val="BodyText"/>
        <w:spacing w:line="273" w:lineRule="auto" w:before="36"/>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before="5"/>
        <w:ind w:left="0"/>
        <w:rPr>
          <w:sz w:val="24"/>
        </w:rPr>
      </w:pPr>
    </w:p>
    <w:p>
      <w:pPr>
        <w:pStyle w:val="Heading3"/>
      </w:pPr>
      <w:bookmarkStart w:name="（十四）双目失明 " w:id="42"/>
      <w:bookmarkEnd w:id="42"/>
      <w:r>
        <w:rPr>
          <w:b w:val="0"/>
        </w:rPr>
      </w:r>
      <w:r>
        <w:rPr/>
        <w:t>（十四）双目失明</w:t>
      </w:r>
    </w:p>
    <w:p>
      <w:pPr>
        <w:pStyle w:val="BodyText"/>
        <w:spacing w:line="273" w:lineRule="auto" w:before="36"/>
        <w:ind w:left="1967" w:right="168" w:firstLine="420"/>
      </w:pPr>
      <w:r>
        <w:rPr/>
        <w:t>指因疾病或意外伤害导致双目视力永久不可逆性丧失，双眼中较好眼须满足下列至少一项条件：</w:t>
      </w:r>
    </w:p>
    <w:p>
      <w:pPr>
        <w:pStyle w:val="BodyText"/>
        <w:spacing w:before="7"/>
        <w:ind w:left="1967"/>
      </w:pPr>
      <w:r>
        <w:rPr/>
        <w:t>（1）眼球缺失或摘除；</w:t>
      </w:r>
    </w:p>
    <w:p>
      <w:pPr>
        <w:pStyle w:val="BodyText"/>
        <w:spacing w:line="273" w:lineRule="auto"/>
        <w:ind w:left="1967" w:right="219"/>
      </w:pPr>
      <w:r>
        <w:rPr/>
        <w:t>（2）</w:t>
      </w:r>
      <w:r>
        <w:rPr>
          <w:spacing w:val="-2"/>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pStyle w:val="BodyText"/>
        <w:spacing w:before="8"/>
        <w:ind w:left="0"/>
        <w:rPr>
          <w:sz w:val="26"/>
        </w:rPr>
      </w:pPr>
    </w:p>
    <w:p>
      <w:pPr>
        <w:pStyle w:val="Heading3"/>
      </w:pPr>
      <w:bookmarkStart w:name="（十五）瘫痪" w:id="43"/>
      <w:bookmarkEnd w:id="43"/>
      <w:r>
        <w:rPr>
          <w:b w:val="0"/>
        </w:rPr>
      </w:r>
      <w:r>
        <w:rPr/>
        <w:t>（十五）瘫痪</w:t>
      </w:r>
    </w:p>
    <w:p>
      <w:pPr>
        <w:pStyle w:val="BodyText"/>
        <w:spacing w:line="273" w:lineRule="auto" w:before="36"/>
        <w:ind w:right="214" w:firstLine="431"/>
        <w:jc w:val="both"/>
      </w:pPr>
      <w:r>
        <w:rPr>
          <w:spacing w:val="-5"/>
        </w:rPr>
        <w:t>指因疾病或意外伤害导致两肢或两肢以上肢体机能永久完全丧失。肢体机</w:t>
      </w:r>
      <w:r>
        <w:rPr>
          <w:spacing w:val="-6"/>
        </w:rPr>
        <w:t>能永久完全丧失，指疾病确诊 </w:t>
      </w:r>
      <w:r>
        <w:rPr/>
        <w:t>180</w:t>
      </w:r>
      <w:r>
        <w:rPr>
          <w:spacing w:val="-9"/>
        </w:rPr>
        <w:t> 日后或意外伤害发生 </w:t>
      </w:r>
      <w:r>
        <w:rPr/>
        <w:t>180</w:t>
      </w:r>
      <w:r>
        <w:rPr>
          <w:spacing w:val="-17"/>
        </w:rPr>
        <w:t> 日后，、每肢三大</w:t>
      </w:r>
      <w:r>
        <w:rPr>
          <w:spacing w:val="-7"/>
        </w:rPr>
        <w:t>关节中的两大关节仍然完全僵硬，或不能随意识活动。</w:t>
      </w:r>
    </w:p>
    <w:p>
      <w:pPr>
        <w:pStyle w:val="BodyText"/>
        <w:spacing w:before="5"/>
        <w:ind w:left="0"/>
        <w:rPr>
          <w:sz w:val="24"/>
        </w:rPr>
      </w:pPr>
    </w:p>
    <w:p>
      <w:pPr>
        <w:pStyle w:val="Heading3"/>
      </w:pPr>
      <w:bookmarkStart w:name="（十六）心脏瓣膜手术" w:id="44"/>
      <w:bookmarkEnd w:id="44"/>
      <w:r>
        <w:rPr>
          <w:b w:val="0"/>
        </w:rPr>
      </w:r>
      <w:r>
        <w:rPr/>
        <w:t>（十六）心脏瓣膜手术</w:t>
      </w:r>
    </w:p>
    <w:p>
      <w:pPr>
        <w:pStyle w:val="BodyText"/>
        <w:ind w:left="2400"/>
      </w:pPr>
      <w:r>
        <w:rPr/>
        <w:t>指为治疗心脏瓣膜疾病，实际实施了开胸进行的心脏瓣膜置换或修复的手</w:t>
      </w:r>
    </w:p>
    <w:p>
      <w:pPr>
        <w:pStyle w:val="BodyText"/>
      </w:pPr>
      <w:r>
        <w:rPr/>
        <w:t>术。</w:t>
      </w:r>
    </w:p>
    <w:p>
      <w:pPr>
        <w:pStyle w:val="BodyText"/>
        <w:spacing w:before="8"/>
        <w:ind w:left="0"/>
        <w:rPr>
          <w:sz w:val="26"/>
        </w:rPr>
      </w:pPr>
    </w:p>
    <w:p>
      <w:pPr>
        <w:pStyle w:val="Heading3"/>
      </w:pPr>
      <w:bookmarkStart w:name="（十七）严重阿尔茨海默病" w:id="45"/>
      <w:bookmarkEnd w:id="45"/>
      <w:r>
        <w:rPr>
          <w:b w:val="0"/>
        </w:rPr>
      </w:r>
      <w:r>
        <w:rPr/>
        <w:t>（十七）严重阿尔茨海默病</w:t>
      </w:r>
    </w:p>
    <w:p>
      <w:pPr>
        <w:spacing w:after="0"/>
        <w:sectPr>
          <w:pgSz w:w="11910" w:h="16840"/>
          <w:pgMar w:top="1400" w:bottom="280" w:left="1680" w:right="920"/>
        </w:sectPr>
      </w:pPr>
    </w:p>
    <w:p>
      <w:pPr>
        <w:pStyle w:val="BodyText"/>
        <w:spacing w:line="273" w:lineRule="auto" w:before="22"/>
        <w:ind w:right="134" w:firstLine="431"/>
        <w:jc w:val="both"/>
      </w:pPr>
      <w:r>
        <w:rPr>
          <w:spacing w:val="-6"/>
        </w:rPr>
        <w:t>指因大脑进行性、不可逆性改变导致智能严重衰退或丧失，临床表现为明</w:t>
      </w:r>
      <w:r>
        <w:rPr>
          <w:spacing w:val="-7"/>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MR</w:t>
      </w:r>
      <w:r>
        <w:rPr>
          <w:spacing w:val="-1"/>
          <w:w w:val="100"/>
        </w:rPr>
        <w:t>I</w:t>
      </w:r>
      <w:r>
        <w:rPr>
          <w:spacing w:val="-5"/>
          <w:w w:val="100"/>
        </w:rPr>
        <w:t>）</w:t>
      </w:r>
      <w:r>
        <w:rPr>
          <w:spacing w:val="-3"/>
          <w:w w:val="100"/>
        </w:rPr>
        <w:t>或正电子发射断层扫描</w:t>
      </w:r>
    </w:p>
    <w:p>
      <w:pPr>
        <w:pStyle w:val="BodyText"/>
        <w:spacing w:line="273" w:lineRule="auto" w:before="8"/>
        <w:ind w:left="1967" w:right="138"/>
      </w:pPr>
      <w:r>
        <w:rPr/>
        <w:t>（PET）等影像学检查证实，自主生活能力完全丧失，无法独立完成六项基本日常生活活动中的三项或三项以上。</w:t>
      </w:r>
    </w:p>
    <w:p>
      <w:pPr>
        <w:pStyle w:val="BodyText"/>
        <w:spacing w:before="8"/>
        <w:ind w:left="2399"/>
      </w:pPr>
      <w:r>
        <w:rPr/>
        <w:t>神经官能症和精神疾病不在保障范围内。</w:t>
      </w:r>
    </w:p>
    <w:p>
      <w:pPr>
        <w:pStyle w:val="BodyText"/>
        <w:spacing w:before="9"/>
        <w:ind w:left="0"/>
        <w:rPr>
          <w:sz w:val="26"/>
        </w:rPr>
      </w:pPr>
    </w:p>
    <w:p>
      <w:pPr>
        <w:pStyle w:val="Heading3"/>
      </w:pPr>
      <w:bookmarkStart w:name="（十八）严重脑损伤" w:id="46"/>
      <w:bookmarkEnd w:id="46"/>
      <w:r>
        <w:rPr>
          <w:b w:val="0"/>
        </w:rPr>
      </w:r>
      <w:r>
        <w:rPr/>
        <w:t>（十八）严重脑损伤</w:t>
      </w:r>
    </w:p>
    <w:p>
      <w:pPr>
        <w:pStyle w:val="BodyText"/>
        <w:spacing w:line="273" w:lineRule="auto"/>
        <w:ind w:right="13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spacing w:val="-3"/>
        </w:rPr>
        <w:t>扫描（PET）</w:t>
      </w:r>
      <w:r>
        <w:rPr>
          <w:spacing w:val="-1"/>
        </w:rPr>
        <w:t>等影像学检查证实。神经系统永久性的功能障碍，指脑损伤 </w:t>
      </w:r>
      <w:r>
        <w:rPr/>
        <w:t>180 </w:t>
      </w:r>
      <w:r>
        <w:rPr>
          <w:spacing w:val="-3"/>
        </w:rPr>
        <w:t>日后，仍遗留下列一种或一种以上障碍：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1967" w:right="136"/>
      </w:pPr>
      <w:r>
        <w:rPr/>
        <w:t>（3）自主生活能力完全丧失，无法独立完成六项基本日常生活活动中的三项或三项以上。</w:t>
      </w:r>
    </w:p>
    <w:p>
      <w:pPr>
        <w:pStyle w:val="BodyText"/>
        <w:spacing w:before="6"/>
        <w:ind w:left="0"/>
        <w:rPr>
          <w:sz w:val="24"/>
        </w:rPr>
      </w:pPr>
    </w:p>
    <w:p>
      <w:pPr>
        <w:pStyle w:val="Heading3"/>
      </w:pPr>
      <w:bookmarkStart w:name="（十九）严重帕金森病" w:id="47"/>
      <w:bookmarkEnd w:id="47"/>
      <w:r>
        <w:rPr>
          <w:b w:val="0"/>
        </w:rPr>
      </w:r>
      <w:r>
        <w:rPr/>
        <w:t>（十九）严重帕金森病</w:t>
      </w:r>
    </w:p>
    <w:p>
      <w:pPr>
        <w:pStyle w:val="BodyText"/>
        <w:spacing w:line="273" w:lineRule="auto"/>
        <w:ind w:right="98" w:firstLine="431"/>
        <w:jc w:val="both"/>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1967" w:right="136"/>
      </w:pPr>
      <w:r>
        <w:rPr/>
        <w:t>（2）自主生活能力完全丧失，无法独立完成六项基本日常生活活动中的三项或三项以上。</w:t>
      </w:r>
    </w:p>
    <w:p>
      <w:pPr>
        <w:pStyle w:val="BodyText"/>
        <w:spacing w:before="7"/>
        <w:ind w:left="2687"/>
      </w:pPr>
      <w:r>
        <w:rPr/>
        <w:t>继发性帕金森综合征不在保障范围内。</w:t>
      </w:r>
    </w:p>
    <w:p>
      <w:pPr>
        <w:pStyle w:val="BodyText"/>
        <w:spacing w:before="8"/>
        <w:ind w:left="0"/>
        <w:rPr>
          <w:sz w:val="26"/>
        </w:rPr>
      </w:pPr>
    </w:p>
    <w:p>
      <w:pPr>
        <w:pStyle w:val="Heading3"/>
        <w:spacing w:before="1"/>
      </w:pPr>
      <w:bookmarkStart w:name="（二十）严重III度烧伤" w:id="48"/>
      <w:bookmarkEnd w:id="48"/>
      <w:r>
        <w:rPr>
          <w:b w:val="0"/>
        </w:rPr>
      </w:r>
      <w:r>
        <w:rPr/>
        <w:t>（二十）严重III度烧伤</w:t>
      </w:r>
    </w:p>
    <w:p>
      <w:pPr>
        <w:pStyle w:val="BodyText"/>
        <w:spacing w:line="273" w:lineRule="auto"/>
        <w:ind w:right="137" w:firstLine="431"/>
        <w:jc w:val="both"/>
      </w:pPr>
      <w:r>
        <w:rPr>
          <w:spacing w:val="-4"/>
        </w:rPr>
        <w:t>指烧伤程度为Ⅲ度，且Ⅲ度烧伤面积达到全身体表面积的 </w:t>
      </w:r>
      <w:r>
        <w:rPr/>
        <w:t>20％</w:t>
      </w:r>
      <w:r>
        <w:rPr>
          <w:spacing w:val="-4"/>
        </w:rPr>
        <w:t>或 </w:t>
      </w:r>
      <w:r>
        <w:rPr/>
        <w:t>20</w:t>
      </w:r>
      <w:r>
        <w:rPr>
          <w:spacing w:val="-2"/>
        </w:rPr>
        <w:t>％以</w:t>
      </w:r>
      <w:r>
        <w:rPr>
          <w:spacing w:val="-3"/>
        </w:rPr>
        <w:t>上。体表面积根据 《中国新九分法》计算。</w:t>
      </w:r>
    </w:p>
    <w:p>
      <w:pPr>
        <w:pStyle w:val="BodyText"/>
        <w:spacing w:before="5"/>
        <w:ind w:left="0"/>
        <w:rPr>
          <w:sz w:val="24"/>
        </w:rPr>
      </w:pPr>
    </w:p>
    <w:p>
      <w:pPr>
        <w:pStyle w:val="Heading3"/>
      </w:pPr>
      <w:bookmarkStart w:name="（二十一）严重原发性肺动脉高压" w:id="49"/>
      <w:bookmarkEnd w:id="49"/>
      <w:r>
        <w:rPr>
          <w:b w:val="0"/>
        </w:rPr>
      </w:r>
      <w:r>
        <w:rPr/>
        <w:t>（二十一）严重原发性肺动脉高压</w:t>
      </w:r>
    </w:p>
    <w:p>
      <w:pPr>
        <w:pStyle w:val="BodyText"/>
        <w:spacing w:line="273" w:lineRule="auto" w:before="36"/>
        <w:ind w:right="134" w:firstLine="431"/>
        <w:jc w:val="both"/>
      </w:pPr>
      <w:r>
        <w:rPr>
          <w:spacing w:val="-6"/>
        </w:rPr>
        <w:t>指不明原因的肺动脉压力持续性增高，进行性发展而导致的慢性疾病，已经造成永久不可逆性的体力活动能力受限，达到美国纽约心脏病学会心功能状</w:t>
      </w:r>
      <w:r>
        <w:rPr>
          <w:spacing w:val="-13"/>
        </w:rPr>
        <w:t>态分级 </w:t>
      </w:r>
      <w:r>
        <w:rPr/>
        <w:t>IV</w:t>
      </w:r>
      <w:r>
        <w:rPr>
          <w:spacing w:val="-13"/>
        </w:rPr>
        <w:t> 级，静息状态下肺动脉平均压超过 </w:t>
      </w:r>
      <w:r>
        <w:rPr/>
        <w:t>30mmHg。</w:t>
      </w:r>
    </w:p>
    <w:p>
      <w:pPr>
        <w:pStyle w:val="BodyText"/>
        <w:spacing w:before="5"/>
        <w:ind w:left="0"/>
        <w:rPr>
          <w:sz w:val="24"/>
        </w:rPr>
      </w:pPr>
    </w:p>
    <w:p>
      <w:pPr>
        <w:pStyle w:val="Heading3"/>
      </w:pPr>
      <w:bookmarkStart w:name="（二十二）严重运动神经元病" w:id="50"/>
      <w:bookmarkEnd w:id="50"/>
      <w:r>
        <w:rPr>
          <w:b w:val="0"/>
        </w:rPr>
      </w:r>
      <w:r>
        <w:rPr/>
        <w:t>（二十二）严重运动神经元病</w:t>
      </w:r>
    </w:p>
    <w:p>
      <w:pPr>
        <w:pStyle w:val="BodyText"/>
        <w:spacing w:line="273" w:lineRule="auto"/>
        <w:ind w:right="134" w:firstLine="431"/>
        <w:jc w:val="both"/>
      </w:pPr>
      <w:r>
        <w:rPr>
          <w:spacing w:val="-5"/>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w:t>
      </w:r>
      <w:r>
        <w:rPr/>
        <w:t>上。</w:t>
      </w:r>
    </w:p>
    <w:p>
      <w:pPr>
        <w:pStyle w:val="BodyText"/>
        <w:spacing w:before="5"/>
        <w:ind w:left="0"/>
        <w:rPr>
          <w:sz w:val="24"/>
        </w:rPr>
      </w:pPr>
    </w:p>
    <w:p>
      <w:pPr>
        <w:pStyle w:val="Heading3"/>
      </w:pPr>
      <w:bookmarkStart w:name="（二十三）语言能力丧失 " w:id="51"/>
      <w:bookmarkEnd w:id="51"/>
      <w:r>
        <w:rPr>
          <w:b w:val="0"/>
        </w:rPr>
      </w:r>
      <w:r>
        <w:rPr/>
        <w:t>（二十三）语言能力丧失</w:t>
      </w:r>
    </w:p>
    <w:p>
      <w:pPr>
        <w:pStyle w:val="BodyText"/>
        <w:spacing w:before="36"/>
        <w:ind w:left="2400"/>
      </w:pPr>
      <w:r>
        <w:rPr/>
        <w:t>指因疾病或意外伤害导致完全丧失语言能力，经过积极治疗至少 12 个月</w:t>
      </w:r>
    </w:p>
    <w:p>
      <w:pPr>
        <w:pStyle w:val="BodyText"/>
        <w:spacing w:line="273" w:lineRule="auto" w:before="36"/>
        <w:ind w:left="2400" w:right="105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7"/>
        <w:ind w:left="0"/>
        <w:rPr>
          <w:sz w:val="26"/>
        </w:rPr>
      </w:pPr>
    </w:p>
    <w:p>
      <w:pPr>
        <w:pStyle w:val="Heading3"/>
      </w:pPr>
      <w:bookmarkStart w:name="（二十四）重型再生障碍性贫血" w:id="52"/>
      <w:bookmarkEnd w:id="52"/>
      <w:r>
        <w:rPr>
          <w:b w:val="0"/>
        </w:rPr>
      </w:r>
      <w:r>
        <w:rPr/>
        <w:t>（二十四）重型再生障碍性贫血</w:t>
      </w:r>
    </w:p>
    <w:p>
      <w:pPr>
        <w:spacing w:after="0"/>
        <w:sectPr>
          <w:pgSz w:w="11910" w:h="16840"/>
          <w:pgMar w:top="1080" w:bottom="280" w:left="1680" w:right="1000"/>
        </w:sectPr>
      </w:pPr>
    </w:p>
    <w:p>
      <w:pPr>
        <w:pStyle w:val="BodyText"/>
        <w:spacing w:line="273" w:lineRule="auto" w:before="22"/>
        <w:ind w:right="13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8"/>
      </w:pPr>
      <w:r>
        <w:rPr/>
        <w:t>（1）骨髓穿刺检查或骨髓活检结果支持诊断；</w:t>
      </w:r>
    </w:p>
    <w:p>
      <w:pPr>
        <w:pStyle w:val="BodyText"/>
      </w:pPr>
      <w:r>
        <w:rPr/>
        <w:t>（2）外周血象必须具备以下三项条件：</w:t>
      </w:r>
    </w:p>
    <w:p>
      <w:pPr>
        <w:pStyle w:val="BodyText"/>
        <w:ind w:left="2612" w:right="3162"/>
        <w:jc w:val="center"/>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9"/>
        <w:ind w:left="0"/>
        <w:rPr>
          <w:sz w:val="26"/>
        </w:rPr>
      </w:pPr>
    </w:p>
    <w:p>
      <w:pPr>
        <w:pStyle w:val="Heading3"/>
      </w:pPr>
      <w:bookmarkStart w:name="（二十五）主动脉手术" w:id="53"/>
      <w:bookmarkEnd w:id="53"/>
      <w:r>
        <w:rPr>
          <w:b w:val="0"/>
        </w:rPr>
      </w:r>
      <w:r>
        <w:rPr/>
        <w:t>（二十五）主动脉手术</w:t>
      </w:r>
    </w:p>
    <w:p>
      <w:pPr>
        <w:pStyle w:val="BodyText"/>
        <w:spacing w:line="273" w:lineRule="auto"/>
        <w:ind w:right="134" w:firstLine="431"/>
        <w:jc w:val="both"/>
      </w:pPr>
      <w:r>
        <w:rPr>
          <w:spacing w:val="-6"/>
        </w:rPr>
        <w:t>指为治疗主动脉疾病，实际实施了开胸或开腹进行的切除、置换、修补病</w:t>
      </w:r>
      <w:r>
        <w:rPr>
          <w:spacing w:val="-5"/>
        </w:rPr>
        <w:t>损主动脉血管的手术。主动脉指胸主动脉和腹主动脉，不包括胸主动脉和腹主</w:t>
      </w:r>
      <w:r>
        <w:rPr>
          <w:spacing w:val="-3"/>
        </w:rPr>
        <w:t>动脉的分支血管。</w:t>
      </w:r>
    </w:p>
    <w:p>
      <w:pPr>
        <w:pStyle w:val="BodyText"/>
        <w:spacing w:before="7"/>
        <w:ind w:left="2400"/>
      </w:pPr>
      <w:r>
        <w:rPr/>
        <w:t>动脉内血管成形术不在保障范围内。</w:t>
      </w:r>
    </w:p>
    <w:p>
      <w:pPr>
        <w:pStyle w:val="BodyText"/>
        <w:spacing w:before="8"/>
        <w:ind w:left="0"/>
        <w:rPr>
          <w:sz w:val="26"/>
        </w:rPr>
      </w:pPr>
    </w:p>
    <w:p>
      <w:pPr>
        <w:pStyle w:val="BodyText"/>
        <w:spacing w:line="273" w:lineRule="auto" w:before="0"/>
        <w:ind w:right="131"/>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spacing w:before="1"/>
      </w:pPr>
      <w:bookmarkStart w:name="（二十六）慢性呼吸功能衰竭" w:id="54"/>
      <w:bookmarkEnd w:id="54"/>
      <w:r>
        <w:rPr>
          <w:b w:val="0"/>
        </w:rPr>
      </w:r>
      <w:r>
        <w:rPr/>
        <w:t>（二十六）慢性呼吸功能衰竭</w:t>
      </w:r>
    </w:p>
    <w:p>
      <w:pPr>
        <w:pStyle w:val="BodyText"/>
        <w:spacing w:line="273" w:lineRule="auto"/>
        <w:ind w:right="135" w:firstLine="431"/>
        <w:jc w:val="both"/>
      </w:pPr>
      <w:r>
        <w:rPr>
          <w:spacing w:val="-5"/>
        </w:rPr>
        <w:t>慢性肺部疾病导致永久不可逆性的慢性呼吸功能衰竭，必须由呼吸专科医</w:t>
      </w:r>
      <w:r>
        <w:rPr>
          <w:spacing w:val="-3"/>
        </w:rPr>
        <w:t>师确认并符合下列所有条件：</w:t>
      </w:r>
    </w:p>
    <w:p>
      <w:pPr>
        <w:pStyle w:val="BodyText"/>
        <w:spacing w:before="7"/>
        <w:ind w:left="2400"/>
      </w:pPr>
      <w:r>
        <w:rPr/>
        <w:t>（1）休息时出现呼吸困难；</w:t>
      </w:r>
    </w:p>
    <w:p>
      <w:pPr>
        <w:pStyle w:val="BodyText"/>
        <w:spacing w:before="36"/>
        <w:ind w:left="2400"/>
      </w:pPr>
      <w:r>
        <w:rPr>
          <w:position w:val="1"/>
        </w:rPr>
        <w:t>（2）</w:t>
      </w:r>
      <w:r>
        <w:rPr>
          <w:spacing w:val="-3"/>
          <w:position w:val="1"/>
        </w:rPr>
        <w:t>动脉血氧分压 </w:t>
      </w:r>
      <w:r>
        <w:rPr>
          <w:position w:val="1"/>
        </w:rPr>
        <w:t>（PaO</w:t>
      </w:r>
      <w:r>
        <w:rPr>
          <w:spacing w:val="-52"/>
          <w:position w:val="1"/>
        </w:rPr>
        <w:t> </w:t>
      </w:r>
      <w:r>
        <w:rPr>
          <w:sz w:val="11"/>
        </w:rPr>
        <w:t>2 </w:t>
      </w:r>
      <w:r>
        <w:rPr>
          <w:position w:val="1"/>
        </w:rPr>
        <w:t>）&lt; 50mmHg；</w:t>
      </w:r>
    </w:p>
    <w:p>
      <w:pPr>
        <w:pStyle w:val="BodyText"/>
        <w:spacing w:before="36"/>
        <w:ind w:left="2400"/>
      </w:pPr>
      <w:r>
        <w:rPr>
          <w:position w:val="1"/>
        </w:rPr>
        <w:t>（3）动脉血氧饱和度 （SaO </w:t>
      </w:r>
      <w:r>
        <w:rPr>
          <w:sz w:val="11"/>
        </w:rPr>
        <w:t>2 </w:t>
      </w:r>
      <w:r>
        <w:rPr>
          <w:position w:val="1"/>
        </w:rPr>
        <w:t>）&lt; 80％；</w:t>
      </w:r>
    </w:p>
    <w:p>
      <w:pPr>
        <w:pStyle w:val="BodyText"/>
        <w:ind w:left="2400"/>
      </w:pPr>
      <w:r>
        <w:rPr/>
        <w:t>（4）因缺氧必须接受持续的输氧治疗。</w:t>
      </w:r>
    </w:p>
    <w:p>
      <w:pPr>
        <w:pStyle w:val="BodyText"/>
        <w:spacing w:before="9"/>
        <w:ind w:left="0"/>
        <w:rPr>
          <w:sz w:val="26"/>
        </w:rPr>
      </w:pPr>
    </w:p>
    <w:p>
      <w:pPr>
        <w:pStyle w:val="Heading3"/>
      </w:pPr>
      <w:bookmarkStart w:name="（二十七）严重多发性硬化" w:id="55"/>
      <w:bookmarkEnd w:id="55"/>
      <w:r>
        <w:rPr>
          <w:b w:val="0"/>
        </w:rPr>
      </w:r>
      <w:r>
        <w:rPr/>
        <w:t>（二十七）严重多发性硬化</w:t>
      </w:r>
    </w:p>
    <w:p>
      <w:pPr>
        <w:pStyle w:val="BodyText"/>
        <w:spacing w:line="273" w:lineRule="auto"/>
        <w:ind w:right="9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0"/>
      </w:pPr>
      <w:r>
        <w:rPr/>
        <w:t>（1）移动：自己从一个房间移动到另一个房间；或者</w:t>
      </w:r>
    </w:p>
    <w:p>
      <w:pPr>
        <w:pStyle w:val="BodyText"/>
        <w:spacing w:before="36"/>
        <w:ind w:left="2400"/>
      </w:pPr>
      <w:r>
        <w:rPr/>
        <w:t>（2）进食：自己从已准备好的碗或碟中取食物放入口中。</w:t>
      </w:r>
    </w:p>
    <w:p>
      <w:pPr>
        <w:pStyle w:val="BodyText"/>
        <w:spacing w:before="8"/>
        <w:ind w:left="0"/>
        <w:rPr>
          <w:sz w:val="26"/>
        </w:rPr>
      </w:pPr>
    </w:p>
    <w:p>
      <w:pPr>
        <w:pStyle w:val="Heading3"/>
      </w:pPr>
      <w:bookmarkStart w:name="（二十八）严重冠心病" w:id="56"/>
      <w:bookmarkEnd w:id="56"/>
      <w:r>
        <w:rPr>
          <w:b w:val="0"/>
        </w:rPr>
      </w:r>
      <w:r>
        <w:rPr/>
        <w:t>（二十八）严重冠心病</w:t>
      </w:r>
    </w:p>
    <w:p>
      <w:pPr>
        <w:pStyle w:val="BodyText"/>
        <w:spacing w:line="273" w:lineRule="auto" w:before="36"/>
        <w:ind w:left="1967" w:right="135" w:firstLine="432"/>
        <w:jc w:val="both"/>
      </w:pPr>
      <w:r>
        <w:rPr>
          <w:spacing w:val="-5"/>
        </w:rPr>
        <w:t>指经心脏科专科医师根据冠状动脉造影检查结果确诊的三支主要血管</w:t>
      </w:r>
      <w:r>
        <w:rPr>
          <w:spacing w:val="-4"/>
        </w:rPr>
        <w:t>（</w:t>
      </w:r>
      <w:r>
        <w:rPr/>
        <w:t>左</w:t>
      </w:r>
      <w:r>
        <w:rPr>
          <w:spacing w:val="-5"/>
        </w:rPr>
        <w:t>冠状动脉主干和右冠状动脉，或前降支、左旋支和右冠状动脉</w:t>
      </w:r>
      <w:r>
        <w:rPr>
          <w:spacing w:val="-10"/>
        </w:rPr>
        <w:t>）</w:t>
      </w:r>
      <w:r>
        <w:rPr>
          <w:spacing w:val="-3"/>
        </w:rPr>
        <w:t>严重狭窄性病变（至少一支血管管腔直径减少 </w:t>
      </w:r>
      <w:r>
        <w:rPr/>
        <w:t>75％</w:t>
      </w:r>
      <w:r>
        <w:rPr>
          <w:spacing w:val="-3"/>
        </w:rPr>
        <w:t>以上和其他两支血管管腔直径减少 </w:t>
      </w:r>
      <w:r>
        <w:rPr/>
        <w:t>60％ 以上</w:t>
      </w:r>
      <w:r>
        <w:rPr>
          <w:spacing w:val="-106"/>
        </w:rPr>
        <w:t>）</w:t>
      </w:r>
      <w:r>
        <w:rPr/>
        <w:t>。前降支、左旋支及右冠状动脉的分支血管的狭窄不作为本保障的衡量指标。</w:t>
      </w:r>
    </w:p>
    <w:p>
      <w:pPr>
        <w:pStyle w:val="BodyText"/>
        <w:spacing w:before="5"/>
        <w:ind w:left="0"/>
        <w:rPr>
          <w:sz w:val="24"/>
        </w:rPr>
      </w:pPr>
    </w:p>
    <w:p>
      <w:pPr>
        <w:pStyle w:val="Heading3"/>
      </w:pPr>
      <w:bookmarkStart w:name="（二十九）严重心肌病" w:id="57"/>
      <w:bookmarkEnd w:id="57"/>
      <w:r>
        <w:rPr>
          <w:b w:val="0"/>
        </w:rPr>
      </w:r>
      <w:r>
        <w:rPr/>
        <w:t>（二十九）严重心肌病</w:t>
      </w:r>
    </w:p>
    <w:p>
      <w:pPr>
        <w:pStyle w:val="BodyText"/>
        <w:spacing w:line="273" w:lineRule="auto"/>
        <w:ind w:right="99" w:firstLine="431"/>
        <w:jc w:val="both"/>
      </w:pPr>
      <w:r>
        <w:rPr/>
        <w:t>指被保人因心肌病导致慢性心功能损害造成永久不可逆性的心功能衰竭， 心功能衰竭程度达到纽约心脏病学会的心功能分级标准之心功能 IV 级。被保险人永久不可逆性的体力活动能力受限，不能从事任何体力活动。</w:t>
      </w:r>
    </w:p>
    <w:p>
      <w:pPr>
        <w:pStyle w:val="BodyText"/>
        <w:spacing w:before="5"/>
        <w:ind w:left="0"/>
        <w:rPr>
          <w:sz w:val="24"/>
        </w:rPr>
      </w:pPr>
    </w:p>
    <w:p>
      <w:pPr>
        <w:pStyle w:val="Heading3"/>
        <w:spacing w:before="1"/>
      </w:pPr>
      <w:bookmarkStart w:name="（三十）系统性红斑狼疮 － III型或III型以上狼疮性肾炎" w:id="58"/>
      <w:bookmarkEnd w:id="58"/>
      <w:r>
        <w:rPr>
          <w:b w:val="0"/>
        </w:rPr>
      </w:r>
      <w:r>
        <w:rPr/>
        <w:t>（三十）系统性红斑狼疮 － III型或III型以上狼疮性肾炎</w:t>
      </w:r>
    </w:p>
    <w:p>
      <w:pPr>
        <w:spacing w:before="28"/>
        <w:ind w:left="2400" w:right="0" w:firstLine="0"/>
        <w:jc w:val="left"/>
        <w:rPr>
          <w:sz w:val="22"/>
        </w:rPr>
      </w:pPr>
      <w:r>
        <w:rPr>
          <w:sz w:val="22"/>
        </w:rPr>
        <w:t>系统性红斑狼疮是由多种因素引起，累及多系统的自身免疫性疾病。</w:t>
      </w:r>
    </w:p>
    <w:p>
      <w:pPr>
        <w:spacing w:after="0"/>
        <w:jc w:val="left"/>
        <w:rPr>
          <w:sz w:val="22"/>
        </w:rPr>
        <w:sectPr>
          <w:pgSz w:w="11910" w:h="16840"/>
          <w:pgMar w:top="1080" w:bottom="280" w:left="1680" w:right="1000"/>
        </w:sectPr>
      </w:pPr>
    </w:p>
    <w:p>
      <w:pPr>
        <w:spacing w:before="12"/>
        <w:ind w:left="1968" w:right="0" w:firstLine="0"/>
        <w:jc w:val="left"/>
        <w:rPr>
          <w:sz w:val="22"/>
        </w:rPr>
      </w:pPr>
      <w:r>
        <w:rPr>
          <w:sz w:val="22"/>
        </w:rPr>
        <w:t>其特点是生成自身抗体对抗多种自身抗原。多见于育龄妇女。</w:t>
      </w:r>
    </w:p>
    <w:p>
      <w:pPr>
        <w:spacing w:line="259" w:lineRule="auto" w:before="23"/>
        <w:ind w:left="1967" w:right="295"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疮。其他类型的红斑性狼疮，如盘状狼疮、仅累及血液及关节的狼疮不在本保单保障范围內。</w:t>
      </w:r>
    </w:p>
    <w:p>
      <w:pPr>
        <w:spacing w:line="520" w:lineRule="auto" w:before="6"/>
        <w:ind w:left="1968" w:right="2942" w:firstLine="431"/>
        <w:jc w:val="left"/>
        <w:rPr>
          <w:sz w:val="22"/>
        </w:rPr>
      </w:pPr>
      <w:r>
        <w:rPr/>
        <w:pict>
          <v:shapetype id="_x0000_t202" o:spt="202" coordsize="21600,21600" path="m,l,21600r21600,l21600,xe">
            <v:stroke joinstyle="miter"/>
            <v:path gradientshapeok="t" o:connecttype="rect"/>
          </v:shapetype>
          <v:shape style="position:absolute;margin-left:178.638565pt;margin-top:50.462555pt;width:204.8pt;height:89.0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0"/>
                    <w:ind w:left="0"/>
                  </w:pPr>
                </w:p>
              </w:txbxContent>
            </v:textbox>
            <w10:wrap type="none"/>
          </v:shape>
        </w:pict>
      </w:r>
      <w:r>
        <w:rPr>
          <w:sz w:val="22"/>
        </w:rPr>
        <w:t>本病必须由免疫和风湿科专家医师确诊。</w:t>
      </w:r>
      <w:r>
        <w:rPr>
          <w:sz w:val="22"/>
          <w:u w:val="single"/>
        </w:rPr>
        <w:t>世界卫生组织（WHO）狼疮性肾炎分型：</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17"/>
        </w:rPr>
      </w:pPr>
    </w:p>
    <w:p>
      <w:pPr>
        <w:spacing w:before="1"/>
        <w:ind w:left="1968" w:right="0" w:firstLine="0"/>
        <w:jc w:val="left"/>
        <w:rPr>
          <w:b/>
          <w:sz w:val="22"/>
        </w:rPr>
      </w:pPr>
      <w:bookmarkStart w:name="（三十一）经输血导致的人类免疫缺陷病毒感染" w:id="59"/>
      <w:bookmarkEnd w:id="59"/>
      <w:r>
        <w:rPr/>
      </w:r>
      <w:r>
        <w:rPr>
          <w:b/>
          <w:sz w:val="21"/>
        </w:rPr>
        <w:t>（三十一）</w:t>
      </w:r>
      <w:r>
        <w:rPr>
          <w:b/>
          <w:sz w:val="22"/>
        </w:rPr>
        <w:t>经输血导致的人类免疫缺陷病毒感染</w:t>
      </w:r>
    </w:p>
    <w:p>
      <w:pPr>
        <w:pStyle w:val="BodyText"/>
        <w:spacing w:before="33"/>
        <w:ind w:left="2400"/>
      </w:pPr>
      <w:r>
        <w:rPr/>
        <w:t>被保险人感染上人类免疫缺陷病毒（HIV）并且满足下列全部条件：</w:t>
      </w:r>
    </w:p>
    <w:p>
      <w:pPr>
        <w:pStyle w:val="BodyText"/>
        <w:spacing w:before="36"/>
        <w:ind w:left="2395"/>
      </w:pPr>
      <w:r>
        <w:rPr/>
        <w:t>（1）在保障起始日或复效日之后，被保险人因输血而感染 HIV；</w:t>
      </w:r>
    </w:p>
    <w:p>
      <w:pPr>
        <w:pStyle w:val="BodyText"/>
        <w:spacing w:line="273" w:lineRule="auto" w:before="36"/>
        <w:ind w:right="216" w:firstLine="427"/>
      </w:pPr>
      <w:r>
        <w:rPr/>
        <w:t>（2）提供输血治疗的输血中心或医院出具该项输血感染属医疗责任事故的报告，或者法院终审裁定为医疗责任并且不准上诉；</w:t>
      </w:r>
    </w:p>
    <w:p>
      <w:pPr>
        <w:pStyle w:val="BodyText"/>
        <w:spacing w:before="7"/>
        <w:ind w:left="2395"/>
      </w:pPr>
      <w:r>
        <w:rPr/>
        <w:t>（3）受感染的被保险人不是血友病患者。</w:t>
      </w:r>
    </w:p>
    <w:p>
      <w:pPr>
        <w:pStyle w:val="BodyText"/>
        <w:spacing w:line="273" w:lineRule="auto"/>
        <w:ind w:right="217" w:firstLine="427"/>
      </w:pPr>
      <w:r>
        <w:rPr>
          <w:spacing w:val="-5"/>
        </w:rPr>
        <w:t>在任何治愈艾滋病</w:t>
      </w:r>
      <w:r>
        <w:rPr>
          <w:spacing w:val="-3"/>
        </w:rPr>
        <w:t>（AIDS）</w:t>
      </w:r>
      <w:r>
        <w:rPr>
          <w:spacing w:val="-11"/>
        </w:rPr>
        <w:t>或阻止 </w:t>
      </w:r>
      <w:r>
        <w:rPr/>
        <w:t>HIV</w:t>
      </w:r>
      <w:r>
        <w:rPr>
          <w:spacing w:val="-9"/>
        </w:rPr>
        <w:t> 病毒作用的疗法被发现以后，或能</w:t>
      </w:r>
      <w:r>
        <w:rPr>
          <w:spacing w:val="-19"/>
        </w:rPr>
        <w:t>防止 </w:t>
      </w:r>
      <w:r>
        <w:rPr/>
        <w:t>AIDS</w:t>
      </w:r>
      <w:r>
        <w:rPr>
          <w:spacing w:val="-8"/>
        </w:rPr>
        <w:t> 发生的医疗方法被研究出来以后，本保障将不再予以赔付。</w:t>
      </w:r>
    </w:p>
    <w:p>
      <w:pPr>
        <w:pStyle w:val="BodyText"/>
        <w:spacing w:line="273" w:lineRule="auto" w:before="8"/>
        <w:ind w:right="218" w:firstLine="427"/>
        <w:jc w:val="both"/>
      </w:pPr>
      <w:r>
        <w:rPr>
          <w:spacing w:val="-5"/>
        </w:rPr>
        <w:t>任何因其他传播方式</w:t>
      </w:r>
      <w:r>
        <w:rPr>
          <w:spacing w:val="-3"/>
        </w:rPr>
        <w:t>（</w:t>
      </w:r>
      <w:r>
        <w:rPr>
          <w:spacing w:val="-5"/>
        </w:rPr>
        <w:t>包括：性传播或静脉注射毒品</w:t>
      </w:r>
      <w:r>
        <w:rPr>
          <w:spacing w:val="-13"/>
        </w:rPr>
        <w:t>）</w:t>
      </w:r>
      <w:r>
        <w:rPr>
          <w:spacing w:val="-12"/>
        </w:rPr>
        <w:t>导致的 </w:t>
      </w:r>
      <w:r>
        <w:rPr/>
        <w:t>HIV</w:t>
      </w:r>
      <w:r>
        <w:rPr>
          <w:spacing w:val="-12"/>
        </w:rPr>
        <w:t> 感染不</w:t>
      </w:r>
      <w:r>
        <w:rPr>
          <w:spacing w:val="-8"/>
        </w:rPr>
        <w:t>在本保单保障范围内。保险公司必须拥有获得使用被保险人的所有血液样本的</w:t>
      </w:r>
      <w:r>
        <w:rPr>
          <w:spacing w:val="-3"/>
        </w:rPr>
        <w:t>权利和能够对这些样本进行独立检验的权利。</w:t>
      </w:r>
    </w:p>
    <w:p>
      <w:pPr>
        <w:pStyle w:val="BodyText"/>
        <w:spacing w:before="10"/>
        <w:ind w:left="0"/>
        <w:rPr>
          <w:sz w:val="23"/>
        </w:rPr>
      </w:pPr>
    </w:p>
    <w:p>
      <w:pPr>
        <w:spacing w:before="0"/>
        <w:ind w:left="1968" w:right="0" w:firstLine="0"/>
        <w:jc w:val="left"/>
        <w:rPr>
          <w:b/>
          <w:sz w:val="22"/>
        </w:rPr>
      </w:pPr>
      <w:bookmarkStart w:name="（三十二）因职业关系导致的人类免疫缺陷病毒（HIV）感染" w:id="60"/>
      <w:bookmarkEnd w:id="60"/>
      <w:r>
        <w:rPr/>
      </w:r>
      <w:r>
        <w:rPr>
          <w:b/>
          <w:sz w:val="21"/>
        </w:rPr>
        <w:t>（三十二）</w:t>
      </w:r>
      <w:r>
        <w:rPr>
          <w:b/>
          <w:sz w:val="22"/>
        </w:rPr>
        <w:t>因职业关系导致的人类免疫缺陷病毒（</w:t>
      </w:r>
      <w:r>
        <w:rPr>
          <w:rFonts w:ascii="Arial" w:eastAsia="Arial"/>
          <w:b/>
          <w:sz w:val="22"/>
        </w:rPr>
        <w:t>HIV</w:t>
      </w:r>
      <w:r>
        <w:rPr>
          <w:b/>
          <w:sz w:val="22"/>
        </w:rPr>
        <w:t>）感染</w:t>
      </w:r>
    </w:p>
    <w:p>
      <w:pPr>
        <w:spacing w:line="259" w:lineRule="auto" w:before="8"/>
        <w:ind w:left="1967" w:right="304" w:firstLine="432"/>
        <w:jc w:val="left"/>
        <w:rPr>
          <w:sz w:val="22"/>
        </w:rPr>
      </w:pPr>
      <w:r>
        <w:rPr>
          <w:sz w:val="22"/>
        </w:rPr>
        <w:t>被保险人在其常规职业工作过程中遭遇外伤，或者职业需要处理血液或者其他体液时感染上人类免疫缺陷病毒（HIV）。</w:t>
      </w:r>
    </w:p>
    <w:p>
      <w:pPr>
        <w:spacing w:before="6"/>
        <w:ind w:left="2400" w:right="0" w:firstLine="0"/>
        <w:jc w:val="left"/>
        <w:rPr>
          <w:sz w:val="22"/>
        </w:rPr>
      </w:pPr>
      <w:r>
        <w:rPr>
          <w:sz w:val="22"/>
        </w:rPr>
        <w:t>必须满足下列全部条件：</w:t>
      </w:r>
    </w:p>
    <w:p>
      <w:pPr>
        <w:spacing w:line="259" w:lineRule="auto" w:before="23"/>
        <w:ind w:left="1968" w:right="168" w:firstLine="431"/>
        <w:jc w:val="left"/>
        <w:rPr>
          <w:sz w:val="22"/>
        </w:rPr>
      </w:pPr>
      <w:r>
        <w:rPr>
          <w:sz w:val="22"/>
        </w:rPr>
        <w:t>（1）感染必须是在被保险人正在从事其职业工作中发生，该职业必须属于以下列表内的职业；</w:t>
      </w:r>
    </w:p>
    <w:p>
      <w:pPr>
        <w:spacing w:before="5"/>
        <w:ind w:left="2400" w:right="0" w:firstLine="0"/>
        <w:jc w:val="left"/>
        <w:rPr>
          <w:sz w:val="22"/>
        </w:rPr>
      </w:pPr>
      <w:r>
        <w:rPr>
          <w:sz w:val="22"/>
        </w:rPr>
        <w:t>（2）血清转化必须出现在事故发生后的 6 个月以内；</w:t>
      </w:r>
    </w:p>
    <w:p>
      <w:pPr>
        <w:spacing w:line="259" w:lineRule="auto" w:before="23"/>
        <w:ind w:left="1968" w:right="107" w:firstLine="432"/>
        <w:jc w:val="left"/>
        <w:rPr>
          <w:sz w:val="22"/>
        </w:rPr>
      </w:pPr>
      <w:r>
        <w:rPr>
          <w:w w:val="100"/>
          <w:sz w:val="22"/>
        </w:rPr>
        <w:t>（3</w:t>
      </w:r>
      <w:r>
        <w:rPr>
          <w:spacing w:val="-111"/>
          <w:w w:val="100"/>
          <w:sz w:val="22"/>
        </w:rPr>
        <w:t>）</w:t>
      </w:r>
      <w:r>
        <w:rPr>
          <w:spacing w:val="-3"/>
          <w:w w:val="100"/>
          <w:sz w:val="22"/>
        </w:rPr>
        <w:t>必须提供被保险人在所报事故发生后的</w:t>
      </w:r>
      <w:r>
        <w:rPr>
          <w:spacing w:val="-69"/>
          <w:sz w:val="22"/>
        </w:rPr>
        <w:t> </w:t>
      </w:r>
      <w:r>
        <w:rPr>
          <w:w w:val="100"/>
          <w:sz w:val="22"/>
        </w:rPr>
        <w:t>5</w:t>
      </w:r>
      <w:r>
        <w:rPr>
          <w:spacing w:val="-67"/>
          <w:sz w:val="22"/>
        </w:rPr>
        <w:t> </w:t>
      </w:r>
      <w:r>
        <w:rPr>
          <w:spacing w:val="-3"/>
          <w:w w:val="100"/>
          <w:sz w:val="22"/>
        </w:rPr>
        <w:t>日以内进行的检查报告，</w:t>
      </w:r>
      <w:r>
        <w:rPr>
          <w:spacing w:val="-7"/>
          <w:sz w:val="22"/>
        </w:rPr>
        <w:t>该报告必须显示被保险人血液 </w:t>
      </w:r>
      <w:r>
        <w:rPr>
          <w:sz w:val="22"/>
        </w:rPr>
        <w:t>HIV</w:t>
      </w:r>
      <w:r>
        <w:rPr>
          <w:spacing w:val="-10"/>
          <w:sz w:val="22"/>
        </w:rPr>
        <w:t> 病毒阴性和</w:t>
      </w:r>
      <w:r>
        <w:rPr>
          <w:spacing w:val="-3"/>
          <w:sz w:val="22"/>
        </w:rPr>
        <w:t>/</w:t>
      </w:r>
      <w:r>
        <w:rPr>
          <w:spacing w:val="-27"/>
          <w:sz w:val="22"/>
        </w:rPr>
        <w:t>或 </w:t>
      </w:r>
      <w:r>
        <w:rPr>
          <w:sz w:val="22"/>
        </w:rPr>
        <w:t>HIV</w:t>
      </w:r>
      <w:r>
        <w:rPr>
          <w:spacing w:val="-10"/>
          <w:sz w:val="22"/>
        </w:rPr>
        <w:t> 抗体阴性；</w:t>
      </w:r>
    </w:p>
    <w:p>
      <w:pPr>
        <w:spacing w:line="259" w:lineRule="auto" w:before="6"/>
        <w:ind w:left="1967" w:right="299"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2399" w:right="0" w:firstLine="0"/>
        <w:jc w:val="left"/>
        <w:rPr>
          <w:sz w:val="22"/>
        </w:rPr>
      </w:pPr>
      <w:r>
        <w:rPr>
          <w:sz w:val="22"/>
        </w:rPr>
        <w:t>职业限制如下所示:</w:t>
      </w:r>
    </w:p>
    <w:p>
      <w:pPr>
        <w:pStyle w:val="BodyText"/>
        <w:spacing w:before="12"/>
        <w:ind w:left="0"/>
        <w:rPr>
          <w:sz w:val="6"/>
        </w:rPr>
      </w:pPr>
    </w:p>
    <w:tbl>
      <w:tblPr>
        <w:tblW w:w="0" w:type="auto"/>
        <w:jc w:val="left"/>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2532"/>
      </w:tblGrid>
      <w:tr>
        <w:trPr>
          <w:trHeight w:val="266" w:hRule="atLeast"/>
        </w:trPr>
        <w:tc>
          <w:tcPr>
            <w:tcW w:w="2971" w:type="dxa"/>
          </w:tcPr>
          <w:p>
            <w:pPr>
              <w:pStyle w:val="TableParagraph"/>
              <w:spacing w:line="221" w:lineRule="exact"/>
              <w:ind w:left="200"/>
              <w:rPr>
                <w:sz w:val="22"/>
              </w:rPr>
            </w:pPr>
            <w:r>
              <w:rPr>
                <w:sz w:val="22"/>
              </w:rPr>
              <w:t>医生和牙科医生</w:t>
            </w:r>
          </w:p>
        </w:tc>
        <w:tc>
          <w:tcPr>
            <w:tcW w:w="2532" w:type="dxa"/>
          </w:tcPr>
          <w:p>
            <w:pPr>
              <w:pStyle w:val="TableParagraph"/>
              <w:spacing w:line="221" w:lineRule="exact"/>
              <w:ind w:left="788"/>
              <w:rPr>
                <w:sz w:val="22"/>
              </w:rPr>
            </w:pPr>
            <w:r>
              <w:rPr>
                <w:sz w:val="22"/>
              </w:rPr>
              <w:t>护士</w:t>
            </w:r>
          </w:p>
        </w:tc>
      </w:tr>
      <w:tr>
        <w:trPr>
          <w:trHeight w:val="311" w:hRule="atLeast"/>
        </w:trPr>
        <w:tc>
          <w:tcPr>
            <w:tcW w:w="2971" w:type="dxa"/>
          </w:tcPr>
          <w:p>
            <w:pPr>
              <w:pStyle w:val="TableParagraph"/>
              <w:spacing w:line="266" w:lineRule="exact"/>
              <w:ind w:left="200"/>
              <w:rPr>
                <w:sz w:val="22"/>
              </w:rPr>
            </w:pPr>
            <w:r>
              <w:rPr>
                <w:sz w:val="22"/>
              </w:rPr>
              <w:t>实验室工作人员</w:t>
            </w:r>
          </w:p>
        </w:tc>
        <w:tc>
          <w:tcPr>
            <w:tcW w:w="2532" w:type="dxa"/>
          </w:tcPr>
          <w:p>
            <w:pPr>
              <w:pStyle w:val="TableParagraph"/>
              <w:spacing w:line="266" w:lineRule="exact"/>
              <w:ind w:left="788"/>
              <w:rPr>
                <w:sz w:val="22"/>
              </w:rPr>
            </w:pPr>
            <w:r>
              <w:rPr>
                <w:sz w:val="22"/>
              </w:rPr>
              <w:t>医院护工</w:t>
            </w:r>
          </w:p>
        </w:tc>
      </w:tr>
      <w:tr>
        <w:trPr>
          <w:trHeight w:val="311" w:hRule="atLeast"/>
        </w:trPr>
        <w:tc>
          <w:tcPr>
            <w:tcW w:w="2971" w:type="dxa"/>
          </w:tcPr>
          <w:p>
            <w:pPr>
              <w:pStyle w:val="TableParagraph"/>
              <w:spacing w:line="266" w:lineRule="exact"/>
              <w:ind w:left="200"/>
              <w:rPr>
                <w:sz w:val="22"/>
              </w:rPr>
            </w:pPr>
            <w:r>
              <w:rPr>
                <w:sz w:val="22"/>
              </w:rPr>
              <w:t>医生助理和牙医助理</w:t>
            </w:r>
          </w:p>
        </w:tc>
        <w:tc>
          <w:tcPr>
            <w:tcW w:w="2532" w:type="dxa"/>
          </w:tcPr>
          <w:p>
            <w:pPr>
              <w:pStyle w:val="TableParagraph"/>
              <w:spacing w:line="266" w:lineRule="exact"/>
              <w:ind w:left="788"/>
              <w:rPr>
                <w:sz w:val="22"/>
              </w:rPr>
            </w:pPr>
            <w:r>
              <w:rPr>
                <w:sz w:val="22"/>
              </w:rPr>
              <w:t>救护车工作人员</w:t>
            </w:r>
          </w:p>
        </w:tc>
      </w:tr>
      <w:tr>
        <w:trPr>
          <w:trHeight w:val="311" w:hRule="atLeast"/>
        </w:trPr>
        <w:tc>
          <w:tcPr>
            <w:tcW w:w="2971" w:type="dxa"/>
          </w:tcPr>
          <w:p>
            <w:pPr>
              <w:pStyle w:val="TableParagraph"/>
              <w:spacing w:line="266" w:lineRule="exact"/>
              <w:ind w:left="200"/>
              <w:rPr>
                <w:sz w:val="22"/>
              </w:rPr>
            </w:pPr>
            <w:r>
              <w:rPr>
                <w:sz w:val="22"/>
              </w:rPr>
              <w:t>助产士</w:t>
            </w:r>
          </w:p>
        </w:tc>
        <w:tc>
          <w:tcPr>
            <w:tcW w:w="2532" w:type="dxa"/>
          </w:tcPr>
          <w:p>
            <w:pPr>
              <w:pStyle w:val="TableParagraph"/>
              <w:spacing w:line="266" w:lineRule="exact"/>
              <w:ind w:left="788"/>
              <w:rPr>
                <w:sz w:val="22"/>
              </w:rPr>
            </w:pPr>
            <w:r>
              <w:rPr>
                <w:sz w:val="22"/>
              </w:rPr>
              <w:t>消防队员</w:t>
            </w:r>
          </w:p>
        </w:tc>
      </w:tr>
      <w:tr>
        <w:trPr>
          <w:trHeight w:val="266" w:hRule="atLeast"/>
        </w:trPr>
        <w:tc>
          <w:tcPr>
            <w:tcW w:w="2971" w:type="dxa"/>
          </w:tcPr>
          <w:p>
            <w:pPr>
              <w:pStyle w:val="TableParagraph"/>
              <w:spacing w:line="246" w:lineRule="exact"/>
              <w:ind w:left="200"/>
              <w:rPr>
                <w:sz w:val="22"/>
              </w:rPr>
            </w:pPr>
            <w:r>
              <w:rPr>
                <w:sz w:val="22"/>
              </w:rPr>
              <w:t>警察</w:t>
            </w:r>
          </w:p>
        </w:tc>
        <w:tc>
          <w:tcPr>
            <w:tcW w:w="2532" w:type="dxa"/>
          </w:tcPr>
          <w:p>
            <w:pPr>
              <w:pStyle w:val="TableParagraph"/>
              <w:spacing w:line="246" w:lineRule="exact"/>
              <w:ind w:left="788"/>
              <w:rPr>
                <w:sz w:val="22"/>
              </w:rPr>
            </w:pPr>
            <w:r>
              <w:rPr>
                <w:sz w:val="22"/>
              </w:rPr>
              <w:t>狱警</w:t>
            </w:r>
          </w:p>
        </w:tc>
      </w:tr>
    </w:tbl>
    <w:p>
      <w:pPr>
        <w:pStyle w:val="BodyText"/>
        <w:spacing w:before="5"/>
        <w:ind w:left="0"/>
        <w:rPr>
          <w:sz w:val="26"/>
        </w:rPr>
      </w:pPr>
    </w:p>
    <w:p>
      <w:pPr>
        <w:pStyle w:val="Heading3"/>
      </w:pPr>
      <w:bookmarkStart w:name="（三十三）脊髓灰质炎" w:id="61"/>
      <w:bookmarkEnd w:id="61"/>
      <w:r>
        <w:rPr>
          <w:b w:val="0"/>
        </w:rPr>
      </w:r>
      <w:r>
        <w:rPr/>
        <w:t>（三十三）脊髓灰质炎</w:t>
      </w:r>
    </w:p>
    <w:p>
      <w:pPr>
        <w:spacing w:after="0"/>
        <w:sectPr>
          <w:pgSz w:w="11910" w:h="16840"/>
          <w:pgMar w:top="1080" w:bottom="280" w:left="168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89"/>
        <w:gridCol w:w="7685"/>
      </w:tblGrid>
      <w:tr>
        <w:trPr>
          <w:trHeight w:val="1665"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685" w:type="dxa"/>
          </w:tcPr>
          <w:p>
            <w:pPr>
              <w:pStyle w:val="TableParagraph"/>
              <w:spacing w:line="211" w:lineRule="exact"/>
              <w:ind w:left="791"/>
              <w:rPr>
                <w:sz w:val="21"/>
              </w:rPr>
            </w:pPr>
            <w:r>
              <w:rPr>
                <w:sz w:val="21"/>
              </w:rPr>
              <w:t>脊髓灰质炎是由于脊髓灰质炎病毒感染所致的瘫痪性疾病，临床表现为运</w:t>
            </w:r>
          </w:p>
          <w:p>
            <w:pPr>
              <w:pStyle w:val="TableParagraph"/>
              <w:spacing w:line="273" w:lineRule="auto" w:before="37"/>
              <w:ind w:left="360" w:right="198"/>
              <w:jc w:val="both"/>
              <w:rPr>
                <w:sz w:val="21"/>
              </w:rPr>
            </w:pPr>
            <w:r>
              <w:rPr>
                <w:spacing w:val="-6"/>
                <w:sz w:val="21"/>
              </w:rPr>
              <w:t>动功能损害或呼吸无力。脊髓灰质炎必须明确诊断。本保单仅对脊髓灰质炎造</w:t>
            </w:r>
            <w:r>
              <w:rPr>
                <w:spacing w:val="0"/>
                <w:sz w:val="21"/>
              </w:rPr>
              <w:t>成的神经系统功能损害导致被保险人一肢或一肢以上肢体机能永久完全丧失</w:t>
            </w:r>
            <w:r>
              <w:rPr>
                <w:spacing w:val="-7"/>
                <w:sz w:val="21"/>
              </w:rPr>
              <w:t>的情况予以理赔。肢体机能永久完全丧失，指疾病确诊 </w:t>
            </w:r>
            <w:r>
              <w:rPr>
                <w:sz w:val="21"/>
              </w:rPr>
              <w:t>180</w:t>
            </w:r>
            <w:r>
              <w:rPr>
                <w:spacing w:val="-10"/>
                <w:sz w:val="21"/>
              </w:rPr>
              <w:t> 日后，每肢三大关</w:t>
            </w:r>
            <w:r>
              <w:rPr>
                <w:spacing w:val="-3"/>
                <w:sz w:val="21"/>
              </w:rPr>
              <w:t>节中的两大关节仍然完全僵硬，或不能随意识活动。</w:t>
            </w:r>
          </w:p>
        </w:tc>
      </w:tr>
      <w:tr>
        <w:trPr>
          <w:trHeight w:val="10303" w:hRule="atLeast"/>
        </w:trPr>
        <w:tc>
          <w:tcPr>
            <w:tcW w:w="679" w:type="dxa"/>
          </w:tcPr>
          <w:p>
            <w:pPr>
              <w:pStyle w:val="TableParagraph"/>
              <w:spacing w:before="142"/>
              <w:ind w:left="200"/>
              <w:rPr>
                <w:b/>
                <w:sz w:val="21"/>
              </w:rPr>
            </w:pPr>
            <w:r>
              <w:rPr>
                <w:b/>
                <w:sz w:val="21"/>
              </w:rPr>
              <w:t>8.8</w:t>
            </w:r>
          </w:p>
        </w:tc>
        <w:tc>
          <w:tcPr>
            <w:tcW w:w="1789" w:type="dxa"/>
          </w:tcPr>
          <w:p>
            <w:pPr>
              <w:pStyle w:val="TableParagraph"/>
              <w:spacing w:before="142"/>
              <w:ind w:left="161"/>
              <w:rPr>
                <w:b/>
                <w:sz w:val="21"/>
              </w:rPr>
            </w:pPr>
            <w:r>
              <w:rPr>
                <w:b/>
                <w:sz w:val="21"/>
              </w:rPr>
              <w:t>成人轻症疾病</w:t>
            </w:r>
          </w:p>
        </w:tc>
        <w:tc>
          <w:tcPr>
            <w:tcW w:w="7685" w:type="dxa"/>
          </w:tcPr>
          <w:p>
            <w:pPr>
              <w:pStyle w:val="TableParagraph"/>
              <w:spacing w:before="142"/>
              <w:ind w:left="360"/>
              <w:rPr>
                <w:b/>
                <w:sz w:val="21"/>
              </w:rPr>
            </w:pPr>
            <w:bookmarkStart w:name="（一）非危及生命的恶性病变" w:id="62"/>
            <w:bookmarkEnd w:id="62"/>
            <w:r>
              <w:rPr/>
            </w:r>
            <w:r>
              <w:rPr>
                <w:b/>
                <w:sz w:val="21"/>
              </w:rPr>
              <w:t>（一）非危及生命的恶性病变</w:t>
            </w:r>
          </w:p>
          <w:p>
            <w:pPr>
              <w:pStyle w:val="TableParagraph"/>
              <w:spacing w:line="273" w:lineRule="auto" w:before="36"/>
              <w:ind w:left="359" w:right="198" w:firstLine="420"/>
              <w:rPr>
                <w:sz w:val="21"/>
              </w:rPr>
            </w:pPr>
            <w:r>
              <w:rPr>
                <w:sz w:val="21"/>
              </w:rPr>
              <w:t>指经组织病理学检查被明确诊断为下列恶性病变，并且接受了相应的治疗。</w:t>
            </w:r>
          </w:p>
          <w:p>
            <w:pPr>
              <w:pStyle w:val="TableParagraph"/>
              <w:spacing w:before="7"/>
              <w:ind w:left="580"/>
              <w:rPr>
                <w:sz w:val="21"/>
              </w:rPr>
            </w:pPr>
            <w:r>
              <w:rPr>
                <w:sz w:val="21"/>
              </w:rPr>
              <w:t>（</w:t>
            </w:r>
            <w:r>
              <w:rPr>
                <w:rFonts w:ascii="Arial" w:eastAsia="Arial"/>
                <w:sz w:val="21"/>
              </w:rPr>
              <w:t>1</w:t>
            </w:r>
            <w:r>
              <w:rPr>
                <w:sz w:val="21"/>
              </w:rPr>
              <w:t>）原位癌；</w:t>
            </w:r>
          </w:p>
          <w:p>
            <w:pPr>
              <w:pStyle w:val="TableParagraph"/>
              <w:spacing w:before="22"/>
              <w:ind w:left="580"/>
              <w:rPr>
                <w:sz w:val="21"/>
              </w:rPr>
            </w:pPr>
            <w:r>
              <w:rPr>
                <w:sz w:val="21"/>
              </w:rPr>
              <w:t>（</w:t>
            </w:r>
            <w:r>
              <w:rPr>
                <w:rFonts w:ascii="Arial" w:eastAsia="Arial"/>
                <w:sz w:val="21"/>
              </w:rPr>
              <w:t>2</w:t>
            </w:r>
            <w:r>
              <w:rPr>
                <w:sz w:val="21"/>
              </w:rPr>
              <w:t>）</w:t>
            </w:r>
            <w:r>
              <w:rPr>
                <w:spacing w:val="-14"/>
                <w:sz w:val="21"/>
              </w:rPr>
              <w:t>相当于 </w:t>
            </w:r>
            <w:r>
              <w:rPr>
                <w:rFonts w:ascii="Arial" w:eastAsia="Arial"/>
                <w:sz w:val="21"/>
              </w:rPr>
              <w:t>Binet</w:t>
            </w:r>
            <w:r>
              <w:rPr>
                <w:rFonts w:ascii="Arial" w:eastAsia="Arial"/>
                <w:spacing w:val="53"/>
                <w:sz w:val="21"/>
              </w:rPr>
              <w:t> </w:t>
            </w:r>
            <w:r>
              <w:rPr>
                <w:spacing w:val="-11"/>
                <w:sz w:val="21"/>
              </w:rPr>
              <w:t>分期方案 </w:t>
            </w:r>
            <w:r>
              <w:rPr>
                <w:rFonts w:ascii="Arial" w:eastAsia="Arial"/>
                <w:sz w:val="21"/>
              </w:rPr>
              <w:t>A </w:t>
            </w:r>
            <w:r>
              <w:rPr>
                <w:spacing w:val="-3"/>
                <w:sz w:val="21"/>
              </w:rPr>
              <w:t>期程度的慢性淋巴细胞白血病；</w:t>
            </w:r>
          </w:p>
          <w:p>
            <w:pPr>
              <w:pStyle w:val="TableParagraph"/>
              <w:spacing w:before="22"/>
              <w:ind w:left="580"/>
              <w:rPr>
                <w:sz w:val="21"/>
              </w:rPr>
            </w:pPr>
            <w:r>
              <w:rPr>
                <w:sz w:val="21"/>
              </w:rPr>
              <w:t>（</w:t>
            </w:r>
            <w:r>
              <w:rPr>
                <w:rFonts w:ascii="Arial" w:eastAsia="Arial"/>
                <w:sz w:val="21"/>
              </w:rPr>
              <w:t>3</w:t>
            </w:r>
            <w:r>
              <w:rPr>
                <w:sz w:val="21"/>
              </w:rPr>
              <w:t>）</w:t>
            </w:r>
            <w:r>
              <w:rPr>
                <w:spacing w:val="-15"/>
                <w:sz w:val="21"/>
              </w:rPr>
              <w:t>相当于 </w:t>
            </w:r>
            <w:r>
              <w:rPr>
                <w:rFonts w:ascii="Arial" w:eastAsia="Arial"/>
                <w:sz w:val="21"/>
              </w:rPr>
              <w:t>Ann Arbor </w:t>
            </w:r>
            <w:r>
              <w:rPr>
                <w:spacing w:val="-11"/>
                <w:sz w:val="21"/>
              </w:rPr>
              <w:t>分期方案 </w:t>
            </w:r>
            <w:r>
              <w:rPr>
                <w:rFonts w:ascii="Arial" w:eastAsia="Arial"/>
                <w:sz w:val="21"/>
              </w:rPr>
              <w:t>I </w:t>
            </w:r>
            <w:r>
              <w:rPr>
                <w:spacing w:val="-3"/>
                <w:sz w:val="21"/>
              </w:rPr>
              <w:t>期程度的何杰金氏病；</w:t>
            </w:r>
          </w:p>
          <w:p>
            <w:pPr>
              <w:pStyle w:val="TableParagraph"/>
              <w:spacing w:before="22"/>
              <w:ind w:left="581"/>
              <w:rPr>
                <w:sz w:val="21"/>
              </w:rPr>
            </w:pPr>
            <w:r>
              <w:rPr>
                <w:sz w:val="21"/>
              </w:rPr>
              <w:t>（</w:t>
            </w:r>
            <w:r>
              <w:rPr>
                <w:rFonts w:ascii="Arial" w:eastAsia="Arial"/>
                <w:sz w:val="21"/>
              </w:rPr>
              <w:t>4</w:t>
            </w:r>
            <w:r>
              <w:rPr>
                <w:sz w:val="21"/>
              </w:rPr>
              <w:t>）皮肤癌；</w:t>
            </w:r>
          </w:p>
          <w:p>
            <w:pPr>
              <w:pStyle w:val="TableParagraph"/>
              <w:spacing w:before="22"/>
              <w:ind w:left="581"/>
              <w:rPr>
                <w:sz w:val="21"/>
              </w:rPr>
            </w:pPr>
            <w:r>
              <w:rPr>
                <w:sz w:val="21"/>
              </w:rPr>
              <w:t>（</w:t>
            </w:r>
            <w:r>
              <w:rPr>
                <w:rFonts w:ascii="Arial" w:eastAsia="Arial"/>
                <w:sz w:val="21"/>
              </w:rPr>
              <w:t>5</w:t>
            </w:r>
            <w:r>
              <w:rPr>
                <w:sz w:val="21"/>
              </w:rPr>
              <w:t>）</w:t>
            </w:r>
            <w:r>
              <w:rPr>
                <w:rFonts w:ascii="Arial" w:eastAsia="Arial"/>
                <w:sz w:val="21"/>
              </w:rPr>
              <w:t>TNM </w:t>
            </w:r>
            <w:r>
              <w:rPr>
                <w:sz w:val="21"/>
              </w:rPr>
              <w:t>分期为 </w:t>
            </w:r>
            <w:r>
              <w:rPr>
                <w:rFonts w:ascii="Arial" w:eastAsia="Arial"/>
                <w:sz w:val="21"/>
              </w:rPr>
              <w:t>T1N0M0 </w:t>
            </w:r>
            <w:r>
              <w:rPr>
                <w:sz w:val="21"/>
              </w:rPr>
              <w:t>期或更轻分期的前列腺癌。</w:t>
            </w:r>
          </w:p>
          <w:p>
            <w:pPr>
              <w:pStyle w:val="TableParagraph"/>
              <w:spacing w:before="7"/>
              <w:rPr>
                <w:b/>
                <w:sz w:val="25"/>
              </w:rPr>
            </w:pPr>
          </w:p>
          <w:p>
            <w:pPr>
              <w:pStyle w:val="TableParagraph"/>
              <w:ind w:left="360"/>
              <w:rPr>
                <w:b/>
                <w:sz w:val="21"/>
              </w:rPr>
            </w:pPr>
            <w:bookmarkStart w:name="（二）不典型的急性心肌梗塞" w:id="63"/>
            <w:bookmarkEnd w:id="63"/>
            <w:r>
              <w:rPr/>
            </w:r>
            <w:r>
              <w:rPr>
                <w:b/>
                <w:sz w:val="21"/>
              </w:rPr>
              <w:t>（二）不典型的急性心肌梗塞</w:t>
            </w:r>
          </w:p>
          <w:p>
            <w:pPr>
              <w:pStyle w:val="TableParagraph"/>
              <w:spacing w:line="273" w:lineRule="auto" w:before="37"/>
              <w:ind w:left="371" w:right="204" w:firstLine="408"/>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593"/>
              <w:rPr>
                <w:sz w:val="21"/>
              </w:rPr>
            </w:pPr>
            <w:r>
              <w:rPr>
                <w:sz w:val="21"/>
              </w:rPr>
              <w:t>（1）肌钙蛋白有诊断意义的升高；</w:t>
            </w:r>
          </w:p>
          <w:p>
            <w:pPr>
              <w:pStyle w:val="TableParagraph"/>
              <w:spacing w:before="36"/>
              <w:ind w:left="593"/>
              <w:rPr>
                <w:sz w:val="21"/>
              </w:rPr>
            </w:pPr>
            <w:r>
              <w:rPr>
                <w:sz w:val="21"/>
              </w:rPr>
              <w:t>（2）心电图有损伤性的ST段改变但未出现病理Q波。</w:t>
            </w:r>
          </w:p>
          <w:p>
            <w:pPr>
              <w:pStyle w:val="TableParagraph"/>
              <w:spacing w:before="8"/>
              <w:rPr>
                <w:b/>
                <w:sz w:val="26"/>
              </w:rPr>
            </w:pPr>
          </w:p>
          <w:p>
            <w:pPr>
              <w:pStyle w:val="TableParagraph"/>
              <w:ind w:left="360"/>
              <w:rPr>
                <w:b/>
                <w:sz w:val="21"/>
              </w:rPr>
            </w:pPr>
            <w:bookmarkStart w:name="（三）心脏瓣膜介入治疗" w:id="64"/>
            <w:bookmarkEnd w:id="64"/>
            <w:r>
              <w:rPr/>
            </w:r>
            <w:r>
              <w:rPr>
                <w:b/>
                <w:sz w:val="21"/>
              </w:rPr>
              <w:t>（三）心脏瓣膜介入治疗</w:t>
            </w:r>
          </w:p>
          <w:p>
            <w:pPr>
              <w:pStyle w:val="TableParagraph"/>
              <w:spacing w:line="273" w:lineRule="auto" w:before="36"/>
              <w:ind w:left="359" w:right="177" w:firstLine="420"/>
              <w:rPr>
                <w:sz w:val="21"/>
              </w:rPr>
            </w:pPr>
            <w:r>
              <w:rPr>
                <w:sz w:val="21"/>
              </w:rPr>
              <w:t>为了治疗心脏瓣膜疾病，实际实施了非开胸的经胸壁打孔内镜手术或经皮经导管介入手术进行的心脏瓣膜置换或修复手术。</w:t>
            </w:r>
          </w:p>
          <w:p>
            <w:pPr>
              <w:pStyle w:val="TableParagraph"/>
              <w:spacing w:before="5"/>
              <w:rPr>
                <w:b/>
                <w:sz w:val="24"/>
              </w:rPr>
            </w:pPr>
          </w:p>
          <w:p>
            <w:pPr>
              <w:pStyle w:val="TableParagraph"/>
              <w:ind w:left="360"/>
              <w:rPr>
                <w:b/>
                <w:sz w:val="21"/>
              </w:rPr>
            </w:pPr>
            <w:bookmarkStart w:name="（四）视力严重受损" w:id="65"/>
            <w:bookmarkEnd w:id="65"/>
            <w:r>
              <w:rPr/>
            </w:r>
            <w:r>
              <w:rPr>
                <w:b/>
                <w:sz w:val="21"/>
              </w:rPr>
              <w:t>（四）视力严重受损</w:t>
            </w:r>
          </w:p>
          <w:p>
            <w:pPr>
              <w:pStyle w:val="TableParagraph"/>
              <w:spacing w:line="273" w:lineRule="auto" w:before="37"/>
              <w:ind w:left="360" w:right="153" w:firstLine="419"/>
              <w:rPr>
                <w:sz w:val="21"/>
              </w:rPr>
            </w:pPr>
            <w:r>
              <w:rPr>
                <w:sz w:val="21"/>
              </w:rPr>
              <w:t>指因疾病或意外伤害导致双目视力永久不可逆性丧失，虽然未达到重大疾病“双目失明”的给付标准，但满足下列全部条件：</w:t>
            </w:r>
          </w:p>
          <w:p>
            <w:pPr>
              <w:pStyle w:val="TableParagraph"/>
              <w:spacing w:line="256" w:lineRule="auto" w:before="8"/>
              <w:ind w:left="360" w:right="203" w:firstLine="419"/>
              <w:rPr>
                <w:sz w:val="21"/>
              </w:rPr>
            </w:pPr>
            <w:r>
              <w:rPr>
                <w:spacing w:val="-4"/>
                <w:sz w:val="21"/>
              </w:rPr>
              <w:t>（1）</w:t>
            </w:r>
            <w:r>
              <w:rPr>
                <w:spacing w:val="-5"/>
                <w:sz w:val="21"/>
              </w:rPr>
              <w:t>双眼中较好眼矫正视力低于 </w:t>
            </w:r>
            <w:r>
              <w:rPr>
                <w:rFonts w:ascii="Times New Roman" w:eastAsia="Times New Roman"/>
                <w:spacing w:val="-4"/>
                <w:sz w:val="21"/>
              </w:rPr>
              <w:t>0.1</w:t>
            </w:r>
            <w:r>
              <w:rPr>
                <w:spacing w:val="-4"/>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780"/>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before="5"/>
              <w:rPr>
                <w:b/>
                <w:sz w:val="25"/>
              </w:rPr>
            </w:pPr>
          </w:p>
          <w:p>
            <w:pPr>
              <w:pStyle w:val="TableParagraph"/>
              <w:ind w:left="360"/>
              <w:rPr>
                <w:b/>
                <w:sz w:val="21"/>
              </w:rPr>
            </w:pPr>
            <w:bookmarkStart w:name="（五）脑垂体瘤、脑囊肿、脑动脉瘤及脑血管瘤" w:id="66"/>
            <w:bookmarkEnd w:id="66"/>
            <w:r>
              <w:rPr/>
            </w:r>
            <w:r>
              <w:rPr>
                <w:b/>
                <w:sz w:val="21"/>
              </w:rPr>
              <w:t>（五）脑垂体瘤、脑囊肿、脑动脉瘤及脑血管瘤</w:t>
            </w:r>
          </w:p>
          <w:p>
            <w:pPr>
              <w:pStyle w:val="TableParagraph"/>
              <w:spacing w:line="259" w:lineRule="auto" w:before="36"/>
              <w:ind w:left="359" w:right="204" w:firstLine="420"/>
              <w:rPr>
                <w:sz w:val="21"/>
              </w:rPr>
            </w:pPr>
            <w:r>
              <w:rPr>
                <w:w w:val="100"/>
                <w:sz w:val="21"/>
              </w:rPr>
              <w:t>指经头颅断层扫描</w:t>
            </w:r>
            <w:r>
              <w:rPr>
                <w:spacing w:val="1"/>
                <w:w w:val="100"/>
                <w:sz w:val="21"/>
              </w:rPr>
              <w:t>（</w:t>
            </w:r>
            <w:r>
              <w:rPr>
                <w:rFonts w:ascii="Arial" w:eastAsia="Arial"/>
                <w:spacing w:val="-2"/>
                <w:w w:val="100"/>
                <w:sz w:val="21"/>
              </w:rPr>
              <w:t>C</w:t>
            </w:r>
            <w:r>
              <w:rPr>
                <w:rFonts w:ascii="Arial" w:eastAsia="Arial"/>
                <w:w w:val="100"/>
                <w:sz w:val="21"/>
              </w:rPr>
              <w:t>T</w:t>
            </w:r>
            <w:r>
              <w:rPr>
                <w:spacing w:val="-106"/>
                <w:w w:val="100"/>
                <w:sz w:val="21"/>
              </w:rPr>
              <w:t>）</w:t>
            </w:r>
            <w:r>
              <w:rPr>
                <w:w w:val="100"/>
                <w:sz w:val="21"/>
              </w:rPr>
              <w:t>、核磁共振</w:t>
            </w:r>
            <w:r>
              <w:rPr>
                <w:spacing w:val="1"/>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w w:val="100"/>
                <w:sz w:val="21"/>
              </w:rPr>
              <w:t>）或其他影像学检查被确诊为</w:t>
            </w:r>
            <w:r>
              <w:rPr>
                <w:spacing w:val="-3"/>
                <w:sz w:val="21"/>
              </w:rPr>
              <w:t>下列病变，并实际接受了手术切除治疗或放射治疗。</w:t>
            </w:r>
          </w:p>
          <w:p>
            <w:pPr>
              <w:pStyle w:val="TableParagraph"/>
              <w:spacing w:before="20"/>
              <w:ind w:left="580"/>
              <w:rPr>
                <w:sz w:val="21"/>
              </w:rPr>
            </w:pPr>
            <w:r>
              <w:rPr>
                <w:sz w:val="21"/>
              </w:rPr>
              <w:t>（</w:t>
            </w:r>
            <w:r>
              <w:rPr>
                <w:rFonts w:ascii="Arial" w:eastAsia="Arial"/>
                <w:sz w:val="21"/>
              </w:rPr>
              <w:t>1</w:t>
            </w:r>
            <w:r>
              <w:rPr>
                <w:sz w:val="21"/>
              </w:rPr>
              <w:t>）脑垂体瘤；</w:t>
            </w:r>
          </w:p>
          <w:p>
            <w:pPr>
              <w:pStyle w:val="TableParagraph"/>
              <w:spacing w:before="22"/>
              <w:ind w:left="580"/>
              <w:rPr>
                <w:sz w:val="21"/>
              </w:rPr>
            </w:pPr>
            <w:r>
              <w:rPr>
                <w:sz w:val="21"/>
              </w:rPr>
              <w:t>（</w:t>
            </w:r>
            <w:r>
              <w:rPr>
                <w:rFonts w:ascii="Arial" w:eastAsia="Arial"/>
                <w:sz w:val="21"/>
              </w:rPr>
              <w:t>2</w:t>
            </w:r>
            <w:r>
              <w:rPr>
                <w:sz w:val="21"/>
              </w:rPr>
              <w:t>）脑囊肿；</w:t>
            </w:r>
          </w:p>
          <w:p>
            <w:pPr>
              <w:pStyle w:val="TableParagraph"/>
              <w:spacing w:before="22"/>
              <w:ind w:left="580"/>
              <w:rPr>
                <w:sz w:val="21"/>
              </w:rPr>
            </w:pPr>
            <w:r>
              <w:rPr>
                <w:sz w:val="21"/>
              </w:rPr>
              <w:t>（</w:t>
            </w:r>
            <w:r>
              <w:rPr>
                <w:rFonts w:ascii="Times New Roman" w:eastAsia="Times New Roman"/>
                <w:sz w:val="21"/>
              </w:rPr>
              <w:t>3</w:t>
            </w:r>
            <w:r>
              <w:rPr>
                <w:sz w:val="21"/>
              </w:rPr>
              <w:t>）脑动脉瘤、脑血管瘤。</w:t>
            </w:r>
          </w:p>
        </w:tc>
      </w:tr>
      <w:tr>
        <w:trPr>
          <w:trHeight w:val="2281" w:hRule="atLeast"/>
        </w:trPr>
        <w:tc>
          <w:tcPr>
            <w:tcW w:w="679" w:type="dxa"/>
          </w:tcPr>
          <w:p>
            <w:pPr>
              <w:pStyle w:val="TableParagraph"/>
              <w:rPr>
                <w:rFonts w:ascii="Times New Roman"/>
                <w:sz w:val="20"/>
              </w:rPr>
            </w:pPr>
          </w:p>
        </w:tc>
        <w:tc>
          <w:tcPr>
            <w:tcW w:w="1789" w:type="dxa"/>
          </w:tcPr>
          <w:p>
            <w:pPr>
              <w:pStyle w:val="TableParagraph"/>
              <w:rPr>
                <w:rFonts w:ascii="Times New Roman"/>
                <w:sz w:val="20"/>
              </w:rPr>
            </w:pPr>
          </w:p>
        </w:tc>
        <w:tc>
          <w:tcPr>
            <w:tcW w:w="7685" w:type="dxa"/>
          </w:tcPr>
          <w:p>
            <w:pPr>
              <w:pStyle w:val="TableParagraph"/>
              <w:spacing w:before="134"/>
              <w:ind w:left="360"/>
              <w:rPr>
                <w:sz w:val="21"/>
              </w:rPr>
            </w:pPr>
            <w:r>
              <w:rPr>
                <w:sz w:val="21"/>
              </w:rPr>
              <w:t>上述 8.5 至 8.8 的释义中部分术语释义如下：</w:t>
            </w:r>
          </w:p>
          <w:p>
            <w:pPr>
              <w:pStyle w:val="TableParagraph"/>
              <w:spacing w:before="8"/>
              <w:rPr>
                <w:b/>
                <w:sz w:val="26"/>
              </w:rPr>
            </w:pPr>
          </w:p>
          <w:p>
            <w:pPr>
              <w:pStyle w:val="TableParagraph"/>
              <w:ind w:left="360"/>
              <w:rPr>
                <w:sz w:val="21"/>
              </w:rPr>
            </w:pPr>
            <w:r>
              <w:rPr>
                <w:sz w:val="21"/>
              </w:rPr>
              <w:t>（一）肢体机能完全丧失</w:t>
            </w:r>
          </w:p>
          <w:p>
            <w:pPr>
              <w:pStyle w:val="TableParagraph"/>
              <w:spacing w:line="273" w:lineRule="auto" w:before="37"/>
              <w:ind w:left="360" w:right="19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spacing w:line="255" w:lineRule="exact"/>
              <w:ind w:left="360"/>
              <w:rPr>
                <w:sz w:val="21"/>
              </w:rPr>
            </w:pPr>
            <w:r>
              <w:rPr>
                <w:sz w:val="21"/>
              </w:rPr>
              <w:t>（二）语言能力或咀嚼吞咽能力完全丧失</w:t>
            </w:r>
          </w:p>
        </w:tc>
      </w:tr>
    </w:tbl>
    <w:p>
      <w:pPr>
        <w:spacing w:after="0" w:line="255" w:lineRule="exact"/>
        <w:rPr>
          <w:sz w:val="21"/>
        </w:rPr>
        <w:sectPr>
          <w:pgSz w:w="11910" w:h="16840"/>
          <w:pgMar w:top="1160" w:bottom="280" w:left="72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526"/>
        <w:gridCol w:w="7997"/>
      </w:tblGrid>
      <w:tr>
        <w:trPr>
          <w:trHeight w:val="6345" w:hRule="atLeast"/>
        </w:trPr>
        <w:tc>
          <w:tcPr>
            <w:tcW w:w="732" w:type="dxa"/>
          </w:tcPr>
          <w:p>
            <w:pPr>
              <w:pStyle w:val="TableParagraph"/>
              <w:rPr>
                <w:rFonts w:ascii="Times New Roman"/>
                <w:sz w:val="20"/>
              </w:rPr>
            </w:pPr>
          </w:p>
        </w:tc>
        <w:tc>
          <w:tcPr>
            <w:tcW w:w="1526" w:type="dxa"/>
          </w:tcPr>
          <w:p>
            <w:pPr>
              <w:pStyle w:val="TableParagraph"/>
              <w:rPr>
                <w:rFonts w:ascii="Times New Roman"/>
                <w:sz w:val="20"/>
              </w:rPr>
            </w:pPr>
          </w:p>
        </w:tc>
        <w:tc>
          <w:tcPr>
            <w:tcW w:w="7997" w:type="dxa"/>
          </w:tcPr>
          <w:p>
            <w:pPr>
              <w:pStyle w:val="TableParagraph"/>
              <w:spacing w:line="211" w:lineRule="exact"/>
              <w:ind w:left="570"/>
              <w:rPr>
                <w:sz w:val="21"/>
              </w:rPr>
            </w:pPr>
            <w:r>
              <w:rPr>
                <w:sz w:val="21"/>
              </w:rPr>
              <w:t>语言能力完全丧失是指无法发出四种语音（包括口唇音、齿舌音、口盖音和喉</w:t>
            </w:r>
          </w:p>
          <w:p>
            <w:pPr>
              <w:pStyle w:val="TableParagraph"/>
              <w:spacing w:line="273" w:lineRule="auto" w:before="37"/>
              <w:ind w:left="570" w:right="200" w:hanging="1"/>
              <w:rPr>
                <w:sz w:val="21"/>
              </w:rPr>
            </w:pPr>
            <w:r>
              <w:rPr>
                <w:sz w:val="21"/>
              </w:rPr>
              <w:t>头音</w:t>
            </w:r>
            <w:r>
              <w:rPr>
                <w:spacing w:val="-46"/>
                <w:sz w:val="21"/>
              </w:rPr>
              <w:t>）</w:t>
            </w:r>
            <w:r>
              <w:rPr>
                <w:spacing w:val="-12"/>
                <w:sz w:val="21"/>
              </w:rPr>
              <w:t>中的任何三种、或声带全部切除，或因大脑语言中枢受伤害而患失语症。</w:t>
            </w:r>
            <w:r>
              <w:rPr>
                <w:spacing w:val="-7"/>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b/>
                <w:sz w:val="24"/>
              </w:rPr>
            </w:pPr>
          </w:p>
          <w:p>
            <w:pPr>
              <w:pStyle w:val="TableParagraph"/>
              <w:spacing w:line="273" w:lineRule="auto"/>
              <w:ind w:left="570" w:right="4690"/>
              <w:rPr>
                <w:sz w:val="21"/>
              </w:rPr>
            </w:pPr>
            <w:r>
              <w:rPr>
                <w:sz w:val="21"/>
              </w:rPr>
              <w:t>（三）六项基本日常生活活动六项基本日常生活活动是指：</w:t>
            </w:r>
          </w:p>
          <w:p>
            <w:pPr>
              <w:pStyle w:val="TableParagraph"/>
              <w:spacing w:before="7"/>
              <w:ind w:left="570"/>
              <w:rPr>
                <w:sz w:val="21"/>
              </w:rPr>
            </w:pPr>
            <w:r>
              <w:rPr>
                <w:sz w:val="21"/>
              </w:rPr>
              <w:t>（1）穿衣：自己能够穿衣及脱衣；</w:t>
            </w:r>
          </w:p>
          <w:p>
            <w:pPr>
              <w:pStyle w:val="TableParagraph"/>
              <w:spacing w:before="37"/>
              <w:ind w:left="570"/>
              <w:rPr>
                <w:sz w:val="21"/>
              </w:rPr>
            </w:pPr>
            <w:r>
              <w:rPr>
                <w:sz w:val="21"/>
              </w:rPr>
              <w:t>（2）移动：自己从一个房间到另一个房间；</w:t>
            </w:r>
          </w:p>
          <w:p>
            <w:pPr>
              <w:pStyle w:val="TableParagraph"/>
              <w:spacing w:before="37"/>
              <w:ind w:left="570"/>
              <w:rPr>
                <w:sz w:val="21"/>
              </w:rPr>
            </w:pPr>
            <w:r>
              <w:rPr>
                <w:sz w:val="21"/>
              </w:rPr>
              <w:t>（3）行动：自己上下床或上下轮椅；</w:t>
            </w:r>
          </w:p>
          <w:p>
            <w:pPr>
              <w:pStyle w:val="TableParagraph"/>
              <w:spacing w:before="37"/>
              <w:ind w:left="570"/>
              <w:rPr>
                <w:sz w:val="21"/>
              </w:rPr>
            </w:pPr>
            <w:r>
              <w:rPr>
                <w:sz w:val="21"/>
              </w:rPr>
              <w:t>（4）如厕：自己控制进行大小便；</w:t>
            </w:r>
          </w:p>
          <w:p>
            <w:pPr>
              <w:pStyle w:val="TableParagraph"/>
              <w:spacing w:before="37"/>
              <w:ind w:left="570"/>
              <w:rPr>
                <w:sz w:val="21"/>
              </w:rPr>
            </w:pPr>
            <w:r>
              <w:rPr>
                <w:sz w:val="21"/>
              </w:rPr>
              <w:t>（5）进食：自己从已准备好的碗或碟中取食物放入口中；</w:t>
            </w:r>
          </w:p>
          <w:p>
            <w:pPr>
              <w:pStyle w:val="TableParagraph"/>
              <w:spacing w:before="37"/>
              <w:ind w:left="570"/>
              <w:rPr>
                <w:sz w:val="21"/>
              </w:rPr>
            </w:pPr>
            <w:r>
              <w:rPr>
                <w:sz w:val="21"/>
              </w:rPr>
              <w:t>（6) 洗澡：自己进行淋浴或盆浴。</w:t>
            </w:r>
          </w:p>
          <w:p>
            <w:pPr>
              <w:pStyle w:val="TableParagraph"/>
              <w:spacing w:before="9"/>
              <w:rPr>
                <w:b/>
                <w:sz w:val="26"/>
              </w:rPr>
            </w:pPr>
          </w:p>
          <w:p>
            <w:pPr>
              <w:pStyle w:val="TableParagraph"/>
              <w:ind w:left="570"/>
              <w:rPr>
                <w:sz w:val="21"/>
              </w:rPr>
            </w:pPr>
            <w:r>
              <w:rPr>
                <w:sz w:val="21"/>
              </w:rPr>
              <w:t>（四）永久不可逆</w:t>
            </w:r>
          </w:p>
          <w:p>
            <w:pPr>
              <w:pStyle w:val="TableParagraph"/>
              <w:spacing w:line="273" w:lineRule="auto" w:before="37"/>
              <w:ind w:left="570" w:right="284"/>
              <w:rPr>
                <w:sz w:val="21"/>
              </w:rPr>
            </w:pPr>
            <w:r>
              <w:rPr>
                <w:spacing w:val="-5"/>
                <w:sz w:val="21"/>
              </w:rPr>
              <w:t>永久不可逆是指自疾病确诊或意外伤害发生之日起，经过积极治疗 </w:t>
            </w:r>
            <w:r>
              <w:rPr>
                <w:sz w:val="21"/>
              </w:rPr>
              <w:t>180</w:t>
            </w:r>
            <w:r>
              <w:rPr>
                <w:spacing w:val="-12"/>
                <w:sz w:val="21"/>
              </w:rPr>
              <w:t> 日后， </w:t>
            </w:r>
            <w:r>
              <w:rPr>
                <w:spacing w:val="-3"/>
                <w:sz w:val="21"/>
              </w:rPr>
              <w:t>仍无法通过现有医疗手段恢复。</w:t>
            </w:r>
          </w:p>
          <w:p>
            <w:pPr>
              <w:pStyle w:val="TableParagraph"/>
              <w:spacing w:before="5"/>
              <w:rPr>
                <w:b/>
                <w:sz w:val="24"/>
              </w:rPr>
            </w:pPr>
          </w:p>
          <w:p>
            <w:pPr>
              <w:pStyle w:val="TableParagraph"/>
              <w:ind w:left="570"/>
              <w:rPr>
                <w:sz w:val="21"/>
              </w:rPr>
            </w:pPr>
            <w:r>
              <w:rPr>
                <w:sz w:val="21"/>
              </w:rPr>
              <w:t>（五）三大关节</w:t>
            </w:r>
          </w:p>
          <w:p>
            <w:pPr>
              <w:pStyle w:val="TableParagraph"/>
              <w:spacing w:before="36"/>
              <w:ind w:left="570"/>
              <w:rPr>
                <w:sz w:val="21"/>
              </w:rPr>
            </w:pPr>
            <w:r>
              <w:rPr>
                <w:sz w:val="21"/>
              </w:rPr>
              <w:t>上肢三大关节是指肩、肘、腕关节，下肢三大关节是指髋、膝、踝关节。</w:t>
            </w:r>
          </w:p>
        </w:tc>
      </w:tr>
      <w:tr>
        <w:trPr>
          <w:trHeight w:val="936" w:hRule="atLeast"/>
        </w:trPr>
        <w:tc>
          <w:tcPr>
            <w:tcW w:w="732" w:type="dxa"/>
          </w:tcPr>
          <w:p>
            <w:pPr>
              <w:pStyle w:val="TableParagraph"/>
              <w:spacing w:before="143"/>
              <w:ind w:left="200"/>
              <w:rPr>
                <w:b/>
                <w:sz w:val="21"/>
              </w:rPr>
            </w:pPr>
            <w:r>
              <w:rPr>
                <w:b/>
                <w:sz w:val="21"/>
              </w:rPr>
              <w:t>8.9</w:t>
            </w:r>
          </w:p>
        </w:tc>
        <w:tc>
          <w:tcPr>
            <w:tcW w:w="1526" w:type="dxa"/>
          </w:tcPr>
          <w:p>
            <w:pPr>
              <w:pStyle w:val="TableParagraph"/>
              <w:spacing w:before="167"/>
              <w:ind w:left="108"/>
              <w:rPr>
                <w:b/>
                <w:sz w:val="21"/>
              </w:rPr>
            </w:pPr>
            <w:r>
              <w:rPr>
                <w:b/>
                <w:sz w:val="21"/>
              </w:rPr>
              <w:t>现金价值</w:t>
            </w:r>
          </w:p>
        </w:tc>
        <w:tc>
          <w:tcPr>
            <w:tcW w:w="7997" w:type="dxa"/>
          </w:tcPr>
          <w:p>
            <w:pPr>
              <w:pStyle w:val="TableParagraph"/>
              <w:spacing w:line="273" w:lineRule="auto" w:before="143"/>
              <w:ind w:left="570" w:right="284"/>
              <w:rPr>
                <w:sz w:val="21"/>
              </w:rPr>
            </w:pPr>
            <w:r>
              <w:rPr>
                <w:sz w:val="21"/>
              </w:rPr>
              <w:t>指保险单所具有的价值，通常体现为解除合同时，根据精算原理计算的，由我们退还的那部分金额。</w:t>
            </w:r>
          </w:p>
        </w:tc>
      </w:tr>
      <w:tr>
        <w:trPr>
          <w:trHeight w:val="936" w:hRule="atLeast"/>
        </w:trPr>
        <w:tc>
          <w:tcPr>
            <w:tcW w:w="732" w:type="dxa"/>
          </w:tcPr>
          <w:p>
            <w:pPr>
              <w:pStyle w:val="TableParagraph"/>
              <w:spacing w:before="142"/>
              <w:ind w:left="200"/>
              <w:rPr>
                <w:b/>
                <w:sz w:val="21"/>
              </w:rPr>
            </w:pPr>
            <w:r>
              <w:rPr>
                <w:b/>
                <w:sz w:val="21"/>
              </w:rPr>
              <w:t>8.10</w:t>
            </w:r>
          </w:p>
        </w:tc>
        <w:tc>
          <w:tcPr>
            <w:tcW w:w="1526" w:type="dxa"/>
          </w:tcPr>
          <w:p>
            <w:pPr>
              <w:pStyle w:val="TableParagraph"/>
              <w:spacing w:before="142"/>
              <w:ind w:left="108"/>
              <w:rPr>
                <w:b/>
                <w:sz w:val="21"/>
              </w:rPr>
            </w:pPr>
            <w:r>
              <w:rPr>
                <w:b/>
                <w:sz w:val="21"/>
              </w:rPr>
              <w:t>初次发生</w:t>
            </w:r>
          </w:p>
        </w:tc>
        <w:tc>
          <w:tcPr>
            <w:tcW w:w="7997" w:type="dxa"/>
          </w:tcPr>
          <w:p>
            <w:pPr>
              <w:pStyle w:val="TableParagraph"/>
              <w:spacing w:line="273" w:lineRule="auto" w:before="142"/>
              <w:ind w:left="570" w:right="255"/>
              <w:rPr>
                <w:sz w:val="21"/>
              </w:rPr>
            </w:pPr>
            <w:r>
              <w:rPr>
                <w:sz w:val="21"/>
              </w:rPr>
              <w:t>指被保险人首次出现重大疾病的前兆或异常的身体状况，包括与重大疾病相关的症状及体征。</w:t>
            </w:r>
          </w:p>
        </w:tc>
      </w:tr>
      <w:tr>
        <w:trPr>
          <w:trHeight w:val="1559" w:hRule="atLeast"/>
        </w:trPr>
        <w:tc>
          <w:tcPr>
            <w:tcW w:w="732" w:type="dxa"/>
          </w:tcPr>
          <w:p>
            <w:pPr>
              <w:pStyle w:val="TableParagraph"/>
              <w:spacing w:before="142"/>
              <w:ind w:left="200"/>
              <w:rPr>
                <w:b/>
                <w:sz w:val="21"/>
              </w:rPr>
            </w:pPr>
            <w:r>
              <w:rPr>
                <w:b/>
                <w:sz w:val="21"/>
              </w:rPr>
              <w:t>8.11</w:t>
            </w:r>
          </w:p>
        </w:tc>
        <w:tc>
          <w:tcPr>
            <w:tcW w:w="1526" w:type="dxa"/>
          </w:tcPr>
          <w:p>
            <w:pPr>
              <w:pStyle w:val="TableParagraph"/>
              <w:spacing w:before="142"/>
              <w:ind w:left="108"/>
              <w:rPr>
                <w:b/>
                <w:sz w:val="21"/>
              </w:rPr>
            </w:pPr>
            <w:r>
              <w:rPr>
                <w:b/>
                <w:sz w:val="21"/>
              </w:rPr>
              <w:t>医院</w:t>
            </w:r>
          </w:p>
        </w:tc>
        <w:tc>
          <w:tcPr>
            <w:tcW w:w="7997" w:type="dxa"/>
          </w:tcPr>
          <w:p>
            <w:pPr>
              <w:pStyle w:val="TableParagraph"/>
              <w:spacing w:line="273" w:lineRule="auto" w:before="142"/>
              <w:ind w:left="570" w:right="305"/>
              <w:jc w:val="both"/>
              <w:rPr>
                <w:sz w:val="21"/>
              </w:rPr>
            </w:pPr>
            <w:r>
              <w:rPr>
                <w:spacing w:val="-4"/>
                <w:sz w:val="21"/>
              </w:rPr>
              <w:t>指国家卫生部医院等级分类中的二级或二级以上的公立医院，但不包括附属于</w:t>
            </w:r>
            <w:r>
              <w:rPr>
                <w:spacing w:val="-5"/>
                <w:sz w:val="21"/>
              </w:rPr>
              <w:t>前述医院或单独作为诊所、康复、护理、疗养、戒酒、戒毒等或相类似的医疗机构。同时该医院必须具有符合有关医院管理规定设置标准的医疗设备，并且</w:t>
            </w:r>
            <w:r>
              <w:rPr>
                <w:spacing w:val="-4"/>
                <w:sz w:val="21"/>
              </w:rPr>
              <w:t>全日二十四小时有合格医师及护士驻院提供医疗和护理等服务。</w:t>
            </w:r>
          </w:p>
        </w:tc>
      </w:tr>
      <w:tr>
        <w:trPr>
          <w:trHeight w:val="2495" w:hRule="atLeast"/>
        </w:trPr>
        <w:tc>
          <w:tcPr>
            <w:tcW w:w="732" w:type="dxa"/>
          </w:tcPr>
          <w:p>
            <w:pPr>
              <w:pStyle w:val="TableParagraph"/>
              <w:spacing w:before="142"/>
              <w:ind w:left="200"/>
              <w:rPr>
                <w:b/>
                <w:sz w:val="21"/>
              </w:rPr>
            </w:pPr>
            <w:r>
              <w:rPr>
                <w:b/>
                <w:sz w:val="21"/>
              </w:rPr>
              <w:t>8.12</w:t>
            </w:r>
          </w:p>
        </w:tc>
        <w:tc>
          <w:tcPr>
            <w:tcW w:w="1526" w:type="dxa"/>
          </w:tcPr>
          <w:p>
            <w:pPr>
              <w:pStyle w:val="TableParagraph"/>
              <w:spacing w:before="142"/>
              <w:ind w:left="108"/>
              <w:rPr>
                <w:b/>
                <w:sz w:val="21"/>
              </w:rPr>
            </w:pPr>
            <w:r>
              <w:rPr>
                <w:b/>
                <w:sz w:val="21"/>
              </w:rPr>
              <w:t>专科医生</w:t>
            </w:r>
          </w:p>
        </w:tc>
        <w:tc>
          <w:tcPr>
            <w:tcW w:w="7997" w:type="dxa"/>
          </w:tcPr>
          <w:p>
            <w:pPr>
              <w:pStyle w:val="TableParagraph"/>
              <w:spacing w:before="142"/>
              <w:ind w:left="570"/>
              <w:rPr>
                <w:sz w:val="21"/>
              </w:rPr>
            </w:pPr>
            <w:r>
              <w:rPr>
                <w:sz w:val="21"/>
              </w:rPr>
              <w:t>专科医生应当同时满足以下四项资格条件：</w:t>
            </w:r>
          </w:p>
          <w:p>
            <w:pPr>
              <w:pStyle w:val="TableParagraph"/>
              <w:spacing w:before="36"/>
              <w:ind w:left="570"/>
              <w:rPr>
                <w:sz w:val="21"/>
              </w:rPr>
            </w:pPr>
            <w:r>
              <w:rPr>
                <w:sz w:val="21"/>
              </w:rPr>
              <w:t>（1) 具有有效的中华人民共和国《医师资格证书》；</w:t>
            </w:r>
          </w:p>
          <w:p>
            <w:pPr>
              <w:pStyle w:val="TableParagraph"/>
              <w:spacing w:line="273" w:lineRule="auto" w:before="36"/>
              <w:ind w:left="1201" w:right="305" w:hanging="631"/>
              <w:rPr>
                <w:sz w:val="21"/>
              </w:rPr>
            </w:pPr>
            <w:r>
              <w:rPr>
                <w:sz w:val="21"/>
              </w:rPr>
              <w:t>（2)</w:t>
            </w:r>
            <w:r>
              <w:rPr>
                <w:spacing w:val="-9"/>
                <w:sz w:val="21"/>
              </w:rPr>
              <w:t> 具有有效的中华人民共和国《医师执业证书》，并按期到相关部门登记注册；</w:t>
            </w:r>
          </w:p>
          <w:p>
            <w:pPr>
              <w:pStyle w:val="TableParagraph"/>
              <w:spacing w:line="273" w:lineRule="auto" w:before="7"/>
              <w:ind w:left="1201" w:right="303" w:hanging="632"/>
              <w:rPr>
                <w:sz w:val="21"/>
              </w:rPr>
            </w:pPr>
            <w:r>
              <w:rPr>
                <w:sz w:val="21"/>
              </w:rPr>
              <w:t>（3) 具有有效的中华人民共和国主治医师或主治医师以上职称的《医师职称证书》；</w:t>
            </w:r>
          </w:p>
          <w:p>
            <w:pPr>
              <w:pStyle w:val="TableParagraph"/>
              <w:spacing w:before="7"/>
              <w:ind w:left="569"/>
              <w:rPr>
                <w:sz w:val="21"/>
              </w:rPr>
            </w:pPr>
            <w:r>
              <w:rPr>
                <w:sz w:val="21"/>
              </w:rPr>
              <w:t>（4) 在二级或二级以上医院的相应科室从事临床工作三年以上。</w:t>
            </w:r>
          </w:p>
        </w:tc>
      </w:tr>
      <w:tr>
        <w:trPr>
          <w:trHeight w:val="1560" w:hRule="atLeast"/>
        </w:trPr>
        <w:tc>
          <w:tcPr>
            <w:tcW w:w="732" w:type="dxa"/>
          </w:tcPr>
          <w:p>
            <w:pPr>
              <w:pStyle w:val="TableParagraph"/>
              <w:spacing w:before="142"/>
              <w:ind w:left="200"/>
              <w:rPr>
                <w:b/>
                <w:sz w:val="21"/>
              </w:rPr>
            </w:pPr>
            <w:r>
              <w:rPr>
                <w:b/>
                <w:sz w:val="21"/>
              </w:rPr>
              <w:t>8.13</w:t>
            </w:r>
          </w:p>
        </w:tc>
        <w:tc>
          <w:tcPr>
            <w:tcW w:w="1526" w:type="dxa"/>
          </w:tcPr>
          <w:p>
            <w:pPr>
              <w:pStyle w:val="TableParagraph"/>
              <w:spacing w:before="166"/>
              <w:ind w:left="108"/>
              <w:rPr>
                <w:b/>
                <w:sz w:val="21"/>
              </w:rPr>
            </w:pPr>
            <w:r>
              <w:rPr>
                <w:b/>
                <w:sz w:val="21"/>
              </w:rPr>
              <w:t>毒品</w:t>
            </w:r>
          </w:p>
        </w:tc>
        <w:tc>
          <w:tcPr>
            <w:tcW w:w="7997" w:type="dxa"/>
          </w:tcPr>
          <w:p>
            <w:pPr>
              <w:pStyle w:val="TableParagraph"/>
              <w:spacing w:line="273" w:lineRule="auto" w:before="142"/>
              <w:ind w:left="570" w:right="30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w:t>
            </w:r>
            <w:r>
              <w:rPr>
                <w:sz w:val="21"/>
              </w:rPr>
              <w:t>药品。</w:t>
            </w:r>
          </w:p>
        </w:tc>
      </w:tr>
      <w:tr>
        <w:trPr>
          <w:trHeight w:val="441" w:hRule="atLeast"/>
        </w:trPr>
        <w:tc>
          <w:tcPr>
            <w:tcW w:w="732" w:type="dxa"/>
          </w:tcPr>
          <w:p>
            <w:pPr>
              <w:pStyle w:val="TableParagraph"/>
              <w:spacing w:before="142"/>
              <w:ind w:left="200"/>
              <w:rPr>
                <w:b/>
                <w:sz w:val="21"/>
              </w:rPr>
            </w:pPr>
            <w:r>
              <w:rPr>
                <w:b/>
                <w:sz w:val="21"/>
              </w:rPr>
              <w:t>8.14</w:t>
            </w:r>
          </w:p>
        </w:tc>
        <w:tc>
          <w:tcPr>
            <w:tcW w:w="1526" w:type="dxa"/>
          </w:tcPr>
          <w:p>
            <w:pPr>
              <w:pStyle w:val="TableParagraph"/>
              <w:spacing w:line="255" w:lineRule="exact" w:before="166"/>
              <w:ind w:left="108"/>
              <w:rPr>
                <w:b/>
                <w:sz w:val="21"/>
              </w:rPr>
            </w:pPr>
            <w:r>
              <w:rPr>
                <w:b/>
                <w:sz w:val="21"/>
              </w:rPr>
              <w:t>酒后驾驶</w:t>
            </w:r>
          </w:p>
        </w:tc>
        <w:tc>
          <w:tcPr>
            <w:tcW w:w="7997" w:type="dxa"/>
          </w:tcPr>
          <w:p>
            <w:pPr>
              <w:pStyle w:val="TableParagraph"/>
              <w:spacing w:before="142"/>
              <w:ind w:left="570"/>
              <w:rPr>
                <w:sz w:val="21"/>
              </w:rPr>
            </w:pPr>
            <w:r>
              <w:rPr>
                <w:sz w:val="21"/>
              </w:rPr>
              <w:t>指经检测或鉴定，发生事故时车辆驾驶人员每百毫升血液中的酒精含量达到或</w:t>
            </w:r>
          </w:p>
        </w:tc>
      </w:tr>
    </w:tbl>
    <w:p>
      <w:pPr>
        <w:spacing w:after="0"/>
        <w:rPr>
          <w:sz w:val="21"/>
        </w:rPr>
        <w:sectPr>
          <w:pgSz w:w="11910" w:h="16840"/>
          <w:pgMar w:top="1160" w:bottom="280" w:left="72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6"/>
        <w:gridCol w:w="7525"/>
      </w:tblGrid>
      <w:tr>
        <w:trPr>
          <w:trHeight w:val="734" w:hRule="atLeast"/>
        </w:trPr>
        <w:tc>
          <w:tcPr>
            <w:tcW w:w="732" w:type="dxa"/>
          </w:tcPr>
          <w:p>
            <w:pPr>
              <w:pStyle w:val="TableParagraph"/>
              <w:rPr>
                <w:rFonts w:ascii="Times New Roman"/>
                <w:sz w:val="20"/>
              </w:rPr>
            </w:pPr>
          </w:p>
        </w:tc>
        <w:tc>
          <w:tcPr>
            <w:tcW w:w="1996" w:type="dxa"/>
          </w:tcPr>
          <w:p>
            <w:pPr>
              <w:pStyle w:val="TableParagraph"/>
              <w:rPr>
                <w:rFonts w:ascii="Times New Roman"/>
                <w:sz w:val="20"/>
              </w:rPr>
            </w:pPr>
          </w:p>
        </w:tc>
        <w:tc>
          <w:tcPr>
            <w:tcW w:w="7525" w:type="dxa"/>
          </w:tcPr>
          <w:p>
            <w:pPr>
              <w:pStyle w:val="TableParagraph"/>
              <w:spacing w:line="211" w:lineRule="exact"/>
              <w:ind w:left="100"/>
              <w:rPr>
                <w:sz w:val="21"/>
              </w:rPr>
            </w:pPr>
            <w:r>
              <w:rPr>
                <w:sz w:val="21"/>
              </w:rPr>
              <w:t>超过一定的标准，公安机关交通管理部门依据《道路交通安全法》的规定认定</w:t>
            </w:r>
          </w:p>
          <w:p>
            <w:pPr>
              <w:pStyle w:val="TableParagraph"/>
              <w:spacing w:before="37"/>
              <w:ind w:left="100"/>
              <w:rPr>
                <w:sz w:val="21"/>
              </w:rPr>
            </w:pPr>
            <w:r>
              <w:rPr>
                <w:sz w:val="21"/>
              </w:rPr>
              <w:t>为饮酒后驾驶或醉酒后驾驶。</w:t>
            </w:r>
          </w:p>
        </w:tc>
      </w:tr>
      <w:tr>
        <w:trPr>
          <w:trHeight w:val="2188" w:hRule="atLeast"/>
        </w:trPr>
        <w:tc>
          <w:tcPr>
            <w:tcW w:w="732" w:type="dxa"/>
          </w:tcPr>
          <w:p>
            <w:pPr>
              <w:pStyle w:val="TableParagraph"/>
              <w:spacing w:before="147"/>
              <w:ind w:right="107"/>
              <w:jc w:val="right"/>
              <w:rPr>
                <w:b/>
                <w:sz w:val="21"/>
              </w:rPr>
            </w:pPr>
            <w:r>
              <w:rPr>
                <w:b/>
                <w:w w:val="95"/>
                <w:sz w:val="21"/>
              </w:rPr>
              <w:t>8.15</w:t>
            </w:r>
          </w:p>
        </w:tc>
        <w:tc>
          <w:tcPr>
            <w:tcW w:w="1996" w:type="dxa"/>
          </w:tcPr>
          <w:p>
            <w:pPr>
              <w:pStyle w:val="TableParagraph"/>
              <w:spacing w:line="278" w:lineRule="auto" w:before="171"/>
              <w:ind w:left="108" w:right="195"/>
              <w:rPr>
                <w:b/>
                <w:sz w:val="21"/>
              </w:rPr>
            </w:pPr>
            <w:r>
              <w:rPr>
                <w:b/>
                <w:sz w:val="21"/>
              </w:rPr>
              <w:t>无合法有效驾驶证驾驶</w:t>
            </w:r>
          </w:p>
        </w:tc>
        <w:tc>
          <w:tcPr>
            <w:tcW w:w="7525" w:type="dxa"/>
          </w:tcPr>
          <w:p>
            <w:pPr>
              <w:pStyle w:val="TableParagraph"/>
              <w:spacing w:before="14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25" w:right="382" w:hanging="526"/>
              <w:rPr>
                <w:sz w:val="21"/>
              </w:rPr>
            </w:pPr>
            <w:r>
              <w:rPr>
                <w:sz w:val="21"/>
              </w:rPr>
              <w:t>（4）持学习驾驶证学习驾车时，无教练员随车指导，或不按指定时间、路线学习驾车。</w:t>
            </w:r>
          </w:p>
        </w:tc>
      </w:tr>
      <w:tr>
        <w:trPr>
          <w:trHeight w:val="1248" w:hRule="atLeast"/>
        </w:trPr>
        <w:tc>
          <w:tcPr>
            <w:tcW w:w="732" w:type="dxa"/>
          </w:tcPr>
          <w:p>
            <w:pPr>
              <w:pStyle w:val="TableParagraph"/>
              <w:spacing w:before="142"/>
              <w:ind w:right="107"/>
              <w:jc w:val="right"/>
              <w:rPr>
                <w:b/>
                <w:sz w:val="21"/>
              </w:rPr>
            </w:pPr>
            <w:r>
              <w:rPr>
                <w:b/>
                <w:w w:val="95"/>
                <w:sz w:val="21"/>
              </w:rPr>
              <w:t>8.16</w:t>
            </w:r>
          </w:p>
        </w:tc>
        <w:tc>
          <w:tcPr>
            <w:tcW w:w="1996" w:type="dxa"/>
          </w:tcPr>
          <w:p>
            <w:pPr>
              <w:pStyle w:val="TableParagraph"/>
              <w:spacing w:before="142"/>
              <w:ind w:left="108"/>
              <w:rPr>
                <w:b/>
                <w:sz w:val="21"/>
              </w:rPr>
            </w:pPr>
            <w:r>
              <w:rPr>
                <w:b/>
                <w:sz w:val="21"/>
              </w:rPr>
              <w:t>无有效行驶证</w:t>
            </w:r>
          </w:p>
        </w:tc>
        <w:tc>
          <w:tcPr>
            <w:tcW w:w="7525" w:type="dxa"/>
          </w:tcPr>
          <w:p>
            <w:pPr>
              <w:pStyle w:val="TableParagraph"/>
              <w:spacing w:before="142"/>
              <w:ind w:left="100"/>
              <w:rPr>
                <w:sz w:val="21"/>
              </w:rPr>
            </w:pPr>
            <w:r>
              <w:rPr>
                <w:sz w:val="21"/>
              </w:rPr>
              <w:t>指下列情形之一：</w:t>
            </w:r>
          </w:p>
          <w:p>
            <w:pPr>
              <w:pStyle w:val="TableParagraph"/>
              <w:spacing w:before="36"/>
              <w:ind w:left="100"/>
              <w:rPr>
                <w:sz w:val="21"/>
              </w:rPr>
            </w:pPr>
            <w:r>
              <w:rPr>
                <w:sz w:val="21"/>
              </w:rPr>
              <w:t>（1）机动车被依法注销登记的；</w:t>
            </w:r>
          </w:p>
          <w:p>
            <w:pPr>
              <w:pStyle w:val="TableParagraph"/>
              <w:spacing w:before="37"/>
              <w:ind w:left="100"/>
              <w:rPr>
                <w:sz w:val="21"/>
              </w:rPr>
            </w:pPr>
            <w:r>
              <w:rPr>
                <w:sz w:val="21"/>
              </w:rPr>
              <w:t>（2）未依法按时进行或通过机动车安全技术检验。</w:t>
            </w:r>
          </w:p>
        </w:tc>
      </w:tr>
      <w:tr>
        <w:trPr>
          <w:trHeight w:val="2183" w:hRule="atLeast"/>
        </w:trPr>
        <w:tc>
          <w:tcPr>
            <w:tcW w:w="732" w:type="dxa"/>
          </w:tcPr>
          <w:p>
            <w:pPr>
              <w:pStyle w:val="TableParagraph"/>
              <w:spacing w:before="142"/>
              <w:ind w:right="107"/>
              <w:jc w:val="right"/>
              <w:rPr>
                <w:b/>
                <w:sz w:val="21"/>
              </w:rPr>
            </w:pPr>
            <w:r>
              <w:rPr>
                <w:b/>
                <w:w w:val="95"/>
                <w:sz w:val="21"/>
              </w:rPr>
              <w:t>8.17</w:t>
            </w:r>
          </w:p>
        </w:tc>
        <w:tc>
          <w:tcPr>
            <w:tcW w:w="1996" w:type="dxa"/>
          </w:tcPr>
          <w:p>
            <w:pPr>
              <w:pStyle w:val="TableParagraph"/>
              <w:spacing w:line="273" w:lineRule="auto" w:before="142"/>
              <w:ind w:left="108" w:right="99"/>
              <w:rPr>
                <w:b/>
                <w:sz w:val="21"/>
              </w:rPr>
            </w:pPr>
            <w:r>
              <w:rPr>
                <w:b/>
                <w:sz w:val="21"/>
              </w:rPr>
              <w:t>感染艾滋病病毒或患艾滋病</w:t>
            </w:r>
          </w:p>
        </w:tc>
        <w:tc>
          <w:tcPr>
            <w:tcW w:w="7525" w:type="dxa"/>
          </w:tcPr>
          <w:p>
            <w:pPr>
              <w:pStyle w:val="TableParagraph"/>
              <w:spacing w:line="273" w:lineRule="auto" w:before="142"/>
              <w:ind w:left="100" w:right="330"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4"/>
              <w:rPr>
                <w:b/>
                <w:sz w:val="24"/>
              </w:rPr>
            </w:pPr>
          </w:p>
          <w:p>
            <w:pPr>
              <w:pStyle w:val="TableParagraph"/>
              <w:spacing w:line="273" w:lineRule="auto" w:before="1"/>
              <w:ind w:left="100" w:right="303"/>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32" w:type="dxa"/>
          </w:tcPr>
          <w:p>
            <w:pPr>
              <w:pStyle w:val="TableParagraph"/>
              <w:spacing w:before="142"/>
              <w:ind w:right="107"/>
              <w:jc w:val="right"/>
              <w:rPr>
                <w:b/>
                <w:sz w:val="21"/>
              </w:rPr>
            </w:pPr>
            <w:r>
              <w:rPr>
                <w:b/>
                <w:w w:val="95"/>
                <w:sz w:val="21"/>
              </w:rPr>
              <w:t>8.18</w:t>
            </w:r>
          </w:p>
        </w:tc>
        <w:tc>
          <w:tcPr>
            <w:tcW w:w="1996" w:type="dxa"/>
          </w:tcPr>
          <w:p>
            <w:pPr>
              <w:pStyle w:val="TableParagraph"/>
              <w:spacing w:before="142"/>
              <w:ind w:left="108"/>
              <w:rPr>
                <w:b/>
                <w:sz w:val="21"/>
              </w:rPr>
            </w:pPr>
            <w:r>
              <w:rPr>
                <w:b/>
                <w:sz w:val="21"/>
              </w:rPr>
              <w:t>遗传性疾病</w:t>
            </w:r>
          </w:p>
        </w:tc>
        <w:tc>
          <w:tcPr>
            <w:tcW w:w="7525" w:type="dxa"/>
          </w:tcPr>
          <w:p>
            <w:pPr>
              <w:pStyle w:val="TableParagraph"/>
              <w:spacing w:line="273" w:lineRule="auto" w:before="142"/>
              <w:ind w:left="100" w:right="25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2" w:type="dxa"/>
          </w:tcPr>
          <w:p>
            <w:pPr>
              <w:pStyle w:val="TableParagraph"/>
              <w:spacing w:before="142"/>
              <w:ind w:right="107"/>
              <w:jc w:val="right"/>
              <w:rPr>
                <w:b/>
                <w:sz w:val="21"/>
              </w:rPr>
            </w:pPr>
            <w:r>
              <w:rPr>
                <w:b/>
                <w:w w:val="95"/>
                <w:sz w:val="21"/>
              </w:rPr>
              <w:t>8.19</w:t>
            </w:r>
          </w:p>
        </w:tc>
        <w:tc>
          <w:tcPr>
            <w:tcW w:w="1996" w:type="dxa"/>
          </w:tcPr>
          <w:p>
            <w:pPr>
              <w:pStyle w:val="TableParagraph"/>
              <w:spacing w:line="273" w:lineRule="auto" w:before="142"/>
              <w:ind w:left="108" w:right="99"/>
              <w:rPr>
                <w:b/>
                <w:sz w:val="21"/>
              </w:rPr>
            </w:pPr>
            <w:r>
              <w:rPr>
                <w:b/>
                <w:sz w:val="21"/>
              </w:rPr>
              <w:t>先天性畸形、变形或染色体异常</w:t>
            </w:r>
          </w:p>
        </w:tc>
        <w:tc>
          <w:tcPr>
            <w:tcW w:w="7525" w:type="dxa"/>
          </w:tcPr>
          <w:p>
            <w:pPr>
              <w:pStyle w:val="TableParagraph"/>
              <w:spacing w:line="310" w:lineRule="atLeast" w:before="107"/>
              <w:ind w:left="100" w:right="198"/>
              <w:rPr>
                <w:sz w:val="21"/>
              </w:rPr>
            </w:pPr>
            <w:r>
              <w:rPr>
                <w:spacing w:val="-6"/>
                <w:sz w:val="21"/>
              </w:rPr>
              <w:t>指被保险人出生时就具有的畸形、变形或染色体异常。先天性畸形、变形和染</w:t>
            </w:r>
            <w:r>
              <w:rPr>
                <w:spacing w:val="-4"/>
                <w:sz w:val="21"/>
              </w:rPr>
              <w:t>色体异常依照世界卫生组织《疾病和有关健康问题的国际统计分类</w:t>
            </w:r>
            <w:r>
              <w:rPr>
                <w:spacing w:val="-118"/>
                <w:sz w:val="21"/>
              </w:rPr>
              <w:t>》</w:t>
            </w:r>
            <w:r>
              <w:rPr>
                <w:sz w:val="21"/>
              </w:rPr>
              <w:t>（ICD-10） 确定。</w:t>
            </w:r>
          </w:p>
        </w:tc>
      </w:tr>
    </w:tbl>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962" w:hanging="423"/>
        <w:jc w:val="left"/>
      </w:pPr>
      <w:rPr>
        <w:rFonts w:hint="default"/>
      </w:rPr>
    </w:lvl>
    <w:lvl w:ilvl="1">
      <w:start w:val="1"/>
      <w:numFmt w:val="decimal"/>
      <w:lvlText w:val="%1.%2"/>
      <w:lvlJc w:val="left"/>
      <w:pPr>
        <w:ind w:left="1107" w:hanging="423"/>
        <w:jc w:val="left"/>
      </w:pPr>
      <w:rPr>
        <w:rFonts w:hint="default" w:ascii="宋体" w:hAnsi="宋体" w:eastAsia="宋体" w:cs="宋体"/>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442" w:hanging="423"/>
      </w:pPr>
      <w:rPr>
        <w:rFonts w:hint="default"/>
      </w:rPr>
    </w:lvl>
    <w:lvl w:ilvl="4">
      <w:start w:val="0"/>
      <w:numFmt w:val="bullet"/>
      <w:lvlText w:val="•"/>
      <w:lvlJc w:val="left"/>
      <w:pPr>
        <w:ind w:left="1614" w:hanging="423"/>
      </w:pPr>
      <w:rPr>
        <w:rFonts w:hint="default"/>
      </w:rPr>
    </w:lvl>
    <w:lvl w:ilvl="5">
      <w:start w:val="0"/>
      <w:numFmt w:val="bullet"/>
      <w:lvlText w:val="•"/>
      <w:lvlJc w:val="left"/>
      <w:pPr>
        <w:ind w:left="1785" w:hanging="423"/>
      </w:pPr>
      <w:rPr>
        <w:rFonts w:hint="default"/>
      </w:rPr>
    </w:lvl>
    <w:lvl w:ilvl="6">
      <w:start w:val="0"/>
      <w:numFmt w:val="bullet"/>
      <w:lvlText w:val="•"/>
      <w:lvlJc w:val="left"/>
      <w:pPr>
        <w:ind w:left="1957" w:hanging="423"/>
      </w:pPr>
      <w:rPr>
        <w:rFonts w:hint="default"/>
      </w:rPr>
    </w:lvl>
    <w:lvl w:ilvl="7">
      <w:start w:val="0"/>
      <w:numFmt w:val="bullet"/>
      <w:lvlText w:val="•"/>
      <w:lvlJc w:val="left"/>
      <w:pPr>
        <w:ind w:left="2128" w:hanging="423"/>
      </w:pPr>
      <w:rPr>
        <w:rFonts w:hint="default"/>
      </w:rPr>
    </w:lvl>
    <w:lvl w:ilvl="8">
      <w:start w:val="0"/>
      <w:numFmt w:val="bullet"/>
      <w:lvlText w:val="•"/>
      <w:lvlJc w:val="left"/>
      <w:pPr>
        <w:ind w:left="2300" w:hanging="423"/>
      </w:pPr>
      <w:rPr>
        <w:rFonts w:hint="default"/>
      </w:rPr>
    </w:lvl>
  </w:abstractNum>
  <w:abstractNum w:abstractNumId="5">
    <w:multiLevelType w:val="hybridMultilevel"/>
    <w:lvl w:ilvl="0">
      <w:start w:val="7"/>
      <w:numFmt w:val="decimal"/>
      <w:lvlText w:val="%1"/>
      <w:lvlJc w:val="left"/>
      <w:pPr>
        <w:ind w:left="962" w:hanging="423"/>
        <w:jc w:val="left"/>
      </w:pPr>
      <w:rPr>
        <w:rFonts w:hint="default"/>
      </w:rPr>
    </w:lvl>
    <w:lvl w:ilvl="1">
      <w:start w:val="1"/>
      <w:numFmt w:val="decimal"/>
      <w:lvlText w:val="%1.%2"/>
      <w:lvlJc w:val="left"/>
      <w:pPr>
        <w:ind w:left="962" w:hanging="423"/>
        <w:jc w:val="left"/>
      </w:pPr>
      <w:rPr>
        <w:rFonts w:hint="default" w:ascii="宋体" w:hAnsi="宋体" w:eastAsia="宋体" w:cs="宋体"/>
        <w:w w:val="100"/>
        <w:sz w:val="21"/>
        <w:szCs w:val="21"/>
      </w:rPr>
    </w:lvl>
    <w:lvl w:ilvl="2">
      <w:start w:val="0"/>
      <w:numFmt w:val="bullet"/>
      <w:lvlText w:val="•"/>
      <w:lvlJc w:val="left"/>
      <w:pPr>
        <w:ind w:left="1296" w:hanging="423"/>
      </w:pPr>
      <w:rPr>
        <w:rFonts w:hint="default"/>
      </w:rPr>
    </w:lvl>
    <w:lvl w:ilvl="3">
      <w:start w:val="0"/>
      <w:numFmt w:val="bullet"/>
      <w:lvlText w:val="•"/>
      <w:lvlJc w:val="left"/>
      <w:pPr>
        <w:ind w:left="1464" w:hanging="423"/>
      </w:pPr>
      <w:rPr>
        <w:rFonts w:hint="default"/>
      </w:rPr>
    </w:lvl>
    <w:lvl w:ilvl="4">
      <w:start w:val="0"/>
      <w:numFmt w:val="bullet"/>
      <w:lvlText w:val="•"/>
      <w:lvlJc w:val="left"/>
      <w:pPr>
        <w:ind w:left="1633" w:hanging="423"/>
      </w:pPr>
      <w:rPr>
        <w:rFonts w:hint="default"/>
      </w:rPr>
    </w:lvl>
    <w:lvl w:ilvl="5">
      <w:start w:val="0"/>
      <w:numFmt w:val="bullet"/>
      <w:lvlText w:val="•"/>
      <w:lvlJc w:val="left"/>
      <w:pPr>
        <w:ind w:left="1801" w:hanging="423"/>
      </w:pPr>
      <w:rPr>
        <w:rFonts w:hint="default"/>
      </w:rPr>
    </w:lvl>
    <w:lvl w:ilvl="6">
      <w:start w:val="0"/>
      <w:numFmt w:val="bullet"/>
      <w:lvlText w:val="•"/>
      <w:lvlJc w:val="left"/>
      <w:pPr>
        <w:ind w:left="1969" w:hanging="423"/>
      </w:pPr>
      <w:rPr>
        <w:rFonts w:hint="default"/>
      </w:rPr>
    </w:lvl>
    <w:lvl w:ilvl="7">
      <w:start w:val="0"/>
      <w:numFmt w:val="bullet"/>
      <w:lvlText w:val="•"/>
      <w:lvlJc w:val="left"/>
      <w:pPr>
        <w:ind w:left="2138" w:hanging="423"/>
      </w:pPr>
      <w:rPr>
        <w:rFonts w:hint="default"/>
      </w:rPr>
    </w:lvl>
    <w:lvl w:ilvl="8">
      <w:start w:val="0"/>
      <w:numFmt w:val="bullet"/>
      <w:lvlText w:val="•"/>
      <w:lvlJc w:val="left"/>
      <w:pPr>
        <w:ind w:left="2306" w:hanging="423"/>
      </w:pPr>
      <w:rPr>
        <w:rFonts w:hint="default"/>
      </w:rPr>
    </w:lvl>
  </w:abstractNum>
  <w:abstractNum w:abstractNumId="4">
    <w:multiLevelType w:val="hybridMultilevel"/>
    <w:lvl w:ilvl="0">
      <w:start w:val="4"/>
      <w:numFmt w:val="decimal"/>
      <w:lvlText w:val="%1"/>
      <w:lvlJc w:val="left"/>
      <w:pPr>
        <w:ind w:left="2161" w:hanging="423"/>
        <w:jc w:val="left"/>
      </w:pPr>
      <w:rPr>
        <w:rFonts w:hint="default"/>
      </w:rPr>
    </w:lvl>
    <w:lvl w:ilvl="1">
      <w:start w:val="1"/>
      <w:numFmt w:val="decimal"/>
      <w:lvlText w:val="%1.%2"/>
      <w:lvlJc w:val="left"/>
      <w:pPr>
        <w:ind w:left="2161" w:hanging="423"/>
        <w:jc w:val="left"/>
      </w:pPr>
      <w:rPr>
        <w:rFonts w:hint="default" w:ascii="宋体" w:hAnsi="宋体" w:eastAsia="宋体" w:cs="宋体"/>
        <w:w w:val="100"/>
        <w:sz w:val="21"/>
        <w:szCs w:val="21"/>
      </w:rPr>
    </w:lvl>
    <w:lvl w:ilvl="2">
      <w:start w:val="0"/>
      <w:numFmt w:val="bullet"/>
      <w:lvlText w:val="•"/>
      <w:lvlJc w:val="left"/>
      <w:pPr>
        <w:ind w:left="2527" w:hanging="423"/>
      </w:pPr>
      <w:rPr>
        <w:rFonts w:hint="default"/>
      </w:rPr>
    </w:lvl>
    <w:lvl w:ilvl="3">
      <w:start w:val="0"/>
      <w:numFmt w:val="bullet"/>
      <w:lvlText w:val="•"/>
      <w:lvlJc w:val="left"/>
      <w:pPr>
        <w:ind w:left="2710" w:hanging="423"/>
      </w:pPr>
      <w:rPr>
        <w:rFonts w:hint="default"/>
      </w:rPr>
    </w:lvl>
    <w:lvl w:ilvl="4">
      <w:start w:val="0"/>
      <w:numFmt w:val="bullet"/>
      <w:lvlText w:val="•"/>
      <w:lvlJc w:val="left"/>
      <w:pPr>
        <w:ind w:left="2894" w:hanging="423"/>
      </w:pPr>
      <w:rPr>
        <w:rFonts w:hint="default"/>
      </w:rPr>
    </w:lvl>
    <w:lvl w:ilvl="5">
      <w:start w:val="0"/>
      <w:numFmt w:val="bullet"/>
      <w:lvlText w:val="•"/>
      <w:lvlJc w:val="left"/>
      <w:pPr>
        <w:ind w:left="3077" w:hanging="423"/>
      </w:pPr>
      <w:rPr>
        <w:rFonts w:hint="default"/>
      </w:rPr>
    </w:lvl>
    <w:lvl w:ilvl="6">
      <w:start w:val="0"/>
      <w:numFmt w:val="bullet"/>
      <w:lvlText w:val="•"/>
      <w:lvlJc w:val="left"/>
      <w:pPr>
        <w:ind w:left="3261" w:hanging="423"/>
      </w:pPr>
      <w:rPr>
        <w:rFonts w:hint="default"/>
      </w:rPr>
    </w:lvl>
    <w:lvl w:ilvl="7">
      <w:start w:val="0"/>
      <w:numFmt w:val="bullet"/>
      <w:lvlText w:val="•"/>
      <w:lvlJc w:val="left"/>
      <w:pPr>
        <w:ind w:left="3444" w:hanging="423"/>
      </w:pPr>
      <w:rPr>
        <w:rFonts w:hint="default"/>
      </w:rPr>
    </w:lvl>
    <w:lvl w:ilvl="8">
      <w:start w:val="0"/>
      <w:numFmt w:val="bullet"/>
      <w:lvlText w:val="•"/>
      <w:lvlJc w:val="left"/>
      <w:pPr>
        <w:ind w:left="3628" w:hanging="423"/>
      </w:pPr>
      <w:rPr>
        <w:rFonts w:hint="default"/>
      </w:rPr>
    </w:lvl>
  </w:abstractNum>
  <w:abstractNum w:abstractNumId="3">
    <w:multiLevelType w:val="hybridMultilevel"/>
    <w:lvl w:ilvl="0">
      <w:start w:val="3"/>
      <w:numFmt w:val="decimal"/>
      <w:lvlText w:val="%1"/>
      <w:lvlJc w:val="left"/>
      <w:pPr>
        <w:ind w:left="2108" w:hanging="370"/>
        <w:jc w:val="left"/>
      </w:pPr>
      <w:rPr>
        <w:rFonts w:hint="default"/>
      </w:rPr>
    </w:lvl>
    <w:lvl w:ilvl="1">
      <w:start w:val="1"/>
      <w:numFmt w:val="decimal"/>
      <w:lvlText w:val="%1.%2"/>
      <w:lvlJc w:val="left"/>
      <w:pPr>
        <w:ind w:left="2108" w:hanging="370"/>
        <w:jc w:val="left"/>
      </w:pPr>
      <w:rPr>
        <w:rFonts w:hint="default" w:ascii="宋体" w:hAnsi="宋体" w:eastAsia="宋体" w:cs="宋体"/>
        <w:w w:val="100"/>
        <w:sz w:val="21"/>
        <w:szCs w:val="21"/>
      </w:rPr>
    </w:lvl>
    <w:lvl w:ilvl="2">
      <w:start w:val="0"/>
      <w:numFmt w:val="bullet"/>
      <w:lvlText w:val="•"/>
      <w:lvlJc w:val="left"/>
      <w:pPr>
        <w:ind w:left="2479" w:hanging="370"/>
      </w:pPr>
      <w:rPr>
        <w:rFonts w:hint="default"/>
      </w:rPr>
    </w:lvl>
    <w:lvl w:ilvl="3">
      <w:start w:val="0"/>
      <w:numFmt w:val="bullet"/>
      <w:lvlText w:val="•"/>
      <w:lvlJc w:val="left"/>
      <w:pPr>
        <w:ind w:left="2668" w:hanging="370"/>
      </w:pPr>
      <w:rPr>
        <w:rFonts w:hint="default"/>
      </w:rPr>
    </w:lvl>
    <w:lvl w:ilvl="4">
      <w:start w:val="0"/>
      <w:numFmt w:val="bullet"/>
      <w:lvlText w:val="•"/>
      <w:lvlJc w:val="left"/>
      <w:pPr>
        <w:ind w:left="2858" w:hanging="370"/>
      </w:pPr>
      <w:rPr>
        <w:rFonts w:hint="default"/>
      </w:rPr>
    </w:lvl>
    <w:lvl w:ilvl="5">
      <w:start w:val="0"/>
      <w:numFmt w:val="bullet"/>
      <w:lvlText w:val="•"/>
      <w:lvlJc w:val="left"/>
      <w:pPr>
        <w:ind w:left="3047" w:hanging="370"/>
      </w:pPr>
      <w:rPr>
        <w:rFonts w:hint="default"/>
      </w:rPr>
    </w:lvl>
    <w:lvl w:ilvl="6">
      <w:start w:val="0"/>
      <w:numFmt w:val="bullet"/>
      <w:lvlText w:val="•"/>
      <w:lvlJc w:val="left"/>
      <w:pPr>
        <w:ind w:left="3237" w:hanging="370"/>
      </w:pPr>
      <w:rPr>
        <w:rFonts w:hint="default"/>
      </w:rPr>
    </w:lvl>
    <w:lvl w:ilvl="7">
      <w:start w:val="0"/>
      <w:numFmt w:val="bullet"/>
      <w:lvlText w:val="•"/>
      <w:lvlJc w:val="left"/>
      <w:pPr>
        <w:ind w:left="3426" w:hanging="370"/>
      </w:pPr>
      <w:rPr>
        <w:rFonts w:hint="default"/>
      </w:rPr>
    </w:lvl>
    <w:lvl w:ilvl="8">
      <w:start w:val="0"/>
      <w:numFmt w:val="bullet"/>
      <w:lvlText w:val="•"/>
      <w:lvlJc w:val="left"/>
      <w:pPr>
        <w:ind w:left="3616" w:hanging="370"/>
      </w:pPr>
      <w:rPr>
        <w:rFonts w:hint="default"/>
      </w:rPr>
    </w:lvl>
  </w:abstractNum>
  <w:abstractNum w:abstractNumId="2">
    <w:multiLevelType w:val="hybridMultilevel"/>
    <w:lvl w:ilvl="0">
      <w:start w:val="2"/>
      <w:numFmt w:val="decimal"/>
      <w:lvlText w:val="%1"/>
      <w:lvlJc w:val="left"/>
      <w:pPr>
        <w:ind w:left="2108" w:hanging="370"/>
        <w:jc w:val="left"/>
      </w:pPr>
      <w:rPr>
        <w:rFonts w:hint="default"/>
      </w:rPr>
    </w:lvl>
    <w:lvl w:ilvl="1">
      <w:start w:val="1"/>
      <w:numFmt w:val="decimal"/>
      <w:lvlText w:val="%1.%2"/>
      <w:lvlJc w:val="left"/>
      <w:pPr>
        <w:ind w:left="2108" w:hanging="370"/>
        <w:jc w:val="left"/>
      </w:pPr>
      <w:rPr>
        <w:rFonts w:hint="default" w:ascii="宋体" w:hAnsi="宋体" w:eastAsia="宋体" w:cs="宋体"/>
        <w:w w:val="100"/>
        <w:sz w:val="21"/>
        <w:szCs w:val="21"/>
      </w:rPr>
    </w:lvl>
    <w:lvl w:ilvl="2">
      <w:start w:val="0"/>
      <w:numFmt w:val="bullet"/>
      <w:lvlText w:val="•"/>
      <w:lvlJc w:val="left"/>
      <w:pPr>
        <w:ind w:left="2479" w:hanging="370"/>
      </w:pPr>
      <w:rPr>
        <w:rFonts w:hint="default"/>
      </w:rPr>
    </w:lvl>
    <w:lvl w:ilvl="3">
      <w:start w:val="0"/>
      <w:numFmt w:val="bullet"/>
      <w:lvlText w:val="•"/>
      <w:lvlJc w:val="left"/>
      <w:pPr>
        <w:ind w:left="2668" w:hanging="370"/>
      </w:pPr>
      <w:rPr>
        <w:rFonts w:hint="default"/>
      </w:rPr>
    </w:lvl>
    <w:lvl w:ilvl="4">
      <w:start w:val="0"/>
      <w:numFmt w:val="bullet"/>
      <w:lvlText w:val="•"/>
      <w:lvlJc w:val="left"/>
      <w:pPr>
        <w:ind w:left="2858" w:hanging="370"/>
      </w:pPr>
      <w:rPr>
        <w:rFonts w:hint="default"/>
      </w:rPr>
    </w:lvl>
    <w:lvl w:ilvl="5">
      <w:start w:val="0"/>
      <w:numFmt w:val="bullet"/>
      <w:lvlText w:val="•"/>
      <w:lvlJc w:val="left"/>
      <w:pPr>
        <w:ind w:left="3047" w:hanging="370"/>
      </w:pPr>
      <w:rPr>
        <w:rFonts w:hint="default"/>
      </w:rPr>
    </w:lvl>
    <w:lvl w:ilvl="6">
      <w:start w:val="0"/>
      <w:numFmt w:val="bullet"/>
      <w:lvlText w:val="•"/>
      <w:lvlJc w:val="left"/>
      <w:pPr>
        <w:ind w:left="3237" w:hanging="370"/>
      </w:pPr>
      <w:rPr>
        <w:rFonts w:hint="default"/>
      </w:rPr>
    </w:lvl>
    <w:lvl w:ilvl="7">
      <w:start w:val="0"/>
      <w:numFmt w:val="bullet"/>
      <w:lvlText w:val="•"/>
      <w:lvlJc w:val="left"/>
      <w:pPr>
        <w:ind w:left="3426" w:hanging="370"/>
      </w:pPr>
      <w:rPr>
        <w:rFonts w:hint="default"/>
      </w:rPr>
    </w:lvl>
    <w:lvl w:ilvl="8">
      <w:start w:val="0"/>
      <w:numFmt w:val="bullet"/>
      <w:lvlText w:val="•"/>
      <w:lvlJc w:val="left"/>
      <w:pPr>
        <w:ind w:left="3616" w:hanging="370"/>
      </w:pPr>
      <w:rPr>
        <w:rFonts w:hint="default"/>
      </w:rPr>
    </w:lvl>
  </w:abstractNum>
  <w:abstractNum w:abstractNumId="1">
    <w:multiLevelType w:val="hybridMultilevel"/>
    <w:lvl w:ilvl="0">
      <w:start w:val="1"/>
      <w:numFmt w:val="decimal"/>
      <w:lvlText w:val="%1"/>
      <w:lvlJc w:val="left"/>
      <w:pPr>
        <w:ind w:left="2108" w:hanging="370"/>
        <w:jc w:val="left"/>
      </w:pPr>
      <w:rPr>
        <w:rFonts w:hint="default"/>
      </w:rPr>
    </w:lvl>
    <w:lvl w:ilvl="1">
      <w:start w:val="1"/>
      <w:numFmt w:val="decimal"/>
      <w:lvlText w:val="%1.%2"/>
      <w:lvlJc w:val="left"/>
      <w:pPr>
        <w:ind w:left="2108" w:hanging="370"/>
        <w:jc w:val="left"/>
      </w:pPr>
      <w:rPr>
        <w:rFonts w:hint="default" w:ascii="宋体" w:hAnsi="宋体" w:eastAsia="宋体" w:cs="宋体"/>
        <w:w w:val="100"/>
        <w:sz w:val="21"/>
        <w:szCs w:val="21"/>
      </w:rPr>
    </w:lvl>
    <w:lvl w:ilvl="2">
      <w:start w:val="0"/>
      <w:numFmt w:val="bullet"/>
      <w:lvlText w:val="•"/>
      <w:lvlJc w:val="left"/>
      <w:pPr>
        <w:ind w:left="2479" w:hanging="370"/>
      </w:pPr>
      <w:rPr>
        <w:rFonts w:hint="default"/>
      </w:rPr>
    </w:lvl>
    <w:lvl w:ilvl="3">
      <w:start w:val="0"/>
      <w:numFmt w:val="bullet"/>
      <w:lvlText w:val="•"/>
      <w:lvlJc w:val="left"/>
      <w:pPr>
        <w:ind w:left="2668" w:hanging="370"/>
      </w:pPr>
      <w:rPr>
        <w:rFonts w:hint="default"/>
      </w:rPr>
    </w:lvl>
    <w:lvl w:ilvl="4">
      <w:start w:val="0"/>
      <w:numFmt w:val="bullet"/>
      <w:lvlText w:val="•"/>
      <w:lvlJc w:val="left"/>
      <w:pPr>
        <w:ind w:left="2858" w:hanging="370"/>
      </w:pPr>
      <w:rPr>
        <w:rFonts w:hint="default"/>
      </w:rPr>
    </w:lvl>
    <w:lvl w:ilvl="5">
      <w:start w:val="0"/>
      <w:numFmt w:val="bullet"/>
      <w:lvlText w:val="•"/>
      <w:lvlJc w:val="left"/>
      <w:pPr>
        <w:ind w:left="3047" w:hanging="370"/>
      </w:pPr>
      <w:rPr>
        <w:rFonts w:hint="default"/>
      </w:rPr>
    </w:lvl>
    <w:lvl w:ilvl="6">
      <w:start w:val="0"/>
      <w:numFmt w:val="bullet"/>
      <w:lvlText w:val="•"/>
      <w:lvlJc w:val="left"/>
      <w:pPr>
        <w:ind w:left="3237" w:hanging="370"/>
      </w:pPr>
      <w:rPr>
        <w:rFonts w:hint="default"/>
      </w:rPr>
    </w:lvl>
    <w:lvl w:ilvl="7">
      <w:start w:val="0"/>
      <w:numFmt w:val="bullet"/>
      <w:lvlText w:val="•"/>
      <w:lvlJc w:val="left"/>
      <w:pPr>
        <w:ind w:left="3426" w:hanging="370"/>
      </w:pPr>
      <w:rPr>
        <w:rFonts w:hint="default"/>
      </w:rPr>
    </w:lvl>
    <w:lvl w:ilvl="8">
      <w:start w:val="0"/>
      <w:numFmt w:val="bullet"/>
      <w:lvlText w:val="•"/>
      <w:lvlJc w:val="left"/>
      <w:pPr>
        <w:ind w:left="3616" w:hanging="370"/>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2606" w:hanging="420"/>
      </w:pPr>
      <w:rPr>
        <w:rFonts w:hint="default"/>
      </w:rPr>
    </w:lvl>
    <w:lvl w:ilvl="2">
      <w:start w:val="0"/>
      <w:numFmt w:val="bullet"/>
      <w:lvlText w:val="•"/>
      <w:lvlJc w:val="left"/>
      <w:pPr>
        <w:ind w:left="3473" w:hanging="420"/>
      </w:pPr>
      <w:rPr>
        <w:rFonts w:hint="default"/>
      </w:rPr>
    </w:lvl>
    <w:lvl w:ilvl="3">
      <w:start w:val="0"/>
      <w:numFmt w:val="bullet"/>
      <w:lvlText w:val="•"/>
      <w:lvlJc w:val="left"/>
      <w:pPr>
        <w:ind w:left="4339" w:hanging="420"/>
      </w:pPr>
      <w:rPr>
        <w:rFonts w:hint="default"/>
      </w:rPr>
    </w:lvl>
    <w:lvl w:ilvl="4">
      <w:start w:val="0"/>
      <w:numFmt w:val="bullet"/>
      <w:lvlText w:val="•"/>
      <w:lvlJc w:val="left"/>
      <w:pPr>
        <w:ind w:left="5206" w:hanging="420"/>
      </w:pPr>
      <w:rPr>
        <w:rFonts w:hint="default"/>
      </w:rPr>
    </w:lvl>
    <w:lvl w:ilvl="5">
      <w:start w:val="0"/>
      <w:numFmt w:val="bullet"/>
      <w:lvlText w:val="•"/>
      <w:lvlJc w:val="left"/>
      <w:pPr>
        <w:ind w:left="6073" w:hanging="420"/>
      </w:pPr>
      <w:rPr>
        <w:rFonts w:hint="default"/>
      </w:rPr>
    </w:lvl>
    <w:lvl w:ilvl="6">
      <w:start w:val="0"/>
      <w:numFmt w:val="bullet"/>
      <w:lvlText w:val="•"/>
      <w:lvlJc w:val="left"/>
      <w:pPr>
        <w:ind w:left="6939" w:hanging="420"/>
      </w:pPr>
      <w:rPr>
        <w:rFonts w:hint="default"/>
      </w:rPr>
    </w:lvl>
    <w:lvl w:ilvl="7">
      <w:start w:val="0"/>
      <w:numFmt w:val="bullet"/>
      <w:lvlText w:val="•"/>
      <w:lvlJc w:val="left"/>
      <w:pPr>
        <w:ind w:left="7806" w:hanging="420"/>
      </w:pPr>
      <w:rPr>
        <w:rFonts w:hint="default"/>
      </w:rPr>
    </w:lvl>
    <w:lvl w:ilvl="8">
      <w:start w:val="0"/>
      <w:numFmt w:val="bullet"/>
      <w:lvlText w:val="•"/>
      <w:lvlJc w:val="left"/>
      <w:pPr>
        <w:ind w:left="8673"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
      <w:ind w:left="1968"/>
      <w:outlineLvl w:val="2"/>
    </w:pPr>
    <w:rPr>
      <w:rFonts w:ascii="宋体" w:hAnsi="宋体" w:eastAsia="宋体" w:cs="宋体"/>
      <w:sz w:val="22"/>
      <w:szCs w:val="22"/>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2108" w:hanging="36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2018-10-19T22:50:33Z</dcterms:created>
  <dcterms:modified xsi:type="dcterms:W3CDTF">2018-10-19T22:50:33Z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9.0 Word 版</vt:lpwstr>
  </property>
  <property fmtid="{D5CDD505-2E9C-101B-9397-08002B2CF9AE}" pid="4" name="LastSaved">
    <vt:filetime>2018-10-19T00:00:00Z</vt:filetime>
  </property>
</Properties>
</file>