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0" w:right="113" w:firstLine="0"/>
        <w:jc w:val="right"/>
        <w:rPr>
          <w:sz w:val="18"/>
        </w:rPr>
      </w:pPr>
      <w:r>
        <w:rPr/>
        <w:drawing>
          <wp:anchor distT="0" distB="0" distL="0" distR="0" allowOverlap="1" layoutInCell="1" locked="0" behindDoc="0" simplePos="0" relativeHeight="0">
            <wp:simplePos x="0" y="0"/>
            <wp:positionH relativeFrom="page">
              <wp:posOffset>6127241</wp:posOffset>
            </wp:positionH>
            <wp:positionV relativeFrom="paragraph">
              <wp:posOffset>236372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国华人寿[2015]疾病保险 051 号</w:t>
      </w:r>
    </w:p>
    <w:p>
      <w:pPr>
        <w:pStyle w:val="BodyText"/>
        <w:spacing w:before="0"/>
        <w:ind w:left="0"/>
        <w:rPr>
          <w:sz w:val="29"/>
        </w:rPr>
      </w:pPr>
    </w:p>
    <w:p>
      <w:pPr>
        <w:spacing w:after="0"/>
        <w:rPr>
          <w:sz w:val="29"/>
        </w:rPr>
        <w:sectPr>
          <w:type w:val="continuous"/>
          <w:pgSz w:w="11910" w:h="16840"/>
          <w:pgMar w:top="500" w:bottom="280" w:left="640" w:right="1000"/>
        </w:sectPr>
      </w:pPr>
    </w:p>
    <w:p>
      <w:pPr>
        <w:pStyle w:val="Heading1"/>
        <w:spacing w:line="507" w:lineRule="exact"/>
        <w:ind w:left="3026"/>
      </w:pPr>
      <w:r>
        <w:rPr>
          <w:spacing w:val="-5"/>
        </w:rPr>
        <w:t>国华 </w:t>
      </w:r>
      <w:r>
        <w:rPr>
          <w:rFonts w:ascii="Arial" w:eastAsia="Arial"/>
        </w:rPr>
        <w:t>2</w:t>
      </w:r>
      <w:r>
        <w:rPr>
          <w:rFonts w:ascii="Arial" w:eastAsia="Arial"/>
          <w:spacing w:val="-10"/>
        </w:rPr>
        <w:t> </w:t>
      </w:r>
      <w:r>
        <w:rPr>
          <w:spacing w:val="-2"/>
        </w:rPr>
        <w:t>号重大疾病保险 </w:t>
      </w:r>
      <w:r>
        <w:rPr>
          <w:rFonts w:ascii="Arial" w:eastAsia="Arial"/>
        </w:rPr>
        <w:t>B</w:t>
      </w:r>
      <w:r>
        <w:rPr>
          <w:rFonts w:ascii="Arial" w:eastAsia="Arial"/>
          <w:spacing w:val="-9"/>
        </w:rPr>
        <w:t> </w:t>
      </w:r>
      <w:r>
        <w:rPr/>
        <w:t>款条款</w:t>
      </w:r>
    </w:p>
    <w:p>
      <w:pPr>
        <w:spacing w:before="71"/>
        <w:ind w:left="3025"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8"/>
        </w:rPr>
      </w:pPr>
    </w:p>
    <w:p>
      <w:pPr>
        <w:spacing w:before="0"/>
        <w:ind w:left="708" w:right="0" w:firstLine="0"/>
        <w:jc w:val="left"/>
        <w:rPr>
          <w:sz w:val="18"/>
        </w:rPr>
      </w:pPr>
      <w:r>
        <w:rPr>
          <w:sz w:val="18"/>
        </w:rPr>
        <w:t>请扫描以查询验证条款</w:t>
      </w:r>
    </w:p>
    <w:p>
      <w:pPr>
        <w:spacing w:after="0"/>
        <w:jc w:val="left"/>
        <w:rPr>
          <w:sz w:val="18"/>
        </w:rPr>
        <w:sectPr>
          <w:type w:val="continuous"/>
          <w:pgSz w:w="11910" w:h="16840"/>
          <w:pgMar w:top="500" w:bottom="280" w:left="640" w:right="1000"/>
          <w:cols w:num="2" w:equalWidth="0">
            <w:col w:w="7601" w:space="40"/>
            <w:col w:w="2629"/>
          </w:cols>
        </w:sectPr>
      </w:pPr>
    </w:p>
    <w:p>
      <w:pPr>
        <w:spacing w:before="65"/>
        <w:ind w:left="985" w:right="624" w:firstLine="0"/>
        <w:jc w:val="center"/>
        <w:rPr>
          <w:sz w:val="20"/>
        </w:rPr>
      </w:pPr>
      <w:r>
        <w:rPr/>
        <w:drawing>
          <wp:anchor distT="0" distB="0" distL="0" distR="0" allowOverlap="1" layoutInCell="1" locked="0" behindDoc="1" simplePos="0" relativeHeight="268406687">
            <wp:simplePos x="0" y="0"/>
            <wp:positionH relativeFrom="page">
              <wp:posOffset>477443</wp:posOffset>
            </wp:positionH>
            <wp:positionV relativeFrom="paragraph">
              <wp:posOffset>267004</wp:posOffset>
            </wp:positionV>
            <wp:extent cx="6294767" cy="823405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4767" cy="8234057"/>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10"/>
          <w:w w:val="100"/>
          <w:position w:val="-7"/>
          <w:sz w:val="20"/>
        </w:rPr>
        <w:t>．</w:t>
      </w:r>
      <w:r>
        <w:rPr>
          <w:rFonts w:ascii="Times New Roman" w:hAnsi="Times New Roman" w:eastAsia="Times New Roman"/>
          <w:b/>
          <w:spacing w:val="-91"/>
          <w:w w:val="100"/>
          <w:sz w:val="20"/>
        </w:rPr>
        <w:t>2</w:t>
      </w:r>
      <w:r>
        <w:rPr>
          <w:spacing w:val="-59"/>
          <w:w w:val="100"/>
          <w:position w:val="-7"/>
          <w:sz w:val="20"/>
        </w:rPr>
        <w:t>．</w:t>
      </w:r>
      <w:r>
        <w:rPr>
          <w:b/>
          <w:spacing w:val="-141"/>
          <w:w w:val="99"/>
          <w:sz w:val="20"/>
        </w:rPr>
        <w:t>号</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9"/>
          <w:w w:val="100"/>
          <w:position w:val="-7"/>
          <w:sz w:val="20"/>
        </w:rPr>
        <w:t>．</w:t>
      </w:r>
      <w:r>
        <w:rPr>
          <w:rFonts w:ascii="Times New Roman" w:hAnsi="Times New Roman" w:eastAsia="Times New Roman"/>
          <w:b/>
          <w:spacing w:val="-108"/>
          <w:w w:val="100"/>
          <w:sz w:val="20"/>
        </w:rPr>
        <w:t>B</w:t>
      </w:r>
      <w:r>
        <w:rPr>
          <w:spacing w:val="-45"/>
          <w:w w:val="100"/>
          <w:position w:val="-7"/>
          <w:sz w:val="20"/>
        </w:rPr>
        <w:t>．</w:t>
      </w:r>
      <w:r>
        <w:rPr>
          <w:b/>
          <w:spacing w:val="-141"/>
          <w:w w:val="99"/>
          <w:sz w:val="20"/>
        </w:rPr>
        <w:t>款</w:t>
      </w:r>
      <w:r>
        <w:rPr>
          <w:spacing w:val="-60"/>
          <w:w w:val="100"/>
          <w:position w:val="-7"/>
          <w:sz w:val="20"/>
        </w:rPr>
        <w:t>．</w:t>
      </w:r>
      <w:r>
        <w:rPr>
          <w:b/>
          <w:spacing w:val="-141"/>
          <w:w w:val="99"/>
          <w:sz w:val="20"/>
        </w:rPr>
        <w:t>合</w:t>
      </w:r>
      <w:r>
        <w:rPr>
          <w:spacing w:val="-59"/>
          <w:w w:val="100"/>
          <w:position w:val="-7"/>
          <w:sz w:val="20"/>
        </w:rPr>
        <w:t>．</w:t>
      </w:r>
      <w:r>
        <w:rPr>
          <w:b/>
          <w:spacing w:val="-141"/>
          <w:w w:val="99"/>
          <w:sz w:val="20"/>
        </w:rPr>
        <w:t>同</w:t>
      </w:r>
      <w:r>
        <w:rPr>
          <w:spacing w:val="-60"/>
          <w:w w:val="100"/>
          <w:position w:val="-7"/>
          <w:sz w:val="20"/>
        </w:rPr>
        <w:t>．</w:t>
      </w:r>
      <w:r>
        <w:rPr>
          <w:spacing w:val="-141"/>
          <w:w w:val="100"/>
          <w:sz w:val="20"/>
        </w:rPr>
        <w:t>”</w:t>
      </w:r>
      <w:r>
        <w:rPr>
          <w:spacing w:val="-60"/>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2"/>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Heading3"/>
        <w:tabs>
          <w:tab w:pos="1285" w:val="left" w:leader="none"/>
        </w:tabs>
        <w:spacing w:before="130"/>
        <w:ind w:left="275"/>
      </w:pPr>
      <w:r>
        <w:rPr>
          <w:rFonts w:ascii="Arial" w:hAnsi="Arial" w:eastAsia="Arial"/>
          <w:w w:val="105"/>
          <w:position w:val="-11"/>
          <w:sz w:val="52"/>
        </w:rPr>
        <w:t></w:t>
        <w:tab/>
      </w:r>
      <w:r>
        <w:rPr>
          <w:w w:val="95"/>
        </w:rPr>
        <w:t>您拥有的重要权益</w:t>
      </w:r>
    </w:p>
    <w:p>
      <w:pPr>
        <w:pStyle w:val="ListParagraph"/>
        <w:numPr>
          <w:ilvl w:val="0"/>
          <w:numId w:val="1"/>
        </w:numPr>
        <w:tabs>
          <w:tab w:pos="1667" w:val="left" w:leader="none"/>
          <w:tab w:pos="1668" w:val="left" w:leader="none"/>
          <w:tab w:pos="9542" w:val="right" w:leader="dot"/>
        </w:tabs>
        <w:spacing w:line="240" w:lineRule="auto" w:before="24" w:after="0"/>
        <w:ind w:left="1667" w:right="0" w:hanging="420"/>
        <w:jc w:val="left"/>
        <w:rPr>
          <w:sz w:val="21"/>
        </w:rPr>
      </w:pPr>
      <w:r>
        <w:rPr>
          <w:sz w:val="21"/>
        </w:rPr>
        <w:t>被保险人可以享受本合同提供的保障…</w:t>
        <w:tab/>
        <w:t>2.4</w:t>
      </w:r>
    </w:p>
    <w:p>
      <w:pPr>
        <w:pStyle w:val="ListParagraph"/>
        <w:numPr>
          <w:ilvl w:val="0"/>
          <w:numId w:val="1"/>
        </w:numPr>
        <w:tabs>
          <w:tab w:pos="1667" w:val="left" w:leader="none"/>
          <w:tab w:pos="1668" w:val="left" w:leader="none"/>
          <w:tab w:pos="9332" w:val="right" w:leader="dot"/>
        </w:tabs>
        <w:spacing w:line="240" w:lineRule="auto" w:before="209" w:after="0"/>
        <w:ind w:left="1667" w:right="0" w:hanging="420"/>
        <w:jc w:val="left"/>
        <w:rPr>
          <w:sz w:val="21"/>
        </w:rPr>
      </w:pPr>
      <w:r>
        <w:rPr>
          <w:sz w:val="21"/>
        </w:rPr>
        <w:t>您有退保的权利…</w:t>
        <w:tab/>
        <w:t>5</w:t>
      </w:r>
    </w:p>
    <w:p>
      <w:pPr>
        <w:pStyle w:val="Heading3"/>
        <w:tabs>
          <w:tab w:pos="1285" w:val="left" w:leader="none"/>
        </w:tabs>
        <w:spacing w:before="88"/>
        <w:ind w:left="275"/>
      </w:pPr>
      <w:r>
        <w:rPr>
          <w:rFonts w:ascii="Arial" w:hAnsi="Arial" w:eastAsia="Arial"/>
          <w:w w:val="105"/>
          <w:position w:val="-11"/>
          <w:sz w:val="52"/>
        </w:rPr>
        <w:t></w:t>
        <w:tab/>
      </w:r>
      <w:r>
        <w:rPr>
          <w:w w:val="95"/>
        </w:rPr>
        <w:t>您应当特别注意的事项</w:t>
      </w:r>
    </w:p>
    <w:p>
      <w:pPr>
        <w:pStyle w:val="ListParagraph"/>
        <w:numPr>
          <w:ilvl w:val="0"/>
          <w:numId w:val="1"/>
        </w:numPr>
        <w:tabs>
          <w:tab w:pos="1667" w:val="left" w:leader="none"/>
          <w:tab w:pos="1668" w:val="left" w:leader="none"/>
          <w:tab w:pos="9542" w:val="right" w:leader="dot"/>
        </w:tabs>
        <w:spacing w:line="240" w:lineRule="auto" w:before="25" w:after="0"/>
        <w:ind w:left="1667" w:right="0" w:hanging="420"/>
        <w:jc w:val="left"/>
        <w:rPr>
          <w:sz w:val="21"/>
        </w:rPr>
      </w:pPr>
      <w:r>
        <w:rPr>
          <w:sz w:val="21"/>
        </w:rPr>
        <w:t>在某些情况下，我们不承担保险责任…</w:t>
        <w:tab/>
        <w:t>2.5</w:t>
      </w:r>
    </w:p>
    <w:p>
      <w:pPr>
        <w:pStyle w:val="ListParagraph"/>
        <w:numPr>
          <w:ilvl w:val="0"/>
          <w:numId w:val="1"/>
        </w:numPr>
        <w:tabs>
          <w:tab w:pos="1667" w:val="left" w:leader="none"/>
          <w:tab w:pos="1668" w:val="left" w:leader="none"/>
          <w:tab w:pos="9542" w:val="right" w:leader="dot"/>
        </w:tabs>
        <w:spacing w:line="240" w:lineRule="auto" w:before="209" w:after="0"/>
        <w:ind w:left="1667" w:right="0" w:hanging="420"/>
        <w:jc w:val="left"/>
        <w:rPr>
          <w:sz w:val="21"/>
        </w:rPr>
      </w:pPr>
      <w:r>
        <w:rPr>
          <w:sz w:val="21"/>
        </w:rPr>
        <w:t>您有及时向我们通知保险事故的责任…</w:t>
        <w:tab/>
        <w:t>3.2</w:t>
      </w:r>
    </w:p>
    <w:p>
      <w:pPr>
        <w:pStyle w:val="ListParagraph"/>
        <w:numPr>
          <w:ilvl w:val="0"/>
          <w:numId w:val="1"/>
        </w:numPr>
        <w:tabs>
          <w:tab w:pos="1667" w:val="left" w:leader="none"/>
          <w:tab w:pos="1668" w:val="left" w:leader="none"/>
          <w:tab w:pos="9542" w:val="right" w:leader="dot"/>
        </w:tabs>
        <w:spacing w:line="240" w:lineRule="auto" w:before="210" w:after="0"/>
        <w:ind w:left="1667" w:right="0" w:hanging="420"/>
        <w:jc w:val="left"/>
        <w:rPr>
          <w:sz w:val="21"/>
        </w:rPr>
      </w:pPr>
      <w:r>
        <w:rPr>
          <w:sz w:val="21"/>
        </w:rPr>
        <w:t>您应当按时支付保险费…</w:t>
        <w:tab/>
        <w:t>4.1</w:t>
      </w:r>
    </w:p>
    <w:p>
      <w:pPr>
        <w:pStyle w:val="ListParagraph"/>
        <w:numPr>
          <w:ilvl w:val="0"/>
          <w:numId w:val="1"/>
        </w:numPr>
        <w:tabs>
          <w:tab w:pos="1667" w:val="left" w:leader="none"/>
          <w:tab w:pos="1668" w:val="left" w:leader="none"/>
          <w:tab w:pos="9542" w:val="right" w:leader="dot"/>
        </w:tabs>
        <w:spacing w:line="240" w:lineRule="auto" w:before="210" w:after="0"/>
        <w:ind w:left="1667" w:right="0" w:hanging="420"/>
        <w:jc w:val="left"/>
        <w:rPr>
          <w:sz w:val="21"/>
        </w:rPr>
      </w:pPr>
      <w:r>
        <w:rPr>
          <w:sz w:val="21"/>
        </w:rPr>
        <w:t>退保会给您造成一定的损失，请您慎重决策…</w:t>
        <w:tab/>
        <w:t>5.1</w:t>
      </w:r>
    </w:p>
    <w:p>
      <w:pPr>
        <w:pStyle w:val="ListParagraph"/>
        <w:numPr>
          <w:ilvl w:val="0"/>
          <w:numId w:val="1"/>
        </w:numPr>
        <w:tabs>
          <w:tab w:pos="1667" w:val="left" w:leader="none"/>
          <w:tab w:pos="1668" w:val="left" w:leader="none"/>
          <w:tab w:pos="9541" w:val="right" w:leader="dot"/>
        </w:tabs>
        <w:spacing w:line="240" w:lineRule="auto" w:before="209" w:after="0"/>
        <w:ind w:left="1667" w:right="0" w:hanging="420"/>
        <w:jc w:val="left"/>
        <w:rPr>
          <w:sz w:val="21"/>
        </w:rPr>
      </w:pPr>
      <w:r>
        <w:rPr>
          <w:sz w:val="21"/>
        </w:rPr>
        <w:t>您有如实告知的义务…</w:t>
        <w:tab/>
        <w:t>6.1</w:t>
      </w:r>
    </w:p>
    <w:p>
      <w:pPr>
        <w:pStyle w:val="ListParagraph"/>
        <w:numPr>
          <w:ilvl w:val="0"/>
          <w:numId w:val="1"/>
        </w:numPr>
        <w:tabs>
          <w:tab w:pos="1667" w:val="left" w:leader="none"/>
          <w:tab w:pos="1668" w:val="left" w:leader="none"/>
          <w:tab w:pos="9332" w:val="right" w:leader="dot"/>
        </w:tabs>
        <w:spacing w:line="240" w:lineRule="auto" w:before="210" w:after="0"/>
        <w:ind w:left="1667" w:right="0" w:hanging="420"/>
        <w:jc w:val="left"/>
        <w:rPr>
          <w:sz w:val="21"/>
        </w:rPr>
      </w:pPr>
      <w:r>
        <w:rPr>
          <w:sz w:val="21"/>
        </w:rPr>
        <w:t>我们对一些重要术语进行了解释，并作了显著标识，请您注意…</w:t>
        <w:tab/>
        <w:t>7</w:t>
      </w:r>
    </w:p>
    <w:p>
      <w:pPr>
        <w:pStyle w:val="ListParagraph"/>
        <w:numPr>
          <w:ilvl w:val="0"/>
          <w:numId w:val="1"/>
        </w:numPr>
        <w:tabs>
          <w:tab w:pos="1667" w:val="left" w:leader="none"/>
          <w:tab w:pos="1668" w:val="left" w:leader="none"/>
          <w:tab w:pos="9542" w:val="right" w:leader="dot"/>
        </w:tabs>
        <w:spacing w:line="240" w:lineRule="auto" w:before="210" w:after="0"/>
        <w:ind w:left="1667" w:right="0" w:hanging="420"/>
        <w:jc w:val="left"/>
        <w:rPr>
          <w:sz w:val="21"/>
        </w:rPr>
      </w:pPr>
      <w:r>
        <w:rPr>
          <w:sz w:val="21"/>
        </w:rPr>
        <w:t>保险条款有关于疾病的释义，请您留意</w:t>
        <w:tab/>
        <w:t>7.4</w:t>
      </w:r>
    </w:p>
    <w:p>
      <w:pPr>
        <w:tabs>
          <w:tab w:pos="1285" w:val="left" w:leader="none"/>
        </w:tabs>
        <w:spacing w:before="87"/>
        <w:ind w:left="27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pStyle w:val="BodyText"/>
        <w:spacing w:before="11"/>
        <w:ind w:left="0"/>
        <w:rPr>
          <w:b/>
          <w:sz w:val="6"/>
        </w:rPr>
      </w:pPr>
    </w:p>
    <w:tbl>
      <w:tblPr>
        <w:tblW w:w="0" w:type="auto"/>
        <w:jc w:val="left"/>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3137"/>
        <w:gridCol w:w="3172"/>
      </w:tblGrid>
      <w:tr>
        <w:trPr>
          <w:trHeight w:val="412" w:hRule="atLeast"/>
        </w:trPr>
        <w:tc>
          <w:tcPr>
            <w:tcW w:w="9135" w:type="dxa"/>
            <w:gridSpan w:val="3"/>
            <w:tcBorders>
              <w:bottom w:val="dotted" w:sz="6" w:space="0" w:color="000000"/>
            </w:tcBorders>
          </w:tcPr>
          <w:p>
            <w:pPr>
              <w:pStyle w:val="TableParagraph"/>
              <w:tabs>
                <w:tab w:pos="677" w:val="left" w:leader="none"/>
              </w:tabs>
              <w:spacing w:line="393" w:lineRule="exact"/>
              <w:ind w:left="-334"/>
              <w:rPr>
                <w:b/>
                <w:sz w:val="21"/>
              </w:rPr>
            </w:pPr>
            <w:r>
              <w:rPr>
                <w:rFonts w:ascii="Arial" w:hAnsi="Arial" w:eastAsia="Arial"/>
                <w:b/>
                <w:w w:val="110"/>
                <w:position w:val="-11"/>
                <w:sz w:val="52"/>
              </w:rPr>
              <w:t></w:t>
              <w:tab/>
            </w:r>
            <w:r>
              <w:rPr>
                <w:b/>
                <w:w w:val="95"/>
                <w:sz w:val="21"/>
              </w:rPr>
              <w:t>条款目录</w:t>
            </w:r>
          </w:p>
        </w:tc>
      </w:tr>
      <w:tr>
        <w:trPr>
          <w:trHeight w:val="398" w:hRule="atLeast"/>
        </w:trPr>
        <w:tc>
          <w:tcPr>
            <w:tcW w:w="2826" w:type="dxa"/>
            <w:tcBorders>
              <w:top w:val="dotted" w:sz="6" w:space="0" w:color="000000"/>
              <w:left w:val="dotted" w:sz="6" w:space="0" w:color="000000"/>
            </w:tcBorders>
          </w:tcPr>
          <w:p>
            <w:pPr>
              <w:pStyle w:val="TableParagraph"/>
              <w:spacing w:line="362" w:lineRule="exact"/>
              <w:ind w:left="22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137" w:type="dxa"/>
            <w:tcBorders>
              <w:top w:val="dotted" w:sz="6" w:space="0" w:color="000000"/>
            </w:tcBorders>
          </w:tcPr>
          <w:p>
            <w:pPr>
              <w:pStyle w:val="TableParagraph"/>
              <w:spacing w:before="8"/>
              <w:ind w:left="137"/>
              <w:rPr>
                <w:rFonts w:ascii="Microsoft JhengHei" w:eastAsia="Microsoft JhengHei" w:hint="eastAsia"/>
                <w:b/>
                <w:sz w:val="21"/>
              </w:rPr>
            </w:pPr>
            <w:r>
              <w:rPr>
                <w:b/>
                <w:sz w:val="21"/>
              </w:rPr>
              <w:t>5.</w:t>
            </w:r>
            <w:r>
              <w:rPr>
                <w:rFonts w:ascii="Microsoft JhengHei" w:eastAsia="Microsoft JhengHei" w:hint="eastAsia"/>
                <w:b/>
                <w:sz w:val="21"/>
              </w:rPr>
              <w:t>如何解除保险合同</w:t>
            </w:r>
          </w:p>
        </w:tc>
        <w:tc>
          <w:tcPr>
            <w:tcW w:w="3172" w:type="dxa"/>
            <w:tcBorders>
              <w:top w:val="dotted" w:sz="6" w:space="0" w:color="000000"/>
              <w:right w:val="dotted" w:sz="6" w:space="0" w:color="000000"/>
            </w:tcBorders>
          </w:tcPr>
          <w:p>
            <w:pPr>
              <w:pStyle w:val="TableParagraph"/>
              <w:spacing w:before="74"/>
              <w:ind w:left="151"/>
              <w:rPr>
                <w:sz w:val="21"/>
              </w:rPr>
            </w:pPr>
            <w:r>
              <w:rPr>
                <w:sz w:val="21"/>
              </w:rPr>
              <w:t>7.8 酗酒</w:t>
            </w:r>
          </w:p>
        </w:tc>
      </w:tr>
      <w:tr>
        <w:trPr>
          <w:trHeight w:val="319" w:hRule="atLeast"/>
        </w:trPr>
        <w:tc>
          <w:tcPr>
            <w:tcW w:w="2826" w:type="dxa"/>
            <w:tcBorders>
              <w:left w:val="dotted" w:sz="6" w:space="0" w:color="000000"/>
            </w:tcBorders>
          </w:tcPr>
          <w:p>
            <w:pPr>
              <w:pStyle w:val="TableParagraph"/>
              <w:spacing w:line="259" w:lineRule="exact"/>
              <w:ind w:left="439"/>
              <w:rPr>
                <w:sz w:val="21"/>
              </w:rPr>
            </w:pPr>
            <w:r>
              <w:rPr>
                <w:sz w:val="21"/>
              </w:rPr>
              <w:t>1.1 保险合同构成</w:t>
            </w:r>
          </w:p>
        </w:tc>
        <w:tc>
          <w:tcPr>
            <w:tcW w:w="3137" w:type="dxa"/>
          </w:tcPr>
          <w:p>
            <w:pPr>
              <w:pStyle w:val="TableParagraph"/>
              <w:spacing w:line="270" w:lineRule="exact"/>
              <w:ind w:left="347"/>
              <w:rPr>
                <w:sz w:val="21"/>
              </w:rPr>
            </w:pPr>
            <w:r>
              <w:rPr>
                <w:sz w:val="21"/>
              </w:rPr>
              <w:t>5.1 您解除合同的手续及风险</w:t>
            </w:r>
          </w:p>
        </w:tc>
        <w:tc>
          <w:tcPr>
            <w:tcW w:w="3172" w:type="dxa"/>
            <w:tcBorders>
              <w:right w:val="dotted" w:sz="6" w:space="0" w:color="000000"/>
            </w:tcBorders>
          </w:tcPr>
          <w:p>
            <w:pPr>
              <w:pStyle w:val="TableParagraph"/>
              <w:spacing w:line="270" w:lineRule="exact"/>
              <w:ind w:left="151"/>
              <w:rPr>
                <w:sz w:val="21"/>
              </w:rPr>
            </w:pPr>
            <w:r>
              <w:rPr>
                <w:sz w:val="21"/>
              </w:rPr>
              <w:t>7.9 毒品</w:t>
            </w:r>
          </w:p>
        </w:tc>
      </w:tr>
      <w:tr>
        <w:trPr>
          <w:trHeight w:val="319" w:hRule="atLeast"/>
        </w:trPr>
        <w:tc>
          <w:tcPr>
            <w:tcW w:w="2826" w:type="dxa"/>
            <w:tcBorders>
              <w:left w:val="dotted" w:sz="6" w:space="0" w:color="000000"/>
            </w:tcBorders>
          </w:tcPr>
          <w:p>
            <w:pPr>
              <w:pStyle w:val="TableParagraph"/>
              <w:spacing w:line="260" w:lineRule="exact"/>
              <w:ind w:left="439"/>
              <w:rPr>
                <w:sz w:val="21"/>
              </w:rPr>
            </w:pPr>
            <w:r>
              <w:rPr>
                <w:sz w:val="21"/>
              </w:rPr>
              <w:t>1.2 保险合同成立与生效</w:t>
            </w:r>
          </w:p>
        </w:tc>
        <w:tc>
          <w:tcPr>
            <w:tcW w:w="3137" w:type="dxa"/>
          </w:tcPr>
          <w:p>
            <w:pPr>
              <w:pStyle w:val="TableParagraph"/>
              <w:spacing w:line="294" w:lineRule="exact"/>
              <w:ind w:left="137"/>
              <w:rPr>
                <w:rFonts w:ascii="Microsoft JhengHei" w:eastAsia="Microsoft JhengHei" w:hint="eastAsia"/>
                <w:b/>
                <w:sz w:val="21"/>
              </w:rPr>
            </w:pPr>
            <w:r>
              <w:rPr>
                <w:b/>
                <w:sz w:val="21"/>
              </w:rPr>
              <w:t>6.</w:t>
            </w:r>
            <w:r>
              <w:rPr>
                <w:rFonts w:ascii="Microsoft JhengHei" w:eastAsia="Microsoft JhengHei" w:hint="eastAsia"/>
                <w:b/>
                <w:sz w:val="21"/>
              </w:rPr>
              <w:t>其他需要关注的事项</w:t>
            </w:r>
          </w:p>
        </w:tc>
        <w:tc>
          <w:tcPr>
            <w:tcW w:w="3172" w:type="dxa"/>
            <w:tcBorders>
              <w:right w:val="dotted" w:sz="6" w:space="0" w:color="000000"/>
            </w:tcBorders>
          </w:tcPr>
          <w:p>
            <w:pPr>
              <w:pStyle w:val="TableParagraph"/>
              <w:spacing w:line="271" w:lineRule="exact"/>
              <w:ind w:left="151"/>
              <w:rPr>
                <w:sz w:val="21"/>
              </w:rPr>
            </w:pPr>
            <w:r>
              <w:rPr>
                <w:sz w:val="21"/>
              </w:rPr>
              <w:t>7.10 酒后驾驶</w:t>
            </w:r>
          </w:p>
        </w:tc>
      </w:tr>
      <w:tr>
        <w:trPr>
          <w:trHeight w:val="320" w:hRule="atLeast"/>
        </w:trPr>
        <w:tc>
          <w:tcPr>
            <w:tcW w:w="2826" w:type="dxa"/>
            <w:tcBorders>
              <w:left w:val="dotted" w:sz="6" w:space="0" w:color="000000"/>
            </w:tcBorders>
          </w:tcPr>
          <w:p>
            <w:pPr>
              <w:pStyle w:val="TableParagraph"/>
              <w:spacing w:line="283" w:lineRule="exact"/>
              <w:ind w:left="22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137" w:type="dxa"/>
          </w:tcPr>
          <w:p>
            <w:pPr>
              <w:pStyle w:val="TableParagraph"/>
              <w:spacing w:line="271" w:lineRule="exact"/>
              <w:ind w:left="347"/>
              <w:rPr>
                <w:sz w:val="21"/>
              </w:rPr>
            </w:pPr>
            <w:r>
              <w:rPr>
                <w:sz w:val="21"/>
              </w:rPr>
              <w:t>6.1 明确说明与如实告知</w:t>
            </w:r>
          </w:p>
        </w:tc>
        <w:tc>
          <w:tcPr>
            <w:tcW w:w="3172" w:type="dxa"/>
            <w:tcBorders>
              <w:right w:val="dotted" w:sz="6" w:space="0" w:color="000000"/>
            </w:tcBorders>
          </w:tcPr>
          <w:p>
            <w:pPr>
              <w:pStyle w:val="TableParagraph"/>
              <w:spacing w:line="271" w:lineRule="exact"/>
              <w:ind w:left="151"/>
              <w:rPr>
                <w:sz w:val="21"/>
              </w:rPr>
            </w:pPr>
            <w:r>
              <w:rPr>
                <w:sz w:val="21"/>
              </w:rPr>
              <w:t>7.11 无合法有效驾驶证驾驶</w:t>
            </w:r>
          </w:p>
        </w:tc>
      </w:tr>
      <w:tr>
        <w:trPr>
          <w:trHeight w:val="319" w:hRule="atLeast"/>
        </w:trPr>
        <w:tc>
          <w:tcPr>
            <w:tcW w:w="2826" w:type="dxa"/>
            <w:tcBorders>
              <w:left w:val="dotted" w:sz="6" w:space="0" w:color="000000"/>
            </w:tcBorders>
          </w:tcPr>
          <w:p>
            <w:pPr>
              <w:pStyle w:val="TableParagraph"/>
              <w:spacing w:line="259" w:lineRule="exact"/>
              <w:ind w:left="439"/>
              <w:rPr>
                <w:sz w:val="21"/>
              </w:rPr>
            </w:pPr>
            <w:r>
              <w:rPr>
                <w:sz w:val="21"/>
              </w:rPr>
              <w:t>2.1 保险期间和续保</w:t>
            </w:r>
          </w:p>
        </w:tc>
        <w:tc>
          <w:tcPr>
            <w:tcW w:w="3137" w:type="dxa"/>
          </w:tcPr>
          <w:p>
            <w:pPr>
              <w:pStyle w:val="TableParagraph"/>
              <w:spacing w:line="270" w:lineRule="exact"/>
              <w:ind w:left="347"/>
              <w:rPr>
                <w:sz w:val="21"/>
              </w:rPr>
            </w:pPr>
            <w:r>
              <w:rPr>
                <w:sz w:val="21"/>
              </w:rPr>
              <w:t>6.2 我们合同解除权的限制</w:t>
            </w:r>
          </w:p>
        </w:tc>
        <w:tc>
          <w:tcPr>
            <w:tcW w:w="3172" w:type="dxa"/>
            <w:tcBorders>
              <w:right w:val="dotted" w:sz="6" w:space="0" w:color="000000"/>
            </w:tcBorders>
          </w:tcPr>
          <w:p>
            <w:pPr>
              <w:pStyle w:val="TableParagraph"/>
              <w:spacing w:line="270" w:lineRule="exact"/>
              <w:ind w:left="151"/>
              <w:rPr>
                <w:sz w:val="21"/>
              </w:rPr>
            </w:pPr>
            <w:r>
              <w:rPr>
                <w:sz w:val="21"/>
              </w:rPr>
              <w:t>7.12 无有效行驶证照</w:t>
            </w:r>
          </w:p>
        </w:tc>
      </w:tr>
      <w:tr>
        <w:trPr>
          <w:trHeight w:val="319" w:hRule="atLeast"/>
        </w:trPr>
        <w:tc>
          <w:tcPr>
            <w:tcW w:w="2826" w:type="dxa"/>
            <w:tcBorders>
              <w:left w:val="dotted" w:sz="6" w:space="0" w:color="000000"/>
            </w:tcBorders>
          </w:tcPr>
          <w:p>
            <w:pPr>
              <w:pStyle w:val="TableParagraph"/>
              <w:spacing w:line="260" w:lineRule="exact"/>
              <w:ind w:left="439"/>
              <w:rPr>
                <w:sz w:val="21"/>
              </w:rPr>
            </w:pPr>
            <w:r>
              <w:rPr>
                <w:sz w:val="21"/>
              </w:rPr>
              <w:t>2.2 投保条件</w:t>
            </w:r>
          </w:p>
        </w:tc>
        <w:tc>
          <w:tcPr>
            <w:tcW w:w="3137" w:type="dxa"/>
          </w:tcPr>
          <w:p>
            <w:pPr>
              <w:pStyle w:val="TableParagraph"/>
              <w:spacing w:line="271" w:lineRule="exact"/>
              <w:ind w:left="347"/>
              <w:rPr>
                <w:sz w:val="21"/>
              </w:rPr>
            </w:pPr>
            <w:r>
              <w:rPr>
                <w:sz w:val="21"/>
              </w:rPr>
              <w:t>6.3 年龄性别错误</w:t>
            </w:r>
          </w:p>
        </w:tc>
        <w:tc>
          <w:tcPr>
            <w:tcW w:w="3172" w:type="dxa"/>
            <w:tcBorders>
              <w:right w:val="dotted" w:sz="6" w:space="0" w:color="000000"/>
            </w:tcBorders>
          </w:tcPr>
          <w:p>
            <w:pPr>
              <w:pStyle w:val="TableParagraph"/>
              <w:spacing w:line="271" w:lineRule="exact"/>
              <w:ind w:left="151"/>
              <w:rPr>
                <w:sz w:val="21"/>
              </w:rPr>
            </w:pPr>
            <w:r>
              <w:rPr>
                <w:sz w:val="21"/>
              </w:rPr>
              <w:t>7.13 机动车</w:t>
            </w:r>
          </w:p>
        </w:tc>
      </w:tr>
      <w:tr>
        <w:trPr>
          <w:trHeight w:val="320" w:hRule="atLeast"/>
        </w:trPr>
        <w:tc>
          <w:tcPr>
            <w:tcW w:w="2826" w:type="dxa"/>
            <w:tcBorders>
              <w:left w:val="dotted" w:sz="6" w:space="0" w:color="000000"/>
            </w:tcBorders>
          </w:tcPr>
          <w:p>
            <w:pPr>
              <w:pStyle w:val="TableParagraph"/>
              <w:spacing w:line="259" w:lineRule="exact"/>
              <w:ind w:left="439"/>
              <w:rPr>
                <w:sz w:val="21"/>
              </w:rPr>
            </w:pPr>
            <w:r>
              <w:rPr>
                <w:sz w:val="21"/>
              </w:rPr>
              <w:t>2.3 基本保险金额</w:t>
            </w:r>
          </w:p>
        </w:tc>
        <w:tc>
          <w:tcPr>
            <w:tcW w:w="3137" w:type="dxa"/>
          </w:tcPr>
          <w:p>
            <w:pPr>
              <w:pStyle w:val="TableParagraph"/>
              <w:spacing w:line="271" w:lineRule="exact"/>
              <w:ind w:left="347"/>
              <w:rPr>
                <w:sz w:val="21"/>
              </w:rPr>
            </w:pPr>
            <w:r>
              <w:rPr>
                <w:sz w:val="21"/>
              </w:rPr>
              <w:t>6.4 合同内容变更</w:t>
            </w:r>
          </w:p>
        </w:tc>
        <w:tc>
          <w:tcPr>
            <w:tcW w:w="3172" w:type="dxa"/>
            <w:tcBorders>
              <w:right w:val="dotted" w:sz="6" w:space="0" w:color="000000"/>
            </w:tcBorders>
          </w:tcPr>
          <w:p>
            <w:pPr>
              <w:pStyle w:val="TableParagraph"/>
              <w:spacing w:line="271" w:lineRule="exact"/>
              <w:ind w:left="151"/>
              <w:rPr>
                <w:sz w:val="21"/>
              </w:rPr>
            </w:pPr>
            <w:r>
              <w:rPr>
                <w:sz w:val="21"/>
              </w:rPr>
              <w:t>7.14</w:t>
            </w:r>
            <w:r>
              <w:rPr>
                <w:spacing w:val="-9"/>
                <w:sz w:val="21"/>
              </w:rPr>
              <w:t> 感染艾滋病病毒或患艾滋病</w:t>
            </w:r>
          </w:p>
        </w:tc>
      </w:tr>
      <w:tr>
        <w:trPr>
          <w:trHeight w:val="319" w:hRule="atLeast"/>
        </w:trPr>
        <w:tc>
          <w:tcPr>
            <w:tcW w:w="2826" w:type="dxa"/>
            <w:tcBorders>
              <w:left w:val="dotted" w:sz="6" w:space="0" w:color="000000"/>
            </w:tcBorders>
          </w:tcPr>
          <w:p>
            <w:pPr>
              <w:pStyle w:val="TableParagraph"/>
              <w:spacing w:line="259" w:lineRule="exact"/>
              <w:ind w:left="439"/>
              <w:rPr>
                <w:sz w:val="21"/>
              </w:rPr>
            </w:pPr>
            <w:r>
              <w:rPr>
                <w:sz w:val="21"/>
              </w:rPr>
              <w:t>2.4 保险责任</w:t>
            </w:r>
          </w:p>
        </w:tc>
        <w:tc>
          <w:tcPr>
            <w:tcW w:w="3137" w:type="dxa"/>
          </w:tcPr>
          <w:p>
            <w:pPr>
              <w:pStyle w:val="TableParagraph"/>
              <w:spacing w:line="270" w:lineRule="exact"/>
              <w:ind w:left="347"/>
              <w:rPr>
                <w:sz w:val="21"/>
              </w:rPr>
            </w:pPr>
            <w:r>
              <w:rPr>
                <w:sz w:val="21"/>
              </w:rPr>
              <w:t>6.5 联系方式变更</w:t>
            </w:r>
          </w:p>
        </w:tc>
        <w:tc>
          <w:tcPr>
            <w:tcW w:w="3172" w:type="dxa"/>
            <w:tcBorders>
              <w:right w:val="dotted" w:sz="6" w:space="0" w:color="000000"/>
            </w:tcBorders>
          </w:tcPr>
          <w:p>
            <w:pPr>
              <w:pStyle w:val="TableParagraph"/>
              <w:spacing w:line="270" w:lineRule="exact"/>
              <w:ind w:left="151"/>
              <w:rPr>
                <w:sz w:val="21"/>
              </w:rPr>
            </w:pPr>
            <w:r>
              <w:rPr>
                <w:sz w:val="21"/>
              </w:rPr>
              <w:t>7.15 遗传性疾病</w:t>
            </w:r>
          </w:p>
        </w:tc>
      </w:tr>
      <w:tr>
        <w:trPr>
          <w:trHeight w:val="319" w:hRule="atLeast"/>
        </w:trPr>
        <w:tc>
          <w:tcPr>
            <w:tcW w:w="2826" w:type="dxa"/>
            <w:tcBorders>
              <w:left w:val="dotted" w:sz="6" w:space="0" w:color="000000"/>
            </w:tcBorders>
          </w:tcPr>
          <w:p>
            <w:pPr>
              <w:pStyle w:val="TableParagraph"/>
              <w:spacing w:line="260" w:lineRule="exact"/>
              <w:ind w:left="439"/>
              <w:rPr>
                <w:sz w:val="21"/>
              </w:rPr>
            </w:pPr>
            <w:r>
              <w:rPr>
                <w:sz w:val="21"/>
              </w:rPr>
              <w:t>2.5 责任免除</w:t>
            </w:r>
          </w:p>
        </w:tc>
        <w:tc>
          <w:tcPr>
            <w:tcW w:w="3137" w:type="dxa"/>
          </w:tcPr>
          <w:p>
            <w:pPr>
              <w:pStyle w:val="TableParagraph"/>
              <w:spacing w:line="271" w:lineRule="exact"/>
              <w:ind w:left="347"/>
              <w:rPr>
                <w:sz w:val="21"/>
              </w:rPr>
            </w:pPr>
            <w:r>
              <w:rPr>
                <w:sz w:val="21"/>
              </w:rPr>
              <w:t>6.6 争议处理</w:t>
            </w:r>
          </w:p>
        </w:tc>
        <w:tc>
          <w:tcPr>
            <w:tcW w:w="3172" w:type="dxa"/>
            <w:tcBorders>
              <w:right w:val="dotted" w:sz="6" w:space="0" w:color="000000"/>
            </w:tcBorders>
          </w:tcPr>
          <w:p>
            <w:pPr>
              <w:pStyle w:val="TableParagraph"/>
              <w:spacing w:line="271" w:lineRule="exact"/>
              <w:ind w:left="151"/>
              <w:rPr>
                <w:sz w:val="21"/>
              </w:rPr>
            </w:pPr>
            <w:r>
              <w:rPr>
                <w:sz w:val="21"/>
              </w:rPr>
              <w:t>7.16</w:t>
            </w:r>
            <w:r>
              <w:rPr>
                <w:spacing w:val="-9"/>
                <w:sz w:val="21"/>
              </w:rPr>
              <w:t> 先天性畸形、变形或染色体</w:t>
            </w:r>
          </w:p>
        </w:tc>
      </w:tr>
      <w:tr>
        <w:trPr>
          <w:trHeight w:val="320" w:hRule="atLeast"/>
        </w:trPr>
        <w:tc>
          <w:tcPr>
            <w:tcW w:w="2826" w:type="dxa"/>
            <w:tcBorders>
              <w:left w:val="dotted" w:sz="6" w:space="0" w:color="000000"/>
            </w:tcBorders>
          </w:tcPr>
          <w:p>
            <w:pPr>
              <w:pStyle w:val="TableParagraph"/>
              <w:spacing w:line="283" w:lineRule="exact"/>
              <w:ind w:left="22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137" w:type="dxa"/>
          </w:tcPr>
          <w:p>
            <w:pPr>
              <w:pStyle w:val="TableParagraph"/>
              <w:spacing w:line="295" w:lineRule="exact"/>
              <w:ind w:left="137"/>
              <w:rPr>
                <w:rFonts w:ascii="Microsoft JhengHei" w:eastAsia="Microsoft JhengHei" w:hint="eastAsia"/>
                <w:b/>
                <w:sz w:val="21"/>
              </w:rPr>
            </w:pPr>
            <w:r>
              <w:rPr>
                <w:b/>
                <w:sz w:val="21"/>
              </w:rPr>
              <w:t>7.</w:t>
            </w:r>
            <w:r>
              <w:rPr>
                <w:rFonts w:ascii="Microsoft JhengHei" w:eastAsia="Microsoft JhengHei" w:hint="eastAsia"/>
                <w:b/>
                <w:sz w:val="21"/>
              </w:rPr>
              <w:t>释义</w:t>
            </w:r>
          </w:p>
        </w:tc>
        <w:tc>
          <w:tcPr>
            <w:tcW w:w="3172" w:type="dxa"/>
            <w:tcBorders>
              <w:right w:val="dotted" w:sz="6" w:space="0" w:color="000000"/>
            </w:tcBorders>
          </w:tcPr>
          <w:p>
            <w:pPr>
              <w:pStyle w:val="TableParagraph"/>
              <w:spacing w:line="271" w:lineRule="exact"/>
              <w:ind w:left="675"/>
              <w:rPr>
                <w:sz w:val="21"/>
              </w:rPr>
            </w:pPr>
            <w:r>
              <w:rPr>
                <w:sz w:val="21"/>
              </w:rPr>
              <w:t>异常</w:t>
            </w:r>
          </w:p>
        </w:tc>
      </w:tr>
      <w:tr>
        <w:trPr>
          <w:trHeight w:val="319" w:hRule="atLeast"/>
        </w:trPr>
        <w:tc>
          <w:tcPr>
            <w:tcW w:w="2826" w:type="dxa"/>
            <w:tcBorders>
              <w:left w:val="dotted" w:sz="6" w:space="0" w:color="000000"/>
            </w:tcBorders>
          </w:tcPr>
          <w:p>
            <w:pPr>
              <w:pStyle w:val="TableParagraph"/>
              <w:spacing w:line="259" w:lineRule="exact"/>
              <w:ind w:left="439"/>
              <w:rPr>
                <w:sz w:val="21"/>
              </w:rPr>
            </w:pPr>
            <w:r>
              <w:rPr>
                <w:sz w:val="21"/>
              </w:rPr>
              <w:t>3.1 受益人</w:t>
            </w:r>
          </w:p>
        </w:tc>
        <w:tc>
          <w:tcPr>
            <w:tcW w:w="3137" w:type="dxa"/>
          </w:tcPr>
          <w:p>
            <w:pPr>
              <w:pStyle w:val="TableParagraph"/>
              <w:spacing w:line="270" w:lineRule="exact"/>
              <w:ind w:left="347"/>
              <w:rPr>
                <w:sz w:val="21"/>
              </w:rPr>
            </w:pPr>
            <w:r>
              <w:rPr>
                <w:sz w:val="21"/>
              </w:rPr>
              <w:t>7.1 周岁</w:t>
            </w:r>
          </w:p>
        </w:tc>
        <w:tc>
          <w:tcPr>
            <w:tcW w:w="3172" w:type="dxa"/>
            <w:tcBorders>
              <w:right w:val="dotted" w:sz="6" w:space="0" w:color="000000"/>
            </w:tcBorders>
          </w:tcPr>
          <w:p>
            <w:pPr>
              <w:pStyle w:val="TableParagraph"/>
              <w:spacing w:line="270" w:lineRule="exact"/>
              <w:ind w:left="151"/>
              <w:rPr>
                <w:sz w:val="21"/>
              </w:rPr>
            </w:pPr>
            <w:r>
              <w:rPr>
                <w:sz w:val="21"/>
              </w:rPr>
              <w:t>7.17 现金价值</w:t>
            </w:r>
          </w:p>
        </w:tc>
      </w:tr>
      <w:tr>
        <w:trPr>
          <w:trHeight w:val="319" w:hRule="atLeast"/>
        </w:trPr>
        <w:tc>
          <w:tcPr>
            <w:tcW w:w="2826" w:type="dxa"/>
            <w:tcBorders>
              <w:left w:val="dotted" w:sz="6" w:space="0" w:color="000000"/>
            </w:tcBorders>
          </w:tcPr>
          <w:p>
            <w:pPr>
              <w:pStyle w:val="TableParagraph"/>
              <w:spacing w:line="260" w:lineRule="exact"/>
              <w:ind w:left="439"/>
              <w:rPr>
                <w:sz w:val="21"/>
              </w:rPr>
            </w:pPr>
            <w:r>
              <w:rPr>
                <w:sz w:val="21"/>
              </w:rPr>
              <w:t>3.2 保险事故通知</w:t>
            </w:r>
          </w:p>
        </w:tc>
        <w:tc>
          <w:tcPr>
            <w:tcW w:w="3137" w:type="dxa"/>
          </w:tcPr>
          <w:p>
            <w:pPr>
              <w:pStyle w:val="TableParagraph"/>
              <w:spacing w:line="271" w:lineRule="exact"/>
              <w:ind w:left="347"/>
              <w:rPr>
                <w:sz w:val="21"/>
              </w:rPr>
            </w:pPr>
            <w:r>
              <w:rPr>
                <w:sz w:val="21"/>
              </w:rPr>
              <w:t>7.2 连续投保</w:t>
            </w:r>
          </w:p>
        </w:tc>
        <w:tc>
          <w:tcPr>
            <w:tcW w:w="3172" w:type="dxa"/>
            <w:tcBorders>
              <w:right w:val="dotted" w:sz="6" w:space="0" w:color="000000"/>
            </w:tcBorders>
          </w:tcPr>
          <w:p>
            <w:pPr>
              <w:pStyle w:val="TableParagraph"/>
              <w:spacing w:line="271" w:lineRule="exact"/>
              <w:ind w:left="151"/>
              <w:rPr>
                <w:sz w:val="21"/>
              </w:rPr>
            </w:pPr>
            <w:r>
              <w:rPr>
                <w:sz w:val="21"/>
              </w:rPr>
              <w:t>7.18 有效身份证件</w:t>
            </w:r>
          </w:p>
        </w:tc>
      </w:tr>
      <w:tr>
        <w:trPr>
          <w:trHeight w:val="320" w:hRule="atLeast"/>
        </w:trPr>
        <w:tc>
          <w:tcPr>
            <w:tcW w:w="2826" w:type="dxa"/>
            <w:tcBorders>
              <w:left w:val="dotted" w:sz="6" w:space="0" w:color="000000"/>
            </w:tcBorders>
          </w:tcPr>
          <w:p>
            <w:pPr>
              <w:pStyle w:val="TableParagraph"/>
              <w:spacing w:line="259" w:lineRule="exact"/>
              <w:ind w:left="439"/>
              <w:rPr>
                <w:sz w:val="21"/>
              </w:rPr>
            </w:pPr>
            <w:r>
              <w:rPr>
                <w:sz w:val="21"/>
              </w:rPr>
              <w:t>3.3 保险金申请</w:t>
            </w:r>
          </w:p>
        </w:tc>
        <w:tc>
          <w:tcPr>
            <w:tcW w:w="3137" w:type="dxa"/>
          </w:tcPr>
          <w:p>
            <w:pPr>
              <w:pStyle w:val="TableParagraph"/>
              <w:spacing w:line="271" w:lineRule="exact"/>
              <w:ind w:left="347"/>
              <w:rPr>
                <w:sz w:val="21"/>
              </w:rPr>
            </w:pPr>
            <w:r>
              <w:rPr>
                <w:sz w:val="21"/>
              </w:rPr>
              <w:t>7.3 意外伤害事故</w:t>
            </w:r>
          </w:p>
        </w:tc>
        <w:tc>
          <w:tcPr>
            <w:tcW w:w="3172" w:type="dxa"/>
            <w:tcBorders>
              <w:right w:val="dotted" w:sz="6" w:space="0" w:color="000000"/>
            </w:tcBorders>
          </w:tcPr>
          <w:p>
            <w:pPr>
              <w:pStyle w:val="TableParagraph"/>
              <w:rPr>
                <w:rFonts w:ascii="Times New Roman"/>
                <w:sz w:val="20"/>
              </w:rPr>
            </w:pPr>
          </w:p>
        </w:tc>
      </w:tr>
      <w:tr>
        <w:trPr>
          <w:trHeight w:val="319" w:hRule="atLeast"/>
        </w:trPr>
        <w:tc>
          <w:tcPr>
            <w:tcW w:w="2826" w:type="dxa"/>
            <w:tcBorders>
              <w:left w:val="dotted" w:sz="6" w:space="0" w:color="000000"/>
            </w:tcBorders>
          </w:tcPr>
          <w:p>
            <w:pPr>
              <w:pStyle w:val="TableParagraph"/>
              <w:spacing w:line="259" w:lineRule="exact"/>
              <w:ind w:left="439"/>
              <w:rPr>
                <w:sz w:val="21"/>
              </w:rPr>
            </w:pPr>
            <w:r>
              <w:rPr>
                <w:sz w:val="21"/>
              </w:rPr>
              <w:t>3.4 保险金给付</w:t>
            </w:r>
          </w:p>
        </w:tc>
        <w:tc>
          <w:tcPr>
            <w:tcW w:w="3137" w:type="dxa"/>
          </w:tcPr>
          <w:p>
            <w:pPr>
              <w:pStyle w:val="TableParagraph"/>
              <w:spacing w:line="270" w:lineRule="exact"/>
              <w:ind w:left="347"/>
              <w:rPr>
                <w:sz w:val="21"/>
              </w:rPr>
            </w:pPr>
            <w:r>
              <w:rPr>
                <w:sz w:val="21"/>
              </w:rPr>
              <w:t>7.4 重大疾病</w:t>
            </w:r>
          </w:p>
        </w:tc>
        <w:tc>
          <w:tcPr>
            <w:tcW w:w="3172" w:type="dxa"/>
            <w:tcBorders>
              <w:right w:val="dotted" w:sz="6" w:space="0" w:color="000000"/>
            </w:tcBorders>
          </w:tcPr>
          <w:p>
            <w:pPr>
              <w:pStyle w:val="TableParagraph"/>
              <w:rPr>
                <w:rFonts w:ascii="Times New Roman"/>
                <w:sz w:val="20"/>
              </w:rPr>
            </w:pPr>
          </w:p>
        </w:tc>
      </w:tr>
      <w:tr>
        <w:trPr>
          <w:trHeight w:val="319" w:hRule="atLeast"/>
        </w:trPr>
        <w:tc>
          <w:tcPr>
            <w:tcW w:w="2826" w:type="dxa"/>
            <w:tcBorders>
              <w:left w:val="dotted" w:sz="6" w:space="0" w:color="000000"/>
            </w:tcBorders>
          </w:tcPr>
          <w:p>
            <w:pPr>
              <w:pStyle w:val="TableParagraph"/>
              <w:spacing w:line="260" w:lineRule="exact"/>
              <w:ind w:left="439"/>
              <w:rPr>
                <w:sz w:val="21"/>
              </w:rPr>
            </w:pPr>
            <w:r>
              <w:rPr>
                <w:sz w:val="21"/>
              </w:rPr>
              <w:t>3.5 诉讼时效</w:t>
            </w:r>
          </w:p>
        </w:tc>
        <w:tc>
          <w:tcPr>
            <w:tcW w:w="3137" w:type="dxa"/>
          </w:tcPr>
          <w:p>
            <w:pPr>
              <w:pStyle w:val="TableParagraph"/>
              <w:spacing w:line="271" w:lineRule="exact"/>
              <w:ind w:left="347"/>
              <w:rPr>
                <w:sz w:val="21"/>
              </w:rPr>
            </w:pPr>
            <w:r>
              <w:rPr>
                <w:sz w:val="21"/>
              </w:rPr>
              <w:t>7.5 初次发生</w:t>
            </w:r>
          </w:p>
        </w:tc>
        <w:tc>
          <w:tcPr>
            <w:tcW w:w="3172" w:type="dxa"/>
            <w:tcBorders>
              <w:right w:val="dotted" w:sz="6" w:space="0" w:color="000000"/>
            </w:tcBorders>
          </w:tcPr>
          <w:p>
            <w:pPr>
              <w:pStyle w:val="TableParagraph"/>
              <w:rPr>
                <w:rFonts w:ascii="Times New Roman"/>
                <w:sz w:val="20"/>
              </w:rPr>
            </w:pPr>
          </w:p>
        </w:tc>
      </w:tr>
      <w:tr>
        <w:trPr>
          <w:trHeight w:val="320" w:hRule="atLeast"/>
        </w:trPr>
        <w:tc>
          <w:tcPr>
            <w:tcW w:w="2826" w:type="dxa"/>
            <w:tcBorders>
              <w:left w:val="dotted" w:sz="6" w:space="0" w:color="000000"/>
            </w:tcBorders>
          </w:tcPr>
          <w:p>
            <w:pPr>
              <w:pStyle w:val="TableParagraph"/>
              <w:spacing w:line="283" w:lineRule="exact"/>
              <w:ind w:left="22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3137" w:type="dxa"/>
          </w:tcPr>
          <w:p>
            <w:pPr>
              <w:pStyle w:val="TableParagraph"/>
              <w:spacing w:line="271" w:lineRule="exact"/>
              <w:ind w:left="348"/>
              <w:rPr>
                <w:sz w:val="21"/>
              </w:rPr>
            </w:pPr>
            <w:r>
              <w:rPr>
                <w:sz w:val="21"/>
              </w:rPr>
              <w:t>7.6 医院</w:t>
            </w:r>
          </w:p>
        </w:tc>
        <w:tc>
          <w:tcPr>
            <w:tcW w:w="3172" w:type="dxa"/>
            <w:tcBorders>
              <w:right w:val="dotted" w:sz="6" w:space="0" w:color="000000"/>
            </w:tcBorders>
          </w:tcPr>
          <w:p>
            <w:pPr>
              <w:pStyle w:val="TableParagraph"/>
              <w:rPr>
                <w:rFonts w:ascii="Times New Roman"/>
                <w:sz w:val="20"/>
              </w:rPr>
            </w:pPr>
          </w:p>
        </w:tc>
      </w:tr>
      <w:tr>
        <w:trPr>
          <w:trHeight w:val="565" w:hRule="atLeast"/>
        </w:trPr>
        <w:tc>
          <w:tcPr>
            <w:tcW w:w="2826" w:type="dxa"/>
            <w:tcBorders>
              <w:left w:val="dotted" w:sz="6" w:space="0" w:color="000000"/>
              <w:bottom w:val="dotted" w:sz="6" w:space="0" w:color="000000"/>
            </w:tcBorders>
          </w:tcPr>
          <w:p>
            <w:pPr>
              <w:pStyle w:val="TableParagraph"/>
              <w:spacing w:line="259" w:lineRule="exact"/>
              <w:ind w:left="439"/>
              <w:rPr>
                <w:sz w:val="21"/>
              </w:rPr>
            </w:pPr>
            <w:r>
              <w:rPr>
                <w:sz w:val="21"/>
              </w:rPr>
              <w:t>4.1 保险费的支付</w:t>
            </w:r>
          </w:p>
        </w:tc>
        <w:tc>
          <w:tcPr>
            <w:tcW w:w="3137" w:type="dxa"/>
            <w:tcBorders>
              <w:bottom w:val="dotted" w:sz="6" w:space="0" w:color="000000"/>
            </w:tcBorders>
          </w:tcPr>
          <w:p>
            <w:pPr>
              <w:pStyle w:val="TableParagraph"/>
              <w:spacing w:line="270" w:lineRule="exact"/>
              <w:ind w:left="347"/>
              <w:rPr>
                <w:sz w:val="21"/>
              </w:rPr>
            </w:pPr>
            <w:r>
              <w:rPr>
                <w:sz w:val="21"/>
              </w:rPr>
              <w:t>7.7 专科医生</w:t>
            </w:r>
          </w:p>
        </w:tc>
        <w:tc>
          <w:tcPr>
            <w:tcW w:w="3172" w:type="dxa"/>
            <w:tcBorders>
              <w:bottom w:val="dotted" w:sz="6" w:space="0" w:color="000000"/>
              <w:right w:val="dotted" w:sz="6"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00" w:bottom="280" w:left="640" w:right="1000"/>
        </w:sectPr>
      </w:pPr>
    </w:p>
    <w:p>
      <w:pPr>
        <w:pStyle w:val="BodyText"/>
        <w:spacing w:before="0"/>
        <w:ind w:left="321"/>
        <w:rPr>
          <w:sz w:val="20"/>
        </w:rPr>
      </w:pPr>
      <w:r>
        <w:rPr>
          <w:sz w:val="20"/>
        </w:rPr>
        <w:drawing>
          <wp:inline distT="0" distB="0" distL="0" distR="0">
            <wp:extent cx="6232639" cy="85039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32639" cy="850392"/>
                    </a:xfrm>
                    <a:prstGeom prst="rect">
                      <a:avLst/>
                    </a:prstGeom>
                  </pic:spPr>
                </pic:pic>
              </a:graphicData>
            </a:graphic>
          </wp:inline>
        </w:drawing>
      </w:r>
      <w:r>
        <w:rPr>
          <w:sz w:val="20"/>
        </w:rPr>
      </w:r>
    </w:p>
    <w:p>
      <w:pPr>
        <w:pStyle w:val="BodyText"/>
        <w:spacing w:before="0"/>
        <w:ind w:left="0"/>
        <w:rPr>
          <w:b/>
          <w:sz w:val="20"/>
        </w:rPr>
      </w:pPr>
    </w:p>
    <w:p>
      <w:pPr>
        <w:spacing w:before="117"/>
        <w:ind w:left="2952" w:right="0" w:firstLine="0"/>
        <w:jc w:val="left"/>
        <w:rPr>
          <w:rFonts w:ascii="微软雅黑" w:eastAsia="微软雅黑" w:hint="eastAsia"/>
          <w:b/>
          <w:sz w:val="32"/>
        </w:rPr>
      </w:pPr>
      <w:r>
        <w:rPr>
          <w:rFonts w:ascii="微软雅黑" w:eastAsia="微软雅黑" w:hint="eastAsia"/>
          <w:b/>
          <w:sz w:val="32"/>
        </w:rPr>
        <w:t>国华 2 号重大疾病保险 B 款条款</w:t>
      </w:r>
    </w:p>
    <w:p>
      <w:pPr>
        <w:pStyle w:val="BodyText"/>
        <w:spacing w:before="0"/>
        <w:ind w:left="0"/>
        <w:rPr>
          <w:rFonts w:ascii="微软雅黑"/>
          <w:b/>
          <w:sz w:val="42"/>
        </w:rPr>
      </w:pPr>
    </w:p>
    <w:p>
      <w:pPr>
        <w:pStyle w:val="BodyText"/>
        <w:spacing w:before="1"/>
        <w:ind w:left="321"/>
      </w:pPr>
      <w:r>
        <w:rPr>
          <w:spacing w:val="-23"/>
        </w:rPr>
        <w:t>在本条款中，“您”指投保人，“我们”、“本公司”均指国华人寿保险股份有限公司。</w:t>
      </w:r>
    </w:p>
    <w:p>
      <w:pPr>
        <w:pStyle w:val="BodyText"/>
        <w:spacing w:before="0"/>
        <w:ind w:left="0"/>
        <w:rPr>
          <w:sz w:val="20"/>
        </w:rPr>
      </w:pPr>
    </w:p>
    <w:p>
      <w:pPr>
        <w:tabs>
          <w:tab w:pos="855" w:val="left" w:leader="none"/>
        </w:tabs>
        <w:spacing w:before="164"/>
        <w:ind w:left="215" w:right="0" w:firstLine="0"/>
        <w:jc w:val="left"/>
        <w:rPr>
          <w:b/>
          <w:sz w:val="24"/>
        </w:rPr>
      </w:pPr>
      <w:r>
        <w:rPr/>
        <w:pict>
          <v:line style="position:absolute;mso-position-horizontal-relative:page;mso-position-vertical-relative:paragraph;z-index:1072;mso-wrap-distance-left:0;mso-wrap-distance-right:0" from="40.380001pt,36.780174pt" to="538.320001pt,36.780174pt" stroked="true" strokeweight=".96002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ind w:left="0"/>
        <w:rPr>
          <w:b/>
          <w:sz w:val="17"/>
        </w:rPr>
      </w:pPr>
    </w:p>
    <w:p>
      <w:pPr>
        <w:pStyle w:val="ListParagraph"/>
        <w:numPr>
          <w:ilvl w:val="1"/>
          <w:numId w:val="2"/>
        </w:numPr>
        <w:tabs>
          <w:tab w:pos="855" w:val="left" w:leader="none"/>
          <w:tab w:pos="856" w:val="left" w:leader="none"/>
          <w:tab w:pos="2842" w:val="left" w:leader="none"/>
        </w:tabs>
        <w:spacing w:line="273" w:lineRule="auto" w:before="35" w:after="0"/>
        <w:ind w:left="2842" w:right="325" w:hanging="2627"/>
        <w:jc w:val="left"/>
        <w:rPr>
          <w:sz w:val="21"/>
        </w:rPr>
      </w:pPr>
      <w:r>
        <w:rPr>
          <w:b/>
          <w:w w:val="99"/>
          <w:sz w:val="21"/>
        </w:rPr>
        <w:t>保险合同构成</w:t>
      </w:r>
      <w:r>
        <w:rPr>
          <w:b/>
          <w:sz w:val="21"/>
        </w:rPr>
        <w:tab/>
      </w:r>
      <w:r>
        <w:rPr>
          <w:sz w:val="21"/>
        </w:rPr>
        <w:t>本保险合同（以下简称“本合同</w:t>
      </w:r>
      <w:r>
        <w:rPr>
          <w:spacing w:val="-105"/>
          <w:sz w:val="21"/>
        </w:rPr>
        <w:t>”</w:t>
      </w:r>
      <w:r>
        <w:rPr>
          <w:spacing w:val="-2"/>
          <w:sz w:val="21"/>
        </w:rPr>
        <w:t>）</w:t>
      </w:r>
      <w:r>
        <w:rPr>
          <w:sz w:val="21"/>
        </w:rPr>
        <w:t>指您与我们之间订立的“国华</w:t>
      </w:r>
      <w:r>
        <w:rPr>
          <w:spacing w:val="-53"/>
          <w:sz w:val="21"/>
        </w:rPr>
        <w:t> </w:t>
      </w:r>
      <w:r>
        <w:rPr>
          <w:sz w:val="21"/>
        </w:rPr>
        <w:t>2</w:t>
      </w:r>
      <w:r>
        <w:rPr>
          <w:spacing w:val="-52"/>
          <w:sz w:val="21"/>
        </w:rPr>
        <w:t> </w:t>
      </w:r>
      <w:r>
        <w:rPr>
          <w:spacing w:val="-2"/>
          <w:sz w:val="21"/>
        </w:rPr>
        <w:t>号</w:t>
      </w:r>
      <w:r>
        <w:rPr>
          <w:sz w:val="21"/>
        </w:rPr>
        <w:t>重大疾病保险</w:t>
      </w:r>
      <w:r>
        <w:rPr>
          <w:spacing w:val="-54"/>
          <w:sz w:val="21"/>
        </w:rPr>
        <w:t> </w:t>
      </w:r>
      <w:r>
        <w:rPr>
          <w:sz w:val="21"/>
        </w:rPr>
        <w:t>B</w:t>
      </w:r>
      <w:r>
        <w:rPr>
          <w:spacing w:val="-53"/>
          <w:sz w:val="21"/>
        </w:rPr>
        <w:t> </w:t>
      </w:r>
      <w:r>
        <w:rPr>
          <w:sz w:val="21"/>
        </w:rPr>
        <w:t>款合同</w:t>
      </w:r>
      <w:r>
        <w:rPr>
          <w:spacing w:val="-105"/>
          <w:sz w:val="21"/>
        </w:rPr>
        <w:t>”</w:t>
      </w:r>
      <w:r>
        <w:rPr>
          <w:sz w:val="21"/>
        </w:rPr>
        <w:t>。</w:t>
      </w:r>
    </w:p>
    <w:p>
      <w:pPr>
        <w:pStyle w:val="BodyText"/>
        <w:spacing w:before="5"/>
        <w:ind w:left="0"/>
        <w:rPr>
          <w:sz w:val="24"/>
        </w:rPr>
      </w:pPr>
    </w:p>
    <w:p>
      <w:pPr>
        <w:pStyle w:val="BodyText"/>
        <w:spacing w:line="273" w:lineRule="auto" w:before="0"/>
        <w:ind w:left="2842" w:right="195"/>
      </w:pPr>
      <w:r>
        <w:rPr/>
        <w:t>本合同由保险单、保险条款、投保单，以及与本合同有关的投保文件、合法有效的声明、批注、批单和其他书面协议共同构成。</w:t>
      </w:r>
    </w:p>
    <w:p>
      <w:pPr>
        <w:pStyle w:val="BodyText"/>
        <w:spacing w:before="9"/>
        <w:ind w:left="0"/>
      </w:pPr>
    </w:p>
    <w:p>
      <w:pPr>
        <w:spacing w:after="0"/>
        <w:sectPr>
          <w:pgSz w:w="11910" w:h="16840"/>
          <w:pgMar w:top="1240" w:bottom="280" w:left="700" w:right="1000"/>
        </w:sectPr>
      </w:pPr>
    </w:p>
    <w:p>
      <w:pPr>
        <w:pStyle w:val="Heading3"/>
        <w:numPr>
          <w:ilvl w:val="1"/>
          <w:numId w:val="2"/>
        </w:numPr>
        <w:tabs>
          <w:tab w:pos="855" w:val="left" w:leader="none"/>
          <w:tab w:pos="856" w:val="left" w:leader="none"/>
        </w:tabs>
        <w:spacing w:line="273" w:lineRule="auto" w:before="35" w:after="0"/>
        <w:ind w:left="855" w:right="0" w:hanging="640"/>
        <w:jc w:val="left"/>
      </w:pPr>
      <w:r>
        <w:rPr/>
        <w:t>保险合同成立与生效</w:t>
      </w:r>
    </w:p>
    <w:p>
      <w:pPr>
        <w:pStyle w:val="BodyText"/>
        <w:spacing w:before="35"/>
        <w:ind w:left="215"/>
      </w:pPr>
      <w:r>
        <w:rPr/>
        <w:br w:type="column"/>
      </w:r>
      <w:r>
        <w:rPr/>
        <w:t>您提出保险申请、我们同意承保，本合同成立。</w:t>
      </w:r>
    </w:p>
    <w:p>
      <w:pPr>
        <w:pStyle w:val="BodyText"/>
        <w:spacing w:before="8"/>
        <w:ind w:left="0"/>
        <w:rPr>
          <w:sz w:val="26"/>
        </w:rPr>
      </w:pPr>
    </w:p>
    <w:p>
      <w:pPr>
        <w:pStyle w:val="BodyText"/>
        <w:spacing w:line="273" w:lineRule="auto" w:before="0"/>
        <w:ind w:left="215" w:right="243"/>
        <w:jc w:val="both"/>
      </w:pPr>
      <w:r>
        <w:rPr>
          <w:spacing w:val="-3"/>
        </w:rPr>
        <w:t>本合同自我们同意承保、收取首期保险费并签发保险单开始生效，具体生效日</w:t>
      </w:r>
      <w:r>
        <w:rPr>
          <w:spacing w:val="-5"/>
        </w:rPr>
        <w:t>以保险单所载的日期为准。保险费约定支付日和保单满期日均以本合同生效日计算。如当月无对应同一日，则以该月最后一日作为对应日。</w:t>
      </w:r>
    </w:p>
    <w:p>
      <w:pPr>
        <w:spacing w:after="0" w:line="273" w:lineRule="auto"/>
        <w:jc w:val="both"/>
        <w:sectPr>
          <w:type w:val="continuous"/>
          <w:pgSz w:w="11910" w:h="16840"/>
          <w:pgMar w:top="500" w:bottom="280" w:left="700" w:right="1000"/>
          <w:cols w:num="2" w:equalWidth="0">
            <w:col w:w="2543" w:space="84"/>
            <w:col w:w="7583"/>
          </w:cols>
        </w:sectPr>
      </w:pPr>
    </w:p>
    <w:p>
      <w:pPr>
        <w:pStyle w:val="BodyText"/>
        <w:spacing w:before="8"/>
        <w:ind w:left="0"/>
        <w:rPr>
          <w:sz w:val="25"/>
        </w:rPr>
      </w:pPr>
    </w:p>
    <w:p>
      <w:pPr>
        <w:tabs>
          <w:tab w:pos="855" w:val="left" w:leader="none"/>
        </w:tabs>
        <w:spacing w:before="61"/>
        <w:ind w:left="215" w:right="0" w:firstLine="0"/>
        <w:jc w:val="left"/>
        <w:rPr>
          <w:b/>
          <w:sz w:val="24"/>
        </w:rPr>
      </w:pPr>
      <w:r>
        <w:rPr/>
        <w:pict>
          <v:line style="position:absolute;mso-position-horizontal-relative:page;mso-position-vertical-relative:paragraph;z-index:1096;mso-wrap-distance-left:0;mso-wrap-distance-right:0" from="40.380001pt,31.630077pt" to="538.320001pt,31.630077pt" stroked="true" strokeweight=".95999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ind w:left="0"/>
        <w:rPr>
          <w:b/>
          <w:sz w:val="17"/>
        </w:rPr>
      </w:pPr>
    </w:p>
    <w:p>
      <w:pPr>
        <w:pStyle w:val="ListParagraph"/>
        <w:numPr>
          <w:ilvl w:val="1"/>
          <w:numId w:val="3"/>
        </w:numPr>
        <w:tabs>
          <w:tab w:pos="854" w:val="left" w:leader="none"/>
          <w:tab w:pos="855" w:val="left" w:leader="none"/>
          <w:tab w:pos="2821" w:val="left" w:leader="none"/>
        </w:tabs>
        <w:spacing w:line="240" w:lineRule="auto" w:before="35" w:after="0"/>
        <w:ind w:left="2842" w:right="0" w:hanging="2627"/>
        <w:jc w:val="left"/>
        <w:rPr>
          <w:sz w:val="21"/>
        </w:rPr>
      </w:pPr>
      <w:r>
        <w:rPr>
          <w:b/>
          <w:sz w:val="21"/>
        </w:rPr>
        <w:t>保险期间和续保</w:t>
        <w:tab/>
      </w:r>
      <w:r>
        <w:rPr>
          <w:spacing w:val="-1"/>
          <w:sz w:val="21"/>
        </w:rPr>
        <w:t>本合</w:t>
      </w:r>
      <w:r>
        <w:rPr>
          <w:sz w:val="21"/>
        </w:rPr>
        <w:t>同的保险期间为1年，自本合同生效日起至满期日的24时止。</w:t>
      </w:r>
    </w:p>
    <w:p>
      <w:pPr>
        <w:pStyle w:val="BodyText"/>
        <w:spacing w:before="8"/>
        <w:ind w:left="0"/>
        <w:rPr>
          <w:sz w:val="26"/>
        </w:rPr>
      </w:pPr>
    </w:p>
    <w:p>
      <w:pPr>
        <w:pStyle w:val="BodyText"/>
        <w:spacing w:line="273" w:lineRule="auto" w:before="0"/>
        <w:ind w:left="2821" w:right="245"/>
      </w:pPr>
      <w:r>
        <w:rPr/>
        <w:t>每个保单满期日或之前，我们审核同意，且您按续保时对应的费率向我们支付续保保险费后，本合同将延续有效1年。本合同的最高续保年龄为70</w:t>
      </w:r>
      <w:r>
        <w:rPr>
          <w:b/>
        </w:rPr>
        <w:t>周岁</w:t>
      </w:r>
      <w:r>
        <w:rPr/>
        <w:t>(见7.1)。</w:t>
      </w:r>
    </w:p>
    <w:p>
      <w:pPr>
        <w:pStyle w:val="BodyText"/>
        <w:spacing w:before="5"/>
        <w:ind w:left="0"/>
        <w:rPr>
          <w:sz w:val="24"/>
        </w:rPr>
      </w:pPr>
    </w:p>
    <w:p>
      <w:pPr>
        <w:pStyle w:val="ListParagraph"/>
        <w:numPr>
          <w:ilvl w:val="1"/>
          <w:numId w:val="3"/>
        </w:numPr>
        <w:tabs>
          <w:tab w:pos="855" w:val="left" w:leader="none"/>
          <w:tab w:pos="856" w:val="left" w:leader="none"/>
          <w:tab w:pos="2842" w:val="left" w:leader="none"/>
        </w:tabs>
        <w:spacing w:line="240" w:lineRule="auto" w:before="0" w:after="0"/>
        <w:ind w:left="855" w:right="0" w:hanging="640"/>
        <w:jc w:val="left"/>
        <w:rPr>
          <w:sz w:val="21"/>
        </w:rPr>
      </w:pPr>
      <w:r>
        <w:rPr>
          <w:b/>
          <w:sz w:val="21"/>
        </w:rPr>
        <w:t>投保条件</w:t>
        <w:tab/>
      </w:r>
      <w:r>
        <w:rPr>
          <w:sz w:val="21"/>
        </w:rPr>
        <w:t>您和被保险人必须符合以下条件：</w:t>
      </w:r>
    </w:p>
    <w:p>
      <w:pPr>
        <w:pStyle w:val="BodyText"/>
        <w:spacing w:before="7"/>
        <w:ind w:left="0"/>
        <w:rPr>
          <w:sz w:val="22"/>
        </w:rPr>
      </w:pPr>
    </w:p>
    <w:p>
      <w:pPr>
        <w:pStyle w:val="BodyText"/>
        <w:tabs>
          <w:tab w:pos="2842" w:val="left" w:leader="none"/>
        </w:tabs>
        <w:spacing w:line="223" w:lineRule="auto" w:before="0"/>
        <w:ind w:left="2842" w:right="243" w:hanging="1988"/>
      </w:pPr>
      <w:r>
        <w:rPr>
          <w:rFonts w:ascii="Microsoft JhengHei" w:eastAsia="Microsoft JhengHei" w:hint="eastAsia"/>
          <w:b/>
          <w:position w:val="-2"/>
          <w:sz w:val="24"/>
        </w:rPr>
        <w:t>投保人条件</w:t>
        <w:tab/>
      </w:r>
      <w:r>
        <w:rPr/>
        <w:t>凡年满</w:t>
      </w:r>
      <w:r>
        <w:rPr>
          <w:spacing w:val="-13"/>
        </w:rPr>
        <w:t> </w:t>
      </w:r>
      <w:r>
        <w:rPr/>
        <w:t>18</w:t>
      </w:r>
      <w:r>
        <w:rPr>
          <w:spacing w:val="-12"/>
        </w:rPr>
        <w:t> </w:t>
      </w:r>
      <w:r>
        <w:rPr/>
        <w:t>周岁，具有完全民事行为能力且对被保险人具有保险利益的人，均可作为本保险的投保人。</w:t>
      </w:r>
    </w:p>
    <w:p>
      <w:pPr>
        <w:pStyle w:val="BodyText"/>
        <w:spacing w:before="1"/>
        <w:ind w:left="0"/>
      </w:pPr>
    </w:p>
    <w:p>
      <w:pPr>
        <w:pStyle w:val="BodyText"/>
        <w:tabs>
          <w:tab w:pos="2842" w:val="left" w:leader="none"/>
        </w:tabs>
        <w:spacing w:before="0"/>
        <w:ind w:left="855"/>
      </w:pPr>
      <w:r>
        <w:rPr>
          <w:rFonts w:ascii="Microsoft JhengHei" w:eastAsia="Microsoft JhengHei" w:hint="eastAsia"/>
          <w:b/>
          <w:position w:val="-2"/>
          <w:sz w:val="24"/>
        </w:rPr>
        <w:t>被保险人条件</w:t>
        <w:tab/>
      </w:r>
      <w:r>
        <w:rPr/>
        <w:t>凡投保时身体健康，且符合我们承保条件的人，均可作为本保险的被保险人。</w:t>
      </w:r>
    </w:p>
    <w:p>
      <w:pPr>
        <w:pStyle w:val="BodyText"/>
        <w:spacing w:before="7"/>
        <w:ind w:left="0"/>
        <w:rPr>
          <w:sz w:val="22"/>
        </w:rPr>
      </w:pPr>
    </w:p>
    <w:p>
      <w:pPr>
        <w:pStyle w:val="ListParagraph"/>
        <w:numPr>
          <w:ilvl w:val="1"/>
          <w:numId w:val="3"/>
        </w:numPr>
        <w:tabs>
          <w:tab w:pos="855" w:val="left" w:leader="none"/>
          <w:tab w:pos="856" w:val="left" w:leader="none"/>
          <w:tab w:pos="2842" w:val="left" w:leader="none"/>
        </w:tabs>
        <w:spacing w:line="273" w:lineRule="auto" w:before="1" w:after="0"/>
        <w:ind w:left="2842" w:right="244" w:hanging="2627"/>
        <w:jc w:val="left"/>
        <w:rPr>
          <w:sz w:val="21"/>
        </w:rPr>
      </w:pPr>
      <w:r>
        <w:rPr>
          <w:b/>
          <w:sz w:val="21"/>
        </w:rPr>
        <w:t>基本保险金额</w:t>
        <w:tab/>
      </w:r>
      <w:r>
        <w:rPr>
          <w:sz w:val="21"/>
        </w:rPr>
        <w:t>本合同的基本保险金额由您在投保时与我们约定并在保险单上载明</w:t>
      </w:r>
      <w:r>
        <w:rPr>
          <w:spacing w:val="-25"/>
          <w:sz w:val="21"/>
        </w:rPr>
        <w:t>，</w:t>
      </w:r>
      <w:r>
        <w:rPr>
          <w:sz w:val="21"/>
        </w:rPr>
        <w:t>投保时的基本保险金额须符合我们当时的投保规定。</w:t>
      </w:r>
    </w:p>
    <w:p>
      <w:pPr>
        <w:spacing w:after="0" w:line="273" w:lineRule="auto"/>
        <w:jc w:val="left"/>
        <w:rPr>
          <w:sz w:val="21"/>
        </w:rPr>
        <w:sectPr>
          <w:type w:val="continuous"/>
          <w:pgSz w:w="11910" w:h="16840"/>
          <w:pgMar w:top="500" w:bottom="280" w:left="700" w:right="1000"/>
        </w:sectPr>
      </w:pPr>
    </w:p>
    <w:p>
      <w:pPr>
        <w:pStyle w:val="ListParagraph"/>
        <w:numPr>
          <w:ilvl w:val="1"/>
          <w:numId w:val="3"/>
        </w:numPr>
        <w:tabs>
          <w:tab w:pos="854" w:val="left" w:leader="none"/>
          <w:tab w:pos="855" w:val="left" w:leader="none"/>
          <w:tab w:pos="2842" w:val="left" w:leader="none"/>
        </w:tabs>
        <w:spacing w:line="240" w:lineRule="auto" w:before="19" w:after="0"/>
        <w:ind w:left="854" w:right="0" w:hanging="639"/>
        <w:jc w:val="left"/>
        <w:rPr>
          <w:sz w:val="21"/>
        </w:rPr>
      </w:pPr>
      <w:r>
        <w:rPr>
          <w:b/>
          <w:sz w:val="21"/>
        </w:rPr>
        <w:t>保险责任</w:t>
        <w:tab/>
      </w:r>
      <w:r>
        <w:rPr>
          <w:sz w:val="21"/>
        </w:rPr>
        <w:t>在本合同有效期内，我们承担下列保险责任：</w:t>
      </w:r>
    </w:p>
    <w:p>
      <w:pPr>
        <w:pStyle w:val="BodyText"/>
        <w:spacing w:before="5"/>
        <w:ind w:left="0"/>
        <w:rPr>
          <w:sz w:val="20"/>
        </w:rPr>
      </w:pPr>
    </w:p>
    <w:p>
      <w:pPr>
        <w:pStyle w:val="BodyText"/>
        <w:tabs>
          <w:tab w:pos="2842" w:val="left" w:leader="none"/>
        </w:tabs>
        <w:spacing w:line="406" w:lineRule="exact" w:before="1"/>
        <w:ind w:left="855"/>
      </w:pPr>
      <w:r>
        <w:rPr>
          <w:rFonts w:ascii="Microsoft JhengHei" w:eastAsia="Microsoft JhengHei" w:hint="eastAsia"/>
          <w:b/>
          <w:position w:val="-2"/>
          <w:sz w:val="24"/>
        </w:rPr>
        <w:t>等待期</w:t>
        <w:tab/>
      </w:r>
      <w:r>
        <w:rPr/>
        <w:t>您首次投保或非</w:t>
      </w:r>
      <w:r>
        <w:rPr>
          <w:b/>
        </w:rPr>
        <w:t>连续投保</w:t>
      </w:r>
      <w:r>
        <w:rPr/>
        <w:t>（见</w:t>
      </w:r>
      <w:r>
        <w:rPr>
          <w:spacing w:val="-56"/>
        </w:rPr>
        <w:t> </w:t>
      </w:r>
      <w:r>
        <w:rPr/>
        <w:t>7.2）本保险时，被保险人在本合同生效之日起</w:t>
      </w:r>
    </w:p>
    <w:p>
      <w:pPr>
        <w:spacing w:line="263" w:lineRule="exact" w:before="0"/>
        <w:ind w:left="2842" w:right="0" w:firstLine="0"/>
        <w:jc w:val="left"/>
        <w:rPr>
          <w:sz w:val="21"/>
        </w:rPr>
      </w:pPr>
      <w:r>
        <w:rPr>
          <w:sz w:val="21"/>
        </w:rPr>
        <w:t>90 日内因</w:t>
      </w:r>
      <w:r>
        <w:rPr>
          <w:b/>
          <w:sz w:val="21"/>
        </w:rPr>
        <w:t>意外伤害事故</w:t>
      </w:r>
      <w:r>
        <w:rPr>
          <w:sz w:val="21"/>
        </w:rPr>
        <w:t>（见 7.3）以外的原因患本合同约定的</w:t>
      </w:r>
      <w:r>
        <w:rPr>
          <w:b/>
          <w:sz w:val="21"/>
        </w:rPr>
        <w:t>重大疾病</w:t>
      </w:r>
      <w:r>
        <w:rPr>
          <w:sz w:val="21"/>
        </w:rPr>
        <w:t>（见</w:t>
      </w:r>
    </w:p>
    <w:p>
      <w:pPr>
        <w:pStyle w:val="BodyText"/>
        <w:spacing w:line="273" w:lineRule="auto"/>
        <w:ind w:left="2842" w:right="225"/>
      </w:pPr>
      <w:r>
        <w:rPr/>
        <w:t>7</w:t>
      </w:r>
      <w:r>
        <w:rPr>
          <w:spacing w:val="-1"/>
        </w:rPr>
        <w:t>.</w:t>
      </w:r>
      <w:r>
        <w:rPr/>
        <w:t>4</w:t>
      </w:r>
      <w:r>
        <w:rPr>
          <w:spacing w:val="-105"/>
        </w:rPr>
        <w:t>）</w:t>
      </w:r>
      <w:r>
        <w:rPr>
          <w:spacing w:val="-5"/>
        </w:rPr>
        <w:t>，我们不承担给付保险金的责任。我们向您退还本合同已交保险费，本合</w:t>
      </w:r>
      <w:r>
        <w:rPr>
          <w:spacing w:val="-11"/>
        </w:rPr>
        <w:t>同终止。这 </w:t>
      </w:r>
      <w:r>
        <w:rPr/>
        <w:t>90</w:t>
      </w:r>
      <w:r>
        <w:rPr>
          <w:spacing w:val="-8"/>
        </w:rPr>
        <w:t> 日的时间称为等待期。</w:t>
      </w:r>
    </w:p>
    <w:p>
      <w:pPr>
        <w:pStyle w:val="BodyText"/>
        <w:spacing w:before="5"/>
        <w:ind w:left="0"/>
        <w:rPr>
          <w:sz w:val="24"/>
        </w:rPr>
      </w:pPr>
    </w:p>
    <w:p>
      <w:pPr>
        <w:pStyle w:val="BodyText"/>
        <w:spacing w:before="0"/>
        <w:ind w:left="2842"/>
      </w:pPr>
      <w:r>
        <w:rPr/>
        <w:t>连续投保或因遭受意外伤害事故患本合同约定的重大疾病的无等待期。</w:t>
      </w:r>
    </w:p>
    <w:p>
      <w:pPr>
        <w:pStyle w:val="BodyText"/>
        <w:spacing w:before="8"/>
        <w:ind w:left="0"/>
        <w:rPr>
          <w:sz w:val="26"/>
        </w:rPr>
      </w:pPr>
    </w:p>
    <w:p>
      <w:pPr>
        <w:pStyle w:val="BodyText"/>
        <w:spacing w:line="273" w:lineRule="auto" w:before="0"/>
        <w:ind w:left="2842" w:right="175"/>
      </w:pPr>
      <w:r>
        <w:rPr/>
        <w:t>如被保险人在等待期后发生本合同所约定的保险事故，我们按下列方式给付保险金：</w:t>
      </w:r>
    </w:p>
    <w:p>
      <w:pPr>
        <w:pStyle w:val="BodyText"/>
        <w:spacing w:before="8"/>
        <w:ind w:left="0"/>
        <w:rPr>
          <w:sz w:val="16"/>
        </w:rPr>
      </w:pPr>
    </w:p>
    <w:p>
      <w:pPr>
        <w:spacing w:line="252" w:lineRule="auto" w:before="0"/>
        <w:ind w:left="2842" w:right="223" w:hanging="1988"/>
        <w:jc w:val="both"/>
        <w:rPr>
          <w:sz w:val="21"/>
        </w:rPr>
      </w:pPr>
      <w:r>
        <w:rPr>
          <w:rFonts w:ascii="Microsoft JhengHei" w:eastAsia="Microsoft JhengHei" w:hint="eastAsia"/>
          <w:b/>
          <w:sz w:val="24"/>
        </w:rPr>
        <w:t>重大疾病保险金  </w:t>
      </w:r>
      <w:r>
        <w:rPr>
          <w:position w:val="1"/>
          <w:sz w:val="21"/>
        </w:rPr>
        <w:t>被保险人</w:t>
      </w:r>
      <w:r>
        <w:rPr>
          <w:b/>
          <w:spacing w:val="-4"/>
          <w:position w:val="1"/>
          <w:sz w:val="21"/>
        </w:rPr>
        <w:t>初次发生</w:t>
      </w:r>
      <w:r>
        <w:rPr>
          <w:position w:val="1"/>
          <w:sz w:val="21"/>
        </w:rPr>
        <w:t>（</w:t>
      </w:r>
      <w:r>
        <w:rPr>
          <w:spacing w:val="-27"/>
          <w:position w:val="1"/>
          <w:sz w:val="21"/>
        </w:rPr>
        <w:t>见 </w:t>
      </w:r>
      <w:r>
        <w:rPr>
          <w:spacing w:val="-4"/>
          <w:position w:val="1"/>
          <w:sz w:val="21"/>
        </w:rPr>
        <w:t>7.5）</w:t>
      </w:r>
      <w:r>
        <w:rPr>
          <w:position w:val="1"/>
          <w:sz w:val="21"/>
        </w:rPr>
        <w:t>并被</w:t>
      </w:r>
      <w:r>
        <w:rPr>
          <w:b/>
          <w:spacing w:val="-7"/>
          <w:position w:val="1"/>
          <w:sz w:val="21"/>
        </w:rPr>
        <w:t>医院</w:t>
      </w:r>
      <w:r>
        <w:rPr>
          <w:position w:val="1"/>
          <w:sz w:val="21"/>
        </w:rPr>
        <w:t>（</w:t>
      </w:r>
      <w:r>
        <w:rPr>
          <w:spacing w:val="-27"/>
          <w:position w:val="1"/>
          <w:sz w:val="21"/>
        </w:rPr>
        <w:t>见 </w:t>
      </w:r>
      <w:r>
        <w:rPr>
          <w:spacing w:val="-5"/>
          <w:position w:val="1"/>
          <w:sz w:val="21"/>
        </w:rPr>
        <w:t>7.6）</w:t>
      </w:r>
      <w:r>
        <w:rPr>
          <w:position w:val="1"/>
          <w:sz w:val="21"/>
        </w:rPr>
        <w:t>的</w:t>
      </w:r>
      <w:r>
        <w:rPr>
          <w:b/>
          <w:spacing w:val="-4"/>
          <w:position w:val="1"/>
          <w:sz w:val="21"/>
        </w:rPr>
        <w:t>专科医生</w:t>
      </w:r>
      <w:r>
        <w:rPr>
          <w:position w:val="1"/>
          <w:sz w:val="21"/>
        </w:rPr>
        <w:t>（</w:t>
      </w:r>
      <w:r>
        <w:rPr>
          <w:spacing w:val="-27"/>
          <w:position w:val="1"/>
          <w:sz w:val="21"/>
        </w:rPr>
        <w:t>见 </w:t>
      </w:r>
      <w:r>
        <w:rPr>
          <w:spacing w:val="-4"/>
          <w:position w:val="1"/>
          <w:sz w:val="21"/>
        </w:rPr>
        <w:t>7.7）</w:t>
      </w:r>
      <w:r>
        <w:rPr>
          <w:position w:val="1"/>
          <w:sz w:val="21"/>
        </w:rPr>
        <w:t>确诊为</w:t>
      </w:r>
      <w:r>
        <w:rPr>
          <w:spacing w:val="-3"/>
          <w:sz w:val="21"/>
        </w:rPr>
        <w:t>本合同约定的重大疾病，我们按本合同基本保险金额给付重大疾病保险金，本合同终止。</w:t>
      </w:r>
    </w:p>
    <w:p>
      <w:pPr>
        <w:pStyle w:val="BodyText"/>
        <w:spacing w:before="11"/>
        <w:ind w:left="0"/>
        <w:rPr>
          <w:sz w:val="25"/>
        </w:rPr>
      </w:pPr>
    </w:p>
    <w:p>
      <w:pPr>
        <w:pStyle w:val="ListParagraph"/>
        <w:numPr>
          <w:ilvl w:val="1"/>
          <w:numId w:val="4"/>
        </w:numPr>
        <w:tabs>
          <w:tab w:pos="854" w:val="left" w:leader="none"/>
          <w:tab w:pos="855" w:val="left" w:leader="none"/>
          <w:tab w:pos="2842" w:val="left" w:leader="none"/>
        </w:tabs>
        <w:spacing w:line="273" w:lineRule="auto" w:before="0" w:after="0"/>
        <w:ind w:left="2842" w:right="224" w:hanging="2627"/>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7"/>
          <w:sz w:val="21"/>
        </w:rPr>
        <w:t>，</w:t>
      </w:r>
      <w:r>
        <w:rPr>
          <w:rFonts w:ascii="黑体" w:hAnsi="黑体" w:eastAsia="黑体" w:hint="eastAsia"/>
          <w:sz w:val="21"/>
        </w:rPr>
        <w:t>导致被保险人初次发</w:t>
      </w:r>
      <w:r>
        <w:rPr>
          <w:rFonts w:ascii="黑体" w:hAnsi="黑体" w:eastAsia="黑体" w:hint="eastAsia"/>
          <w:spacing w:val="-3"/>
          <w:sz w:val="21"/>
        </w:rPr>
        <w:t>Th“</w:t>
      </w:r>
      <w:r>
        <w:rPr>
          <w:rFonts w:ascii="黑体" w:hAnsi="黑体" w:eastAsia="黑体" w:hint="eastAsia"/>
          <w:sz w:val="21"/>
        </w:rPr>
        <w:t>重大疾病</w:t>
      </w:r>
      <w:r>
        <w:rPr>
          <w:rFonts w:ascii="黑体" w:hAnsi="黑体" w:eastAsia="黑体" w:hint="eastAsia"/>
          <w:spacing w:val="-7"/>
          <w:sz w:val="21"/>
        </w:rPr>
        <w:t>”</w:t>
      </w:r>
      <w:r>
        <w:rPr>
          <w:rFonts w:ascii="黑体" w:hAnsi="黑体" w:eastAsia="黑体" w:hint="eastAsia"/>
          <w:sz w:val="21"/>
        </w:rPr>
        <w:t>的</w:t>
      </w:r>
      <w:r>
        <w:rPr>
          <w:rFonts w:ascii="黑体" w:hAnsi="黑体" w:eastAsia="黑体" w:hint="eastAsia"/>
          <w:spacing w:val="-7"/>
          <w:sz w:val="21"/>
        </w:rPr>
        <w:t>，</w:t>
      </w:r>
      <w:r>
        <w:rPr>
          <w:rFonts w:ascii="黑体" w:hAnsi="黑体" w:eastAsia="黑体" w:hint="eastAsia"/>
          <w:sz w:val="21"/>
        </w:rPr>
        <w:t>我们不承担给付保 险金的责任：</w:t>
      </w:r>
    </w:p>
    <w:p>
      <w:pPr>
        <w:pStyle w:val="ListParagraph"/>
        <w:numPr>
          <w:ilvl w:val="2"/>
          <w:numId w:val="4"/>
        </w:numPr>
        <w:tabs>
          <w:tab w:pos="3263" w:val="left" w:leader="none"/>
        </w:tabs>
        <w:spacing w:line="240" w:lineRule="auto" w:before="7" w:after="0"/>
        <w:ind w:left="3262" w:right="0" w:hanging="420"/>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4"/>
        </w:numPr>
        <w:tabs>
          <w:tab w:pos="3263" w:val="left" w:leader="none"/>
        </w:tabs>
        <w:spacing w:line="240" w:lineRule="auto" w:before="36" w:after="0"/>
        <w:ind w:left="3262" w:right="0" w:hanging="420"/>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4"/>
        </w:numPr>
        <w:tabs>
          <w:tab w:pos="3263" w:val="left" w:leader="none"/>
        </w:tabs>
        <w:spacing w:line="240" w:lineRule="auto" w:before="36" w:after="0"/>
        <w:ind w:left="3262" w:right="0" w:hanging="420"/>
        <w:jc w:val="left"/>
        <w:rPr>
          <w:rFonts w:ascii="黑体" w:eastAsia="黑体" w:hint="eastAsia"/>
          <w:sz w:val="21"/>
        </w:rPr>
      </w:pPr>
      <w:r>
        <w:rPr>
          <w:rFonts w:ascii="黑体" w:eastAsia="黑体" w:hint="eastAsia"/>
          <w:spacing w:val="-1"/>
          <w:sz w:val="21"/>
        </w:rPr>
        <w:t>被保险人自杀，但被保险人自杀时为无民事行为能力人的除外；</w:t>
      </w:r>
    </w:p>
    <w:p>
      <w:pPr>
        <w:pStyle w:val="ListParagraph"/>
        <w:numPr>
          <w:ilvl w:val="2"/>
          <w:numId w:val="4"/>
        </w:numPr>
        <w:tabs>
          <w:tab w:pos="3263" w:val="left" w:leader="none"/>
        </w:tabs>
        <w:spacing w:line="273" w:lineRule="auto" w:before="36" w:after="0"/>
        <w:ind w:left="3262" w:right="224" w:hanging="420"/>
        <w:jc w:val="left"/>
        <w:rPr>
          <w:rFonts w:ascii="黑体" w:eastAsia="黑体" w:hint="eastAsia"/>
          <w:sz w:val="21"/>
        </w:rPr>
      </w:pPr>
      <w:r>
        <w:rPr>
          <w:rFonts w:ascii="黑体" w:eastAsia="黑体" w:hint="eastAsia"/>
          <w:sz w:val="21"/>
        </w:rPr>
        <w:t>被保险人</w:t>
      </w:r>
      <w:r>
        <w:rPr>
          <w:rFonts w:ascii="黑体" w:eastAsia="黑体" w:hint="eastAsia"/>
          <w:b/>
          <w:spacing w:val="-2"/>
          <w:sz w:val="21"/>
        </w:rPr>
        <w:t>酗酒</w:t>
      </w:r>
      <w:r>
        <w:rPr>
          <w:rFonts w:ascii="黑体" w:eastAsia="黑体" w:hint="eastAsia"/>
          <w:sz w:val="21"/>
        </w:rPr>
        <w:t>（</w:t>
      </w:r>
      <w:r>
        <w:rPr>
          <w:rFonts w:ascii="黑体" w:eastAsia="黑体" w:hint="eastAsia"/>
          <w:spacing w:val="-31"/>
          <w:sz w:val="21"/>
        </w:rPr>
        <w:t>见 </w:t>
      </w:r>
      <w:r>
        <w:rPr>
          <w:rFonts w:ascii="黑体" w:eastAsia="黑体" w:hint="eastAsia"/>
          <w:sz w:val="21"/>
        </w:rPr>
        <w:t>7.8）</w:t>
      </w:r>
      <w:r>
        <w:rPr>
          <w:rFonts w:ascii="黑体" w:eastAsia="黑体" w:hint="eastAsia"/>
          <w:spacing w:val="-4"/>
          <w:sz w:val="21"/>
        </w:rPr>
        <w:t>、殴斗、服用、主动吸食或注射</w:t>
      </w:r>
      <w:r>
        <w:rPr>
          <w:rFonts w:ascii="黑体" w:eastAsia="黑体" w:hint="eastAsia"/>
          <w:b/>
          <w:spacing w:val="-2"/>
          <w:sz w:val="21"/>
        </w:rPr>
        <w:t>毒品</w:t>
      </w:r>
      <w:r>
        <w:rPr>
          <w:rFonts w:ascii="黑体" w:eastAsia="黑体" w:hint="eastAsia"/>
          <w:sz w:val="21"/>
        </w:rPr>
        <w:t>（</w:t>
      </w:r>
      <w:r>
        <w:rPr>
          <w:rFonts w:ascii="黑体" w:eastAsia="黑体" w:hint="eastAsia"/>
          <w:spacing w:val="-31"/>
          <w:sz w:val="21"/>
        </w:rPr>
        <w:t>见 </w:t>
      </w:r>
      <w:r>
        <w:rPr>
          <w:rFonts w:ascii="黑体" w:eastAsia="黑体" w:hint="eastAsia"/>
          <w:sz w:val="21"/>
        </w:rPr>
        <w:t>7.9）, 违反规定使用麻醉或精神药品；</w:t>
      </w:r>
    </w:p>
    <w:p>
      <w:pPr>
        <w:pStyle w:val="ListParagraph"/>
        <w:numPr>
          <w:ilvl w:val="2"/>
          <w:numId w:val="4"/>
        </w:numPr>
        <w:tabs>
          <w:tab w:pos="3263" w:val="left" w:leader="none"/>
        </w:tabs>
        <w:spacing w:line="273" w:lineRule="auto" w:before="7" w:after="0"/>
        <w:ind w:left="3262" w:right="223"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无有效行驶证照</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06"/>
          <w:sz w:val="21"/>
        </w:rPr>
        <w:t>）</w:t>
      </w:r>
      <w:r>
        <w:rPr>
          <w:rFonts w:ascii="黑体" w:eastAsia="黑体" w:hint="eastAsia"/>
          <w:sz w:val="21"/>
        </w:rPr>
        <w:t>；</w:t>
      </w:r>
    </w:p>
    <w:p>
      <w:pPr>
        <w:pStyle w:val="ListParagraph"/>
        <w:numPr>
          <w:ilvl w:val="2"/>
          <w:numId w:val="4"/>
        </w:numPr>
        <w:tabs>
          <w:tab w:pos="3263" w:val="left" w:leader="none"/>
        </w:tabs>
        <w:spacing w:line="240" w:lineRule="auto" w:before="7" w:after="0"/>
        <w:ind w:left="3262"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7.14）期间因疾病导致的；</w:t>
      </w:r>
    </w:p>
    <w:p>
      <w:pPr>
        <w:pStyle w:val="ListParagraph"/>
        <w:numPr>
          <w:ilvl w:val="2"/>
          <w:numId w:val="4"/>
        </w:numPr>
        <w:tabs>
          <w:tab w:pos="3264" w:val="left" w:leader="none"/>
        </w:tabs>
        <w:spacing w:line="240" w:lineRule="auto" w:before="36" w:after="0"/>
        <w:ind w:left="3263"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6"/>
          <w:sz w:val="21"/>
        </w:rPr>
        <w:t>）</w:t>
      </w:r>
      <w:r>
        <w:rPr>
          <w:rFonts w:ascii="黑体" w:eastAsia="黑体" w:hint="eastAsia"/>
          <w:sz w:val="21"/>
        </w:rPr>
        <w:t>；</w:t>
      </w:r>
    </w:p>
    <w:p>
      <w:pPr>
        <w:pStyle w:val="ListParagraph"/>
        <w:numPr>
          <w:ilvl w:val="2"/>
          <w:numId w:val="4"/>
        </w:numPr>
        <w:tabs>
          <w:tab w:pos="3263" w:val="left" w:leader="none"/>
        </w:tabs>
        <w:spacing w:line="240" w:lineRule="auto" w:before="36" w:after="0"/>
        <w:ind w:left="3262"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4"/>
        </w:numPr>
        <w:tabs>
          <w:tab w:pos="3263" w:val="left" w:leader="none"/>
        </w:tabs>
        <w:spacing w:line="240" w:lineRule="auto" w:before="36" w:after="0"/>
        <w:ind w:left="3262" w:right="0" w:hanging="420"/>
        <w:jc w:val="left"/>
        <w:rPr>
          <w:rFonts w:ascii="黑体" w:eastAsia="黑体" w:hint="eastAsia"/>
          <w:sz w:val="21"/>
        </w:rPr>
      </w:pPr>
      <w:r>
        <w:rPr>
          <w:rFonts w:ascii="黑体" w:eastAsia="黑体" w:hint="eastAsia"/>
          <w:spacing w:val="-1"/>
          <w:sz w:val="21"/>
        </w:rPr>
        <w:t>核爆炸、核辐射或核污染。</w:t>
      </w:r>
    </w:p>
    <w:p>
      <w:pPr>
        <w:pStyle w:val="BodyText"/>
        <w:spacing w:before="8"/>
        <w:ind w:left="0"/>
        <w:rPr>
          <w:rFonts w:ascii="黑体"/>
          <w:sz w:val="26"/>
        </w:rPr>
      </w:pPr>
    </w:p>
    <w:p>
      <w:pPr>
        <w:pStyle w:val="BodyText"/>
        <w:spacing w:line="273" w:lineRule="auto" w:before="0"/>
        <w:ind w:left="2842" w:right="201"/>
        <w:rPr>
          <w:rFonts w:ascii="黑体" w:hAnsi="黑体" w:eastAsia="黑体" w:hint="eastAsia"/>
        </w:rPr>
      </w:pPr>
      <w:r>
        <w:rPr>
          <w:rFonts w:ascii="黑体" w:hAnsi="黑体" w:eastAsia="黑体" w:hint="eastAsia"/>
        </w:rPr>
        <w:t>发Th上述第(１)项情形导致被保险人初次发Th“重大疾病”的，本合同终止， 我们向受益人退还本合同效力终止时的</w:t>
      </w:r>
      <w:r>
        <w:rPr>
          <w:rFonts w:ascii="黑体" w:hAnsi="黑体" w:eastAsia="黑体" w:hint="eastAsia"/>
          <w:b/>
        </w:rPr>
        <w:t>现金价值</w:t>
      </w:r>
      <w:r>
        <w:rPr>
          <w:rFonts w:ascii="黑体" w:hAnsi="黑体" w:eastAsia="黑体" w:hint="eastAsia"/>
        </w:rPr>
        <w:t>（见 7.17）。</w:t>
      </w:r>
    </w:p>
    <w:p>
      <w:pPr>
        <w:pStyle w:val="BodyText"/>
        <w:spacing w:before="5"/>
        <w:ind w:left="0"/>
        <w:rPr>
          <w:rFonts w:ascii="黑体"/>
          <w:sz w:val="24"/>
        </w:rPr>
      </w:pPr>
    </w:p>
    <w:p>
      <w:pPr>
        <w:pStyle w:val="BodyText"/>
        <w:spacing w:line="273" w:lineRule="auto" w:before="0"/>
        <w:ind w:left="2842" w:right="201"/>
        <w:rPr>
          <w:rFonts w:ascii="黑体" w:hAnsi="黑体" w:eastAsia="黑体" w:hint="eastAsia"/>
        </w:rPr>
      </w:pPr>
      <w:r>
        <w:rPr>
          <w:rFonts w:ascii="黑体" w:hAnsi="黑体" w:eastAsia="黑体" w:hint="eastAsia"/>
        </w:rPr>
        <w:t>发Th上述第（2）项至第（9）项情形导致被保险人初次发Th“重大疾病”的， 本合同终止，我们向您退还本合同效力终止时的现金价值。</w:t>
      </w:r>
    </w:p>
    <w:p>
      <w:pPr>
        <w:pStyle w:val="BodyText"/>
        <w:spacing w:before="0"/>
        <w:ind w:left="0"/>
        <w:rPr>
          <w:rFonts w:ascii="黑体"/>
          <w:sz w:val="20"/>
        </w:rPr>
      </w:pPr>
    </w:p>
    <w:p>
      <w:pPr>
        <w:tabs>
          <w:tab w:pos="855" w:val="left" w:leader="none"/>
        </w:tabs>
        <w:spacing w:before="134"/>
        <w:ind w:left="215" w:right="0" w:firstLine="0"/>
        <w:jc w:val="left"/>
        <w:rPr>
          <w:b/>
          <w:sz w:val="24"/>
        </w:rPr>
      </w:pPr>
      <w:r>
        <w:rPr/>
        <w:pict>
          <v:line style="position:absolute;mso-position-horizontal-relative:page;mso-position-vertical-relative:paragraph;z-index:1120;mso-wrap-distance-left:0;mso-wrap-distance-right:0" from="40.380001pt,35.280071pt" to="538.320001pt,35.280071pt" stroked="true" strokeweight=".95999pt" strokecolor="#000000">
            <v:stroke dashstyle="solid"/>
            <w10:wrap type="topAndBottom"/>
          </v:line>
        </w:pict>
      </w:r>
      <w:r>
        <w:rPr>
          <w:rFonts w:ascii="Arial" w:hAnsi="Arial" w:eastAsia="Arial"/>
          <w:b/>
          <w:position w:val="-3"/>
          <w:sz w:val="40"/>
        </w:rPr>
        <w:t></w:t>
        <w:tab/>
      </w:r>
      <w:r>
        <w:rPr>
          <w:b/>
          <w:w w:val="95"/>
          <w:sz w:val="24"/>
        </w:rPr>
        <w:t>如何申请领取保险金</w:t>
      </w:r>
    </w:p>
    <w:p>
      <w:pPr>
        <w:pStyle w:val="BodyText"/>
        <w:spacing w:before="11"/>
        <w:ind w:left="0"/>
        <w:rPr>
          <w:b/>
          <w:sz w:val="17"/>
        </w:rPr>
      </w:pPr>
    </w:p>
    <w:p>
      <w:pPr>
        <w:pStyle w:val="ListParagraph"/>
        <w:numPr>
          <w:ilvl w:val="1"/>
          <w:numId w:val="5"/>
        </w:numPr>
        <w:tabs>
          <w:tab w:pos="855" w:val="left" w:leader="none"/>
          <w:tab w:pos="856" w:val="left" w:leader="none"/>
          <w:tab w:pos="2842" w:val="left" w:leader="none"/>
        </w:tabs>
        <w:spacing w:line="240" w:lineRule="auto" w:before="35" w:after="0"/>
        <w:ind w:left="2842" w:right="0" w:hanging="2627"/>
        <w:jc w:val="left"/>
        <w:rPr>
          <w:sz w:val="21"/>
        </w:rPr>
      </w:pPr>
      <w:r>
        <w:rPr>
          <w:b/>
          <w:sz w:val="21"/>
        </w:rPr>
        <w:t>受益人</w:t>
        <w:tab/>
      </w:r>
      <w:r>
        <w:rPr>
          <w:sz w:val="21"/>
        </w:rPr>
        <w:t>除另有约定外，本合同各项保险金的受益人均为被保险人本人。</w:t>
      </w:r>
    </w:p>
    <w:p>
      <w:pPr>
        <w:pStyle w:val="BodyText"/>
        <w:spacing w:before="8"/>
        <w:ind w:left="0"/>
        <w:rPr>
          <w:sz w:val="26"/>
        </w:rPr>
      </w:pPr>
    </w:p>
    <w:p>
      <w:pPr>
        <w:pStyle w:val="ListParagraph"/>
        <w:numPr>
          <w:ilvl w:val="1"/>
          <w:numId w:val="5"/>
        </w:numPr>
        <w:tabs>
          <w:tab w:pos="855" w:val="left" w:leader="none"/>
          <w:tab w:pos="856" w:val="left" w:leader="none"/>
          <w:tab w:pos="2842" w:val="left" w:leader="none"/>
        </w:tabs>
        <w:spacing w:line="240" w:lineRule="auto" w:before="0" w:after="0"/>
        <w:ind w:left="855" w:right="0" w:hanging="640"/>
        <w:jc w:val="left"/>
        <w:rPr>
          <w:sz w:val="21"/>
        </w:rPr>
      </w:pPr>
      <w:r>
        <w:rPr>
          <w:b/>
          <w:sz w:val="21"/>
        </w:rPr>
        <w:t>保险事故通知</w:t>
        <w:tab/>
      </w:r>
      <w:r>
        <w:rPr>
          <w:spacing w:val="-1"/>
          <w:sz w:val="21"/>
        </w:rPr>
        <w:t>您或</w:t>
      </w:r>
      <w:r>
        <w:rPr>
          <w:sz w:val="21"/>
        </w:rPr>
        <w:t>受益人知道保险事故后应当在10日内通知我们。</w:t>
      </w:r>
    </w:p>
    <w:p>
      <w:pPr>
        <w:pStyle w:val="BodyText"/>
        <w:spacing w:before="8"/>
        <w:ind w:left="0"/>
        <w:rPr>
          <w:sz w:val="26"/>
        </w:rPr>
      </w:pPr>
    </w:p>
    <w:p>
      <w:pPr>
        <w:pStyle w:val="BodyText"/>
        <w:spacing w:line="273" w:lineRule="auto" w:before="0"/>
        <w:ind w:left="2842" w:right="119"/>
      </w:pPr>
      <w:r>
        <w:rPr>
          <w:spacing w:val="-5"/>
        </w:rPr>
        <w:t>如果您或受益人故意或者因重大过失未及时通知，致使保险事故的性质、原因、损失程度等难以确定的，我们对无法确定的部分，不承担给付保险金的责任， 但我们通过其他途径已经及时知道或者应当及时知道保险事故发生或者虽未</w:t>
      </w:r>
    </w:p>
    <w:p>
      <w:pPr>
        <w:spacing w:after="0" w:line="273" w:lineRule="auto"/>
        <w:sectPr>
          <w:pgSz w:w="11910" w:h="16840"/>
          <w:pgMar w:top="1100" w:bottom="280" w:left="700" w:right="1020"/>
        </w:sectPr>
      </w:pPr>
    </w:p>
    <w:p>
      <w:pPr>
        <w:pStyle w:val="BodyText"/>
        <w:spacing w:before="19"/>
        <w:ind w:left="2842"/>
      </w:pPr>
      <w:r>
        <w:rPr/>
        <w:t>及时通知但不影响我们确定保险事故的性质、原因、损失程度的除外。</w:t>
      </w:r>
    </w:p>
    <w:p>
      <w:pPr>
        <w:pStyle w:val="BodyText"/>
        <w:spacing w:before="8"/>
        <w:ind w:left="0"/>
        <w:rPr>
          <w:sz w:val="26"/>
        </w:rPr>
      </w:pPr>
    </w:p>
    <w:p>
      <w:pPr>
        <w:pStyle w:val="ListParagraph"/>
        <w:numPr>
          <w:ilvl w:val="1"/>
          <w:numId w:val="5"/>
        </w:numPr>
        <w:tabs>
          <w:tab w:pos="855" w:val="left" w:leader="none"/>
          <w:tab w:pos="856" w:val="left" w:leader="none"/>
          <w:tab w:pos="2842" w:val="left" w:leader="none"/>
        </w:tabs>
        <w:spacing w:line="240" w:lineRule="auto" w:before="1" w:after="0"/>
        <w:ind w:left="855" w:right="0" w:hanging="640"/>
        <w:jc w:val="left"/>
        <w:rPr>
          <w:sz w:val="21"/>
        </w:rPr>
      </w:pPr>
      <w:r>
        <w:rPr>
          <w:b/>
          <w:sz w:val="21"/>
        </w:rPr>
        <w:t>保险金申请</w:t>
        <w:tab/>
      </w:r>
      <w:r>
        <w:rPr>
          <w:sz w:val="21"/>
        </w:rPr>
        <w:t>在申请保险金时，申请人须填写保险金给付申请书，并提供下列证明和资料：</w:t>
      </w:r>
    </w:p>
    <w:p>
      <w:pPr>
        <w:pStyle w:val="BodyText"/>
        <w:ind w:left="2842"/>
      </w:pPr>
      <w:r>
        <w:rPr/>
        <w:t>（1）保险合同；</w:t>
      </w:r>
    </w:p>
    <w:p>
      <w:pPr>
        <w:spacing w:before="37"/>
        <w:ind w:left="2842" w:right="0" w:firstLine="0"/>
        <w:jc w:val="left"/>
        <w:rPr>
          <w:sz w:val="21"/>
        </w:rPr>
      </w:pPr>
      <w:r>
        <w:rPr>
          <w:sz w:val="21"/>
        </w:rPr>
        <w:t>（2）</w:t>
      </w:r>
      <w:r>
        <w:rPr>
          <w:spacing w:val="-1"/>
          <w:sz w:val="21"/>
        </w:rPr>
        <w:t>申请人的</w:t>
      </w:r>
      <w:r>
        <w:rPr>
          <w:b/>
          <w:w w:val="99"/>
          <w:sz w:val="21"/>
        </w:rPr>
        <w:t>有效身份证件</w:t>
      </w:r>
      <w:r>
        <w:rPr>
          <w:spacing w:val="-1"/>
          <w:sz w:val="21"/>
        </w:rPr>
        <w:t>（</w:t>
      </w:r>
      <w:r>
        <w:rPr>
          <w:spacing w:val="-27"/>
          <w:sz w:val="21"/>
        </w:rPr>
        <w:t>见 </w:t>
      </w:r>
      <w:r>
        <w:rPr>
          <w:spacing w:val="-1"/>
          <w:sz w:val="21"/>
        </w:rPr>
        <w:t>7</w:t>
      </w:r>
      <w:r>
        <w:rPr>
          <w:sz w:val="21"/>
        </w:rPr>
        <w:t>.</w:t>
      </w:r>
      <w:r>
        <w:rPr>
          <w:spacing w:val="-1"/>
          <w:sz w:val="21"/>
        </w:rPr>
        <w:t>1</w:t>
      </w:r>
      <w:r>
        <w:rPr>
          <w:sz w:val="21"/>
        </w:rPr>
        <w:t>8</w:t>
      </w:r>
      <w:r>
        <w:rPr>
          <w:spacing w:val="-105"/>
          <w:sz w:val="21"/>
        </w:rPr>
        <w:t>）</w:t>
      </w:r>
      <w:r>
        <w:rPr>
          <w:sz w:val="21"/>
        </w:rPr>
        <w:t>；</w:t>
      </w:r>
    </w:p>
    <w:p>
      <w:pPr>
        <w:pStyle w:val="BodyText"/>
        <w:spacing w:line="273" w:lineRule="auto"/>
        <w:ind w:left="3346" w:right="305" w:hanging="504"/>
        <w:jc w:val="both"/>
      </w:pPr>
      <w:r>
        <w:rPr/>
        <w:t>（3）医院的专科医生出具的附有病理显微镜检查、血液检验及其他科学方法检验报告的、诊断结论符合“7.4 重大疾病”所列举情形的疾病诊断证明书；</w:t>
      </w:r>
    </w:p>
    <w:p>
      <w:pPr>
        <w:pStyle w:val="BodyText"/>
        <w:spacing w:before="7"/>
        <w:ind w:left="2859"/>
      </w:pPr>
      <w:r>
        <w:rPr/>
        <w:t>（4）所能提供的与确认保险事故的性质、原因等有关的其他证明和资料。</w:t>
      </w:r>
    </w:p>
    <w:p>
      <w:pPr>
        <w:pStyle w:val="BodyText"/>
        <w:spacing w:before="8"/>
        <w:ind w:left="0"/>
        <w:rPr>
          <w:sz w:val="26"/>
        </w:rPr>
      </w:pPr>
    </w:p>
    <w:p>
      <w:pPr>
        <w:pStyle w:val="BodyText"/>
        <w:spacing w:line="273" w:lineRule="auto" w:before="0"/>
        <w:ind w:left="2842" w:right="175"/>
      </w:pPr>
      <w:r>
        <w:rPr/>
        <w:t>以上证明和资料不完整的，我们将及时一次性通知申请人补充提供有关证明和资料。</w:t>
      </w:r>
    </w:p>
    <w:p>
      <w:pPr>
        <w:pStyle w:val="BodyText"/>
        <w:spacing w:before="5"/>
        <w:ind w:left="0"/>
        <w:rPr>
          <w:sz w:val="24"/>
        </w:rPr>
      </w:pPr>
    </w:p>
    <w:p>
      <w:pPr>
        <w:pStyle w:val="ListParagraph"/>
        <w:numPr>
          <w:ilvl w:val="1"/>
          <w:numId w:val="5"/>
        </w:numPr>
        <w:tabs>
          <w:tab w:pos="855" w:val="left" w:leader="none"/>
          <w:tab w:pos="856" w:val="left" w:leader="none"/>
          <w:tab w:pos="2842" w:val="left" w:leader="none"/>
        </w:tabs>
        <w:spacing w:line="273" w:lineRule="auto" w:before="0" w:after="0"/>
        <w:ind w:left="2842" w:right="224" w:hanging="2627"/>
        <w:jc w:val="left"/>
        <w:rPr>
          <w:sz w:val="21"/>
        </w:rPr>
      </w:pPr>
      <w:r>
        <w:rPr>
          <w:b/>
          <w:sz w:val="21"/>
        </w:rPr>
        <w:t>保险金给付</w:t>
        <w:tab/>
      </w:r>
      <w:r>
        <w:rPr>
          <w:sz w:val="21"/>
        </w:rPr>
        <w:t>我们在收到保险金给付申请书及合同约定的证明和资料后</w:t>
      </w:r>
      <w:r>
        <w:rPr>
          <w:spacing w:val="-25"/>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ind w:left="0"/>
        <w:rPr>
          <w:sz w:val="24"/>
        </w:rPr>
      </w:pPr>
    </w:p>
    <w:p>
      <w:pPr>
        <w:pStyle w:val="BodyText"/>
        <w:spacing w:line="273" w:lineRule="auto" w:before="0"/>
        <w:ind w:left="2842" w:right="306"/>
      </w:pPr>
      <w:r>
        <w:rPr>
          <w:spacing w:val="-3"/>
        </w:rPr>
        <w:t>对属于保险责任的，在与受益人达成给付保险金的协议后 </w:t>
      </w:r>
      <w:r>
        <w:rPr/>
        <w:t>10</w:t>
      </w:r>
      <w:r>
        <w:rPr>
          <w:spacing w:val="-10"/>
        </w:rPr>
        <w:t> 日内，履行给付保险金义务。</w:t>
      </w:r>
    </w:p>
    <w:p>
      <w:pPr>
        <w:pStyle w:val="BodyText"/>
        <w:spacing w:before="5"/>
        <w:ind w:left="0"/>
        <w:rPr>
          <w:sz w:val="24"/>
        </w:rPr>
      </w:pPr>
    </w:p>
    <w:p>
      <w:pPr>
        <w:pStyle w:val="BodyText"/>
        <w:spacing w:line="273" w:lineRule="auto" w:before="0"/>
        <w:ind w:left="2842" w:right="175"/>
      </w:pPr>
      <w:r>
        <w:rPr/>
        <w:t>我们未及时履行前款规定义务的，除支付保险金外，应当赔偿受益人因此受到的损失。</w:t>
      </w:r>
    </w:p>
    <w:p>
      <w:pPr>
        <w:pStyle w:val="BodyText"/>
        <w:spacing w:before="5"/>
        <w:ind w:left="0"/>
        <w:rPr>
          <w:sz w:val="24"/>
        </w:rPr>
      </w:pPr>
    </w:p>
    <w:p>
      <w:pPr>
        <w:pStyle w:val="BodyText"/>
        <w:spacing w:line="273" w:lineRule="auto" w:before="0"/>
        <w:ind w:left="2842" w:right="224"/>
      </w:pPr>
      <w:r>
        <w:rPr>
          <w:spacing w:val="-6"/>
        </w:rPr>
        <w:t>对不属于保险责任的，我们自作出核定之日起 </w:t>
      </w:r>
      <w:r>
        <w:rPr/>
        <w:t>3</w:t>
      </w:r>
      <w:r>
        <w:rPr>
          <w:spacing w:val="-8"/>
        </w:rPr>
        <w:t> 日内向受益人发出拒绝给付保险金通知书并说明理由。</w:t>
      </w:r>
    </w:p>
    <w:p>
      <w:pPr>
        <w:pStyle w:val="BodyText"/>
        <w:spacing w:before="5"/>
        <w:ind w:left="0"/>
        <w:rPr>
          <w:sz w:val="24"/>
        </w:rPr>
      </w:pPr>
    </w:p>
    <w:p>
      <w:pPr>
        <w:pStyle w:val="BodyText"/>
        <w:spacing w:line="273" w:lineRule="auto" w:before="0"/>
        <w:ind w:left="2823" w:right="223" w:firstLine="19"/>
      </w:pPr>
      <w:r>
        <w:rPr>
          <w:spacing w:val="-3"/>
        </w:rPr>
        <w:t>我们在收到保险金给付申请书及有关证明和资料之日起 </w:t>
      </w:r>
      <w:r>
        <w:rPr/>
        <w:t>60</w:t>
      </w:r>
      <w:r>
        <w:rPr>
          <w:spacing w:val="-8"/>
        </w:rPr>
        <w:t> 日内，对给付保险金的数额不能确定的，根据已有证明和资料可以确定的数额先予支付；我们最终确定给付保险金的数额后，将支付相应的差额。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5"/>
        </w:numPr>
        <w:tabs>
          <w:tab w:pos="854" w:val="left" w:leader="none"/>
          <w:tab w:pos="855" w:val="left" w:leader="none"/>
          <w:tab w:pos="2842" w:val="left" w:leader="none"/>
        </w:tabs>
        <w:spacing w:line="273" w:lineRule="auto" w:before="0" w:after="0"/>
        <w:ind w:left="2842" w:right="223" w:hanging="2627"/>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25"/>
          <w:sz w:val="21"/>
        </w:rPr>
        <w:t>，</w:t>
      </w:r>
      <w:r>
        <w:rPr>
          <w:sz w:val="21"/>
        </w:rPr>
        <w:t>自其知道或者应当知道保险事故发生之日起计算。</w:t>
      </w:r>
    </w:p>
    <w:p>
      <w:pPr>
        <w:pStyle w:val="BodyText"/>
        <w:spacing w:before="0"/>
        <w:ind w:left="0"/>
        <w:rPr>
          <w:sz w:val="20"/>
        </w:rPr>
      </w:pPr>
    </w:p>
    <w:p>
      <w:pPr>
        <w:tabs>
          <w:tab w:pos="855" w:val="left" w:leader="none"/>
        </w:tabs>
        <w:spacing w:before="134"/>
        <w:ind w:left="215" w:right="0" w:firstLine="0"/>
        <w:jc w:val="left"/>
        <w:rPr>
          <w:b/>
          <w:sz w:val="24"/>
        </w:rPr>
      </w:pPr>
      <w:r>
        <w:rPr/>
        <w:pict>
          <v:line style="position:absolute;mso-position-horizontal-relative:page;mso-position-vertical-relative:paragraph;z-index:1144;mso-wrap-distance-left:0;mso-wrap-distance-right:0" from="40.380001pt,35.280167pt" to="538.320001pt,35.280167pt" stroked="true" strokeweight=".95999pt" strokecolor="#000000">
            <v:stroke dashstyle="solid"/>
            <w10:wrap type="topAndBottom"/>
          </v:line>
        </w:pict>
      </w:r>
      <w:r>
        <w:rPr>
          <w:rFonts w:ascii="Arial" w:hAnsi="Arial" w:eastAsia="Arial"/>
          <w:b/>
          <w:position w:val="-3"/>
          <w:sz w:val="40"/>
        </w:rPr>
        <w:t></w:t>
        <w:tab/>
      </w:r>
      <w:r>
        <w:rPr>
          <w:b/>
          <w:w w:val="95"/>
          <w:sz w:val="24"/>
        </w:rPr>
        <w:t>如何支付保险费</w:t>
      </w:r>
    </w:p>
    <w:p>
      <w:pPr>
        <w:pStyle w:val="BodyText"/>
        <w:spacing w:before="11"/>
        <w:ind w:left="0"/>
        <w:rPr>
          <w:b/>
          <w:sz w:val="17"/>
        </w:rPr>
      </w:pPr>
    </w:p>
    <w:p>
      <w:pPr>
        <w:pStyle w:val="BodyText"/>
        <w:tabs>
          <w:tab w:pos="855" w:val="left" w:leader="none"/>
          <w:tab w:pos="2842" w:val="left" w:leader="none"/>
        </w:tabs>
        <w:spacing w:line="273" w:lineRule="auto" w:before="35"/>
        <w:ind w:left="2842" w:right="223" w:hanging="2627"/>
      </w:pPr>
      <w:r>
        <w:rPr>
          <w:b/>
        </w:rPr>
        <w:t>4.1</w:t>
        <w:tab/>
        <w:t>保险费的支付</w:t>
        <w:tab/>
      </w:r>
      <w:r>
        <w:rPr/>
        <w:t>本合同的保险费由您与我们在投保时约定并在保险单中载明</w:t>
      </w:r>
      <w:r>
        <w:rPr>
          <w:spacing w:val="-25"/>
        </w:rPr>
        <w:t>，</w:t>
      </w:r>
      <w:r>
        <w:rPr/>
        <w:t>您需于投保时一次性支付整个保险期间的保险费。</w:t>
      </w:r>
    </w:p>
    <w:p>
      <w:pPr>
        <w:pStyle w:val="BodyText"/>
        <w:spacing w:before="0"/>
        <w:ind w:left="0"/>
        <w:rPr>
          <w:sz w:val="20"/>
        </w:rPr>
      </w:pPr>
    </w:p>
    <w:p>
      <w:pPr>
        <w:pStyle w:val="Heading2"/>
        <w:tabs>
          <w:tab w:pos="855" w:val="left" w:leader="none"/>
        </w:tabs>
      </w:pPr>
      <w:r>
        <w:rPr/>
        <w:pict>
          <v:line style="position:absolute;mso-position-horizontal-relative:page;mso-position-vertical-relative:paragraph;z-index:1168;mso-wrap-distance-left:0;mso-wrap-distance-right:0" from="40.380001pt,35.28017pt" to="538.320001pt,35.28017pt" stroked="true" strokeweight=".95999pt" strokecolor="#000000">
            <v:stroke dashstyle="solid"/>
            <w10:wrap type="topAndBottom"/>
          </v:line>
        </w:pict>
      </w:r>
      <w:r>
        <w:rPr>
          <w:rFonts w:ascii="Arial" w:hAnsi="Arial" w:eastAsia="Arial"/>
          <w:position w:val="-3"/>
          <w:sz w:val="40"/>
        </w:rPr>
        <w:t></w:t>
        <w:tab/>
      </w:r>
      <w:r>
        <w:rPr>
          <w:w w:val="95"/>
        </w:rPr>
        <w:t>如何解除保险合同</w:t>
      </w:r>
    </w:p>
    <w:p>
      <w:pPr>
        <w:pStyle w:val="BodyText"/>
        <w:spacing w:before="10"/>
        <w:ind w:left="0"/>
        <w:rPr>
          <w:b/>
          <w:sz w:val="17"/>
        </w:rPr>
      </w:pPr>
    </w:p>
    <w:p>
      <w:pPr>
        <w:spacing w:after="0"/>
        <w:rPr>
          <w:sz w:val="17"/>
        </w:rPr>
        <w:sectPr>
          <w:pgSz w:w="11910" w:h="16840"/>
          <w:pgMar w:top="1100" w:bottom="280" w:left="700" w:right="1020"/>
        </w:sectPr>
      </w:pPr>
    </w:p>
    <w:p>
      <w:pPr>
        <w:pStyle w:val="Heading3"/>
        <w:tabs>
          <w:tab w:pos="855" w:val="left" w:leader="none"/>
        </w:tabs>
        <w:spacing w:line="273" w:lineRule="auto" w:before="35"/>
        <w:ind w:left="855" w:hanging="640"/>
      </w:pPr>
      <w:r>
        <w:rPr/>
        <w:t>5.1</w:t>
        <w:tab/>
      </w:r>
      <w:r>
        <w:rPr>
          <w:w w:val="95"/>
        </w:rPr>
        <w:t>您解除合同的手续 </w:t>
      </w:r>
      <w:r>
        <w:rPr/>
        <w:t>及风险</w:t>
      </w:r>
    </w:p>
    <w:p>
      <w:pPr>
        <w:pStyle w:val="BodyText"/>
        <w:spacing w:before="35"/>
        <w:ind w:left="215"/>
      </w:pPr>
      <w:r>
        <w:rPr/>
        <w:br w:type="column"/>
      </w:r>
      <w:r>
        <w:rPr/>
        <w:t>如您申请解除本合同，请填写解除合同申请书并向我们提供下列资料：</w:t>
      </w:r>
    </w:p>
    <w:p>
      <w:pPr>
        <w:pStyle w:val="BodyText"/>
        <w:ind w:left="215"/>
      </w:pPr>
      <w:r>
        <w:rPr/>
        <w:t>（1）保险合同；</w:t>
      </w:r>
    </w:p>
    <w:p>
      <w:pPr>
        <w:pStyle w:val="BodyText"/>
        <w:ind w:left="215"/>
      </w:pPr>
      <w:r>
        <w:rPr/>
        <w:t>（2）您的有效身份证件。</w:t>
      </w:r>
    </w:p>
    <w:p>
      <w:pPr>
        <w:spacing w:after="0"/>
        <w:sectPr>
          <w:type w:val="continuous"/>
          <w:pgSz w:w="11910" w:h="16840"/>
          <w:pgMar w:top="500" w:bottom="280" w:left="700" w:right="1020"/>
          <w:cols w:num="2" w:equalWidth="0">
            <w:col w:w="2543" w:space="84"/>
            <w:col w:w="7563"/>
          </w:cols>
        </w:sectPr>
      </w:pPr>
    </w:p>
    <w:p>
      <w:pPr>
        <w:pStyle w:val="BodyText"/>
        <w:spacing w:line="273" w:lineRule="auto" w:before="19"/>
        <w:ind w:left="2842" w:right="175"/>
      </w:pPr>
      <w:r>
        <w:rPr/>
        <w:t>自我们收到解除合同申请书时起，本合同终止。我们自收到解除合同申请书之日起 30 日内向您退还收到解除合同申请书之日本合同的现金价值。</w:t>
      </w:r>
    </w:p>
    <w:p>
      <w:pPr>
        <w:pStyle w:val="BodyText"/>
        <w:spacing w:before="5"/>
        <w:ind w:left="0"/>
        <w:rPr>
          <w:sz w:val="24"/>
        </w:rPr>
      </w:pPr>
    </w:p>
    <w:p>
      <w:pPr>
        <w:pStyle w:val="BodyText"/>
        <w:spacing w:before="0"/>
        <w:ind w:left="2842"/>
      </w:pPr>
      <w:r>
        <w:rPr/>
        <w:t>您解除合同会遭受一定损失。</w:t>
      </w:r>
    </w:p>
    <w:p>
      <w:pPr>
        <w:pStyle w:val="BodyText"/>
        <w:spacing w:before="0"/>
        <w:ind w:left="0"/>
        <w:rPr>
          <w:sz w:val="20"/>
        </w:rPr>
      </w:pPr>
    </w:p>
    <w:p>
      <w:pPr>
        <w:pStyle w:val="Heading2"/>
        <w:tabs>
          <w:tab w:pos="855" w:val="left" w:leader="none"/>
        </w:tabs>
        <w:spacing w:before="163"/>
      </w:pPr>
      <w:r>
        <w:rPr/>
        <w:pict>
          <v:line style="position:absolute;mso-position-horizontal-relative:page;mso-position-vertical-relative:paragraph;z-index:1192;mso-wrap-distance-left:0;mso-wrap-distance-right:0" from="40.380001pt,36.730095pt" to="538.320001pt,36.730095pt" stroked="true" strokeweight=".95996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1"/>
        <w:ind w:left="0"/>
        <w:rPr>
          <w:b/>
          <w:sz w:val="17"/>
        </w:rPr>
      </w:pPr>
    </w:p>
    <w:p>
      <w:pPr>
        <w:spacing w:after="0"/>
        <w:rPr>
          <w:sz w:val="17"/>
        </w:rPr>
        <w:sectPr>
          <w:pgSz w:w="11910" w:h="16840"/>
          <w:pgMar w:top="1100" w:bottom="280" w:left="700" w:right="1020"/>
        </w:sectPr>
      </w:pPr>
    </w:p>
    <w:p>
      <w:pPr>
        <w:pStyle w:val="Heading3"/>
        <w:numPr>
          <w:ilvl w:val="1"/>
          <w:numId w:val="6"/>
        </w:numPr>
        <w:tabs>
          <w:tab w:pos="855" w:val="left" w:leader="none"/>
          <w:tab w:pos="856" w:val="left" w:leader="none"/>
        </w:tabs>
        <w:spacing w:line="273" w:lineRule="auto" w:before="35" w:after="0"/>
        <w:ind w:left="855" w:right="0" w:hanging="640"/>
        <w:jc w:val="left"/>
      </w:pPr>
      <w:r>
        <w:rPr/>
        <w:t>明确说明与如实告知</w:t>
      </w:r>
    </w:p>
    <w:p>
      <w:pPr>
        <w:pStyle w:val="BodyText"/>
        <w:spacing w:before="35"/>
        <w:ind w:left="215"/>
      </w:pPr>
      <w:r>
        <w:rPr/>
        <w:br w:type="column"/>
      </w:r>
      <w:r>
        <w:rPr/>
        <w:t>订立本合同时，我们应向您说明本合同的内容。</w:t>
      </w:r>
    </w:p>
    <w:p>
      <w:pPr>
        <w:pStyle w:val="BodyText"/>
        <w:spacing w:before="8"/>
        <w:ind w:left="0"/>
        <w:rPr>
          <w:sz w:val="26"/>
        </w:rPr>
      </w:pPr>
    </w:p>
    <w:p>
      <w:pPr>
        <w:pStyle w:val="BodyText"/>
        <w:spacing w:line="273" w:lineRule="auto" w:before="0"/>
        <w:ind w:left="215" w:right="119"/>
        <w:jc w:val="both"/>
      </w:pPr>
      <w:r>
        <w:rPr>
          <w:spacing w:val="-2"/>
        </w:rPr>
        <w:t>对保险条款中免除我们责任的条款，我们在订立合同时应当在投保单、保险单</w:t>
      </w:r>
      <w:r>
        <w:rPr>
          <w:spacing w:val="-4"/>
        </w:rPr>
        <w:t>或者其他保险凭证上作出足以引起您注意的提示，并对该条款的内容以书面或</w:t>
      </w:r>
      <w:r>
        <w:rPr>
          <w:spacing w:val="-12"/>
        </w:rPr>
        <w:t>者口头形式向您作出明确说明，未作提示或者明确说明的，该条款不产生效力。</w:t>
      </w:r>
    </w:p>
    <w:p>
      <w:pPr>
        <w:pStyle w:val="BodyText"/>
        <w:spacing w:before="5"/>
        <w:ind w:left="0"/>
        <w:rPr>
          <w:sz w:val="24"/>
        </w:rPr>
      </w:pPr>
    </w:p>
    <w:p>
      <w:pPr>
        <w:pStyle w:val="BodyText"/>
        <w:spacing w:before="0"/>
        <w:ind w:left="215"/>
      </w:pPr>
      <w:r>
        <w:rPr/>
        <w:t>我们就您和被保险人的有关情况提出询问，您应当如实告知。</w:t>
      </w:r>
    </w:p>
    <w:p>
      <w:pPr>
        <w:pStyle w:val="BodyText"/>
        <w:spacing w:before="8"/>
        <w:ind w:left="0"/>
        <w:rPr>
          <w:sz w:val="26"/>
        </w:rPr>
      </w:pPr>
    </w:p>
    <w:p>
      <w:pPr>
        <w:pStyle w:val="BodyText"/>
        <w:spacing w:line="273" w:lineRule="auto" w:before="0"/>
        <w:ind w:left="215" w:right="175"/>
      </w:pPr>
      <w:r>
        <w:rPr/>
        <w:t>如果您故意或者因重大过失未履行前款规定的如实告知义务，足以影响我们决定是否同意承保或者提高保险费率的，我们有权解除本合同。</w:t>
      </w:r>
    </w:p>
    <w:p>
      <w:pPr>
        <w:pStyle w:val="BodyText"/>
        <w:spacing w:before="5"/>
        <w:ind w:left="0"/>
        <w:rPr>
          <w:sz w:val="24"/>
        </w:rPr>
      </w:pPr>
    </w:p>
    <w:p>
      <w:pPr>
        <w:pStyle w:val="BodyText"/>
        <w:spacing w:line="273" w:lineRule="auto" w:before="0"/>
        <w:ind w:left="215" w:right="175"/>
      </w:pPr>
      <w:r>
        <w:rPr/>
        <w:t>如果您故意不履行如实告知义务，对于本合同解除前发生的保险事故，我们不承担给付保险金的责任，并不退还保险费。</w:t>
      </w:r>
    </w:p>
    <w:p>
      <w:pPr>
        <w:pStyle w:val="BodyText"/>
        <w:spacing w:before="5"/>
        <w:ind w:left="0"/>
        <w:rPr>
          <w:sz w:val="24"/>
        </w:rPr>
      </w:pPr>
    </w:p>
    <w:p>
      <w:pPr>
        <w:pStyle w:val="BodyText"/>
        <w:spacing w:line="273" w:lineRule="auto" w:before="0"/>
        <w:ind w:left="215" w:right="223"/>
        <w:jc w:val="both"/>
      </w:pPr>
      <w:r>
        <w:rPr>
          <w:spacing w:val="-2"/>
        </w:rPr>
        <w:t>如果您因重大过失未履行如实告知义务，对保险事故的发生有严重影响的，对</w:t>
      </w:r>
      <w:r>
        <w:rPr>
          <w:spacing w:val="-4"/>
        </w:rPr>
        <w:t>于本合同解除前发生的保险事故，我们不承担给付保险金的责任，但应当退还保险费。</w:t>
      </w:r>
    </w:p>
    <w:p>
      <w:pPr>
        <w:pStyle w:val="BodyText"/>
        <w:spacing w:before="5"/>
        <w:ind w:left="0"/>
        <w:rPr>
          <w:sz w:val="24"/>
        </w:rPr>
      </w:pPr>
    </w:p>
    <w:p>
      <w:pPr>
        <w:pStyle w:val="BodyText"/>
        <w:spacing w:line="273" w:lineRule="auto" w:before="0"/>
        <w:ind w:left="215" w:right="175"/>
      </w:pPr>
      <w:r>
        <w:rPr/>
        <w:t>我们在合同订立时已经知道您未如实告知的情况的，我们不得解除合同；发生保险事故的，我们承担给付保险金的责任。</w:t>
      </w:r>
    </w:p>
    <w:p>
      <w:pPr>
        <w:spacing w:after="0" w:line="273" w:lineRule="auto"/>
        <w:sectPr>
          <w:type w:val="continuous"/>
          <w:pgSz w:w="11910" w:h="16840"/>
          <w:pgMar w:top="500" w:bottom="280" w:left="700" w:right="1020"/>
          <w:cols w:num="2" w:equalWidth="0">
            <w:col w:w="2543" w:space="84"/>
            <w:col w:w="7563"/>
          </w:cols>
        </w:sectPr>
      </w:pPr>
    </w:p>
    <w:p>
      <w:pPr>
        <w:pStyle w:val="BodyText"/>
        <w:spacing w:before="9"/>
        <w:ind w:left="0"/>
      </w:pPr>
    </w:p>
    <w:p>
      <w:pPr>
        <w:spacing w:after="0"/>
        <w:sectPr>
          <w:type w:val="continuous"/>
          <w:pgSz w:w="11910" w:h="16840"/>
          <w:pgMar w:top="500" w:bottom="280" w:left="700" w:right="1020"/>
        </w:sectPr>
      </w:pPr>
    </w:p>
    <w:p>
      <w:pPr>
        <w:pStyle w:val="Heading3"/>
        <w:numPr>
          <w:ilvl w:val="1"/>
          <w:numId w:val="6"/>
        </w:numPr>
        <w:tabs>
          <w:tab w:pos="855" w:val="left" w:leader="none"/>
          <w:tab w:pos="856" w:val="left" w:leader="none"/>
        </w:tabs>
        <w:spacing w:line="273" w:lineRule="auto" w:before="36" w:after="0"/>
        <w:ind w:left="855" w:right="0" w:hanging="640"/>
        <w:jc w:val="left"/>
      </w:pPr>
      <w:r>
        <w:rPr/>
        <w:t>我们合同解除权的限制</w:t>
      </w:r>
    </w:p>
    <w:p>
      <w:pPr>
        <w:pStyle w:val="BodyText"/>
        <w:spacing w:line="273" w:lineRule="auto" w:before="36"/>
        <w:ind w:left="215" w:right="306"/>
      </w:pPr>
      <w:r>
        <w:rPr/>
        <w:br w:type="column"/>
      </w:r>
      <w:r>
        <w:rPr>
          <w:spacing w:val="-3"/>
        </w:rPr>
        <w:t>前条规定的合同解除权，自我们知道有解除事由之日起，超过 </w:t>
      </w:r>
      <w:r>
        <w:rPr/>
        <w:t>30</w:t>
      </w:r>
      <w:r>
        <w:rPr>
          <w:spacing w:val="-12"/>
        </w:rPr>
        <w:t> 日不行使而消灭。</w:t>
      </w:r>
    </w:p>
    <w:p>
      <w:pPr>
        <w:spacing w:after="0" w:line="273" w:lineRule="auto"/>
        <w:sectPr>
          <w:type w:val="continuous"/>
          <w:pgSz w:w="11910" w:h="16840"/>
          <w:pgMar w:top="500" w:bottom="280" w:left="700" w:right="1020"/>
          <w:cols w:num="2" w:equalWidth="0">
            <w:col w:w="2543" w:space="84"/>
            <w:col w:w="7563"/>
          </w:cols>
        </w:sectPr>
      </w:pPr>
    </w:p>
    <w:p>
      <w:pPr>
        <w:pStyle w:val="BodyText"/>
        <w:spacing w:before="9"/>
        <w:ind w:left="0"/>
      </w:pPr>
    </w:p>
    <w:p>
      <w:pPr>
        <w:pStyle w:val="ListParagraph"/>
        <w:numPr>
          <w:ilvl w:val="1"/>
          <w:numId w:val="6"/>
        </w:numPr>
        <w:tabs>
          <w:tab w:pos="855" w:val="left" w:leader="none"/>
          <w:tab w:pos="856" w:val="left" w:leader="none"/>
          <w:tab w:pos="2842" w:val="left" w:leader="none"/>
        </w:tabs>
        <w:spacing w:line="273" w:lineRule="auto" w:before="36" w:after="0"/>
        <w:ind w:left="2842" w:right="224" w:hanging="2627"/>
        <w:jc w:val="left"/>
        <w:rPr>
          <w:sz w:val="21"/>
        </w:rPr>
      </w:pPr>
      <w:r>
        <w:rPr>
          <w:b/>
          <w:sz w:val="21"/>
        </w:rPr>
        <w:t>年龄性别错误</w:t>
        <w:tab/>
      </w:r>
      <w:r>
        <w:rPr>
          <w:sz w:val="21"/>
        </w:rPr>
        <w:t>您在申请投保时</w:t>
      </w:r>
      <w:r>
        <w:rPr>
          <w:spacing w:val="-25"/>
          <w:sz w:val="21"/>
        </w:rPr>
        <w:t>，</w:t>
      </w:r>
      <w:r>
        <w:rPr>
          <w:sz w:val="21"/>
        </w:rPr>
        <w:t>应将与有效身份证件相符的被保险人的出生日期和性别在投保单上填明，如果发生错误按照下列方式办理：</w:t>
      </w:r>
    </w:p>
    <w:p>
      <w:pPr>
        <w:pStyle w:val="BodyText"/>
        <w:spacing w:line="273" w:lineRule="auto" w:before="7"/>
        <w:ind w:left="3363" w:right="222" w:hanging="521"/>
        <w:jc w:val="both"/>
      </w:pPr>
      <w:r>
        <w:rPr/>
        <w:t>（1）您申报的被保险人年龄不真实，并且真实年龄不符合本合同约定的投保年龄限制的，在保险事故发生之前我们有权解除合同，并向您退还本合同的现金价值。我们行使合同解除权适用“我们合同解除权的限制”的规定。</w:t>
      </w:r>
    </w:p>
    <w:p>
      <w:pPr>
        <w:pStyle w:val="BodyText"/>
        <w:spacing w:line="273" w:lineRule="auto" w:before="7"/>
        <w:ind w:left="3363" w:right="222"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3367" w:right="305" w:hanging="526"/>
        <w:jc w:val="both"/>
      </w:pPr>
      <w:r>
        <w:rPr/>
        <w:t>（3）您申报的被保险人年龄或性别不真实，致使您实付保险费多于应付保险费的，我们会将多收的保险费退还给您。</w:t>
      </w:r>
    </w:p>
    <w:p>
      <w:pPr>
        <w:pStyle w:val="BodyText"/>
        <w:spacing w:before="4"/>
        <w:ind w:left="0"/>
        <w:rPr>
          <w:sz w:val="24"/>
        </w:rPr>
      </w:pPr>
    </w:p>
    <w:p>
      <w:pPr>
        <w:pStyle w:val="ListParagraph"/>
        <w:numPr>
          <w:ilvl w:val="1"/>
          <w:numId w:val="6"/>
        </w:numPr>
        <w:tabs>
          <w:tab w:pos="855" w:val="left" w:leader="none"/>
          <w:tab w:pos="856" w:val="left" w:leader="none"/>
          <w:tab w:pos="2842" w:val="left" w:leader="none"/>
        </w:tabs>
        <w:spacing w:line="273" w:lineRule="auto" w:before="1" w:after="0"/>
        <w:ind w:left="2842" w:right="223" w:hanging="2627"/>
        <w:jc w:val="left"/>
        <w:rPr>
          <w:sz w:val="21"/>
        </w:rPr>
      </w:pPr>
      <w:r>
        <w:rPr>
          <w:b/>
          <w:sz w:val="21"/>
        </w:rPr>
        <w:t>合同内容变更</w:t>
        <w:tab/>
      </w:r>
      <w:r>
        <w:rPr>
          <w:sz w:val="21"/>
        </w:rPr>
        <w:t>在本合同有效期内</w:t>
      </w:r>
      <w:r>
        <w:rPr>
          <w:spacing w:val="-9"/>
          <w:sz w:val="21"/>
        </w:rPr>
        <w:t>，</w:t>
      </w:r>
      <w:r>
        <w:rPr>
          <w:sz w:val="21"/>
        </w:rPr>
        <w:t>经您与我们协商一致</w:t>
      </w:r>
      <w:r>
        <w:rPr>
          <w:spacing w:val="-9"/>
          <w:sz w:val="21"/>
        </w:rPr>
        <w:t>，</w:t>
      </w:r>
      <w:r>
        <w:rPr>
          <w:sz w:val="21"/>
        </w:rPr>
        <w:t>可以变更本合同内容</w:t>
      </w:r>
      <w:r>
        <w:rPr>
          <w:spacing w:val="-9"/>
          <w:sz w:val="21"/>
        </w:rPr>
        <w:t>。</w:t>
      </w:r>
      <w:r>
        <w:rPr>
          <w:sz w:val="21"/>
        </w:rPr>
        <w:t>变更本合同的</w:t>
      </w:r>
      <w:r>
        <w:rPr>
          <w:spacing w:val="-12"/>
          <w:sz w:val="21"/>
        </w:rPr>
        <w:t>，</w:t>
      </w:r>
      <w:r>
        <w:rPr>
          <w:sz w:val="21"/>
        </w:rPr>
        <w:t>应当由我们在原保险单或其它保险凭证上批注或附贴批单</w:t>
      </w:r>
      <w:r>
        <w:rPr>
          <w:spacing w:val="-12"/>
          <w:sz w:val="21"/>
        </w:rPr>
        <w:t>，</w:t>
      </w:r>
      <w:r>
        <w:rPr>
          <w:sz w:val="21"/>
        </w:rPr>
        <w:t>或由您与我们</w:t>
      </w:r>
    </w:p>
    <w:p>
      <w:pPr>
        <w:spacing w:after="0" w:line="273" w:lineRule="auto"/>
        <w:jc w:val="left"/>
        <w:rPr>
          <w:sz w:val="21"/>
        </w:rPr>
        <w:sectPr>
          <w:type w:val="continuous"/>
          <w:pgSz w:w="11910" w:h="16840"/>
          <w:pgMar w:top="500" w:bottom="280" w:left="700" w:right="1020"/>
        </w:sectPr>
      </w:pPr>
    </w:p>
    <w:p>
      <w:pPr>
        <w:pStyle w:val="BodyText"/>
        <w:spacing w:before="19"/>
        <w:ind w:left="2842"/>
      </w:pPr>
      <w:r>
        <w:rPr/>
        <w:t>订立书面的变更协议。</w:t>
      </w:r>
    </w:p>
    <w:p>
      <w:pPr>
        <w:pStyle w:val="BodyText"/>
        <w:spacing w:before="8"/>
        <w:ind w:left="0"/>
        <w:rPr>
          <w:sz w:val="26"/>
        </w:rPr>
      </w:pPr>
    </w:p>
    <w:p>
      <w:pPr>
        <w:pStyle w:val="ListParagraph"/>
        <w:numPr>
          <w:ilvl w:val="1"/>
          <w:numId w:val="6"/>
        </w:numPr>
        <w:tabs>
          <w:tab w:pos="856" w:val="left" w:leader="none"/>
        </w:tabs>
        <w:spacing w:line="273" w:lineRule="auto" w:before="1" w:after="0"/>
        <w:ind w:left="2842" w:right="224" w:hanging="2627"/>
        <w:jc w:val="both"/>
        <w:rPr>
          <w:sz w:val="21"/>
        </w:rPr>
      </w:pPr>
      <w:r>
        <w:rPr>
          <w:b/>
          <w:spacing w:val="6"/>
          <w:sz w:val="21"/>
        </w:rPr>
        <w:t>联系方式变更     </w:t>
      </w:r>
      <w:r>
        <w:rPr>
          <w:spacing w:val="-3"/>
          <w:sz w:val="21"/>
        </w:rPr>
        <w:t>为了保障您的合法权益，您的住所、通讯地址或电话等联系方式变更时，请及</w:t>
      </w:r>
      <w:r>
        <w:rPr>
          <w:spacing w:val="-5"/>
          <w:sz w:val="21"/>
        </w:rPr>
        <w:t>时以书面形式或双方认可的其他形式通知我们。若您未以书面形式或双方认可</w:t>
      </w:r>
      <w:r>
        <w:rPr>
          <w:spacing w:val="-7"/>
          <w:sz w:val="21"/>
        </w:rPr>
        <w:t>的其他形式通知我们，我们按本合同载明的最后住所或通讯地址发送的有关通知，均视为已送达给您。</w:t>
      </w:r>
    </w:p>
    <w:p>
      <w:pPr>
        <w:pStyle w:val="BodyText"/>
        <w:spacing w:before="5"/>
        <w:ind w:left="0"/>
        <w:rPr>
          <w:sz w:val="24"/>
        </w:rPr>
      </w:pPr>
    </w:p>
    <w:p>
      <w:pPr>
        <w:pStyle w:val="ListParagraph"/>
        <w:numPr>
          <w:ilvl w:val="1"/>
          <w:numId w:val="6"/>
        </w:numPr>
        <w:tabs>
          <w:tab w:pos="854" w:val="left" w:leader="none"/>
          <w:tab w:pos="855" w:val="left" w:leader="none"/>
          <w:tab w:pos="2842" w:val="left" w:leader="none"/>
        </w:tabs>
        <w:spacing w:line="240" w:lineRule="auto" w:before="1" w:after="0"/>
        <w:ind w:left="854" w:right="0" w:hanging="639"/>
        <w:jc w:val="left"/>
        <w:rPr>
          <w:sz w:val="21"/>
        </w:rPr>
      </w:pPr>
      <w:r>
        <w:rPr>
          <w:b/>
          <w:sz w:val="21"/>
        </w:rPr>
        <w:t>争议处理</w:t>
        <w:tab/>
      </w:r>
      <w:r>
        <w:rPr>
          <w:sz w:val="21"/>
        </w:rPr>
        <w:t>合同争议解决方式由当事人在合同约定时从下列两种方式中选择一种：</w:t>
      </w:r>
    </w:p>
    <w:p>
      <w:pPr>
        <w:pStyle w:val="BodyText"/>
        <w:tabs>
          <w:tab w:pos="9959" w:val="left" w:leader="none"/>
        </w:tabs>
        <w:spacing w:line="273" w:lineRule="auto"/>
        <w:ind w:left="3363" w:right="222" w:hanging="521"/>
      </w:pPr>
      <w:r>
        <w:rPr/>
        <w:t>（1）因履行本合同发生的争议，由当事人协商解决，协商不成的，提交_</w:t>
      </w:r>
      <w:r>
        <w:rPr>
          <w:u w:val="single"/>
        </w:rPr>
        <w:tab/>
        <w:t> </w:t>
      </w:r>
      <w:r>
        <w:rPr/>
        <w:t>仲裁委员会仲裁；</w:t>
      </w:r>
    </w:p>
    <w:p>
      <w:pPr>
        <w:pStyle w:val="BodyText"/>
        <w:spacing w:line="273" w:lineRule="auto" w:before="7"/>
        <w:ind w:left="3368" w:right="305" w:hanging="526"/>
      </w:pPr>
      <w:r>
        <w:rPr/>
        <w:t>（2）因履行本合同发生的争议，由当事人协商解决，协商不成的，依法向人民法院起诉。</w:t>
      </w:r>
    </w:p>
    <w:p>
      <w:pPr>
        <w:pStyle w:val="BodyText"/>
        <w:spacing w:before="0"/>
        <w:ind w:left="0"/>
        <w:rPr>
          <w:sz w:val="20"/>
        </w:rPr>
      </w:pPr>
    </w:p>
    <w:p>
      <w:pPr>
        <w:pStyle w:val="BodyText"/>
        <w:spacing w:before="3"/>
        <w:ind w:left="0"/>
        <w:rPr>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8"/>
        <w:gridCol w:w="7585"/>
      </w:tblGrid>
      <w:tr>
        <w:trPr>
          <w:trHeight w:val="522" w:hRule="atLeast"/>
        </w:trPr>
        <w:tc>
          <w:tcPr>
            <w:tcW w:w="606" w:type="dxa"/>
            <w:tcBorders>
              <w:bottom w:val="single" w:sz="8" w:space="0" w:color="000000"/>
            </w:tcBorders>
          </w:tcPr>
          <w:p>
            <w:pPr>
              <w:pStyle w:val="TableParagraph"/>
              <w:spacing w:line="422" w:lineRule="exact"/>
              <w:ind w:left="107"/>
              <w:rPr>
                <w:rFonts w:ascii="Arial" w:hAnsi="Arial"/>
                <w:b/>
                <w:sz w:val="40"/>
              </w:rPr>
            </w:pPr>
            <w:r>
              <w:rPr>
                <w:rFonts w:ascii="Arial" w:hAnsi="Arial"/>
                <w:b/>
                <w:w w:val="118"/>
                <w:sz w:val="40"/>
              </w:rPr>
              <w:t></w:t>
            </w:r>
          </w:p>
        </w:tc>
        <w:tc>
          <w:tcPr>
            <w:tcW w:w="1768" w:type="dxa"/>
            <w:tcBorders>
              <w:bottom w:val="single" w:sz="8" w:space="0" w:color="000000"/>
            </w:tcBorders>
          </w:tcPr>
          <w:p>
            <w:pPr>
              <w:pStyle w:val="TableParagraph"/>
              <w:spacing w:before="16"/>
              <w:ind w:left="141"/>
              <w:rPr>
                <w:b/>
                <w:sz w:val="24"/>
              </w:rPr>
            </w:pPr>
            <w:r>
              <w:rPr>
                <w:b/>
                <w:w w:val="95"/>
                <w:sz w:val="24"/>
              </w:rPr>
              <w:t>释义</w:t>
            </w:r>
          </w:p>
        </w:tc>
        <w:tc>
          <w:tcPr>
            <w:tcW w:w="7585" w:type="dxa"/>
            <w:tcBorders>
              <w:bottom w:val="single" w:sz="8" w:space="0" w:color="000000"/>
            </w:tcBorders>
          </w:tcPr>
          <w:p>
            <w:pPr>
              <w:pStyle w:val="TableParagraph"/>
              <w:rPr>
                <w:rFonts w:ascii="Times New Roman"/>
                <w:sz w:val="20"/>
              </w:rPr>
            </w:pPr>
          </w:p>
        </w:tc>
      </w:tr>
      <w:tr>
        <w:trPr>
          <w:trHeight w:val="1091" w:hRule="atLeast"/>
        </w:trPr>
        <w:tc>
          <w:tcPr>
            <w:tcW w:w="606" w:type="dxa"/>
            <w:tcBorders>
              <w:top w:val="single" w:sz="8" w:space="0" w:color="000000"/>
            </w:tcBorders>
          </w:tcPr>
          <w:p>
            <w:pPr>
              <w:pStyle w:val="TableParagraph"/>
              <w:spacing w:before="10"/>
              <w:rPr>
                <w:sz w:val="22"/>
              </w:rPr>
            </w:pPr>
          </w:p>
          <w:p>
            <w:pPr>
              <w:pStyle w:val="TableParagraph"/>
              <w:ind w:left="107"/>
              <w:rPr>
                <w:b/>
                <w:sz w:val="21"/>
              </w:rPr>
            </w:pPr>
            <w:r>
              <w:rPr>
                <w:b/>
                <w:sz w:val="21"/>
              </w:rPr>
              <w:t>7.1</w:t>
            </w:r>
          </w:p>
        </w:tc>
        <w:tc>
          <w:tcPr>
            <w:tcW w:w="1768" w:type="dxa"/>
            <w:tcBorders>
              <w:top w:val="single" w:sz="8" w:space="0" w:color="000000"/>
            </w:tcBorders>
          </w:tcPr>
          <w:p>
            <w:pPr>
              <w:pStyle w:val="TableParagraph"/>
              <w:spacing w:before="10"/>
              <w:rPr>
                <w:sz w:val="22"/>
              </w:rPr>
            </w:pPr>
          </w:p>
          <w:p>
            <w:pPr>
              <w:pStyle w:val="TableParagraph"/>
              <w:ind w:left="141"/>
              <w:rPr>
                <w:b/>
                <w:sz w:val="21"/>
              </w:rPr>
            </w:pPr>
            <w:r>
              <w:rPr>
                <w:b/>
                <w:sz w:val="21"/>
              </w:rPr>
              <w:t>周岁</w:t>
            </w:r>
          </w:p>
        </w:tc>
        <w:tc>
          <w:tcPr>
            <w:tcW w:w="7585" w:type="dxa"/>
            <w:tcBorders>
              <w:top w:val="single" w:sz="8" w:space="0" w:color="000000"/>
            </w:tcBorders>
          </w:tcPr>
          <w:p>
            <w:pPr>
              <w:pStyle w:val="TableParagraph"/>
              <w:spacing w:before="10"/>
              <w:rPr>
                <w:sz w:val="22"/>
              </w:rPr>
            </w:pPr>
          </w:p>
          <w:p>
            <w:pPr>
              <w:pStyle w:val="TableParagraph"/>
              <w:spacing w:line="273" w:lineRule="auto"/>
              <w:ind w:left="360" w:right="55"/>
              <w:rPr>
                <w:sz w:val="21"/>
              </w:rPr>
            </w:pPr>
            <w:r>
              <w:rPr>
                <w:sz w:val="21"/>
              </w:rPr>
              <w:t>指按有效身份证件中记载的出生日期计算的年龄，自出生之日起为零周岁，每经过一年增加一岁，不足一年的不计。</w:t>
            </w:r>
          </w:p>
        </w:tc>
      </w:tr>
      <w:tr>
        <w:trPr>
          <w:trHeight w:val="935" w:hRule="atLeast"/>
        </w:trPr>
        <w:tc>
          <w:tcPr>
            <w:tcW w:w="606" w:type="dxa"/>
          </w:tcPr>
          <w:p>
            <w:pPr>
              <w:pStyle w:val="TableParagraph"/>
              <w:spacing w:before="142"/>
              <w:ind w:left="107"/>
              <w:rPr>
                <w:b/>
                <w:sz w:val="21"/>
              </w:rPr>
            </w:pPr>
            <w:r>
              <w:rPr>
                <w:b/>
                <w:sz w:val="21"/>
              </w:rPr>
              <w:t>7.2</w:t>
            </w:r>
          </w:p>
        </w:tc>
        <w:tc>
          <w:tcPr>
            <w:tcW w:w="1768" w:type="dxa"/>
          </w:tcPr>
          <w:p>
            <w:pPr>
              <w:pStyle w:val="TableParagraph"/>
              <w:spacing w:before="142"/>
              <w:ind w:left="140"/>
              <w:rPr>
                <w:b/>
                <w:sz w:val="21"/>
              </w:rPr>
            </w:pPr>
            <w:r>
              <w:rPr>
                <w:b/>
                <w:w w:val="95"/>
                <w:sz w:val="21"/>
              </w:rPr>
              <w:t>连续投保</w:t>
            </w:r>
          </w:p>
        </w:tc>
        <w:tc>
          <w:tcPr>
            <w:tcW w:w="7585" w:type="dxa"/>
          </w:tcPr>
          <w:p>
            <w:pPr>
              <w:pStyle w:val="TableParagraph"/>
              <w:spacing w:line="273" w:lineRule="auto" w:before="142"/>
              <w:ind w:left="360" w:right="55"/>
              <w:rPr>
                <w:sz w:val="21"/>
              </w:rPr>
            </w:pPr>
            <w:r>
              <w:rPr>
                <w:sz w:val="21"/>
              </w:rPr>
              <w:t>指投保人为被保险人续保同一险种，且续保保单的生效日为原保单到期日的次日。</w:t>
            </w:r>
          </w:p>
        </w:tc>
      </w:tr>
      <w:tr>
        <w:trPr>
          <w:trHeight w:val="623" w:hRule="atLeast"/>
        </w:trPr>
        <w:tc>
          <w:tcPr>
            <w:tcW w:w="606" w:type="dxa"/>
          </w:tcPr>
          <w:p>
            <w:pPr>
              <w:pStyle w:val="TableParagraph"/>
              <w:spacing w:before="142"/>
              <w:ind w:left="107"/>
              <w:rPr>
                <w:b/>
                <w:sz w:val="21"/>
              </w:rPr>
            </w:pPr>
            <w:r>
              <w:rPr>
                <w:b/>
                <w:sz w:val="21"/>
              </w:rPr>
              <w:t>7.3</w:t>
            </w:r>
          </w:p>
        </w:tc>
        <w:tc>
          <w:tcPr>
            <w:tcW w:w="1768" w:type="dxa"/>
          </w:tcPr>
          <w:p>
            <w:pPr>
              <w:pStyle w:val="TableParagraph"/>
              <w:spacing w:before="142"/>
              <w:ind w:left="141"/>
              <w:rPr>
                <w:b/>
                <w:sz w:val="21"/>
              </w:rPr>
            </w:pPr>
            <w:r>
              <w:rPr>
                <w:b/>
                <w:w w:val="95"/>
                <w:sz w:val="21"/>
              </w:rPr>
              <w:t>意外伤害事故</w:t>
            </w:r>
          </w:p>
        </w:tc>
        <w:tc>
          <w:tcPr>
            <w:tcW w:w="7585" w:type="dxa"/>
          </w:tcPr>
          <w:p>
            <w:pPr>
              <w:pStyle w:val="TableParagraph"/>
              <w:spacing w:before="142"/>
              <w:ind w:left="360"/>
              <w:rPr>
                <w:sz w:val="21"/>
              </w:rPr>
            </w:pPr>
            <w:r>
              <w:rPr>
                <w:spacing w:val="-13"/>
                <w:sz w:val="21"/>
              </w:rPr>
              <w:t>指外来的、非本意的、突然的、非疾病的使被保险人身体受到伤害的客观事件。</w:t>
            </w:r>
          </w:p>
        </w:tc>
      </w:tr>
      <w:tr>
        <w:trPr>
          <w:trHeight w:val="935" w:hRule="atLeast"/>
        </w:trPr>
        <w:tc>
          <w:tcPr>
            <w:tcW w:w="606" w:type="dxa"/>
          </w:tcPr>
          <w:p>
            <w:pPr>
              <w:pStyle w:val="TableParagraph"/>
              <w:spacing w:before="142"/>
              <w:ind w:left="107"/>
              <w:rPr>
                <w:b/>
                <w:sz w:val="21"/>
              </w:rPr>
            </w:pPr>
            <w:r>
              <w:rPr>
                <w:b/>
                <w:sz w:val="21"/>
              </w:rPr>
              <w:t>7.4</w:t>
            </w:r>
          </w:p>
        </w:tc>
        <w:tc>
          <w:tcPr>
            <w:tcW w:w="1768" w:type="dxa"/>
          </w:tcPr>
          <w:p>
            <w:pPr>
              <w:pStyle w:val="TableParagraph"/>
              <w:spacing w:before="142"/>
              <w:ind w:left="141"/>
              <w:rPr>
                <w:b/>
                <w:sz w:val="21"/>
              </w:rPr>
            </w:pPr>
            <w:r>
              <w:rPr>
                <w:b/>
                <w:sz w:val="21"/>
              </w:rPr>
              <w:t>重大疾病</w:t>
            </w:r>
          </w:p>
        </w:tc>
        <w:tc>
          <w:tcPr>
            <w:tcW w:w="7585" w:type="dxa"/>
          </w:tcPr>
          <w:p>
            <w:pPr>
              <w:pStyle w:val="TableParagraph"/>
              <w:spacing w:line="273" w:lineRule="auto" w:before="142"/>
              <w:ind w:left="360" w:right="188"/>
              <w:rPr>
                <w:sz w:val="21"/>
              </w:rPr>
            </w:pPr>
            <w:r>
              <w:rPr>
                <w:spacing w:val="-22"/>
                <w:sz w:val="21"/>
              </w:rPr>
              <w:t>以下 </w:t>
            </w:r>
            <w:r>
              <w:rPr>
                <w:sz w:val="21"/>
              </w:rPr>
              <w:t>25</w:t>
            </w:r>
            <w:r>
              <w:rPr>
                <w:spacing w:val="-9"/>
                <w:sz w:val="21"/>
              </w:rPr>
              <w:t> 种重大疾病定义是由中国保险行业协会与中国医师协会共同制定的重大疾病保险的疾病定义。</w:t>
            </w:r>
          </w:p>
        </w:tc>
      </w:tr>
      <w:tr>
        <w:trPr>
          <w:trHeight w:val="416" w:hRule="atLeast"/>
        </w:trPr>
        <w:tc>
          <w:tcPr>
            <w:tcW w:w="606" w:type="dxa"/>
          </w:tcPr>
          <w:p>
            <w:pPr>
              <w:pStyle w:val="TableParagraph"/>
              <w:rPr>
                <w:rFonts w:ascii="Times New Roman"/>
                <w:sz w:val="20"/>
              </w:rPr>
            </w:pPr>
          </w:p>
        </w:tc>
        <w:tc>
          <w:tcPr>
            <w:tcW w:w="1768" w:type="dxa"/>
          </w:tcPr>
          <w:p>
            <w:pPr>
              <w:pStyle w:val="TableParagraph"/>
              <w:rPr>
                <w:rFonts w:ascii="Times New Roman"/>
                <w:sz w:val="20"/>
              </w:rPr>
            </w:pPr>
          </w:p>
        </w:tc>
        <w:tc>
          <w:tcPr>
            <w:tcW w:w="7585" w:type="dxa"/>
          </w:tcPr>
          <w:p>
            <w:pPr>
              <w:pStyle w:val="TableParagraph"/>
              <w:spacing w:line="255" w:lineRule="exact" w:before="142"/>
              <w:ind w:left="360"/>
              <w:rPr>
                <w:b/>
                <w:sz w:val="21"/>
              </w:rPr>
            </w:pPr>
            <w:r>
              <w:rPr>
                <w:b/>
                <w:w w:val="95"/>
                <w:sz w:val="21"/>
              </w:rPr>
              <w:t>（一）恶性肿瘤</w:t>
            </w:r>
          </w:p>
        </w:tc>
      </w:tr>
    </w:tbl>
    <w:p>
      <w:pPr>
        <w:pStyle w:val="BodyText"/>
        <w:spacing w:line="273" w:lineRule="auto"/>
        <w:ind w:left="2842" w:right="119"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2"/>
      </w:pPr>
      <w:r>
        <w:rPr/>
        <w:t>（ICD-10）的恶性肿瘤范畴。</w:t>
      </w:r>
    </w:p>
    <w:p>
      <w:pPr>
        <w:pStyle w:val="BodyText"/>
        <w:spacing w:before="36"/>
        <w:ind w:left="3367"/>
      </w:pPr>
      <w:r>
        <w:rPr/>
        <w:t>下列疾病不在保障范围内：</w:t>
      </w:r>
    </w:p>
    <w:p>
      <w:pPr>
        <w:pStyle w:val="BodyText"/>
        <w:spacing w:before="36"/>
        <w:ind w:left="2842"/>
      </w:pPr>
      <w:r>
        <w:rPr/>
        <w:t>（1）原位癌；</w:t>
      </w:r>
    </w:p>
    <w:p>
      <w:pPr>
        <w:pStyle w:val="BodyText"/>
        <w:spacing w:before="36"/>
        <w:ind w:left="2842"/>
      </w:pPr>
      <w:r>
        <w:rPr/>
        <w:t>（2）相当于Binet 分期方案 A 期程度的慢性淋巴细胞白血病；</w:t>
      </w:r>
    </w:p>
    <w:p>
      <w:pPr>
        <w:pStyle w:val="BodyText"/>
        <w:spacing w:before="36"/>
        <w:ind w:left="2842"/>
      </w:pPr>
      <w:r>
        <w:rPr/>
        <w:t>（3）相当于Ann Arbor 分期方案 I 期程度的何杰金氏病；</w:t>
      </w:r>
    </w:p>
    <w:p>
      <w:pPr>
        <w:pStyle w:val="BodyText"/>
        <w:spacing w:before="36"/>
        <w:ind w:left="2842"/>
      </w:pPr>
      <w:r>
        <w:rPr/>
        <w:t>（4）</w:t>
      </w:r>
      <w:r>
        <w:rPr>
          <w:spacing w:val="-1"/>
        </w:rPr>
        <w:t>皮肤癌</w:t>
      </w:r>
      <w:r>
        <w:rPr/>
        <w:t>（不包括恶性黑色素瘤及已发生转移的皮肤癌</w:t>
      </w:r>
      <w:r>
        <w:rPr>
          <w:spacing w:val="-106"/>
        </w:rPr>
        <w:t>）</w:t>
      </w:r>
      <w:r>
        <w:rPr/>
        <w:t>；</w:t>
      </w:r>
    </w:p>
    <w:p>
      <w:pPr>
        <w:pStyle w:val="BodyText"/>
        <w:spacing w:before="36"/>
        <w:ind w:left="2842"/>
      </w:pPr>
      <w:r>
        <w:rPr/>
        <w:t>（5）TNM 分期为 T1N0M0 期或更轻分期的前列腺癌；</w:t>
      </w:r>
    </w:p>
    <w:p>
      <w:pPr>
        <w:pStyle w:val="BodyText"/>
        <w:spacing w:before="36"/>
        <w:ind w:left="2842"/>
      </w:pPr>
      <w:r>
        <w:rPr/>
        <w:t>（6）感染艾滋病病毒或患艾滋病期间所患恶性肿瘤。</w:t>
      </w:r>
    </w:p>
    <w:p>
      <w:pPr>
        <w:pStyle w:val="BodyText"/>
        <w:spacing w:before="8"/>
        <w:ind w:left="0"/>
        <w:rPr>
          <w:sz w:val="26"/>
        </w:rPr>
      </w:pPr>
    </w:p>
    <w:p>
      <w:pPr>
        <w:pStyle w:val="Heading3"/>
        <w:ind w:left="2842"/>
      </w:pPr>
      <w:r>
        <w:rPr>
          <w:w w:val="95"/>
        </w:rPr>
        <w:t>（二）急性心肌梗塞</w:t>
      </w:r>
    </w:p>
    <w:p>
      <w:pPr>
        <w:pStyle w:val="BodyText"/>
        <w:spacing w:line="273" w:lineRule="auto"/>
        <w:ind w:left="2842" w:right="170" w:firstLine="431"/>
      </w:pPr>
      <w:r>
        <w:rPr/>
        <w:t>指因冠状动脉阻塞导致的相应区域供血不足造成部分心肌坏死。须满足下列至少三项条件：</w:t>
      </w:r>
    </w:p>
    <w:p>
      <w:pPr>
        <w:pStyle w:val="BodyText"/>
        <w:spacing w:before="8"/>
        <w:ind w:left="2842"/>
      </w:pPr>
      <w:r>
        <w:rPr/>
        <w:t>（1）典型临床表现，例如急性胸痛等；</w:t>
      </w:r>
    </w:p>
    <w:p>
      <w:pPr>
        <w:pStyle w:val="BodyText"/>
        <w:ind w:left="2842"/>
      </w:pPr>
      <w:r>
        <w:rPr/>
        <w:t>（2）新近的心电图改变提示急性心肌梗塞；</w:t>
      </w:r>
    </w:p>
    <w:p>
      <w:pPr>
        <w:pStyle w:val="BodyText"/>
        <w:ind w:left="2842"/>
      </w:pPr>
      <w:r>
        <w:rPr/>
        <w:t>（3）心肌酶或肌钙蛋白有诊断意义的升高，或呈符合急性心肌梗塞的动态性</w:t>
      </w:r>
    </w:p>
    <w:p>
      <w:pPr>
        <w:spacing w:after="0"/>
        <w:sectPr>
          <w:pgSz w:w="11910" w:h="16840"/>
          <w:pgMar w:top="1100" w:bottom="280" w:left="700" w:right="1020"/>
        </w:sectPr>
      </w:pPr>
    </w:p>
    <w:p>
      <w:pPr>
        <w:pStyle w:val="BodyText"/>
        <w:spacing w:before="19"/>
      </w:pPr>
      <w:r>
        <w:rPr/>
        <w:t>变化；</w:t>
      </w:r>
    </w:p>
    <w:p>
      <w:pPr>
        <w:pStyle w:val="BodyText"/>
      </w:pPr>
      <w:r>
        <w:rPr>
          <w:spacing w:val="-9"/>
        </w:rPr>
        <w:t>（4）</w:t>
      </w:r>
      <w:r>
        <w:rPr>
          <w:spacing w:val="-19"/>
        </w:rPr>
        <w:t>发病 </w:t>
      </w:r>
      <w:r>
        <w:rPr/>
        <w:t>90</w:t>
      </w:r>
      <w:r>
        <w:rPr>
          <w:spacing w:val="-12"/>
        </w:rPr>
        <w:t> 天后，经检查证实左室功能降低的，如左心室射血分数低于 </w:t>
      </w:r>
      <w:r>
        <w:rPr/>
        <w:t>50%。</w:t>
      </w:r>
    </w:p>
    <w:p>
      <w:pPr>
        <w:pStyle w:val="BodyText"/>
        <w:spacing w:before="8"/>
        <w:ind w:left="0"/>
        <w:rPr>
          <w:sz w:val="26"/>
        </w:rPr>
      </w:pPr>
    </w:p>
    <w:p>
      <w:pPr>
        <w:pStyle w:val="Heading3"/>
        <w:spacing w:before="1"/>
      </w:pPr>
      <w:r>
        <w:rPr>
          <w:w w:val="95"/>
        </w:rPr>
        <w:t>（三）脑中风后遗症</w:t>
      </w:r>
    </w:p>
    <w:p>
      <w:pPr>
        <w:pStyle w:val="BodyText"/>
        <w:spacing w:line="273" w:lineRule="auto"/>
        <w:ind w:right="224"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22"/>
      </w:pPr>
      <w:r>
        <w:rPr/>
        <w:t>（3）自主生活能力完全丧失，无法独立完成六项基本日常生活活动中的三项或三项以上。</w:t>
      </w:r>
    </w:p>
    <w:p>
      <w:pPr>
        <w:pStyle w:val="BodyText"/>
        <w:spacing w:before="5"/>
        <w:ind w:left="0"/>
        <w:rPr>
          <w:sz w:val="24"/>
        </w:rPr>
      </w:pPr>
    </w:p>
    <w:p>
      <w:pPr>
        <w:pStyle w:val="Heading3"/>
      </w:pPr>
      <w:r>
        <w:rPr>
          <w:w w:val="95"/>
        </w:rPr>
        <w:t>（四）重大器官移植术或造血干细胞移植术</w:t>
      </w:r>
    </w:p>
    <w:p>
      <w:pPr>
        <w:pStyle w:val="BodyText"/>
        <w:spacing w:line="273" w:lineRule="auto"/>
        <w:ind w:right="225" w:firstLine="431"/>
        <w:jc w:val="both"/>
      </w:pPr>
      <w:r>
        <w:rPr>
          <w:spacing w:val="-5"/>
        </w:rPr>
        <w:t>重大器官移植术，指因相应器官功能衰竭，已经实施了肾脏、肝脏、心脏或肺脏的异体移植手术。</w:t>
      </w:r>
    </w:p>
    <w:p>
      <w:pPr>
        <w:pStyle w:val="BodyText"/>
        <w:spacing w:line="273" w:lineRule="auto" w:before="8"/>
        <w:ind w:right="224"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ind w:left="0"/>
        <w:rPr>
          <w:sz w:val="24"/>
        </w:rPr>
      </w:pPr>
    </w:p>
    <w:p>
      <w:pPr>
        <w:pStyle w:val="Heading3"/>
        <w:spacing w:before="1"/>
      </w:pPr>
      <w:r>
        <w:rPr>
          <w:w w:val="95"/>
        </w:rPr>
        <w:t>（五）冠状动脉搭桥术</w:t>
      </w:r>
    </w:p>
    <w:p>
      <w:pPr>
        <w:pStyle w:val="BodyText"/>
        <w:spacing w:line="273" w:lineRule="auto"/>
        <w:ind w:right="224"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right="224" w:firstLine="431"/>
        <w:jc w:val="both"/>
      </w:pPr>
      <w:r>
        <w:rPr>
          <w:spacing w:val="-3"/>
        </w:rPr>
        <w:t>冠状动脉支架植入手术、心导管球囊扩张术、激光射频技术及其他非开胸的介入手术、腔镜手术不在保障范围内。</w:t>
      </w:r>
    </w:p>
    <w:p>
      <w:pPr>
        <w:pStyle w:val="BodyText"/>
        <w:spacing w:before="5"/>
        <w:ind w:left="0"/>
        <w:rPr>
          <w:sz w:val="24"/>
        </w:rPr>
      </w:pPr>
    </w:p>
    <w:p>
      <w:pPr>
        <w:pStyle w:val="Heading3"/>
      </w:pPr>
      <w:r>
        <w:rPr>
          <w:w w:val="95"/>
        </w:rPr>
        <w:t>（六）终末期肾病</w:t>
      </w:r>
    </w:p>
    <w:p>
      <w:pPr>
        <w:pStyle w:val="BodyText"/>
        <w:ind w:left="2294"/>
      </w:pPr>
      <w:r>
        <w:rPr/>
        <w:t>指双肾功能慢性不可逆性衰竭，达到尿毒症期，经诊断后已经进行了至少</w:t>
      </w:r>
    </w:p>
    <w:p>
      <w:pPr>
        <w:pStyle w:val="BodyText"/>
      </w:pPr>
      <w:r>
        <w:rPr/>
        <w:t>90 天的规律性透析治疗或实施了肾脏移植手术。</w:t>
      </w:r>
    </w:p>
    <w:p>
      <w:pPr>
        <w:pStyle w:val="BodyText"/>
        <w:spacing w:before="8"/>
        <w:ind w:left="0"/>
        <w:rPr>
          <w:sz w:val="26"/>
        </w:rPr>
      </w:pPr>
    </w:p>
    <w:p>
      <w:pPr>
        <w:pStyle w:val="Heading3"/>
      </w:pPr>
      <w:r>
        <w:rPr>
          <w:w w:val="95"/>
        </w:rPr>
        <w:t>（七）多个肢体缺失</w:t>
      </w:r>
    </w:p>
    <w:p>
      <w:pPr>
        <w:pStyle w:val="BodyText"/>
        <w:spacing w:line="273" w:lineRule="auto" w:before="36"/>
        <w:ind w:right="224"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5"/>
        <w:ind w:left="0"/>
        <w:rPr>
          <w:sz w:val="24"/>
        </w:rPr>
      </w:pPr>
    </w:p>
    <w:p>
      <w:pPr>
        <w:pStyle w:val="Heading3"/>
      </w:pPr>
      <w:r>
        <w:rPr>
          <w:w w:val="95"/>
        </w:rPr>
        <w:t>（八）急性或亚急性重症肝炎</w:t>
      </w:r>
    </w:p>
    <w:p>
      <w:pPr>
        <w:pStyle w:val="BodyText"/>
        <w:spacing w:line="273" w:lineRule="auto"/>
        <w:ind w:right="224" w:firstLine="431"/>
        <w:jc w:val="both"/>
      </w:pPr>
      <w:r>
        <w:rPr>
          <w:spacing w:val="-2"/>
        </w:rPr>
        <w:t>指因肝炎病毒感染引起肝组织弥漫性坏死，导致急性肝功能衰竭，且经血清学或病毒学检查证实，须满足下列全部条件：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3"/>
      </w:pPr>
      <w:r>
        <w:rPr>
          <w:w w:val="95"/>
        </w:rPr>
        <w:t>（九）良性脑肿瘤</w:t>
      </w:r>
    </w:p>
    <w:p>
      <w:pPr>
        <w:pStyle w:val="BodyText"/>
        <w:spacing w:line="273" w:lineRule="auto" w:before="36"/>
        <w:ind w:right="221"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spacing w:after="0" w:line="273" w:lineRule="auto"/>
        <w:jc w:val="both"/>
        <w:sectPr>
          <w:pgSz w:w="11910" w:h="16840"/>
          <w:pgMar w:top="1100" w:bottom="280" w:left="1680" w:right="1020"/>
        </w:sectPr>
      </w:pPr>
    </w:p>
    <w:p>
      <w:pPr>
        <w:pStyle w:val="BodyText"/>
        <w:spacing w:before="19"/>
      </w:pPr>
      <w:r>
        <w:rPr/>
        <w:t>（1）实际实施了开颅进行的脑肿瘤完全切除或部分切除的手术；</w:t>
      </w:r>
    </w:p>
    <w:p>
      <w:pPr>
        <w:pStyle w:val="BodyText"/>
      </w:pPr>
      <w:r>
        <w:rPr/>
        <w:t>（2）实际实施了对脑肿瘤进行的放射治疗。</w:t>
      </w:r>
    </w:p>
    <w:p>
      <w:pPr>
        <w:pStyle w:val="BodyText"/>
        <w:ind w:left="2294"/>
      </w:pPr>
      <w:r>
        <w:rPr/>
        <w:t>脑垂体瘤、脑囊肿、脑血管性疾病不在保障范围内。</w:t>
      </w:r>
    </w:p>
    <w:p>
      <w:pPr>
        <w:pStyle w:val="BodyText"/>
        <w:spacing w:before="8"/>
        <w:ind w:left="0"/>
        <w:rPr>
          <w:sz w:val="26"/>
        </w:rPr>
      </w:pPr>
    </w:p>
    <w:p>
      <w:pPr>
        <w:pStyle w:val="Heading3"/>
        <w:spacing w:before="1"/>
      </w:pPr>
      <w:r>
        <w:rPr>
          <w:w w:val="95"/>
        </w:rPr>
        <w:t>（十）慢性肝功能衰竭失代偿期</w:t>
      </w:r>
    </w:p>
    <w:p>
      <w:pPr>
        <w:pStyle w:val="BodyText"/>
        <w:ind w:left="2294"/>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294"/>
      </w:pPr>
      <w:r>
        <w:rPr/>
        <w:t>因酗酒或药物滥用导致的肝功能衰竭不在保障范围内。</w:t>
      </w:r>
    </w:p>
    <w:p>
      <w:pPr>
        <w:pStyle w:val="BodyText"/>
        <w:spacing w:before="9"/>
        <w:ind w:left="0"/>
        <w:rPr>
          <w:sz w:val="26"/>
        </w:rPr>
      </w:pPr>
    </w:p>
    <w:p>
      <w:pPr>
        <w:pStyle w:val="Heading3"/>
      </w:pPr>
      <w:r>
        <w:rPr>
          <w:w w:val="95"/>
        </w:rPr>
        <w:t>（十一）脑炎后遗症或脑膜炎后遗症</w:t>
      </w:r>
    </w:p>
    <w:p>
      <w:pPr>
        <w:pStyle w:val="BodyText"/>
        <w:spacing w:line="273" w:lineRule="auto"/>
        <w:ind w:right="150"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02"/>
      </w:pPr>
      <w:r>
        <w:rPr/>
        <w:t>（3）自主生活能力完全丧失，无法独立完成六项基本日常生活活动中的三项或三项以上。</w:t>
      </w:r>
    </w:p>
    <w:p>
      <w:pPr>
        <w:pStyle w:val="BodyText"/>
        <w:spacing w:before="5"/>
        <w:ind w:left="0"/>
        <w:rPr>
          <w:sz w:val="24"/>
        </w:rPr>
      </w:pPr>
    </w:p>
    <w:p>
      <w:pPr>
        <w:pStyle w:val="Heading3"/>
      </w:pPr>
      <w:r>
        <w:rPr>
          <w:w w:val="95"/>
        </w:rPr>
        <w:t>（十二）深度昏迷</w:t>
      </w:r>
    </w:p>
    <w:p>
      <w:pPr>
        <w:pStyle w:val="BodyText"/>
        <w:spacing w:line="273" w:lineRule="auto"/>
        <w:ind w:right="99"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294"/>
      </w:pPr>
      <w:r>
        <w:rPr/>
        <w:t>由于酗酒或药物滥用导致的深度昏迷不在保障范围内。</w:t>
      </w:r>
    </w:p>
    <w:p>
      <w:pPr>
        <w:pStyle w:val="BodyText"/>
        <w:spacing w:before="8"/>
        <w:ind w:left="0"/>
        <w:rPr>
          <w:sz w:val="26"/>
        </w:rPr>
      </w:pPr>
    </w:p>
    <w:p>
      <w:pPr>
        <w:pStyle w:val="Heading3"/>
      </w:pPr>
      <w:r>
        <w:rPr>
          <w:w w:val="95"/>
        </w:rPr>
        <w:t>（十三）双耳失聪</w:t>
      </w:r>
    </w:p>
    <w:p>
      <w:pPr>
        <w:pStyle w:val="BodyText"/>
        <w:ind w:left="2294"/>
      </w:pPr>
      <w:r>
        <w:rPr/>
        <w:t>指因疾病或意外伤害导致双耳听力永久不可逆性丧失，在 500 赫兹、1000</w:t>
      </w:r>
    </w:p>
    <w:p>
      <w:pPr>
        <w:pStyle w:val="BodyText"/>
        <w:spacing w:line="273" w:lineRule="auto"/>
        <w:ind w:right="205"/>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7"/>
        <w:ind w:right="150" w:firstLine="431"/>
      </w:pPr>
      <w:r>
        <w:rPr/>
        <w:t>被保险人申请理赔时年龄必须在三周岁以上，并且提供理赔当时的听力丧失诊断及检查证据。</w:t>
      </w:r>
    </w:p>
    <w:p>
      <w:pPr>
        <w:pStyle w:val="BodyText"/>
        <w:spacing w:before="5"/>
        <w:ind w:left="0"/>
        <w:rPr>
          <w:sz w:val="24"/>
        </w:rPr>
      </w:pPr>
    </w:p>
    <w:p>
      <w:pPr>
        <w:pStyle w:val="Heading3"/>
      </w:pPr>
      <w:r>
        <w:rPr>
          <w:w w:val="95"/>
        </w:rPr>
        <w:t>（十四）双目失明</w:t>
      </w:r>
    </w:p>
    <w:p>
      <w:pPr>
        <w:pStyle w:val="BodyText"/>
        <w:spacing w:line="273" w:lineRule="auto"/>
        <w:ind w:right="155" w:firstLine="42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right="205"/>
      </w:pPr>
      <w:r>
        <w:rPr/>
        <w:t>（2）</w:t>
      </w:r>
      <w:r>
        <w:rPr>
          <w:spacing w:val="-4"/>
        </w:rPr>
        <w:t>矫正视力低于 </w:t>
      </w:r>
      <w:r>
        <w:rPr/>
        <w:t>0.02（采用国际标准视力表，如果使用其他视力表应进行换算</w:t>
      </w:r>
      <w:r>
        <w:rPr>
          <w:spacing w:val="-105"/>
        </w:rPr>
        <w:t>）</w:t>
      </w:r>
      <w:r>
        <w:rPr/>
        <w:t>；</w:t>
      </w:r>
    </w:p>
    <w:p>
      <w:pPr>
        <w:pStyle w:val="BodyText"/>
        <w:spacing w:before="7"/>
      </w:pPr>
      <w:r>
        <w:rPr/>
        <w:t>（3）视野半径小于 5 度。</w:t>
      </w:r>
    </w:p>
    <w:p>
      <w:pPr>
        <w:pStyle w:val="BodyText"/>
        <w:spacing w:line="273" w:lineRule="auto" w:before="36"/>
        <w:ind w:right="150" w:firstLine="431"/>
      </w:pPr>
      <w:r>
        <w:rPr/>
        <w:t>被保险人申请理赔时年龄必须在三周岁以上，并且提供理赔当时的视力丧失诊断及检查证据。</w:t>
      </w:r>
    </w:p>
    <w:p>
      <w:pPr>
        <w:pStyle w:val="BodyText"/>
        <w:spacing w:before="5"/>
        <w:ind w:left="0"/>
        <w:rPr>
          <w:sz w:val="24"/>
        </w:rPr>
      </w:pPr>
    </w:p>
    <w:p>
      <w:pPr>
        <w:pStyle w:val="Heading3"/>
      </w:pPr>
      <w:r>
        <w:rPr>
          <w:w w:val="95"/>
        </w:rPr>
        <w:t>（十五）瘫痪</w:t>
      </w:r>
    </w:p>
    <w:p>
      <w:pPr>
        <w:pStyle w:val="BodyText"/>
        <w:spacing w:line="273" w:lineRule="auto"/>
        <w:ind w:right="203" w:firstLine="431"/>
      </w:pPr>
      <w:r>
        <w:rPr>
          <w:spacing w:val="-2"/>
        </w:rPr>
        <w:t>指因疾病或意外伤害导致两肢或两肢以上肢体机能永久完全丧失。肢体机</w:t>
      </w:r>
      <w:r>
        <w:rPr>
          <w:spacing w:val="-8"/>
        </w:rPr>
        <w:t>能永久完全丧失，指疾病确诊 </w:t>
      </w:r>
      <w:r>
        <w:rPr/>
        <w:t>180</w:t>
      </w:r>
      <w:r>
        <w:rPr>
          <w:spacing w:val="-13"/>
        </w:rPr>
        <w:t> 天后或意外伤害发生 </w:t>
      </w:r>
      <w:r>
        <w:rPr/>
        <w:t>180</w:t>
      </w:r>
      <w:r>
        <w:rPr>
          <w:spacing w:val="-9"/>
        </w:rPr>
        <w:t> 天后，每肢三大关</w:t>
      </w:r>
    </w:p>
    <w:p>
      <w:pPr>
        <w:spacing w:after="0" w:line="273" w:lineRule="auto"/>
        <w:sectPr>
          <w:pgSz w:w="11910" w:h="16840"/>
          <w:pgMar w:top="1100" w:bottom="280" w:left="1680" w:right="1040"/>
        </w:sectPr>
      </w:pPr>
    </w:p>
    <w:p>
      <w:pPr>
        <w:pStyle w:val="BodyText"/>
        <w:spacing w:before="19"/>
      </w:pPr>
      <w:r>
        <w:rPr/>
        <w:t>节中的两大关节仍然完全僵硬，或不能随意识活动。</w:t>
      </w:r>
    </w:p>
    <w:p>
      <w:pPr>
        <w:pStyle w:val="BodyText"/>
        <w:spacing w:before="8"/>
        <w:ind w:left="0"/>
        <w:rPr>
          <w:sz w:val="26"/>
        </w:rPr>
      </w:pPr>
    </w:p>
    <w:p>
      <w:pPr>
        <w:pStyle w:val="Heading3"/>
        <w:spacing w:before="1"/>
      </w:pPr>
      <w:r>
        <w:rPr>
          <w:w w:val="95"/>
        </w:rPr>
        <w:t>（十六）心脏瓣膜手术</w:t>
      </w:r>
    </w:p>
    <w:p>
      <w:pPr>
        <w:pStyle w:val="BodyText"/>
        <w:ind w:left="2294"/>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3"/>
      </w:pPr>
      <w:r>
        <w:rPr>
          <w:w w:val="95"/>
        </w:rPr>
        <w:t>（十七）严重阿尔茨海默病</w:t>
      </w:r>
    </w:p>
    <w:p>
      <w:pPr>
        <w:pStyle w:val="BodyText"/>
        <w:spacing w:line="273" w:lineRule="auto"/>
        <w:ind w:right="143"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7"/>
        <w:ind w:right="142"/>
      </w:pPr>
      <w:r>
        <w:rPr/>
        <w:t>（PET）等影像学检查证实，自主生活能力完全丧失，无法独立完成六项基本日常生活活动中的三项或三项以上。</w:t>
      </w:r>
    </w:p>
    <w:p>
      <w:pPr>
        <w:pStyle w:val="BodyText"/>
        <w:spacing w:before="7"/>
        <w:ind w:left="2294"/>
      </w:pPr>
      <w:r>
        <w:rPr/>
        <w:t>神经官能症和精神疾病不在保障范围内。</w:t>
      </w:r>
    </w:p>
    <w:p>
      <w:pPr>
        <w:pStyle w:val="BodyText"/>
        <w:spacing w:before="8"/>
        <w:ind w:left="0"/>
        <w:rPr>
          <w:sz w:val="26"/>
        </w:rPr>
      </w:pPr>
    </w:p>
    <w:p>
      <w:pPr>
        <w:pStyle w:val="Heading3"/>
        <w:spacing w:before="1"/>
      </w:pPr>
      <w:r>
        <w:rPr>
          <w:w w:val="95"/>
        </w:rPr>
        <w:t>（十八）严重脑损伤</w:t>
      </w:r>
    </w:p>
    <w:p>
      <w:pPr>
        <w:pStyle w:val="BodyText"/>
        <w:spacing w:line="273" w:lineRule="auto"/>
        <w:ind w:right="143"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42"/>
      </w:pPr>
      <w:r>
        <w:rPr/>
        <w:t>（3）自主生活能力完全丧失，无法独立完成六项基本日常生活活动中的三项或三项以上。</w:t>
      </w:r>
    </w:p>
    <w:p>
      <w:pPr>
        <w:pStyle w:val="BodyText"/>
        <w:spacing w:before="5"/>
        <w:ind w:left="0"/>
        <w:rPr>
          <w:sz w:val="24"/>
        </w:rPr>
      </w:pPr>
    </w:p>
    <w:p>
      <w:pPr>
        <w:pStyle w:val="Heading3"/>
      </w:pPr>
      <w:r>
        <w:rPr>
          <w:w w:val="95"/>
        </w:rPr>
        <w:t>（十九）严重帕金森病</w:t>
      </w:r>
    </w:p>
    <w:p>
      <w:pPr>
        <w:pStyle w:val="BodyText"/>
        <w:spacing w:line="273" w:lineRule="auto"/>
        <w:ind w:right="107" w:firstLine="431"/>
        <w:jc w:val="both"/>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right="142"/>
      </w:pPr>
      <w:r>
        <w:rPr/>
        <w:t>（2）自主生活能力完全丧失，无法独立完成六项基本日常生活活动中的三项或三项以上。</w:t>
      </w:r>
    </w:p>
    <w:p>
      <w:pPr>
        <w:pStyle w:val="BodyText"/>
        <w:spacing w:before="7"/>
        <w:ind w:left="2282"/>
      </w:pPr>
      <w:r>
        <w:rPr/>
        <w:t>继发性帕金森综合征不在保障范围内。</w:t>
      </w:r>
    </w:p>
    <w:p>
      <w:pPr>
        <w:pStyle w:val="BodyText"/>
        <w:spacing w:before="8"/>
        <w:ind w:left="0"/>
        <w:rPr>
          <w:sz w:val="26"/>
        </w:rPr>
      </w:pPr>
    </w:p>
    <w:p>
      <w:pPr>
        <w:pStyle w:val="Heading3"/>
      </w:pPr>
      <w:r>
        <w:rPr/>
        <w:t>（二十）严重 III 度烧伤</w:t>
      </w:r>
    </w:p>
    <w:p>
      <w:pPr>
        <w:pStyle w:val="BodyText"/>
        <w:spacing w:line="273" w:lineRule="auto" w:before="36"/>
        <w:ind w:right="144"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ind w:left="0"/>
        <w:rPr>
          <w:sz w:val="24"/>
        </w:rPr>
      </w:pPr>
    </w:p>
    <w:p>
      <w:pPr>
        <w:pStyle w:val="Heading3"/>
      </w:pPr>
      <w:r>
        <w:rPr>
          <w:w w:val="95"/>
        </w:rPr>
        <w:t>（二十一）严重原发性肺动脉高压</w:t>
      </w:r>
    </w:p>
    <w:p>
      <w:pPr>
        <w:pStyle w:val="BodyText"/>
        <w:spacing w:line="273" w:lineRule="auto"/>
        <w:ind w:right="143"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ind w:left="0"/>
        <w:rPr>
          <w:sz w:val="24"/>
        </w:rPr>
      </w:pPr>
    </w:p>
    <w:p>
      <w:pPr>
        <w:pStyle w:val="Heading3"/>
      </w:pPr>
      <w:r>
        <w:rPr>
          <w:w w:val="95"/>
        </w:rPr>
        <w:t>（二十二）严重运动神经元病</w:t>
      </w:r>
    </w:p>
    <w:p>
      <w:pPr>
        <w:pStyle w:val="BodyText"/>
        <w:spacing w:line="273" w:lineRule="auto" w:before="36"/>
        <w:ind w:right="144"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spacing w:after="0" w:line="273" w:lineRule="auto"/>
        <w:jc w:val="both"/>
        <w:sectPr>
          <w:pgSz w:w="11910" w:h="16840"/>
          <w:pgMar w:top="1100" w:bottom="280" w:left="1680" w:right="1100"/>
        </w:sectPr>
      </w:pPr>
    </w:p>
    <w:p>
      <w:pPr>
        <w:pStyle w:val="Heading3"/>
        <w:spacing w:before="11"/>
      </w:pPr>
      <w:r>
        <w:rPr>
          <w:w w:val="95"/>
        </w:rPr>
        <w:t>（二十三）语言能力丧失</w:t>
      </w:r>
    </w:p>
    <w:p>
      <w:pPr>
        <w:pStyle w:val="BodyText"/>
        <w:ind w:left="2293"/>
      </w:pPr>
      <w:r>
        <w:rPr/>
        <w:t>指因疾病或意外伤害导致完全丧失语言能力，经过积极治疗至少 12 个月</w:t>
      </w:r>
    </w:p>
    <w:p>
      <w:pPr>
        <w:pStyle w:val="BodyText"/>
        <w:spacing w:line="273" w:lineRule="auto"/>
        <w:ind w:left="2293" w:right="1125" w:hanging="431"/>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37" w:lineRule="auto" w:before="0"/>
        <w:ind w:right="203" w:firstLine="430"/>
        <w:jc w:val="both"/>
      </w:pPr>
      <w:r>
        <w:rPr>
          <w:spacing w:val="-2"/>
        </w:rPr>
        <w:t>被保险人申请理赔时年龄必须在三周岁以上，并且提供理赔当时的语言能力丧失诊断及检查证据。</w:t>
      </w:r>
    </w:p>
    <w:p>
      <w:pPr>
        <w:pStyle w:val="BodyText"/>
        <w:spacing w:before="2"/>
        <w:ind w:left="0"/>
        <w:rPr>
          <w:sz w:val="28"/>
        </w:rPr>
      </w:pPr>
    </w:p>
    <w:p>
      <w:pPr>
        <w:pStyle w:val="Heading3"/>
      </w:pPr>
      <w:r>
        <w:rPr>
          <w:w w:val="95"/>
        </w:rPr>
        <w:t>（二十四）重型再生障碍性贫血</w:t>
      </w:r>
    </w:p>
    <w:p>
      <w:pPr>
        <w:pStyle w:val="BodyText"/>
        <w:spacing w:line="273" w:lineRule="auto"/>
        <w:ind w:right="203" w:firstLine="431"/>
        <w:jc w:val="both"/>
      </w:pPr>
      <w:r>
        <w:rPr>
          <w:spacing w:val="-2"/>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pPr>
      <w:r>
        <w:rPr/>
        <w:t>（2）外周血象必须具备以下三项条件：</w:t>
      </w:r>
    </w:p>
    <w:p>
      <w:pPr>
        <w:pStyle w:val="BodyText"/>
        <w:ind w:left="2522"/>
      </w:pPr>
      <w:r>
        <w:rPr/>
        <w:t>① 中性粒细胞绝对值≤0.5×10</w:t>
      </w:r>
      <w:r>
        <w:rPr>
          <w:position w:val="11"/>
          <w:sz w:val="11"/>
        </w:rPr>
        <w:t>9</w:t>
      </w:r>
      <w:r>
        <w:rPr/>
        <w:t>/L；</w:t>
      </w:r>
    </w:p>
    <w:p>
      <w:pPr>
        <w:pStyle w:val="BodyText"/>
        <w:ind w:left="2522"/>
      </w:pPr>
      <w:r>
        <w:rPr/>
        <w:t>② 网织红细胞＜1%；</w:t>
      </w:r>
    </w:p>
    <w:p>
      <w:pPr>
        <w:pStyle w:val="BodyText"/>
        <w:ind w:left="2522"/>
      </w:pPr>
      <w:r>
        <w:rPr/>
        <w:t>③ 血小板绝对值≤20×10</w:t>
      </w:r>
      <w:r>
        <w:rPr>
          <w:position w:val="11"/>
          <w:sz w:val="11"/>
        </w:rPr>
        <w:t>9</w:t>
      </w:r>
      <w:r>
        <w:rPr/>
        <w:t>/L。</w:t>
      </w:r>
    </w:p>
    <w:p>
      <w:pPr>
        <w:pStyle w:val="BodyText"/>
        <w:spacing w:before="9"/>
        <w:ind w:left="0"/>
        <w:rPr>
          <w:sz w:val="26"/>
        </w:rPr>
      </w:pPr>
    </w:p>
    <w:p>
      <w:pPr>
        <w:pStyle w:val="Heading3"/>
      </w:pPr>
      <w:r>
        <w:rPr>
          <w:w w:val="95"/>
        </w:rPr>
        <w:t>（二十五）主动脉手术</w:t>
      </w:r>
    </w:p>
    <w:p>
      <w:pPr>
        <w:pStyle w:val="BodyText"/>
        <w:spacing w:line="273" w:lineRule="auto"/>
        <w:ind w:right="203"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294"/>
      </w:pPr>
      <w:r>
        <w:rPr/>
        <w:t>动脉内血管成形术不在保障范围内。</w:t>
      </w:r>
    </w:p>
    <w:p>
      <w:pPr>
        <w:pStyle w:val="BodyText"/>
        <w:spacing w:before="8"/>
        <w:ind w:left="0"/>
        <w:rPr>
          <w:sz w:val="26"/>
        </w:rPr>
      </w:pPr>
    </w:p>
    <w:p>
      <w:pPr>
        <w:pStyle w:val="BodyText"/>
        <w:spacing w:line="273" w:lineRule="auto" w:before="0"/>
        <w:ind w:right="155"/>
      </w:pPr>
      <w:r>
        <w:rPr/>
        <w:t>以下 35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r>
        <w:rPr>
          <w:w w:val="95"/>
        </w:rPr>
        <w:t>（二十六）慢性呼吸功能衰竭</w:t>
      </w:r>
    </w:p>
    <w:p>
      <w:pPr>
        <w:pStyle w:val="BodyText"/>
        <w:spacing w:line="273" w:lineRule="auto" w:before="36"/>
        <w:ind w:right="204" w:firstLine="431"/>
        <w:jc w:val="both"/>
      </w:pPr>
      <w:r>
        <w:rPr>
          <w:spacing w:val="-2"/>
        </w:rPr>
        <w:t>慢性肺部疾病导致永久不可逆性的慢性呼吸功能衰竭，必须由呼吸专科医师确认并符合下列所有条件：</w:t>
      </w:r>
    </w:p>
    <w:p>
      <w:pPr>
        <w:pStyle w:val="BodyText"/>
        <w:spacing w:before="7"/>
      </w:pPr>
      <w:r>
        <w:rPr/>
        <w:t>（1）休息时出现呼吸困难；</w:t>
      </w:r>
    </w:p>
    <w:p>
      <w:pPr>
        <w:pStyle w:val="BodyText"/>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pPr>
      <w:r>
        <w:rPr/>
        <w:t>（4）因缺氧必须接受持续的输氧治疗。</w:t>
      </w:r>
    </w:p>
    <w:p>
      <w:pPr>
        <w:pStyle w:val="BodyText"/>
        <w:spacing w:before="8"/>
        <w:ind w:left="0"/>
        <w:rPr>
          <w:sz w:val="26"/>
        </w:rPr>
      </w:pPr>
    </w:p>
    <w:p>
      <w:pPr>
        <w:pStyle w:val="Heading3"/>
      </w:pPr>
      <w:r>
        <w:rPr>
          <w:w w:val="95"/>
        </w:rPr>
        <w:t>（二十七）严重多发性硬化</w:t>
      </w:r>
    </w:p>
    <w:p>
      <w:pPr>
        <w:pStyle w:val="BodyText"/>
        <w:spacing w:line="273" w:lineRule="auto" w:before="36"/>
        <w:ind w:right="16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3"/>
      </w:pPr>
      <w:r>
        <w:rPr>
          <w:w w:val="95"/>
        </w:rPr>
        <w:t>（二十八）严重冠心病</w:t>
      </w:r>
    </w:p>
    <w:p>
      <w:pPr>
        <w:pStyle w:val="BodyText"/>
        <w:spacing w:line="273" w:lineRule="auto" w:before="57"/>
        <w:ind w:right="99" w:firstLine="420"/>
        <w:jc w:val="both"/>
      </w:pPr>
      <w:r>
        <w:rPr>
          <w:spacing w:val="3"/>
        </w:rPr>
        <w:t>指经根据冠状动脉造影检查结果明确诊断为三支主要血管严重狭窄性病变（</w:t>
      </w:r>
      <w:r>
        <w:rPr>
          <w:spacing w:val="1"/>
        </w:rPr>
        <w:t>至少一支血管管腔直径减少 </w:t>
      </w:r>
      <w:r>
        <w:rPr/>
        <w:t>75％</w:t>
      </w:r>
      <w:r>
        <w:rPr>
          <w:spacing w:val="-1"/>
        </w:rPr>
        <w:t>以上和其他两支血管管腔直径减少 </w:t>
      </w:r>
      <w:r>
        <w:rPr/>
        <w:t>60％ 以上</w:t>
      </w:r>
      <w:r>
        <w:rPr>
          <w:spacing w:val="-7"/>
        </w:rPr>
        <w:t>）</w:t>
      </w:r>
      <w:r>
        <w:rPr>
          <w:spacing w:val="-5"/>
        </w:rPr>
        <w:t>。冠状动脉的主要血管指左冠状动脉主干、前降支、左旋支及右冠状动</w:t>
      </w:r>
      <w:r>
        <w:rPr>
          <w:spacing w:val="-13"/>
        </w:rPr>
        <w:t>脉。前降支、左旋支及右冠状动脉的分支血管的狭窄不作为本保障的衡量指标。</w:t>
      </w:r>
    </w:p>
    <w:p>
      <w:pPr>
        <w:spacing w:after="0" w:line="273" w:lineRule="auto"/>
        <w:jc w:val="both"/>
        <w:sectPr>
          <w:pgSz w:w="11910" w:h="16840"/>
          <w:pgMar w:top="1420" w:bottom="280" w:left="1680" w:right="1040"/>
        </w:sectPr>
      </w:pPr>
    </w:p>
    <w:p>
      <w:pPr>
        <w:pStyle w:val="Heading3"/>
        <w:spacing w:before="11"/>
      </w:pPr>
      <w:r>
        <w:rPr>
          <w:w w:val="95"/>
        </w:rPr>
        <w:t>（二十九）严重心肌病</w:t>
      </w:r>
    </w:p>
    <w:p>
      <w:pPr>
        <w:pStyle w:val="BodyText"/>
        <w:spacing w:line="273" w:lineRule="auto"/>
        <w:ind w:right="102"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right="105"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3"/>
      </w:pPr>
      <w:r>
        <w:rPr/>
        <w:t>（三十）系统性红斑狼疮 － III 型或 III 型以上狼疮性肾炎</w:t>
      </w:r>
    </w:p>
    <w:p>
      <w:pPr>
        <w:pStyle w:val="BodyText"/>
        <w:spacing w:line="273" w:lineRule="auto"/>
        <w:ind w:right="103" w:firstLine="431"/>
        <w:jc w:val="both"/>
      </w:pPr>
      <w:r>
        <w:rPr>
          <w:spacing w:val="-3"/>
        </w:rPr>
        <w:t>系统性红斑狼疮是由多种因素引起，累及多系统的自身免疫性疾病。其特点是生成自身抗体对抗多种自身抗原。多见于育龄妇女。</w:t>
      </w:r>
    </w:p>
    <w:p>
      <w:pPr>
        <w:pStyle w:val="BodyText"/>
        <w:spacing w:before="7"/>
        <w:ind w:left="2294"/>
      </w:pPr>
      <w:r>
        <w:rPr/>
        <w:t>本保单所指的系统性红斑狼疮仅限于累及肾脏（经肾脏活检确认的，符合</w:t>
      </w:r>
    </w:p>
    <w:p>
      <w:pPr>
        <w:pStyle w:val="BodyText"/>
        <w:spacing w:line="273" w:lineRule="auto" w:before="36"/>
        <w:ind w:right="103"/>
        <w:jc w:val="both"/>
      </w:pPr>
      <w:r>
        <w:rPr/>
        <w:t>WHO</w:t>
      </w:r>
      <w:r>
        <w:rPr>
          <w:spacing w:val="-16"/>
        </w:rPr>
        <w:t> 诊断标准定义 </w:t>
      </w:r>
      <w:r>
        <w:rPr/>
        <w:t>III</w:t>
      </w:r>
      <w:r>
        <w:rPr>
          <w:spacing w:val="-30"/>
        </w:rPr>
        <w:t> 型或 </w:t>
      </w:r>
      <w:r>
        <w:rPr/>
        <w:t>III</w:t>
      </w:r>
      <w:r>
        <w:rPr>
          <w:spacing w:val="-8"/>
        </w:rPr>
        <w:t> 型以上狼疮性肾炎</w:t>
      </w:r>
      <w:r>
        <w:rPr/>
        <w:t>）的系统性红斑狼疮。其他</w:t>
      </w:r>
      <w:r>
        <w:rPr>
          <w:spacing w:val="-3"/>
        </w:rPr>
        <w:t>类型的红斑性狼疮，如盘状狼疮、仅累及血液及关节的狼疮不在本保单保障范围內。</w:t>
      </w:r>
    </w:p>
    <w:p>
      <w:pPr>
        <w:pStyle w:val="BodyText"/>
        <w:spacing w:before="7"/>
        <w:ind w:left="2294"/>
      </w:pPr>
      <w:r>
        <w:rPr/>
        <w:t>本病必须由免疫和风湿科专家医师确诊。</w:t>
      </w:r>
    </w:p>
    <w:p>
      <w:pPr>
        <w:pStyle w:val="BodyText"/>
        <w:spacing w:before="8"/>
        <w:ind w:left="0"/>
        <w:rPr>
          <w:sz w:val="26"/>
        </w:rPr>
      </w:pPr>
    </w:p>
    <w:p>
      <w:pPr>
        <w:pStyle w:val="BodyText"/>
        <w:spacing w:before="0"/>
      </w:pPr>
      <w:r>
        <w:rPr>
          <w:u w:val="single"/>
        </w:rPr>
        <w:t>世界卫生组织（WHO）狼疮性肾炎分型：</w:t>
      </w:r>
    </w:p>
    <w:p>
      <w:pPr>
        <w:pStyle w:val="ListParagraph"/>
        <w:numPr>
          <w:ilvl w:val="0"/>
          <w:numId w:val="7"/>
        </w:numPr>
        <w:tabs>
          <w:tab w:pos="2129" w:val="left" w:leader="none"/>
          <w:tab w:pos="3902" w:val="left" w:leader="none"/>
        </w:tabs>
        <w:spacing w:line="240" w:lineRule="auto" w:before="36" w:after="0"/>
        <w:ind w:left="2128" w:right="0" w:hanging="158"/>
        <w:jc w:val="left"/>
        <w:rPr>
          <w:sz w:val="21"/>
        </w:rPr>
      </w:pPr>
      <w:r>
        <w:rPr>
          <w:sz w:val="21"/>
        </w:rPr>
        <w:t>型</w:t>
        <w:tab/>
        <w:t>微小病变型</w:t>
      </w:r>
    </w:p>
    <w:p>
      <w:pPr>
        <w:pStyle w:val="ListParagraph"/>
        <w:numPr>
          <w:ilvl w:val="0"/>
          <w:numId w:val="7"/>
        </w:numPr>
        <w:tabs>
          <w:tab w:pos="2234" w:val="left" w:leader="none"/>
          <w:tab w:pos="3901" w:val="left" w:leader="none"/>
        </w:tabs>
        <w:spacing w:line="240" w:lineRule="auto" w:before="36" w:after="0"/>
        <w:ind w:left="2233" w:right="0" w:hanging="263"/>
        <w:jc w:val="left"/>
        <w:rPr>
          <w:sz w:val="21"/>
        </w:rPr>
      </w:pPr>
      <w:r>
        <w:rPr>
          <w:sz w:val="21"/>
        </w:rPr>
        <w:t>型</w:t>
        <w:tab/>
        <w:t>系膜病变型</w:t>
      </w:r>
    </w:p>
    <w:p>
      <w:pPr>
        <w:pStyle w:val="ListParagraph"/>
        <w:numPr>
          <w:ilvl w:val="0"/>
          <w:numId w:val="7"/>
        </w:numPr>
        <w:tabs>
          <w:tab w:pos="2339" w:val="left" w:leader="none"/>
          <w:tab w:pos="3902" w:val="left" w:leader="none"/>
        </w:tabs>
        <w:spacing w:line="240" w:lineRule="auto" w:before="36" w:after="0"/>
        <w:ind w:left="2338" w:right="0" w:hanging="368"/>
        <w:jc w:val="left"/>
        <w:rPr>
          <w:sz w:val="21"/>
        </w:rPr>
      </w:pPr>
      <w:r>
        <w:rPr>
          <w:sz w:val="21"/>
        </w:rPr>
        <w:t>型</w:t>
        <w:tab/>
        <w:t>局灶及节段增生型</w:t>
      </w:r>
    </w:p>
    <w:p>
      <w:pPr>
        <w:pStyle w:val="ListParagraph"/>
        <w:numPr>
          <w:ilvl w:val="0"/>
          <w:numId w:val="7"/>
        </w:numPr>
        <w:tabs>
          <w:tab w:pos="2234" w:val="left" w:leader="none"/>
          <w:tab w:pos="3901" w:val="left" w:leader="none"/>
        </w:tabs>
        <w:spacing w:line="240" w:lineRule="auto" w:before="36" w:after="0"/>
        <w:ind w:left="2233" w:right="0" w:hanging="263"/>
        <w:jc w:val="left"/>
        <w:rPr>
          <w:sz w:val="21"/>
        </w:rPr>
      </w:pPr>
      <w:r>
        <w:rPr>
          <w:sz w:val="21"/>
        </w:rPr>
        <w:t>型</w:t>
        <w:tab/>
        <w:t>弥漫增生型</w:t>
      </w:r>
    </w:p>
    <w:p>
      <w:pPr>
        <w:pStyle w:val="ListParagraph"/>
        <w:numPr>
          <w:ilvl w:val="0"/>
          <w:numId w:val="7"/>
        </w:numPr>
        <w:tabs>
          <w:tab w:pos="2129" w:val="left" w:leader="none"/>
          <w:tab w:pos="3902" w:val="left" w:leader="none"/>
        </w:tabs>
        <w:spacing w:line="240" w:lineRule="auto" w:before="36" w:after="0"/>
        <w:ind w:left="2128" w:right="0" w:hanging="158"/>
        <w:jc w:val="left"/>
        <w:rPr>
          <w:sz w:val="21"/>
        </w:rPr>
      </w:pPr>
      <w:r>
        <w:rPr>
          <w:sz w:val="21"/>
        </w:rPr>
        <w:t>型</w:t>
        <w:tab/>
        <w:t>膜型</w:t>
      </w:r>
    </w:p>
    <w:p>
      <w:pPr>
        <w:pStyle w:val="ListParagraph"/>
        <w:numPr>
          <w:ilvl w:val="0"/>
          <w:numId w:val="7"/>
        </w:numPr>
        <w:tabs>
          <w:tab w:pos="2234" w:val="left" w:leader="none"/>
          <w:tab w:pos="3901" w:val="left" w:leader="none"/>
        </w:tabs>
        <w:spacing w:line="240" w:lineRule="auto" w:before="36" w:after="0"/>
        <w:ind w:left="2233" w:right="0" w:hanging="263"/>
        <w:jc w:val="left"/>
        <w:rPr>
          <w:sz w:val="21"/>
        </w:rPr>
      </w:pPr>
      <w:r>
        <w:rPr>
          <w:sz w:val="21"/>
        </w:rPr>
        <w:t>型</w:t>
        <w:tab/>
        <w:t>肾小球硬化型</w:t>
      </w:r>
    </w:p>
    <w:p>
      <w:pPr>
        <w:pStyle w:val="BodyText"/>
        <w:spacing w:before="0"/>
        <w:ind w:left="0"/>
        <w:rPr>
          <w:sz w:val="26"/>
        </w:rPr>
      </w:pPr>
    </w:p>
    <w:p>
      <w:pPr>
        <w:spacing w:before="0"/>
        <w:ind w:left="1862" w:right="0" w:firstLine="0"/>
        <w:jc w:val="left"/>
        <w:rPr>
          <w:b/>
          <w:sz w:val="22"/>
        </w:rPr>
      </w:pPr>
      <w:r>
        <w:rPr>
          <w:b/>
          <w:w w:val="95"/>
          <w:sz w:val="21"/>
        </w:rPr>
        <w:t>（三十一）</w:t>
      </w:r>
      <w:r>
        <w:rPr>
          <w:b/>
          <w:w w:val="95"/>
          <w:sz w:val="22"/>
        </w:rPr>
        <w:t>经输血导致的人类免疫缺陷病毒感染</w:t>
      </w:r>
    </w:p>
    <w:p>
      <w:pPr>
        <w:pStyle w:val="BodyText"/>
        <w:spacing w:before="32"/>
        <w:ind w:left="2294"/>
      </w:pPr>
      <w:r>
        <w:rPr/>
        <w:t>被保险人感染上人类免疫缺陷病毒（HIV）并且满足下列全部条件：</w:t>
      </w:r>
    </w:p>
    <w:p>
      <w:pPr>
        <w:pStyle w:val="BodyText"/>
      </w:pPr>
      <w:r>
        <w:rPr/>
        <w:t>（1）在保障起始日或复效日之后，被保险人因输血而感染 HIV；</w:t>
      </w:r>
    </w:p>
    <w:p>
      <w:pPr>
        <w:pStyle w:val="BodyText"/>
        <w:spacing w:line="273" w:lineRule="auto"/>
        <w:ind w:right="102"/>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line="273" w:lineRule="auto" w:before="36"/>
        <w:ind w:right="103"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right="102"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10"/>
        <w:ind w:left="0"/>
        <w:rPr>
          <w:sz w:val="23"/>
        </w:rPr>
      </w:pPr>
    </w:p>
    <w:p>
      <w:pPr>
        <w:spacing w:before="0"/>
        <w:ind w:left="1862" w:right="0" w:firstLine="0"/>
        <w:jc w:val="left"/>
        <w:rPr>
          <w:b/>
          <w:sz w:val="22"/>
        </w:rPr>
      </w:pPr>
      <w:r>
        <w:rPr>
          <w:b/>
          <w:w w:val="95"/>
          <w:sz w:val="21"/>
        </w:rPr>
        <w:t>（三十二）</w:t>
      </w:r>
      <w:r>
        <w:rPr>
          <w:b/>
          <w:w w:val="95"/>
          <w:sz w:val="22"/>
        </w:rPr>
        <w:t>因职业关系导致的人类免疫缺陷病毒（HIV）感染</w:t>
      </w:r>
    </w:p>
    <w:p>
      <w:pPr>
        <w:pStyle w:val="BodyText"/>
        <w:spacing w:line="273" w:lineRule="auto" w:before="32"/>
        <w:ind w:right="103" w:firstLine="431"/>
        <w:jc w:val="both"/>
      </w:pPr>
      <w:r>
        <w:rPr>
          <w:spacing w:val="-2"/>
        </w:rPr>
        <w:t>被保险人在其常规职业工作过程中遭遇外伤，或者职业需要处理血液或者其他体液时感染上人类免疫缺陷病毒（HIV）。</w:t>
      </w:r>
    </w:p>
    <w:p>
      <w:pPr>
        <w:pStyle w:val="BodyText"/>
        <w:spacing w:before="8"/>
        <w:ind w:left="2294"/>
      </w:pPr>
      <w:r>
        <w:rPr/>
        <w:t>必须满足下列全部条件：</w:t>
      </w:r>
    </w:p>
    <w:p>
      <w:pPr>
        <w:pStyle w:val="BodyText"/>
        <w:spacing w:line="273" w:lineRule="auto"/>
        <w:ind w:right="185"/>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before="36"/>
        <w:ind w:right="185"/>
      </w:pPr>
      <w:r>
        <w:rPr/>
        <w:t>（3）</w:t>
      </w:r>
      <w:r>
        <w:rPr>
          <w:spacing w:val="-3"/>
        </w:rPr>
        <w:t>必须提供被保险人在所报事故发生后的 </w:t>
      </w:r>
      <w:r>
        <w:rPr/>
        <w:t>5</w:t>
      </w:r>
      <w:r>
        <w:rPr>
          <w:spacing w:val="-8"/>
        </w:rPr>
        <w:t> 天以内进行的检查报告，该报</w:t>
      </w:r>
      <w:r>
        <w:rPr>
          <w:spacing w:val="-13"/>
        </w:rPr>
        <w:t>告必须显示被保险人血液 </w:t>
      </w:r>
      <w:r>
        <w:rPr/>
        <w:t>HIV</w:t>
      </w:r>
      <w:r>
        <w:rPr>
          <w:spacing w:val="-10"/>
        </w:rPr>
        <w:t> 病毒阴性和</w:t>
      </w:r>
      <w:r>
        <w:rPr/>
        <w:t>/</w:t>
      </w:r>
      <w:r>
        <w:rPr>
          <w:spacing w:val="-30"/>
        </w:rPr>
        <w:t>或 </w:t>
      </w:r>
      <w:r>
        <w:rPr/>
        <w:t>HIV</w:t>
      </w:r>
      <w:r>
        <w:rPr>
          <w:spacing w:val="-10"/>
        </w:rPr>
        <w:t> 抗体阴性；</w:t>
      </w:r>
    </w:p>
    <w:p>
      <w:pPr>
        <w:spacing w:after="0" w:line="273" w:lineRule="auto"/>
        <w:sectPr>
          <w:pgSz w:w="11910" w:h="16840"/>
          <w:pgMar w:top="1420" w:bottom="280" w:left="1680" w:right="1140"/>
        </w:sectPr>
      </w:pPr>
    </w:p>
    <w:p>
      <w:pPr>
        <w:pStyle w:val="BodyText"/>
        <w:spacing w:line="273" w:lineRule="auto" w:before="19"/>
        <w:ind w:right="135"/>
      </w:pPr>
      <w:r>
        <w:rPr/>
        <w:t>（4）</w:t>
      </w:r>
      <w:r>
        <w:rPr>
          <w:spacing w:val="-6"/>
        </w:rPr>
        <w:t>必须在事故发生后的 </w:t>
      </w:r>
      <w:r>
        <w:rPr/>
        <w:t>12</w:t>
      </w:r>
      <w:r>
        <w:rPr>
          <w:spacing w:val="-12"/>
        </w:rPr>
        <w:t> 个月内证实被保险人体内存在 </w:t>
      </w:r>
      <w:r>
        <w:rPr/>
        <w:t>HIV</w:t>
      </w:r>
      <w:r>
        <w:rPr>
          <w:spacing w:val="-20"/>
        </w:rPr>
        <w:t> 病毒或者 </w:t>
      </w:r>
      <w:r>
        <w:rPr/>
        <w:t>HIV 抗体。</w:t>
      </w:r>
    </w:p>
    <w:p>
      <w:pPr>
        <w:pStyle w:val="BodyText"/>
        <w:spacing w:before="7"/>
        <w:ind w:left="2294"/>
      </w:pPr>
      <w:r>
        <w:rPr/>
        <w:t>职业限制如下所示:</w:t>
      </w:r>
    </w:p>
    <w:p>
      <w:pPr>
        <w:pStyle w:val="BodyText"/>
        <w:tabs>
          <w:tab w:pos="5921" w:val="left" w:leader="none"/>
        </w:tabs>
        <w:spacing w:before="36"/>
        <w:ind w:left="2363"/>
      </w:pPr>
      <w:r>
        <w:rPr/>
        <w:t>医生和牙科医生</w:t>
        <w:tab/>
        <w:t>护士</w:t>
      </w:r>
    </w:p>
    <w:p>
      <w:pPr>
        <w:pStyle w:val="BodyText"/>
        <w:tabs>
          <w:tab w:pos="5921" w:val="left" w:leader="none"/>
        </w:tabs>
        <w:spacing w:before="36"/>
        <w:ind w:left="2363"/>
      </w:pPr>
      <w:r>
        <w:rPr/>
        <w:t>实验室工作人员</w:t>
        <w:tab/>
        <w:t>医院护工</w:t>
      </w:r>
    </w:p>
    <w:p>
      <w:pPr>
        <w:pStyle w:val="BodyText"/>
        <w:tabs>
          <w:tab w:pos="5921" w:val="left" w:leader="none"/>
        </w:tabs>
        <w:spacing w:before="36"/>
        <w:ind w:left="2363"/>
      </w:pPr>
      <w:r>
        <w:rPr/>
        <w:t>医生助理和牙医助理</w:t>
        <w:tab/>
        <w:t>救护车工作人员</w:t>
      </w:r>
    </w:p>
    <w:p>
      <w:pPr>
        <w:pStyle w:val="BodyText"/>
        <w:tabs>
          <w:tab w:pos="5921" w:val="left" w:leader="none"/>
        </w:tabs>
        <w:spacing w:before="36"/>
        <w:ind w:left="2363"/>
      </w:pPr>
      <w:r>
        <w:rPr/>
        <w:t>助产士</w:t>
        <w:tab/>
        <w:t>消防队员</w:t>
      </w:r>
    </w:p>
    <w:p>
      <w:pPr>
        <w:pStyle w:val="BodyText"/>
        <w:tabs>
          <w:tab w:pos="5921" w:val="left" w:leader="none"/>
        </w:tabs>
        <w:spacing w:before="36"/>
        <w:ind w:left="2363"/>
      </w:pPr>
      <w:r>
        <w:rPr/>
        <w:t>警察</w:t>
        <w:tab/>
        <w:t>狱警</w:t>
      </w:r>
    </w:p>
    <w:p>
      <w:pPr>
        <w:pStyle w:val="BodyText"/>
        <w:spacing w:before="8"/>
        <w:ind w:left="0"/>
        <w:rPr>
          <w:sz w:val="26"/>
        </w:rPr>
      </w:pPr>
    </w:p>
    <w:p>
      <w:pPr>
        <w:pStyle w:val="Heading3"/>
      </w:pPr>
      <w:r>
        <w:rPr>
          <w:w w:val="95"/>
        </w:rPr>
        <w:t>（三十三）脊髓灰质炎</w:t>
      </w:r>
    </w:p>
    <w:p>
      <w:pPr>
        <w:pStyle w:val="BodyText"/>
        <w:spacing w:line="273" w:lineRule="auto" w:before="36"/>
        <w:ind w:right="99"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4"/>
        <w:ind w:left="0"/>
        <w:rPr>
          <w:sz w:val="24"/>
        </w:rPr>
      </w:pPr>
    </w:p>
    <w:p>
      <w:pPr>
        <w:pStyle w:val="Heading3"/>
        <w:spacing w:before="1"/>
      </w:pPr>
      <w:r>
        <w:rPr>
          <w:w w:val="95"/>
        </w:rPr>
        <w:t>（三十四）特发性慢性肾上腺皮质功能减退</w:t>
      </w:r>
    </w:p>
    <w:p>
      <w:pPr>
        <w:pStyle w:val="BodyText"/>
        <w:spacing w:line="273" w:lineRule="auto"/>
        <w:ind w:left="1823" w:right="131" w:firstLine="406"/>
        <w:jc w:val="both"/>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2430"/>
      </w:pPr>
      <w:r>
        <w:rPr/>
        <w:t>① 血浆促肾上腺皮质激素(ACTH)水平测定，&gt;100pg/ml；</w:t>
      </w:r>
    </w:p>
    <w:p>
      <w:pPr>
        <w:pStyle w:val="BodyText"/>
        <w:spacing w:line="273" w:lineRule="auto" w:before="36"/>
        <w:ind w:left="2430" w:right="186"/>
      </w:pPr>
      <w:r>
        <w:rPr>
          <w:spacing w:val="-12"/>
        </w:rPr>
        <w:t>② 血浆肾素活性、血管紧张素 </w:t>
      </w:r>
      <w:r>
        <w:rPr/>
        <w:t>II</w:t>
      </w:r>
      <w:r>
        <w:rPr>
          <w:spacing w:val="-8"/>
        </w:rPr>
        <w:t> 和醛固酮测定，显示为原发性肾上腺皮质功能减退症；</w:t>
      </w:r>
    </w:p>
    <w:p>
      <w:pPr>
        <w:pStyle w:val="BodyText"/>
        <w:spacing w:line="273" w:lineRule="auto" w:before="7"/>
        <w:ind w:left="2430" w:right="232"/>
      </w:pPr>
      <w:r>
        <w:rPr/>
        <w:t>③ 促肾上腺皮质激素(ACTH)刺激试验显示为原发性肾上腺皮质功能减退症。</w:t>
      </w:r>
    </w:p>
    <w:p>
      <w:pPr>
        <w:pStyle w:val="BodyText"/>
        <w:spacing w:before="7"/>
      </w:pPr>
      <w:r>
        <w:rPr/>
        <w:t>（2）已经采用皮质类固醇替代治疗 180 天以上。</w:t>
      </w:r>
    </w:p>
    <w:p>
      <w:pPr>
        <w:pStyle w:val="BodyText"/>
        <w:spacing w:line="273" w:lineRule="auto" w:before="36"/>
        <w:ind w:right="103" w:firstLine="420"/>
        <w:jc w:val="both"/>
      </w:pPr>
      <w:r>
        <w:rPr/>
        <w:t>肾上腺结核、HIV</w:t>
      </w:r>
      <w:r>
        <w:rPr>
          <w:spacing w:val="-6"/>
        </w:rPr>
        <w:t> 感染或艾滋病、感染、肿瘤所致的原发性肾上腺皮质功能减退和继发性肾上腺皮质功能减退不在本保障范围内。</w:t>
      </w:r>
    </w:p>
    <w:p>
      <w:pPr>
        <w:pStyle w:val="BodyText"/>
        <w:spacing w:before="5"/>
        <w:ind w:left="0"/>
        <w:rPr>
          <w:sz w:val="24"/>
        </w:rPr>
      </w:pPr>
    </w:p>
    <w:p>
      <w:pPr>
        <w:pStyle w:val="Heading3"/>
      </w:pPr>
      <w:r>
        <w:rPr>
          <w:w w:val="95"/>
        </w:rPr>
        <w:t>（三十五）自主生活能力完全丧失</w:t>
      </w:r>
    </w:p>
    <w:p>
      <w:pPr>
        <w:pStyle w:val="BodyText"/>
        <w:spacing w:line="273" w:lineRule="auto"/>
        <w:ind w:right="103" w:firstLine="420"/>
        <w:jc w:val="both"/>
      </w:pPr>
      <w:r>
        <w:rPr>
          <w:spacing w:val="-1"/>
        </w:rPr>
        <w:t>指严重疾病或外伤造成被保险人永久不可逆的身体功能损害，导致自主生</w:t>
      </w:r>
      <w:r>
        <w:rPr>
          <w:spacing w:val="-8"/>
        </w:rPr>
        <w:t>活能力完全丧失，被保险人年龄在 </w:t>
      </w:r>
      <w:r>
        <w:rPr/>
        <w:t>6</w:t>
      </w:r>
      <w:r>
        <w:rPr>
          <w:spacing w:val="-13"/>
        </w:rPr>
        <w:t> 周岁以上且至少持续 </w:t>
      </w:r>
      <w:r>
        <w:rPr/>
        <w:t>180</w:t>
      </w:r>
      <w:r>
        <w:rPr>
          <w:spacing w:val="-8"/>
        </w:rPr>
        <w:t> 天以上无法独立完成六项基本日常生活活动中的三项或三项以上。</w:t>
      </w:r>
    </w:p>
    <w:p>
      <w:pPr>
        <w:pStyle w:val="BodyText"/>
        <w:spacing w:before="5"/>
        <w:ind w:left="0"/>
        <w:rPr>
          <w:sz w:val="24"/>
        </w:rPr>
      </w:pPr>
    </w:p>
    <w:p>
      <w:pPr>
        <w:pStyle w:val="Heading3"/>
      </w:pPr>
      <w:r>
        <w:rPr>
          <w:w w:val="95"/>
        </w:rPr>
        <w:t>（三十六）植物人状态</w:t>
      </w:r>
    </w:p>
    <w:p>
      <w:pPr>
        <w:pStyle w:val="BodyText"/>
        <w:spacing w:line="273" w:lineRule="auto" w:before="36"/>
        <w:ind w:right="103" w:firstLine="431"/>
        <w:jc w:val="both"/>
      </w:pPr>
      <w:r>
        <w:rPr/>
        <w:t>植物人状态系指成大脑和/或脑干严重损害导致完全永久性的对自身和环</w:t>
      </w:r>
      <w:r>
        <w:rPr>
          <w:spacing w:val="-2"/>
        </w:rPr>
        <w:t>境的意识丧失和中枢神经系统功能丧失，仅残存植物神经功能的疾病状态。必</w:t>
      </w:r>
      <w:r>
        <w:rPr>
          <w:spacing w:val="-3"/>
        </w:rPr>
        <w:t>须经神经科医生确诊并且具有严重脑损害的证据。植物人状态必须持续 </w:t>
      </w:r>
      <w:r>
        <w:rPr/>
        <w:t>30</w:t>
      </w:r>
      <w:r>
        <w:rPr>
          <w:spacing w:val="-6"/>
        </w:rPr>
        <w:t> 天以上方可申请理赔。</w:t>
      </w:r>
    </w:p>
    <w:p>
      <w:pPr>
        <w:pStyle w:val="BodyText"/>
        <w:spacing w:before="5"/>
        <w:ind w:left="0"/>
        <w:rPr>
          <w:sz w:val="24"/>
        </w:rPr>
      </w:pPr>
    </w:p>
    <w:p>
      <w:pPr>
        <w:pStyle w:val="Heading3"/>
      </w:pPr>
      <w:r>
        <w:rPr>
          <w:w w:val="95"/>
        </w:rPr>
        <w:t>（三十七）全身性重症肌无力</w:t>
      </w:r>
    </w:p>
    <w:p>
      <w:pPr>
        <w:pStyle w:val="BodyText"/>
        <w:spacing w:line="273" w:lineRule="auto"/>
        <w:ind w:right="104" w:firstLine="431"/>
        <w:jc w:val="both"/>
      </w:pPr>
      <w:r>
        <w:rPr>
          <w:spacing w:val="-2"/>
        </w:rPr>
        <w:t>重症肌无力是一种神经肌肉接头传递障碍所致的疾病，表现为局部或全身</w:t>
      </w:r>
      <w:r>
        <w:rPr>
          <w:spacing w:val="-4"/>
        </w:rPr>
        <w:t>骨骼肌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before="36"/>
      </w:pPr>
      <w:r>
        <w:rPr/>
        <w:t>（2）自主生活能力完全丧失，无法独立完成六项基本日常生活活动中的三项</w:t>
      </w:r>
    </w:p>
    <w:p>
      <w:pPr>
        <w:spacing w:after="0"/>
        <w:sectPr>
          <w:pgSz w:w="11910" w:h="16840"/>
          <w:pgMar w:top="1100" w:bottom="280" w:left="1680" w:right="1140"/>
        </w:sectPr>
      </w:pPr>
    </w:p>
    <w:p>
      <w:pPr>
        <w:pStyle w:val="BodyText"/>
        <w:spacing w:before="19"/>
      </w:pPr>
      <w:r>
        <w:rPr/>
        <w:t>或三项以上。</w:t>
      </w:r>
    </w:p>
    <w:p>
      <w:pPr>
        <w:pStyle w:val="BodyText"/>
        <w:spacing w:before="8"/>
        <w:ind w:left="0"/>
        <w:rPr>
          <w:sz w:val="26"/>
        </w:rPr>
      </w:pPr>
    </w:p>
    <w:p>
      <w:pPr>
        <w:pStyle w:val="Heading3"/>
        <w:spacing w:before="1"/>
      </w:pPr>
      <w:r>
        <w:rPr>
          <w:w w:val="95"/>
        </w:rPr>
        <w:t>（三十八）重症急性坏死性筋膜炎</w:t>
      </w:r>
    </w:p>
    <w:p>
      <w:pPr>
        <w:pStyle w:val="BodyText"/>
        <w:spacing w:line="273" w:lineRule="auto"/>
        <w:ind w:right="204" w:firstLine="406"/>
        <w:jc w:val="both"/>
      </w:pPr>
      <w:r>
        <w:rPr>
          <w:spacing w:val="-1"/>
        </w:rPr>
        <w:t>是一种由细菌侵入皮下组织和筋膜引起的急性坏死性软组织感染，可伴有</w:t>
      </w:r>
      <w:r>
        <w:rPr>
          <w:spacing w:val="-6"/>
        </w:rPr>
        <w:t>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t>受感染肢体被截肢（自腕关节或踝关节近端</w:t>
      </w:r>
      <w:r>
        <w:rPr>
          <w:spacing w:val="-105"/>
        </w:rPr>
        <w:t>）</w:t>
      </w:r>
      <w:r>
        <w:rPr/>
        <w:t>。</w:t>
      </w:r>
    </w:p>
    <w:p>
      <w:pPr>
        <w:pStyle w:val="BodyText"/>
        <w:spacing w:before="8"/>
        <w:ind w:left="0"/>
        <w:rPr>
          <w:sz w:val="26"/>
        </w:rPr>
      </w:pPr>
    </w:p>
    <w:p>
      <w:pPr>
        <w:pStyle w:val="Heading3"/>
      </w:pPr>
      <w:r>
        <w:rPr>
          <w:w w:val="95"/>
        </w:rPr>
        <w:t>（三十九）严重类风湿性关节炎</w:t>
      </w:r>
    </w:p>
    <w:p>
      <w:pPr>
        <w:pStyle w:val="BodyText"/>
        <w:spacing w:line="273" w:lineRule="auto" w:before="36"/>
        <w:ind w:right="202" w:firstLine="420"/>
        <w:jc w:val="both"/>
      </w:pPr>
      <w:r>
        <w:rPr>
          <w:spacing w:val="-2"/>
        </w:rPr>
        <w:t>类风湿性关节炎为广泛分布的慢性进行性多关节病变，表现为关节严重变</w:t>
      </w:r>
      <w:r>
        <w:rPr>
          <w:spacing w:val="-4"/>
        </w:rPr>
        <w:t>形，侵犯至少三个主要关节或关节组【如：双手</w:t>
      </w:r>
      <w:r>
        <w:rPr/>
        <w:t>（多手指</w:t>
      </w:r>
      <w:r>
        <w:rPr>
          <w:spacing w:val="-4"/>
        </w:rPr>
        <w:t>）</w:t>
      </w:r>
      <w:r>
        <w:rPr>
          <w:spacing w:val="-3"/>
        </w:rPr>
        <w:t>关节、双足</w:t>
      </w:r>
      <w:r>
        <w:rPr/>
        <w:t>（多足趾）</w:t>
      </w:r>
      <w:r>
        <w:rPr>
          <w:spacing w:val="-6"/>
        </w:rPr>
        <w:t>关节、双腕关节、双膝关节和双髋关节】。类风湿性关节炎必须明确诊断</w:t>
      </w:r>
      <w:r>
        <w:rPr>
          <w:spacing w:val="-10"/>
        </w:rPr>
        <w:t>并且已经达到类风湿性关节炎功能分类 </w:t>
      </w:r>
      <w:r>
        <w:rPr/>
        <w:t>IV</w:t>
      </w:r>
      <w:r>
        <w:rPr>
          <w:spacing w:val="-16"/>
        </w:rPr>
        <w:t> 级的永久不可逆性关节功能障碍</w:t>
      </w:r>
      <w:r>
        <w:rPr/>
        <w:t>（生活不能自理，且丧失工作能力）并且满足下列全部条件：</w:t>
      </w:r>
    </w:p>
    <w:p>
      <w:pPr>
        <w:pStyle w:val="BodyText"/>
        <w:spacing w:before="7"/>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8"/>
        <w:ind w:left="0"/>
        <w:rPr>
          <w:sz w:val="26"/>
        </w:rPr>
      </w:pPr>
    </w:p>
    <w:p>
      <w:pPr>
        <w:pStyle w:val="Heading3"/>
        <w:spacing w:before="1"/>
      </w:pPr>
      <w:r>
        <w:rPr>
          <w:w w:val="95"/>
        </w:rPr>
        <w:t>（四十）严重克隆病</w:t>
      </w:r>
    </w:p>
    <w:p>
      <w:pPr>
        <w:pStyle w:val="BodyText"/>
        <w:spacing w:line="273" w:lineRule="auto"/>
        <w:ind w:right="168" w:firstLine="43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5"/>
        <w:ind w:left="0"/>
        <w:rPr>
          <w:sz w:val="24"/>
        </w:rPr>
      </w:pPr>
    </w:p>
    <w:p>
      <w:pPr>
        <w:pStyle w:val="Heading3"/>
      </w:pPr>
      <w:r>
        <w:rPr>
          <w:w w:val="95"/>
        </w:rPr>
        <w:t>（四十一）严重溃疡性结肠炎</w:t>
      </w:r>
    </w:p>
    <w:p>
      <w:pPr>
        <w:pStyle w:val="BodyText"/>
        <w:spacing w:line="273" w:lineRule="auto"/>
        <w:ind w:left="1938" w:right="204" w:firstLine="420"/>
        <w:jc w:val="both"/>
      </w:pPr>
      <w:r>
        <w:rPr/>
        <w:t>本保单所保障的溃疡性结肠炎是指伴有致命性电解质紊乱的急性暴发性</w:t>
      </w:r>
      <w:r>
        <w:rPr>
          <w:spacing w:val="-8"/>
        </w:rPr>
        <w:t>溃疡性结肠炎，病变累及全结肠，表现为严重的血便和系统性症状体征，治疗</w:t>
      </w:r>
      <w:r>
        <w:rPr>
          <w:spacing w:val="-14"/>
        </w:rPr>
        <w:t>通常采取全结肠切除和回肠造瘘术。溃疡性结肠炎必须根据组织病理学特点诊</w:t>
      </w:r>
      <w:r>
        <w:rPr>
          <w:spacing w:val="-1"/>
        </w:rPr>
        <w:t>断，并且被保险人已经接受了结肠切除和</w:t>
      </w:r>
      <w:r>
        <w:rPr/>
        <w:t>/或回肠造瘘术。</w:t>
      </w:r>
    </w:p>
    <w:p>
      <w:pPr>
        <w:pStyle w:val="BodyText"/>
        <w:spacing w:before="5"/>
        <w:ind w:left="0"/>
        <w:rPr>
          <w:sz w:val="24"/>
        </w:rPr>
      </w:pPr>
    </w:p>
    <w:p>
      <w:pPr>
        <w:pStyle w:val="Heading3"/>
        <w:spacing w:before="1"/>
      </w:pPr>
      <w:r>
        <w:rPr>
          <w:w w:val="95"/>
        </w:rPr>
        <w:t>（四十二）严重原发性硬化性胆管炎</w:t>
      </w:r>
    </w:p>
    <w:p>
      <w:pPr>
        <w:pStyle w:val="BodyText"/>
        <w:spacing w:line="273" w:lineRule="auto"/>
        <w:ind w:right="204" w:firstLine="420"/>
        <w:jc w:val="both"/>
      </w:pPr>
      <w:r>
        <w:rPr>
          <w:spacing w:val="-3"/>
        </w:rPr>
        <w:t>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spacing w:before="36"/>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spacing w:before="36"/>
      </w:pPr>
      <w:r>
        <w:rPr/>
        <w:t>（3）出现继发性胆汁性肝硬化和门静脉高压。</w:t>
      </w:r>
    </w:p>
    <w:p>
      <w:pPr>
        <w:pStyle w:val="BodyText"/>
        <w:spacing w:before="8"/>
        <w:ind w:left="0"/>
        <w:rPr>
          <w:sz w:val="26"/>
        </w:rPr>
      </w:pPr>
    </w:p>
    <w:p>
      <w:pPr>
        <w:pStyle w:val="Heading3"/>
      </w:pPr>
      <w:r>
        <w:rPr/>
        <w:t>（四十三）</w:t>
      </w:r>
      <w:r>
        <w:rPr>
          <w:rFonts w:ascii="Times New Roman" w:eastAsia="Times New Roman"/>
        </w:rPr>
        <w:t>II </w:t>
      </w:r>
      <w:r>
        <w:rPr/>
        <w:t>级重症急性胰腺炎</w:t>
      </w:r>
    </w:p>
    <w:p>
      <w:pPr>
        <w:pStyle w:val="BodyText"/>
        <w:spacing w:line="273" w:lineRule="auto" w:before="21"/>
        <w:ind w:left="2004" w:right="99" w:firstLine="420"/>
      </w:pPr>
      <w:r>
        <w:rPr/>
        <w:t>Ⅱ级重症急性胰腺炎是指急性胰腺炎伴有脏器功能障碍。被保险人所患</w:t>
      </w:r>
      <w:r>
        <w:rPr>
          <w:spacing w:val="-4"/>
        </w:rPr>
        <w:t>的Ⅱ级重症急性胰腺炎必须明确诊断，按 </w:t>
      </w:r>
      <w:r>
        <w:rPr/>
        <w:t>APACHEⅡ</w:t>
      </w:r>
      <w:r>
        <w:rPr>
          <w:spacing w:val="-12"/>
        </w:rPr>
        <w:t>评分达到 </w:t>
      </w:r>
      <w:r>
        <w:rPr/>
        <w:t>8</w:t>
      </w:r>
      <w:r>
        <w:rPr>
          <w:spacing w:val="-29"/>
        </w:rPr>
        <w:t> 分或 </w:t>
      </w:r>
      <w:r>
        <w:rPr/>
        <w:t>8</w:t>
      </w:r>
      <w:r>
        <w:rPr>
          <w:spacing w:val="-15"/>
        </w:rPr>
        <w:t> 分以上</w:t>
      </w:r>
      <w:r>
        <w:rPr>
          <w:spacing w:val="-39"/>
        </w:rPr>
        <w:t>和 </w:t>
      </w:r>
      <w:r>
        <w:rPr/>
        <w:t>Balthazar</w:t>
      </w:r>
      <w:r>
        <w:rPr>
          <w:spacing w:val="-12"/>
        </w:rPr>
        <w:t> 分级系统达到Ⅱ级或Ⅱ级以上，并且接受了外科剖腹手术治疗， 以进行坏死组织清除、坏死病灶切除或胰腺切除。</w:t>
      </w:r>
    </w:p>
    <w:p>
      <w:pPr>
        <w:pStyle w:val="BodyText"/>
        <w:spacing w:before="8"/>
        <w:ind w:left="2424"/>
      </w:pPr>
      <w:r>
        <w:rPr/>
        <w:t>因酗酒或饮酒过量所致的急性坏死性胰腺炎以及腹腔镜手术不在本合同</w:t>
      </w:r>
    </w:p>
    <w:p>
      <w:pPr>
        <w:spacing w:after="0"/>
        <w:sectPr>
          <w:pgSz w:w="11910" w:h="16840"/>
          <w:pgMar w:top="1100" w:bottom="280" w:left="1680" w:right="1040"/>
        </w:sectPr>
      </w:pPr>
    </w:p>
    <w:p>
      <w:pPr>
        <w:pStyle w:val="BodyText"/>
        <w:spacing w:before="19"/>
        <w:ind w:left="2003"/>
      </w:pPr>
      <w:r>
        <w:rPr/>
        <w:t>保障范围内。</w:t>
      </w:r>
    </w:p>
    <w:p>
      <w:pPr>
        <w:pStyle w:val="BodyText"/>
        <w:spacing w:before="8"/>
        <w:ind w:left="0"/>
        <w:rPr>
          <w:sz w:val="26"/>
        </w:rPr>
      </w:pPr>
    </w:p>
    <w:p>
      <w:pPr>
        <w:pStyle w:val="Heading3"/>
        <w:spacing w:before="1"/>
      </w:pPr>
      <w:r>
        <w:rPr>
          <w:w w:val="95"/>
        </w:rPr>
        <w:t>（四十四）非阿尔茨海默病所致严重痴呆</w:t>
      </w:r>
    </w:p>
    <w:p>
      <w:pPr>
        <w:pStyle w:val="BodyText"/>
        <w:spacing w:line="273" w:lineRule="auto"/>
        <w:ind w:right="99" w:firstLine="426"/>
      </w:pPr>
      <w:r>
        <w:rPr>
          <w:spacing w:val="5"/>
        </w:rPr>
        <w:t>指因阿尔茨海默病以外的脑的器质性疾病造成脑功能衰竭导致永久不可</w:t>
      </w:r>
      <w:r>
        <w:rPr>
          <w:spacing w:val="-11"/>
        </w:rPr>
        <w:t>逆性的严重痴呆，临床表现为明显的认知能力障碍、行为异常和社交能力减退。</w:t>
      </w:r>
      <w:r>
        <w:rPr>
          <w:spacing w:val="-12"/>
        </w:rPr>
        <w:t>被保险人自主生活能力完全丧失，无法独立完成六项基本日常生活活动中的三</w:t>
      </w:r>
      <w:r>
        <w:rPr>
          <w:spacing w:val="-10"/>
        </w:rPr>
        <w:t>项或三项以上，日常生活必须持续受到他人监护。导致痴呆的疾病必须明确诊断，并且由完整的临床、实验室和影像学检查结果证实。</w:t>
      </w:r>
    </w:p>
    <w:p>
      <w:pPr>
        <w:pStyle w:val="BodyText"/>
        <w:spacing w:before="7"/>
        <w:ind w:left="2282"/>
      </w:pPr>
      <w:r>
        <w:rPr/>
        <w:t>神经官能症,精神疾病及酒精中毒所致脑损害不在保障范围内。</w:t>
      </w:r>
    </w:p>
    <w:p>
      <w:pPr>
        <w:pStyle w:val="BodyText"/>
        <w:spacing w:before="8"/>
        <w:ind w:left="0"/>
        <w:rPr>
          <w:sz w:val="26"/>
        </w:rPr>
      </w:pPr>
    </w:p>
    <w:p>
      <w:pPr>
        <w:pStyle w:val="Heading3"/>
      </w:pPr>
      <w:r>
        <w:rPr>
          <w:w w:val="95"/>
        </w:rPr>
        <w:t>（四十五）破裂脑动脉瘤夹闭手术</w:t>
      </w:r>
    </w:p>
    <w:p>
      <w:pPr>
        <w:pStyle w:val="BodyText"/>
        <w:spacing w:line="273" w:lineRule="auto" w:before="36"/>
        <w:ind w:right="203" w:firstLine="420"/>
        <w:jc w:val="both"/>
      </w:pPr>
      <w:r>
        <w:rPr>
          <w:spacing w:val="-2"/>
        </w:rPr>
        <w:t>指因脑动脉瘤破裂造成蛛网膜下腔出血，被保险人实际接受了在全麻下进行的开颅动脉瘤夹闭手术。</w:t>
      </w:r>
    </w:p>
    <w:p>
      <w:pPr>
        <w:pStyle w:val="BodyText"/>
        <w:spacing w:line="273" w:lineRule="auto" w:before="7"/>
        <w:ind w:right="204" w:firstLine="420"/>
        <w:jc w:val="both"/>
      </w:pPr>
      <w:r>
        <w:rPr>
          <w:spacing w:val="-2"/>
        </w:rPr>
        <w:t>脑动脉瘤</w:t>
      </w:r>
      <w:r>
        <w:rPr/>
        <w:t>（未破裂</w:t>
      </w:r>
      <w:r>
        <w:rPr>
          <w:spacing w:val="-5"/>
        </w:rPr>
        <w:t>）</w:t>
      </w:r>
      <w:r>
        <w:rPr>
          <w:spacing w:val="-3"/>
        </w:rPr>
        <w:t>预防性手术、颅骨打孔手术、动脉瘤栓塞手术、血管内手术及其他颅脑手术不在本保障范围内。</w:t>
      </w:r>
    </w:p>
    <w:p>
      <w:pPr>
        <w:pStyle w:val="BodyText"/>
        <w:spacing w:before="5"/>
        <w:ind w:left="0"/>
        <w:rPr>
          <w:sz w:val="24"/>
        </w:rPr>
      </w:pPr>
    </w:p>
    <w:p>
      <w:pPr>
        <w:pStyle w:val="Heading3"/>
      </w:pPr>
      <w:r>
        <w:rPr>
          <w:w w:val="95"/>
        </w:rPr>
        <w:t>（四十六）主动脉夹层血肿</w:t>
      </w:r>
    </w:p>
    <w:p>
      <w:pPr>
        <w:pStyle w:val="BodyText"/>
        <w:spacing w:line="273" w:lineRule="auto" w:before="36"/>
        <w:ind w:right="202" w:firstLine="420"/>
        <w:jc w:val="both"/>
      </w:pPr>
      <w:r>
        <w:rPr>
          <w:spacing w:val="-2"/>
        </w:rPr>
        <w:t>是指主动脉壁在受到某些病理因素的破坏后，高速、高压的主动脉血流将</w:t>
      </w:r>
      <w:r>
        <w:rPr>
          <w:spacing w:val="-6"/>
        </w:rPr>
        <w:t>其内膜撕裂，以致主动脉腔内的血流通过主动脉内膜的破裂口进入主动脉内壁</w:t>
      </w:r>
      <w:r>
        <w:rPr>
          <w:spacing w:val="1"/>
        </w:rPr>
        <w:t>而形成血肿。被保险人需通过电脑断层扫描（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4"/>
        </w:rPr>
        <w:t>）</w:t>
      </w:r>
      <w:r>
        <w:rPr/>
        <w:t>、磁共振血管检验法（MRA）或血管扫描等检查，并且实施了胸腹切开的直视主动脉手术。</w:t>
      </w:r>
    </w:p>
    <w:p>
      <w:pPr>
        <w:pStyle w:val="BodyText"/>
        <w:spacing w:before="5"/>
        <w:ind w:left="0"/>
        <w:rPr>
          <w:sz w:val="24"/>
        </w:rPr>
      </w:pPr>
    </w:p>
    <w:p>
      <w:pPr>
        <w:pStyle w:val="Heading3"/>
      </w:pPr>
      <w:r>
        <w:rPr>
          <w:w w:val="95"/>
        </w:rPr>
        <w:t>（四十七）严重弥漫性系统性硬皮病</w:t>
      </w:r>
    </w:p>
    <w:p>
      <w:pPr>
        <w:pStyle w:val="BodyText"/>
        <w:spacing w:line="273" w:lineRule="auto"/>
        <w:ind w:right="203" w:firstLine="420"/>
        <w:jc w:val="both"/>
      </w:pPr>
      <w:r>
        <w:rPr/>
        <w:t>一种系统性胶原血管病引起进行性的皮肤/血管和内脏器官的弥漫性纤维</w:t>
      </w:r>
      <w:r>
        <w:rPr>
          <w:spacing w:val="-4"/>
        </w:rPr>
        <w:t>化。诊断必须明确并由活检和血清学证据支持并且疾病已经影响到心脏、肺或肾脏等内脏器官并且达到下列标准之一。</w:t>
      </w:r>
    </w:p>
    <w:p>
      <w:pPr>
        <w:pStyle w:val="BodyText"/>
        <w:spacing w:before="7"/>
      </w:pPr>
      <w:r>
        <w:rPr/>
        <w:t>（1）肺纤维化，已经出现肺动脉高压、肺心病；</w:t>
      </w:r>
    </w:p>
    <w:p>
      <w:pPr>
        <w:pStyle w:val="BodyText"/>
        <w:spacing w:line="273" w:lineRule="auto" w:before="36"/>
        <w:ind w:right="285"/>
      </w:pPr>
      <w:r>
        <w:rPr/>
        <w:t>（2）心脏损害，心脏功能衰竭程度达到纽约心脏病学会的心功能分级标准之心功能 IV 级；</w:t>
      </w:r>
    </w:p>
    <w:p>
      <w:pPr>
        <w:pStyle w:val="BodyText"/>
        <w:spacing w:line="273" w:lineRule="auto" w:before="7"/>
        <w:ind w:right="3645"/>
      </w:pPr>
      <w:r>
        <w:rPr/>
        <w:t>（3）肾脏损害，已经出现肾功能衰竭。下列疾病除外：</w:t>
      </w:r>
    </w:p>
    <w:p>
      <w:pPr>
        <w:pStyle w:val="BodyText"/>
        <w:spacing w:before="7"/>
      </w:pPr>
      <w:r>
        <w:rPr/>
        <w:t>（1）局限硬皮病；</w:t>
      </w:r>
    </w:p>
    <w:p>
      <w:pPr>
        <w:pStyle w:val="BodyText"/>
        <w:spacing w:before="36"/>
      </w:pPr>
      <w:r>
        <w:rPr/>
        <w:t>（2）嗜酸细胞筋膜炎；</w:t>
      </w:r>
    </w:p>
    <w:p>
      <w:pPr>
        <w:pStyle w:val="BodyText"/>
        <w:spacing w:before="36"/>
      </w:pPr>
      <w:r>
        <w:rPr/>
        <w:t>（3）CREST 综合征。</w:t>
      </w:r>
    </w:p>
    <w:p>
      <w:pPr>
        <w:pStyle w:val="BodyText"/>
        <w:spacing w:before="8"/>
        <w:ind w:left="0"/>
        <w:rPr>
          <w:sz w:val="26"/>
        </w:rPr>
      </w:pPr>
    </w:p>
    <w:p>
      <w:pPr>
        <w:pStyle w:val="Heading3"/>
      </w:pPr>
      <w:r>
        <w:rPr>
          <w:w w:val="95"/>
        </w:rPr>
        <w:t>（四十八）严重慢性复发性胰腺炎</w:t>
      </w:r>
    </w:p>
    <w:p>
      <w:pPr>
        <w:pStyle w:val="BodyText"/>
        <w:spacing w:line="273" w:lineRule="auto" w:before="36"/>
        <w:ind w:right="204" w:firstLine="420"/>
        <w:jc w:val="both"/>
      </w:pPr>
      <w:r>
        <w:rPr>
          <w:spacing w:val="-2"/>
        </w:rPr>
        <w:t>指慢性反复发作的胰腺炎症导致胰腺的广泛纤维化、坏死、弥漫性钙化及</w:t>
      </w:r>
      <w:r>
        <w:rPr>
          <w:spacing w:val="-5"/>
        </w:rPr>
        <w:t>假性囊肿形成，造成胰腺功能障碍出现严重糖尿病和营养不良。必须满足以下所有条件：</w:t>
      </w:r>
    </w:p>
    <w:p>
      <w:pPr>
        <w:pStyle w:val="BodyText"/>
        <w:spacing w:line="273" w:lineRule="auto" w:before="7"/>
        <w:ind w:right="155"/>
      </w:pPr>
      <w:r>
        <w:rPr/>
        <w:t>（1）CT 显示胰腺广泛钙化或逆行胰胆管造影（ERCP）显示胰管扭曲、扩张和狭窄；</w:t>
      </w:r>
    </w:p>
    <w:p>
      <w:pPr>
        <w:pStyle w:val="BodyText"/>
        <w:spacing w:line="273" w:lineRule="auto" w:before="7"/>
        <w:ind w:left="2282" w:right="2280" w:hanging="420"/>
      </w:pPr>
      <w:r>
        <w:rPr/>
        <w:t>（2）接受胰岛素替代治疗和酶替代治疗 180 天以上。酒精导致的慢性复发性胰腺炎不在本保障范围内。</w:t>
      </w:r>
    </w:p>
    <w:p>
      <w:pPr>
        <w:pStyle w:val="BodyText"/>
        <w:spacing w:before="5"/>
        <w:ind w:left="0"/>
        <w:rPr>
          <w:sz w:val="24"/>
        </w:rPr>
      </w:pPr>
    </w:p>
    <w:p>
      <w:pPr>
        <w:pStyle w:val="Heading3"/>
      </w:pPr>
      <w:r>
        <w:rPr>
          <w:w w:val="95"/>
        </w:rPr>
        <w:t>（四十九）进行性核上性麻痹</w:t>
      </w:r>
    </w:p>
    <w:p>
      <w:pPr>
        <w:spacing w:after="0"/>
        <w:sectPr>
          <w:pgSz w:w="11910" w:h="16840"/>
          <w:pgMar w:top="1100" w:bottom="280" w:left="1680" w:right="1040"/>
        </w:sectPr>
      </w:pPr>
    </w:p>
    <w:p>
      <w:pPr>
        <w:pStyle w:val="BodyText"/>
        <w:spacing w:line="273" w:lineRule="auto" w:before="19"/>
        <w:ind w:right="123" w:firstLine="368"/>
        <w:jc w:val="both"/>
      </w:pPr>
      <w:r>
        <w:rPr>
          <w:spacing w:val="-4"/>
        </w:rPr>
        <w:t>进行性核上性麻痹</w:t>
      </w:r>
      <w:r>
        <w:rPr>
          <w:spacing w:val="-6"/>
        </w:rPr>
        <w:t>（PSP）</w:t>
      </w:r>
      <w:r>
        <w:rPr>
          <w:spacing w:val="-19"/>
        </w:rPr>
        <w:t>又称 </w:t>
      </w:r>
      <w:r>
        <w:rPr/>
        <w:t>Steele-Rchardson—Olszewski</w:t>
      </w:r>
      <w:r>
        <w:rPr>
          <w:spacing w:val="-15"/>
        </w:rPr>
        <w:t> 综合征，是</w:t>
      </w:r>
      <w:r>
        <w:rPr>
          <w:spacing w:val="-14"/>
        </w:rPr>
        <w:t>一种少见的神经系统变性疾病，以假球麻痹、垂直性核上性眼肌麻痹、锥体外系肌僵直、步态共济失调和轻度痴呆为主要临床特征。PSP</w:t>
      </w:r>
      <w:r>
        <w:rPr>
          <w:spacing w:val="-7"/>
        </w:rPr>
        <w:t> 必须由三级甲等医</w:t>
      </w:r>
      <w:r>
        <w:rPr>
          <w:spacing w:val="-9"/>
        </w:rPr>
        <w:t>院的神经内科专科医生确诊，并且被保险人自主生活能力完全丧失，无法独立完成六项基本日常生活活动中的三项或三项以上。</w:t>
      </w:r>
    </w:p>
    <w:p>
      <w:pPr>
        <w:pStyle w:val="BodyText"/>
        <w:spacing w:before="5"/>
        <w:ind w:left="0"/>
        <w:rPr>
          <w:sz w:val="24"/>
        </w:rPr>
      </w:pPr>
    </w:p>
    <w:p>
      <w:pPr>
        <w:pStyle w:val="Heading3"/>
      </w:pPr>
      <w:r>
        <w:rPr>
          <w:w w:val="95"/>
        </w:rPr>
        <w:t>（五十）肾髓质囊性病</w:t>
      </w:r>
    </w:p>
    <w:p>
      <w:pPr>
        <w:pStyle w:val="BodyText"/>
        <w:spacing w:line="273" w:lineRule="auto" w:before="36"/>
        <w:ind w:right="123" w:firstLine="420"/>
        <w:jc w:val="both"/>
      </w:pPr>
      <w:r>
        <w:rPr>
          <w:spacing w:val="-3"/>
        </w:rPr>
        <w:t>肾髓质囊性病，一种遗传性肾脏疾病，特点为肾髓质多发大小不等的囊肿</w:t>
      </w:r>
      <w:r>
        <w:rPr>
          <w:spacing w:val="-5"/>
        </w:rPr>
        <w:t>并且伴有小管和间质性肾炎。患者表现为肾脏衰竭和肾小管功能障碍。肾髓质囊性病必须经肾组织活检确诊，并且有临床及影像学证据支持。</w:t>
      </w:r>
    </w:p>
    <w:p>
      <w:pPr>
        <w:pStyle w:val="BodyText"/>
        <w:spacing w:before="7"/>
        <w:ind w:left="2282"/>
      </w:pPr>
      <w:r>
        <w:rPr/>
        <w:t>其他的肾脏囊性病变不在保障范围内。</w:t>
      </w:r>
    </w:p>
    <w:p>
      <w:pPr>
        <w:pStyle w:val="BodyText"/>
        <w:spacing w:before="8"/>
        <w:ind w:left="0"/>
        <w:rPr>
          <w:sz w:val="26"/>
        </w:rPr>
      </w:pPr>
    </w:p>
    <w:p>
      <w:pPr>
        <w:pStyle w:val="Heading3"/>
      </w:pPr>
      <w:r>
        <w:rPr>
          <w:w w:val="95"/>
        </w:rPr>
        <w:t>（五十一）丝虫病所致象皮病</w:t>
      </w:r>
    </w:p>
    <w:p>
      <w:pPr>
        <w:pStyle w:val="BodyText"/>
        <w:spacing w:line="273" w:lineRule="auto" w:before="36"/>
        <w:ind w:right="123" w:firstLine="420"/>
        <w:jc w:val="both"/>
      </w:pPr>
      <w:r>
        <w:rPr>
          <w:spacing w:val="-2"/>
        </w:rPr>
        <w:t>指因丝虫感染导致淋巴阻塞性出现严重淋巴水肿，达到国际淋巴学会淋巴</w:t>
      </w:r>
      <w:r>
        <w:rPr>
          <w:spacing w:val="-11"/>
        </w:rPr>
        <w:t>肿分期第 </w:t>
      </w:r>
      <w:r>
        <w:rPr/>
        <w:t>III</w:t>
      </w:r>
      <w:r>
        <w:rPr>
          <w:spacing w:val="-9"/>
        </w:rPr>
        <w:t> 期，临床表现为肢体象皮肿，患肢较键肢增粗 </w:t>
      </w:r>
      <w:r>
        <w:rPr/>
        <w:t>30%以上，日常生活不能自理。</w:t>
      </w:r>
    </w:p>
    <w:p>
      <w:pPr>
        <w:pStyle w:val="BodyText"/>
        <w:spacing w:before="5"/>
        <w:ind w:left="0"/>
        <w:rPr>
          <w:sz w:val="24"/>
        </w:rPr>
      </w:pPr>
    </w:p>
    <w:p>
      <w:pPr>
        <w:pStyle w:val="Heading3"/>
        <w:ind w:left="1968"/>
      </w:pPr>
      <w:r>
        <w:rPr/>
        <w:t>(五十二) 胰腺移植</w:t>
      </w:r>
    </w:p>
    <w:p>
      <w:pPr>
        <w:pStyle w:val="BodyText"/>
        <w:spacing w:line="273" w:lineRule="auto"/>
        <w:ind w:right="123" w:firstLine="420"/>
        <w:jc w:val="both"/>
      </w:pPr>
      <w:r>
        <w:rPr>
          <w:spacing w:val="-3"/>
        </w:rPr>
        <w:t>指因胰腺功能衰竭，已经实施了在全身麻醉下进行的胰腺的异体器官移植手术。</w:t>
      </w:r>
    </w:p>
    <w:p>
      <w:pPr>
        <w:pStyle w:val="BodyText"/>
        <w:spacing w:before="8"/>
        <w:ind w:left="2282"/>
      </w:pPr>
      <w:r>
        <w:rPr/>
        <w:t>单纯胰岛移植、部分胰腺组织或细胞的移植不在本保障范围之内。</w:t>
      </w:r>
    </w:p>
    <w:p>
      <w:pPr>
        <w:pStyle w:val="BodyText"/>
        <w:spacing w:before="9"/>
        <w:ind w:left="0"/>
        <w:rPr>
          <w:sz w:val="26"/>
        </w:rPr>
      </w:pPr>
    </w:p>
    <w:p>
      <w:pPr>
        <w:pStyle w:val="Heading3"/>
      </w:pPr>
      <w:r>
        <w:rPr>
          <w:w w:val="95"/>
        </w:rPr>
        <w:t>（五十三）严重心肌炎</w:t>
      </w:r>
    </w:p>
    <w:p>
      <w:pPr>
        <w:pStyle w:val="BodyText"/>
        <w:spacing w:line="273" w:lineRule="auto"/>
        <w:ind w:right="122" w:firstLine="420"/>
        <w:jc w:val="both"/>
      </w:pPr>
      <w:r>
        <w:rPr/>
        <w:t>指被保人因严重心肌炎性病变导致心功能损害造成持续的永久不可逆性的心功能衰竭。必须满足所有以下条件：</w:t>
      </w:r>
    </w:p>
    <w:p>
      <w:pPr>
        <w:pStyle w:val="BodyText"/>
        <w:spacing w:line="273" w:lineRule="auto" w:before="7"/>
        <w:ind w:right="100"/>
      </w:pPr>
      <w:r>
        <w:rPr/>
        <w:t>（1）</w:t>
      </w:r>
      <w:r>
        <w:rPr>
          <w:spacing w:val="-3"/>
        </w:rPr>
        <w:t>心功能衰竭程度达到纽约心脏病学会的心功能分级标准之心功能 </w:t>
      </w:r>
      <w:r>
        <w:rPr/>
        <w:t>IV</w:t>
      </w:r>
      <w:r>
        <w:rPr>
          <w:spacing w:val="-22"/>
        </w:rPr>
        <w:t> 级， </w:t>
      </w:r>
      <w:r>
        <w:rPr>
          <w:spacing w:val="-27"/>
        </w:rPr>
        <w:t>或左室射血分数低于 </w:t>
      </w:r>
      <w:r>
        <w:rPr/>
        <w:t>30%；</w:t>
      </w:r>
    </w:p>
    <w:p>
      <w:pPr>
        <w:pStyle w:val="BodyText"/>
        <w:spacing w:before="7"/>
      </w:pPr>
      <w:r>
        <w:rPr/>
        <w:t>（2）持续不间断 180 天以上；</w:t>
      </w:r>
    </w:p>
    <w:p>
      <w:pPr>
        <w:pStyle w:val="BodyText"/>
      </w:pPr>
      <w:r>
        <w:rPr/>
        <w:t>（3）被保险人永久不可逆性的体力活动能力受限，不能从事任何体力活动。</w:t>
      </w:r>
    </w:p>
    <w:p>
      <w:pPr>
        <w:pStyle w:val="BodyText"/>
        <w:spacing w:before="8"/>
        <w:ind w:left="0"/>
        <w:rPr>
          <w:sz w:val="26"/>
        </w:rPr>
      </w:pPr>
    </w:p>
    <w:p>
      <w:pPr>
        <w:pStyle w:val="Heading3"/>
        <w:spacing w:before="1"/>
      </w:pPr>
      <w:r>
        <w:rPr>
          <w:w w:val="95"/>
        </w:rPr>
        <w:t>（五十四）肺源性心脏病</w:t>
      </w:r>
    </w:p>
    <w:p>
      <w:pPr>
        <w:pStyle w:val="BodyText"/>
        <w:spacing w:line="273" w:lineRule="auto"/>
        <w:ind w:left="1968" w:right="150" w:firstLine="420"/>
        <w:jc w:val="both"/>
      </w:pPr>
      <w:r>
        <w:rPr/>
        <w:t>指被保人因慢性肺部疾病导致慢性心功能损害造成永久不可逆性的心功</w:t>
      </w:r>
      <w:r>
        <w:rPr>
          <w:spacing w:val="-2"/>
        </w:rPr>
        <w:t>能衰竭。心功能衰竭程度达到纽约心脏病学会的心功能分级标准之心功能 </w:t>
      </w:r>
      <w:r>
        <w:rPr/>
        <w:t>IV 级。被保险人永久不可逆性的体力活动能力受限，不能从事任何体力活动。</w:t>
      </w:r>
    </w:p>
    <w:p>
      <w:pPr>
        <w:pStyle w:val="BodyText"/>
        <w:spacing w:before="5"/>
        <w:ind w:left="0"/>
        <w:rPr>
          <w:sz w:val="24"/>
        </w:rPr>
      </w:pPr>
    </w:p>
    <w:p>
      <w:pPr>
        <w:pStyle w:val="Heading3"/>
      </w:pPr>
      <w:r>
        <w:rPr/>
        <w:t>（五十五）1 型糖尿病</w:t>
      </w:r>
    </w:p>
    <w:p>
      <w:pPr>
        <w:pStyle w:val="BodyText"/>
        <w:spacing w:line="273" w:lineRule="auto" w:before="36"/>
        <w:ind w:left="1968" w:right="204" w:firstLine="420"/>
        <w:jc w:val="both"/>
      </w:pPr>
      <w:r>
        <w:rPr/>
        <w:t>1</w:t>
      </w:r>
      <w:r>
        <w:rPr>
          <w:spacing w:val="-8"/>
        </w:rPr>
        <w:t> 型糖尿病的特征为由于胰岛素分泌绝对不足引起严重胰岛素缺乏导致慢性血糖升高，需要依赖外源性胰岛素进行机体的葡萄糖代谢和维持生命。</w:t>
      </w:r>
      <w:r>
        <w:rPr>
          <w:spacing w:val="-17"/>
        </w:rPr>
        <w:t>被保险人的 </w:t>
      </w:r>
      <w:r>
        <w:rPr/>
        <w:t>1</w:t>
      </w:r>
      <w:r>
        <w:rPr>
          <w:spacing w:val="-11"/>
        </w:rPr>
        <w:t> 型糖尿病必须明确诊断，而且有血胰岛素测定及血 </w:t>
      </w:r>
      <w:r>
        <w:rPr/>
        <w:t>C</w:t>
      </w:r>
      <w:r>
        <w:rPr>
          <w:spacing w:val="-24"/>
        </w:rPr>
        <w:t> 肽或尿 </w:t>
      </w:r>
      <w:r>
        <w:rPr/>
        <w:t>C 肽测定结果支持诊断，并且满足下列全部条件：</w:t>
      </w:r>
    </w:p>
    <w:p>
      <w:pPr>
        <w:pStyle w:val="BodyText"/>
        <w:spacing w:before="7"/>
      </w:pPr>
      <w:r>
        <w:rPr/>
        <w:t>（1）已经持续性地接受外源性胰岛素注射治疗连续 180 天以上；</w:t>
      </w:r>
    </w:p>
    <w:p>
      <w:pPr>
        <w:pStyle w:val="BodyText"/>
      </w:pPr>
      <w:r>
        <w:rPr/>
        <w:t>（2）因需要已经接受了下列治疗：</w:t>
      </w:r>
    </w:p>
    <w:p>
      <w:pPr>
        <w:pStyle w:val="BodyText"/>
        <w:ind w:left="2492"/>
      </w:pPr>
      <w:r>
        <w:rPr/>
        <w:t>① 因严重心律失常植入了心脏起搏器；或</w:t>
      </w:r>
    </w:p>
    <w:p>
      <w:pPr>
        <w:pStyle w:val="BodyText"/>
        <w:ind w:left="2492"/>
      </w:pPr>
      <w:r>
        <w:rPr/>
        <w:t>② 因坏疽自跖趾关节或以上切除了一趾或多趾。</w:t>
      </w:r>
    </w:p>
    <w:p>
      <w:pPr>
        <w:pStyle w:val="BodyText"/>
        <w:spacing w:before="8"/>
        <w:ind w:left="0"/>
        <w:rPr>
          <w:sz w:val="26"/>
        </w:rPr>
      </w:pPr>
    </w:p>
    <w:p>
      <w:pPr>
        <w:pStyle w:val="Heading3"/>
      </w:pPr>
      <w:r>
        <w:rPr>
          <w:w w:val="95"/>
        </w:rPr>
        <w:t>（五十六）肌营养不良症</w:t>
      </w:r>
    </w:p>
    <w:p>
      <w:pPr>
        <w:spacing w:after="0"/>
        <w:sectPr>
          <w:pgSz w:w="11910" w:h="16840"/>
          <w:pgMar w:top="1100" w:bottom="280" w:left="1680" w:right="1120"/>
        </w:sectPr>
      </w:pPr>
    </w:p>
    <w:p>
      <w:pPr>
        <w:pStyle w:val="BodyText"/>
        <w:spacing w:line="273" w:lineRule="auto" w:before="19"/>
        <w:ind w:left="1968" w:right="284" w:firstLine="420"/>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5"/>
        <w:ind w:left="0"/>
        <w:rPr>
          <w:sz w:val="24"/>
        </w:rPr>
      </w:pPr>
    </w:p>
    <w:p>
      <w:pPr>
        <w:pStyle w:val="Heading3"/>
      </w:pPr>
      <w:r>
        <w:rPr>
          <w:w w:val="95"/>
        </w:rPr>
        <w:t>（五十七）嗜铬细胞瘤</w:t>
      </w:r>
    </w:p>
    <w:p>
      <w:pPr>
        <w:pStyle w:val="BodyText"/>
        <w:spacing w:line="273" w:lineRule="auto" w:before="36"/>
        <w:ind w:left="1967" w:right="284" w:firstLine="420"/>
        <w:jc w:val="both"/>
      </w:pPr>
      <w:r>
        <w:rPr/>
        <w:t>指发生在肾上腺或肾上腺外嗜铬组织的以分泌过多的儿茶酚胺为表现的神经内分泌肿瘤。嗜铬细胞瘤必须由内分泌专科医生诊断，并且满足以下所有条件：</w:t>
      </w:r>
    </w:p>
    <w:p>
      <w:pPr>
        <w:pStyle w:val="BodyText"/>
        <w:spacing w:before="7"/>
      </w:pPr>
      <w:r>
        <w:rPr/>
        <w:t>（1）临床有高血压症候群表现；</w:t>
      </w:r>
    </w:p>
    <w:p>
      <w:pPr>
        <w:pStyle w:val="BodyText"/>
      </w:pPr>
      <w:r>
        <w:rPr/>
        <w:t>（2）已经实施了嗜铬细胞瘤切除手术。</w:t>
      </w:r>
    </w:p>
    <w:p>
      <w:pPr>
        <w:pStyle w:val="BodyText"/>
        <w:spacing w:before="8"/>
        <w:ind w:left="0"/>
        <w:rPr>
          <w:sz w:val="26"/>
        </w:rPr>
      </w:pPr>
    </w:p>
    <w:p>
      <w:pPr>
        <w:pStyle w:val="Heading3"/>
        <w:spacing w:before="1"/>
      </w:pPr>
      <w:r>
        <w:rPr>
          <w:w w:val="95"/>
        </w:rPr>
        <w:t>（五十八）克-雅氏病（CJD、人类疯牛病）</w:t>
      </w:r>
    </w:p>
    <w:p>
      <w:pPr>
        <w:pStyle w:val="BodyText"/>
        <w:spacing w:line="273" w:lineRule="auto"/>
        <w:ind w:left="1967" w:right="98" w:firstLine="420"/>
      </w:pPr>
      <w:r>
        <w:rPr/>
        <w:t>CJD</w:t>
      </w:r>
      <w:r>
        <w:rPr>
          <w:spacing w:val="-13"/>
        </w:rPr>
        <w:t> 是一种传染性海绵状脑病，临床表现为快速进行性痴呆、肌阵挛和特征性脑电图变化。本病须经三级医院的专科医师根据 </w:t>
      </w:r>
      <w:r>
        <w:rPr/>
        <w:t>WHO</w:t>
      </w:r>
      <w:r>
        <w:rPr>
          <w:spacing w:val="-8"/>
        </w:rPr>
        <w:t> 诊断标准明确诊断， 并且被保险人自主生活能力完全丧失，无法独立完成六项基本日常生活活动中的三项或三项以上。</w:t>
      </w:r>
    </w:p>
    <w:p>
      <w:pPr>
        <w:pStyle w:val="BodyText"/>
        <w:spacing w:before="7"/>
        <w:ind w:left="2282"/>
      </w:pPr>
      <w:r>
        <w:rPr/>
        <w:t>CJD 疑似病例除外。</w:t>
      </w:r>
    </w:p>
    <w:p>
      <w:pPr>
        <w:pStyle w:val="BodyText"/>
        <w:spacing w:before="8"/>
        <w:ind w:left="0"/>
        <w:rPr>
          <w:sz w:val="26"/>
        </w:rPr>
      </w:pPr>
    </w:p>
    <w:p>
      <w:pPr>
        <w:pStyle w:val="Heading3"/>
      </w:pPr>
      <w:r>
        <w:rPr>
          <w:w w:val="95"/>
        </w:rPr>
        <w:t>（五十九）严重川崎病</w:t>
      </w:r>
    </w:p>
    <w:p>
      <w:pPr>
        <w:pStyle w:val="BodyText"/>
        <w:ind w:left="2387"/>
      </w:pPr>
      <w:r>
        <w:rPr/>
        <w:t>川崎病为一种病因不明的系统性血管炎。</w:t>
      </w:r>
    </w:p>
    <w:p>
      <w:pPr>
        <w:pStyle w:val="BodyText"/>
        <w:spacing w:line="273" w:lineRule="auto"/>
        <w:ind w:left="2003" w:right="248"/>
      </w:pPr>
      <w:r>
        <w:rPr/>
        <w:t>本保单仅对诊断性检查证实川崎病并发冠状动脉瘤或其他心血管异常并且实际接受了手术治疗的情况予以理赔。</w:t>
      </w:r>
    </w:p>
    <w:p>
      <w:pPr>
        <w:pStyle w:val="BodyText"/>
        <w:spacing w:before="5"/>
        <w:ind w:left="0"/>
        <w:rPr>
          <w:sz w:val="24"/>
        </w:rPr>
      </w:pPr>
    </w:p>
    <w:p>
      <w:pPr>
        <w:pStyle w:val="Heading3"/>
      </w:pPr>
      <w:r>
        <w:rPr>
          <w:w w:val="95"/>
        </w:rPr>
        <w:t>（六十）完全性房室传导阻滞</w:t>
      </w:r>
    </w:p>
    <w:p>
      <w:pPr>
        <w:pStyle w:val="BodyText"/>
        <w:spacing w:line="273" w:lineRule="auto"/>
        <w:ind w:left="1967" w:right="284" w:firstLine="420"/>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8"/>
      </w:pPr>
      <w:r>
        <w:rPr/>
        <w:t>（1）心电图表现为室性逸搏心律，心室率持续低于 40 次/分；</w:t>
      </w:r>
    </w:p>
    <w:p>
      <w:pPr>
        <w:pStyle w:val="BodyText"/>
      </w:pPr>
      <w:r>
        <w:rPr/>
        <w:t>（2）曾经有晕厥、阿-斯综合征发作；</w:t>
      </w:r>
    </w:p>
    <w:p>
      <w:pPr>
        <w:pStyle w:val="BodyText"/>
        <w:spacing w:line="544" w:lineRule="auto"/>
        <w:ind w:right="3645"/>
      </w:pPr>
      <w:r>
        <w:rPr/>
        <w:t>（3）已经植入人工永久性心脏起搏器。上述 7.4 的释义中部分术语释义如下：</w:t>
      </w:r>
    </w:p>
    <w:p>
      <w:pPr>
        <w:pStyle w:val="BodyText"/>
        <w:spacing w:before="82"/>
      </w:pPr>
      <w:r>
        <w:rPr/>
        <w:t>（一）肢体机能完全丧失</w:t>
      </w:r>
    </w:p>
    <w:p>
      <w:pPr>
        <w:pStyle w:val="BodyText"/>
        <w:spacing w:line="273" w:lineRule="auto" w:before="36"/>
        <w:ind w:right="199"/>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99"/>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ind w:left="0"/>
        <w:rPr>
          <w:sz w:val="24"/>
        </w:rPr>
      </w:pPr>
    </w:p>
    <w:p>
      <w:pPr>
        <w:pStyle w:val="BodyText"/>
        <w:spacing w:line="273" w:lineRule="auto" w:before="0"/>
        <w:ind w:right="4590"/>
      </w:pPr>
      <w:r>
        <w:rPr/>
        <w:t>（三）六项基本日常生活活动六项基本日常生活活动是指：</w:t>
      </w:r>
    </w:p>
    <w:p>
      <w:pPr>
        <w:pStyle w:val="BodyText"/>
        <w:spacing w:before="7"/>
      </w:pPr>
      <w:r>
        <w:rPr/>
        <w:t>（1）穿衣：自己能够穿衣及脱衣；</w:t>
      </w:r>
    </w:p>
    <w:p>
      <w:pPr>
        <w:spacing w:after="0"/>
        <w:sectPr>
          <w:pgSz w:w="11910" w:h="16840"/>
          <w:pgMar w:top="1100" w:bottom="280" w:left="168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41"/>
      </w:tblGrid>
      <w:tr>
        <w:trPr>
          <w:trHeight w:val="260" w:hRule="atLeast"/>
        </w:trPr>
        <w:tc>
          <w:tcPr>
            <w:tcW w:w="2527" w:type="dxa"/>
            <w:gridSpan w:val="2"/>
            <w:vMerge w:val="restart"/>
          </w:tcPr>
          <w:p>
            <w:pPr>
              <w:pStyle w:val="TableParagraph"/>
              <w:rPr>
                <w:rFonts w:ascii="Times New Roman"/>
                <w:sz w:val="20"/>
              </w:rPr>
            </w:pPr>
          </w:p>
        </w:tc>
        <w:tc>
          <w:tcPr>
            <w:tcW w:w="7341" w:type="dxa"/>
          </w:tcPr>
          <w:p>
            <w:pPr>
              <w:pStyle w:val="TableParagraph"/>
              <w:spacing w:line="210" w:lineRule="exact"/>
              <w:ind w:left="149"/>
              <w:rPr>
                <w:sz w:val="21"/>
              </w:rPr>
            </w:pPr>
            <w:r>
              <w:rPr>
                <w:sz w:val="21"/>
              </w:rPr>
              <w:t>（2）移动：自己从一个房间到另一个房间；</w:t>
            </w:r>
          </w:p>
        </w:tc>
      </w:tr>
      <w:tr>
        <w:trPr>
          <w:trHeight w:val="311"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（3）行动：自己上下床或上下轮椅；</w:t>
            </w:r>
          </w:p>
        </w:tc>
      </w:tr>
      <w:tr>
        <w:trPr>
          <w:trHeight w:val="311"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（4）如厕：自己控制进行大小便；</w:t>
            </w:r>
          </w:p>
        </w:tc>
      </w:tr>
      <w:tr>
        <w:trPr>
          <w:trHeight w:val="311"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（5）进食：自己从已准备好的碗或碟中取食物放入口中；</w:t>
            </w:r>
          </w:p>
        </w:tc>
      </w:tr>
      <w:tr>
        <w:trPr>
          <w:trHeight w:val="467"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（6）洗澡：自己进行淋浴或盆浴。</w:t>
            </w:r>
          </w:p>
        </w:tc>
      </w:tr>
      <w:tr>
        <w:trPr>
          <w:trHeight w:val="467" w:hRule="atLeast"/>
        </w:trPr>
        <w:tc>
          <w:tcPr>
            <w:tcW w:w="2527" w:type="dxa"/>
            <w:gridSpan w:val="2"/>
            <w:vMerge/>
            <w:tcBorders>
              <w:top w:val="nil"/>
            </w:tcBorders>
          </w:tcPr>
          <w:p>
            <w:pPr>
              <w:rPr>
                <w:sz w:val="2"/>
                <w:szCs w:val="2"/>
              </w:rPr>
            </w:pPr>
          </w:p>
        </w:tc>
        <w:tc>
          <w:tcPr>
            <w:tcW w:w="7341" w:type="dxa"/>
          </w:tcPr>
          <w:p>
            <w:pPr>
              <w:pStyle w:val="TableParagraph"/>
              <w:spacing w:before="142"/>
              <w:ind w:left="149"/>
              <w:rPr>
                <w:sz w:val="21"/>
              </w:rPr>
            </w:pPr>
            <w:r>
              <w:rPr>
                <w:sz w:val="21"/>
              </w:rPr>
              <w:t>（四）永久不可逆</w:t>
            </w:r>
          </w:p>
        </w:tc>
      </w:tr>
      <w:tr>
        <w:trPr>
          <w:trHeight w:val="311"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pacing w:val="-2"/>
                <w:sz w:val="21"/>
              </w:rPr>
              <w:t>永久不可逆是指自疾病确诊或意外伤害发生之日起，经过积极治疗 </w:t>
            </w:r>
            <w:r>
              <w:rPr>
                <w:sz w:val="21"/>
              </w:rPr>
              <w:t>180</w:t>
            </w:r>
            <w:r>
              <w:rPr>
                <w:spacing w:val="-14"/>
                <w:sz w:val="21"/>
              </w:rPr>
              <w:t> 天后，</w:t>
            </w:r>
          </w:p>
        </w:tc>
      </w:tr>
      <w:tr>
        <w:trPr>
          <w:trHeight w:val="467"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仍无法通过现有医疗手段恢复。</w:t>
            </w:r>
          </w:p>
        </w:tc>
      </w:tr>
      <w:tr>
        <w:trPr>
          <w:trHeight w:val="467" w:hRule="atLeast"/>
        </w:trPr>
        <w:tc>
          <w:tcPr>
            <w:tcW w:w="2527" w:type="dxa"/>
            <w:gridSpan w:val="2"/>
            <w:vMerge/>
            <w:tcBorders>
              <w:top w:val="nil"/>
            </w:tcBorders>
          </w:tcPr>
          <w:p>
            <w:pPr>
              <w:rPr>
                <w:sz w:val="2"/>
                <w:szCs w:val="2"/>
              </w:rPr>
            </w:pPr>
          </w:p>
        </w:tc>
        <w:tc>
          <w:tcPr>
            <w:tcW w:w="7341" w:type="dxa"/>
          </w:tcPr>
          <w:p>
            <w:pPr>
              <w:pStyle w:val="TableParagraph"/>
              <w:spacing w:before="142"/>
              <w:ind w:left="149"/>
              <w:rPr>
                <w:sz w:val="21"/>
              </w:rPr>
            </w:pPr>
            <w:r>
              <w:rPr>
                <w:sz w:val="21"/>
              </w:rPr>
              <w:t>（五）三大关节</w:t>
            </w:r>
          </w:p>
        </w:tc>
      </w:tr>
      <w:tr>
        <w:trPr>
          <w:trHeight w:val="467" w:hRule="atLeast"/>
        </w:trPr>
        <w:tc>
          <w:tcPr>
            <w:tcW w:w="2527" w:type="dxa"/>
            <w:gridSpan w:val="2"/>
            <w:vMerge/>
            <w:tcBorders>
              <w:top w:val="nil"/>
            </w:tcBorders>
          </w:tcPr>
          <w:p>
            <w:pPr>
              <w:rPr>
                <w:sz w:val="2"/>
                <w:szCs w:val="2"/>
              </w:rPr>
            </w:pPr>
          </w:p>
        </w:tc>
        <w:tc>
          <w:tcPr>
            <w:tcW w:w="7341" w:type="dxa"/>
          </w:tcPr>
          <w:p>
            <w:pPr>
              <w:pStyle w:val="TableParagraph"/>
              <w:spacing w:line="261" w:lineRule="exact"/>
              <w:ind w:left="149"/>
              <w:rPr>
                <w:sz w:val="21"/>
              </w:rPr>
            </w:pPr>
            <w:r>
              <w:rPr>
                <w:sz w:val="21"/>
              </w:rPr>
              <w:t>上肢三大关节是指肩、肘、腕关节，下肢三大关节是指髋、膝、踝关节。</w:t>
            </w:r>
          </w:p>
        </w:tc>
      </w:tr>
      <w:tr>
        <w:trPr>
          <w:trHeight w:val="467" w:hRule="atLeast"/>
        </w:trPr>
        <w:tc>
          <w:tcPr>
            <w:tcW w:w="582" w:type="dxa"/>
          </w:tcPr>
          <w:p>
            <w:pPr>
              <w:pStyle w:val="TableParagraph"/>
              <w:spacing w:before="142"/>
              <w:ind w:left="50"/>
              <w:rPr>
                <w:b/>
                <w:sz w:val="21"/>
              </w:rPr>
            </w:pPr>
            <w:r>
              <w:rPr>
                <w:b/>
                <w:sz w:val="21"/>
              </w:rPr>
              <w:t>7.5</w:t>
            </w:r>
          </w:p>
        </w:tc>
        <w:tc>
          <w:tcPr>
            <w:tcW w:w="1945" w:type="dxa"/>
          </w:tcPr>
          <w:p>
            <w:pPr>
              <w:pStyle w:val="TableParagraph"/>
              <w:spacing w:before="142"/>
              <w:ind w:left="107"/>
              <w:rPr>
                <w:b/>
                <w:sz w:val="21"/>
              </w:rPr>
            </w:pPr>
            <w:r>
              <w:rPr>
                <w:b/>
                <w:sz w:val="21"/>
              </w:rPr>
              <w:t>初次发生</w:t>
            </w:r>
          </w:p>
        </w:tc>
        <w:tc>
          <w:tcPr>
            <w:tcW w:w="7341" w:type="dxa"/>
          </w:tcPr>
          <w:p>
            <w:pPr>
              <w:pStyle w:val="TableParagraph"/>
              <w:spacing w:before="142"/>
              <w:ind w:left="149"/>
              <w:rPr>
                <w:sz w:val="21"/>
              </w:rPr>
            </w:pPr>
            <w:r>
              <w:rPr>
                <w:sz w:val="21"/>
              </w:rPr>
              <w:t>指被保险人首次出现重大疾病的前兆或异常的身体状况，包括与重大疾病相关</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的症状及体征。</w:t>
            </w:r>
          </w:p>
        </w:tc>
      </w:tr>
      <w:tr>
        <w:trPr>
          <w:trHeight w:val="467" w:hRule="atLeast"/>
        </w:trPr>
        <w:tc>
          <w:tcPr>
            <w:tcW w:w="582" w:type="dxa"/>
          </w:tcPr>
          <w:p>
            <w:pPr>
              <w:pStyle w:val="TableParagraph"/>
              <w:spacing w:before="142"/>
              <w:ind w:left="50"/>
              <w:rPr>
                <w:b/>
                <w:sz w:val="21"/>
              </w:rPr>
            </w:pPr>
            <w:r>
              <w:rPr>
                <w:b/>
                <w:sz w:val="21"/>
              </w:rPr>
              <w:t>7.6</w:t>
            </w:r>
          </w:p>
        </w:tc>
        <w:tc>
          <w:tcPr>
            <w:tcW w:w="1945" w:type="dxa"/>
          </w:tcPr>
          <w:p>
            <w:pPr>
              <w:pStyle w:val="TableParagraph"/>
              <w:spacing w:before="142"/>
              <w:ind w:left="107"/>
              <w:rPr>
                <w:b/>
                <w:sz w:val="21"/>
              </w:rPr>
            </w:pPr>
            <w:r>
              <w:rPr>
                <w:b/>
                <w:w w:val="95"/>
                <w:sz w:val="21"/>
              </w:rPr>
              <w:t>医院</w:t>
            </w:r>
          </w:p>
        </w:tc>
        <w:tc>
          <w:tcPr>
            <w:tcW w:w="7341" w:type="dxa"/>
          </w:tcPr>
          <w:p>
            <w:pPr>
              <w:pStyle w:val="TableParagraph"/>
              <w:spacing w:before="142"/>
              <w:ind w:left="149"/>
              <w:rPr>
                <w:sz w:val="21"/>
              </w:rPr>
            </w:pPr>
            <w:r>
              <w:rPr>
                <w:sz w:val="21"/>
              </w:rPr>
              <w:t>指国家卫生部医院等级分类中的二级或二级以上的公立医院，但不包括附属于</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前述医院或单独作为诊所、康复、护理、疗养、戒酒、戒毒等或相类似的医疗</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机构。同时该医院必须具有符合有关医院管理规定设置标准的医疗设备，并且</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全日二十四小时有合格医师及护士驻院提供医疗和护理等服务。</w:t>
            </w:r>
          </w:p>
        </w:tc>
      </w:tr>
      <w:tr>
        <w:trPr>
          <w:trHeight w:val="467" w:hRule="atLeast"/>
        </w:trPr>
        <w:tc>
          <w:tcPr>
            <w:tcW w:w="582" w:type="dxa"/>
          </w:tcPr>
          <w:p>
            <w:pPr>
              <w:pStyle w:val="TableParagraph"/>
              <w:spacing w:before="142"/>
              <w:ind w:left="50"/>
              <w:rPr>
                <w:b/>
                <w:sz w:val="21"/>
              </w:rPr>
            </w:pPr>
            <w:r>
              <w:rPr>
                <w:b/>
                <w:sz w:val="21"/>
              </w:rPr>
              <w:t>7.7</w:t>
            </w:r>
          </w:p>
        </w:tc>
        <w:tc>
          <w:tcPr>
            <w:tcW w:w="1945" w:type="dxa"/>
          </w:tcPr>
          <w:p>
            <w:pPr>
              <w:pStyle w:val="TableParagraph"/>
              <w:spacing w:before="142"/>
              <w:ind w:left="107"/>
              <w:rPr>
                <w:b/>
                <w:sz w:val="21"/>
              </w:rPr>
            </w:pPr>
            <w:r>
              <w:rPr>
                <w:b/>
                <w:sz w:val="21"/>
              </w:rPr>
              <w:t>专科医生</w:t>
            </w:r>
          </w:p>
        </w:tc>
        <w:tc>
          <w:tcPr>
            <w:tcW w:w="7341" w:type="dxa"/>
          </w:tcPr>
          <w:p>
            <w:pPr>
              <w:pStyle w:val="TableParagraph"/>
              <w:spacing w:before="142"/>
              <w:ind w:left="149"/>
              <w:rPr>
                <w:sz w:val="21"/>
              </w:rPr>
            </w:pPr>
            <w:r>
              <w:rPr>
                <w:sz w:val="21"/>
              </w:rPr>
              <w:t>专科医生应当同时满足以下四项资格条件：</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（1）具有有效的中华人民共和国《医师资格证书》；</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pacing w:val="-3"/>
                <w:sz w:val="21"/>
              </w:rPr>
              <w:t>（2）</w:t>
            </w:r>
            <w:r>
              <w:rPr>
                <w:spacing w:val="-8"/>
                <w:sz w:val="21"/>
              </w:rPr>
              <w:t>具有有效的中华人民共和国《医师执业证书》，并按期到相关部门登记注</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册；</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（3）具有有效的中华人民共和国主治医师或主治医师以上职称的《医师职称</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证书》；</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（4）在二级或二级以上医院的相应科室从事临床工作三年以上。</w:t>
            </w:r>
          </w:p>
        </w:tc>
      </w:tr>
      <w:tr>
        <w:trPr>
          <w:trHeight w:val="467" w:hRule="atLeast"/>
        </w:trPr>
        <w:tc>
          <w:tcPr>
            <w:tcW w:w="582" w:type="dxa"/>
          </w:tcPr>
          <w:p>
            <w:pPr>
              <w:pStyle w:val="TableParagraph"/>
              <w:spacing w:before="142"/>
              <w:ind w:left="50"/>
              <w:rPr>
                <w:b/>
                <w:sz w:val="21"/>
              </w:rPr>
            </w:pPr>
            <w:r>
              <w:rPr>
                <w:b/>
                <w:sz w:val="21"/>
              </w:rPr>
              <w:t>7.8</w:t>
            </w:r>
          </w:p>
        </w:tc>
        <w:tc>
          <w:tcPr>
            <w:tcW w:w="1945" w:type="dxa"/>
          </w:tcPr>
          <w:p>
            <w:pPr>
              <w:pStyle w:val="TableParagraph"/>
              <w:spacing w:before="142"/>
              <w:ind w:left="107"/>
              <w:rPr>
                <w:b/>
                <w:sz w:val="21"/>
              </w:rPr>
            </w:pPr>
            <w:r>
              <w:rPr>
                <w:b/>
                <w:w w:val="95"/>
                <w:sz w:val="21"/>
              </w:rPr>
              <w:t>酗酒</w:t>
            </w:r>
          </w:p>
        </w:tc>
        <w:tc>
          <w:tcPr>
            <w:tcW w:w="7341" w:type="dxa"/>
          </w:tcPr>
          <w:p>
            <w:pPr>
              <w:pStyle w:val="TableParagraph"/>
              <w:spacing w:before="142"/>
              <w:ind w:left="149"/>
              <w:rPr>
                <w:sz w:val="21"/>
              </w:rPr>
            </w:pPr>
            <w:r>
              <w:rPr>
                <w:sz w:val="21"/>
              </w:rPr>
              <w:t>指没有节制地喝酒，以医疗机构或司法部门出具的酒精中毒或酒精摄入过量的</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相关证明为依据。</w:t>
            </w:r>
          </w:p>
        </w:tc>
      </w:tr>
      <w:tr>
        <w:trPr>
          <w:trHeight w:val="467" w:hRule="atLeast"/>
        </w:trPr>
        <w:tc>
          <w:tcPr>
            <w:tcW w:w="582" w:type="dxa"/>
          </w:tcPr>
          <w:p>
            <w:pPr>
              <w:pStyle w:val="TableParagraph"/>
              <w:spacing w:before="142"/>
              <w:ind w:left="50"/>
              <w:rPr>
                <w:b/>
                <w:sz w:val="21"/>
              </w:rPr>
            </w:pPr>
            <w:r>
              <w:rPr>
                <w:b/>
                <w:sz w:val="21"/>
              </w:rPr>
              <w:t>7.9</w:t>
            </w:r>
          </w:p>
        </w:tc>
        <w:tc>
          <w:tcPr>
            <w:tcW w:w="1945" w:type="dxa"/>
          </w:tcPr>
          <w:p>
            <w:pPr>
              <w:pStyle w:val="TableParagraph"/>
              <w:spacing w:before="142"/>
              <w:ind w:left="107"/>
              <w:rPr>
                <w:b/>
                <w:sz w:val="21"/>
              </w:rPr>
            </w:pPr>
            <w:r>
              <w:rPr>
                <w:b/>
                <w:w w:val="95"/>
                <w:sz w:val="21"/>
              </w:rPr>
              <w:t>毒品</w:t>
            </w:r>
          </w:p>
        </w:tc>
        <w:tc>
          <w:tcPr>
            <w:tcW w:w="7341" w:type="dxa"/>
          </w:tcPr>
          <w:p>
            <w:pPr>
              <w:pStyle w:val="TableParagraph"/>
              <w:spacing w:before="142"/>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药品。</w:t>
            </w:r>
          </w:p>
        </w:tc>
      </w:tr>
      <w:tr>
        <w:trPr>
          <w:trHeight w:val="467" w:hRule="atLeast"/>
        </w:trPr>
        <w:tc>
          <w:tcPr>
            <w:tcW w:w="582" w:type="dxa"/>
          </w:tcPr>
          <w:p>
            <w:pPr>
              <w:pStyle w:val="TableParagraph"/>
              <w:spacing w:before="142"/>
              <w:ind w:left="50"/>
              <w:rPr>
                <w:b/>
                <w:sz w:val="21"/>
              </w:rPr>
            </w:pPr>
            <w:r>
              <w:rPr>
                <w:b/>
                <w:sz w:val="21"/>
              </w:rPr>
              <w:t>7.10</w:t>
            </w:r>
          </w:p>
        </w:tc>
        <w:tc>
          <w:tcPr>
            <w:tcW w:w="1945" w:type="dxa"/>
          </w:tcPr>
          <w:p>
            <w:pPr>
              <w:pStyle w:val="TableParagraph"/>
              <w:spacing w:before="142"/>
              <w:ind w:left="108"/>
              <w:rPr>
                <w:b/>
                <w:sz w:val="21"/>
              </w:rPr>
            </w:pPr>
            <w:r>
              <w:rPr>
                <w:b/>
                <w:sz w:val="21"/>
              </w:rPr>
              <w:t>酒后驾驶</w:t>
            </w:r>
          </w:p>
        </w:tc>
        <w:tc>
          <w:tcPr>
            <w:tcW w:w="7341" w:type="dxa"/>
          </w:tcPr>
          <w:p>
            <w:pPr>
              <w:pStyle w:val="TableParagraph"/>
              <w:spacing w:before="142"/>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超过一定的标准，公安机关交通管理部门依据《道路交通安全法》的规定认定</w:t>
            </w:r>
          </w:p>
        </w:tc>
      </w:tr>
      <w:tr>
        <w:trPr>
          <w:trHeight w:val="472"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为饮酒后驾驶或醉酒后驾驶。</w:t>
            </w:r>
          </w:p>
        </w:tc>
      </w:tr>
      <w:tr>
        <w:trPr>
          <w:trHeight w:val="484" w:hRule="atLeast"/>
        </w:trPr>
        <w:tc>
          <w:tcPr>
            <w:tcW w:w="582" w:type="dxa"/>
          </w:tcPr>
          <w:p>
            <w:pPr>
              <w:pStyle w:val="TableParagraph"/>
              <w:spacing w:before="146"/>
              <w:ind w:left="50"/>
              <w:rPr>
                <w:b/>
                <w:sz w:val="21"/>
              </w:rPr>
            </w:pPr>
            <w:r>
              <w:rPr>
                <w:b/>
                <w:sz w:val="21"/>
              </w:rPr>
              <w:t>7.11</w:t>
            </w:r>
          </w:p>
        </w:tc>
        <w:tc>
          <w:tcPr>
            <w:tcW w:w="1945" w:type="dxa"/>
          </w:tcPr>
          <w:p>
            <w:pPr>
              <w:pStyle w:val="TableParagraph"/>
              <w:spacing w:before="171"/>
              <w:ind w:left="107"/>
              <w:rPr>
                <w:b/>
                <w:sz w:val="21"/>
              </w:rPr>
            </w:pPr>
            <w:r>
              <w:rPr>
                <w:b/>
                <w:w w:val="95"/>
                <w:sz w:val="21"/>
              </w:rPr>
              <w:t>无合法有效驾驶证</w:t>
            </w:r>
          </w:p>
        </w:tc>
        <w:tc>
          <w:tcPr>
            <w:tcW w:w="7341" w:type="dxa"/>
          </w:tcPr>
          <w:p>
            <w:pPr>
              <w:pStyle w:val="TableParagraph"/>
              <w:spacing w:before="146"/>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6"/>
              <w:ind w:left="107"/>
              <w:rPr>
                <w:b/>
                <w:sz w:val="21"/>
              </w:rPr>
            </w:pPr>
            <w:r>
              <w:rPr>
                <w:b/>
                <w:sz w:val="21"/>
              </w:rPr>
              <w:t>驾驶</w:t>
            </w:r>
          </w:p>
        </w:tc>
        <w:tc>
          <w:tcPr>
            <w:tcW w:w="7341" w:type="dxa"/>
          </w:tcPr>
          <w:p>
            <w:pPr>
              <w:pStyle w:val="TableParagraph"/>
              <w:spacing w:line="248"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41" w:type="dxa"/>
          </w:tcPr>
          <w:p>
            <w:pPr>
              <w:pStyle w:val="TableParagraph"/>
              <w:spacing w:line="261"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41" w:type="dxa"/>
          </w:tcPr>
          <w:p>
            <w:pPr>
              <w:pStyle w:val="TableParagraph"/>
              <w:spacing w:line="241" w:lineRule="exact"/>
              <w:ind w:left="149"/>
              <w:rPr>
                <w:sz w:val="21"/>
              </w:rPr>
            </w:pPr>
            <w:r>
              <w:rPr>
                <w:sz w:val="21"/>
              </w:rPr>
              <w:t>（4）持学习驾驶证学习驾车时，无教练员随车指导，或不按指定时间、路线</w:t>
            </w:r>
          </w:p>
        </w:tc>
      </w:tr>
    </w:tbl>
    <w:p>
      <w:pPr>
        <w:spacing w:after="0" w:line="241" w:lineRule="exact"/>
        <w:rPr>
          <w:sz w:val="21"/>
        </w:rPr>
        <w:sectPr>
          <w:pgSz w:w="11910" w:h="16840"/>
          <w:pgMar w:top="1180" w:bottom="280" w:left="760" w:right="1060"/>
        </w:sectPr>
      </w:pPr>
    </w:p>
    <w:p>
      <w:pPr>
        <w:pStyle w:val="BodyText"/>
        <w:spacing w:before="19"/>
        <w:ind w:left="2742"/>
      </w:pPr>
      <w:r>
        <w:rPr/>
        <w:t>学习驾车。</w:t>
      </w:r>
    </w:p>
    <w:p>
      <w:pPr>
        <w:pStyle w:val="BodyText"/>
        <w:spacing w:before="8"/>
        <w:ind w:left="0"/>
        <w:rPr>
          <w:sz w:val="26"/>
        </w:rPr>
      </w:pPr>
    </w:p>
    <w:p>
      <w:pPr>
        <w:pStyle w:val="ListParagraph"/>
        <w:numPr>
          <w:ilvl w:val="1"/>
          <w:numId w:val="8"/>
        </w:numPr>
        <w:tabs>
          <w:tab w:pos="755" w:val="left" w:leader="none"/>
          <w:tab w:pos="756" w:val="left" w:leader="none"/>
          <w:tab w:pos="2742" w:val="left" w:leader="none"/>
        </w:tabs>
        <w:spacing w:line="240" w:lineRule="auto" w:before="1" w:after="0"/>
        <w:ind w:left="2742" w:right="0" w:hanging="2627"/>
        <w:jc w:val="left"/>
        <w:rPr>
          <w:sz w:val="21"/>
        </w:rPr>
      </w:pPr>
      <w:r>
        <w:rPr>
          <w:b/>
          <w:sz w:val="21"/>
        </w:rPr>
        <w:t>无有效行驶证照</w:t>
        <w:tab/>
      </w:r>
      <w:r>
        <w:rPr>
          <w:sz w:val="21"/>
        </w:rPr>
        <w:t>指下列情形之一：</w:t>
      </w:r>
    </w:p>
    <w:p>
      <w:pPr>
        <w:pStyle w:val="BodyText"/>
        <w:spacing w:line="273" w:lineRule="auto"/>
        <w:ind w:left="2742" w:right="285"/>
      </w:pPr>
      <w:r>
        <w:rPr/>
        <w:t>（1）发生保险事故时无公安机关交通管理部门核发的合法有效的行驶证、号牌，或临时号牌或临时移动号牌；</w:t>
      </w:r>
    </w:p>
    <w:p>
      <w:pPr>
        <w:pStyle w:val="BodyText"/>
        <w:spacing w:before="7"/>
        <w:ind w:left="2742"/>
      </w:pPr>
      <w:r>
        <w:rPr/>
        <w:t>（2）未依法按时进行或通过机动车安全技术检验。</w:t>
      </w:r>
    </w:p>
    <w:p>
      <w:pPr>
        <w:pStyle w:val="BodyText"/>
        <w:spacing w:before="8"/>
        <w:ind w:left="0"/>
        <w:rPr>
          <w:sz w:val="26"/>
        </w:rPr>
      </w:pPr>
    </w:p>
    <w:p>
      <w:pPr>
        <w:pStyle w:val="ListParagraph"/>
        <w:numPr>
          <w:ilvl w:val="1"/>
          <w:numId w:val="8"/>
        </w:numPr>
        <w:tabs>
          <w:tab w:pos="755" w:val="left" w:leader="none"/>
          <w:tab w:pos="756" w:val="left" w:leader="none"/>
          <w:tab w:pos="2742" w:val="left" w:leader="none"/>
        </w:tabs>
        <w:spacing w:line="273" w:lineRule="auto" w:before="0" w:after="0"/>
        <w:ind w:left="2742" w:right="204" w:hanging="2627"/>
        <w:jc w:val="left"/>
        <w:rPr>
          <w:sz w:val="21"/>
        </w:rPr>
      </w:pPr>
      <w:r>
        <w:rPr>
          <w:b/>
          <w:sz w:val="21"/>
        </w:rPr>
        <w:t>机动车</w:t>
        <w:tab/>
      </w:r>
      <w:r>
        <w:rPr>
          <w:sz w:val="21"/>
        </w:rPr>
        <w:t>指以动力装置驱动或者牵引</w:t>
      </w:r>
      <w:r>
        <w:rPr>
          <w:spacing w:val="-25"/>
          <w:sz w:val="21"/>
        </w:rPr>
        <w:t>，</w:t>
      </w:r>
      <w:r>
        <w:rPr>
          <w:sz w:val="21"/>
        </w:rPr>
        <w:t>上道路行驶的供人员乘用或者用于运送物品以及进行工程专项作业的轮式车辆。</w:t>
      </w:r>
    </w:p>
    <w:p>
      <w:pPr>
        <w:pStyle w:val="BodyText"/>
        <w:spacing w:before="9"/>
        <w:ind w:left="0"/>
      </w:pPr>
    </w:p>
    <w:p>
      <w:pPr>
        <w:spacing w:after="0"/>
        <w:sectPr>
          <w:pgSz w:w="11910" w:h="16840"/>
          <w:pgMar w:top="1100" w:bottom="280" w:left="800" w:right="1040"/>
        </w:sectPr>
      </w:pPr>
    </w:p>
    <w:p>
      <w:pPr>
        <w:pStyle w:val="Heading3"/>
        <w:numPr>
          <w:ilvl w:val="1"/>
          <w:numId w:val="8"/>
        </w:numPr>
        <w:tabs>
          <w:tab w:pos="755" w:val="left" w:leader="none"/>
          <w:tab w:pos="756" w:val="left" w:leader="none"/>
        </w:tabs>
        <w:spacing w:line="280" w:lineRule="auto" w:before="30" w:after="0"/>
        <w:ind w:left="755" w:right="0" w:hanging="640"/>
        <w:jc w:val="left"/>
      </w:pPr>
      <w:r>
        <w:rPr/>
        <w:t>感染艾滋病病毒或患艾滋病</w:t>
      </w:r>
    </w:p>
    <w:p>
      <w:pPr>
        <w:pStyle w:val="BodyText"/>
        <w:spacing w:line="273" w:lineRule="auto" w:before="35"/>
        <w:ind w:left="115" w:right="232"/>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ind w:left="0"/>
        <w:rPr>
          <w:sz w:val="24"/>
        </w:rPr>
      </w:pPr>
    </w:p>
    <w:p>
      <w:pPr>
        <w:pStyle w:val="BodyText"/>
        <w:spacing w:line="273" w:lineRule="auto" w:before="0"/>
        <w:ind w:left="115" w:right="204"/>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00" w:bottom="280" w:left="800" w:right="1040"/>
          <w:cols w:num="2" w:equalWidth="0">
            <w:col w:w="2443" w:space="184"/>
            <w:col w:w="7443"/>
          </w:cols>
        </w:sectPr>
      </w:pPr>
    </w:p>
    <w:p>
      <w:pPr>
        <w:pStyle w:val="BodyText"/>
        <w:spacing w:before="9"/>
        <w:ind w:left="0"/>
      </w:pPr>
    </w:p>
    <w:p>
      <w:pPr>
        <w:pStyle w:val="ListParagraph"/>
        <w:numPr>
          <w:ilvl w:val="1"/>
          <w:numId w:val="8"/>
        </w:numPr>
        <w:tabs>
          <w:tab w:pos="755" w:val="left" w:leader="none"/>
          <w:tab w:pos="756" w:val="left" w:leader="none"/>
          <w:tab w:pos="2742" w:val="left" w:leader="none"/>
        </w:tabs>
        <w:spacing w:line="273" w:lineRule="auto" w:before="35" w:after="0"/>
        <w:ind w:left="2742" w:right="204"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ind w:left="0"/>
      </w:pPr>
    </w:p>
    <w:p>
      <w:pPr>
        <w:spacing w:after="0"/>
        <w:sectPr>
          <w:type w:val="continuous"/>
          <w:pgSz w:w="11910" w:h="16840"/>
          <w:pgMar w:top="500" w:bottom="280" w:left="800" w:right="1040"/>
        </w:sectPr>
      </w:pPr>
    </w:p>
    <w:p>
      <w:pPr>
        <w:pStyle w:val="Heading3"/>
        <w:numPr>
          <w:ilvl w:val="1"/>
          <w:numId w:val="8"/>
        </w:numPr>
        <w:tabs>
          <w:tab w:pos="755" w:val="left" w:leader="none"/>
          <w:tab w:pos="756" w:val="left" w:leader="none"/>
        </w:tabs>
        <w:spacing w:line="273" w:lineRule="auto" w:before="35" w:after="0"/>
        <w:ind w:left="755" w:right="0" w:hanging="640"/>
        <w:jc w:val="left"/>
      </w:pPr>
      <w:r>
        <w:rPr>
          <w:spacing w:val="10"/>
        </w:rPr>
        <w:t>先天性畸形、变形</w:t>
      </w:r>
      <w:r>
        <w:rPr>
          <w:w w:val="95"/>
        </w:rPr>
        <w:t>或染色体异常</w:t>
      </w:r>
    </w:p>
    <w:p>
      <w:pPr>
        <w:pStyle w:val="BodyText"/>
        <w:spacing w:line="273" w:lineRule="auto" w:before="35"/>
        <w:ind w:left="115" w:right="100"/>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00" w:bottom="280" w:left="800" w:right="1040"/>
          <w:cols w:num="2" w:equalWidth="0">
            <w:col w:w="2540" w:space="87"/>
            <w:col w:w="7443"/>
          </w:cols>
        </w:sectPr>
      </w:pPr>
    </w:p>
    <w:p>
      <w:pPr>
        <w:pStyle w:val="BodyText"/>
        <w:spacing w:before="9"/>
        <w:ind w:left="0"/>
      </w:pPr>
    </w:p>
    <w:p>
      <w:pPr>
        <w:pStyle w:val="ListParagraph"/>
        <w:numPr>
          <w:ilvl w:val="1"/>
          <w:numId w:val="8"/>
        </w:numPr>
        <w:tabs>
          <w:tab w:pos="755" w:val="left" w:leader="none"/>
          <w:tab w:pos="756" w:val="left" w:leader="none"/>
          <w:tab w:pos="2742" w:val="left" w:leader="none"/>
        </w:tabs>
        <w:spacing w:line="273" w:lineRule="auto" w:before="35" w:after="0"/>
        <w:ind w:left="2742" w:right="205" w:hanging="2627"/>
        <w:jc w:val="left"/>
        <w:rPr>
          <w:sz w:val="21"/>
        </w:rPr>
      </w:pPr>
      <w:r>
        <w:rPr>
          <w:b/>
          <w:sz w:val="21"/>
        </w:rPr>
        <w:t>现金价值</w:t>
        <w:tab/>
      </w:r>
      <w:r>
        <w:rPr>
          <w:sz w:val="21"/>
        </w:rPr>
        <w:t>指本合同所具有的价值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ind w:left="0"/>
        <w:rPr>
          <w:sz w:val="24"/>
        </w:rPr>
      </w:pPr>
    </w:p>
    <w:p>
      <w:pPr>
        <w:pStyle w:val="BodyText"/>
        <w:spacing w:line="273" w:lineRule="auto" w:before="0"/>
        <w:ind w:left="2742" w:right="204"/>
        <w:jc w:val="both"/>
      </w:pPr>
      <w:r>
        <w:rPr/>
        <w:t>现金价值＝</w:t>
      </w:r>
      <w:r>
        <w:rPr>
          <w:spacing w:val="-3"/>
        </w:rPr>
        <w:t>净保费×</w:t>
      </w:r>
      <w:r>
        <w:rPr>
          <w:spacing w:val="-10"/>
        </w:rPr>
        <w:t>（1－</w:t>
      </w:r>
      <w:r>
        <w:rPr/>
        <w:t>保险经过日数 / 保险期间的日数</w:t>
      </w:r>
      <w:r>
        <w:rPr>
          <w:spacing w:val="-73"/>
        </w:rPr>
        <w:t>）</w:t>
      </w:r>
      <w:r>
        <w:rPr>
          <w:spacing w:val="-18"/>
        </w:rPr>
        <w:t>，经过日数不足 </w:t>
      </w:r>
      <w:r>
        <w:rPr/>
        <w:t>1 </w:t>
      </w:r>
      <w:r>
        <w:rPr>
          <w:spacing w:val="-14"/>
        </w:rPr>
        <w:t>日的按 </w:t>
      </w:r>
      <w:r>
        <w:rPr/>
        <w:t>1</w:t>
      </w:r>
      <w:r>
        <w:rPr>
          <w:spacing w:val="-12"/>
        </w:rPr>
        <w:t> 日计算。</w:t>
      </w:r>
    </w:p>
    <w:p>
      <w:pPr>
        <w:pStyle w:val="BodyText"/>
        <w:spacing w:before="5"/>
        <w:ind w:left="0"/>
        <w:rPr>
          <w:sz w:val="24"/>
        </w:rPr>
      </w:pPr>
    </w:p>
    <w:p>
      <w:pPr>
        <w:pStyle w:val="BodyText"/>
        <w:spacing w:line="273" w:lineRule="auto" w:before="0"/>
        <w:ind w:left="2742" w:right="204"/>
        <w:jc w:val="both"/>
      </w:pPr>
      <w:r>
        <w:rPr>
          <w:spacing w:val="-1"/>
        </w:rPr>
        <w:t>净保费指您所支付的保险费扣除每张保险单平均承担的我们各项费用</w:t>
      </w:r>
      <w:r>
        <w:rPr/>
        <w:t>（含营业</w:t>
      </w:r>
      <w:r>
        <w:rPr>
          <w:spacing w:val="-4"/>
        </w:rPr>
        <w:t>费用、代理费、各项税金、保险保障基金等</w:t>
      </w:r>
      <w:r>
        <w:rPr>
          <w:spacing w:val="-5"/>
        </w:rPr>
        <w:t>）</w:t>
      </w:r>
      <w:r>
        <w:rPr>
          <w:spacing w:val="-1"/>
        </w:rPr>
        <w:t>后的余额，扣除部分占所付保险</w:t>
      </w:r>
      <w:r>
        <w:rPr>
          <w:spacing w:val="-19"/>
        </w:rPr>
        <w:t>费的 </w:t>
      </w:r>
      <w:r>
        <w:rPr/>
        <w:t>35%。</w:t>
      </w:r>
    </w:p>
    <w:p>
      <w:pPr>
        <w:pStyle w:val="BodyText"/>
        <w:spacing w:before="5"/>
        <w:ind w:left="0"/>
        <w:rPr>
          <w:sz w:val="24"/>
        </w:rPr>
      </w:pPr>
    </w:p>
    <w:p>
      <w:pPr>
        <w:pStyle w:val="ListParagraph"/>
        <w:numPr>
          <w:ilvl w:val="1"/>
          <w:numId w:val="8"/>
        </w:numPr>
        <w:tabs>
          <w:tab w:pos="755" w:val="left" w:leader="none"/>
          <w:tab w:pos="756" w:val="left" w:leader="none"/>
          <w:tab w:pos="2742" w:val="left" w:leader="none"/>
        </w:tabs>
        <w:spacing w:line="273" w:lineRule="auto" w:before="0" w:after="0"/>
        <w:ind w:left="2742" w:right="205" w:hanging="2627"/>
        <w:jc w:val="left"/>
        <w:rPr>
          <w:sz w:val="21"/>
        </w:rPr>
      </w:pPr>
      <w:r>
        <w:rPr>
          <w:b/>
          <w:sz w:val="21"/>
        </w:rPr>
        <w:t>有效身份证件</w:t>
        <w:tab/>
      </w:r>
      <w:r>
        <w:rPr>
          <w:sz w:val="21"/>
        </w:rPr>
        <w:t>指由政府主管部门规定的证明其身份的证件</w:t>
      </w:r>
      <w:r>
        <w:rPr>
          <w:spacing w:val="-9"/>
          <w:sz w:val="21"/>
        </w:rPr>
        <w:t>，</w:t>
      </w:r>
      <w:r>
        <w:rPr>
          <w:sz w:val="21"/>
        </w:rPr>
        <w:t>如</w:t>
      </w:r>
      <w:r>
        <w:rPr>
          <w:spacing w:val="-9"/>
          <w:sz w:val="21"/>
        </w:rPr>
        <w:t>：</w:t>
      </w:r>
      <w:r>
        <w:rPr>
          <w:sz w:val="21"/>
        </w:rPr>
        <w:t>居民身份证</w:t>
      </w:r>
      <w:r>
        <w:rPr>
          <w:spacing w:val="-9"/>
          <w:sz w:val="21"/>
        </w:rPr>
        <w:t>、</w:t>
      </w:r>
      <w:r>
        <w:rPr>
          <w:sz w:val="21"/>
        </w:rPr>
        <w:t>按规定可使用的有效护照、军官证、武警警官证、士兵证等证件。</w:t>
      </w:r>
    </w:p>
    <w:sectPr>
      <w:type w:val="continuous"/>
      <w:pgSz w:w="11910" w:h="16840"/>
      <w:pgMar w:top="500" w:bottom="280" w:left="8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128" w:hanging="159"/>
        <w:jc w:val="left"/>
      </w:pPr>
      <w:rPr>
        <w:rFonts w:hint="default" w:ascii="宋体" w:hAnsi="宋体" w:eastAsia="宋体" w:cs="宋体"/>
        <w:w w:val="100"/>
        <w:sz w:val="21"/>
        <w:szCs w:val="21"/>
      </w:rPr>
    </w:lvl>
    <w:lvl w:ilvl="1">
      <w:start w:val="0"/>
      <w:numFmt w:val="bullet"/>
      <w:lvlText w:val="•"/>
      <w:lvlJc w:val="left"/>
      <w:pPr>
        <w:ind w:left="2816" w:hanging="159"/>
      </w:pPr>
      <w:rPr>
        <w:rFonts w:hint="default"/>
      </w:rPr>
    </w:lvl>
    <w:lvl w:ilvl="2">
      <w:start w:val="0"/>
      <w:numFmt w:val="bullet"/>
      <w:lvlText w:val="•"/>
      <w:lvlJc w:val="left"/>
      <w:pPr>
        <w:ind w:left="3512" w:hanging="159"/>
      </w:pPr>
      <w:rPr>
        <w:rFonts w:hint="default"/>
      </w:rPr>
    </w:lvl>
    <w:lvl w:ilvl="3">
      <w:start w:val="0"/>
      <w:numFmt w:val="bullet"/>
      <w:lvlText w:val="•"/>
      <w:lvlJc w:val="left"/>
      <w:pPr>
        <w:ind w:left="4209" w:hanging="159"/>
      </w:pPr>
      <w:rPr>
        <w:rFonts w:hint="default"/>
      </w:rPr>
    </w:lvl>
    <w:lvl w:ilvl="4">
      <w:start w:val="0"/>
      <w:numFmt w:val="bullet"/>
      <w:lvlText w:val="•"/>
      <w:lvlJc w:val="left"/>
      <w:pPr>
        <w:ind w:left="4905" w:hanging="159"/>
      </w:pPr>
      <w:rPr>
        <w:rFonts w:hint="default"/>
      </w:rPr>
    </w:lvl>
    <w:lvl w:ilvl="5">
      <w:start w:val="0"/>
      <w:numFmt w:val="bullet"/>
      <w:lvlText w:val="•"/>
      <w:lvlJc w:val="left"/>
      <w:pPr>
        <w:ind w:left="5602" w:hanging="159"/>
      </w:pPr>
      <w:rPr>
        <w:rFonts w:hint="default"/>
      </w:rPr>
    </w:lvl>
    <w:lvl w:ilvl="6">
      <w:start w:val="0"/>
      <w:numFmt w:val="bullet"/>
      <w:lvlText w:val="•"/>
      <w:lvlJc w:val="left"/>
      <w:pPr>
        <w:ind w:left="6298" w:hanging="159"/>
      </w:pPr>
      <w:rPr>
        <w:rFonts w:hint="default"/>
      </w:rPr>
    </w:lvl>
    <w:lvl w:ilvl="7">
      <w:start w:val="0"/>
      <w:numFmt w:val="bullet"/>
      <w:lvlText w:val="•"/>
      <w:lvlJc w:val="left"/>
      <w:pPr>
        <w:ind w:left="6995" w:hanging="159"/>
      </w:pPr>
      <w:rPr>
        <w:rFonts w:hint="default"/>
      </w:rPr>
    </w:lvl>
    <w:lvl w:ilvl="8">
      <w:start w:val="0"/>
      <w:numFmt w:val="bullet"/>
      <w:lvlText w:val="•"/>
      <w:lvlJc w:val="left"/>
      <w:pPr>
        <w:ind w:left="7691" w:hanging="159"/>
      </w:pPr>
      <w:rPr>
        <w:rFonts w:hint="default"/>
      </w:rPr>
    </w:lvl>
  </w:abstractNum>
  <w:abstractNum w:abstractNumId="7">
    <w:multiLevelType w:val="hybridMultilevel"/>
    <w:lvl w:ilvl="0">
      <w:start w:val="7"/>
      <w:numFmt w:val="decimal"/>
      <w:lvlText w:val="%1"/>
      <w:lvlJc w:val="left"/>
      <w:pPr>
        <w:ind w:left="2742" w:hanging="640"/>
        <w:jc w:val="left"/>
      </w:pPr>
      <w:rPr>
        <w:rFonts w:hint="default"/>
      </w:rPr>
    </w:lvl>
    <w:lvl w:ilvl="1">
      <w:start w:val="12"/>
      <w:numFmt w:val="decimal"/>
      <w:lvlText w:val="%1.%2"/>
      <w:lvlJc w:val="left"/>
      <w:pPr>
        <w:ind w:left="2742" w:hanging="640"/>
        <w:jc w:val="left"/>
      </w:pPr>
      <w:rPr>
        <w:rFonts w:hint="default" w:ascii="宋体" w:hAnsi="宋体" w:eastAsia="宋体" w:cs="宋体"/>
        <w:b/>
        <w:bCs/>
        <w:w w:val="99"/>
        <w:sz w:val="21"/>
        <w:szCs w:val="21"/>
      </w:rPr>
    </w:lvl>
    <w:lvl w:ilvl="2">
      <w:start w:val="0"/>
      <w:numFmt w:val="bullet"/>
      <w:lvlText w:val="•"/>
      <w:lvlJc w:val="left"/>
      <w:pPr>
        <w:ind w:left="4204" w:hanging="640"/>
      </w:pPr>
      <w:rPr>
        <w:rFonts w:hint="default"/>
      </w:rPr>
    </w:lvl>
    <w:lvl w:ilvl="3">
      <w:start w:val="0"/>
      <w:numFmt w:val="bullet"/>
      <w:lvlText w:val="•"/>
      <w:lvlJc w:val="left"/>
      <w:pPr>
        <w:ind w:left="4937" w:hanging="640"/>
      </w:pPr>
      <w:rPr>
        <w:rFonts w:hint="default"/>
      </w:rPr>
    </w:lvl>
    <w:lvl w:ilvl="4">
      <w:start w:val="0"/>
      <w:numFmt w:val="bullet"/>
      <w:lvlText w:val="•"/>
      <w:lvlJc w:val="left"/>
      <w:pPr>
        <w:ind w:left="5669" w:hanging="640"/>
      </w:pPr>
      <w:rPr>
        <w:rFonts w:hint="default"/>
      </w:rPr>
    </w:lvl>
    <w:lvl w:ilvl="5">
      <w:start w:val="0"/>
      <w:numFmt w:val="bullet"/>
      <w:lvlText w:val="•"/>
      <w:lvlJc w:val="left"/>
      <w:pPr>
        <w:ind w:left="6402" w:hanging="640"/>
      </w:pPr>
      <w:rPr>
        <w:rFonts w:hint="default"/>
      </w:rPr>
    </w:lvl>
    <w:lvl w:ilvl="6">
      <w:start w:val="0"/>
      <w:numFmt w:val="bullet"/>
      <w:lvlText w:val="•"/>
      <w:lvlJc w:val="left"/>
      <w:pPr>
        <w:ind w:left="7134" w:hanging="640"/>
      </w:pPr>
      <w:rPr>
        <w:rFonts w:hint="default"/>
      </w:rPr>
    </w:lvl>
    <w:lvl w:ilvl="7">
      <w:start w:val="0"/>
      <w:numFmt w:val="bullet"/>
      <w:lvlText w:val="•"/>
      <w:lvlJc w:val="left"/>
      <w:pPr>
        <w:ind w:left="7867" w:hanging="640"/>
      </w:pPr>
      <w:rPr>
        <w:rFonts w:hint="default"/>
      </w:rPr>
    </w:lvl>
    <w:lvl w:ilvl="8">
      <w:start w:val="0"/>
      <w:numFmt w:val="bullet"/>
      <w:lvlText w:val="•"/>
      <w:lvlJc w:val="left"/>
      <w:pPr>
        <w:ind w:left="8599" w:hanging="640"/>
      </w:pPr>
      <w:rPr>
        <w:rFonts w:hint="default"/>
      </w:rPr>
    </w:lvl>
  </w:abstractNum>
  <w:abstractNum w:abstractNumId="5">
    <w:multiLevelType w:val="hybridMultilevel"/>
    <w:lvl w:ilvl="0">
      <w:start w:val="6"/>
      <w:numFmt w:val="decimal"/>
      <w:lvlText w:val="%1"/>
      <w:lvlJc w:val="left"/>
      <w:pPr>
        <w:ind w:left="855" w:hanging="640"/>
        <w:jc w:val="left"/>
      </w:pPr>
      <w:rPr>
        <w:rFonts w:hint="default"/>
      </w:rPr>
    </w:lvl>
    <w:lvl w:ilvl="1">
      <w:start w:val="1"/>
      <w:numFmt w:val="decimal"/>
      <w:lvlText w:val="%1.%2"/>
      <w:lvlJc w:val="left"/>
      <w:pPr>
        <w:ind w:left="855" w:hanging="640"/>
        <w:jc w:val="left"/>
      </w:pPr>
      <w:rPr>
        <w:rFonts w:hint="default" w:ascii="宋体" w:hAnsi="宋体" w:eastAsia="宋体" w:cs="宋体"/>
        <w:b/>
        <w:bCs/>
        <w:spacing w:val="0"/>
        <w:w w:val="99"/>
        <w:sz w:val="21"/>
        <w:szCs w:val="21"/>
      </w:rPr>
    </w:lvl>
    <w:lvl w:ilvl="2">
      <w:start w:val="0"/>
      <w:numFmt w:val="bullet"/>
      <w:lvlText w:val="•"/>
      <w:lvlJc w:val="left"/>
      <w:pPr>
        <w:ind w:left="3360" w:hanging="640"/>
      </w:pPr>
      <w:rPr>
        <w:rFonts w:hint="default"/>
      </w:rPr>
    </w:lvl>
    <w:lvl w:ilvl="3">
      <w:start w:val="0"/>
      <w:numFmt w:val="bullet"/>
      <w:lvlText w:val="•"/>
      <w:lvlJc w:val="left"/>
      <w:pPr>
        <w:ind w:left="3135" w:hanging="640"/>
      </w:pPr>
      <w:rPr>
        <w:rFonts w:hint="default"/>
      </w:rPr>
    </w:lvl>
    <w:lvl w:ilvl="4">
      <w:start w:val="0"/>
      <w:numFmt w:val="bullet"/>
      <w:lvlText w:val="•"/>
      <w:lvlJc w:val="left"/>
      <w:pPr>
        <w:ind w:left="2910" w:hanging="640"/>
      </w:pPr>
      <w:rPr>
        <w:rFonts w:hint="default"/>
      </w:rPr>
    </w:lvl>
    <w:lvl w:ilvl="5">
      <w:start w:val="0"/>
      <w:numFmt w:val="bullet"/>
      <w:lvlText w:val="•"/>
      <w:lvlJc w:val="left"/>
      <w:pPr>
        <w:ind w:left="2685" w:hanging="640"/>
      </w:pPr>
      <w:rPr>
        <w:rFonts w:hint="default"/>
      </w:rPr>
    </w:lvl>
    <w:lvl w:ilvl="6">
      <w:start w:val="0"/>
      <w:numFmt w:val="bullet"/>
      <w:lvlText w:val="•"/>
      <w:lvlJc w:val="left"/>
      <w:pPr>
        <w:ind w:left="2461" w:hanging="640"/>
      </w:pPr>
      <w:rPr>
        <w:rFonts w:hint="default"/>
      </w:rPr>
    </w:lvl>
    <w:lvl w:ilvl="7">
      <w:start w:val="0"/>
      <w:numFmt w:val="bullet"/>
      <w:lvlText w:val="•"/>
      <w:lvlJc w:val="left"/>
      <w:pPr>
        <w:ind w:left="2236" w:hanging="640"/>
      </w:pPr>
      <w:rPr>
        <w:rFonts w:hint="default"/>
      </w:rPr>
    </w:lvl>
    <w:lvl w:ilvl="8">
      <w:start w:val="0"/>
      <w:numFmt w:val="bullet"/>
      <w:lvlText w:val="•"/>
      <w:lvlJc w:val="left"/>
      <w:pPr>
        <w:ind w:left="2011" w:hanging="640"/>
      </w:pPr>
      <w:rPr>
        <w:rFonts w:hint="default"/>
      </w:rPr>
    </w:lvl>
  </w:abstractNum>
  <w:abstractNum w:abstractNumId="4">
    <w:multiLevelType w:val="hybridMultilevel"/>
    <w:lvl w:ilvl="0">
      <w:start w:val="3"/>
      <w:numFmt w:val="decimal"/>
      <w:lvlText w:val="%1"/>
      <w:lvlJc w:val="left"/>
      <w:pPr>
        <w:ind w:left="855" w:hanging="640"/>
        <w:jc w:val="left"/>
      </w:pPr>
      <w:rPr>
        <w:rFonts w:hint="default"/>
      </w:rPr>
    </w:lvl>
    <w:lvl w:ilvl="1">
      <w:start w:val="1"/>
      <w:numFmt w:val="decimal"/>
      <w:lvlText w:val="%1.%2"/>
      <w:lvlJc w:val="left"/>
      <w:pPr>
        <w:ind w:left="2842" w:hanging="640"/>
        <w:jc w:val="left"/>
      </w:pPr>
      <w:rPr>
        <w:rFonts w:hint="default" w:ascii="宋体" w:hAnsi="宋体" w:eastAsia="宋体" w:cs="宋体"/>
        <w:b/>
        <w:bCs/>
        <w:w w:val="99"/>
        <w:sz w:val="21"/>
        <w:szCs w:val="21"/>
      </w:rPr>
    </w:lvl>
    <w:lvl w:ilvl="2">
      <w:start w:val="0"/>
      <w:numFmt w:val="bullet"/>
      <w:lvlText w:val="•"/>
      <w:lvlJc w:val="left"/>
      <w:pPr>
        <w:ind w:left="3656" w:hanging="640"/>
      </w:pPr>
      <w:rPr>
        <w:rFonts w:hint="default"/>
      </w:rPr>
    </w:lvl>
    <w:lvl w:ilvl="3">
      <w:start w:val="0"/>
      <w:numFmt w:val="bullet"/>
      <w:lvlText w:val="•"/>
      <w:lvlJc w:val="left"/>
      <w:pPr>
        <w:ind w:left="4472" w:hanging="640"/>
      </w:pPr>
      <w:rPr>
        <w:rFonts w:hint="default"/>
      </w:rPr>
    </w:lvl>
    <w:lvl w:ilvl="4">
      <w:start w:val="0"/>
      <w:numFmt w:val="bullet"/>
      <w:lvlText w:val="•"/>
      <w:lvlJc w:val="left"/>
      <w:pPr>
        <w:ind w:left="5288" w:hanging="640"/>
      </w:pPr>
      <w:rPr>
        <w:rFonts w:hint="default"/>
      </w:rPr>
    </w:lvl>
    <w:lvl w:ilvl="5">
      <w:start w:val="0"/>
      <w:numFmt w:val="bullet"/>
      <w:lvlText w:val="•"/>
      <w:lvlJc w:val="left"/>
      <w:pPr>
        <w:ind w:left="6104" w:hanging="640"/>
      </w:pPr>
      <w:rPr>
        <w:rFonts w:hint="default"/>
      </w:rPr>
    </w:lvl>
    <w:lvl w:ilvl="6">
      <w:start w:val="0"/>
      <w:numFmt w:val="bullet"/>
      <w:lvlText w:val="•"/>
      <w:lvlJc w:val="left"/>
      <w:pPr>
        <w:ind w:left="6920" w:hanging="640"/>
      </w:pPr>
      <w:rPr>
        <w:rFonts w:hint="default"/>
      </w:rPr>
    </w:lvl>
    <w:lvl w:ilvl="7">
      <w:start w:val="0"/>
      <w:numFmt w:val="bullet"/>
      <w:lvlText w:val="•"/>
      <w:lvlJc w:val="left"/>
      <w:pPr>
        <w:ind w:left="7736" w:hanging="640"/>
      </w:pPr>
      <w:rPr>
        <w:rFonts w:hint="default"/>
      </w:rPr>
    </w:lvl>
    <w:lvl w:ilvl="8">
      <w:start w:val="0"/>
      <w:numFmt w:val="bullet"/>
      <w:lvlText w:val="•"/>
      <w:lvlJc w:val="left"/>
      <w:pPr>
        <w:ind w:left="8552" w:hanging="640"/>
      </w:pPr>
      <w:rPr>
        <w:rFonts w:hint="default"/>
      </w:rPr>
    </w:lvl>
  </w:abstractNum>
  <w:abstractNum w:abstractNumId="3">
    <w:multiLevelType w:val="hybridMultilevel"/>
    <w:lvl w:ilvl="0">
      <w:start w:val="2"/>
      <w:numFmt w:val="decimal"/>
      <w:lvlText w:val="%1"/>
      <w:lvlJc w:val="left"/>
      <w:pPr>
        <w:ind w:left="2842" w:hanging="639"/>
        <w:jc w:val="left"/>
      </w:pPr>
      <w:rPr>
        <w:rFonts w:hint="default"/>
      </w:rPr>
    </w:lvl>
    <w:lvl w:ilvl="1">
      <w:start w:val="5"/>
      <w:numFmt w:val="decimal"/>
      <w:lvlText w:val="%1.%2"/>
      <w:lvlJc w:val="left"/>
      <w:pPr>
        <w:ind w:left="2842" w:hanging="639"/>
        <w:jc w:val="left"/>
      </w:pPr>
      <w:rPr>
        <w:rFonts w:hint="default" w:ascii="宋体" w:hAnsi="宋体" w:eastAsia="宋体" w:cs="宋体"/>
        <w:b/>
        <w:bCs/>
        <w:w w:val="99"/>
        <w:sz w:val="21"/>
        <w:szCs w:val="21"/>
      </w:rPr>
    </w:lvl>
    <w:lvl w:ilvl="2">
      <w:start w:val="1"/>
      <w:numFmt w:val="decimal"/>
      <w:lvlText w:val="(%3)"/>
      <w:lvlJc w:val="left"/>
      <w:pPr>
        <w:ind w:left="3262" w:hanging="421"/>
        <w:jc w:val="left"/>
      </w:pPr>
      <w:rPr>
        <w:rFonts w:hint="default" w:ascii="黑体" w:hAnsi="黑体" w:eastAsia="黑体" w:cs="黑体"/>
        <w:spacing w:val="-2"/>
        <w:w w:val="100"/>
        <w:sz w:val="21"/>
        <w:szCs w:val="21"/>
      </w:rPr>
    </w:lvl>
    <w:lvl w:ilvl="3">
      <w:start w:val="0"/>
      <w:numFmt w:val="bullet"/>
      <w:lvlText w:val="•"/>
      <w:lvlJc w:val="left"/>
      <w:pPr>
        <w:ind w:left="4798" w:hanging="421"/>
      </w:pPr>
      <w:rPr>
        <w:rFonts w:hint="default"/>
      </w:rPr>
    </w:lvl>
    <w:lvl w:ilvl="4">
      <w:start w:val="0"/>
      <w:numFmt w:val="bullet"/>
      <w:lvlText w:val="•"/>
      <w:lvlJc w:val="left"/>
      <w:pPr>
        <w:ind w:left="5568" w:hanging="421"/>
      </w:pPr>
      <w:rPr>
        <w:rFonts w:hint="default"/>
      </w:rPr>
    </w:lvl>
    <w:lvl w:ilvl="5">
      <w:start w:val="0"/>
      <w:numFmt w:val="bullet"/>
      <w:lvlText w:val="•"/>
      <w:lvlJc w:val="left"/>
      <w:pPr>
        <w:ind w:left="6337" w:hanging="421"/>
      </w:pPr>
      <w:rPr>
        <w:rFonts w:hint="default"/>
      </w:rPr>
    </w:lvl>
    <w:lvl w:ilvl="6">
      <w:start w:val="0"/>
      <w:numFmt w:val="bullet"/>
      <w:lvlText w:val="•"/>
      <w:lvlJc w:val="left"/>
      <w:pPr>
        <w:ind w:left="7106" w:hanging="421"/>
      </w:pPr>
      <w:rPr>
        <w:rFonts w:hint="default"/>
      </w:rPr>
    </w:lvl>
    <w:lvl w:ilvl="7">
      <w:start w:val="0"/>
      <w:numFmt w:val="bullet"/>
      <w:lvlText w:val="•"/>
      <w:lvlJc w:val="left"/>
      <w:pPr>
        <w:ind w:left="7876" w:hanging="421"/>
      </w:pPr>
      <w:rPr>
        <w:rFonts w:hint="default"/>
      </w:rPr>
    </w:lvl>
    <w:lvl w:ilvl="8">
      <w:start w:val="0"/>
      <w:numFmt w:val="bullet"/>
      <w:lvlText w:val="•"/>
      <w:lvlJc w:val="left"/>
      <w:pPr>
        <w:ind w:left="8645" w:hanging="421"/>
      </w:pPr>
      <w:rPr>
        <w:rFonts w:hint="default"/>
      </w:rPr>
    </w:lvl>
  </w:abstractNum>
  <w:abstractNum w:abstractNumId="2">
    <w:multiLevelType w:val="hybridMultilevel"/>
    <w:lvl w:ilvl="0">
      <w:start w:val="2"/>
      <w:numFmt w:val="decimal"/>
      <w:lvlText w:val="%1"/>
      <w:lvlJc w:val="left"/>
      <w:pPr>
        <w:ind w:left="854" w:hanging="639"/>
        <w:jc w:val="left"/>
      </w:pPr>
      <w:rPr>
        <w:rFonts w:hint="default"/>
      </w:rPr>
    </w:lvl>
    <w:lvl w:ilvl="1">
      <w:start w:val="1"/>
      <w:numFmt w:val="decimal"/>
      <w:lvlText w:val="%1.%2"/>
      <w:lvlJc w:val="left"/>
      <w:pPr>
        <w:ind w:left="2842" w:hanging="639"/>
        <w:jc w:val="left"/>
      </w:pPr>
      <w:rPr>
        <w:rFonts w:hint="default" w:ascii="宋体" w:hAnsi="宋体" w:eastAsia="宋体" w:cs="宋体"/>
        <w:b/>
        <w:bCs/>
        <w:w w:val="99"/>
        <w:sz w:val="21"/>
        <w:szCs w:val="21"/>
      </w:rPr>
    </w:lvl>
    <w:lvl w:ilvl="2">
      <w:start w:val="0"/>
      <w:numFmt w:val="bullet"/>
      <w:lvlText w:val="•"/>
      <w:lvlJc w:val="left"/>
      <w:pPr>
        <w:ind w:left="3658" w:hanging="639"/>
      </w:pPr>
      <w:rPr>
        <w:rFonts w:hint="default"/>
      </w:rPr>
    </w:lvl>
    <w:lvl w:ilvl="3">
      <w:start w:val="0"/>
      <w:numFmt w:val="bullet"/>
      <w:lvlText w:val="•"/>
      <w:lvlJc w:val="left"/>
      <w:pPr>
        <w:ind w:left="4476" w:hanging="639"/>
      </w:pPr>
      <w:rPr>
        <w:rFonts w:hint="default"/>
      </w:rPr>
    </w:lvl>
    <w:lvl w:ilvl="4">
      <w:start w:val="0"/>
      <w:numFmt w:val="bullet"/>
      <w:lvlText w:val="•"/>
      <w:lvlJc w:val="left"/>
      <w:pPr>
        <w:ind w:left="5294" w:hanging="639"/>
      </w:pPr>
      <w:rPr>
        <w:rFonts w:hint="default"/>
      </w:rPr>
    </w:lvl>
    <w:lvl w:ilvl="5">
      <w:start w:val="0"/>
      <w:numFmt w:val="bullet"/>
      <w:lvlText w:val="•"/>
      <w:lvlJc w:val="left"/>
      <w:pPr>
        <w:ind w:left="6113" w:hanging="639"/>
      </w:pPr>
      <w:rPr>
        <w:rFonts w:hint="default"/>
      </w:rPr>
    </w:lvl>
    <w:lvl w:ilvl="6">
      <w:start w:val="0"/>
      <w:numFmt w:val="bullet"/>
      <w:lvlText w:val="•"/>
      <w:lvlJc w:val="left"/>
      <w:pPr>
        <w:ind w:left="6931" w:hanging="639"/>
      </w:pPr>
      <w:rPr>
        <w:rFonts w:hint="default"/>
      </w:rPr>
    </w:lvl>
    <w:lvl w:ilvl="7">
      <w:start w:val="0"/>
      <w:numFmt w:val="bullet"/>
      <w:lvlText w:val="•"/>
      <w:lvlJc w:val="left"/>
      <w:pPr>
        <w:ind w:left="7749" w:hanging="639"/>
      </w:pPr>
      <w:rPr>
        <w:rFonts w:hint="default"/>
      </w:rPr>
    </w:lvl>
    <w:lvl w:ilvl="8">
      <w:start w:val="0"/>
      <w:numFmt w:val="bullet"/>
      <w:lvlText w:val="•"/>
      <w:lvlJc w:val="left"/>
      <w:pPr>
        <w:ind w:left="8567" w:hanging="639"/>
      </w:pPr>
      <w:rPr>
        <w:rFonts w:hint="default"/>
      </w:rPr>
    </w:lvl>
  </w:abstractNum>
  <w:abstractNum w:abstractNumId="1">
    <w:multiLevelType w:val="hybridMultilevel"/>
    <w:lvl w:ilvl="0">
      <w:start w:val="1"/>
      <w:numFmt w:val="decimal"/>
      <w:lvlText w:val="%1"/>
      <w:lvlJc w:val="left"/>
      <w:pPr>
        <w:ind w:left="2842" w:hanging="640"/>
        <w:jc w:val="left"/>
      </w:pPr>
      <w:rPr>
        <w:rFonts w:hint="default"/>
      </w:rPr>
    </w:lvl>
    <w:lvl w:ilvl="1">
      <w:start w:val="1"/>
      <w:numFmt w:val="decimal"/>
      <w:lvlText w:val="%1.%2"/>
      <w:lvlJc w:val="left"/>
      <w:pPr>
        <w:ind w:left="2842" w:hanging="640"/>
        <w:jc w:val="left"/>
      </w:pPr>
      <w:rPr>
        <w:rFonts w:hint="default" w:ascii="宋体" w:hAnsi="宋体" w:eastAsia="宋体" w:cs="宋体"/>
        <w:b/>
        <w:bCs/>
        <w:w w:val="99"/>
        <w:sz w:val="21"/>
        <w:szCs w:val="21"/>
      </w:rPr>
    </w:lvl>
    <w:lvl w:ilvl="2">
      <w:start w:val="0"/>
      <w:numFmt w:val="bullet"/>
      <w:lvlText w:val="•"/>
      <w:lvlJc w:val="left"/>
      <w:pPr>
        <w:ind w:left="4312" w:hanging="640"/>
      </w:pPr>
      <w:rPr>
        <w:rFonts w:hint="default"/>
      </w:rPr>
    </w:lvl>
    <w:lvl w:ilvl="3">
      <w:start w:val="0"/>
      <w:numFmt w:val="bullet"/>
      <w:lvlText w:val="•"/>
      <w:lvlJc w:val="left"/>
      <w:pPr>
        <w:ind w:left="5049" w:hanging="640"/>
      </w:pPr>
      <w:rPr>
        <w:rFonts w:hint="default"/>
      </w:rPr>
    </w:lvl>
    <w:lvl w:ilvl="4">
      <w:start w:val="0"/>
      <w:numFmt w:val="bullet"/>
      <w:lvlText w:val="•"/>
      <w:lvlJc w:val="left"/>
      <w:pPr>
        <w:ind w:left="5785" w:hanging="640"/>
      </w:pPr>
      <w:rPr>
        <w:rFonts w:hint="default"/>
      </w:rPr>
    </w:lvl>
    <w:lvl w:ilvl="5">
      <w:start w:val="0"/>
      <w:numFmt w:val="bullet"/>
      <w:lvlText w:val="•"/>
      <w:lvlJc w:val="left"/>
      <w:pPr>
        <w:ind w:left="6522" w:hanging="640"/>
      </w:pPr>
      <w:rPr>
        <w:rFonts w:hint="default"/>
      </w:rPr>
    </w:lvl>
    <w:lvl w:ilvl="6">
      <w:start w:val="0"/>
      <w:numFmt w:val="bullet"/>
      <w:lvlText w:val="•"/>
      <w:lvlJc w:val="left"/>
      <w:pPr>
        <w:ind w:left="7258" w:hanging="640"/>
      </w:pPr>
      <w:rPr>
        <w:rFonts w:hint="default"/>
      </w:rPr>
    </w:lvl>
    <w:lvl w:ilvl="7">
      <w:start w:val="0"/>
      <w:numFmt w:val="bullet"/>
      <w:lvlText w:val="•"/>
      <w:lvlJc w:val="left"/>
      <w:pPr>
        <w:ind w:left="7995" w:hanging="640"/>
      </w:pPr>
      <w:rPr>
        <w:rFonts w:hint="default"/>
      </w:rPr>
    </w:lvl>
    <w:lvl w:ilvl="8">
      <w:start w:val="0"/>
      <w:numFmt w:val="bullet"/>
      <w:lvlText w:val="•"/>
      <w:lvlJc w:val="left"/>
      <w:pPr>
        <w:ind w:left="8731" w:hanging="640"/>
      </w:pPr>
      <w:rPr>
        <w:rFonts w:hint="default"/>
      </w:rPr>
    </w:lvl>
  </w:abstractNum>
  <w:abstractNum w:abstractNumId="0">
    <w:multiLevelType w:val="hybridMultilevel"/>
    <w:lvl w:ilvl="0">
      <w:start w:val="0"/>
      <w:numFmt w:val="bullet"/>
      <w:lvlText w:val=""/>
      <w:lvlJc w:val="left"/>
      <w:pPr>
        <w:ind w:left="1667" w:hanging="420"/>
      </w:pPr>
      <w:rPr>
        <w:rFonts w:hint="default" w:ascii="Wingdings" w:hAnsi="Wingdings" w:eastAsia="Wingdings" w:cs="Wingdings"/>
        <w:w w:val="100"/>
        <w:sz w:val="21"/>
        <w:szCs w:val="21"/>
      </w:rPr>
    </w:lvl>
    <w:lvl w:ilvl="1">
      <w:start w:val="0"/>
      <w:numFmt w:val="bullet"/>
      <w:lvlText w:val="•"/>
      <w:lvlJc w:val="left"/>
      <w:pPr>
        <w:ind w:left="2520" w:hanging="420"/>
      </w:pPr>
      <w:rPr>
        <w:rFonts w:hint="default"/>
      </w:rPr>
    </w:lvl>
    <w:lvl w:ilvl="2">
      <w:start w:val="0"/>
      <w:numFmt w:val="bullet"/>
      <w:lvlText w:val="•"/>
      <w:lvlJc w:val="left"/>
      <w:pPr>
        <w:ind w:left="3380" w:hanging="420"/>
      </w:pPr>
      <w:rPr>
        <w:rFonts w:hint="default"/>
      </w:rPr>
    </w:lvl>
    <w:lvl w:ilvl="3">
      <w:start w:val="0"/>
      <w:numFmt w:val="bullet"/>
      <w:lvlText w:val="•"/>
      <w:lvlJc w:val="left"/>
      <w:pPr>
        <w:ind w:left="4241" w:hanging="420"/>
      </w:pPr>
      <w:rPr>
        <w:rFonts w:hint="default"/>
      </w:rPr>
    </w:lvl>
    <w:lvl w:ilvl="4">
      <w:start w:val="0"/>
      <w:numFmt w:val="bullet"/>
      <w:lvlText w:val="•"/>
      <w:lvlJc w:val="left"/>
      <w:pPr>
        <w:ind w:left="5101" w:hanging="420"/>
      </w:pPr>
      <w:rPr>
        <w:rFonts w:hint="default"/>
      </w:rPr>
    </w:lvl>
    <w:lvl w:ilvl="5">
      <w:start w:val="0"/>
      <w:numFmt w:val="bullet"/>
      <w:lvlText w:val="•"/>
      <w:lvlJc w:val="left"/>
      <w:pPr>
        <w:ind w:left="5962" w:hanging="420"/>
      </w:pPr>
      <w:rPr>
        <w:rFonts w:hint="default"/>
      </w:rPr>
    </w:lvl>
    <w:lvl w:ilvl="6">
      <w:start w:val="0"/>
      <w:numFmt w:val="bullet"/>
      <w:lvlText w:val="•"/>
      <w:lvlJc w:val="left"/>
      <w:pPr>
        <w:ind w:left="6822" w:hanging="420"/>
      </w:pPr>
      <w:rPr>
        <w:rFonts w:hint="default"/>
      </w:rPr>
    </w:lvl>
    <w:lvl w:ilvl="7">
      <w:start w:val="0"/>
      <w:numFmt w:val="bullet"/>
      <w:lvlText w:val="•"/>
      <w:lvlJc w:val="left"/>
      <w:pPr>
        <w:ind w:left="7683" w:hanging="420"/>
      </w:pPr>
      <w:rPr>
        <w:rFonts w:hint="default"/>
      </w:rPr>
    </w:lvl>
    <w:lvl w:ilvl="8">
      <w:start w:val="0"/>
      <w:numFmt w:val="bullet"/>
      <w:lvlText w:val="•"/>
      <w:lvlJc w:val="left"/>
      <w:pPr>
        <w:ind w:left="8543" w:hanging="420"/>
      </w:pPr>
      <w:rPr>
        <w:rFonts w:hint="default"/>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862"/>
    </w:pPr>
    <w:rPr>
      <w:rFonts w:ascii="宋体" w:hAnsi="宋体" w:eastAsia="宋体" w:cs="宋体"/>
      <w:sz w:val="21"/>
      <w:szCs w:val="21"/>
    </w:rPr>
  </w:style>
  <w:style w:styleId="Heading1" w:type="paragraph">
    <w:name w:val="Heading 1"/>
    <w:basedOn w:val="Normal"/>
    <w:uiPriority w:val="1"/>
    <w:qFormat/>
    <w:pPr>
      <w:ind w:left="2952"/>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4"/>
      <w:ind w:left="215"/>
      <w:outlineLvl w:val="2"/>
    </w:pPr>
    <w:rPr>
      <w:rFonts w:ascii="宋体" w:hAnsi="宋体" w:eastAsia="宋体" w:cs="宋体"/>
      <w:b/>
      <w:bCs/>
      <w:sz w:val="24"/>
      <w:szCs w:val="24"/>
    </w:rPr>
  </w:style>
  <w:style w:styleId="Heading3" w:type="paragraph">
    <w:name w:val="Heading 3"/>
    <w:basedOn w:val="Normal"/>
    <w:uiPriority w:val="1"/>
    <w:qFormat/>
    <w:pPr>
      <w:ind w:left="1862"/>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284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&lt;4D6963726F736F667420576F7264202D20362D322EB9FABBAA32BAC5D6D8B4F3BCB2B2A1B1A3CFD542BFEECCF5BFEEA3A8B9FABBAACAD9B7A25B323031355D353431BAC5A3A9&gt;</dc:title>
  <dcterms:created xsi:type="dcterms:W3CDTF">2018-10-19T22:53:50Z</dcterms:created>
  <dcterms:modified xsi:type="dcterms:W3CDTF">2018-10-19T22:53:50Z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2015-12-01T00:00:00Z</vt:filetime>
  </property>
  <property fmtid="{D5CDD505-2E9C-101B-9397-08002B2CF9AE}" pid="3" name="Creator">
    <vt:lpwstr>PScript5.dll Version 5.2.2</vt:lpwstr>
  </property>
  <property fmtid="{D5CDD505-2E9C-101B-9397-08002B2CF9AE}" pid="4" name="LastSaved">
    <vt:filetime>2018-10-19T00:00:00Z</vt:filetime>
  </property>
</Properties>
</file>