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2"/>
        <w:ind w:right="119"/>
        <w:jc w:val="right"/>
      </w:pPr>
      <w:r>
        <w:rPr/>
        <w:drawing>
          <wp:anchor distT="0" distB="0" distL="0" distR="0" allowOverlap="1" layoutInCell="1" locked="0" behindDoc="0" simplePos="0" relativeHeight="0">
            <wp:simplePos x="0" y="0"/>
            <wp:positionH relativeFrom="page">
              <wp:posOffset>1080769</wp:posOffset>
            </wp:positionH>
            <wp:positionV relativeFrom="paragraph">
              <wp:posOffset>489758</wp:posOffset>
            </wp:positionV>
            <wp:extent cx="1333500" cy="448309"/>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333500" cy="448309"/>
                    </a:xfrm>
                    <a:prstGeom prst="rect">
                      <a:avLst/>
                    </a:prstGeom>
                  </pic:spPr>
                </pic:pic>
              </a:graphicData>
            </a:graphic>
          </wp:anchor>
        </w:drawing>
      </w:r>
      <w:r>
        <w:rPr/>
        <w:drawing>
          <wp:anchor distT="0" distB="0" distL="0" distR="0" allowOverlap="1" layoutInCell="1" locked="0" behindDoc="1" simplePos="0" relativeHeight="268390247">
            <wp:simplePos x="0" y="0"/>
            <wp:positionH relativeFrom="page">
              <wp:posOffset>6050279</wp:posOffset>
            </wp:positionH>
            <wp:positionV relativeFrom="paragraph">
              <wp:posOffset>182418</wp:posOffset>
            </wp:positionV>
            <wp:extent cx="722629" cy="722629"/>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722629" cy="722629"/>
                    </a:xfrm>
                    <a:prstGeom prst="rect">
                      <a:avLst/>
                    </a:prstGeom>
                  </pic:spPr>
                </pic:pic>
              </a:graphicData>
            </a:graphic>
          </wp:anchor>
        </w:drawing>
      </w:r>
      <w:r>
        <w:rPr/>
        <w:t>中意人寿[2009]疾病保险 086 号</w:t>
      </w:r>
    </w:p>
    <w:p>
      <w:pPr>
        <w:pStyle w:val="BodyText"/>
        <w:rPr>
          <w:sz w:val="20"/>
        </w:rPr>
      </w:pPr>
    </w:p>
    <w:p>
      <w:pPr>
        <w:pStyle w:val="BodyText"/>
        <w:rPr>
          <w:sz w:val="20"/>
        </w:rPr>
      </w:pPr>
    </w:p>
    <w:p>
      <w:pPr>
        <w:pStyle w:val="BodyText"/>
        <w:rPr>
          <w:sz w:val="20"/>
        </w:rPr>
      </w:pPr>
    </w:p>
    <w:p>
      <w:pPr>
        <w:pStyle w:val="BodyText"/>
        <w:spacing w:before="1"/>
        <w:rPr>
          <w:sz w:val="22"/>
        </w:rPr>
      </w:pPr>
    </w:p>
    <w:p>
      <w:pPr>
        <w:pStyle w:val="BodyText"/>
        <w:ind w:right="529"/>
        <w:jc w:val="right"/>
      </w:pPr>
      <w:r>
        <w:rPr/>
        <w:t>请扫描以查询验证条款</w:t>
      </w:r>
    </w:p>
    <w:p>
      <w:pPr>
        <w:pStyle w:val="BodyText"/>
        <w:rPr>
          <w:sz w:val="20"/>
        </w:rPr>
      </w:pPr>
    </w:p>
    <w:p>
      <w:pPr>
        <w:pStyle w:val="BodyText"/>
        <w:spacing w:before="6"/>
        <w:rPr>
          <w:sz w:val="23"/>
        </w:rPr>
      </w:pPr>
    </w:p>
    <w:p>
      <w:pPr>
        <w:pStyle w:val="Heading1"/>
        <w:ind w:right="1713"/>
        <w:jc w:val="center"/>
      </w:pPr>
      <w:r>
        <w:rPr/>
        <w:t>阅 读 提 示</w:t>
      </w:r>
    </w:p>
    <w:p>
      <w:pPr>
        <w:pStyle w:val="BodyText"/>
        <w:spacing w:before="4"/>
        <w:rPr>
          <w:b/>
          <w:sz w:val="34"/>
        </w:rPr>
      </w:pPr>
    </w:p>
    <w:p>
      <w:pPr>
        <w:pStyle w:val="Heading3"/>
        <w:ind w:left="915" w:right="1713"/>
        <w:jc w:val="center"/>
      </w:pPr>
      <w:r>
        <w:rPr>
          <w:w w:val="95"/>
        </w:rPr>
        <w:t>本阅读提示是为了帮助您更好理解条款，对本附加合同内容的解释以条款正文为准。</w:t>
      </w:r>
    </w:p>
    <w:p>
      <w:pPr>
        <w:pStyle w:val="BodyText"/>
        <w:spacing w:before="6"/>
        <w:rPr>
          <w:b/>
          <w:sz w:val="26"/>
        </w:rPr>
      </w:pPr>
    </w:p>
    <w:p>
      <w:pPr>
        <w:tabs>
          <w:tab w:pos="523" w:val="left" w:leader="none"/>
        </w:tabs>
        <w:spacing w:before="0"/>
        <w:ind w:left="104" w:right="0" w:firstLine="0"/>
        <w:jc w:val="left"/>
        <w:rPr>
          <w:b/>
          <w:sz w:val="21"/>
        </w:rPr>
      </w:pPr>
      <w:r>
        <w:rPr>
          <w:rFonts w:ascii="Symbol" w:hAnsi="Symbol" w:eastAsia="Symbol"/>
          <w:sz w:val="21"/>
        </w:rPr>
        <w:t></w:t>
      </w:r>
      <w:r>
        <w:rPr>
          <w:rFonts w:ascii="Times New Roman" w:hAnsi="Times New Roman" w:eastAsia="Times New Roman"/>
          <w:sz w:val="21"/>
        </w:rPr>
        <w:tab/>
      </w:r>
      <w:r>
        <w:rPr>
          <w:b/>
          <w:w w:val="95"/>
          <w:position w:val="1"/>
          <w:sz w:val="21"/>
        </w:rPr>
        <w:t>您拥有的重要权益</w:t>
      </w:r>
    </w:p>
    <w:p>
      <w:pPr>
        <w:pStyle w:val="ListParagraph"/>
        <w:numPr>
          <w:ilvl w:val="0"/>
          <w:numId w:val="1"/>
        </w:numPr>
        <w:tabs>
          <w:tab w:pos="943" w:val="left" w:leader="none"/>
          <w:tab w:pos="944" w:val="left" w:leader="none"/>
          <w:tab w:pos="8690" w:val="right" w:leader="dot"/>
        </w:tabs>
        <w:spacing w:line="240" w:lineRule="auto" w:before="12" w:after="0"/>
        <w:ind w:left="944" w:right="0" w:hanging="420"/>
        <w:jc w:val="left"/>
        <w:rPr>
          <w:rFonts w:ascii="Times New Roman" w:eastAsia="Times New Roman"/>
          <w:sz w:val="21"/>
        </w:rPr>
      </w:pPr>
      <w:r>
        <w:rPr>
          <w:sz w:val="21"/>
        </w:rPr>
        <w:t>签收合同后</w:t>
      </w:r>
      <w:r>
        <w:rPr>
          <w:spacing w:val="-64"/>
          <w:sz w:val="21"/>
        </w:rPr>
        <w:t> </w:t>
      </w:r>
      <w:r>
        <w:rPr>
          <w:rFonts w:ascii="Times New Roman" w:eastAsia="Times New Roman"/>
          <w:sz w:val="21"/>
        </w:rPr>
        <w:t>10</w:t>
      </w:r>
      <w:r>
        <w:rPr>
          <w:rFonts w:ascii="Times New Roman" w:eastAsia="Times New Roman"/>
          <w:spacing w:val="-13"/>
          <w:sz w:val="21"/>
        </w:rPr>
        <w:t> </w:t>
      </w:r>
      <w:r>
        <w:rPr>
          <w:sz w:val="21"/>
        </w:rPr>
        <w:t>天内您可以要求全额退还保险费</w:t>
        <w:tab/>
      </w:r>
      <w:r>
        <w:rPr>
          <w:rFonts w:ascii="Times New Roman" w:eastAsia="Times New Roman"/>
          <w:sz w:val="21"/>
        </w:rPr>
        <w:t>1.5</w:t>
      </w:r>
    </w:p>
    <w:p>
      <w:pPr>
        <w:pStyle w:val="ListParagraph"/>
        <w:numPr>
          <w:ilvl w:val="0"/>
          <w:numId w:val="1"/>
        </w:numPr>
        <w:tabs>
          <w:tab w:pos="943" w:val="left" w:leader="none"/>
          <w:tab w:pos="944" w:val="left" w:leader="none"/>
          <w:tab w:pos="8766" w:val="right" w:leader="dot"/>
        </w:tabs>
        <w:spacing w:line="240" w:lineRule="auto" w:before="21" w:after="0"/>
        <w:ind w:left="944" w:right="0" w:hanging="420"/>
        <w:jc w:val="left"/>
        <w:rPr>
          <w:rFonts w:ascii="Times New Roman" w:eastAsia="Times New Roman"/>
          <w:sz w:val="21"/>
        </w:rPr>
      </w:pPr>
      <w:r>
        <w:rPr>
          <w:sz w:val="21"/>
        </w:rPr>
        <w:t>被保险人可以享有本附加合同提供的保障利益</w:t>
        <w:tab/>
      </w:r>
      <w:r>
        <w:rPr>
          <w:rFonts w:ascii="Times New Roman" w:eastAsia="Times New Roman"/>
          <w:sz w:val="21"/>
        </w:rPr>
        <w:t>2.4</w:t>
      </w:r>
    </w:p>
    <w:p>
      <w:pPr>
        <w:pStyle w:val="ListParagraph"/>
        <w:numPr>
          <w:ilvl w:val="0"/>
          <w:numId w:val="1"/>
        </w:numPr>
        <w:tabs>
          <w:tab w:pos="943" w:val="left" w:leader="none"/>
          <w:tab w:pos="944" w:val="left" w:leader="none"/>
          <w:tab w:pos="8766" w:val="right" w:leader="dot"/>
        </w:tabs>
        <w:spacing w:line="240" w:lineRule="auto" w:before="21" w:after="0"/>
        <w:ind w:left="944" w:right="0" w:hanging="420"/>
        <w:jc w:val="left"/>
        <w:rPr>
          <w:rFonts w:ascii="Times New Roman" w:eastAsia="Times New Roman"/>
          <w:sz w:val="21"/>
        </w:rPr>
      </w:pPr>
      <w:r>
        <w:rPr>
          <w:sz w:val="21"/>
        </w:rPr>
        <w:t>您有权解除合同</w:t>
        <w:tab/>
      </w:r>
      <w:r>
        <w:rPr>
          <w:rFonts w:ascii="Times New Roman" w:eastAsia="Times New Roman"/>
          <w:sz w:val="21"/>
        </w:rPr>
        <w:t>5.1</w:t>
      </w:r>
    </w:p>
    <w:p>
      <w:pPr>
        <w:pStyle w:val="Heading3"/>
        <w:tabs>
          <w:tab w:pos="523" w:val="left" w:leader="none"/>
        </w:tabs>
        <w:spacing w:before="331"/>
        <w:ind w:left="104"/>
      </w:pPr>
      <w:r>
        <w:rPr>
          <w:rFonts w:ascii="Symbol" w:hAnsi="Symbol" w:eastAsia="Symbol"/>
          <w:b w:val="0"/>
        </w:rPr>
        <w:t></w:t>
      </w:r>
      <w:r>
        <w:rPr>
          <w:rFonts w:ascii="Times New Roman" w:hAnsi="Times New Roman" w:eastAsia="Times New Roman"/>
          <w:b w:val="0"/>
        </w:rPr>
        <w:tab/>
      </w:r>
      <w:r>
        <w:rPr>
          <w:w w:val="95"/>
          <w:position w:val="1"/>
        </w:rPr>
        <w:t>您应当特别注意的事项</w:t>
      </w:r>
    </w:p>
    <w:p>
      <w:pPr>
        <w:pStyle w:val="ListParagraph"/>
        <w:numPr>
          <w:ilvl w:val="0"/>
          <w:numId w:val="1"/>
        </w:numPr>
        <w:tabs>
          <w:tab w:pos="943" w:val="left" w:leader="none"/>
          <w:tab w:pos="944" w:val="left" w:leader="none"/>
          <w:tab w:pos="8766" w:val="right" w:leader="dot"/>
        </w:tabs>
        <w:spacing w:line="240" w:lineRule="auto" w:before="12" w:after="0"/>
        <w:ind w:left="944" w:right="0" w:hanging="420"/>
        <w:jc w:val="left"/>
        <w:rPr>
          <w:rFonts w:ascii="Times New Roman" w:eastAsia="Times New Roman"/>
          <w:sz w:val="21"/>
        </w:rPr>
      </w:pPr>
      <w:r>
        <w:rPr>
          <w:sz w:val="21"/>
        </w:rPr>
        <w:t>等待期内我们不承担保险责任</w:t>
        <w:tab/>
      </w:r>
      <w:r>
        <w:rPr>
          <w:rFonts w:ascii="Times New Roman" w:eastAsia="Times New Roman"/>
          <w:sz w:val="21"/>
        </w:rPr>
        <w:t>2.3</w:t>
      </w:r>
    </w:p>
    <w:p>
      <w:pPr>
        <w:pStyle w:val="ListParagraph"/>
        <w:numPr>
          <w:ilvl w:val="0"/>
          <w:numId w:val="1"/>
        </w:numPr>
        <w:tabs>
          <w:tab w:pos="943" w:val="left" w:leader="none"/>
          <w:tab w:pos="944" w:val="left" w:leader="none"/>
          <w:tab w:pos="8766" w:val="right" w:leader="dot"/>
        </w:tabs>
        <w:spacing w:line="240" w:lineRule="auto" w:before="21" w:after="0"/>
        <w:ind w:left="944" w:right="0" w:hanging="420"/>
        <w:jc w:val="left"/>
        <w:rPr>
          <w:rFonts w:ascii="Times New Roman" w:eastAsia="Times New Roman"/>
          <w:sz w:val="21"/>
        </w:rPr>
      </w:pPr>
      <w:r>
        <w:rPr>
          <w:sz w:val="21"/>
        </w:rPr>
        <w:t>在某些情况下，我们不承担保险责任</w:t>
        <w:tab/>
      </w:r>
      <w:r>
        <w:rPr>
          <w:rFonts w:ascii="Times New Roman" w:eastAsia="Times New Roman"/>
          <w:sz w:val="21"/>
        </w:rPr>
        <w:t>2.5</w:t>
      </w:r>
    </w:p>
    <w:p>
      <w:pPr>
        <w:pStyle w:val="ListParagraph"/>
        <w:numPr>
          <w:ilvl w:val="0"/>
          <w:numId w:val="1"/>
        </w:numPr>
        <w:tabs>
          <w:tab w:pos="943" w:val="left" w:leader="none"/>
          <w:tab w:pos="944" w:val="left" w:leader="none"/>
          <w:tab w:pos="8766" w:val="right" w:leader="dot"/>
        </w:tabs>
        <w:spacing w:line="240" w:lineRule="auto" w:before="21" w:after="0"/>
        <w:ind w:left="944" w:right="0" w:hanging="420"/>
        <w:jc w:val="left"/>
        <w:rPr>
          <w:rFonts w:ascii="Times New Roman" w:eastAsia="Times New Roman"/>
          <w:sz w:val="21"/>
        </w:rPr>
      </w:pPr>
      <w:r>
        <w:rPr>
          <w:sz w:val="21"/>
        </w:rPr>
        <w:t>解除合同会给您造成一定的损失，请您慎重决策</w:t>
        <w:tab/>
      </w:r>
      <w:r>
        <w:rPr>
          <w:rFonts w:ascii="Times New Roman" w:eastAsia="Times New Roman"/>
          <w:sz w:val="21"/>
        </w:rPr>
        <w:t>5.1</w:t>
      </w:r>
    </w:p>
    <w:p>
      <w:pPr>
        <w:pStyle w:val="ListParagraph"/>
        <w:numPr>
          <w:ilvl w:val="0"/>
          <w:numId w:val="1"/>
        </w:numPr>
        <w:tabs>
          <w:tab w:pos="943" w:val="left" w:leader="none"/>
          <w:tab w:pos="944" w:val="left" w:leader="none"/>
          <w:tab w:pos="8766" w:val="right" w:leader="dot"/>
        </w:tabs>
        <w:spacing w:line="240" w:lineRule="auto" w:before="21" w:after="0"/>
        <w:ind w:left="944" w:right="0" w:hanging="420"/>
        <w:jc w:val="left"/>
        <w:rPr>
          <w:rFonts w:ascii="Times New Roman" w:eastAsia="Times New Roman"/>
          <w:sz w:val="21"/>
        </w:rPr>
      </w:pPr>
      <w:r>
        <w:rPr>
          <w:sz w:val="21"/>
        </w:rPr>
        <w:t>在某些情况下，本附加合同效力终止</w:t>
        <w:tab/>
      </w:r>
      <w:r>
        <w:rPr>
          <w:rFonts w:ascii="Times New Roman" w:eastAsia="Times New Roman"/>
          <w:sz w:val="21"/>
        </w:rPr>
        <w:t>5.2</w:t>
      </w:r>
    </w:p>
    <w:p>
      <w:pPr>
        <w:pStyle w:val="ListParagraph"/>
        <w:numPr>
          <w:ilvl w:val="0"/>
          <w:numId w:val="1"/>
        </w:numPr>
        <w:tabs>
          <w:tab w:pos="943" w:val="left" w:leader="none"/>
          <w:tab w:pos="944" w:val="left" w:leader="none"/>
          <w:tab w:pos="8608" w:val="right" w:leader="dot"/>
        </w:tabs>
        <w:spacing w:line="240" w:lineRule="auto" w:before="21" w:after="0"/>
        <w:ind w:left="944" w:right="0" w:hanging="420"/>
        <w:jc w:val="left"/>
        <w:rPr>
          <w:rFonts w:ascii="Times New Roman" w:eastAsia="Times New Roman"/>
          <w:sz w:val="21"/>
        </w:rPr>
      </w:pPr>
      <w:r>
        <w:rPr>
          <w:sz w:val="21"/>
        </w:rPr>
        <w:t>保险条款有关重大疾病的释义，请您注意</w:t>
        <w:tab/>
      </w:r>
      <w:r>
        <w:rPr>
          <w:rFonts w:ascii="Times New Roman" w:eastAsia="Times New Roman"/>
          <w:sz w:val="21"/>
        </w:rPr>
        <w:t>6</w:t>
      </w:r>
    </w:p>
    <w:p>
      <w:pPr>
        <w:pStyle w:val="ListParagraph"/>
        <w:numPr>
          <w:ilvl w:val="0"/>
          <w:numId w:val="1"/>
        </w:numPr>
        <w:tabs>
          <w:tab w:pos="943" w:val="left" w:leader="none"/>
          <w:tab w:pos="944" w:val="left" w:leader="none"/>
          <w:tab w:pos="8608" w:val="right" w:leader="dot"/>
        </w:tabs>
        <w:spacing w:line="240" w:lineRule="auto" w:before="21" w:after="0"/>
        <w:ind w:left="944" w:right="0" w:hanging="420"/>
        <w:jc w:val="left"/>
        <w:rPr>
          <w:rFonts w:ascii="Times New Roman" w:eastAsia="Times New Roman"/>
          <w:sz w:val="21"/>
        </w:rPr>
      </w:pPr>
      <w:r>
        <w:rPr>
          <w:sz w:val="21"/>
        </w:rPr>
        <w:t>我们对一些重要术语进行了解释，请您注意</w:t>
        <w:tab/>
      </w:r>
      <w:r>
        <w:rPr>
          <w:rFonts w:ascii="Times New Roman" w:eastAsia="Times New Roman"/>
          <w:sz w:val="21"/>
        </w:rPr>
        <w:t>7</w:t>
      </w:r>
    </w:p>
    <w:p>
      <w:pPr>
        <w:pStyle w:val="BodyText"/>
        <w:spacing w:before="9"/>
        <w:rPr>
          <w:rFonts w:ascii="Times New Roman"/>
          <w:sz w:val="28"/>
        </w:rPr>
      </w:pPr>
    </w:p>
    <w:p>
      <w:pPr>
        <w:tabs>
          <w:tab w:pos="523" w:val="left" w:leader="none"/>
        </w:tabs>
        <w:spacing w:before="0"/>
        <w:ind w:left="104" w:right="0" w:firstLine="0"/>
        <w:jc w:val="left"/>
        <w:rPr>
          <w:b/>
          <w:sz w:val="21"/>
        </w:rPr>
      </w:pPr>
      <w:r>
        <w:rPr>
          <w:rFonts w:ascii="Symbol" w:hAnsi="Symbol" w:eastAsia="Symbol"/>
          <w:sz w:val="21"/>
        </w:rPr>
        <w:t></w:t>
      </w:r>
      <w:r>
        <w:rPr>
          <w:rFonts w:ascii="Times New Roman" w:hAnsi="Times New Roman" w:eastAsia="Times New Roman"/>
          <w:sz w:val="21"/>
        </w:rPr>
        <w:tab/>
      </w:r>
      <w:r>
        <w:rPr>
          <w:b/>
          <w:w w:val="95"/>
          <w:position w:val="1"/>
          <w:sz w:val="21"/>
        </w:rPr>
        <w:t>条款是保险合同的重要内容，为充分保障您的权益，请您仔细阅读本条款。</w:t>
      </w:r>
    </w:p>
    <w:p>
      <w:pPr>
        <w:tabs>
          <w:tab w:pos="523" w:val="left" w:leader="none"/>
        </w:tabs>
        <w:spacing w:line="276" w:lineRule="exact" w:before="226"/>
        <w:ind w:left="104" w:right="0" w:firstLine="0"/>
        <w:jc w:val="left"/>
        <w:rPr>
          <w:b/>
          <w:sz w:val="21"/>
        </w:rPr>
      </w:pPr>
      <w:r>
        <w:rPr>
          <w:rFonts w:ascii="Symbol" w:hAnsi="Symbol" w:eastAsia="Symbol"/>
          <w:sz w:val="21"/>
        </w:rPr>
        <w:t></w:t>
      </w:r>
      <w:r>
        <w:rPr>
          <w:rFonts w:ascii="Times New Roman" w:hAnsi="Times New Roman" w:eastAsia="Times New Roman"/>
          <w:sz w:val="21"/>
        </w:rPr>
        <w:tab/>
      </w:r>
      <w:r>
        <w:rPr>
          <w:b/>
          <w:w w:val="95"/>
          <w:sz w:val="21"/>
        </w:rPr>
        <w:t>条款目录</w:t>
      </w:r>
    </w:p>
    <w:p>
      <w:pPr>
        <w:pStyle w:val="ListParagraph"/>
        <w:numPr>
          <w:ilvl w:val="0"/>
          <w:numId w:val="2"/>
        </w:numPr>
        <w:tabs>
          <w:tab w:pos="398" w:val="left" w:leader="none"/>
          <w:tab w:pos="5123" w:val="left" w:leader="none"/>
        </w:tabs>
        <w:spacing w:line="275" w:lineRule="exact" w:before="0" w:after="0"/>
        <w:ind w:left="398" w:right="0" w:hanging="158"/>
        <w:jc w:val="left"/>
        <w:rPr>
          <w:sz w:val="21"/>
        </w:rPr>
      </w:pPr>
      <w:r>
        <w:rPr/>
        <w:drawing>
          <wp:anchor distT="0" distB="0" distL="0" distR="0" allowOverlap="1" layoutInCell="1" locked="0" behindDoc="1" simplePos="0" relativeHeight="268390223">
            <wp:simplePos x="0" y="0"/>
            <wp:positionH relativeFrom="page">
              <wp:posOffset>1092200</wp:posOffset>
            </wp:positionH>
            <wp:positionV relativeFrom="paragraph">
              <wp:posOffset>9884</wp:posOffset>
            </wp:positionV>
            <wp:extent cx="5737859" cy="3290570"/>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5737859" cy="3290570"/>
                    </a:xfrm>
                    <a:prstGeom prst="rect">
                      <a:avLst/>
                    </a:prstGeom>
                  </pic:spPr>
                </pic:pic>
              </a:graphicData>
            </a:graphic>
          </wp:anchor>
        </w:drawing>
      </w:r>
      <w:r>
        <w:rPr>
          <w:b/>
          <w:sz w:val="21"/>
        </w:rPr>
        <w:t>您与我们订立的合同</w:t>
        <w:tab/>
      </w:r>
      <w:r>
        <w:rPr>
          <w:rFonts w:ascii="Times New Roman" w:eastAsia="Times New Roman"/>
          <w:sz w:val="21"/>
        </w:rPr>
        <w:t>3.1</w:t>
      </w:r>
      <w:r>
        <w:rPr>
          <w:rFonts w:ascii="Times New Roman" w:eastAsia="Times New Roman"/>
          <w:spacing w:val="-13"/>
          <w:sz w:val="21"/>
        </w:rPr>
        <w:t> </w:t>
      </w:r>
      <w:r>
        <w:rPr>
          <w:sz w:val="21"/>
        </w:rPr>
        <w:t>重大疾病豁免保险费的申请</w:t>
      </w:r>
    </w:p>
    <w:p>
      <w:pPr>
        <w:pStyle w:val="ListParagraph"/>
        <w:numPr>
          <w:ilvl w:val="1"/>
          <w:numId w:val="2"/>
        </w:numPr>
        <w:tabs>
          <w:tab w:pos="754" w:val="left" w:leader="none"/>
          <w:tab w:pos="5123" w:val="left" w:leader="none"/>
        </w:tabs>
        <w:spacing w:line="240" w:lineRule="auto" w:before="87" w:after="0"/>
        <w:ind w:left="754" w:right="0" w:hanging="304"/>
        <w:jc w:val="left"/>
        <w:rPr>
          <w:sz w:val="21"/>
        </w:rPr>
      </w:pPr>
      <w:r>
        <w:rPr>
          <w:sz w:val="21"/>
        </w:rPr>
        <w:t>合同构成</w:t>
        <w:tab/>
      </w:r>
      <w:r>
        <w:rPr>
          <w:rFonts w:ascii="Times New Roman" w:eastAsia="Times New Roman"/>
          <w:sz w:val="21"/>
        </w:rPr>
        <w:t>3.2</w:t>
      </w:r>
      <w:r>
        <w:rPr>
          <w:rFonts w:ascii="Times New Roman" w:eastAsia="Times New Roman"/>
          <w:spacing w:val="-3"/>
          <w:sz w:val="21"/>
        </w:rPr>
        <w:t> </w:t>
      </w:r>
      <w:r>
        <w:rPr>
          <w:sz w:val="21"/>
        </w:rPr>
        <w:t>保险金的给付</w:t>
      </w:r>
    </w:p>
    <w:p>
      <w:pPr>
        <w:pStyle w:val="ListParagraph"/>
        <w:numPr>
          <w:ilvl w:val="1"/>
          <w:numId w:val="2"/>
        </w:numPr>
        <w:tabs>
          <w:tab w:pos="754" w:val="left" w:leader="none"/>
          <w:tab w:pos="5123" w:val="left" w:leader="none"/>
        </w:tabs>
        <w:spacing w:line="240" w:lineRule="auto" w:before="104" w:after="0"/>
        <w:ind w:left="754" w:right="0" w:hanging="304"/>
        <w:jc w:val="left"/>
        <w:rPr>
          <w:sz w:val="21"/>
        </w:rPr>
      </w:pPr>
      <w:r>
        <w:rPr>
          <w:sz w:val="21"/>
        </w:rPr>
        <w:t>保险合同成立与生效</w:t>
        <w:tab/>
      </w:r>
      <w:r>
        <w:rPr>
          <w:rFonts w:ascii="Times New Roman" w:eastAsia="Times New Roman"/>
          <w:sz w:val="21"/>
        </w:rPr>
        <w:t>3.3</w:t>
      </w:r>
      <w:r>
        <w:rPr>
          <w:rFonts w:ascii="Times New Roman" w:eastAsia="Times New Roman"/>
          <w:spacing w:val="-13"/>
          <w:sz w:val="21"/>
        </w:rPr>
        <w:t> </w:t>
      </w:r>
      <w:r>
        <w:rPr>
          <w:sz w:val="21"/>
        </w:rPr>
        <w:t>诉讼时效</w:t>
      </w:r>
    </w:p>
    <w:p>
      <w:pPr>
        <w:pStyle w:val="ListParagraph"/>
        <w:numPr>
          <w:ilvl w:val="1"/>
          <w:numId w:val="2"/>
        </w:numPr>
        <w:tabs>
          <w:tab w:pos="754" w:val="left" w:leader="none"/>
          <w:tab w:pos="4913" w:val="left" w:leader="none"/>
        </w:tabs>
        <w:spacing w:line="240" w:lineRule="auto" w:before="106" w:after="0"/>
        <w:ind w:left="754" w:right="0" w:hanging="304"/>
        <w:jc w:val="left"/>
        <w:rPr>
          <w:b/>
          <w:sz w:val="21"/>
        </w:rPr>
      </w:pPr>
      <w:r>
        <w:rPr>
          <w:sz w:val="21"/>
        </w:rPr>
        <w:t>投保年龄</w:t>
        <w:tab/>
      </w:r>
      <w:r>
        <w:rPr>
          <w:rFonts w:ascii="Times New Roman" w:eastAsia="Times New Roman"/>
          <w:b/>
          <w:sz w:val="21"/>
        </w:rPr>
        <w:t>4</w:t>
      </w:r>
      <w:r>
        <w:rPr>
          <w:rFonts w:ascii="Times New Roman" w:eastAsia="Times New Roman"/>
          <w:b/>
          <w:spacing w:val="-5"/>
          <w:sz w:val="21"/>
        </w:rPr>
        <w:t> </w:t>
      </w:r>
      <w:r>
        <w:rPr>
          <w:b/>
          <w:sz w:val="21"/>
        </w:rPr>
        <w:t>保险费的支付</w:t>
      </w:r>
    </w:p>
    <w:p>
      <w:pPr>
        <w:pStyle w:val="ListParagraph"/>
        <w:numPr>
          <w:ilvl w:val="1"/>
          <w:numId w:val="2"/>
        </w:numPr>
        <w:tabs>
          <w:tab w:pos="754" w:val="left" w:leader="none"/>
          <w:tab w:pos="5123" w:val="left" w:leader="none"/>
        </w:tabs>
        <w:spacing w:line="240" w:lineRule="auto" w:before="104" w:after="0"/>
        <w:ind w:left="754" w:right="0" w:hanging="304"/>
        <w:jc w:val="left"/>
        <w:rPr>
          <w:sz w:val="21"/>
        </w:rPr>
      </w:pPr>
      <w:r>
        <w:rPr>
          <w:sz w:val="21"/>
        </w:rPr>
        <w:t>合同的签收</w:t>
        <w:tab/>
      </w:r>
      <w:r>
        <w:rPr>
          <w:rFonts w:ascii="Times New Roman" w:eastAsia="Times New Roman"/>
          <w:sz w:val="21"/>
        </w:rPr>
        <w:t>4.1</w:t>
      </w:r>
      <w:r>
        <w:rPr>
          <w:rFonts w:ascii="Times New Roman" w:eastAsia="Times New Roman"/>
          <w:spacing w:val="-3"/>
          <w:sz w:val="21"/>
        </w:rPr>
        <w:t> </w:t>
      </w:r>
      <w:r>
        <w:rPr>
          <w:sz w:val="21"/>
        </w:rPr>
        <w:t>保险费的支付</w:t>
      </w:r>
    </w:p>
    <w:p>
      <w:pPr>
        <w:pStyle w:val="ListParagraph"/>
        <w:numPr>
          <w:ilvl w:val="1"/>
          <w:numId w:val="2"/>
        </w:numPr>
        <w:tabs>
          <w:tab w:pos="754" w:val="left" w:leader="none"/>
          <w:tab w:pos="5123" w:val="left" w:leader="none"/>
        </w:tabs>
        <w:spacing w:line="240" w:lineRule="auto" w:before="106" w:after="0"/>
        <w:ind w:left="754" w:right="0" w:hanging="304"/>
        <w:jc w:val="left"/>
        <w:rPr>
          <w:sz w:val="21"/>
        </w:rPr>
      </w:pPr>
      <w:r>
        <w:rPr>
          <w:sz w:val="21"/>
        </w:rPr>
        <w:t>犹豫期</w:t>
        <w:tab/>
      </w:r>
      <w:r>
        <w:rPr>
          <w:rFonts w:ascii="Times New Roman" w:eastAsia="Times New Roman"/>
          <w:sz w:val="21"/>
        </w:rPr>
        <w:t>4.2</w:t>
      </w:r>
      <w:r>
        <w:rPr>
          <w:rFonts w:ascii="Times New Roman" w:eastAsia="Times New Roman"/>
          <w:spacing w:val="-13"/>
          <w:sz w:val="21"/>
        </w:rPr>
        <w:t> </w:t>
      </w:r>
      <w:r>
        <w:rPr>
          <w:sz w:val="21"/>
        </w:rPr>
        <w:t>保险费率的调整</w:t>
      </w:r>
    </w:p>
    <w:p>
      <w:pPr>
        <w:pStyle w:val="Heading3"/>
        <w:numPr>
          <w:ilvl w:val="0"/>
          <w:numId w:val="2"/>
        </w:numPr>
        <w:tabs>
          <w:tab w:pos="398" w:val="left" w:leader="none"/>
          <w:tab w:pos="4913" w:val="left" w:leader="none"/>
        </w:tabs>
        <w:spacing w:line="240" w:lineRule="auto" w:before="104" w:after="0"/>
        <w:ind w:left="398" w:right="0" w:hanging="158"/>
        <w:jc w:val="left"/>
      </w:pPr>
      <w:r>
        <w:rPr/>
        <w:t>我们提供的保障</w:t>
        <w:tab/>
      </w:r>
      <w:r>
        <w:rPr>
          <w:rFonts w:ascii="Times New Roman" w:eastAsia="Times New Roman"/>
        </w:rPr>
        <w:t>5</w:t>
      </w:r>
      <w:r>
        <w:rPr>
          <w:rFonts w:ascii="Times New Roman" w:eastAsia="Times New Roman"/>
          <w:spacing w:val="-7"/>
        </w:rPr>
        <w:t> </w:t>
      </w:r>
      <w:r>
        <w:rPr/>
        <w:t>合同解除与效力终止</w:t>
      </w:r>
    </w:p>
    <w:p>
      <w:pPr>
        <w:pStyle w:val="ListParagraph"/>
        <w:numPr>
          <w:ilvl w:val="1"/>
          <w:numId w:val="2"/>
        </w:numPr>
        <w:tabs>
          <w:tab w:pos="754" w:val="left" w:leader="none"/>
          <w:tab w:pos="5123" w:val="left" w:leader="none"/>
        </w:tabs>
        <w:spacing w:line="240" w:lineRule="auto" w:before="106" w:after="0"/>
        <w:ind w:left="754" w:right="0" w:hanging="304"/>
        <w:jc w:val="left"/>
        <w:rPr>
          <w:sz w:val="21"/>
        </w:rPr>
      </w:pPr>
      <w:r>
        <w:rPr>
          <w:sz w:val="21"/>
        </w:rPr>
        <w:t>基本保险金额</w:t>
        <w:tab/>
      </w:r>
      <w:r>
        <w:rPr>
          <w:rFonts w:ascii="Times New Roman" w:eastAsia="Times New Roman"/>
          <w:sz w:val="21"/>
        </w:rPr>
        <w:t>5.1</w:t>
      </w:r>
      <w:r>
        <w:rPr>
          <w:rFonts w:ascii="Times New Roman" w:eastAsia="Times New Roman"/>
          <w:spacing w:val="-13"/>
          <w:sz w:val="21"/>
        </w:rPr>
        <w:t> </w:t>
      </w:r>
      <w:r>
        <w:rPr>
          <w:sz w:val="21"/>
        </w:rPr>
        <w:t>解除合同的手续及风险</w:t>
      </w:r>
    </w:p>
    <w:p>
      <w:pPr>
        <w:pStyle w:val="ListParagraph"/>
        <w:numPr>
          <w:ilvl w:val="1"/>
          <w:numId w:val="2"/>
        </w:numPr>
        <w:tabs>
          <w:tab w:pos="764" w:val="left" w:leader="none"/>
          <w:tab w:pos="5123" w:val="left" w:leader="none"/>
        </w:tabs>
        <w:spacing w:line="240" w:lineRule="auto" w:before="104" w:after="0"/>
        <w:ind w:left="764" w:right="0" w:hanging="314"/>
        <w:jc w:val="left"/>
        <w:rPr>
          <w:sz w:val="21"/>
        </w:rPr>
      </w:pPr>
      <w:r>
        <w:rPr>
          <w:sz w:val="21"/>
        </w:rPr>
        <w:t>保险期间</w:t>
        <w:tab/>
      </w:r>
      <w:r>
        <w:rPr>
          <w:rFonts w:ascii="Times New Roman" w:eastAsia="Times New Roman"/>
          <w:sz w:val="21"/>
        </w:rPr>
        <w:t>5.2</w:t>
      </w:r>
      <w:r>
        <w:rPr>
          <w:rFonts w:ascii="Times New Roman" w:eastAsia="Times New Roman"/>
          <w:spacing w:val="-13"/>
          <w:sz w:val="21"/>
        </w:rPr>
        <w:t> </w:t>
      </w:r>
      <w:r>
        <w:rPr>
          <w:sz w:val="21"/>
        </w:rPr>
        <w:t>附加合同效力的终止</w:t>
      </w:r>
    </w:p>
    <w:p>
      <w:pPr>
        <w:pStyle w:val="ListParagraph"/>
        <w:numPr>
          <w:ilvl w:val="1"/>
          <w:numId w:val="2"/>
        </w:numPr>
        <w:tabs>
          <w:tab w:pos="754" w:val="left" w:leader="none"/>
          <w:tab w:pos="4913" w:val="left" w:leader="none"/>
        </w:tabs>
        <w:spacing w:line="240" w:lineRule="auto" w:before="106" w:after="0"/>
        <w:ind w:left="754" w:right="0" w:hanging="304"/>
        <w:jc w:val="left"/>
        <w:rPr>
          <w:b/>
          <w:sz w:val="21"/>
        </w:rPr>
      </w:pPr>
      <w:r>
        <w:rPr>
          <w:sz w:val="21"/>
        </w:rPr>
        <w:t>等待期</w:t>
        <w:tab/>
      </w:r>
      <w:r>
        <w:rPr>
          <w:rFonts w:ascii="Times New Roman" w:eastAsia="Times New Roman"/>
          <w:b/>
          <w:sz w:val="21"/>
        </w:rPr>
        <w:t>6</w:t>
      </w:r>
      <w:r>
        <w:rPr>
          <w:rFonts w:ascii="Times New Roman" w:eastAsia="Times New Roman"/>
          <w:b/>
          <w:spacing w:val="-9"/>
          <w:sz w:val="21"/>
        </w:rPr>
        <w:t> </w:t>
      </w:r>
      <w:r>
        <w:rPr>
          <w:b/>
          <w:sz w:val="21"/>
        </w:rPr>
        <w:t>重大疾病保障范围及定义</w:t>
      </w:r>
    </w:p>
    <w:p>
      <w:pPr>
        <w:pStyle w:val="ListParagraph"/>
        <w:numPr>
          <w:ilvl w:val="1"/>
          <w:numId w:val="2"/>
        </w:numPr>
        <w:tabs>
          <w:tab w:pos="754" w:val="left" w:leader="none"/>
          <w:tab w:pos="4913" w:val="left" w:leader="none"/>
        </w:tabs>
        <w:spacing w:line="240" w:lineRule="auto" w:before="104" w:after="0"/>
        <w:ind w:left="754" w:right="0" w:hanging="304"/>
        <w:jc w:val="left"/>
        <w:rPr>
          <w:b/>
          <w:sz w:val="21"/>
        </w:rPr>
      </w:pPr>
      <w:r>
        <w:rPr>
          <w:sz w:val="21"/>
        </w:rPr>
        <w:t>保险责任</w:t>
        <w:tab/>
      </w:r>
      <w:r>
        <w:rPr>
          <w:rFonts w:ascii="Times New Roman" w:eastAsia="Times New Roman"/>
          <w:b/>
          <w:sz w:val="21"/>
        </w:rPr>
        <w:t>7</w:t>
      </w:r>
      <w:r>
        <w:rPr>
          <w:rFonts w:ascii="Times New Roman" w:eastAsia="Times New Roman"/>
          <w:b/>
          <w:spacing w:val="-2"/>
          <w:sz w:val="21"/>
        </w:rPr>
        <w:t> </w:t>
      </w:r>
      <w:r>
        <w:rPr>
          <w:b/>
          <w:sz w:val="21"/>
        </w:rPr>
        <w:t>释义</w:t>
      </w:r>
    </w:p>
    <w:p>
      <w:pPr>
        <w:pStyle w:val="ListParagraph"/>
        <w:numPr>
          <w:ilvl w:val="1"/>
          <w:numId w:val="2"/>
        </w:numPr>
        <w:tabs>
          <w:tab w:pos="754" w:val="left" w:leader="none"/>
          <w:tab w:pos="4913" w:val="left" w:leader="none"/>
        </w:tabs>
        <w:spacing w:line="240" w:lineRule="auto" w:before="106" w:after="0"/>
        <w:ind w:left="754" w:right="0" w:hanging="304"/>
        <w:jc w:val="left"/>
        <w:rPr>
          <w:b/>
          <w:sz w:val="21"/>
        </w:rPr>
      </w:pPr>
      <w:r>
        <w:rPr>
          <w:sz w:val="21"/>
        </w:rPr>
        <w:t>责任免除</w:t>
        <w:tab/>
      </w:r>
      <w:r>
        <w:rPr>
          <w:rFonts w:ascii="Times New Roman" w:eastAsia="Times New Roman"/>
          <w:b/>
          <w:sz w:val="21"/>
        </w:rPr>
        <w:t>8</w:t>
      </w:r>
      <w:r>
        <w:rPr>
          <w:rFonts w:ascii="Times New Roman" w:eastAsia="Times New Roman"/>
          <w:b/>
          <w:spacing w:val="-4"/>
          <w:sz w:val="21"/>
        </w:rPr>
        <w:t> </w:t>
      </w:r>
      <w:r>
        <w:rPr>
          <w:b/>
          <w:sz w:val="21"/>
        </w:rPr>
        <w:t>特别说明</w:t>
      </w:r>
    </w:p>
    <w:p>
      <w:pPr>
        <w:pStyle w:val="Heading3"/>
        <w:numPr>
          <w:ilvl w:val="0"/>
          <w:numId w:val="2"/>
        </w:numPr>
        <w:tabs>
          <w:tab w:pos="398" w:val="left" w:leader="none"/>
        </w:tabs>
        <w:spacing w:line="240" w:lineRule="auto" w:before="104" w:after="0"/>
        <w:ind w:left="398" w:right="0" w:hanging="158"/>
        <w:jc w:val="left"/>
      </w:pPr>
      <w:r>
        <w:rPr>
          <w:w w:val="95"/>
        </w:rPr>
        <w:t>保险金的申请</w:t>
      </w:r>
    </w:p>
    <w:p>
      <w:pPr>
        <w:spacing w:after="0" w:line="240" w:lineRule="auto"/>
        <w:jc w:val="left"/>
        <w:sectPr>
          <w:type w:val="continuous"/>
          <w:pgSz w:w="11900" w:h="16840"/>
          <w:pgMar w:top="80" w:bottom="280" w:left="1600" w:right="220"/>
        </w:sectPr>
      </w:pPr>
    </w:p>
    <w:p>
      <w:pPr>
        <w:pStyle w:val="BodyText"/>
        <w:ind w:left="1888"/>
        <w:rPr>
          <w:sz w:val="20"/>
        </w:rPr>
      </w:pPr>
      <w:r>
        <w:rPr>
          <w:sz w:val="20"/>
        </w:rPr>
        <w:drawing>
          <wp:inline distT="0" distB="0" distL="0" distR="0">
            <wp:extent cx="3614259" cy="886396"/>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10" cstate="print"/>
                    <a:stretch>
                      <a:fillRect/>
                    </a:stretch>
                  </pic:blipFill>
                  <pic:spPr>
                    <a:xfrm>
                      <a:off x="0" y="0"/>
                      <a:ext cx="3614259" cy="886396"/>
                    </a:xfrm>
                    <a:prstGeom prst="rect">
                      <a:avLst/>
                    </a:prstGeom>
                  </pic:spPr>
                </pic:pic>
              </a:graphicData>
            </a:graphic>
          </wp:inline>
        </w:drawing>
      </w:r>
      <w:r>
        <w:rPr>
          <w:sz w:val="20"/>
        </w:rPr>
      </w:r>
    </w:p>
    <w:p>
      <w:pPr>
        <w:pStyle w:val="BodyText"/>
        <w:spacing w:before="1"/>
        <w:rPr>
          <w:b/>
          <w:sz w:val="22"/>
        </w:rPr>
      </w:pPr>
    </w:p>
    <w:p>
      <w:pPr>
        <w:pStyle w:val="Heading1"/>
        <w:ind w:left="2330"/>
      </w:pPr>
      <w:r>
        <w:rPr>
          <w:w w:val="95"/>
        </w:rPr>
        <w:t>中意附加豁免保险费疾病保险条款</w:t>
      </w:r>
    </w:p>
    <w:p>
      <w:pPr>
        <w:pStyle w:val="BodyText"/>
        <w:spacing w:before="3"/>
        <w:rPr>
          <w:b/>
          <w:sz w:val="36"/>
        </w:rPr>
      </w:pPr>
    </w:p>
    <w:p>
      <w:pPr>
        <w:spacing w:before="0"/>
        <w:ind w:left="4074" w:right="0" w:firstLine="0"/>
        <w:jc w:val="left"/>
        <w:rPr>
          <w:sz w:val="18"/>
        </w:rPr>
      </w:pPr>
      <w:r>
        <w:rPr>
          <w:sz w:val="18"/>
        </w:rPr>
        <w:t>报中国保险监督管理委员会备案文号：中意人寿［</w:t>
      </w:r>
      <w:r>
        <w:rPr>
          <w:rFonts w:ascii="Times New Roman" w:eastAsia="Times New Roman"/>
          <w:sz w:val="18"/>
        </w:rPr>
        <w:t>2009</w:t>
      </w:r>
      <w:r>
        <w:rPr>
          <w:sz w:val="18"/>
        </w:rPr>
        <w:t>］第 </w:t>
      </w:r>
      <w:r>
        <w:rPr>
          <w:rFonts w:ascii="Times New Roman" w:eastAsia="Times New Roman"/>
          <w:sz w:val="18"/>
        </w:rPr>
        <w:t>115 </w:t>
      </w:r>
      <w:r>
        <w:rPr>
          <w:sz w:val="18"/>
        </w:rPr>
        <w:t>号</w:t>
      </w:r>
    </w:p>
    <w:p>
      <w:pPr>
        <w:pStyle w:val="BodyText"/>
        <w:rPr>
          <w:sz w:val="20"/>
        </w:rPr>
      </w:pPr>
    </w:p>
    <w:p>
      <w:pPr>
        <w:pStyle w:val="BodyText"/>
        <w:rPr>
          <w:sz w:val="20"/>
        </w:rPr>
      </w:pPr>
    </w:p>
    <w:p>
      <w:pPr>
        <w:pStyle w:val="BodyText"/>
        <w:spacing w:line="256" w:lineRule="auto" w:before="138"/>
        <w:ind w:left="195" w:right="211" w:firstLine="420"/>
      </w:pPr>
      <w:r>
        <w:rPr>
          <w:spacing w:val="-1"/>
        </w:rPr>
        <w:t>在本条款中，</w:t>
      </w:r>
      <w:r>
        <w:rPr>
          <w:rFonts w:ascii="Times New Roman" w:hAnsi="Times New Roman" w:eastAsia="Times New Roman"/>
        </w:rPr>
        <w:t>“</w:t>
      </w:r>
      <w:r>
        <w:rPr/>
        <w:t>您</w:t>
      </w:r>
      <w:r>
        <w:rPr>
          <w:rFonts w:ascii="Times New Roman" w:hAnsi="Times New Roman" w:eastAsia="Times New Roman"/>
        </w:rPr>
        <w:t>”</w:t>
      </w:r>
      <w:r>
        <w:rPr/>
        <w:t>指投保人，</w:t>
      </w:r>
      <w:r>
        <w:rPr>
          <w:rFonts w:ascii="Times New Roman" w:hAnsi="Times New Roman" w:eastAsia="Times New Roman"/>
        </w:rPr>
        <w:t>“</w:t>
      </w:r>
      <w:r>
        <w:rPr/>
        <w:t>我们</w:t>
      </w:r>
      <w:r>
        <w:rPr>
          <w:rFonts w:ascii="Times New Roman" w:hAnsi="Times New Roman" w:eastAsia="Times New Roman"/>
        </w:rPr>
        <w:t>”</w:t>
      </w:r>
      <w:r>
        <w:rPr>
          <w:spacing w:val="-72"/>
        </w:rPr>
        <w:t>、</w:t>
      </w:r>
      <w:r>
        <w:rPr>
          <w:rFonts w:ascii="Times New Roman" w:hAnsi="Times New Roman" w:eastAsia="Times New Roman"/>
        </w:rPr>
        <w:t>“</w:t>
      </w:r>
      <w:r>
        <w:rPr/>
        <w:t>本公司</w:t>
      </w:r>
      <w:r>
        <w:rPr>
          <w:rFonts w:ascii="Times New Roman" w:hAnsi="Times New Roman" w:eastAsia="Times New Roman"/>
        </w:rPr>
        <w:t>”</w:t>
      </w:r>
      <w:r>
        <w:rPr/>
        <w:t>均指中意人寿保险有限公司，</w:t>
      </w:r>
      <w:r>
        <w:rPr>
          <w:rFonts w:ascii="Times New Roman" w:hAnsi="Times New Roman" w:eastAsia="Times New Roman"/>
        </w:rPr>
        <w:t>“</w:t>
      </w:r>
      <w:r>
        <w:rPr/>
        <w:t>本附加合同</w:t>
      </w:r>
      <w:r>
        <w:rPr>
          <w:rFonts w:ascii="Times New Roman" w:hAnsi="Times New Roman" w:eastAsia="Times New Roman"/>
        </w:rPr>
        <w:t>”</w:t>
      </w:r>
      <w:r>
        <w:rPr/>
        <w:t>指您</w:t>
      </w:r>
      <w:r>
        <w:rPr>
          <w:spacing w:val="-1"/>
        </w:rPr>
        <w:t>与我们之间订立的</w:t>
      </w:r>
      <w:r>
        <w:rPr>
          <w:rFonts w:ascii="Times New Roman" w:hAnsi="Times New Roman" w:eastAsia="Times New Roman"/>
        </w:rPr>
        <w:t>“</w:t>
      </w:r>
      <w:r>
        <w:rPr/>
        <w:t>中意附加豁免保险费疾病保险</w:t>
      </w:r>
      <w:r>
        <w:rPr>
          <w:rFonts w:ascii="Times New Roman" w:hAnsi="Times New Roman" w:eastAsia="Times New Roman"/>
        </w:rPr>
        <w:t>”</w:t>
      </w:r>
      <w:r>
        <w:rPr/>
        <w:t>的保险合同。</w:t>
      </w:r>
    </w:p>
    <w:p>
      <w:pPr>
        <w:pStyle w:val="Heading2"/>
        <w:numPr>
          <w:ilvl w:val="0"/>
          <w:numId w:val="3"/>
        </w:numPr>
        <w:tabs>
          <w:tab w:pos="1271" w:val="left" w:leader="none"/>
          <w:tab w:pos="1272" w:val="left" w:leader="none"/>
        </w:tabs>
        <w:spacing w:line="304" w:lineRule="exact" w:before="0" w:after="0"/>
        <w:ind w:left="1272" w:right="0" w:hanging="1052"/>
        <w:jc w:val="left"/>
      </w:pPr>
      <w:r>
        <w:rPr>
          <w:w w:val="95"/>
        </w:rPr>
        <w:t>您与我们订立的合同</w:t>
      </w:r>
    </w:p>
    <w:p>
      <w:pPr>
        <w:pStyle w:val="BodyText"/>
        <w:spacing w:before="6"/>
        <w:rPr>
          <w:b/>
          <w:sz w:val="10"/>
        </w:rPr>
      </w:pPr>
      <w:r>
        <w:rPr/>
        <w:pict>
          <v:group style="position:absolute;margin-left:52.5pt;margin-top:8.80636pt;width:463.2pt;height:.6pt;mso-position-horizontal-relative:page;mso-position-vertical-relative:paragraph;z-index:1096;mso-wrap-distance-left:0;mso-wrap-distance-right:0" coordorigin="1050,176" coordsize="9264,12">
            <v:line style="position:absolute" from="1050,182" to="2102,182" stroked="true" strokeweight=".6pt" strokecolor="#000000">
              <v:stroke dashstyle="solid"/>
            </v:line>
            <v:line style="position:absolute" from="2102,182" to="3984,182" stroked="true" strokeweight=".6pt" strokecolor="#000000">
              <v:stroke dashstyle="solid"/>
            </v:line>
            <v:line style="position:absolute" from="3984,182" to="10314,182" stroked="true" strokeweight=".6pt" strokecolor="#000000">
              <v:stroke dashstyle="solid"/>
            </v:line>
            <w10:wrap type="topAndBottom"/>
          </v:group>
        </w:pict>
      </w:r>
    </w:p>
    <w:p>
      <w:pPr>
        <w:pStyle w:val="ListParagraph"/>
        <w:numPr>
          <w:ilvl w:val="1"/>
          <w:numId w:val="3"/>
        </w:numPr>
        <w:tabs>
          <w:tab w:pos="1271" w:val="left" w:leader="none"/>
          <w:tab w:pos="1272" w:val="left" w:leader="none"/>
          <w:tab w:pos="3153" w:val="left" w:leader="none"/>
        </w:tabs>
        <w:spacing w:line="240" w:lineRule="auto" w:before="0" w:after="0"/>
        <w:ind w:left="1272" w:right="0" w:hanging="1052"/>
        <w:jc w:val="left"/>
        <w:rPr>
          <w:sz w:val="21"/>
        </w:rPr>
      </w:pPr>
      <w:r>
        <w:rPr>
          <w:b/>
          <w:sz w:val="21"/>
        </w:rPr>
        <w:t>合同构成</w:t>
        <w:tab/>
      </w:r>
      <w:r>
        <w:rPr>
          <w:sz w:val="21"/>
        </w:rPr>
        <w:t>本附加合同可以附加于我们供您选择的人身保险合同（以下简称主</w:t>
      </w:r>
    </w:p>
    <w:p>
      <w:pPr>
        <w:pStyle w:val="BodyText"/>
        <w:spacing w:line="273" w:lineRule="auto" w:before="31"/>
        <w:ind w:left="3154" w:right="235"/>
        <w:jc w:val="both"/>
      </w:pPr>
      <w:r>
        <w:rPr/>
        <w:t>合同）。如您申请投保本附加合同，经我们审核同意后可以订立本附加合同。主合同的条款也适用于本附加合同，若互有冲突，则以本附加合同为准。</w:t>
      </w:r>
    </w:p>
    <w:p>
      <w:pPr>
        <w:pStyle w:val="BodyText"/>
        <w:spacing w:before="9"/>
        <w:rPr>
          <w:sz w:val="20"/>
        </w:rPr>
      </w:pPr>
    </w:p>
    <w:p>
      <w:pPr>
        <w:spacing w:after="0"/>
        <w:rPr>
          <w:sz w:val="20"/>
        </w:rPr>
        <w:sectPr>
          <w:footerReference w:type="even" r:id="rId8"/>
          <w:footerReference w:type="default" r:id="rId9"/>
          <w:pgSz w:w="11900" w:h="16840"/>
          <w:pgMar w:footer="866" w:header="0" w:top="1240" w:bottom="1060" w:left="940" w:right="1480"/>
          <w:pgNumType w:start="2"/>
        </w:sectPr>
      </w:pPr>
    </w:p>
    <w:p>
      <w:pPr>
        <w:pStyle w:val="Heading3"/>
        <w:numPr>
          <w:ilvl w:val="1"/>
          <w:numId w:val="3"/>
        </w:numPr>
        <w:tabs>
          <w:tab w:pos="1271" w:val="left" w:leader="none"/>
          <w:tab w:pos="1272" w:val="left" w:leader="none"/>
        </w:tabs>
        <w:spacing w:line="266" w:lineRule="auto" w:before="48" w:after="0"/>
        <w:ind w:left="1272" w:right="0" w:hanging="1052"/>
        <w:jc w:val="left"/>
      </w:pPr>
      <w:r>
        <w:rPr>
          <w:spacing w:val="25"/>
        </w:rPr>
        <w:t>保险合同成立与</w:t>
      </w:r>
      <w:r>
        <w:rPr>
          <w:spacing w:val="25"/>
          <w:w w:val="95"/>
        </w:rPr>
        <w:t>生效</w:t>
      </w:r>
    </w:p>
    <w:p>
      <w:pPr>
        <w:pStyle w:val="BodyText"/>
        <w:spacing w:before="48"/>
        <w:ind w:left="179"/>
      </w:pPr>
      <w:r>
        <w:rPr/>
        <w:br w:type="column"/>
      </w:r>
      <w:r>
        <w:rPr/>
        <w:t>您提出保险申请、我们同意承保，本附加合同成立。</w:t>
      </w:r>
    </w:p>
    <w:p>
      <w:pPr>
        <w:spacing w:line="273" w:lineRule="auto" w:before="36"/>
        <w:ind w:left="179" w:right="210" w:firstLine="0"/>
        <w:jc w:val="both"/>
        <w:rPr>
          <w:sz w:val="21"/>
        </w:rPr>
      </w:pPr>
      <w:r>
        <w:rPr>
          <w:sz w:val="21"/>
        </w:rPr>
        <w:t>本附加合同自我们同意承保、收取首期保险费并签发保险单后开始</w:t>
      </w:r>
      <w:r>
        <w:rPr>
          <w:spacing w:val="-6"/>
          <w:w w:val="95"/>
          <w:sz w:val="21"/>
        </w:rPr>
        <w:t>生效，合同生效日期在保险单上载明。</w:t>
      </w:r>
      <w:r>
        <w:rPr>
          <w:b/>
          <w:spacing w:val="-10"/>
          <w:w w:val="95"/>
          <w:sz w:val="21"/>
        </w:rPr>
        <w:t>保单年度、保险费约定支付日 </w:t>
      </w:r>
      <w:r>
        <w:rPr>
          <w:spacing w:val="-10"/>
          <w:sz w:val="21"/>
        </w:rPr>
        <w:t>均以该日期计算。</w:t>
      </w:r>
    </w:p>
    <w:p>
      <w:pPr>
        <w:pStyle w:val="Heading3"/>
        <w:spacing w:line="544" w:lineRule="auto" w:before="109"/>
        <w:ind w:left="179" w:right="230"/>
        <w:jc w:val="both"/>
      </w:pPr>
      <w:r>
        <w:rPr>
          <w:w w:val="95"/>
        </w:rPr>
        <w:t>我们自保险单上约定的生效日的次日零时起开始承担本附加合同约 定的保险责任。</w:t>
      </w:r>
    </w:p>
    <w:p>
      <w:pPr>
        <w:spacing w:after="0" w:line="544" w:lineRule="auto"/>
        <w:jc w:val="both"/>
        <w:sectPr>
          <w:type w:val="continuous"/>
          <w:pgSz w:w="11900" w:h="16840"/>
          <w:pgMar w:top="80" w:bottom="280" w:left="940" w:right="1480"/>
          <w:cols w:num="2" w:equalWidth="0">
            <w:col w:w="2935" w:space="40"/>
            <w:col w:w="6505"/>
          </w:cols>
        </w:sectPr>
      </w:pPr>
    </w:p>
    <w:p>
      <w:pPr>
        <w:pStyle w:val="BodyText"/>
        <w:spacing w:before="8"/>
        <w:rPr>
          <w:b/>
          <w:sz w:val="18"/>
        </w:rPr>
      </w:pPr>
    </w:p>
    <w:p>
      <w:pPr>
        <w:pStyle w:val="ListParagraph"/>
        <w:numPr>
          <w:ilvl w:val="1"/>
          <w:numId w:val="3"/>
        </w:numPr>
        <w:tabs>
          <w:tab w:pos="1271" w:val="left" w:leader="none"/>
          <w:tab w:pos="1272" w:val="left" w:leader="none"/>
          <w:tab w:pos="3153" w:val="left" w:leader="none"/>
        </w:tabs>
        <w:spacing w:line="278" w:lineRule="exact" w:before="48" w:after="0"/>
        <w:ind w:left="1272" w:right="0" w:hanging="1052"/>
        <w:jc w:val="left"/>
        <w:rPr>
          <w:sz w:val="21"/>
        </w:rPr>
      </w:pPr>
      <w:r>
        <w:rPr>
          <w:b/>
          <w:sz w:val="21"/>
        </w:rPr>
        <w:t>投保年龄</w:t>
        <w:tab/>
      </w:r>
      <w:r>
        <w:rPr>
          <w:sz w:val="21"/>
        </w:rPr>
        <w:t>指您投保本附加合同时被保险人的年龄，年龄以周岁计算。</w:t>
      </w:r>
    </w:p>
    <w:p>
      <w:pPr>
        <w:pStyle w:val="BodyText"/>
        <w:spacing w:line="255" w:lineRule="exact"/>
        <w:ind w:left="3154"/>
      </w:pPr>
      <w:r>
        <w:rPr/>
        <w:t>本附加合同接受的投保年龄如下：</w:t>
      </w:r>
    </w:p>
    <w:p>
      <w:pPr>
        <w:pStyle w:val="BodyText"/>
        <w:spacing w:line="248" w:lineRule="exact"/>
        <w:ind w:left="3154"/>
        <w:rPr>
          <w:rFonts w:ascii="Times New Roman" w:eastAsia="Times New Roman"/>
        </w:rPr>
      </w:pPr>
      <w:r>
        <w:rPr/>
        <w:t>若保险期间为 </w:t>
      </w:r>
      <w:r>
        <w:rPr>
          <w:rFonts w:ascii="Times New Roman" w:eastAsia="Times New Roman"/>
        </w:rPr>
        <w:t>10 </w:t>
      </w:r>
      <w:r>
        <w:rPr/>
        <w:t>年，本附加合同接受的投保年龄为 </w:t>
      </w:r>
      <w:r>
        <w:rPr>
          <w:rFonts w:ascii="Times New Roman" w:eastAsia="Times New Roman"/>
        </w:rPr>
        <w:t>18 </w:t>
      </w:r>
      <w:r>
        <w:rPr/>
        <w:t>周岁至 </w:t>
      </w:r>
      <w:r>
        <w:rPr>
          <w:rFonts w:ascii="Times New Roman" w:eastAsia="Times New Roman"/>
        </w:rPr>
        <w:t>55</w:t>
      </w:r>
    </w:p>
    <w:p>
      <w:pPr>
        <w:pStyle w:val="BodyText"/>
        <w:spacing w:line="232" w:lineRule="exact"/>
        <w:ind w:left="3154"/>
      </w:pPr>
      <w:r>
        <w:rPr/>
        <w:t>周岁；</w:t>
      </w:r>
    </w:p>
    <w:p>
      <w:pPr>
        <w:pStyle w:val="BodyText"/>
        <w:spacing w:line="249" w:lineRule="exact"/>
        <w:ind w:left="3154"/>
        <w:rPr>
          <w:rFonts w:ascii="Times New Roman" w:eastAsia="Times New Roman"/>
        </w:rPr>
      </w:pPr>
      <w:r>
        <w:rPr/>
        <w:t>若保险期间为 </w:t>
      </w:r>
      <w:r>
        <w:rPr>
          <w:rFonts w:ascii="Times New Roman" w:eastAsia="Times New Roman"/>
        </w:rPr>
        <w:t>15 </w:t>
      </w:r>
      <w:r>
        <w:rPr/>
        <w:t>年，本附加合同接受的投保年龄为 </w:t>
      </w:r>
      <w:r>
        <w:rPr>
          <w:rFonts w:ascii="Times New Roman" w:eastAsia="Times New Roman"/>
        </w:rPr>
        <w:t>18 </w:t>
      </w:r>
      <w:r>
        <w:rPr/>
        <w:t>周岁至 </w:t>
      </w:r>
      <w:r>
        <w:rPr>
          <w:rFonts w:ascii="Times New Roman" w:eastAsia="Times New Roman"/>
        </w:rPr>
        <w:t>55</w:t>
      </w:r>
    </w:p>
    <w:p>
      <w:pPr>
        <w:pStyle w:val="BodyText"/>
        <w:spacing w:line="233" w:lineRule="exact"/>
        <w:ind w:left="3154"/>
      </w:pPr>
      <w:r>
        <w:rPr/>
        <w:t>周岁；</w:t>
      </w:r>
    </w:p>
    <w:p>
      <w:pPr>
        <w:pStyle w:val="BodyText"/>
        <w:spacing w:line="248" w:lineRule="exact"/>
        <w:ind w:left="3154"/>
        <w:rPr>
          <w:rFonts w:ascii="Times New Roman" w:eastAsia="Times New Roman"/>
        </w:rPr>
      </w:pPr>
      <w:r>
        <w:rPr/>
        <w:t>若保险期间为 </w:t>
      </w:r>
      <w:r>
        <w:rPr>
          <w:rFonts w:ascii="Times New Roman" w:eastAsia="Times New Roman"/>
        </w:rPr>
        <w:t>20 </w:t>
      </w:r>
      <w:r>
        <w:rPr/>
        <w:t>年，本附加合同接受的投保年龄为 </w:t>
      </w:r>
      <w:r>
        <w:rPr>
          <w:rFonts w:ascii="Times New Roman" w:eastAsia="Times New Roman"/>
        </w:rPr>
        <w:t>18 </w:t>
      </w:r>
      <w:r>
        <w:rPr/>
        <w:t>周岁至 </w:t>
      </w:r>
      <w:r>
        <w:rPr>
          <w:rFonts w:ascii="Times New Roman" w:eastAsia="Times New Roman"/>
        </w:rPr>
        <w:t>55</w:t>
      </w:r>
    </w:p>
    <w:p>
      <w:pPr>
        <w:pStyle w:val="BodyText"/>
        <w:spacing w:line="232" w:lineRule="exact"/>
        <w:ind w:left="3154"/>
      </w:pPr>
      <w:r>
        <w:rPr/>
        <w:t>周岁；</w:t>
      </w:r>
    </w:p>
    <w:p>
      <w:pPr>
        <w:pStyle w:val="BodyText"/>
        <w:spacing w:line="249" w:lineRule="exact"/>
        <w:ind w:left="3154"/>
      </w:pPr>
      <w:r>
        <w:rPr/>
        <w:t>若保险期间为至 </w:t>
      </w:r>
      <w:r>
        <w:rPr>
          <w:rFonts w:ascii="Times New Roman" w:eastAsia="Times New Roman"/>
        </w:rPr>
        <w:t>55 </w:t>
      </w:r>
      <w:r>
        <w:rPr/>
        <w:t>周岁，本附加合同接受的投保年龄为 </w:t>
      </w:r>
      <w:r>
        <w:rPr>
          <w:rFonts w:ascii="Times New Roman" w:eastAsia="Times New Roman"/>
        </w:rPr>
        <w:t>18 </w:t>
      </w:r>
      <w:r>
        <w:rPr/>
        <w:t>周岁至</w:t>
      </w:r>
    </w:p>
    <w:p>
      <w:pPr>
        <w:pStyle w:val="BodyText"/>
        <w:spacing w:line="241" w:lineRule="exact"/>
        <w:ind w:left="3154"/>
      </w:pPr>
      <w:r>
        <w:rPr>
          <w:rFonts w:ascii="Times New Roman" w:eastAsia="Times New Roman"/>
        </w:rPr>
        <w:t>45 </w:t>
      </w:r>
      <w:r>
        <w:rPr/>
        <w:t>周岁；</w:t>
      </w:r>
    </w:p>
    <w:p>
      <w:pPr>
        <w:pStyle w:val="BodyText"/>
        <w:spacing w:line="241" w:lineRule="exact"/>
        <w:ind w:left="3154"/>
      </w:pPr>
      <w:r>
        <w:rPr/>
        <w:t>若保险期间为至 </w:t>
      </w:r>
      <w:r>
        <w:rPr>
          <w:rFonts w:ascii="Times New Roman" w:eastAsia="Times New Roman"/>
        </w:rPr>
        <w:t>60 </w:t>
      </w:r>
      <w:r>
        <w:rPr/>
        <w:t>周岁，本附加合同接受的投保年龄为 </w:t>
      </w:r>
      <w:r>
        <w:rPr>
          <w:rFonts w:ascii="Times New Roman" w:eastAsia="Times New Roman"/>
        </w:rPr>
        <w:t>18 </w:t>
      </w:r>
      <w:r>
        <w:rPr/>
        <w:t>周岁至</w:t>
      </w:r>
    </w:p>
    <w:p>
      <w:pPr>
        <w:pStyle w:val="BodyText"/>
        <w:spacing w:line="241" w:lineRule="exact"/>
        <w:ind w:left="3154"/>
      </w:pPr>
      <w:r>
        <w:rPr>
          <w:rFonts w:ascii="Times New Roman" w:eastAsia="Times New Roman"/>
        </w:rPr>
        <w:t>50 </w:t>
      </w:r>
      <w:r>
        <w:rPr/>
        <w:t>周岁；</w:t>
      </w:r>
    </w:p>
    <w:p>
      <w:pPr>
        <w:pStyle w:val="BodyText"/>
        <w:spacing w:line="241" w:lineRule="exact"/>
        <w:ind w:left="3154"/>
      </w:pPr>
      <w:r>
        <w:rPr/>
        <w:t>若保险期间为至 </w:t>
      </w:r>
      <w:r>
        <w:rPr>
          <w:rFonts w:ascii="Times New Roman" w:eastAsia="Times New Roman"/>
        </w:rPr>
        <w:t>65 </w:t>
      </w:r>
      <w:r>
        <w:rPr/>
        <w:t>周岁，本附加合同接受的投保年龄为 </w:t>
      </w:r>
      <w:r>
        <w:rPr>
          <w:rFonts w:ascii="Times New Roman" w:eastAsia="Times New Roman"/>
        </w:rPr>
        <w:t>18 </w:t>
      </w:r>
      <w:r>
        <w:rPr/>
        <w:t>周岁至</w:t>
      </w:r>
    </w:p>
    <w:p>
      <w:pPr>
        <w:pStyle w:val="BodyText"/>
        <w:spacing w:line="266" w:lineRule="exact"/>
        <w:ind w:left="3154"/>
      </w:pPr>
      <w:r>
        <w:rPr>
          <w:rFonts w:ascii="Times New Roman" w:eastAsia="Times New Roman"/>
        </w:rPr>
        <w:t>55 </w:t>
      </w:r>
      <w:r>
        <w:rPr/>
        <w:t>周岁。</w:t>
      </w:r>
    </w:p>
    <w:p>
      <w:pPr>
        <w:pStyle w:val="BodyText"/>
        <w:spacing w:before="10"/>
        <w:rPr>
          <w:sz w:val="16"/>
        </w:rPr>
      </w:pPr>
    </w:p>
    <w:p>
      <w:pPr>
        <w:pStyle w:val="ListParagraph"/>
        <w:numPr>
          <w:ilvl w:val="1"/>
          <w:numId w:val="3"/>
        </w:numPr>
        <w:tabs>
          <w:tab w:pos="1271" w:val="left" w:leader="none"/>
          <w:tab w:pos="1272" w:val="left" w:leader="none"/>
          <w:tab w:pos="3153" w:val="left" w:leader="none"/>
        </w:tabs>
        <w:spacing w:line="240" w:lineRule="auto" w:before="0" w:after="0"/>
        <w:ind w:left="1272" w:right="0" w:hanging="1052"/>
        <w:jc w:val="left"/>
        <w:rPr>
          <w:sz w:val="21"/>
        </w:rPr>
      </w:pPr>
      <w:r>
        <w:rPr>
          <w:b/>
          <w:sz w:val="21"/>
        </w:rPr>
        <w:t>合同的签收</w:t>
        <w:tab/>
      </w:r>
      <w:r>
        <w:rPr>
          <w:sz w:val="21"/>
        </w:rPr>
        <w:t>在您收到本附加合同时，您应当签署本附加合同的签收回执。</w:t>
      </w:r>
    </w:p>
    <w:p>
      <w:pPr>
        <w:pStyle w:val="BodyText"/>
        <w:spacing w:before="2"/>
        <w:rPr>
          <w:sz w:val="26"/>
        </w:rPr>
      </w:pPr>
    </w:p>
    <w:p>
      <w:pPr>
        <w:pStyle w:val="ListParagraph"/>
        <w:numPr>
          <w:ilvl w:val="1"/>
          <w:numId w:val="3"/>
        </w:numPr>
        <w:tabs>
          <w:tab w:pos="1271" w:val="left" w:leader="none"/>
          <w:tab w:pos="1272" w:val="left" w:leader="none"/>
          <w:tab w:pos="3153" w:val="left" w:leader="none"/>
        </w:tabs>
        <w:spacing w:line="240" w:lineRule="auto" w:before="0" w:after="0"/>
        <w:ind w:left="1272" w:right="0" w:hanging="1052"/>
        <w:jc w:val="left"/>
        <w:rPr>
          <w:sz w:val="21"/>
        </w:rPr>
      </w:pPr>
      <w:r>
        <w:rPr>
          <w:b/>
          <w:sz w:val="21"/>
        </w:rPr>
        <w:t>犹豫期</w:t>
        <w:tab/>
      </w:r>
      <w:r>
        <w:rPr>
          <w:sz w:val="21"/>
        </w:rPr>
        <w:t>自您签收本附加合同的次日起，有</w:t>
      </w:r>
      <w:r>
        <w:rPr>
          <w:spacing w:val="-63"/>
          <w:sz w:val="21"/>
        </w:rPr>
        <w:t> </w:t>
      </w:r>
      <w:r>
        <w:rPr>
          <w:rFonts w:ascii="Times New Roman" w:eastAsia="Times New Roman"/>
          <w:position w:val="1"/>
          <w:sz w:val="21"/>
        </w:rPr>
        <w:t>10</w:t>
      </w:r>
      <w:r>
        <w:rPr>
          <w:rFonts w:ascii="Times New Roman" w:eastAsia="Times New Roman"/>
          <w:spacing w:val="-12"/>
          <w:position w:val="1"/>
          <w:sz w:val="21"/>
        </w:rPr>
        <w:t> </w:t>
      </w:r>
      <w:r>
        <w:rPr>
          <w:sz w:val="21"/>
        </w:rPr>
        <w:t>日的犹豫期</w:t>
      </w:r>
      <w:r>
        <w:rPr>
          <w:spacing w:val="-58"/>
          <w:sz w:val="21"/>
        </w:rPr>
        <w:t>。</w:t>
      </w:r>
      <w:r>
        <w:rPr>
          <w:sz w:val="21"/>
        </w:rPr>
        <w:t>在此期间，请您</w:t>
      </w:r>
    </w:p>
    <w:p>
      <w:pPr>
        <w:pStyle w:val="BodyText"/>
        <w:spacing w:line="273" w:lineRule="auto" w:before="30"/>
        <w:ind w:left="3154" w:right="211"/>
        <w:rPr>
          <w:rFonts w:ascii="Times New Roman" w:eastAsia="Times New Roman"/>
        </w:rPr>
      </w:pPr>
      <w:r>
        <w:rPr/>
        <w:t>仔细阅读本附加合同，如果您认为本附加合同与您的需求不相符， 您可以在犹豫期结束前解除本附加合同，我们将在扣除不超过 </w:t>
      </w:r>
      <w:r>
        <w:rPr>
          <w:rFonts w:ascii="Times New Roman" w:eastAsia="Times New Roman"/>
          <w:position w:val="1"/>
        </w:rPr>
        <w:t>10</w:t>
      </w:r>
    </w:p>
    <w:p>
      <w:pPr>
        <w:spacing w:after="0" w:line="273" w:lineRule="auto"/>
        <w:rPr>
          <w:rFonts w:ascii="Times New Roman" w:eastAsia="Times New Roman"/>
        </w:rPr>
        <w:sectPr>
          <w:type w:val="continuous"/>
          <w:pgSz w:w="11900" w:h="16840"/>
          <w:pgMar w:top="80" w:bottom="280" w:left="940" w:right="148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spacing w:after="0"/>
        <w:rPr>
          <w:rFonts w:ascii="Times New Roman"/>
          <w:sz w:val="20"/>
        </w:rPr>
        <w:sectPr>
          <w:pgSz w:w="11900" w:h="16840"/>
          <w:pgMar w:header="0" w:footer="866" w:top="1300" w:bottom="1060" w:left="1500" w:right="780"/>
        </w:sectPr>
      </w:pPr>
    </w:p>
    <w:p>
      <w:pPr>
        <w:pStyle w:val="BodyText"/>
        <w:spacing w:before="9"/>
        <w:rPr>
          <w:rFonts w:ascii="Times New Roman"/>
          <w:sz w:val="23"/>
        </w:rPr>
      </w:pPr>
    </w:p>
    <w:p>
      <w:pPr>
        <w:pStyle w:val="Heading3"/>
      </w:pPr>
      <w:r>
        <w:rPr>
          <w:w w:val="95"/>
        </w:rPr>
        <w:t>险费的申请</w:t>
      </w:r>
    </w:p>
    <w:p>
      <w:pPr>
        <w:spacing w:line="257" w:lineRule="exact" w:before="165"/>
        <w:ind w:left="788" w:right="0" w:firstLine="0"/>
        <w:jc w:val="left"/>
        <w:rPr>
          <w:sz w:val="21"/>
        </w:rPr>
      </w:pPr>
      <w:r>
        <w:rPr/>
        <w:br w:type="column"/>
      </w:r>
      <w:r>
        <w:rPr>
          <w:sz w:val="21"/>
        </w:rPr>
        <w:t>料：</w:t>
      </w:r>
    </w:p>
    <w:p>
      <w:pPr>
        <w:pStyle w:val="BodyText"/>
        <w:spacing w:line="249" w:lineRule="exact"/>
        <w:ind w:left="788"/>
      </w:pPr>
      <w:r>
        <w:rPr/>
        <w:pict>
          <v:shape style="position:absolute;margin-left:80.900002pt;margin-top:-607.929871pt;width:469.9pt;height:599.2pt;mso-position-horizontal-relative:page;mso-position-vertical-relative:paragraph;z-index:112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7"/>
                    <w:gridCol w:w="2175"/>
                    <w:gridCol w:w="6455"/>
                  </w:tblGrid>
                  <w:tr>
                    <w:trPr>
                      <w:trHeight w:val="260" w:hRule="atLeast"/>
                    </w:trPr>
                    <w:tc>
                      <w:tcPr>
                        <w:tcW w:w="2942" w:type="dxa"/>
                        <w:gridSpan w:val="2"/>
                        <w:vMerge w:val="restart"/>
                      </w:tcPr>
                      <w:p>
                        <w:pPr>
                          <w:pStyle w:val="TableParagraph"/>
                          <w:rPr>
                            <w:rFonts w:ascii="Times New Roman"/>
                            <w:sz w:val="20"/>
                          </w:rPr>
                        </w:pPr>
                      </w:p>
                    </w:tc>
                    <w:tc>
                      <w:tcPr>
                        <w:tcW w:w="6455" w:type="dxa"/>
                      </w:tcPr>
                      <w:p>
                        <w:pPr>
                          <w:pStyle w:val="TableParagraph"/>
                          <w:spacing w:line="210" w:lineRule="exact"/>
                          <w:ind w:left="100"/>
                          <w:rPr>
                            <w:sz w:val="21"/>
                          </w:rPr>
                        </w:pPr>
                        <w:r>
                          <w:rPr>
                            <w:sz w:val="21"/>
                          </w:rPr>
                          <w:t>元的工本费后无息退还您所支付的保险费。</w:t>
                        </w:r>
                      </w:p>
                    </w:tc>
                  </w:tr>
                  <w:tr>
                    <w:trPr>
                      <w:trHeight w:val="311" w:hRule="atLeast"/>
                    </w:trPr>
                    <w:tc>
                      <w:tcPr>
                        <w:tcW w:w="2942" w:type="dxa"/>
                        <w:gridSpan w:val="2"/>
                        <w:vMerge/>
                        <w:tcBorders>
                          <w:top w:val="nil"/>
                        </w:tcBorders>
                      </w:tcPr>
                      <w:p>
                        <w:pPr>
                          <w:rPr>
                            <w:sz w:val="2"/>
                            <w:szCs w:val="2"/>
                          </w:rPr>
                        </w:pPr>
                      </w:p>
                    </w:tc>
                    <w:tc>
                      <w:tcPr>
                        <w:tcW w:w="6455" w:type="dxa"/>
                      </w:tcPr>
                      <w:p>
                        <w:pPr>
                          <w:pStyle w:val="TableParagraph"/>
                          <w:spacing w:line="261" w:lineRule="exact"/>
                          <w:ind w:left="100"/>
                          <w:rPr>
                            <w:sz w:val="21"/>
                          </w:rPr>
                        </w:pPr>
                        <w:r>
                          <w:rPr>
                            <w:sz w:val="21"/>
                          </w:rPr>
                          <w:t>解除合同时，您需要填写申请书，并提供您的保险合同及有效身份</w:t>
                        </w:r>
                      </w:p>
                    </w:tc>
                  </w:tr>
                  <w:tr>
                    <w:trPr>
                      <w:trHeight w:val="312" w:hRule="atLeast"/>
                    </w:trPr>
                    <w:tc>
                      <w:tcPr>
                        <w:tcW w:w="2942" w:type="dxa"/>
                        <w:gridSpan w:val="2"/>
                        <w:vMerge/>
                        <w:tcBorders>
                          <w:top w:val="nil"/>
                        </w:tcBorders>
                      </w:tcPr>
                      <w:p>
                        <w:pPr>
                          <w:rPr>
                            <w:sz w:val="2"/>
                            <w:szCs w:val="2"/>
                          </w:rPr>
                        </w:pPr>
                      </w:p>
                    </w:tc>
                    <w:tc>
                      <w:tcPr>
                        <w:tcW w:w="6455" w:type="dxa"/>
                      </w:tcPr>
                      <w:p>
                        <w:pPr>
                          <w:pStyle w:val="TableParagraph"/>
                          <w:spacing w:line="261" w:lineRule="exact"/>
                          <w:ind w:left="100"/>
                          <w:rPr>
                            <w:sz w:val="21"/>
                          </w:rPr>
                        </w:pPr>
                        <w:r>
                          <w:rPr>
                            <w:sz w:val="21"/>
                          </w:rPr>
                          <w:t>证件。自您书面申请解除合同之日起，本附加合同即被解除，我们</w:t>
                        </w:r>
                      </w:p>
                    </w:tc>
                  </w:tr>
                  <w:tr>
                    <w:trPr>
                      <w:trHeight w:val="454" w:hRule="atLeast"/>
                    </w:trPr>
                    <w:tc>
                      <w:tcPr>
                        <w:tcW w:w="2942" w:type="dxa"/>
                        <w:gridSpan w:val="2"/>
                        <w:vMerge/>
                        <w:tcBorders>
                          <w:top w:val="nil"/>
                        </w:tcBorders>
                      </w:tcPr>
                      <w:p>
                        <w:pPr>
                          <w:rPr>
                            <w:sz w:val="2"/>
                            <w:szCs w:val="2"/>
                          </w:rPr>
                        </w:pPr>
                      </w:p>
                    </w:tc>
                    <w:tc>
                      <w:tcPr>
                        <w:tcW w:w="6455" w:type="dxa"/>
                      </w:tcPr>
                      <w:p>
                        <w:pPr>
                          <w:pStyle w:val="TableParagraph"/>
                          <w:spacing w:line="261" w:lineRule="exact"/>
                          <w:ind w:left="100"/>
                          <w:rPr>
                            <w:sz w:val="21"/>
                          </w:rPr>
                        </w:pPr>
                        <w:r>
                          <w:rPr>
                            <w:sz w:val="21"/>
                          </w:rPr>
                          <w:t>自本附加合同生效日起不承担保险责任。</w:t>
                        </w:r>
                      </w:p>
                    </w:tc>
                  </w:tr>
                  <w:tr>
                    <w:trPr>
                      <w:trHeight w:val="599" w:hRule="atLeast"/>
                    </w:trPr>
                    <w:tc>
                      <w:tcPr>
                        <w:tcW w:w="767" w:type="dxa"/>
                        <w:tcBorders>
                          <w:bottom w:val="single" w:sz="12" w:space="0" w:color="000000"/>
                        </w:tcBorders>
                      </w:tcPr>
                      <w:p>
                        <w:pPr>
                          <w:pStyle w:val="TableParagraph"/>
                          <w:spacing w:before="183"/>
                          <w:ind w:left="110"/>
                          <w:rPr>
                            <w:rFonts w:ascii="Times New Roman"/>
                            <w:b/>
                            <w:sz w:val="24"/>
                          </w:rPr>
                        </w:pPr>
                        <w:r>
                          <w:rPr>
                            <w:rFonts w:ascii="Times New Roman"/>
                            <w:b/>
                            <w:sz w:val="24"/>
                          </w:rPr>
                          <w:t>2</w:t>
                        </w:r>
                      </w:p>
                    </w:tc>
                    <w:tc>
                      <w:tcPr>
                        <w:tcW w:w="2175" w:type="dxa"/>
                        <w:tcBorders>
                          <w:bottom w:val="single" w:sz="12" w:space="0" w:color="000000"/>
                        </w:tcBorders>
                      </w:tcPr>
                      <w:p>
                        <w:pPr>
                          <w:pStyle w:val="TableParagraph"/>
                          <w:spacing w:before="133"/>
                          <w:ind w:left="395"/>
                          <w:rPr>
                            <w:b/>
                            <w:sz w:val="24"/>
                          </w:rPr>
                        </w:pPr>
                        <w:r>
                          <w:rPr>
                            <w:b/>
                            <w:w w:val="95"/>
                            <w:sz w:val="24"/>
                          </w:rPr>
                          <w:t>我们提供的保障</w:t>
                        </w:r>
                      </w:p>
                    </w:tc>
                    <w:tc>
                      <w:tcPr>
                        <w:tcW w:w="6455" w:type="dxa"/>
                        <w:tcBorders>
                          <w:bottom w:val="single" w:sz="12" w:space="0" w:color="000000"/>
                        </w:tcBorders>
                      </w:tcPr>
                      <w:p>
                        <w:pPr>
                          <w:pStyle w:val="TableParagraph"/>
                          <w:rPr>
                            <w:rFonts w:ascii="Times New Roman"/>
                            <w:sz w:val="20"/>
                          </w:rPr>
                        </w:pPr>
                      </w:p>
                    </w:tc>
                  </w:tr>
                  <w:tr>
                    <w:trPr>
                      <w:trHeight w:val="310" w:hRule="atLeast"/>
                    </w:trPr>
                    <w:tc>
                      <w:tcPr>
                        <w:tcW w:w="767" w:type="dxa"/>
                        <w:tcBorders>
                          <w:top w:val="single" w:sz="12" w:space="0" w:color="000000"/>
                        </w:tcBorders>
                      </w:tcPr>
                      <w:p>
                        <w:pPr>
                          <w:pStyle w:val="TableParagraph"/>
                          <w:spacing w:before="24"/>
                          <w:ind w:left="110"/>
                          <w:rPr>
                            <w:rFonts w:ascii="Times New Roman"/>
                            <w:sz w:val="21"/>
                          </w:rPr>
                        </w:pPr>
                        <w:r>
                          <w:rPr>
                            <w:rFonts w:ascii="Times New Roman"/>
                            <w:sz w:val="21"/>
                          </w:rPr>
                          <w:t>2.1</w:t>
                        </w:r>
                      </w:p>
                    </w:tc>
                    <w:tc>
                      <w:tcPr>
                        <w:tcW w:w="2175" w:type="dxa"/>
                        <w:tcBorders>
                          <w:top w:val="single" w:sz="12" w:space="0" w:color="000000"/>
                        </w:tcBorders>
                      </w:tcPr>
                      <w:p>
                        <w:pPr>
                          <w:pStyle w:val="TableParagraph"/>
                          <w:spacing w:line="254" w:lineRule="exact"/>
                          <w:ind w:left="395"/>
                          <w:rPr>
                            <w:b/>
                            <w:sz w:val="21"/>
                          </w:rPr>
                        </w:pPr>
                        <w:r>
                          <w:rPr>
                            <w:b/>
                            <w:w w:val="95"/>
                            <w:sz w:val="21"/>
                          </w:rPr>
                          <w:t>基本保险金额</w:t>
                        </w:r>
                      </w:p>
                    </w:tc>
                    <w:tc>
                      <w:tcPr>
                        <w:tcW w:w="6455" w:type="dxa"/>
                        <w:tcBorders>
                          <w:top w:val="single" w:sz="12" w:space="0" w:color="000000"/>
                        </w:tcBorders>
                      </w:tcPr>
                      <w:p>
                        <w:pPr>
                          <w:pStyle w:val="TableParagraph"/>
                          <w:spacing w:line="254" w:lineRule="exact"/>
                          <w:ind w:left="100"/>
                          <w:rPr>
                            <w:sz w:val="21"/>
                          </w:rPr>
                        </w:pPr>
                        <w:r>
                          <w:rPr>
                            <w:sz w:val="21"/>
                          </w:rPr>
                          <w:t>本附加合同的基本保险金额由您在投保时与我们约定，并在保险单</w:t>
                        </w:r>
                      </w:p>
                    </w:tc>
                  </w:tr>
                  <w:tr>
                    <w:trPr>
                      <w:trHeight w:val="306" w:hRule="atLeast"/>
                    </w:trPr>
                    <w:tc>
                      <w:tcPr>
                        <w:tcW w:w="767" w:type="dxa"/>
                      </w:tcPr>
                      <w:p>
                        <w:pPr>
                          <w:pStyle w:val="TableParagraph"/>
                          <w:rPr>
                            <w:rFonts w:ascii="Times New Roman"/>
                            <w:sz w:val="20"/>
                          </w:rPr>
                        </w:pPr>
                      </w:p>
                    </w:tc>
                    <w:tc>
                      <w:tcPr>
                        <w:tcW w:w="2175" w:type="dxa"/>
                      </w:tcPr>
                      <w:p>
                        <w:pPr>
                          <w:pStyle w:val="TableParagraph"/>
                          <w:rPr>
                            <w:rFonts w:ascii="Times New Roman"/>
                            <w:sz w:val="20"/>
                          </w:rPr>
                        </w:pPr>
                      </w:p>
                    </w:tc>
                    <w:tc>
                      <w:tcPr>
                        <w:tcW w:w="6455" w:type="dxa"/>
                      </w:tcPr>
                      <w:p>
                        <w:pPr>
                          <w:pStyle w:val="TableParagraph"/>
                          <w:spacing w:line="255" w:lineRule="exact"/>
                          <w:ind w:left="100"/>
                          <w:rPr>
                            <w:sz w:val="21"/>
                          </w:rPr>
                        </w:pPr>
                        <w:r>
                          <w:rPr>
                            <w:sz w:val="21"/>
                          </w:rPr>
                          <w:t>上载明。如果该基本保险金额有所变更，以变更后的基本保险金额</w:t>
                        </w:r>
                      </w:p>
                    </w:tc>
                  </w:tr>
                  <w:tr>
                    <w:trPr>
                      <w:trHeight w:val="462" w:hRule="atLeast"/>
                    </w:trPr>
                    <w:tc>
                      <w:tcPr>
                        <w:tcW w:w="767" w:type="dxa"/>
                      </w:tcPr>
                      <w:p>
                        <w:pPr>
                          <w:pStyle w:val="TableParagraph"/>
                          <w:rPr>
                            <w:rFonts w:ascii="Times New Roman"/>
                            <w:sz w:val="20"/>
                          </w:rPr>
                        </w:pPr>
                      </w:p>
                    </w:tc>
                    <w:tc>
                      <w:tcPr>
                        <w:tcW w:w="2175" w:type="dxa"/>
                      </w:tcPr>
                      <w:p>
                        <w:pPr>
                          <w:pStyle w:val="TableParagraph"/>
                          <w:rPr>
                            <w:rFonts w:ascii="Times New Roman"/>
                            <w:sz w:val="20"/>
                          </w:rPr>
                        </w:pPr>
                      </w:p>
                    </w:tc>
                    <w:tc>
                      <w:tcPr>
                        <w:tcW w:w="6455" w:type="dxa"/>
                      </w:tcPr>
                      <w:p>
                        <w:pPr>
                          <w:pStyle w:val="TableParagraph"/>
                          <w:spacing w:line="261" w:lineRule="exact"/>
                          <w:ind w:left="100"/>
                          <w:rPr>
                            <w:sz w:val="21"/>
                          </w:rPr>
                        </w:pPr>
                        <w:r>
                          <w:rPr>
                            <w:sz w:val="21"/>
                          </w:rPr>
                          <w:t>为准。</w:t>
                        </w:r>
                      </w:p>
                    </w:tc>
                  </w:tr>
                  <w:tr>
                    <w:trPr>
                      <w:trHeight w:val="473" w:hRule="atLeast"/>
                    </w:trPr>
                    <w:tc>
                      <w:tcPr>
                        <w:tcW w:w="767" w:type="dxa"/>
                      </w:tcPr>
                      <w:p>
                        <w:pPr>
                          <w:pStyle w:val="TableParagraph"/>
                          <w:spacing w:before="192"/>
                          <w:ind w:left="110"/>
                          <w:rPr>
                            <w:rFonts w:ascii="Times New Roman"/>
                            <w:sz w:val="21"/>
                          </w:rPr>
                        </w:pPr>
                        <w:r>
                          <w:rPr>
                            <w:rFonts w:ascii="Times New Roman"/>
                            <w:sz w:val="21"/>
                          </w:rPr>
                          <w:t>2.2</w:t>
                        </w:r>
                      </w:p>
                    </w:tc>
                    <w:tc>
                      <w:tcPr>
                        <w:tcW w:w="2175" w:type="dxa"/>
                      </w:tcPr>
                      <w:p>
                        <w:pPr>
                          <w:pStyle w:val="TableParagraph"/>
                          <w:spacing w:before="147"/>
                          <w:ind w:left="395"/>
                          <w:rPr>
                            <w:b/>
                            <w:sz w:val="21"/>
                          </w:rPr>
                        </w:pPr>
                        <w:r>
                          <w:rPr>
                            <w:b/>
                            <w:w w:val="95"/>
                            <w:sz w:val="21"/>
                          </w:rPr>
                          <w:t>保险期间</w:t>
                        </w:r>
                      </w:p>
                    </w:tc>
                    <w:tc>
                      <w:tcPr>
                        <w:tcW w:w="6455" w:type="dxa"/>
                      </w:tcPr>
                      <w:p>
                        <w:pPr>
                          <w:pStyle w:val="TableParagraph"/>
                          <w:spacing w:before="147"/>
                          <w:ind w:left="100"/>
                          <w:rPr>
                            <w:sz w:val="21"/>
                          </w:rPr>
                        </w:pPr>
                        <w:r>
                          <w:rPr>
                            <w:spacing w:val="-1"/>
                            <w:sz w:val="21"/>
                          </w:rPr>
                          <w:t>本附加合同的保险期间分为</w:t>
                        </w:r>
                        <w:r>
                          <w:rPr>
                            <w:rFonts w:ascii="Times New Roman" w:eastAsia="Times New Roman"/>
                            <w:sz w:val="21"/>
                          </w:rPr>
                          <w:t>10</w:t>
                        </w:r>
                        <w:r>
                          <w:rPr>
                            <w:spacing w:val="-39"/>
                            <w:sz w:val="21"/>
                          </w:rPr>
                          <w:t>年、</w:t>
                        </w:r>
                        <w:r>
                          <w:rPr>
                            <w:rFonts w:ascii="Times New Roman" w:eastAsia="Times New Roman"/>
                            <w:sz w:val="21"/>
                          </w:rPr>
                          <w:t>15</w:t>
                        </w:r>
                        <w:r>
                          <w:rPr>
                            <w:spacing w:val="-40"/>
                            <w:sz w:val="21"/>
                          </w:rPr>
                          <w:t>年、</w:t>
                        </w:r>
                        <w:r>
                          <w:rPr>
                            <w:rFonts w:ascii="Times New Roman" w:eastAsia="Times New Roman"/>
                            <w:sz w:val="21"/>
                          </w:rPr>
                          <w:t>20</w:t>
                        </w:r>
                        <w:r>
                          <w:rPr>
                            <w:spacing w:val="-26"/>
                            <w:sz w:val="21"/>
                          </w:rPr>
                          <w:t>年、至</w:t>
                        </w:r>
                        <w:r>
                          <w:rPr>
                            <w:rFonts w:ascii="Times New Roman" w:eastAsia="Times New Roman"/>
                            <w:sz w:val="21"/>
                          </w:rPr>
                          <w:t>55</w:t>
                        </w:r>
                        <w:r>
                          <w:rPr>
                            <w:spacing w:val="-21"/>
                            <w:sz w:val="21"/>
                          </w:rPr>
                          <w:t>周岁、至</w:t>
                        </w:r>
                        <w:r>
                          <w:rPr>
                            <w:rFonts w:ascii="Times New Roman" w:eastAsia="Times New Roman"/>
                            <w:sz w:val="21"/>
                          </w:rPr>
                          <w:t>60</w:t>
                        </w:r>
                        <w:r>
                          <w:rPr>
                            <w:sz w:val="21"/>
                          </w:rPr>
                          <w:t>周岁、</w:t>
                        </w:r>
                      </w:p>
                    </w:tc>
                  </w:tr>
                  <w:tr>
                    <w:trPr>
                      <w:trHeight w:val="452" w:hRule="atLeast"/>
                    </w:trPr>
                    <w:tc>
                      <w:tcPr>
                        <w:tcW w:w="767" w:type="dxa"/>
                      </w:tcPr>
                      <w:p>
                        <w:pPr>
                          <w:pStyle w:val="TableParagraph"/>
                          <w:rPr>
                            <w:rFonts w:ascii="Times New Roman"/>
                            <w:sz w:val="20"/>
                          </w:rPr>
                        </w:pPr>
                      </w:p>
                    </w:tc>
                    <w:tc>
                      <w:tcPr>
                        <w:tcW w:w="2175" w:type="dxa"/>
                      </w:tcPr>
                      <w:p>
                        <w:pPr>
                          <w:pStyle w:val="TableParagraph"/>
                          <w:rPr>
                            <w:rFonts w:ascii="Times New Roman"/>
                            <w:sz w:val="20"/>
                          </w:rPr>
                        </w:pPr>
                      </w:p>
                    </w:tc>
                    <w:tc>
                      <w:tcPr>
                        <w:tcW w:w="6455" w:type="dxa"/>
                      </w:tcPr>
                      <w:p>
                        <w:pPr>
                          <w:pStyle w:val="TableParagraph"/>
                          <w:spacing w:line="276" w:lineRule="exact"/>
                          <w:ind w:left="100"/>
                          <w:rPr>
                            <w:sz w:val="21"/>
                          </w:rPr>
                        </w:pPr>
                        <w:r>
                          <w:rPr>
                            <w:sz w:val="21"/>
                          </w:rPr>
                          <w:t>至</w:t>
                        </w:r>
                        <w:r>
                          <w:rPr>
                            <w:rFonts w:ascii="Times New Roman" w:eastAsia="Times New Roman"/>
                            <w:sz w:val="21"/>
                          </w:rPr>
                          <w:t>65</w:t>
                        </w:r>
                        <w:r>
                          <w:rPr>
                            <w:sz w:val="21"/>
                          </w:rPr>
                          <w:t>周岁后的首个保险单周年日，保险期间将于保险单上载明。</w:t>
                        </w:r>
                      </w:p>
                    </w:tc>
                  </w:tr>
                  <w:tr>
                    <w:trPr>
                      <w:trHeight w:val="657" w:hRule="atLeast"/>
                    </w:trPr>
                    <w:tc>
                      <w:tcPr>
                        <w:tcW w:w="767" w:type="dxa"/>
                      </w:tcPr>
                      <w:p>
                        <w:pPr>
                          <w:pStyle w:val="TableParagraph"/>
                          <w:spacing w:before="6"/>
                          <w:rPr>
                            <w:sz w:val="15"/>
                          </w:rPr>
                        </w:pPr>
                      </w:p>
                      <w:p>
                        <w:pPr>
                          <w:pStyle w:val="TableParagraph"/>
                          <w:ind w:left="110"/>
                          <w:rPr>
                            <w:rFonts w:ascii="Times New Roman"/>
                            <w:sz w:val="21"/>
                          </w:rPr>
                        </w:pPr>
                        <w:r>
                          <w:rPr>
                            <w:rFonts w:ascii="Times New Roman"/>
                            <w:sz w:val="21"/>
                          </w:rPr>
                          <w:t>2.3</w:t>
                        </w:r>
                      </w:p>
                    </w:tc>
                    <w:tc>
                      <w:tcPr>
                        <w:tcW w:w="2175" w:type="dxa"/>
                      </w:tcPr>
                      <w:p>
                        <w:pPr>
                          <w:pStyle w:val="TableParagraph"/>
                          <w:spacing w:before="157"/>
                          <w:ind w:left="395"/>
                          <w:rPr>
                            <w:b/>
                            <w:sz w:val="21"/>
                          </w:rPr>
                        </w:pPr>
                        <w:r>
                          <w:rPr>
                            <w:b/>
                            <w:w w:val="95"/>
                            <w:sz w:val="21"/>
                          </w:rPr>
                          <w:t>等待期</w:t>
                        </w:r>
                      </w:p>
                    </w:tc>
                    <w:tc>
                      <w:tcPr>
                        <w:tcW w:w="6455" w:type="dxa"/>
                      </w:tcPr>
                      <w:p>
                        <w:pPr>
                          <w:pStyle w:val="TableParagraph"/>
                          <w:spacing w:line="242" w:lineRule="exact" w:before="173"/>
                          <w:ind w:left="100" w:right="240"/>
                          <w:rPr>
                            <w:sz w:val="21"/>
                          </w:rPr>
                        </w:pPr>
                        <w:r>
                          <w:rPr>
                            <w:sz w:val="21"/>
                          </w:rPr>
                          <w:t>从本附加合同生效（</w:t>
                        </w:r>
                        <w:r>
                          <w:rPr>
                            <w:spacing w:val="0"/>
                            <w:sz w:val="21"/>
                          </w:rPr>
                          <w:t>或最后复效</w:t>
                        </w:r>
                        <w:r>
                          <w:rPr>
                            <w:sz w:val="21"/>
                          </w:rPr>
                          <w:t>）</w:t>
                        </w:r>
                        <w:r>
                          <w:rPr>
                            <w:spacing w:val="-9"/>
                            <w:sz w:val="21"/>
                          </w:rPr>
                          <w:t>之日 </w:t>
                        </w:r>
                        <w:r>
                          <w:rPr>
                            <w:rFonts w:ascii="Times New Roman" w:eastAsia="Times New Roman"/>
                            <w:sz w:val="21"/>
                          </w:rPr>
                          <w:t>90 </w:t>
                        </w:r>
                        <w:r>
                          <w:rPr>
                            <w:spacing w:val="0"/>
                            <w:sz w:val="21"/>
                          </w:rPr>
                          <w:t>天内，被保险人</w:t>
                        </w:r>
                        <w:r>
                          <w:rPr>
                            <w:b/>
                            <w:spacing w:val="0"/>
                            <w:sz w:val="21"/>
                          </w:rPr>
                          <w:t>发病， </w:t>
                        </w:r>
                        <w:r>
                          <w:rPr>
                            <w:spacing w:val="-9"/>
                            <w:sz w:val="21"/>
                          </w:rPr>
                          <w:t>我们不承担保险责任。这 </w:t>
                        </w:r>
                        <w:r>
                          <w:rPr>
                            <w:rFonts w:ascii="Times New Roman" w:eastAsia="Times New Roman"/>
                            <w:sz w:val="21"/>
                          </w:rPr>
                          <w:t>90 </w:t>
                        </w:r>
                        <w:r>
                          <w:rPr>
                            <w:spacing w:val="-4"/>
                            <w:sz w:val="21"/>
                          </w:rPr>
                          <w:t>天的时间称为等待期。但因意外伤害事</w:t>
                        </w:r>
                      </w:p>
                    </w:tc>
                  </w:tr>
                  <w:tr>
                    <w:trPr>
                      <w:trHeight w:val="400" w:hRule="atLeast"/>
                    </w:trPr>
                    <w:tc>
                      <w:tcPr>
                        <w:tcW w:w="767" w:type="dxa"/>
                      </w:tcPr>
                      <w:p>
                        <w:pPr>
                          <w:pStyle w:val="TableParagraph"/>
                          <w:rPr>
                            <w:rFonts w:ascii="Times New Roman"/>
                            <w:sz w:val="20"/>
                          </w:rPr>
                        </w:pPr>
                      </w:p>
                    </w:tc>
                    <w:tc>
                      <w:tcPr>
                        <w:tcW w:w="2175" w:type="dxa"/>
                      </w:tcPr>
                      <w:p>
                        <w:pPr>
                          <w:pStyle w:val="TableParagraph"/>
                          <w:rPr>
                            <w:rFonts w:ascii="Times New Roman"/>
                            <w:sz w:val="20"/>
                          </w:rPr>
                        </w:pPr>
                      </w:p>
                    </w:tc>
                    <w:tc>
                      <w:tcPr>
                        <w:tcW w:w="6455" w:type="dxa"/>
                      </w:tcPr>
                      <w:p>
                        <w:pPr>
                          <w:pStyle w:val="TableParagraph"/>
                          <w:spacing w:line="236" w:lineRule="exact"/>
                          <w:ind w:left="100"/>
                          <w:rPr>
                            <w:sz w:val="21"/>
                          </w:rPr>
                        </w:pPr>
                        <w:r>
                          <w:rPr>
                            <w:sz w:val="21"/>
                          </w:rPr>
                          <w:t>故引起的第 </w:t>
                        </w:r>
                        <w:r>
                          <w:rPr>
                            <w:rFonts w:ascii="Times New Roman" w:eastAsia="Times New Roman"/>
                            <w:sz w:val="21"/>
                          </w:rPr>
                          <w:t>6 </w:t>
                        </w:r>
                        <w:r>
                          <w:rPr>
                            <w:sz w:val="21"/>
                          </w:rPr>
                          <w:t>条约定的重大疾病无等待期。</w:t>
                        </w:r>
                      </w:p>
                    </w:tc>
                  </w:tr>
                  <w:tr>
                    <w:trPr>
                      <w:trHeight w:val="637" w:hRule="atLeast"/>
                    </w:trPr>
                    <w:tc>
                      <w:tcPr>
                        <w:tcW w:w="767" w:type="dxa"/>
                      </w:tcPr>
                      <w:p>
                        <w:pPr>
                          <w:pStyle w:val="TableParagraph"/>
                          <w:spacing w:before="178"/>
                          <w:ind w:left="110"/>
                          <w:rPr>
                            <w:rFonts w:ascii="Times New Roman"/>
                            <w:sz w:val="21"/>
                          </w:rPr>
                        </w:pPr>
                        <w:r>
                          <w:rPr>
                            <w:rFonts w:ascii="Times New Roman"/>
                            <w:sz w:val="21"/>
                          </w:rPr>
                          <w:t>2.4</w:t>
                        </w:r>
                      </w:p>
                    </w:tc>
                    <w:tc>
                      <w:tcPr>
                        <w:tcW w:w="2175" w:type="dxa"/>
                      </w:tcPr>
                      <w:p>
                        <w:pPr>
                          <w:pStyle w:val="TableParagraph"/>
                          <w:spacing w:before="135"/>
                          <w:ind w:left="395"/>
                          <w:rPr>
                            <w:b/>
                            <w:sz w:val="21"/>
                          </w:rPr>
                        </w:pPr>
                        <w:r>
                          <w:rPr>
                            <w:b/>
                            <w:w w:val="95"/>
                            <w:sz w:val="21"/>
                          </w:rPr>
                          <w:t>保险责任</w:t>
                        </w:r>
                      </w:p>
                    </w:tc>
                    <w:tc>
                      <w:tcPr>
                        <w:tcW w:w="6455" w:type="dxa"/>
                      </w:tcPr>
                      <w:p>
                        <w:pPr>
                          <w:pStyle w:val="TableParagraph"/>
                          <w:spacing w:line="240" w:lineRule="exact" w:before="152"/>
                          <w:ind w:left="100" w:right="184"/>
                          <w:rPr>
                            <w:sz w:val="21"/>
                          </w:rPr>
                        </w:pPr>
                        <w:r>
                          <w:rPr>
                            <w:sz w:val="21"/>
                          </w:rPr>
                          <w:t>在本附加合同有效期内，如果被保险人在等待期后首次</w:t>
                        </w:r>
                        <w:r>
                          <w:rPr>
                            <w:b/>
                            <w:sz w:val="21"/>
                          </w:rPr>
                          <w:t>发病</w:t>
                        </w:r>
                        <w:r>
                          <w:rPr>
                            <w:sz w:val="21"/>
                          </w:rPr>
                          <w:t>并经</w:t>
                        </w:r>
                        <w:r>
                          <w:rPr>
                            <w:b/>
                            <w:sz w:val="21"/>
                          </w:rPr>
                          <w:t>专科医生</w:t>
                        </w:r>
                        <w:r>
                          <w:rPr>
                            <w:sz w:val="21"/>
                          </w:rPr>
                          <w:t>首次确诊患有任何一项符合我们第 </w:t>
                        </w:r>
                        <w:r>
                          <w:rPr>
                            <w:rFonts w:ascii="Times New Roman" w:eastAsia="Times New Roman"/>
                            <w:sz w:val="21"/>
                          </w:rPr>
                          <w:t>6 </w:t>
                        </w:r>
                        <w:r>
                          <w:rPr>
                            <w:sz w:val="21"/>
                          </w:rPr>
                          <w:t>条约定保障范围及定义</w:t>
                        </w:r>
                      </w:p>
                    </w:tc>
                  </w:tr>
                  <w:tr>
                    <w:trPr>
                      <w:trHeight w:val="232" w:hRule="atLeast"/>
                    </w:trPr>
                    <w:tc>
                      <w:tcPr>
                        <w:tcW w:w="767" w:type="dxa"/>
                      </w:tcPr>
                      <w:p>
                        <w:pPr>
                          <w:pStyle w:val="TableParagraph"/>
                          <w:rPr>
                            <w:rFonts w:ascii="Times New Roman"/>
                            <w:sz w:val="16"/>
                          </w:rPr>
                        </w:pPr>
                      </w:p>
                    </w:tc>
                    <w:tc>
                      <w:tcPr>
                        <w:tcW w:w="2175" w:type="dxa"/>
                      </w:tcPr>
                      <w:p>
                        <w:pPr>
                          <w:pStyle w:val="TableParagraph"/>
                          <w:rPr>
                            <w:rFonts w:ascii="Times New Roman"/>
                            <w:sz w:val="16"/>
                          </w:rPr>
                        </w:pPr>
                      </w:p>
                    </w:tc>
                    <w:tc>
                      <w:tcPr>
                        <w:tcW w:w="6455" w:type="dxa"/>
                      </w:tcPr>
                      <w:p>
                        <w:pPr>
                          <w:pStyle w:val="TableParagraph"/>
                          <w:spacing w:line="212" w:lineRule="exact"/>
                          <w:ind w:left="100"/>
                          <w:rPr>
                            <w:sz w:val="21"/>
                          </w:rPr>
                        </w:pPr>
                        <w:r>
                          <w:rPr>
                            <w:sz w:val="21"/>
                          </w:rPr>
                          <w:t>的重大疾病，我们将自被保险人首次被确诊患有重大疾病后的首个</w:t>
                        </w:r>
                      </w:p>
                    </w:tc>
                  </w:tr>
                  <w:tr>
                    <w:trPr>
                      <w:trHeight w:val="240" w:hRule="atLeast"/>
                    </w:trPr>
                    <w:tc>
                      <w:tcPr>
                        <w:tcW w:w="767" w:type="dxa"/>
                      </w:tcPr>
                      <w:p>
                        <w:pPr>
                          <w:pStyle w:val="TableParagraph"/>
                          <w:rPr>
                            <w:rFonts w:ascii="Times New Roman"/>
                            <w:sz w:val="16"/>
                          </w:rPr>
                        </w:pPr>
                      </w:p>
                    </w:tc>
                    <w:tc>
                      <w:tcPr>
                        <w:tcW w:w="2175" w:type="dxa"/>
                      </w:tcPr>
                      <w:p>
                        <w:pPr>
                          <w:pStyle w:val="TableParagraph"/>
                          <w:rPr>
                            <w:rFonts w:ascii="Times New Roman"/>
                            <w:sz w:val="16"/>
                          </w:rPr>
                        </w:pPr>
                      </w:p>
                    </w:tc>
                    <w:tc>
                      <w:tcPr>
                        <w:tcW w:w="6455" w:type="dxa"/>
                      </w:tcPr>
                      <w:p>
                        <w:pPr>
                          <w:pStyle w:val="TableParagraph"/>
                          <w:spacing w:line="220" w:lineRule="exact"/>
                          <w:ind w:left="100"/>
                          <w:rPr>
                            <w:b/>
                            <w:sz w:val="21"/>
                          </w:rPr>
                        </w:pPr>
                        <w:r>
                          <w:rPr>
                            <w:w w:val="95"/>
                            <w:sz w:val="21"/>
                          </w:rPr>
                          <w:t>保险费约定支付日开始，豁免主合同及其附加的所有具有</w:t>
                        </w:r>
                        <w:r>
                          <w:rPr>
                            <w:b/>
                            <w:w w:val="95"/>
                            <w:sz w:val="21"/>
                          </w:rPr>
                          <w:t>均衡保险</w:t>
                        </w:r>
                      </w:p>
                    </w:tc>
                  </w:tr>
                  <w:tr>
                    <w:trPr>
                      <w:trHeight w:val="240" w:hRule="atLeast"/>
                    </w:trPr>
                    <w:tc>
                      <w:tcPr>
                        <w:tcW w:w="767" w:type="dxa"/>
                      </w:tcPr>
                      <w:p>
                        <w:pPr>
                          <w:pStyle w:val="TableParagraph"/>
                          <w:rPr>
                            <w:rFonts w:ascii="Times New Roman"/>
                            <w:sz w:val="16"/>
                          </w:rPr>
                        </w:pPr>
                      </w:p>
                    </w:tc>
                    <w:tc>
                      <w:tcPr>
                        <w:tcW w:w="2175" w:type="dxa"/>
                      </w:tcPr>
                      <w:p>
                        <w:pPr>
                          <w:pStyle w:val="TableParagraph"/>
                          <w:rPr>
                            <w:rFonts w:ascii="Times New Roman"/>
                            <w:sz w:val="16"/>
                          </w:rPr>
                        </w:pPr>
                      </w:p>
                    </w:tc>
                    <w:tc>
                      <w:tcPr>
                        <w:tcW w:w="6455" w:type="dxa"/>
                      </w:tcPr>
                      <w:p>
                        <w:pPr>
                          <w:pStyle w:val="TableParagraph"/>
                          <w:spacing w:line="220" w:lineRule="exact"/>
                          <w:ind w:left="100"/>
                          <w:rPr>
                            <w:sz w:val="21"/>
                          </w:rPr>
                        </w:pPr>
                        <w:r>
                          <w:rPr>
                            <w:b/>
                            <w:w w:val="95"/>
                            <w:sz w:val="21"/>
                          </w:rPr>
                          <w:t>费</w:t>
                        </w:r>
                        <w:r>
                          <w:rPr>
                            <w:w w:val="95"/>
                            <w:sz w:val="21"/>
                          </w:rPr>
                          <w:t>的附加合同的应付保险费。</w:t>
                        </w:r>
                      </w:p>
                    </w:tc>
                  </w:tr>
                  <w:tr>
                    <w:trPr>
                      <w:trHeight w:val="240" w:hRule="atLeast"/>
                    </w:trPr>
                    <w:tc>
                      <w:tcPr>
                        <w:tcW w:w="767" w:type="dxa"/>
                      </w:tcPr>
                      <w:p>
                        <w:pPr>
                          <w:pStyle w:val="TableParagraph"/>
                          <w:rPr>
                            <w:rFonts w:ascii="Times New Roman"/>
                            <w:sz w:val="16"/>
                          </w:rPr>
                        </w:pPr>
                      </w:p>
                    </w:tc>
                    <w:tc>
                      <w:tcPr>
                        <w:tcW w:w="2175" w:type="dxa"/>
                      </w:tcPr>
                      <w:p>
                        <w:pPr>
                          <w:pStyle w:val="TableParagraph"/>
                          <w:rPr>
                            <w:rFonts w:ascii="Times New Roman"/>
                            <w:sz w:val="16"/>
                          </w:rPr>
                        </w:pPr>
                      </w:p>
                    </w:tc>
                    <w:tc>
                      <w:tcPr>
                        <w:tcW w:w="6455" w:type="dxa"/>
                      </w:tcPr>
                      <w:p>
                        <w:pPr>
                          <w:pStyle w:val="TableParagraph"/>
                          <w:spacing w:line="220" w:lineRule="exact"/>
                          <w:ind w:left="100"/>
                          <w:rPr>
                            <w:sz w:val="21"/>
                          </w:rPr>
                        </w:pPr>
                        <w:r>
                          <w:rPr>
                            <w:sz w:val="21"/>
                          </w:rPr>
                          <w:t>上述所指的具有均衡保险费的附加合同是指保险期间和保险费支付</w:t>
                        </w:r>
                      </w:p>
                    </w:tc>
                  </w:tr>
                  <w:tr>
                    <w:trPr>
                      <w:trHeight w:val="240" w:hRule="atLeast"/>
                    </w:trPr>
                    <w:tc>
                      <w:tcPr>
                        <w:tcW w:w="767" w:type="dxa"/>
                      </w:tcPr>
                      <w:p>
                        <w:pPr>
                          <w:pStyle w:val="TableParagraph"/>
                          <w:rPr>
                            <w:rFonts w:ascii="Times New Roman"/>
                            <w:sz w:val="16"/>
                          </w:rPr>
                        </w:pPr>
                      </w:p>
                    </w:tc>
                    <w:tc>
                      <w:tcPr>
                        <w:tcW w:w="2175" w:type="dxa"/>
                      </w:tcPr>
                      <w:p>
                        <w:pPr>
                          <w:pStyle w:val="TableParagraph"/>
                          <w:rPr>
                            <w:rFonts w:ascii="Times New Roman"/>
                            <w:sz w:val="16"/>
                          </w:rPr>
                        </w:pPr>
                      </w:p>
                    </w:tc>
                    <w:tc>
                      <w:tcPr>
                        <w:tcW w:w="6455" w:type="dxa"/>
                      </w:tcPr>
                      <w:p>
                        <w:pPr>
                          <w:pStyle w:val="TableParagraph"/>
                          <w:spacing w:line="220" w:lineRule="exact"/>
                          <w:ind w:left="100"/>
                          <w:rPr>
                            <w:sz w:val="21"/>
                          </w:rPr>
                        </w:pPr>
                        <w:r>
                          <w:rPr>
                            <w:sz w:val="21"/>
                          </w:rPr>
                          <w:t>期限均超过一年，并且各保单年度应付保险费金额相同的附加合同。</w:t>
                        </w:r>
                      </w:p>
                    </w:tc>
                  </w:tr>
                  <w:tr>
                    <w:trPr>
                      <w:trHeight w:val="240" w:hRule="atLeast"/>
                    </w:trPr>
                    <w:tc>
                      <w:tcPr>
                        <w:tcW w:w="767" w:type="dxa"/>
                      </w:tcPr>
                      <w:p>
                        <w:pPr>
                          <w:pStyle w:val="TableParagraph"/>
                          <w:rPr>
                            <w:rFonts w:ascii="Times New Roman"/>
                            <w:sz w:val="16"/>
                          </w:rPr>
                        </w:pPr>
                      </w:p>
                    </w:tc>
                    <w:tc>
                      <w:tcPr>
                        <w:tcW w:w="2175" w:type="dxa"/>
                      </w:tcPr>
                      <w:p>
                        <w:pPr>
                          <w:pStyle w:val="TableParagraph"/>
                          <w:rPr>
                            <w:rFonts w:ascii="Times New Roman"/>
                            <w:sz w:val="16"/>
                          </w:rPr>
                        </w:pPr>
                      </w:p>
                    </w:tc>
                    <w:tc>
                      <w:tcPr>
                        <w:tcW w:w="6455" w:type="dxa"/>
                      </w:tcPr>
                      <w:p>
                        <w:pPr>
                          <w:pStyle w:val="TableParagraph"/>
                          <w:spacing w:line="220" w:lineRule="exact"/>
                          <w:ind w:left="100"/>
                          <w:rPr>
                            <w:sz w:val="21"/>
                          </w:rPr>
                        </w:pPr>
                        <w:r>
                          <w:rPr>
                            <w:sz w:val="21"/>
                          </w:rPr>
                          <w:t>一旦发生本附加合同所述的理赔，则未获豁免保险费的附加合同效</w:t>
                        </w:r>
                      </w:p>
                    </w:tc>
                  </w:tr>
                  <w:tr>
                    <w:trPr>
                      <w:trHeight w:val="411" w:hRule="atLeast"/>
                    </w:trPr>
                    <w:tc>
                      <w:tcPr>
                        <w:tcW w:w="767" w:type="dxa"/>
                      </w:tcPr>
                      <w:p>
                        <w:pPr>
                          <w:pStyle w:val="TableParagraph"/>
                          <w:rPr>
                            <w:rFonts w:ascii="Times New Roman"/>
                            <w:sz w:val="20"/>
                          </w:rPr>
                        </w:pPr>
                      </w:p>
                    </w:tc>
                    <w:tc>
                      <w:tcPr>
                        <w:tcW w:w="2175" w:type="dxa"/>
                      </w:tcPr>
                      <w:p>
                        <w:pPr>
                          <w:pStyle w:val="TableParagraph"/>
                          <w:rPr>
                            <w:rFonts w:ascii="Times New Roman"/>
                            <w:sz w:val="20"/>
                          </w:rPr>
                        </w:pPr>
                      </w:p>
                    </w:tc>
                    <w:tc>
                      <w:tcPr>
                        <w:tcW w:w="6455" w:type="dxa"/>
                      </w:tcPr>
                      <w:p>
                        <w:pPr>
                          <w:pStyle w:val="TableParagraph"/>
                          <w:spacing w:line="225" w:lineRule="exact"/>
                          <w:ind w:left="100"/>
                          <w:rPr>
                            <w:sz w:val="21"/>
                          </w:rPr>
                        </w:pPr>
                        <w:r>
                          <w:rPr>
                            <w:sz w:val="21"/>
                          </w:rPr>
                          <w:t>力将随即终止。</w:t>
                        </w:r>
                      </w:p>
                    </w:tc>
                  </w:tr>
                  <w:tr>
                    <w:trPr>
                      <w:trHeight w:val="447" w:hRule="atLeast"/>
                    </w:trPr>
                    <w:tc>
                      <w:tcPr>
                        <w:tcW w:w="767" w:type="dxa"/>
                      </w:tcPr>
                      <w:p>
                        <w:pPr>
                          <w:pStyle w:val="TableParagraph"/>
                          <w:spacing w:before="6"/>
                          <w:rPr>
                            <w:sz w:val="15"/>
                          </w:rPr>
                        </w:pPr>
                      </w:p>
                      <w:p>
                        <w:pPr>
                          <w:pStyle w:val="TableParagraph"/>
                          <w:spacing w:line="225" w:lineRule="exact"/>
                          <w:ind w:left="110"/>
                          <w:rPr>
                            <w:rFonts w:ascii="Times New Roman"/>
                            <w:sz w:val="21"/>
                          </w:rPr>
                        </w:pPr>
                        <w:r>
                          <w:rPr>
                            <w:rFonts w:ascii="Times New Roman"/>
                            <w:sz w:val="21"/>
                          </w:rPr>
                          <w:t>2.5</w:t>
                        </w:r>
                      </w:p>
                    </w:tc>
                    <w:tc>
                      <w:tcPr>
                        <w:tcW w:w="2175" w:type="dxa"/>
                      </w:tcPr>
                      <w:p>
                        <w:pPr>
                          <w:pStyle w:val="TableParagraph"/>
                          <w:spacing w:line="270" w:lineRule="exact" w:before="157"/>
                          <w:ind w:left="395"/>
                          <w:rPr>
                            <w:b/>
                            <w:sz w:val="21"/>
                          </w:rPr>
                        </w:pPr>
                        <w:r>
                          <w:rPr>
                            <w:b/>
                            <w:w w:val="95"/>
                            <w:sz w:val="21"/>
                          </w:rPr>
                          <w:t>责任免除</w:t>
                        </w:r>
                      </w:p>
                    </w:tc>
                    <w:tc>
                      <w:tcPr>
                        <w:tcW w:w="6455" w:type="dxa"/>
                      </w:tcPr>
                      <w:p>
                        <w:pPr>
                          <w:pStyle w:val="TableParagraph"/>
                          <w:spacing w:before="121"/>
                          <w:ind w:left="100"/>
                          <w:rPr>
                            <w:b/>
                            <w:sz w:val="21"/>
                          </w:rPr>
                        </w:pPr>
                        <w:r>
                          <w:rPr>
                            <w:b/>
                            <w:w w:val="95"/>
                            <w:sz w:val="21"/>
                          </w:rPr>
                          <w:t>因下列情形之一导致被保险人发生重大疾病，我们不承担保险责任：</w:t>
                        </w:r>
                      </w:p>
                    </w:tc>
                  </w:tr>
                  <w:tr>
                    <w:trPr>
                      <w:trHeight w:val="276" w:hRule="atLeast"/>
                    </w:trPr>
                    <w:tc>
                      <w:tcPr>
                        <w:tcW w:w="767" w:type="dxa"/>
                      </w:tcPr>
                      <w:p>
                        <w:pPr>
                          <w:pStyle w:val="TableParagraph"/>
                          <w:rPr>
                            <w:rFonts w:ascii="Times New Roman"/>
                            <w:sz w:val="20"/>
                          </w:rPr>
                        </w:pPr>
                      </w:p>
                    </w:tc>
                    <w:tc>
                      <w:tcPr>
                        <w:tcW w:w="2175" w:type="dxa"/>
                      </w:tcPr>
                      <w:p>
                        <w:pPr>
                          <w:pStyle w:val="TableParagraph"/>
                          <w:rPr>
                            <w:rFonts w:ascii="Times New Roman"/>
                            <w:sz w:val="20"/>
                          </w:rPr>
                        </w:pPr>
                      </w:p>
                    </w:tc>
                    <w:tc>
                      <w:tcPr>
                        <w:tcW w:w="6455" w:type="dxa"/>
                      </w:tcPr>
                      <w:p>
                        <w:pPr>
                          <w:pStyle w:val="TableParagraph"/>
                          <w:spacing w:line="240" w:lineRule="exact"/>
                          <w:ind w:left="100"/>
                          <w:rPr>
                            <w:b/>
                            <w:sz w:val="21"/>
                          </w:rPr>
                        </w:pPr>
                        <w:r>
                          <w:rPr>
                            <w:b/>
                            <w:w w:val="95"/>
                            <w:sz w:val="21"/>
                          </w:rPr>
                          <w:t>（</w:t>
                        </w:r>
                        <w:r>
                          <w:rPr>
                            <w:rFonts w:ascii="Times New Roman" w:eastAsia="Times New Roman"/>
                            <w:b/>
                            <w:w w:val="95"/>
                            <w:sz w:val="21"/>
                          </w:rPr>
                          <w:t>1</w:t>
                        </w:r>
                        <w:r>
                          <w:rPr>
                            <w:b/>
                            <w:w w:val="95"/>
                            <w:sz w:val="21"/>
                          </w:rPr>
                          <w:t>）投保人对被保险人的故意杀害、故意伤害；</w:t>
                        </w:r>
                      </w:p>
                    </w:tc>
                  </w:tr>
                  <w:tr>
                    <w:trPr>
                      <w:trHeight w:val="317" w:hRule="atLeast"/>
                    </w:trPr>
                    <w:tc>
                      <w:tcPr>
                        <w:tcW w:w="767" w:type="dxa"/>
                      </w:tcPr>
                      <w:p>
                        <w:pPr>
                          <w:pStyle w:val="TableParagraph"/>
                          <w:rPr>
                            <w:rFonts w:ascii="Times New Roman"/>
                            <w:sz w:val="20"/>
                          </w:rPr>
                        </w:pPr>
                      </w:p>
                    </w:tc>
                    <w:tc>
                      <w:tcPr>
                        <w:tcW w:w="2175" w:type="dxa"/>
                      </w:tcPr>
                      <w:p>
                        <w:pPr>
                          <w:pStyle w:val="TableParagraph"/>
                          <w:rPr>
                            <w:rFonts w:ascii="Times New Roman"/>
                            <w:sz w:val="20"/>
                          </w:rPr>
                        </w:pPr>
                      </w:p>
                    </w:tc>
                    <w:tc>
                      <w:tcPr>
                        <w:tcW w:w="6455" w:type="dxa"/>
                      </w:tcPr>
                      <w:p>
                        <w:pPr>
                          <w:pStyle w:val="TableParagraph"/>
                          <w:spacing w:line="276" w:lineRule="exact"/>
                          <w:ind w:left="100"/>
                          <w:rPr>
                            <w:b/>
                            <w:sz w:val="21"/>
                          </w:rPr>
                        </w:pPr>
                        <w:r>
                          <w:rPr>
                            <w:b/>
                            <w:w w:val="95"/>
                            <w:sz w:val="21"/>
                          </w:rPr>
                          <w:t>（</w:t>
                        </w:r>
                        <w:r>
                          <w:rPr>
                            <w:rFonts w:ascii="Times New Roman" w:eastAsia="Times New Roman"/>
                            <w:b/>
                            <w:w w:val="95"/>
                            <w:sz w:val="21"/>
                          </w:rPr>
                          <w:t>2</w:t>
                        </w:r>
                        <w:r>
                          <w:rPr>
                            <w:b/>
                            <w:w w:val="95"/>
                            <w:sz w:val="21"/>
                          </w:rPr>
                          <w:t>）被保险人故意自伤、故意犯罪或者抗拒依法采取的刑事强制措</w:t>
                        </w:r>
                      </w:p>
                    </w:tc>
                  </w:tr>
                  <w:tr>
                    <w:trPr>
                      <w:trHeight w:val="300" w:hRule="atLeast"/>
                    </w:trPr>
                    <w:tc>
                      <w:tcPr>
                        <w:tcW w:w="767" w:type="dxa"/>
                      </w:tcPr>
                      <w:p>
                        <w:pPr>
                          <w:pStyle w:val="TableParagraph"/>
                          <w:rPr>
                            <w:rFonts w:ascii="Times New Roman"/>
                            <w:sz w:val="20"/>
                          </w:rPr>
                        </w:pPr>
                      </w:p>
                    </w:tc>
                    <w:tc>
                      <w:tcPr>
                        <w:tcW w:w="2175" w:type="dxa"/>
                      </w:tcPr>
                      <w:p>
                        <w:pPr>
                          <w:pStyle w:val="TableParagraph"/>
                          <w:rPr>
                            <w:rFonts w:ascii="Times New Roman"/>
                            <w:sz w:val="20"/>
                          </w:rPr>
                        </w:pPr>
                      </w:p>
                    </w:tc>
                    <w:tc>
                      <w:tcPr>
                        <w:tcW w:w="6455" w:type="dxa"/>
                      </w:tcPr>
                      <w:p>
                        <w:pPr>
                          <w:pStyle w:val="TableParagraph"/>
                          <w:spacing w:line="255" w:lineRule="exact"/>
                          <w:ind w:left="100"/>
                          <w:rPr>
                            <w:b/>
                            <w:sz w:val="21"/>
                          </w:rPr>
                        </w:pPr>
                        <w:r>
                          <w:rPr>
                            <w:b/>
                            <w:w w:val="95"/>
                            <w:sz w:val="21"/>
                          </w:rPr>
                          <w:t>施；</w:t>
                        </w:r>
                      </w:p>
                    </w:tc>
                  </w:tr>
                  <w:tr>
                    <w:trPr>
                      <w:trHeight w:val="317" w:hRule="atLeast"/>
                    </w:trPr>
                    <w:tc>
                      <w:tcPr>
                        <w:tcW w:w="767" w:type="dxa"/>
                      </w:tcPr>
                      <w:p>
                        <w:pPr>
                          <w:pStyle w:val="TableParagraph"/>
                          <w:rPr>
                            <w:rFonts w:ascii="Times New Roman"/>
                            <w:sz w:val="20"/>
                          </w:rPr>
                        </w:pPr>
                      </w:p>
                    </w:tc>
                    <w:tc>
                      <w:tcPr>
                        <w:tcW w:w="2175" w:type="dxa"/>
                      </w:tcPr>
                      <w:p>
                        <w:pPr>
                          <w:pStyle w:val="TableParagraph"/>
                          <w:rPr>
                            <w:rFonts w:ascii="Times New Roman"/>
                            <w:sz w:val="20"/>
                          </w:rPr>
                        </w:pPr>
                      </w:p>
                    </w:tc>
                    <w:tc>
                      <w:tcPr>
                        <w:tcW w:w="6455" w:type="dxa"/>
                      </w:tcPr>
                      <w:p>
                        <w:pPr>
                          <w:pStyle w:val="TableParagraph"/>
                          <w:spacing w:line="282" w:lineRule="exact"/>
                          <w:ind w:left="100"/>
                          <w:rPr>
                            <w:b/>
                            <w:sz w:val="21"/>
                          </w:rPr>
                        </w:pPr>
                        <w:r>
                          <w:rPr>
                            <w:b/>
                            <w:w w:val="95"/>
                            <w:sz w:val="21"/>
                          </w:rPr>
                          <w:t>（</w:t>
                        </w:r>
                        <w:r>
                          <w:rPr>
                            <w:rFonts w:ascii="Times New Roman" w:eastAsia="Times New Roman"/>
                            <w:b/>
                            <w:w w:val="95"/>
                            <w:sz w:val="21"/>
                          </w:rPr>
                          <w:t>3</w:t>
                        </w:r>
                        <w:r>
                          <w:rPr>
                            <w:b/>
                            <w:w w:val="95"/>
                            <w:sz w:val="21"/>
                          </w:rPr>
                          <w:t>）被保险人服用、吸食或注射毒品；</w:t>
                        </w:r>
                      </w:p>
                    </w:tc>
                  </w:tr>
                  <w:tr>
                    <w:trPr>
                      <w:trHeight w:val="317" w:hRule="atLeast"/>
                    </w:trPr>
                    <w:tc>
                      <w:tcPr>
                        <w:tcW w:w="767" w:type="dxa"/>
                      </w:tcPr>
                      <w:p>
                        <w:pPr>
                          <w:pStyle w:val="TableParagraph"/>
                          <w:rPr>
                            <w:rFonts w:ascii="Times New Roman"/>
                            <w:sz w:val="20"/>
                          </w:rPr>
                        </w:pPr>
                      </w:p>
                    </w:tc>
                    <w:tc>
                      <w:tcPr>
                        <w:tcW w:w="2175" w:type="dxa"/>
                      </w:tcPr>
                      <w:p>
                        <w:pPr>
                          <w:pStyle w:val="TableParagraph"/>
                          <w:rPr>
                            <w:rFonts w:ascii="Times New Roman"/>
                            <w:sz w:val="20"/>
                          </w:rPr>
                        </w:pPr>
                      </w:p>
                    </w:tc>
                    <w:tc>
                      <w:tcPr>
                        <w:tcW w:w="6455" w:type="dxa"/>
                      </w:tcPr>
                      <w:p>
                        <w:pPr>
                          <w:pStyle w:val="TableParagraph"/>
                          <w:spacing w:line="276" w:lineRule="exact"/>
                          <w:ind w:left="100"/>
                          <w:rPr>
                            <w:b/>
                            <w:sz w:val="21"/>
                          </w:rPr>
                        </w:pPr>
                        <w:r>
                          <w:rPr>
                            <w:b/>
                            <w:w w:val="95"/>
                            <w:sz w:val="21"/>
                          </w:rPr>
                          <w:t>（</w:t>
                        </w:r>
                        <w:r>
                          <w:rPr>
                            <w:rFonts w:ascii="Times New Roman" w:eastAsia="Times New Roman"/>
                            <w:b/>
                            <w:w w:val="95"/>
                            <w:sz w:val="21"/>
                          </w:rPr>
                          <w:t>4</w:t>
                        </w:r>
                        <w:r>
                          <w:rPr>
                            <w:b/>
                            <w:w w:val="95"/>
                            <w:sz w:val="21"/>
                          </w:rPr>
                          <w:t>）被保险人酒后驾驶、无合法有效驾驶证驾驶，或驾驶无有效行</w:t>
                        </w:r>
                      </w:p>
                    </w:tc>
                  </w:tr>
                  <w:tr>
                    <w:trPr>
                      <w:trHeight w:val="300" w:hRule="atLeast"/>
                    </w:trPr>
                    <w:tc>
                      <w:tcPr>
                        <w:tcW w:w="767" w:type="dxa"/>
                      </w:tcPr>
                      <w:p>
                        <w:pPr>
                          <w:pStyle w:val="TableParagraph"/>
                          <w:rPr>
                            <w:rFonts w:ascii="Times New Roman"/>
                            <w:sz w:val="20"/>
                          </w:rPr>
                        </w:pPr>
                      </w:p>
                    </w:tc>
                    <w:tc>
                      <w:tcPr>
                        <w:tcW w:w="2175" w:type="dxa"/>
                      </w:tcPr>
                      <w:p>
                        <w:pPr>
                          <w:pStyle w:val="TableParagraph"/>
                          <w:rPr>
                            <w:rFonts w:ascii="Times New Roman"/>
                            <w:sz w:val="20"/>
                          </w:rPr>
                        </w:pPr>
                      </w:p>
                    </w:tc>
                    <w:tc>
                      <w:tcPr>
                        <w:tcW w:w="6455" w:type="dxa"/>
                      </w:tcPr>
                      <w:p>
                        <w:pPr>
                          <w:pStyle w:val="TableParagraph"/>
                          <w:spacing w:line="255" w:lineRule="exact"/>
                          <w:ind w:left="100"/>
                          <w:rPr>
                            <w:b/>
                            <w:sz w:val="21"/>
                          </w:rPr>
                        </w:pPr>
                        <w:r>
                          <w:rPr>
                            <w:b/>
                            <w:w w:val="95"/>
                            <w:sz w:val="21"/>
                          </w:rPr>
                          <w:t>驶证的机动车；</w:t>
                        </w:r>
                      </w:p>
                    </w:tc>
                  </w:tr>
                  <w:tr>
                    <w:trPr>
                      <w:trHeight w:val="317" w:hRule="atLeast"/>
                    </w:trPr>
                    <w:tc>
                      <w:tcPr>
                        <w:tcW w:w="767" w:type="dxa"/>
                      </w:tcPr>
                      <w:p>
                        <w:pPr>
                          <w:pStyle w:val="TableParagraph"/>
                          <w:rPr>
                            <w:rFonts w:ascii="Times New Roman"/>
                            <w:sz w:val="20"/>
                          </w:rPr>
                        </w:pPr>
                      </w:p>
                    </w:tc>
                    <w:tc>
                      <w:tcPr>
                        <w:tcW w:w="2175" w:type="dxa"/>
                      </w:tcPr>
                      <w:p>
                        <w:pPr>
                          <w:pStyle w:val="TableParagraph"/>
                          <w:rPr>
                            <w:rFonts w:ascii="Times New Roman"/>
                            <w:sz w:val="20"/>
                          </w:rPr>
                        </w:pPr>
                      </w:p>
                    </w:tc>
                    <w:tc>
                      <w:tcPr>
                        <w:tcW w:w="6455" w:type="dxa"/>
                      </w:tcPr>
                      <w:p>
                        <w:pPr>
                          <w:pStyle w:val="TableParagraph"/>
                          <w:spacing w:line="282" w:lineRule="exact"/>
                          <w:ind w:left="100"/>
                          <w:rPr>
                            <w:b/>
                            <w:sz w:val="21"/>
                          </w:rPr>
                        </w:pPr>
                        <w:r>
                          <w:rPr>
                            <w:b/>
                            <w:w w:val="95"/>
                            <w:sz w:val="21"/>
                          </w:rPr>
                          <w:t>（</w:t>
                        </w:r>
                        <w:r>
                          <w:rPr>
                            <w:rFonts w:ascii="Times New Roman" w:eastAsia="Times New Roman"/>
                            <w:b/>
                            <w:w w:val="95"/>
                            <w:sz w:val="21"/>
                          </w:rPr>
                          <w:t>5</w:t>
                        </w:r>
                        <w:r>
                          <w:rPr>
                            <w:b/>
                            <w:w w:val="95"/>
                            <w:sz w:val="21"/>
                          </w:rPr>
                          <w:t>）被保险人感染艾滋病病毒或患艾滋病；</w:t>
                        </w:r>
                      </w:p>
                    </w:tc>
                  </w:tr>
                  <w:tr>
                    <w:trPr>
                      <w:trHeight w:val="311" w:hRule="atLeast"/>
                    </w:trPr>
                    <w:tc>
                      <w:tcPr>
                        <w:tcW w:w="767" w:type="dxa"/>
                      </w:tcPr>
                      <w:p>
                        <w:pPr>
                          <w:pStyle w:val="TableParagraph"/>
                          <w:rPr>
                            <w:rFonts w:ascii="Times New Roman"/>
                            <w:sz w:val="20"/>
                          </w:rPr>
                        </w:pPr>
                      </w:p>
                    </w:tc>
                    <w:tc>
                      <w:tcPr>
                        <w:tcW w:w="2175" w:type="dxa"/>
                      </w:tcPr>
                      <w:p>
                        <w:pPr>
                          <w:pStyle w:val="TableParagraph"/>
                          <w:rPr>
                            <w:rFonts w:ascii="Times New Roman"/>
                            <w:sz w:val="20"/>
                          </w:rPr>
                        </w:pPr>
                      </w:p>
                    </w:tc>
                    <w:tc>
                      <w:tcPr>
                        <w:tcW w:w="6455" w:type="dxa"/>
                      </w:tcPr>
                      <w:p>
                        <w:pPr>
                          <w:pStyle w:val="TableParagraph"/>
                          <w:spacing w:line="276" w:lineRule="exact"/>
                          <w:ind w:left="100"/>
                          <w:rPr>
                            <w:b/>
                            <w:sz w:val="21"/>
                          </w:rPr>
                        </w:pPr>
                        <w:r>
                          <w:rPr>
                            <w:b/>
                            <w:w w:val="95"/>
                            <w:sz w:val="21"/>
                          </w:rPr>
                          <w:t>（</w:t>
                        </w:r>
                        <w:r>
                          <w:rPr>
                            <w:rFonts w:ascii="Times New Roman" w:eastAsia="Times New Roman"/>
                            <w:b/>
                            <w:w w:val="95"/>
                            <w:sz w:val="21"/>
                          </w:rPr>
                          <w:t>6</w:t>
                        </w:r>
                        <w:r>
                          <w:rPr>
                            <w:b/>
                            <w:w w:val="95"/>
                            <w:sz w:val="21"/>
                          </w:rPr>
                          <w:t>）战争、军事冲突、暴乱或武装叛乱；</w:t>
                        </w:r>
                      </w:p>
                    </w:tc>
                  </w:tr>
                  <w:tr>
                    <w:trPr>
                      <w:trHeight w:val="296" w:hRule="atLeast"/>
                    </w:trPr>
                    <w:tc>
                      <w:tcPr>
                        <w:tcW w:w="767" w:type="dxa"/>
                      </w:tcPr>
                      <w:p>
                        <w:pPr>
                          <w:pStyle w:val="TableParagraph"/>
                          <w:rPr>
                            <w:rFonts w:ascii="Times New Roman"/>
                            <w:sz w:val="20"/>
                          </w:rPr>
                        </w:pPr>
                      </w:p>
                    </w:tc>
                    <w:tc>
                      <w:tcPr>
                        <w:tcW w:w="2175" w:type="dxa"/>
                      </w:tcPr>
                      <w:p>
                        <w:pPr>
                          <w:pStyle w:val="TableParagraph"/>
                          <w:rPr>
                            <w:rFonts w:ascii="Times New Roman"/>
                            <w:sz w:val="20"/>
                          </w:rPr>
                        </w:pPr>
                      </w:p>
                    </w:tc>
                    <w:tc>
                      <w:tcPr>
                        <w:tcW w:w="6455" w:type="dxa"/>
                      </w:tcPr>
                      <w:p>
                        <w:pPr>
                          <w:pStyle w:val="TableParagraph"/>
                          <w:spacing w:line="276" w:lineRule="exact"/>
                          <w:ind w:left="100"/>
                          <w:rPr>
                            <w:b/>
                            <w:sz w:val="21"/>
                          </w:rPr>
                        </w:pPr>
                        <w:r>
                          <w:rPr>
                            <w:b/>
                            <w:w w:val="95"/>
                            <w:sz w:val="21"/>
                          </w:rPr>
                          <w:t>（</w:t>
                        </w:r>
                        <w:r>
                          <w:rPr>
                            <w:rFonts w:ascii="Times New Roman" w:eastAsia="Times New Roman"/>
                            <w:b/>
                            <w:w w:val="95"/>
                            <w:sz w:val="21"/>
                          </w:rPr>
                          <w:t>7</w:t>
                        </w:r>
                        <w:r>
                          <w:rPr>
                            <w:b/>
                            <w:w w:val="95"/>
                            <w:sz w:val="21"/>
                          </w:rPr>
                          <w:t>）核爆炸、核辐射或核污染；</w:t>
                        </w:r>
                      </w:p>
                    </w:tc>
                  </w:tr>
                  <w:tr>
                    <w:trPr>
                      <w:trHeight w:val="421" w:hRule="atLeast"/>
                    </w:trPr>
                    <w:tc>
                      <w:tcPr>
                        <w:tcW w:w="767" w:type="dxa"/>
                      </w:tcPr>
                      <w:p>
                        <w:pPr>
                          <w:pStyle w:val="TableParagraph"/>
                          <w:rPr>
                            <w:rFonts w:ascii="Times New Roman"/>
                            <w:sz w:val="20"/>
                          </w:rPr>
                        </w:pPr>
                      </w:p>
                    </w:tc>
                    <w:tc>
                      <w:tcPr>
                        <w:tcW w:w="2175" w:type="dxa"/>
                      </w:tcPr>
                      <w:p>
                        <w:pPr>
                          <w:pStyle w:val="TableParagraph"/>
                          <w:rPr>
                            <w:rFonts w:ascii="Times New Roman"/>
                            <w:sz w:val="20"/>
                          </w:rPr>
                        </w:pPr>
                      </w:p>
                    </w:tc>
                    <w:tc>
                      <w:tcPr>
                        <w:tcW w:w="6455" w:type="dxa"/>
                      </w:tcPr>
                      <w:p>
                        <w:pPr>
                          <w:pStyle w:val="TableParagraph"/>
                          <w:spacing w:line="256" w:lineRule="exact"/>
                          <w:ind w:left="100"/>
                          <w:rPr>
                            <w:b/>
                            <w:sz w:val="21"/>
                          </w:rPr>
                        </w:pPr>
                        <w:r>
                          <w:rPr>
                            <w:b/>
                            <w:w w:val="95"/>
                            <w:sz w:val="21"/>
                          </w:rPr>
                          <w:t>（</w:t>
                        </w:r>
                        <w:r>
                          <w:rPr>
                            <w:rFonts w:ascii="Times New Roman" w:eastAsia="Times New Roman"/>
                            <w:b/>
                            <w:w w:val="95"/>
                            <w:sz w:val="21"/>
                          </w:rPr>
                          <w:t>8</w:t>
                        </w:r>
                        <w:r>
                          <w:rPr>
                            <w:b/>
                            <w:w w:val="95"/>
                            <w:sz w:val="21"/>
                          </w:rPr>
                          <w:t>）遗传性疾病、先天性畸形、变形或染色体异常。</w:t>
                        </w:r>
                      </w:p>
                    </w:tc>
                  </w:tr>
                  <w:tr>
                    <w:trPr>
                      <w:trHeight w:val="563" w:hRule="atLeast"/>
                    </w:trPr>
                    <w:tc>
                      <w:tcPr>
                        <w:tcW w:w="767" w:type="dxa"/>
                        <w:tcBorders>
                          <w:bottom w:val="single" w:sz="6" w:space="0" w:color="000000"/>
                        </w:tcBorders>
                      </w:tcPr>
                      <w:p>
                        <w:pPr>
                          <w:pStyle w:val="TableParagraph"/>
                          <w:spacing w:before="161"/>
                          <w:ind w:left="110"/>
                          <w:rPr>
                            <w:rFonts w:ascii="Times New Roman"/>
                            <w:b/>
                            <w:sz w:val="24"/>
                          </w:rPr>
                        </w:pPr>
                        <w:r>
                          <w:rPr>
                            <w:rFonts w:ascii="Times New Roman"/>
                            <w:b/>
                            <w:sz w:val="24"/>
                          </w:rPr>
                          <w:t>3</w:t>
                        </w:r>
                      </w:p>
                    </w:tc>
                    <w:tc>
                      <w:tcPr>
                        <w:tcW w:w="2175" w:type="dxa"/>
                        <w:tcBorders>
                          <w:bottom w:val="single" w:sz="6" w:space="0" w:color="000000"/>
                        </w:tcBorders>
                      </w:tcPr>
                      <w:p>
                        <w:pPr>
                          <w:pStyle w:val="TableParagraph"/>
                          <w:spacing w:before="91"/>
                          <w:ind w:left="395"/>
                          <w:rPr>
                            <w:b/>
                            <w:sz w:val="24"/>
                          </w:rPr>
                        </w:pPr>
                        <w:r>
                          <w:rPr>
                            <w:b/>
                            <w:w w:val="95"/>
                            <w:sz w:val="24"/>
                          </w:rPr>
                          <w:t>保险金的申请</w:t>
                        </w:r>
                      </w:p>
                    </w:tc>
                    <w:tc>
                      <w:tcPr>
                        <w:tcW w:w="6455" w:type="dxa"/>
                        <w:tcBorders>
                          <w:bottom w:val="single" w:sz="6" w:space="0" w:color="000000"/>
                        </w:tcBorders>
                      </w:tcPr>
                      <w:p>
                        <w:pPr>
                          <w:pStyle w:val="TableParagraph"/>
                          <w:rPr>
                            <w:rFonts w:ascii="Times New Roman"/>
                            <w:sz w:val="20"/>
                          </w:rPr>
                        </w:pPr>
                      </w:p>
                    </w:tc>
                  </w:tr>
                  <w:tr>
                    <w:trPr>
                      <w:trHeight w:val="267" w:hRule="atLeast"/>
                    </w:trPr>
                    <w:tc>
                      <w:tcPr>
                        <w:tcW w:w="767" w:type="dxa"/>
                        <w:tcBorders>
                          <w:top w:val="single" w:sz="6" w:space="0" w:color="000000"/>
                        </w:tcBorders>
                      </w:tcPr>
                      <w:p>
                        <w:pPr>
                          <w:pStyle w:val="TableParagraph"/>
                          <w:spacing w:line="221" w:lineRule="exact" w:before="26"/>
                          <w:ind w:left="110"/>
                          <w:rPr>
                            <w:rFonts w:ascii="Times New Roman"/>
                            <w:sz w:val="21"/>
                          </w:rPr>
                        </w:pPr>
                        <w:r>
                          <w:rPr>
                            <w:rFonts w:ascii="Times New Roman"/>
                            <w:sz w:val="21"/>
                          </w:rPr>
                          <w:t>3.1</w:t>
                        </w:r>
                      </w:p>
                    </w:tc>
                    <w:tc>
                      <w:tcPr>
                        <w:tcW w:w="2175" w:type="dxa"/>
                        <w:tcBorders>
                          <w:top w:val="single" w:sz="6" w:space="0" w:color="000000"/>
                        </w:tcBorders>
                      </w:tcPr>
                      <w:p>
                        <w:pPr>
                          <w:pStyle w:val="TableParagraph"/>
                          <w:spacing w:line="248" w:lineRule="exact"/>
                          <w:ind w:left="395"/>
                          <w:rPr>
                            <w:b/>
                            <w:sz w:val="21"/>
                          </w:rPr>
                        </w:pPr>
                        <w:r>
                          <w:rPr>
                            <w:b/>
                            <w:sz w:val="21"/>
                          </w:rPr>
                          <w:t>重大疾病豁免保</w:t>
                        </w:r>
                      </w:p>
                    </w:tc>
                    <w:tc>
                      <w:tcPr>
                        <w:tcW w:w="6455" w:type="dxa"/>
                        <w:tcBorders>
                          <w:top w:val="single" w:sz="6" w:space="0" w:color="000000"/>
                        </w:tcBorders>
                      </w:tcPr>
                      <w:p>
                        <w:pPr>
                          <w:pStyle w:val="TableParagraph"/>
                          <w:spacing w:line="220" w:lineRule="exact"/>
                          <w:ind w:left="100"/>
                          <w:rPr>
                            <w:sz w:val="21"/>
                          </w:rPr>
                        </w:pPr>
                        <w:r>
                          <w:rPr>
                            <w:sz w:val="21"/>
                          </w:rPr>
                          <w:t>申请保险金时，申请人须填写保险金申请书，并提供下列证明和资</w:t>
                        </w:r>
                      </w:p>
                    </w:tc>
                  </w:tr>
                </w:tbl>
                <w:p>
                  <w:pPr>
                    <w:pStyle w:val="BodyText"/>
                  </w:pPr>
                </w:p>
              </w:txbxContent>
            </v:textbox>
            <w10:wrap type="none"/>
          </v:shape>
        </w:pict>
      </w:r>
      <w:r>
        <w:rPr/>
        <w:t>（</w:t>
      </w:r>
      <w:r>
        <w:rPr>
          <w:rFonts w:ascii="Times New Roman" w:eastAsia="Times New Roman"/>
        </w:rPr>
        <w:t>1</w:t>
      </w:r>
      <w:r>
        <w:rPr/>
        <w:t>）保险合同；</w:t>
      </w:r>
    </w:p>
    <w:p>
      <w:pPr>
        <w:pStyle w:val="BodyText"/>
        <w:spacing w:line="241" w:lineRule="exact"/>
        <w:ind w:left="788"/>
      </w:pPr>
      <w:r>
        <w:rPr/>
        <w:t>（</w:t>
      </w:r>
      <w:r>
        <w:rPr>
          <w:rFonts w:ascii="Times New Roman" w:eastAsia="Times New Roman"/>
        </w:rPr>
        <w:t>2</w:t>
      </w:r>
      <w:r>
        <w:rPr/>
        <w:t>）被保险人或其他有权领取保险金的人的有效身份证件；</w:t>
      </w:r>
    </w:p>
    <w:p>
      <w:pPr>
        <w:pStyle w:val="BodyText"/>
        <w:spacing w:line="259" w:lineRule="exact"/>
        <w:ind w:left="788"/>
      </w:pPr>
      <w:r>
        <w:rPr/>
        <w:t>（</w:t>
      </w:r>
      <w:r>
        <w:rPr>
          <w:rFonts w:ascii="Times New Roman" w:eastAsia="Times New Roman"/>
        </w:rPr>
        <w:t>3</w:t>
      </w:r>
      <w:r>
        <w:rPr/>
        <w:t>）医院出具的诊断证明、病历及检查报告；</w:t>
      </w:r>
    </w:p>
    <w:p>
      <w:pPr>
        <w:pStyle w:val="BodyText"/>
        <w:spacing w:line="266" w:lineRule="auto"/>
        <w:ind w:left="788" w:right="263"/>
      </w:pPr>
      <w:r>
        <w:rPr/>
        <w:t>（</w:t>
      </w:r>
      <w:r>
        <w:rPr>
          <w:rFonts w:ascii="Times New Roman" w:eastAsia="Times New Roman"/>
          <w:position w:val="1"/>
        </w:rPr>
        <w:t>4</w:t>
      </w:r>
      <w:r>
        <w:rPr/>
        <w:t>）所能提供的与确认保险事故的性质、原因等有关的其他证明和资料。</w:t>
      </w:r>
    </w:p>
    <w:p>
      <w:pPr>
        <w:pStyle w:val="BodyText"/>
        <w:spacing w:line="273" w:lineRule="auto" w:before="19"/>
        <w:ind w:left="788" w:right="369"/>
      </w:pPr>
      <w:r>
        <w:rPr/>
        <w:t>以上申请资料和证明不完整的，我们将及时一次性通知申请人补充提供有关资料和证明。</w:t>
      </w:r>
    </w:p>
    <w:p>
      <w:pPr>
        <w:spacing w:after="0" w:line="273" w:lineRule="auto"/>
        <w:sectPr>
          <w:type w:val="continuous"/>
          <w:pgSz w:w="11900" w:h="16840"/>
          <w:pgMar w:top="80" w:bottom="280" w:left="1500" w:right="780"/>
          <w:cols w:num="2" w:equalWidth="0">
            <w:col w:w="2332" w:space="40"/>
            <w:col w:w="7248"/>
          </w:cols>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6"/>
        <w:gridCol w:w="2053"/>
        <w:gridCol w:w="6579"/>
      </w:tblGrid>
      <w:tr>
        <w:trPr>
          <w:trHeight w:val="297" w:hRule="atLeast"/>
        </w:trPr>
        <w:tc>
          <w:tcPr>
            <w:tcW w:w="786" w:type="dxa"/>
          </w:tcPr>
          <w:p>
            <w:pPr>
              <w:pStyle w:val="TableParagraph"/>
              <w:spacing w:line="266" w:lineRule="exact"/>
              <w:ind w:left="110"/>
              <w:rPr>
                <w:rFonts w:ascii="Times New Roman"/>
                <w:sz w:val="24"/>
              </w:rPr>
            </w:pPr>
            <w:r>
              <w:rPr>
                <w:rFonts w:ascii="Times New Roman"/>
                <w:sz w:val="24"/>
              </w:rPr>
              <w:t>3.2</w:t>
            </w:r>
          </w:p>
        </w:tc>
        <w:tc>
          <w:tcPr>
            <w:tcW w:w="2053" w:type="dxa"/>
          </w:tcPr>
          <w:p>
            <w:pPr>
              <w:pStyle w:val="TableParagraph"/>
              <w:spacing w:line="254" w:lineRule="exact"/>
              <w:ind w:left="375"/>
              <w:rPr>
                <w:b/>
                <w:sz w:val="24"/>
              </w:rPr>
            </w:pPr>
            <w:r>
              <w:rPr>
                <w:b/>
                <w:w w:val="95"/>
                <w:sz w:val="24"/>
              </w:rPr>
              <w:t>保险金给付</w:t>
            </w:r>
          </w:p>
        </w:tc>
        <w:tc>
          <w:tcPr>
            <w:tcW w:w="6579" w:type="dxa"/>
          </w:tcPr>
          <w:p>
            <w:pPr>
              <w:pStyle w:val="TableParagraph"/>
              <w:spacing w:line="253" w:lineRule="exact"/>
              <w:ind w:left="205"/>
              <w:rPr>
                <w:rFonts w:ascii="Times New Roman" w:eastAsia="Times New Roman"/>
                <w:sz w:val="21"/>
              </w:rPr>
            </w:pPr>
            <w:r>
              <w:rPr>
                <w:sz w:val="21"/>
              </w:rPr>
              <w:t>我们在收到保险金给付申请书及合同约定的证明和资料后，将在 </w:t>
            </w:r>
            <w:r>
              <w:rPr>
                <w:rFonts w:ascii="Times New Roman" w:eastAsia="Times New Roman"/>
                <w:sz w:val="21"/>
              </w:rPr>
              <w:t>5</w:t>
            </w:r>
          </w:p>
        </w:tc>
      </w:tr>
      <w:tr>
        <w:trPr>
          <w:trHeight w:val="303" w:hRule="atLeast"/>
        </w:trPr>
        <w:tc>
          <w:tcPr>
            <w:tcW w:w="786" w:type="dxa"/>
          </w:tcPr>
          <w:p>
            <w:pPr>
              <w:pStyle w:val="TableParagraph"/>
              <w:rPr>
                <w:rFonts w:ascii="Times New Roman"/>
                <w:sz w:val="20"/>
              </w:rPr>
            </w:pPr>
          </w:p>
        </w:tc>
        <w:tc>
          <w:tcPr>
            <w:tcW w:w="2053" w:type="dxa"/>
          </w:tcPr>
          <w:p>
            <w:pPr>
              <w:pStyle w:val="TableParagraph"/>
              <w:rPr>
                <w:rFonts w:ascii="Times New Roman"/>
                <w:sz w:val="20"/>
              </w:rPr>
            </w:pPr>
          </w:p>
        </w:tc>
        <w:tc>
          <w:tcPr>
            <w:tcW w:w="6579" w:type="dxa"/>
          </w:tcPr>
          <w:p>
            <w:pPr>
              <w:pStyle w:val="TableParagraph"/>
              <w:spacing w:line="268" w:lineRule="exact"/>
              <w:ind w:left="205"/>
              <w:rPr>
                <w:sz w:val="21"/>
              </w:rPr>
            </w:pPr>
            <w:r>
              <w:rPr>
                <w:sz w:val="21"/>
              </w:rPr>
              <w:t>日内作出核定；情形复杂的，在 </w:t>
            </w:r>
            <w:r>
              <w:rPr>
                <w:rFonts w:ascii="Times New Roman" w:eastAsia="Times New Roman"/>
                <w:sz w:val="21"/>
              </w:rPr>
              <w:t>30 </w:t>
            </w:r>
            <w:r>
              <w:rPr>
                <w:sz w:val="21"/>
              </w:rPr>
              <w:t>日内作出核定。</w:t>
            </w:r>
          </w:p>
        </w:tc>
      </w:tr>
      <w:tr>
        <w:trPr>
          <w:trHeight w:val="317" w:hRule="atLeast"/>
        </w:trPr>
        <w:tc>
          <w:tcPr>
            <w:tcW w:w="786" w:type="dxa"/>
          </w:tcPr>
          <w:p>
            <w:pPr>
              <w:pStyle w:val="TableParagraph"/>
              <w:rPr>
                <w:rFonts w:ascii="Times New Roman"/>
                <w:sz w:val="20"/>
              </w:rPr>
            </w:pPr>
          </w:p>
        </w:tc>
        <w:tc>
          <w:tcPr>
            <w:tcW w:w="2053" w:type="dxa"/>
          </w:tcPr>
          <w:p>
            <w:pPr>
              <w:pStyle w:val="TableParagraph"/>
              <w:rPr>
                <w:rFonts w:ascii="Times New Roman"/>
                <w:sz w:val="20"/>
              </w:rPr>
            </w:pPr>
          </w:p>
        </w:tc>
        <w:tc>
          <w:tcPr>
            <w:tcW w:w="6579" w:type="dxa"/>
          </w:tcPr>
          <w:p>
            <w:pPr>
              <w:pStyle w:val="TableParagraph"/>
              <w:spacing w:line="276" w:lineRule="exact"/>
              <w:ind w:left="205"/>
              <w:rPr>
                <w:sz w:val="21"/>
              </w:rPr>
            </w:pPr>
            <w:r>
              <w:rPr>
                <w:sz w:val="21"/>
              </w:rPr>
              <w:t>对不属于保险责任的，我们自作出核定之日起 </w:t>
            </w:r>
            <w:r>
              <w:rPr>
                <w:rFonts w:ascii="Times New Roman" w:eastAsia="Times New Roman"/>
                <w:sz w:val="21"/>
              </w:rPr>
              <w:t>3 </w:t>
            </w:r>
            <w:r>
              <w:rPr>
                <w:sz w:val="21"/>
              </w:rPr>
              <w:t>日内向受益人发出</w:t>
            </w:r>
          </w:p>
        </w:tc>
      </w:tr>
      <w:tr>
        <w:trPr>
          <w:trHeight w:val="456" w:hRule="atLeast"/>
        </w:trPr>
        <w:tc>
          <w:tcPr>
            <w:tcW w:w="786" w:type="dxa"/>
          </w:tcPr>
          <w:p>
            <w:pPr>
              <w:pStyle w:val="TableParagraph"/>
              <w:rPr>
                <w:rFonts w:ascii="Times New Roman"/>
                <w:sz w:val="20"/>
              </w:rPr>
            </w:pPr>
          </w:p>
        </w:tc>
        <w:tc>
          <w:tcPr>
            <w:tcW w:w="2053" w:type="dxa"/>
          </w:tcPr>
          <w:p>
            <w:pPr>
              <w:pStyle w:val="TableParagraph"/>
              <w:rPr>
                <w:rFonts w:ascii="Times New Roman"/>
                <w:sz w:val="20"/>
              </w:rPr>
            </w:pPr>
          </w:p>
        </w:tc>
        <w:tc>
          <w:tcPr>
            <w:tcW w:w="6579" w:type="dxa"/>
          </w:tcPr>
          <w:p>
            <w:pPr>
              <w:pStyle w:val="TableParagraph"/>
              <w:spacing w:line="255" w:lineRule="exact"/>
              <w:ind w:left="205"/>
              <w:rPr>
                <w:sz w:val="21"/>
              </w:rPr>
            </w:pPr>
            <w:r>
              <w:rPr>
                <w:sz w:val="21"/>
              </w:rPr>
              <w:t>拒绝给付保险金通知书并说明理由。</w:t>
            </w:r>
          </w:p>
        </w:tc>
      </w:tr>
      <w:tr>
        <w:trPr>
          <w:trHeight w:val="473" w:hRule="atLeast"/>
        </w:trPr>
        <w:tc>
          <w:tcPr>
            <w:tcW w:w="786" w:type="dxa"/>
          </w:tcPr>
          <w:p>
            <w:pPr>
              <w:pStyle w:val="TableParagraph"/>
              <w:spacing w:before="192"/>
              <w:ind w:left="110"/>
              <w:rPr>
                <w:rFonts w:ascii="Times New Roman"/>
                <w:sz w:val="21"/>
              </w:rPr>
            </w:pPr>
            <w:r>
              <w:rPr>
                <w:rFonts w:ascii="Times New Roman"/>
                <w:sz w:val="21"/>
              </w:rPr>
              <w:t>3.3</w:t>
            </w:r>
          </w:p>
        </w:tc>
        <w:tc>
          <w:tcPr>
            <w:tcW w:w="2053" w:type="dxa"/>
          </w:tcPr>
          <w:p>
            <w:pPr>
              <w:pStyle w:val="TableParagraph"/>
              <w:spacing w:before="147"/>
              <w:ind w:left="375"/>
              <w:rPr>
                <w:b/>
                <w:sz w:val="21"/>
              </w:rPr>
            </w:pPr>
            <w:r>
              <w:rPr>
                <w:b/>
                <w:w w:val="95"/>
                <w:sz w:val="21"/>
              </w:rPr>
              <w:t>诉讼时效</w:t>
            </w:r>
          </w:p>
        </w:tc>
        <w:tc>
          <w:tcPr>
            <w:tcW w:w="6579" w:type="dxa"/>
          </w:tcPr>
          <w:p>
            <w:pPr>
              <w:pStyle w:val="TableParagraph"/>
              <w:spacing w:before="147"/>
              <w:ind w:left="205"/>
              <w:rPr>
                <w:sz w:val="21"/>
              </w:rPr>
            </w:pPr>
            <w:r>
              <w:rPr>
                <w:sz w:val="21"/>
              </w:rPr>
              <w:t>受益人及其它有权领取保险金的人向我们请求给付保险金的诉讼时</w:t>
            </w:r>
          </w:p>
        </w:tc>
      </w:tr>
      <w:tr>
        <w:trPr>
          <w:trHeight w:val="448" w:hRule="atLeast"/>
        </w:trPr>
        <w:tc>
          <w:tcPr>
            <w:tcW w:w="786" w:type="dxa"/>
          </w:tcPr>
          <w:p>
            <w:pPr>
              <w:pStyle w:val="TableParagraph"/>
              <w:rPr>
                <w:rFonts w:ascii="Times New Roman"/>
                <w:sz w:val="20"/>
              </w:rPr>
            </w:pPr>
          </w:p>
        </w:tc>
        <w:tc>
          <w:tcPr>
            <w:tcW w:w="2053" w:type="dxa"/>
          </w:tcPr>
          <w:p>
            <w:pPr>
              <w:pStyle w:val="TableParagraph"/>
              <w:rPr>
                <w:rFonts w:ascii="Times New Roman"/>
                <w:sz w:val="20"/>
              </w:rPr>
            </w:pPr>
          </w:p>
        </w:tc>
        <w:tc>
          <w:tcPr>
            <w:tcW w:w="6579" w:type="dxa"/>
          </w:tcPr>
          <w:p>
            <w:pPr>
              <w:pStyle w:val="TableParagraph"/>
              <w:spacing w:line="276" w:lineRule="exact"/>
              <w:ind w:left="205"/>
              <w:rPr>
                <w:sz w:val="21"/>
              </w:rPr>
            </w:pPr>
            <w:r>
              <w:rPr>
                <w:sz w:val="21"/>
              </w:rPr>
              <w:t>效期间为</w:t>
            </w:r>
            <w:r>
              <w:rPr>
                <w:rFonts w:ascii="Times New Roman" w:eastAsia="Times New Roman"/>
                <w:sz w:val="21"/>
              </w:rPr>
              <w:t>2</w:t>
            </w:r>
            <w:r>
              <w:rPr>
                <w:sz w:val="21"/>
              </w:rPr>
              <w:t>年，自其知道或者应当知道保险事故发生之日起计算。</w:t>
            </w:r>
          </w:p>
        </w:tc>
      </w:tr>
      <w:tr>
        <w:trPr>
          <w:trHeight w:val="618" w:hRule="atLeast"/>
        </w:trPr>
        <w:tc>
          <w:tcPr>
            <w:tcW w:w="786" w:type="dxa"/>
            <w:tcBorders>
              <w:bottom w:val="single" w:sz="6" w:space="0" w:color="000000"/>
            </w:tcBorders>
          </w:tcPr>
          <w:p>
            <w:pPr>
              <w:pStyle w:val="TableParagraph"/>
              <w:spacing w:before="166"/>
              <w:ind w:left="110"/>
              <w:rPr>
                <w:rFonts w:ascii="Times New Roman"/>
                <w:b/>
                <w:sz w:val="24"/>
              </w:rPr>
            </w:pPr>
            <w:r>
              <w:rPr>
                <w:rFonts w:ascii="Times New Roman"/>
                <w:b/>
                <w:sz w:val="24"/>
              </w:rPr>
              <w:t>4</w:t>
            </w:r>
          </w:p>
        </w:tc>
        <w:tc>
          <w:tcPr>
            <w:tcW w:w="2053" w:type="dxa"/>
            <w:tcBorders>
              <w:bottom w:val="single" w:sz="6" w:space="0" w:color="000000"/>
            </w:tcBorders>
          </w:tcPr>
          <w:p>
            <w:pPr>
              <w:pStyle w:val="TableParagraph"/>
              <w:spacing w:before="118"/>
              <w:ind w:left="375"/>
              <w:rPr>
                <w:b/>
                <w:sz w:val="24"/>
              </w:rPr>
            </w:pPr>
            <w:r>
              <w:rPr>
                <w:b/>
                <w:w w:val="95"/>
                <w:sz w:val="24"/>
              </w:rPr>
              <w:t>保险费的支付</w:t>
            </w:r>
          </w:p>
        </w:tc>
        <w:tc>
          <w:tcPr>
            <w:tcW w:w="6579" w:type="dxa"/>
            <w:tcBorders>
              <w:bottom w:val="single" w:sz="6" w:space="0" w:color="000000"/>
            </w:tcBorders>
          </w:tcPr>
          <w:p>
            <w:pPr>
              <w:pStyle w:val="TableParagraph"/>
              <w:rPr>
                <w:rFonts w:ascii="Times New Roman"/>
                <w:sz w:val="20"/>
              </w:rPr>
            </w:pPr>
          </w:p>
        </w:tc>
      </w:tr>
      <w:tr>
        <w:trPr>
          <w:trHeight w:val="313" w:hRule="atLeast"/>
        </w:trPr>
        <w:tc>
          <w:tcPr>
            <w:tcW w:w="786" w:type="dxa"/>
            <w:tcBorders>
              <w:top w:val="single" w:sz="6" w:space="0" w:color="000000"/>
            </w:tcBorders>
          </w:tcPr>
          <w:p>
            <w:pPr>
              <w:pStyle w:val="TableParagraph"/>
              <w:spacing w:before="26"/>
              <w:ind w:left="110"/>
              <w:rPr>
                <w:rFonts w:ascii="Times New Roman"/>
                <w:sz w:val="21"/>
              </w:rPr>
            </w:pPr>
            <w:r>
              <w:rPr>
                <w:rFonts w:ascii="Times New Roman"/>
                <w:sz w:val="21"/>
              </w:rPr>
              <w:t>4.1</w:t>
            </w:r>
          </w:p>
        </w:tc>
        <w:tc>
          <w:tcPr>
            <w:tcW w:w="2053" w:type="dxa"/>
            <w:tcBorders>
              <w:top w:val="single" w:sz="6" w:space="0" w:color="000000"/>
            </w:tcBorders>
          </w:tcPr>
          <w:p>
            <w:pPr>
              <w:pStyle w:val="TableParagraph"/>
              <w:spacing w:line="258" w:lineRule="exact"/>
              <w:ind w:left="375"/>
              <w:rPr>
                <w:b/>
                <w:sz w:val="21"/>
              </w:rPr>
            </w:pPr>
            <w:r>
              <w:rPr>
                <w:b/>
                <w:w w:val="95"/>
                <w:sz w:val="21"/>
              </w:rPr>
              <w:t>保险费的支付</w:t>
            </w:r>
          </w:p>
        </w:tc>
        <w:tc>
          <w:tcPr>
            <w:tcW w:w="6579" w:type="dxa"/>
            <w:tcBorders>
              <w:top w:val="single" w:sz="6" w:space="0" w:color="000000"/>
            </w:tcBorders>
          </w:tcPr>
          <w:p>
            <w:pPr>
              <w:pStyle w:val="TableParagraph"/>
              <w:spacing w:line="258" w:lineRule="exact"/>
              <w:ind w:left="205"/>
              <w:rPr>
                <w:sz w:val="21"/>
              </w:rPr>
            </w:pPr>
            <w:r>
              <w:rPr>
                <w:sz w:val="21"/>
              </w:rPr>
              <w:t>本附加合同保险费的支付方式为分期支付，支付期限与主合同相同，</w:t>
            </w:r>
          </w:p>
        </w:tc>
      </w:tr>
      <w:tr>
        <w:trPr>
          <w:trHeight w:val="307" w:hRule="atLeast"/>
        </w:trPr>
        <w:tc>
          <w:tcPr>
            <w:tcW w:w="786" w:type="dxa"/>
          </w:tcPr>
          <w:p>
            <w:pPr>
              <w:pStyle w:val="TableParagraph"/>
              <w:rPr>
                <w:rFonts w:ascii="Times New Roman"/>
                <w:sz w:val="20"/>
              </w:rPr>
            </w:pPr>
          </w:p>
        </w:tc>
        <w:tc>
          <w:tcPr>
            <w:tcW w:w="2053" w:type="dxa"/>
          </w:tcPr>
          <w:p>
            <w:pPr>
              <w:pStyle w:val="TableParagraph"/>
              <w:rPr>
                <w:rFonts w:ascii="Times New Roman"/>
                <w:sz w:val="20"/>
              </w:rPr>
            </w:pPr>
          </w:p>
        </w:tc>
        <w:tc>
          <w:tcPr>
            <w:tcW w:w="6579" w:type="dxa"/>
          </w:tcPr>
          <w:p>
            <w:pPr>
              <w:pStyle w:val="TableParagraph"/>
              <w:spacing w:line="256" w:lineRule="exact"/>
              <w:ind w:left="205"/>
              <w:rPr>
                <w:sz w:val="21"/>
              </w:rPr>
            </w:pPr>
            <w:r>
              <w:rPr>
                <w:sz w:val="21"/>
              </w:rPr>
              <w:t>并在保险单上载明。</w:t>
            </w:r>
          </w:p>
        </w:tc>
      </w:tr>
      <w:tr>
        <w:trPr>
          <w:trHeight w:val="311" w:hRule="atLeast"/>
        </w:trPr>
        <w:tc>
          <w:tcPr>
            <w:tcW w:w="786" w:type="dxa"/>
          </w:tcPr>
          <w:p>
            <w:pPr>
              <w:pStyle w:val="TableParagraph"/>
              <w:rPr>
                <w:rFonts w:ascii="Times New Roman"/>
                <w:sz w:val="20"/>
              </w:rPr>
            </w:pPr>
          </w:p>
        </w:tc>
        <w:tc>
          <w:tcPr>
            <w:tcW w:w="2053" w:type="dxa"/>
          </w:tcPr>
          <w:p>
            <w:pPr>
              <w:pStyle w:val="TableParagraph"/>
              <w:rPr>
                <w:rFonts w:ascii="Times New Roman"/>
                <w:sz w:val="20"/>
              </w:rPr>
            </w:pPr>
          </w:p>
        </w:tc>
        <w:tc>
          <w:tcPr>
            <w:tcW w:w="6579" w:type="dxa"/>
          </w:tcPr>
          <w:p>
            <w:pPr>
              <w:pStyle w:val="TableParagraph"/>
              <w:spacing w:line="261" w:lineRule="exact"/>
              <w:ind w:left="205"/>
              <w:rPr>
                <w:sz w:val="21"/>
              </w:rPr>
            </w:pPr>
            <w:r>
              <w:rPr>
                <w:sz w:val="21"/>
              </w:rPr>
              <w:t>在支付首期保险费后，您应当在每个保险费约定支付日或之前支付</w:t>
            </w:r>
          </w:p>
        </w:tc>
      </w:tr>
      <w:tr>
        <w:trPr>
          <w:trHeight w:val="450" w:hRule="atLeast"/>
        </w:trPr>
        <w:tc>
          <w:tcPr>
            <w:tcW w:w="786" w:type="dxa"/>
          </w:tcPr>
          <w:p>
            <w:pPr>
              <w:pStyle w:val="TableParagraph"/>
              <w:rPr>
                <w:rFonts w:ascii="Times New Roman"/>
                <w:sz w:val="20"/>
              </w:rPr>
            </w:pPr>
          </w:p>
        </w:tc>
        <w:tc>
          <w:tcPr>
            <w:tcW w:w="2053" w:type="dxa"/>
          </w:tcPr>
          <w:p>
            <w:pPr>
              <w:pStyle w:val="TableParagraph"/>
              <w:rPr>
                <w:rFonts w:ascii="Times New Roman"/>
                <w:sz w:val="20"/>
              </w:rPr>
            </w:pPr>
          </w:p>
        </w:tc>
        <w:tc>
          <w:tcPr>
            <w:tcW w:w="6579" w:type="dxa"/>
          </w:tcPr>
          <w:p>
            <w:pPr>
              <w:pStyle w:val="TableParagraph"/>
              <w:spacing w:line="261" w:lineRule="exact"/>
              <w:ind w:left="205"/>
              <w:rPr>
                <w:sz w:val="21"/>
              </w:rPr>
            </w:pPr>
            <w:r>
              <w:rPr>
                <w:sz w:val="21"/>
              </w:rPr>
              <w:t>当期保险费。</w:t>
            </w:r>
          </w:p>
        </w:tc>
      </w:tr>
      <w:tr>
        <w:trPr>
          <w:trHeight w:val="639" w:hRule="atLeast"/>
        </w:trPr>
        <w:tc>
          <w:tcPr>
            <w:tcW w:w="786" w:type="dxa"/>
          </w:tcPr>
          <w:p>
            <w:pPr>
              <w:pStyle w:val="TableParagraph"/>
              <w:spacing w:before="7"/>
              <w:rPr>
                <w:sz w:val="15"/>
              </w:rPr>
            </w:pPr>
          </w:p>
          <w:p>
            <w:pPr>
              <w:pStyle w:val="TableParagraph"/>
              <w:ind w:left="110"/>
              <w:rPr>
                <w:rFonts w:ascii="Times New Roman"/>
                <w:sz w:val="21"/>
              </w:rPr>
            </w:pPr>
            <w:r>
              <w:rPr>
                <w:rFonts w:ascii="Times New Roman"/>
                <w:sz w:val="21"/>
              </w:rPr>
              <w:t>4.2</w:t>
            </w:r>
          </w:p>
        </w:tc>
        <w:tc>
          <w:tcPr>
            <w:tcW w:w="2053" w:type="dxa"/>
          </w:tcPr>
          <w:p>
            <w:pPr>
              <w:pStyle w:val="TableParagraph"/>
              <w:spacing w:before="160"/>
              <w:ind w:left="375"/>
              <w:rPr>
                <w:b/>
                <w:sz w:val="21"/>
              </w:rPr>
            </w:pPr>
            <w:r>
              <w:rPr>
                <w:b/>
                <w:w w:val="95"/>
                <w:sz w:val="21"/>
              </w:rPr>
              <w:t>保险费率的调整</w:t>
            </w:r>
          </w:p>
        </w:tc>
        <w:tc>
          <w:tcPr>
            <w:tcW w:w="6579" w:type="dxa"/>
          </w:tcPr>
          <w:p>
            <w:pPr>
              <w:pStyle w:val="TableParagraph"/>
              <w:spacing w:line="240" w:lineRule="exact" w:before="177"/>
              <w:ind w:left="205" w:right="283"/>
              <w:rPr>
                <w:sz w:val="21"/>
              </w:rPr>
            </w:pPr>
            <w:r>
              <w:rPr>
                <w:sz w:val="21"/>
              </w:rPr>
              <w:t>我们有权重新调整本附加合同的保险费率，保险费率的调整须符合保险监管机构的相关规定。</w:t>
            </w:r>
          </w:p>
        </w:tc>
      </w:tr>
    </w:tbl>
    <w:p>
      <w:pPr>
        <w:pStyle w:val="BodyText"/>
        <w:spacing w:before="8"/>
        <w:rPr>
          <w:sz w:val="19"/>
        </w:rPr>
      </w:pPr>
    </w:p>
    <w:p>
      <w:pPr>
        <w:pStyle w:val="Heading2"/>
        <w:numPr>
          <w:ilvl w:val="0"/>
          <w:numId w:val="4"/>
        </w:numPr>
        <w:tabs>
          <w:tab w:pos="1271" w:val="left" w:leader="none"/>
          <w:tab w:pos="1272" w:val="left" w:leader="none"/>
        </w:tabs>
        <w:spacing w:line="240" w:lineRule="auto" w:before="37" w:after="0"/>
        <w:ind w:left="1272" w:right="0" w:hanging="1052"/>
        <w:jc w:val="left"/>
      </w:pPr>
      <w:r>
        <w:rPr>
          <w:w w:val="95"/>
        </w:rPr>
        <w:t>合同解除及效力终止</w:t>
      </w:r>
    </w:p>
    <w:p>
      <w:pPr>
        <w:pStyle w:val="BodyText"/>
        <w:spacing w:before="8"/>
        <w:rPr>
          <w:b/>
          <w:sz w:val="12"/>
        </w:rPr>
      </w:pPr>
    </w:p>
    <w:p>
      <w:pPr>
        <w:pStyle w:val="BodyText"/>
        <w:spacing w:line="20" w:lineRule="exact"/>
        <w:ind w:left="104"/>
        <w:rPr>
          <w:sz w:val="2"/>
        </w:rPr>
      </w:pPr>
      <w:r>
        <w:rPr>
          <w:rFonts w:ascii="Times New Roman"/>
          <w:spacing w:val="2"/>
          <w:sz w:val="2"/>
        </w:rPr>
        <w:t> </w:t>
      </w:r>
      <w:r>
        <w:rPr>
          <w:spacing w:val="2"/>
          <w:sz w:val="2"/>
        </w:rPr>
        <w:pict>
          <v:group style="width:463.2pt;height:.6pt;mso-position-horizontal-relative:char;mso-position-vertical-relative:line" coordorigin="0,0" coordsize="9264,12">
            <v:line style="position:absolute" from="0,6" to="1052,6" stroked="true" strokeweight=".6pt" strokecolor="#000000">
              <v:stroke dashstyle="solid"/>
            </v:line>
            <v:line style="position:absolute" from="1052,6" to="2934,6" stroked="true" strokeweight=".6pt" strokecolor="#000000">
              <v:stroke dashstyle="solid"/>
            </v:line>
            <v:line style="position:absolute" from="2934,6" to="9264,6" stroked="true" strokeweight=".6pt" strokecolor="#000000">
              <v:stroke dashstyle="solid"/>
            </v:line>
          </v:group>
        </w:pict>
      </w:r>
      <w:r>
        <w:rPr>
          <w:spacing w:val="2"/>
          <w:sz w:val="2"/>
        </w:rPr>
      </w:r>
    </w:p>
    <w:p>
      <w:pPr>
        <w:spacing w:after="0" w:line="20" w:lineRule="exact"/>
        <w:rPr>
          <w:sz w:val="2"/>
        </w:rPr>
        <w:sectPr>
          <w:pgSz w:w="11900" w:h="16840"/>
          <w:pgMar w:header="0" w:footer="866" w:top="1260" w:bottom="1060" w:left="940" w:right="1320"/>
        </w:sectPr>
      </w:pPr>
    </w:p>
    <w:p>
      <w:pPr>
        <w:pStyle w:val="Heading3"/>
        <w:numPr>
          <w:ilvl w:val="1"/>
          <w:numId w:val="4"/>
        </w:numPr>
        <w:tabs>
          <w:tab w:pos="1271" w:val="left" w:leader="none"/>
          <w:tab w:pos="1272" w:val="left" w:leader="none"/>
        </w:tabs>
        <w:spacing w:line="265" w:lineRule="exact" w:before="0" w:after="0"/>
        <w:ind w:left="1272" w:right="0" w:hanging="1052"/>
        <w:jc w:val="left"/>
      </w:pPr>
      <w:r>
        <w:rPr>
          <w:spacing w:val="25"/>
        </w:rPr>
        <w:t>解除合同的手续</w:t>
      </w:r>
    </w:p>
    <w:p>
      <w:pPr>
        <w:spacing w:before="21"/>
        <w:ind w:left="1267" w:right="1026" w:firstLine="0"/>
        <w:jc w:val="center"/>
        <w:rPr>
          <w:b/>
          <w:sz w:val="21"/>
        </w:rPr>
      </w:pPr>
      <w:r>
        <w:rPr>
          <w:b/>
          <w:w w:val="95"/>
          <w:sz w:val="21"/>
        </w:rPr>
        <w:t>及风险</w:t>
      </w:r>
    </w:p>
    <w:p>
      <w:pPr>
        <w:pStyle w:val="BodyText"/>
        <w:spacing w:line="250" w:lineRule="exact"/>
        <w:ind w:left="179"/>
      </w:pPr>
      <w:r>
        <w:rPr/>
        <w:br w:type="column"/>
      </w:r>
      <w:r>
        <w:rPr/>
        <w:t>如您在犹豫期后申请解除本附加合同，请填写解除合同申请书并向</w:t>
      </w:r>
    </w:p>
    <w:p>
      <w:pPr>
        <w:pStyle w:val="BodyText"/>
        <w:spacing w:before="37"/>
        <w:ind w:left="179"/>
      </w:pPr>
      <w:r>
        <w:rPr/>
        <w:t>我们提供下列资料：</w:t>
      </w:r>
    </w:p>
    <w:p>
      <w:pPr>
        <w:pStyle w:val="BodyText"/>
        <w:spacing w:before="37"/>
        <w:ind w:left="179"/>
      </w:pPr>
      <w:r>
        <w:rPr/>
        <w:t>（</w:t>
      </w:r>
      <w:r>
        <w:rPr>
          <w:rFonts w:ascii="Times New Roman" w:eastAsia="Times New Roman"/>
        </w:rPr>
        <w:t>1</w:t>
      </w:r>
      <w:r>
        <w:rPr/>
        <w:t>）保险合同；</w:t>
      </w:r>
    </w:p>
    <w:p>
      <w:pPr>
        <w:pStyle w:val="BodyText"/>
        <w:spacing w:before="21"/>
        <w:ind w:left="179"/>
      </w:pPr>
      <w:r>
        <w:rPr/>
        <w:t>（</w:t>
      </w:r>
      <w:r>
        <w:rPr>
          <w:rFonts w:ascii="Times New Roman" w:eastAsia="Times New Roman"/>
        </w:rPr>
        <w:t>2</w:t>
      </w:r>
      <w:r>
        <w:rPr/>
        <w:t>）您的有效身份证件。</w:t>
      </w:r>
    </w:p>
    <w:p>
      <w:pPr>
        <w:pStyle w:val="BodyText"/>
        <w:spacing w:line="273" w:lineRule="auto" w:before="21"/>
        <w:ind w:left="179" w:right="1235"/>
      </w:pPr>
      <w:r>
        <w:rPr/>
        <w:t>自我们收到解除合同申请书时起，本附加合同效力终止。您犹豫期后解除合同会遭受一定损失。</w:t>
      </w:r>
    </w:p>
    <w:p>
      <w:pPr>
        <w:spacing w:after="0" w:line="273" w:lineRule="auto"/>
        <w:sectPr>
          <w:type w:val="continuous"/>
          <w:pgSz w:w="11900" w:h="16840"/>
          <w:pgMar w:top="80" w:bottom="280" w:left="940" w:right="1320"/>
          <w:cols w:num="2" w:equalWidth="0">
            <w:col w:w="2935" w:space="40"/>
            <w:col w:w="6665"/>
          </w:cols>
        </w:sectPr>
      </w:pPr>
    </w:p>
    <w:p>
      <w:pPr>
        <w:pStyle w:val="BodyText"/>
        <w:spacing w:before="13"/>
        <w:rPr>
          <w:sz w:val="18"/>
        </w:rPr>
      </w:pPr>
    </w:p>
    <w:p>
      <w:pPr>
        <w:spacing w:after="0"/>
        <w:rPr>
          <w:sz w:val="18"/>
        </w:rPr>
        <w:sectPr>
          <w:type w:val="continuous"/>
          <w:pgSz w:w="11900" w:h="16840"/>
          <w:pgMar w:top="80" w:bottom="280" w:left="940" w:right="1320"/>
        </w:sectPr>
      </w:pPr>
    </w:p>
    <w:p>
      <w:pPr>
        <w:pStyle w:val="Heading3"/>
        <w:numPr>
          <w:ilvl w:val="1"/>
          <w:numId w:val="4"/>
        </w:numPr>
        <w:tabs>
          <w:tab w:pos="1271" w:val="left" w:leader="none"/>
          <w:tab w:pos="1272" w:val="left" w:leader="none"/>
        </w:tabs>
        <w:spacing w:line="256" w:lineRule="auto" w:before="71" w:after="0"/>
        <w:ind w:left="1272" w:right="0" w:hanging="1052"/>
        <w:jc w:val="left"/>
      </w:pPr>
      <w:r>
        <w:rPr>
          <w:spacing w:val="25"/>
        </w:rPr>
        <w:t>附加合同效力的</w:t>
      </w:r>
      <w:r>
        <w:rPr>
          <w:spacing w:val="25"/>
          <w:w w:val="95"/>
        </w:rPr>
        <w:t>终止</w:t>
      </w:r>
    </w:p>
    <w:p>
      <w:pPr>
        <w:pStyle w:val="BodyText"/>
        <w:spacing w:line="257" w:lineRule="exact" w:before="35"/>
        <w:ind w:left="181"/>
      </w:pPr>
      <w:r>
        <w:rPr/>
        <w:br w:type="column"/>
      </w:r>
      <w:r>
        <w:rPr/>
        <w:t>发生下列情况之一时，本附加合同效力终止：</w:t>
      </w:r>
    </w:p>
    <w:p>
      <w:pPr>
        <w:pStyle w:val="BodyText"/>
        <w:spacing w:line="249" w:lineRule="exact"/>
        <w:ind w:left="181"/>
      </w:pPr>
      <w:r>
        <w:rPr/>
        <w:t>（</w:t>
      </w:r>
      <w:r>
        <w:rPr>
          <w:rFonts w:ascii="Times New Roman" w:eastAsia="Times New Roman"/>
        </w:rPr>
        <w:t>1</w:t>
      </w:r>
      <w:r>
        <w:rPr/>
        <w:t>）我们收到解除合同申请书；</w:t>
      </w:r>
    </w:p>
    <w:p>
      <w:pPr>
        <w:pStyle w:val="BodyText"/>
        <w:spacing w:line="241" w:lineRule="exact"/>
        <w:ind w:left="181"/>
      </w:pPr>
      <w:r>
        <w:rPr/>
        <w:t>（</w:t>
      </w:r>
      <w:r>
        <w:rPr>
          <w:rFonts w:ascii="Times New Roman" w:eastAsia="Times New Roman"/>
        </w:rPr>
        <w:t>2</w:t>
      </w:r>
      <w:r>
        <w:rPr/>
        <w:t>）被保险人身故；</w:t>
      </w:r>
    </w:p>
    <w:p>
      <w:pPr>
        <w:pStyle w:val="BodyText"/>
        <w:spacing w:line="241" w:lineRule="exact"/>
        <w:ind w:left="181"/>
      </w:pPr>
      <w:r>
        <w:rPr/>
        <w:t>（</w:t>
      </w:r>
      <w:r>
        <w:rPr>
          <w:rFonts w:ascii="Times New Roman" w:eastAsia="Times New Roman"/>
        </w:rPr>
        <w:t>3</w:t>
      </w:r>
      <w:r>
        <w:rPr/>
        <w:t>）本附加合同满期；</w:t>
      </w:r>
    </w:p>
    <w:p>
      <w:pPr>
        <w:pStyle w:val="BodyText"/>
        <w:spacing w:line="241" w:lineRule="exact"/>
        <w:ind w:left="181"/>
      </w:pPr>
      <w:r>
        <w:rPr/>
        <w:t>（</w:t>
      </w:r>
      <w:r>
        <w:rPr>
          <w:rFonts w:ascii="Times New Roman" w:eastAsia="Times New Roman"/>
        </w:rPr>
        <w:t>4</w:t>
      </w:r>
      <w:r>
        <w:rPr/>
        <w:t>）主合同效力终止；</w:t>
      </w:r>
    </w:p>
    <w:p>
      <w:pPr>
        <w:pStyle w:val="BodyText"/>
        <w:spacing w:line="265" w:lineRule="exact"/>
        <w:ind w:left="181"/>
      </w:pPr>
      <w:r>
        <w:rPr/>
        <w:t>（</w:t>
      </w:r>
      <w:r>
        <w:rPr>
          <w:rFonts w:ascii="Times New Roman" w:eastAsia="Times New Roman"/>
        </w:rPr>
        <w:t>5</w:t>
      </w:r>
      <w:r>
        <w:rPr/>
        <w:t>）本附加合同因其他条款所列情况而效力终止。</w:t>
      </w:r>
    </w:p>
    <w:p>
      <w:pPr>
        <w:spacing w:after="0" w:line="265" w:lineRule="exact"/>
        <w:sectPr>
          <w:type w:val="continuous"/>
          <w:pgSz w:w="11900" w:h="16840"/>
          <w:pgMar w:top="80" w:bottom="280" w:left="940" w:right="1320"/>
          <w:cols w:num="2" w:equalWidth="0">
            <w:col w:w="2933" w:space="40"/>
            <w:col w:w="6667"/>
          </w:cols>
        </w:sectPr>
      </w:pPr>
    </w:p>
    <w:p>
      <w:pPr>
        <w:pStyle w:val="BodyText"/>
        <w:spacing w:before="6"/>
        <w:rPr>
          <w:sz w:val="11"/>
        </w:rPr>
      </w:pPr>
    </w:p>
    <w:p>
      <w:pPr>
        <w:pStyle w:val="Heading2"/>
        <w:numPr>
          <w:ilvl w:val="0"/>
          <w:numId w:val="4"/>
        </w:numPr>
        <w:tabs>
          <w:tab w:pos="1271" w:val="left" w:leader="none"/>
          <w:tab w:pos="1272" w:val="left" w:leader="none"/>
        </w:tabs>
        <w:spacing w:line="240" w:lineRule="auto" w:before="30" w:after="0"/>
        <w:ind w:left="1272" w:right="0" w:hanging="1052"/>
        <w:jc w:val="left"/>
      </w:pPr>
      <w:r>
        <w:rPr>
          <w:w w:val="95"/>
          <w:position w:val="1"/>
        </w:rPr>
        <w:t>重大疾病保障范围及定义</w:t>
      </w:r>
    </w:p>
    <w:p>
      <w:pPr>
        <w:pStyle w:val="BodyText"/>
        <w:rPr>
          <w:b/>
          <w:sz w:val="9"/>
        </w:rPr>
      </w:pPr>
      <w:r>
        <w:rPr/>
        <w:pict>
          <v:group style="position:absolute;margin-left:52.5pt;margin-top:7.875951pt;width:463.2pt;height:.6pt;mso-position-horizontal-relative:page;mso-position-vertical-relative:paragraph;z-index:1168;mso-wrap-distance-left:0;mso-wrap-distance-right:0" coordorigin="1050,158" coordsize="9264,12">
            <v:line style="position:absolute" from="1050,164" to="2102,164" stroked="true" strokeweight=".6pt" strokecolor="#000000">
              <v:stroke dashstyle="solid"/>
            </v:line>
            <v:line style="position:absolute" from="2102,164" to="10314,164" stroked="true" strokeweight=".6pt" strokecolor="#000000">
              <v:stroke dashstyle="solid"/>
            </v:line>
            <w10:wrap type="topAndBottom"/>
          </v:group>
        </w:pict>
      </w:r>
    </w:p>
    <w:p>
      <w:pPr>
        <w:pStyle w:val="BodyText"/>
        <w:ind w:left="1271"/>
      </w:pPr>
      <w:r>
        <w:rPr/>
        <w:t>被保险人发生符合以下疾病定义所述条件的疾病，应当由专科医生明确诊断。</w:t>
      </w:r>
    </w:p>
    <w:p>
      <w:pPr>
        <w:pStyle w:val="BodyText"/>
        <w:spacing w:before="8"/>
        <w:rPr>
          <w:sz w:val="26"/>
        </w:rPr>
      </w:pPr>
    </w:p>
    <w:p>
      <w:pPr>
        <w:pStyle w:val="ListParagraph"/>
        <w:numPr>
          <w:ilvl w:val="1"/>
          <w:numId w:val="4"/>
        </w:numPr>
        <w:tabs>
          <w:tab w:pos="1271" w:val="left" w:leader="none"/>
          <w:tab w:pos="1272" w:val="left" w:leader="none"/>
          <w:tab w:pos="3153" w:val="left" w:leader="none"/>
        </w:tabs>
        <w:spacing w:line="240" w:lineRule="auto" w:before="1" w:after="0"/>
        <w:ind w:left="1272" w:right="0" w:hanging="1052"/>
        <w:jc w:val="left"/>
        <w:rPr>
          <w:sz w:val="21"/>
        </w:rPr>
      </w:pPr>
      <w:r>
        <w:rPr>
          <w:b/>
          <w:sz w:val="21"/>
        </w:rPr>
        <w:t>恶性肿瘤</w:t>
        <w:tab/>
      </w:r>
      <w:r>
        <w:rPr>
          <w:sz w:val="21"/>
        </w:rPr>
        <w:t>指恶性细胞不受控制的进行性增长和扩散，浸润和破坏周围正常组</w:t>
      </w:r>
    </w:p>
    <w:p>
      <w:pPr>
        <w:pStyle w:val="BodyText"/>
        <w:spacing w:line="273" w:lineRule="auto" w:before="21"/>
        <w:ind w:left="3154" w:right="367"/>
        <w:jc w:val="both"/>
      </w:pPr>
      <w:r>
        <w:rPr>
          <w:spacing w:val="-13"/>
        </w:rPr>
        <w:t>织，可以经血管、淋巴管和体腔扩散转移到身体其它部位的疾病。经病理学检查结果明确诊断，临床诊断属于世界卫生组织《疾病和有</w:t>
      </w:r>
      <w:r>
        <w:rPr>
          <w:spacing w:val="-1"/>
        </w:rPr>
        <w:t>关健康问题的国际统计分类》</w:t>
      </w:r>
      <w:r>
        <w:rPr/>
        <w:t>（</w:t>
      </w:r>
      <w:r>
        <w:rPr>
          <w:rFonts w:ascii="Times New Roman" w:eastAsia="Times New Roman"/>
        </w:rPr>
        <w:t>ICD-10</w:t>
      </w:r>
      <w:r>
        <w:rPr/>
        <w:t>）的恶性肿瘤范畴。</w:t>
      </w:r>
    </w:p>
    <w:p>
      <w:pPr>
        <w:pStyle w:val="BodyText"/>
        <w:spacing w:line="264" w:lineRule="exact"/>
        <w:ind w:left="3154"/>
        <w:jc w:val="both"/>
      </w:pPr>
      <w:r>
        <w:rPr/>
        <w:t>下列疾病不在保障范围内：</w:t>
      </w:r>
    </w:p>
    <w:p>
      <w:pPr>
        <w:pStyle w:val="BodyText"/>
        <w:spacing w:before="37"/>
        <w:ind w:left="3154"/>
        <w:jc w:val="both"/>
      </w:pPr>
      <w:r>
        <w:rPr/>
        <w:t>（</w:t>
      </w:r>
      <w:r>
        <w:rPr>
          <w:rFonts w:ascii="Times New Roman" w:eastAsia="Times New Roman"/>
        </w:rPr>
        <w:t>1</w:t>
      </w:r>
      <w:r>
        <w:rPr/>
        <w:t>）原位癌；</w:t>
      </w:r>
    </w:p>
    <w:p>
      <w:pPr>
        <w:pStyle w:val="BodyText"/>
        <w:spacing w:before="20"/>
        <w:ind w:left="3154"/>
        <w:jc w:val="both"/>
      </w:pPr>
      <w:r>
        <w:rPr/>
        <w:t>（</w:t>
      </w:r>
      <w:r>
        <w:rPr>
          <w:rFonts w:ascii="Times New Roman" w:eastAsia="Times New Roman"/>
        </w:rPr>
        <w:t>2</w:t>
      </w:r>
      <w:r>
        <w:rPr/>
        <w:t>）相当于</w:t>
      </w:r>
      <w:r>
        <w:rPr>
          <w:rFonts w:ascii="Times New Roman" w:eastAsia="Times New Roman"/>
        </w:rPr>
        <w:t>Binet</w:t>
      </w:r>
      <w:r>
        <w:rPr/>
        <w:t>分期方案</w:t>
      </w:r>
      <w:r>
        <w:rPr>
          <w:rFonts w:ascii="Times New Roman" w:eastAsia="Times New Roman"/>
        </w:rPr>
        <w:t>A</w:t>
      </w:r>
      <w:r>
        <w:rPr/>
        <w:t>期程度的慢性淋巴细胞白血病；</w:t>
      </w:r>
    </w:p>
    <w:p>
      <w:pPr>
        <w:pStyle w:val="BodyText"/>
        <w:spacing w:before="20"/>
        <w:ind w:left="3154"/>
        <w:jc w:val="both"/>
      </w:pPr>
      <w:r>
        <w:rPr/>
        <w:t>（</w:t>
      </w:r>
      <w:r>
        <w:rPr>
          <w:rFonts w:ascii="Times New Roman" w:eastAsia="Times New Roman"/>
        </w:rPr>
        <w:t>3</w:t>
      </w:r>
      <w:r>
        <w:rPr/>
        <w:t>）相当于</w:t>
      </w:r>
      <w:r>
        <w:rPr>
          <w:rFonts w:ascii="Times New Roman" w:eastAsia="Times New Roman"/>
        </w:rPr>
        <w:t>Ann Arbor</w:t>
      </w:r>
      <w:r>
        <w:rPr/>
        <w:t>分期方案</w:t>
      </w:r>
      <w:r>
        <w:rPr>
          <w:rFonts w:ascii="Times New Roman" w:eastAsia="Times New Roman"/>
        </w:rPr>
        <w:t>I</w:t>
      </w:r>
      <w:r>
        <w:rPr/>
        <w:t>期程度的何杰金氏病；</w:t>
      </w:r>
    </w:p>
    <w:p>
      <w:pPr>
        <w:pStyle w:val="BodyText"/>
        <w:spacing w:before="20"/>
        <w:ind w:left="3154"/>
        <w:jc w:val="both"/>
      </w:pPr>
      <w:r>
        <w:rPr/>
        <w:t>（</w:t>
      </w:r>
      <w:r>
        <w:rPr>
          <w:rFonts w:ascii="Times New Roman" w:eastAsia="Times New Roman"/>
        </w:rPr>
        <w:t>4</w:t>
      </w:r>
      <w:r>
        <w:rPr/>
        <w:t>）皮肤癌（不包括恶性黑色素瘤及已发生转移的皮肤癌）；</w:t>
      </w:r>
    </w:p>
    <w:p>
      <w:pPr>
        <w:pStyle w:val="BodyText"/>
        <w:spacing w:before="16"/>
        <w:ind w:left="3154"/>
        <w:jc w:val="both"/>
      </w:pPr>
      <w:r>
        <w:rPr>
          <w:position w:val="2"/>
        </w:rPr>
        <w:t>（</w:t>
      </w:r>
      <w:r>
        <w:rPr>
          <w:rFonts w:ascii="Times New Roman" w:eastAsia="Times New Roman"/>
          <w:position w:val="2"/>
        </w:rPr>
        <w:t>5</w:t>
      </w:r>
      <w:r>
        <w:rPr>
          <w:position w:val="2"/>
        </w:rPr>
        <w:t>）</w:t>
      </w:r>
      <w:r>
        <w:rPr>
          <w:rFonts w:ascii="Times New Roman" w:eastAsia="Times New Roman"/>
          <w:position w:val="2"/>
        </w:rPr>
        <w:t>TNM</w:t>
      </w:r>
      <w:r>
        <w:rPr>
          <w:position w:val="2"/>
        </w:rPr>
        <w:t>分期为</w:t>
      </w:r>
      <w:r>
        <w:rPr>
          <w:rFonts w:ascii="Times New Roman" w:eastAsia="Times New Roman"/>
          <w:position w:val="2"/>
        </w:rPr>
        <w:t>T</w:t>
      </w:r>
      <w:r>
        <w:rPr>
          <w:rFonts w:ascii="Times New Roman" w:eastAsia="Times New Roman"/>
          <w:sz w:val="12"/>
        </w:rPr>
        <w:t>1</w:t>
      </w:r>
      <w:r>
        <w:rPr>
          <w:rFonts w:ascii="Times New Roman" w:eastAsia="Times New Roman"/>
          <w:position w:val="2"/>
        </w:rPr>
        <w:t>N</w:t>
      </w:r>
      <w:r>
        <w:rPr>
          <w:rFonts w:ascii="Times New Roman" w:eastAsia="Times New Roman"/>
          <w:sz w:val="12"/>
        </w:rPr>
        <w:t>0</w:t>
      </w:r>
      <w:r>
        <w:rPr>
          <w:rFonts w:ascii="Times New Roman" w:eastAsia="Times New Roman"/>
          <w:position w:val="2"/>
        </w:rPr>
        <w:t>M</w:t>
      </w:r>
      <w:r>
        <w:rPr>
          <w:rFonts w:ascii="Times New Roman" w:eastAsia="Times New Roman"/>
          <w:sz w:val="12"/>
        </w:rPr>
        <w:t>0</w:t>
      </w:r>
      <w:r>
        <w:rPr>
          <w:position w:val="2"/>
        </w:rPr>
        <w:t>期或更轻分期的前列腺癌；</w:t>
      </w:r>
    </w:p>
    <w:p>
      <w:pPr>
        <w:pStyle w:val="BodyText"/>
        <w:spacing w:before="24"/>
        <w:ind w:left="3154"/>
        <w:jc w:val="both"/>
      </w:pPr>
      <w:r>
        <w:rPr/>
        <w:t>（</w:t>
      </w:r>
      <w:r>
        <w:rPr>
          <w:rFonts w:ascii="Times New Roman" w:eastAsia="Times New Roman"/>
        </w:rPr>
        <w:t>6</w:t>
      </w:r>
      <w:r>
        <w:rPr/>
        <w:t>）感染艾滋病病毒或患艾滋病期间所患恶性肿瘤。</w:t>
      </w:r>
    </w:p>
    <w:p>
      <w:pPr>
        <w:spacing w:after="0"/>
        <w:jc w:val="both"/>
        <w:sectPr>
          <w:type w:val="continuous"/>
          <w:pgSz w:w="11900" w:h="16840"/>
          <w:pgMar w:top="80" w:bottom="280" w:left="940" w:right="132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7"/>
        <w:gridCol w:w="2165"/>
        <w:gridCol w:w="6484"/>
      </w:tblGrid>
      <w:tr>
        <w:trPr>
          <w:trHeight w:val="277" w:hRule="atLeast"/>
        </w:trPr>
        <w:tc>
          <w:tcPr>
            <w:tcW w:w="707" w:type="dxa"/>
          </w:tcPr>
          <w:p>
            <w:pPr>
              <w:pStyle w:val="TableParagraph"/>
              <w:spacing w:line="233" w:lineRule="exact"/>
              <w:ind w:left="50"/>
              <w:rPr>
                <w:rFonts w:ascii="Times New Roman"/>
                <w:sz w:val="21"/>
              </w:rPr>
            </w:pPr>
            <w:r>
              <w:rPr>
                <w:rFonts w:ascii="Times New Roman"/>
                <w:sz w:val="21"/>
              </w:rPr>
              <w:t>6.2</w:t>
            </w:r>
          </w:p>
        </w:tc>
        <w:tc>
          <w:tcPr>
            <w:tcW w:w="2165" w:type="dxa"/>
          </w:tcPr>
          <w:p>
            <w:pPr>
              <w:pStyle w:val="TableParagraph"/>
              <w:spacing w:line="221" w:lineRule="exact"/>
              <w:ind w:left="395"/>
              <w:rPr>
                <w:b/>
                <w:sz w:val="21"/>
              </w:rPr>
            </w:pPr>
            <w:r>
              <w:rPr>
                <w:b/>
                <w:w w:val="95"/>
                <w:sz w:val="21"/>
              </w:rPr>
              <w:t>急性心肌梗塞</w:t>
            </w:r>
          </w:p>
        </w:tc>
        <w:tc>
          <w:tcPr>
            <w:tcW w:w="6484" w:type="dxa"/>
          </w:tcPr>
          <w:p>
            <w:pPr>
              <w:pStyle w:val="TableParagraph"/>
              <w:spacing w:line="221" w:lineRule="exact"/>
              <w:ind w:left="110"/>
              <w:rPr>
                <w:sz w:val="21"/>
              </w:rPr>
            </w:pPr>
            <w:r>
              <w:rPr>
                <w:sz w:val="21"/>
              </w:rPr>
              <w:t>指因冠状动脉阻塞导致的相应区域供血不足造成部分心肌坏死。须</w:t>
            </w:r>
          </w:p>
        </w:tc>
      </w:tr>
      <w:tr>
        <w:trPr>
          <w:trHeight w:val="300" w:hRule="atLeast"/>
        </w:trPr>
        <w:tc>
          <w:tcPr>
            <w:tcW w:w="707" w:type="dxa"/>
          </w:tcPr>
          <w:p>
            <w:pPr>
              <w:pStyle w:val="TableParagraph"/>
              <w:rPr>
                <w:rFonts w:ascii="Times New Roman"/>
                <w:sz w:val="20"/>
              </w:rPr>
            </w:pPr>
          </w:p>
        </w:tc>
        <w:tc>
          <w:tcPr>
            <w:tcW w:w="2165" w:type="dxa"/>
          </w:tcPr>
          <w:p>
            <w:pPr>
              <w:pStyle w:val="TableParagraph"/>
              <w:rPr>
                <w:rFonts w:ascii="Times New Roman"/>
                <w:sz w:val="20"/>
              </w:rPr>
            </w:pPr>
          </w:p>
        </w:tc>
        <w:tc>
          <w:tcPr>
            <w:tcW w:w="6484" w:type="dxa"/>
          </w:tcPr>
          <w:p>
            <w:pPr>
              <w:pStyle w:val="TableParagraph"/>
              <w:spacing w:line="255" w:lineRule="exact"/>
              <w:ind w:left="110"/>
              <w:rPr>
                <w:sz w:val="21"/>
              </w:rPr>
            </w:pPr>
            <w:r>
              <w:rPr>
                <w:sz w:val="21"/>
              </w:rPr>
              <w:t>满足下列至少三项条件：</w:t>
            </w:r>
          </w:p>
        </w:tc>
      </w:tr>
      <w:tr>
        <w:trPr>
          <w:trHeight w:val="947" w:hRule="atLeast"/>
        </w:trPr>
        <w:tc>
          <w:tcPr>
            <w:tcW w:w="707" w:type="dxa"/>
          </w:tcPr>
          <w:p>
            <w:pPr>
              <w:pStyle w:val="TableParagraph"/>
              <w:rPr>
                <w:rFonts w:ascii="Times New Roman"/>
                <w:sz w:val="20"/>
              </w:rPr>
            </w:pPr>
          </w:p>
        </w:tc>
        <w:tc>
          <w:tcPr>
            <w:tcW w:w="2165" w:type="dxa"/>
          </w:tcPr>
          <w:p>
            <w:pPr>
              <w:pStyle w:val="TableParagraph"/>
              <w:rPr>
                <w:rFonts w:ascii="Times New Roman"/>
                <w:sz w:val="20"/>
              </w:rPr>
            </w:pPr>
          </w:p>
        </w:tc>
        <w:tc>
          <w:tcPr>
            <w:tcW w:w="6484" w:type="dxa"/>
          </w:tcPr>
          <w:p>
            <w:pPr>
              <w:pStyle w:val="TableParagraph"/>
              <w:spacing w:line="282" w:lineRule="exact"/>
              <w:ind w:left="110"/>
              <w:rPr>
                <w:sz w:val="21"/>
              </w:rPr>
            </w:pPr>
            <w:r>
              <w:rPr>
                <w:sz w:val="21"/>
              </w:rPr>
              <w:t>（</w:t>
            </w:r>
            <w:r>
              <w:rPr>
                <w:rFonts w:ascii="Times New Roman" w:eastAsia="Times New Roman"/>
                <w:sz w:val="21"/>
              </w:rPr>
              <w:t>1</w:t>
            </w:r>
            <w:r>
              <w:rPr>
                <w:sz w:val="21"/>
              </w:rPr>
              <w:t>）典型临床表现，例如急性胸痛等；</w:t>
            </w:r>
          </w:p>
          <w:p>
            <w:pPr>
              <w:pStyle w:val="TableParagraph"/>
              <w:spacing w:before="21"/>
              <w:ind w:left="110"/>
              <w:rPr>
                <w:sz w:val="21"/>
              </w:rPr>
            </w:pPr>
            <w:r>
              <w:rPr>
                <w:sz w:val="21"/>
              </w:rPr>
              <w:t>（</w:t>
            </w:r>
            <w:r>
              <w:rPr>
                <w:rFonts w:ascii="Times New Roman" w:eastAsia="Times New Roman"/>
                <w:sz w:val="21"/>
              </w:rPr>
              <w:t>2</w:t>
            </w:r>
            <w:r>
              <w:rPr>
                <w:sz w:val="21"/>
              </w:rPr>
              <w:t>）新近的心电图改变提示急性心肌梗塞；</w:t>
            </w:r>
          </w:p>
          <w:p>
            <w:pPr>
              <w:pStyle w:val="TableParagraph"/>
              <w:spacing w:before="21"/>
              <w:ind w:left="110"/>
              <w:rPr>
                <w:sz w:val="21"/>
              </w:rPr>
            </w:pPr>
            <w:r>
              <w:rPr>
                <w:sz w:val="21"/>
              </w:rPr>
              <w:t>（</w:t>
            </w:r>
            <w:r>
              <w:rPr>
                <w:rFonts w:ascii="Times New Roman" w:eastAsia="Times New Roman"/>
                <w:sz w:val="21"/>
              </w:rPr>
              <w:t>3</w:t>
            </w:r>
            <w:r>
              <w:rPr>
                <w:sz w:val="21"/>
              </w:rPr>
              <w:t>）心肌酶或肌钙蛋白有诊断意义的升高，或呈符合急性心肌梗</w:t>
            </w:r>
          </w:p>
        </w:tc>
      </w:tr>
      <w:tr>
        <w:trPr>
          <w:trHeight w:val="300" w:hRule="atLeast"/>
        </w:trPr>
        <w:tc>
          <w:tcPr>
            <w:tcW w:w="707" w:type="dxa"/>
          </w:tcPr>
          <w:p>
            <w:pPr>
              <w:pStyle w:val="TableParagraph"/>
              <w:rPr>
                <w:rFonts w:ascii="Times New Roman"/>
                <w:sz w:val="20"/>
              </w:rPr>
            </w:pPr>
          </w:p>
        </w:tc>
        <w:tc>
          <w:tcPr>
            <w:tcW w:w="2165" w:type="dxa"/>
          </w:tcPr>
          <w:p>
            <w:pPr>
              <w:pStyle w:val="TableParagraph"/>
              <w:rPr>
                <w:rFonts w:ascii="Times New Roman"/>
                <w:sz w:val="20"/>
              </w:rPr>
            </w:pPr>
          </w:p>
        </w:tc>
        <w:tc>
          <w:tcPr>
            <w:tcW w:w="6484" w:type="dxa"/>
          </w:tcPr>
          <w:p>
            <w:pPr>
              <w:pStyle w:val="TableParagraph"/>
              <w:spacing w:line="255" w:lineRule="exact"/>
              <w:ind w:left="110"/>
              <w:rPr>
                <w:sz w:val="21"/>
              </w:rPr>
            </w:pPr>
            <w:r>
              <w:rPr>
                <w:sz w:val="21"/>
              </w:rPr>
              <w:t>塞的动态性变化；</w:t>
            </w:r>
          </w:p>
        </w:tc>
      </w:tr>
      <w:tr>
        <w:trPr>
          <w:trHeight w:val="745" w:hRule="atLeast"/>
        </w:trPr>
        <w:tc>
          <w:tcPr>
            <w:tcW w:w="707" w:type="dxa"/>
          </w:tcPr>
          <w:p>
            <w:pPr>
              <w:pStyle w:val="TableParagraph"/>
              <w:rPr>
                <w:rFonts w:ascii="Times New Roman"/>
                <w:sz w:val="20"/>
              </w:rPr>
            </w:pPr>
          </w:p>
        </w:tc>
        <w:tc>
          <w:tcPr>
            <w:tcW w:w="2165" w:type="dxa"/>
          </w:tcPr>
          <w:p>
            <w:pPr>
              <w:pStyle w:val="TableParagraph"/>
              <w:rPr>
                <w:rFonts w:ascii="Times New Roman"/>
                <w:sz w:val="20"/>
              </w:rPr>
            </w:pPr>
          </w:p>
        </w:tc>
        <w:tc>
          <w:tcPr>
            <w:tcW w:w="6484" w:type="dxa"/>
          </w:tcPr>
          <w:p>
            <w:pPr>
              <w:pStyle w:val="TableParagraph"/>
              <w:spacing w:line="282" w:lineRule="exact"/>
              <w:ind w:left="110"/>
              <w:rPr>
                <w:sz w:val="21"/>
              </w:rPr>
            </w:pPr>
            <w:r>
              <w:rPr>
                <w:sz w:val="21"/>
              </w:rPr>
              <w:t>（</w:t>
            </w:r>
            <w:r>
              <w:rPr>
                <w:rFonts w:ascii="Times New Roman" w:eastAsia="Times New Roman"/>
                <w:sz w:val="21"/>
              </w:rPr>
              <w:t>4</w:t>
            </w:r>
            <w:r>
              <w:rPr>
                <w:sz w:val="21"/>
              </w:rPr>
              <w:t>）发病</w:t>
            </w:r>
            <w:r>
              <w:rPr>
                <w:rFonts w:ascii="Times New Roman" w:eastAsia="Times New Roman"/>
                <w:sz w:val="21"/>
              </w:rPr>
              <w:t>90</w:t>
            </w:r>
            <w:r>
              <w:rPr>
                <w:sz w:val="21"/>
              </w:rPr>
              <w:t>天后，经检查证实左心室功能降低，如左心室射血分</w:t>
            </w:r>
          </w:p>
          <w:p>
            <w:pPr>
              <w:pStyle w:val="TableParagraph"/>
              <w:spacing w:before="21"/>
              <w:ind w:left="110"/>
              <w:rPr>
                <w:sz w:val="21"/>
              </w:rPr>
            </w:pPr>
            <w:r>
              <w:rPr>
                <w:sz w:val="21"/>
              </w:rPr>
              <w:t>数低于</w:t>
            </w:r>
            <w:r>
              <w:rPr>
                <w:rFonts w:ascii="Times New Roman" w:eastAsia="Times New Roman"/>
                <w:sz w:val="21"/>
              </w:rPr>
              <w:t>50%</w:t>
            </w:r>
            <w:r>
              <w:rPr>
                <w:sz w:val="21"/>
              </w:rPr>
              <w:t>。</w:t>
            </w:r>
          </w:p>
        </w:tc>
      </w:tr>
      <w:tr>
        <w:trPr>
          <w:trHeight w:val="434" w:hRule="atLeast"/>
        </w:trPr>
        <w:tc>
          <w:tcPr>
            <w:tcW w:w="707" w:type="dxa"/>
          </w:tcPr>
          <w:p>
            <w:pPr>
              <w:pStyle w:val="TableParagraph"/>
              <w:spacing w:before="147"/>
              <w:ind w:left="50"/>
              <w:rPr>
                <w:rFonts w:ascii="Times New Roman"/>
                <w:sz w:val="21"/>
              </w:rPr>
            </w:pPr>
            <w:r>
              <w:rPr>
                <w:rFonts w:ascii="Times New Roman"/>
                <w:sz w:val="21"/>
              </w:rPr>
              <w:t>6.3</w:t>
            </w:r>
          </w:p>
        </w:tc>
        <w:tc>
          <w:tcPr>
            <w:tcW w:w="2165" w:type="dxa"/>
          </w:tcPr>
          <w:p>
            <w:pPr>
              <w:pStyle w:val="TableParagraph"/>
              <w:spacing w:before="103"/>
              <w:ind w:left="395"/>
              <w:rPr>
                <w:b/>
                <w:sz w:val="21"/>
              </w:rPr>
            </w:pPr>
            <w:r>
              <w:rPr>
                <w:b/>
                <w:w w:val="95"/>
                <w:sz w:val="21"/>
              </w:rPr>
              <w:t>脑中风后遗症</w:t>
            </w:r>
          </w:p>
        </w:tc>
        <w:tc>
          <w:tcPr>
            <w:tcW w:w="6484" w:type="dxa"/>
          </w:tcPr>
          <w:p>
            <w:pPr>
              <w:pStyle w:val="TableParagraph"/>
              <w:spacing w:before="103"/>
              <w:ind w:left="110"/>
              <w:rPr>
                <w:sz w:val="21"/>
              </w:rPr>
            </w:pPr>
            <w:r>
              <w:rPr>
                <w:sz w:val="21"/>
              </w:rPr>
              <w:t>指因脑血管的突发病变引起脑血管出血、栓塞或梗塞，并导致神经</w:t>
            </w:r>
          </w:p>
        </w:tc>
      </w:tr>
      <w:tr>
        <w:trPr>
          <w:trHeight w:val="300" w:hRule="atLeast"/>
        </w:trPr>
        <w:tc>
          <w:tcPr>
            <w:tcW w:w="707" w:type="dxa"/>
          </w:tcPr>
          <w:p>
            <w:pPr>
              <w:pStyle w:val="TableParagraph"/>
              <w:rPr>
                <w:rFonts w:ascii="Times New Roman"/>
                <w:sz w:val="20"/>
              </w:rPr>
            </w:pPr>
          </w:p>
        </w:tc>
        <w:tc>
          <w:tcPr>
            <w:tcW w:w="2165" w:type="dxa"/>
          </w:tcPr>
          <w:p>
            <w:pPr>
              <w:pStyle w:val="TableParagraph"/>
              <w:rPr>
                <w:rFonts w:ascii="Times New Roman"/>
                <w:sz w:val="20"/>
              </w:rPr>
            </w:pPr>
          </w:p>
        </w:tc>
        <w:tc>
          <w:tcPr>
            <w:tcW w:w="6484" w:type="dxa"/>
          </w:tcPr>
          <w:p>
            <w:pPr>
              <w:pStyle w:val="TableParagraph"/>
              <w:spacing w:line="256" w:lineRule="exact"/>
              <w:ind w:left="110"/>
              <w:rPr>
                <w:sz w:val="21"/>
              </w:rPr>
            </w:pPr>
            <w:r>
              <w:rPr>
                <w:sz w:val="21"/>
              </w:rPr>
              <w:t>系统永久性的功能障碍。神经系统永久性的功能障碍，指疾病确诊</w:t>
            </w:r>
          </w:p>
        </w:tc>
      </w:tr>
      <w:tr>
        <w:trPr>
          <w:trHeight w:val="1259" w:hRule="atLeast"/>
        </w:trPr>
        <w:tc>
          <w:tcPr>
            <w:tcW w:w="707" w:type="dxa"/>
          </w:tcPr>
          <w:p>
            <w:pPr>
              <w:pStyle w:val="TableParagraph"/>
              <w:rPr>
                <w:rFonts w:ascii="Times New Roman"/>
                <w:sz w:val="20"/>
              </w:rPr>
            </w:pPr>
          </w:p>
        </w:tc>
        <w:tc>
          <w:tcPr>
            <w:tcW w:w="2165" w:type="dxa"/>
          </w:tcPr>
          <w:p>
            <w:pPr>
              <w:pStyle w:val="TableParagraph"/>
              <w:rPr>
                <w:rFonts w:ascii="Times New Roman"/>
                <w:sz w:val="20"/>
              </w:rPr>
            </w:pPr>
          </w:p>
        </w:tc>
        <w:tc>
          <w:tcPr>
            <w:tcW w:w="6484" w:type="dxa"/>
          </w:tcPr>
          <w:p>
            <w:pPr>
              <w:pStyle w:val="TableParagraph"/>
              <w:spacing w:line="273" w:lineRule="exact"/>
              <w:ind w:left="110"/>
              <w:rPr>
                <w:sz w:val="21"/>
              </w:rPr>
            </w:pPr>
            <w:r>
              <w:rPr>
                <w:rFonts w:ascii="Times New Roman" w:eastAsia="Times New Roman"/>
                <w:position w:val="1"/>
                <w:sz w:val="21"/>
              </w:rPr>
              <w:t>180 </w:t>
            </w:r>
            <w:r>
              <w:rPr>
                <w:sz w:val="21"/>
              </w:rPr>
              <w:t>天后，仍遗留下列一种或一种以上障碍：</w:t>
            </w:r>
          </w:p>
          <w:p>
            <w:pPr>
              <w:pStyle w:val="TableParagraph"/>
              <w:spacing w:before="31"/>
              <w:ind w:left="110"/>
              <w:rPr>
                <w:sz w:val="21"/>
              </w:rPr>
            </w:pPr>
            <w:r>
              <w:rPr>
                <w:w w:val="95"/>
                <w:sz w:val="21"/>
              </w:rPr>
              <w:t>（</w:t>
            </w:r>
            <w:r>
              <w:rPr>
                <w:rFonts w:ascii="Times New Roman" w:eastAsia="Times New Roman"/>
                <w:w w:val="95"/>
                <w:position w:val="1"/>
                <w:sz w:val="21"/>
              </w:rPr>
              <w:t>1</w:t>
            </w:r>
            <w:r>
              <w:rPr>
                <w:w w:val="95"/>
                <w:sz w:val="21"/>
              </w:rPr>
              <w:t>）一肢或一肢以上</w:t>
            </w:r>
            <w:r>
              <w:rPr>
                <w:b/>
                <w:w w:val="95"/>
                <w:sz w:val="21"/>
              </w:rPr>
              <w:t>肢体机能完全丧失</w:t>
            </w:r>
            <w:r>
              <w:rPr>
                <w:w w:val="95"/>
                <w:sz w:val="21"/>
              </w:rPr>
              <w:t>；</w:t>
            </w:r>
          </w:p>
          <w:p>
            <w:pPr>
              <w:pStyle w:val="TableParagraph"/>
              <w:spacing w:before="31"/>
              <w:ind w:left="110"/>
              <w:rPr>
                <w:sz w:val="21"/>
              </w:rPr>
            </w:pPr>
            <w:r>
              <w:rPr>
                <w:w w:val="95"/>
                <w:sz w:val="21"/>
              </w:rPr>
              <w:t>（</w:t>
            </w:r>
            <w:r>
              <w:rPr>
                <w:rFonts w:ascii="Times New Roman" w:eastAsia="Times New Roman"/>
                <w:w w:val="95"/>
                <w:position w:val="1"/>
                <w:sz w:val="21"/>
              </w:rPr>
              <w:t>2</w:t>
            </w:r>
            <w:r>
              <w:rPr>
                <w:w w:val="95"/>
                <w:sz w:val="21"/>
              </w:rPr>
              <w:t>）</w:t>
            </w:r>
            <w:r>
              <w:rPr>
                <w:b/>
                <w:w w:val="95"/>
                <w:sz w:val="21"/>
              </w:rPr>
              <w:t>语言能力或咀嚼吞咽能力完全丧失</w:t>
            </w:r>
            <w:r>
              <w:rPr>
                <w:w w:val="95"/>
                <w:sz w:val="21"/>
              </w:rPr>
              <w:t>；</w:t>
            </w:r>
          </w:p>
          <w:p>
            <w:pPr>
              <w:pStyle w:val="TableParagraph"/>
              <w:spacing w:before="31"/>
              <w:ind w:left="110"/>
              <w:rPr>
                <w:b/>
                <w:sz w:val="21"/>
              </w:rPr>
            </w:pPr>
            <w:r>
              <w:rPr>
                <w:sz w:val="21"/>
              </w:rPr>
              <w:t>（</w:t>
            </w:r>
            <w:r>
              <w:rPr>
                <w:rFonts w:ascii="Times New Roman" w:eastAsia="Times New Roman"/>
                <w:position w:val="1"/>
                <w:sz w:val="21"/>
              </w:rPr>
              <w:t>3</w:t>
            </w:r>
            <w:r>
              <w:rPr>
                <w:sz w:val="21"/>
              </w:rPr>
              <w:t>）自主生活能力完全丧失，无法独立完成</w:t>
            </w:r>
            <w:r>
              <w:rPr>
                <w:b/>
                <w:sz w:val="21"/>
              </w:rPr>
              <w:t>六项基本日常生活活</w:t>
            </w:r>
          </w:p>
        </w:tc>
      </w:tr>
      <w:tr>
        <w:trPr>
          <w:trHeight w:val="417" w:hRule="atLeast"/>
        </w:trPr>
        <w:tc>
          <w:tcPr>
            <w:tcW w:w="707" w:type="dxa"/>
          </w:tcPr>
          <w:p>
            <w:pPr>
              <w:pStyle w:val="TableParagraph"/>
              <w:rPr>
                <w:rFonts w:ascii="Times New Roman"/>
                <w:sz w:val="20"/>
              </w:rPr>
            </w:pPr>
          </w:p>
        </w:tc>
        <w:tc>
          <w:tcPr>
            <w:tcW w:w="2165" w:type="dxa"/>
          </w:tcPr>
          <w:p>
            <w:pPr>
              <w:pStyle w:val="TableParagraph"/>
              <w:rPr>
                <w:rFonts w:ascii="Times New Roman"/>
                <w:sz w:val="20"/>
              </w:rPr>
            </w:pPr>
          </w:p>
        </w:tc>
        <w:tc>
          <w:tcPr>
            <w:tcW w:w="6484" w:type="dxa"/>
          </w:tcPr>
          <w:p>
            <w:pPr>
              <w:pStyle w:val="TableParagraph"/>
              <w:spacing w:line="256" w:lineRule="exact"/>
              <w:ind w:left="110"/>
              <w:rPr>
                <w:sz w:val="21"/>
              </w:rPr>
            </w:pPr>
            <w:r>
              <w:rPr>
                <w:b/>
                <w:w w:val="95"/>
                <w:sz w:val="21"/>
              </w:rPr>
              <w:t>动</w:t>
            </w:r>
            <w:r>
              <w:rPr>
                <w:w w:val="95"/>
                <w:sz w:val="21"/>
              </w:rPr>
              <w:t>中的三项或三项以上。</w:t>
            </w:r>
          </w:p>
        </w:tc>
      </w:tr>
      <w:tr>
        <w:trPr>
          <w:trHeight w:val="439" w:hRule="atLeast"/>
        </w:trPr>
        <w:tc>
          <w:tcPr>
            <w:tcW w:w="707" w:type="dxa"/>
          </w:tcPr>
          <w:p>
            <w:pPr>
              <w:pStyle w:val="TableParagraph"/>
              <w:spacing w:before="152"/>
              <w:ind w:left="50"/>
              <w:rPr>
                <w:rFonts w:ascii="Times New Roman"/>
                <w:sz w:val="21"/>
              </w:rPr>
            </w:pPr>
            <w:r>
              <w:rPr>
                <w:rFonts w:ascii="Times New Roman"/>
                <w:sz w:val="21"/>
              </w:rPr>
              <w:t>6.4</w:t>
            </w:r>
          </w:p>
        </w:tc>
        <w:tc>
          <w:tcPr>
            <w:tcW w:w="2165" w:type="dxa"/>
          </w:tcPr>
          <w:p>
            <w:pPr>
              <w:pStyle w:val="TableParagraph"/>
              <w:spacing w:before="107"/>
              <w:ind w:left="395"/>
              <w:rPr>
                <w:b/>
                <w:sz w:val="21"/>
              </w:rPr>
            </w:pPr>
            <w:r>
              <w:rPr>
                <w:b/>
                <w:sz w:val="21"/>
              </w:rPr>
              <w:t>重大器官移植术</w:t>
            </w:r>
          </w:p>
        </w:tc>
        <w:tc>
          <w:tcPr>
            <w:tcW w:w="6484" w:type="dxa"/>
          </w:tcPr>
          <w:p>
            <w:pPr>
              <w:pStyle w:val="TableParagraph"/>
              <w:spacing w:before="107"/>
              <w:ind w:left="110"/>
              <w:rPr>
                <w:sz w:val="21"/>
              </w:rPr>
            </w:pPr>
            <w:r>
              <w:rPr>
                <w:sz w:val="21"/>
              </w:rPr>
              <w:t>重大器官移植术，指因相应器官功能衰竭，已经实施了肾脏、肝脏、</w:t>
            </w:r>
          </w:p>
        </w:tc>
      </w:tr>
      <w:tr>
        <w:trPr>
          <w:trHeight w:val="306" w:hRule="atLeast"/>
        </w:trPr>
        <w:tc>
          <w:tcPr>
            <w:tcW w:w="707" w:type="dxa"/>
          </w:tcPr>
          <w:p>
            <w:pPr>
              <w:pStyle w:val="TableParagraph"/>
              <w:rPr>
                <w:rFonts w:ascii="Times New Roman"/>
                <w:sz w:val="20"/>
              </w:rPr>
            </w:pPr>
          </w:p>
        </w:tc>
        <w:tc>
          <w:tcPr>
            <w:tcW w:w="2165" w:type="dxa"/>
          </w:tcPr>
          <w:p>
            <w:pPr>
              <w:pStyle w:val="TableParagraph"/>
              <w:spacing w:line="255" w:lineRule="exact"/>
              <w:ind w:left="395"/>
              <w:rPr>
                <w:b/>
                <w:sz w:val="21"/>
              </w:rPr>
            </w:pPr>
            <w:r>
              <w:rPr>
                <w:b/>
                <w:sz w:val="21"/>
              </w:rPr>
              <w:t>或造血干细胞移</w:t>
            </w:r>
          </w:p>
        </w:tc>
        <w:tc>
          <w:tcPr>
            <w:tcW w:w="6484" w:type="dxa"/>
          </w:tcPr>
          <w:p>
            <w:pPr>
              <w:pStyle w:val="TableParagraph"/>
              <w:spacing w:line="255" w:lineRule="exact"/>
              <w:ind w:left="110"/>
              <w:rPr>
                <w:sz w:val="21"/>
              </w:rPr>
            </w:pPr>
            <w:r>
              <w:rPr>
                <w:sz w:val="21"/>
              </w:rPr>
              <w:t>心脏或肺脏的异体移植手术。</w:t>
            </w:r>
          </w:p>
        </w:tc>
      </w:tr>
      <w:tr>
        <w:trPr>
          <w:trHeight w:val="312" w:hRule="atLeast"/>
        </w:trPr>
        <w:tc>
          <w:tcPr>
            <w:tcW w:w="707" w:type="dxa"/>
          </w:tcPr>
          <w:p>
            <w:pPr>
              <w:pStyle w:val="TableParagraph"/>
              <w:rPr>
                <w:rFonts w:ascii="Times New Roman"/>
                <w:sz w:val="20"/>
              </w:rPr>
            </w:pPr>
          </w:p>
        </w:tc>
        <w:tc>
          <w:tcPr>
            <w:tcW w:w="2165" w:type="dxa"/>
          </w:tcPr>
          <w:p>
            <w:pPr>
              <w:pStyle w:val="TableParagraph"/>
              <w:spacing w:line="261" w:lineRule="exact"/>
              <w:ind w:left="395"/>
              <w:rPr>
                <w:b/>
                <w:sz w:val="21"/>
              </w:rPr>
            </w:pPr>
            <w:r>
              <w:rPr>
                <w:b/>
                <w:w w:val="95"/>
                <w:sz w:val="21"/>
              </w:rPr>
              <w:t>植术</w:t>
            </w:r>
          </w:p>
        </w:tc>
        <w:tc>
          <w:tcPr>
            <w:tcW w:w="6484" w:type="dxa"/>
          </w:tcPr>
          <w:p>
            <w:pPr>
              <w:pStyle w:val="TableParagraph"/>
              <w:spacing w:line="261" w:lineRule="exact"/>
              <w:ind w:left="110"/>
              <w:rPr>
                <w:sz w:val="21"/>
              </w:rPr>
            </w:pPr>
            <w:r>
              <w:rPr>
                <w:sz w:val="21"/>
              </w:rPr>
              <w:t>造血干细胞移植术，指因造血功能损害或造血系统恶性肿瘤，已经</w:t>
            </w:r>
          </w:p>
        </w:tc>
      </w:tr>
      <w:tr>
        <w:trPr>
          <w:trHeight w:val="312" w:hRule="atLeast"/>
        </w:trPr>
        <w:tc>
          <w:tcPr>
            <w:tcW w:w="707" w:type="dxa"/>
          </w:tcPr>
          <w:p>
            <w:pPr>
              <w:pStyle w:val="TableParagraph"/>
              <w:rPr>
                <w:rFonts w:ascii="Times New Roman"/>
                <w:sz w:val="20"/>
              </w:rPr>
            </w:pPr>
          </w:p>
        </w:tc>
        <w:tc>
          <w:tcPr>
            <w:tcW w:w="2165" w:type="dxa"/>
          </w:tcPr>
          <w:p>
            <w:pPr>
              <w:pStyle w:val="TableParagraph"/>
              <w:rPr>
                <w:rFonts w:ascii="Times New Roman"/>
                <w:sz w:val="20"/>
              </w:rPr>
            </w:pPr>
          </w:p>
        </w:tc>
        <w:tc>
          <w:tcPr>
            <w:tcW w:w="6484" w:type="dxa"/>
          </w:tcPr>
          <w:p>
            <w:pPr>
              <w:pStyle w:val="TableParagraph"/>
              <w:spacing w:line="261" w:lineRule="exact"/>
              <w:ind w:left="110"/>
              <w:rPr>
                <w:sz w:val="21"/>
              </w:rPr>
            </w:pPr>
            <w:r>
              <w:rPr>
                <w:sz w:val="21"/>
              </w:rPr>
              <w:t>实施了造血干细胞（包括骨髓造血干细胞、外周血造血干细胞和脐</w:t>
            </w:r>
          </w:p>
        </w:tc>
      </w:tr>
      <w:tr>
        <w:trPr>
          <w:trHeight w:val="422" w:hRule="atLeast"/>
        </w:trPr>
        <w:tc>
          <w:tcPr>
            <w:tcW w:w="707" w:type="dxa"/>
          </w:tcPr>
          <w:p>
            <w:pPr>
              <w:pStyle w:val="TableParagraph"/>
              <w:rPr>
                <w:rFonts w:ascii="Times New Roman"/>
                <w:sz w:val="20"/>
              </w:rPr>
            </w:pPr>
          </w:p>
        </w:tc>
        <w:tc>
          <w:tcPr>
            <w:tcW w:w="2165" w:type="dxa"/>
          </w:tcPr>
          <w:p>
            <w:pPr>
              <w:pStyle w:val="TableParagraph"/>
              <w:rPr>
                <w:rFonts w:ascii="Times New Roman"/>
                <w:sz w:val="20"/>
              </w:rPr>
            </w:pPr>
          </w:p>
        </w:tc>
        <w:tc>
          <w:tcPr>
            <w:tcW w:w="6484" w:type="dxa"/>
          </w:tcPr>
          <w:p>
            <w:pPr>
              <w:pStyle w:val="TableParagraph"/>
              <w:spacing w:line="261" w:lineRule="exact"/>
              <w:ind w:left="110"/>
              <w:rPr>
                <w:sz w:val="21"/>
              </w:rPr>
            </w:pPr>
            <w:r>
              <w:rPr>
                <w:sz w:val="21"/>
              </w:rPr>
              <w:t>血造血干细胞）的异体移植手术。</w:t>
            </w:r>
          </w:p>
        </w:tc>
      </w:tr>
      <w:tr>
        <w:trPr>
          <w:trHeight w:val="440" w:hRule="atLeast"/>
        </w:trPr>
        <w:tc>
          <w:tcPr>
            <w:tcW w:w="707" w:type="dxa"/>
          </w:tcPr>
          <w:p>
            <w:pPr>
              <w:pStyle w:val="TableParagraph"/>
              <w:spacing w:before="152"/>
              <w:ind w:left="50"/>
              <w:rPr>
                <w:rFonts w:ascii="Times New Roman"/>
                <w:sz w:val="21"/>
              </w:rPr>
            </w:pPr>
            <w:r>
              <w:rPr>
                <w:rFonts w:ascii="Times New Roman"/>
                <w:sz w:val="21"/>
              </w:rPr>
              <w:t>6.5</w:t>
            </w:r>
          </w:p>
        </w:tc>
        <w:tc>
          <w:tcPr>
            <w:tcW w:w="2165" w:type="dxa"/>
          </w:tcPr>
          <w:p>
            <w:pPr>
              <w:pStyle w:val="TableParagraph"/>
              <w:spacing w:before="109"/>
              <w:ind w:left="395"/>
              <w:rPr>
                <w:b/>
                <w:sz w:val="21"/>
              </w:rPr>
            </w:pPr>
            <w:r>
              <w:rPr>
                <w:b/>
                <w:sz w:val="21"/>
              </w:rPr>
              <w:t>冠状动脉搭桥术</w:t>
            </w:r>
          </w:p>
        </w:tc>
        <w:tc>
          <w:tcPr>
            <w:tcW w:w="6484" w:type="dxa"/>
          </w:tcPr>
          <w:p>
            <w:pPr>
              <w:pStyle w:val="TableParagraph"/>
              <w:spacing w:before="109"/>
              <w:ind w:left="110"/>
              <w:rPr>
                <w:sz w:val="21"/>
              </w:rPr>
            </w:pPr>
            <w:r>
              <w:rPr>
                <w:sz w:val="21"/>
              </w:rPr>
              <w:t>指为治疗严重的冠心病，实际实施了开胸进行的冠状动脉血管旁路</w:t>
            </w:r>
          </w:p>
        </w:tc>
      </w:tr>
      <w:tr>
        <w:trPr>
          <w:trHeight w:val="307" w:hRule="atLeast"/>
        </w:trPr>
        <w:tc>
          <w:tcPr>
            <w:tcW w:w="707" w:type="dxa"/>
          </w:tcPr>
          <w:p>
            <w:pPr>
              <w:pStyle w:val="TableParagraph"/>
              <w:rPr>
                <w:rFonts w:ascii="Times New Roman"/>
                <w:sz w:val="20"/>
              </w:rPr>
            </w:pPr>
          </w:p>
        </w:tc>
        <w:tc>
          <w:tcPr>
            <w:tcW w:w="2165" w:type="dxa"/>
          </w:tcPr>
          <w:p>
            <w:pPr>
              <w:pStyle w:val="TableParagraph"/>
              <w:spacing w:line="256" w:lineRule="exact"/>
              <w:ind w:left="395"/>
              <w:rPr>
                <w:b/>
                <w:sz w:val="21"/>
              </w:rPr>
            </w:pPr>
            <w:r>
              <w:rPr>
                <w:b/>
                <w:sz w:val="21"/>
              </w:rPr>
              <w:t>（ 或称冠状动脉</w:t>
            </w:r>
          </w:p>
        </w:tc>
        <w:tc>
          <w:tcPr>
            <w:tcW w:w="6484" w:type="dxa"/>
          </w:tcPr>
          <w:p>
            <w:pPr>
              <w:pStyle w:val="TableParagraph"/>
              <w:spacing w:line="256" w:lineRule="exact"/>
              <w:ind w:left="110"/>
              <w:rPr>
                <w:sz w:val="21"/>
              </w:rPr>
            </w:pPr>
            <w:r>
              <w:rPr>
                <w:sz w:val="21"/>
              </w:rPr>
              <w:t>移植的手术。</w:t>
            </w:r>
          </w:p>
        </w:tc>
      </w:tr>
      <w:tr>
        <w:trPr>
          <w:trHeight w:val="311" w:hRule="atLeast"/>
        </w:trPr>
        <w:tc>
          <w:tcPr>
            <w:tcW w:w="707" w:type="dxa"/>
          </w:tcPr>
          <w:p>
            <w:pPr>
              <w:pStyle w:val="TableParagraph"/>
              <w:rPr>
                <w:rFonts w:ascii="Times New Roman"/>
                <w:sz w:val="20"/>
              </w:rPr>
            </w:pPr>
          </w:p>
        </w:tc>
        <w:tc>
          <w:tcPr>
            <w:tcW w:w="2165" w:type="dxa"/>
          </w:tcPr>
          <w:p>
            <w:pPr>
              <w:pStyle w:val="TableParagraph"/>
              <w:spacing w:line="261" w:lineRule="exact"/>
              <w:ind w:left="395"/>
              <w:rPr>
                <w:b/>
                <w:sz w:val="21"/>
              </w:rPr>
            </w:pPr>
            <w:r>
              <w:rPr>
                <w:b/>
                <w:w w:val="95"/>
                <w:sz w:val="21"/>
              </w:rPr>
              <w:t>旁路移植术）</w:t>
            </w:r>
          </w:p>
        </w:tc>
        <w:tc>
          <w:tcPr>
            <w:tcW w:w="6484" w:type="dxa"/>
          </w:tcPr>
          <w:p>
            <w:pPr>
              <w:pStyle w:val="TableParagraph"/>
              <w:spacing w:line="261" w:lineRule="exact"/>
              <w:ind w:left="110"/>
              <w:rPr>
                <w:sz w:val="21"/>
              </w:rPr>
            </w:pPr>
            <w:r>
              <w:rPr>
                <w:sz w:val="21"/>
              </w:rPr>
              <w:t>冠状动脉支架植入术、心导管球囊扩张术、激光射频技术及其它非开</w:t>
            </w:r>
          </w:p>
        </w:tc>
      </w:tr>
      <w:tr>
        <w:trPr>
          <w:trHeight w:val="422" w:hRule="atLeast"/>
        </w:trPr>
        <w:tc>
          <w:tcPr>
            <w:tcW w:w="707" w:type="dxa"/>
          </w:tcPr>
          <w:p>
            <w:pPr>
              <w:pStyle w:val="TableParagraph"/>
              <w:rPr>
                <w:rFonts w:ascii="Times New Roman"/>
                <w:sz w:val="20"/>
              </w:rPr>
            </w:pPr>
          </w:p>
        </w:tc>
        <w:tc>
          <w:tcPr>
            <w:tcW w:w="2165" w:type="dxa"/>
          </w:tcPr>
          <w:p>
            <w:pPr>
              <w:pStyle w:val="TableParagraph"/>
              <w:rPr>
                <w:rFonts w:ascii="Times New Roman"/>
                <w:sz w:val="20"/>
              </w:rPr>
            </w:pPr>
          </w:p>
        </w:tc>
        <w:tc>
          <w:tcPr>
            <w:tcW w:w="6484" w:type="dxa"/>
          </w:tcPr>
          <w:p>
            <w:pPr>
              <w:pStyle w:val="TableParagraph"/>
              <w:spacing w:line="261" w:lineRule="exact"/>
              <w:ind w:left="110"/>
              <w:rPr>
                <w:sz w:val="21"/>
              </w:rPr>
            </w:pPr>
            <w:r>
              <w:rPr>
                <w:sz w:val="21"/>
              </w:rPr>
              <w:t>胸的介入手术、腔镜手术不在保障范围内。</w:t>
            </w:r>
          </w:p>
        </w:tc>
      </w:tr>
      <w:tr>
        <w:trPr>
          <w:trHeight w:val="751" w:hRule="atLeast"/>
        </w:trPr>
        <w:tc>
          <w:tcPr>
            <w:tcW w:w="707" w:type="dxa"/>
          </w:tcPr>
          <w:p>
            <w:pPr>
              <w:pStyle w:val="TableParagraph"/>
              <w:spacing w:before="152"/>
              <w:ind w:left="50"/>
              <w:rPr>
                <w:rFonts w:ascii="Times New Roman"/>
                <w:sz w:val="21"/>
              </w:rPr>
            </w:pPr>
            <w:r>
              <w:rPr>
                <w:rFonts w:ascii="Times New Roman"/>
                <w:sz w:val="21"/>
              </w:rPr>
              <w:t>6.6</w:t>
            </w:r>
          </w:p>
        </w:tc>
        <w:tc>
          <w:tcPr>
            <w:tcW w:w="2165" w:type="dxa"/>
          </w:tcPr>
          <w:p>
            <w:pPr>
              <w:pStyle w:val="TableParagraph"/>
              <w:spacing w:line="273" w:lineRule="auto" w:before="107"/>
              <w:ind w:left="395" w:right="106"/>
              <w:rPr>
                <w:b/>
                <w:sz w:val="21"/>
              </w:rPr>
            </w:pPr>
            <w:r>
              <w:rPr>
                <w:b/>
                <w:spacing w:val="30"/>
                <w:sz w:val="21"/>
              </w:rPr>
              <w:t>终末期肾病</w:t>
            </w:r>
            <w:r>
              <w:rPr>
                <w:b/>
                <w:sz w:val="21"/>
              </w:rPr>
              <w:t>（</w:t>
            </w:r>
            <w:r>
              <w:rPr>
                <w:b/>
                <w:spacing w:val="-38"/>
                <w:sz w:val="21"/>
              </w:rPr>
              <w:t> 或</w:t>
            </w:r>
            <w:r>
              <w:rPr>
                <w:b/>
                <w:spacing w:val="25"/>
                <w:sz w:val="21"/>
              </w:rPr>
              <w:t>称慢性肾功能衰</w:t>
            </w:r>
          </w:p>
        </w:tc>
        <w:tc>
          <w:tcPr>
            <w:tcW w:w="6484" w:type="dxa"/>
          </w:tcPr>
          <w:p>
            <w:pPr>
              <w:pStyle w:val="TableParagraph"/>
              <w:spacing w:line="320" w:lineRule="atLeast" w:before="62"/>
              <w:ind w:left="110" w:right="283"/>
              <w:rPr>
                <w:sz w:val="21"/>
              </w:rPr>
            </w:pPr>
            <w:r>
              <w:rPr>
                <w:sz w:val="21"/>
              </w:rPr>
              <w:t>指双肾功能慢性不可逆性衰竭，达到尿毒症期，经诊断后已经进行了至少 </w:t>
            </w:r>
            <w:r>
              <w:rPr>
                <w:rFonts w:ascii="Times New Roman" w:eastAsia="Times New Roman"/>
                <w:sz w:val="21"/>
              </w:rPr>
              <w:t>90 </w:t>
            </w:r>
            <w:r>
              <w:rPr>
                <w:sz w:val="21"/>
              </w:rPr>
              <w:t>天的规律性透析治疗或实施了肾脏移植手术。</w:t>
            </w:r>
          </w:p>
        </w:tc>
      </w:tr>
      <w:tr>
        <w:trPr>
          <w:trHeight w:val="456" w:hRule="atLeast"/>
        </w:trPr>
        <w:tc>
          <w:tcPr>
            <w:tcW w:w="707" w:type="dxa"/>
          </w:tcPr>
          <w:p>
            <w:pPr>
              <w:pStyle w:val="TableParagraph"/>
              <w:rPr>
                <w:rFonts w:ascii="Times New Roman"/>
                <w:sz w:val="20"/>
              </w:rPr>
            </w:pPr>
          </w:p>
        </w:tc>
        <w:tc>
          <w:tcPr>
            <w:tcW w:w="2165" w:type="dxa"/>
          </w:tcPr>
          <w:p>
            <w:pPr>
              <w:pStyle w:val="TableParagraph"/>
              <w:spacing w:line="255" w:lineRule="exact"/>
              <w:ind w:left="395"/>
              <w:rPr>
                <w:b/>
                <w:sz w:val="21"/>
              </w:rPr>
            </w:pPr>
            <w:r>
              <w:rPr>
                <w:b/>
                <w:w w:val="95"/>
                <w:sz w:val="21"/>
              </w:rPr>
              <w:t>竭尿毒症期）</w:t>
            </w:r>
          </w:p>
        </w:tc>
        <w:tc>
          <w:tcPr>
            <w:tcW w:w="6484" w:type="dxa"/>
          </w:tcPr>
          <w:p>
            <w:pPr>
              <w:pStyle w:val="TableParagraph"/>
              <w:rPr>
                <w:rFonts w:ascii="Times New Roman"/>
                <w:sz w:val="20"/>
              </w:rPr>
            </w:pPr>
          </w:p>
        </w:tc>
      </w:tr>
      <w:tr>
        <w:trPr>
          <w:trHeight w:val="479" w:hRule="atLeast"/>
        </w:trPr>
        <w:tc>
          <w:tcPr>
            <w:tcW w:w="707" w:type="dxa"/>
          </w:tcPr>
          <w:p>
            <w:pPr>
              <w:pStyle w:val="TableParagraph"/>
              <w:spacing w:before="192"/>
              <w:ind w:left="50"/>
              <w:rPr>
                <w:rFonts w:ascii="Times New Roman"/>
                <w:sz w:val="21"/>
              </w:rPr>
            </w:pPr>
            <w:r>
              <w:rPr>
                <w:rFonts w:ascii="Times New Roman"/>
                <w:sz w:val="21"/>
              </w:rPr>
              <w:t>6.7</w:t>
            </w:r>
          </w:p>
        </w:tc>
        <w:tc>
          <w:tcPr>
            <w:tcW w:w="2165" w:type="dxa"/>
          </w:tcPr>
          <w:p>
            <w:pPr>
              <w:pStyle w:val="TableParagraph"/>
              <w:spacing w:before="147"/>
              <w:ind w:left="395"/>
              <w:rPr>
                <w:b/>
                <w:sz w:val="21"/>
              </w:rPr>
            </w:pPr>
            <w:r>
              <w:rPr>
                <w:b/>
                <w:w w:val="95"/>
                <w:sz w:val="21"/>
              </w:rPr>
              <w:t>多个肢体缺失</w:t>
            </w:r>
          </w:p>
        </w:tc>
        <w:tc>
          <w:tcPr>
            <w:tcW w:w="6484" w:type="dxa"/>
          </w:tcPr>
          <w:p>
            <w:pPr>
              <w:pStyle w:val="TableParagraph"/>
              <w:spacing w:before="147"/>
              <w:ind w:left="110"/>
              <w:rPr>
                <w:sz w:val="21"/>
              </w:rPr>
            </w:pPr>
            <w:r>
              <w:rPr>
                <w:sz w:val="21"/>
              </w:rPr>
              <w:t>指因疾病或意外伤害导致两个或两个以上肢体自腕关节或踝关节近</w:t>
            </w:r>
          </w:p>
        </w:tc>
      </w:tr>
      <w:tr>
        <w:trPr>
          <w:trHeight w:val="456" w:hRule="atLeast"/>
        </w:trPr>
        <w:tc>
          <w:tcPr>
            <w:tcW w:w="707" w:type="dxa"/>
          </w:tcPr>
          <w:p>
            <w:pPr>
              <w:pStyle w:val="TableParagraph"/>
              <w:rPr>
                <w:rFonts w:ascii="Times New Roman"/>
                <w:sz w:val="20"/>
              </w:rPr>
            </w:pPr>
          </w:p>
        </w:tc>
        <w:tc>
          <w:tcPr>
            <w:tcW w:w="2165" w:type="dxa"/>
          </w:tcPr>
          <w:p>
            <w:pPr>
              <w:pStyle w:val="TableParagraph"/>
              <w:rPr>
                <w:rFonts w:ascii="Times New Roman"/>
                <w:sz w:val="20"/>
              </w:rPr>
            </w:pPr>
          </w:p>
        </w:tc>
        <w:tc>
          <w:tcPr>
            <w:tcW w:w="6484" w:type="dxa"/>
          </w:tcPr>
          <w:p>
            <w:pPr>
              <w:pStyle w:val="TableParagraph"/>
              <w:spacing w:line="255" w:lineRule="exact"/>
              <w:ind w:left="110"/>
              <w:rPr>
                <w:sz w:val="21"/>
              </w:rPr>
            </w:pPr>
            <w:r>
              <w:rPr>
                <w:sz w:val="21"/>
              </w:rPr>
              <w:t>端（靠近躯干端）以上完全性断离。</w:t>
            </w:r>
          </w:p>
        </w:tc>
      </w:tr>
      <w:tr>
        <w:trPr>
          <w:trHeight w:val="479" w:hRule="atLeast"/>
        </w:trPr>
        <w:tc>
          <w:tcPr>
            <w:tcW w:w="707" w:type="dxa"/>
          </w:tcPr>
          <w:p>
            <w:pPr>
              <w:pStyle w:val="TableParagraph"/>
              <w:spacing w:before="192"/>
              <w:ind w:left="50"/>
              <w:rPr>
                <w:rFonts w:ascii="Times New Roman"/>
                <w:sz w:val="21"/>
              </w:rPr>
            </w:pPr>
            <w:r>
              <w:rPr>
                <w:rFonts w:ascii="Times New Roman"/>
                <w:sz w:val="21"/>
              </w:rPr>
              <w:t>6.8</w:t>
            </w:r>
          </w:p>
        </w:tc>
        <w:tc>
          <w:tcPr>
            <w:tcW w:w="2165" w:type="dxa"/>
          </w:tcPr>
          <w:p>
            <w:pPr>
              <w:pStyle w:val="TableParagraph"/>
              <w:spacing w:before="147"/>
              <w:ind w:left="395"/>
              <w:rPr>
                <w:b/>
                <w:sz w:val="21"/>
              </w:rPr>
            </w:pPr>
            <w:r>
              <w:rPr>
                <w:b/>
                <w:sz w:val="21"/>
              </w:rPr>
              <w:t>急性或亚急性重</w:t>
            </w:r>
          </w:p>
        </w:tc>
        <w:tc>
          <w:tcPr>
            <w:tcW w:w="6484" w:type="dxa"/>
          </w:tcPr>
          <w:p>
            <w:pPr>
              <w:pStyle w:val="TableParagraph"/>
              <w:spacing w:before="147"/>
              <w:ind w:left="110"/>
              <w:rPr>
                <w:sz w:val="21"/>
              </w:rPr>
            </w:pPr>
            <w:r>
              <w:rPr>
                <w:sz w:val="21"/>
              </w:rPr>
              <w:t>指因肝炎病毒感染引起肝脏组织弥漫性坏死，导致急性肝功能衰竭，</w:t>
            </w:r>
          </w:p>
        </w:tc>
      </w:tr>
      <w:tr>
        <w:trPr>
          <w:trHeight w:val="300" w:hRule="atLeast"/>
        </w:trPr>
        <w:tc>
          <w:tcPr>
            <w:tcW w:w="707" w:type="dxa"/>
          </w:tcPr>
          <w:p>
            <w:pPr>
              <w:pStyle w:val="TableParagraph"/>
              <w:rPr>
                <w:rFonts w:ascii="Times New Roman"/>
                <w:sz w:val="20"/>
              </w:rPr>
            </w:pPr>
          </w:p>
        </w:tc>
        <w:tc>
          <w:tcPr>
            <w:tcW w:w="2165" w:type="dxa"/>
          </w:tcPr>
          <w:p>
            <w:pPr>
              <w:pStyle w:val="TableParagraph"/>
              <w:spacing w:line="255" w:lineRule="exact"/>
              <w:ind w:left="395"/>
              <w:rPr>
                <w:b/>
                <w:sz w:val="21"/>
              </w:rPr>
            </w:pPr>
            <w:r>
              <w:rPr>
                <w:b/>
                <w:w w:val="95"/>
                <w:sz w:val="21"/>
              </w:rPr>
              <w:t>症肝炎</w:t>
            </w:r>
          </w:p>
        </w:tc>
        <w:tc>
          <w:tcPr>
            <w:tcW w:w="6484" w:type="dxa"/>
          </w:tcPr>
          <w:p>
            <w:pPr>
              <w:pStyle w:val="TableParagraph"/>
              <w:spacing w:line="255" w:lineRule="exact"/>
              <w:ind w:left="110"/>
              <w:rPr>
                <w:sz w:val="21"/>
              </w:rPr>
            </w:pPr>
            <w:r>
              <w:rPr>
                <w:sz w:val="21"/>
              </w:rPr>
              <w:t>且经血清学或病毒学检查证实，并须满足下列全部条件：</w:t>
            </w:r>
          </w:p>
        </w:tc>
      </w:tr>
      <w:tr>
        <w:trPr>
          <w:trHeight w:val="1369" w:hRule="atLeast"/>
        </w:trPr>
        <w:tc>
          <w:tcPr>
            <w:tcW w:w="707" w:type="dxa"/>
          </w:tcPr>
          <w:p>
            <w:pPr>
              <w:pStyle w:val="TableParagraph"/>
              <w:rPr>
                <w:rFonts w:ascii="Times New Roman"/>
                <w:sz w:val="20"/>
              </w:rPr>
            </w:pPr>
          </w:p>
        </w:tc>
        <w:tc>
          <w:tcPr>
            <w:tcW w:w="2165" w:type="dxa"/>
          </w:tcPr>
          <w:p>
            <w:pPr>
              <w:pStyle w:val="TableParagraph"/>
              <w:rPr>
                <w:rFonts w:ascii="Times New Roman"/>
                <w:sz w:val="20"/>
              </w:rPr>
            </w:pPr>
          </w:p>
        </w:tc>
        <w:tc>
          <w:tcPr>
            <w:tcW w:w="6484" w:type="dxa"/>
          </w:tcPr>
          <w:p>
            <w:pPr>
              <w:pStyle w:val="TableParagraph"/>
              <w:spacing w:line="282" w:lineRule="exact"/>
              <w:ind w:left="110"/>
              <w:rPr>
                <w:sz w:val="21"/>
              </w:rPr>
            </w:pPr>
            <w:r>
              <w:rPr>
                <w:sz w:val="21"/>
              </w:rPr>
              <w:t>（</w:t>
            </w:r>
            <w:r>
              <w:rPr>
                <w:rFonts w:ascii="Times New Roman" w:eastAsia="Times New Roman"/>
                <w:sz w:val="21"/>
              </w:rPr>
              <w:t>1</w:t>
            </w:r>
            <w:r>
              <w:rPr>
                <w:sz w:val="21"/>
              </w:rPr>
              <w:t>）重度黄疸或黄疸迅速加重；</w:t>
            </w:r>
          </w:p>
          <w:p>
            <w:pPr>
              <w:pStyle w:val="TableParagraph"/>
              <w:spacing w:before="21"/>
              <w:ind w:left="110"/>
              <w:rPr>
                <w:sz w:val="21"/>
              </w:rPr>
            </w:pPr>
            <w:r>
              <w:rPr>
                <w:sz w:val="21"/>
              </w:rPr>
              <w:t>（</w:t>
            </w:r>
            <w:r>
              <w:rPr>
                <w:rFonts w:ascii="Times New Roman" w:eastAsia="Times New Roman"/>
                <w:sz w:val="21"/>
              </w:rPr>
              <w:t>2</w:t>
            </w:r>
            <w:r>
              <w:rPr>
                <w:sz w:val="21"/>
              </w:rPr>
              <w:t>）肝性脑病；</w:t>
            </w:r>
          </w:p>
          <w:p>
            <w:pPr>
              <w:pStyle w:val="TableParagraph"/>
              <w:spacing w:before="21"/>
              <w:ind w:left="110"/>
              <w:rPr>
                <w:sz w:val="21"/>
              </w:rPr>
            </w:pPr>
            <w:r>
              <w:rPr>
                <w:sz w:val="21"/>
              </w:rPr>
              <w:t>（</w:t>
            </w:r>
            <w:r>
              <w:rPr>
                <w:rFonts w:ascii="Times New Roman" w:eastAsia="Times New Roman"/>
                <w:sz w:val="21"/>
              </w:rPr>
              <w:t>3</w:t>
            </w:r>
            <w:r>
              <w:rPr>
                <w:sz w:val="21"/>
              </w:rPr>
              <w:t>）</w:t>
            </w:r>
            <w:r>
              <w:rPr>
                <w:rFonts w:ascii="Times New Roman" w:eastAsia="Times New Roman"/>
                <w:sz w:val="21"/>
              </w:rPr>
              <w:t>B </w:t>
            </w:r>
            <w:r>
              <w:rPr>
                <w:sz w:val="21"/>
              </w:rPr>
              <w:t>超或其它影像学检查显示肝脏体积急速萎缩；</w:t>
            </w:r>
          </w:p>
          <w:p>
            <w:pPr>
              <w:pStyle w:val="TableParagraph"/>
              <w:spacing w:before="21"/>
              <w:ind w:left="110"/>
              <w:rPr>
                <w:sz w:val="21"/>
              </w:rPr>
            </w:pPr>
            <w:r>
              <w:rPr>
                <w:sz w:val="21"/>
              </w:rPr>
              <w:t>（</w:t>
            </w:r>
            <w:r>
              <w:rPr>
                <w:rFonts w:ascii="Times New Roman" w:eastAsia="Times New Roman"/>
                <w:sz w:val="21"/>
              </w:rPr>
              <w:t>4</w:t>
            </w:r>
            <w:r>
              <w:rPr>
                <w:sz w:val="21"/>
              </w:rPr>
              <w:t>）肝功能指标进行性恶化。</w:t>
            </w:r>
          </w:p>
        </w:tc>
      </w:tr>
      <w:tr>
        <w:trPr>
          <w:trHeight w:val="434" w:hRule="atLeast"/>
        </w:trPr>
        <w:tc>
          <w:tcPr>
            <w:tcW w:w="707" w:type="dxa"/>
          </w:tcPr>
          <w:p>
            <w:pPr>
              <w:pStyle w:val="TableParagraph"/>
              <w:spacing w:before="146"/>
              <w:ind w:left="50"/>
              <w:rPr>
                <w:rFonts w:ascii="Times New Roman"/>
                <w:sz w:val="21"/>
              </w:rPr>
            </w:pPr>
            <w:r>
              <w:rPr>
                <w:rFonts w:ascii="Times New Roman"/>
                <w:sz w:val="21"/>
              </w:rPr>
              <w:t>6.9</w:t>
            </w:r>
          </w:p>
        </w:tc>
        <w:tc>
          <w:tcPr>
            <w:tcW w:w="2165" w:type="dxa"/>
          </w:tcPr>
          <w:p>
            <w:pPr>
              <w:pStyle w:val="TableParagraph"/>
              <w:spacing w:before="103"/>
              <w:ind w:left="395"/>
              <w:rPr>
                <w:b/>
                <w:sz w:val="21"/>
              </w:rPr>
            </w:pPr>
            <w:r>
              <w:rPr>
                <w:b/>
                <w:w w:val="95"/>
                <w:sz w:val="21"/>
              </w:rPr>
              <w:t>良性脑肿瘤</w:t>
            </w:r>
          </w:p>
        </w:tc>
        <w:tc>
          <w:tcPr>
            <w:tcW w:w="6484" w:type="dxa"/>
          </w:tcPr>
          <w:p>
            <w:pPr>
              <w:pStyle w:val="TableParagraph"/>
              <w:spacing w:before="103"/>
              <w:ind w:left="110"/>
              <w:rPr>
                <w:sz w:val="21"/>
              </w:rPr>
            </w:pPr>
            <w:r>
              <w:rPr>
                <w:sz w:val="21"/>
              </w:rPr>
              <w:t>指脑的良性肿瘤，已经引起颅内压增高，临床表现为视神经乳头水</w:t>
            </w:r>
          </w:p>
        </w:tc>
      </w:tr>
      <w:tr>
        <w:trPr>
          <w:trHeight w:val="300" w:hRule="atLeast"/>
        </w:trPr>
        <w:tc>
          <w:tcPr>
            <w:tcW w:w="707" w:type="dxa"/>
          </w:tcPr>
          <w:p>
            <w:pPr>
              <w:pStyle w:val="TableParagraph"/>
              <w:rPr>
                <w:rFonts w:ascii="Times New Roman"/>
                <w:sz w:val="20"/>
              </w:rPr>
            </w:pPr>
          </w:p>
        </w:tc>
        <w:tc>
          <w:tcPr>
            <w:tcW w:w="2165" w:type="dxa"/>
          </w:tcPr>
          <w:p>
            <w:pPr>
              <w:pStyle w:val="TableParagraph"/>
              <w:rPr>
                <w:rFonts w:ascii="Times New Roman"/>
                <w:sz w:val="20"/>
              </w:rPr>
            </w:pPr>
          </w:p>
        </w:tc>
        <w:tc>
          <w:tcPr>
            <w:tcW w:w="6484" w:type="dxa"/>
          </w:tcPr>
          <w:p>
            <w:pPr>
              <w:pStyle w:val="TableParagraph"/>
              <w:spacing w:line="256" w:lineRule="exact"/>
              <w:ind w:left="110"/>
              <w:rPr>
                <w:sz w:val="21"/>
              </w:rPr>
            </w:pPr>
            <w:r>
              <w:rPr>
                <w:sz w:val="21"/>
              </w:rPr>
              <w:t>肿、精神症状、癫痫及运动感觉障碍等，并危及生命。须由头颅断层</w:t>
            </w:r>
          </w:p>
        </w:tc>
      </w:tr>
      <w:tr>
        <w:trPr>
          <w:trHeight w:val="901" w:hRule="atLeast"/>
        </w:trPr>
        <w:tc>
          <w:tcPr>
            <w:tcW w:w="707" w:type="dxa"/>
          </w:tcPr>
          <w:p>
            <w:pPr>
              <w:pStyle w:val="TableParagraph"/>
              <w:rPr>
                <w:rFonts w:ascii="Times New Roman"/>
                <w:sz w:val="20"/>
              </w:rPr>
            </w:pPr>
          </w:p>
        </w:tc>
        <w:tc>
          <w:tcPr>
            <w:tcW w:w="2165" w:type="dxa"/>
          </w:tcPr>
          <w:p>
            <w:pPr>
              <w:pStyle w:val="TableParagraph"/>
              <w:rPr>
                <w:rFonts w:ascii="Times New Roman"/>
                <w:sz w:val="20"/>
              </w:rPr>
            </w:pPr>
          </w:p>
        </w:tc>
        <w:tc>
          <w:tcPr>
            <w:tcW w:w="6484" w:type="dxa"/>
          </w:tcPr>
          <w:p>
            <w:pPr>
              <w:pStyle w:val="TableParagraph"/>
              <w:spacing w:line="273" w:lineRule="exact"/>
              <w:ind w:left="110"/>
              <w:rPr>
                <w:sz w:val="21"/>
              </w:rPr>
            </w:pPr>
            <w:r>
              <w:rPr>
                <w:spacing w:val="22"/>
                <w:sz w:val="21"/>
              </w:rPr>
              <w:t>扫描</w:t>
            </w:r>
            <w:r>
              <w:rPr>
                <w:sz w:val="21"/>
              </w:rPr>
              <w:t>（</w:t>
            </w:r>
            <w:r>
              <w:rPr>
                <w:spacing w:val="-76"/>
                <w:sz w:val="21"/>
              </w:rPr>
              <w:t> </w:t>
            </w:r>
            <w:r>
              <w:rPr>
                <w:rFonts w:ascii="Times New Roman" w:eastAsia="Times New Roman"/>
                <w:position w:val="1"/>
                <w:sz w:val="21"/>
              </w:rPr>
              <w:t>CT </w:t>
            </w:r>
            <w:r>
              <w:rPr>
                <w:sz w:val="21"/>
              </w:rPr>
              <w:t>）</w:t>
            </w:r>
            <w:r>
              <w:rPr>
                <w:spacing w:val="8"/>
                <w:sz w:val="21"/>
              </w:rPr>
              <w:t> 、核磁共振检查</w:t>
            </w:r>
            <w:r>
              <w:rPr>
                <w:sz w:val="21"/>
              </w:rPr>
              <w:t>（</w:t>
            </w:r>
            <w:r>
              <w:rPr>
                <w:spacing w:val="-71"/>
                <w:sz w:val="21"/>
              </w:rPr>
              <w:t> </w:t>
            </w:r>
            <w:r>
              <w:rPr>
                <w:rFonts w:ascii="Times New Roman" w:eastAsia="Times New Roman"/>
                <w:position w:val="1"/>
                <w:sz w:val="21"/>
              </w:rPr>
              <w:t>MRI </w:t>
            </w:r>
            <w:r>
              <w:rPr>
                <w:sz w:val="21"/>
              </w:rPr>
              <w:t>）</w:t>
            </w:r>
            <w:r>
              <w:rPr>
                <w:spacing w:val="10"/>
                <w:sz w:val="21"/>
              </w:rPr>
              <w:t> 或正电子发射断层扫描</w:t>
            </w:r>
          </w:p>
          <w:p>
            <w:pPr>
              <w:pStyle w:val="TableParagraph"/>
              <w:spacing w:before="31"/>
              <w:ind w:left="110"/>
              <w:rPr>
                <w:sz w:val="21"/>
              </w:rPr>
            </w:pPr>
            <w:r>
              <w:rPr>
                <w:sz w:val="21"/>
              </w:rPr>
              <w:t>（</w:t>
            </w:r>
            <w:r>
              <w:rPr>
                <w:rFonts w:ascii="Times New Roman" w:eastAsia="Times New Roman"/>
                <w:position w:val="1"/>
                <w:sz w:val="21"/>
              </w:rPr>
              <w:t>PET</w:t>
            </w:r>
            <w:r>
              <w:rPr>
                <w:sz w:val="21"/>
              </w:rPr>
              <w:t>）等影像学检查证实，并须满足下列至少一项条件：</w:t>
            </w:r>
          </w:p>
          <w:p>
            <w:pPr>
              <w:pStyle w:val="TableParagraph"/>
              <w:spacing w:line="265" w:lineRule="exact" w:before="31"/>
              <w:ind w:left="110"/>
              <w:rPr>
                <w:sz w:val="21"/>
              </w:rPr>
            </w:pPr>
            <w:r>
              <w:rPr>
                <w:sz w:val="21"/>
              </w:rPr>
              <w:t>（</w:t>
            </w:r>
            <w:r>
              <w:rPr>
                <w:rFonts w:ascii="Times New Roman" w:eastAsia="Times New Roman"/>
                <w:position w:val="1"/>
                <w:sz w:val="21"/>
              </w:rPr>
              <w:t>1</w:t>
            </w:r>
            <w:r>
              <w:rPr>
                <w:sz w:val="21"/>
              </w:rPr>
              <w:t>）实际实施了开颅进行的脑肿瘤完全切除或部分切除的手术；</w:t>
            </w:r>
          </w:p>
        </w:tc>
      </w:tr>
    </w:tbl>
    <w:p>
      <w:pPr>
        <w:spacing w:after="0" w:line="265" w:lineRule="exact"/>
        <w:rPr>
          <w:sz w:val="21"/>
        </w:rPr>
        <w:sectPr>
          <w:pgSz w:w="11900" w:h="16840"/>
          <w:pgMar w:header="0" w:footer="866" w:top="1280" w:bottom="1060" w:left="1560" w:right="76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9"/>
        <w:gridCol w:w="2114"/>
        <w:gridCol w:w="6483"/>
      </w:tblGrid>
      <w:tr>
        <w:trPr>
          <w:trHeight w:val="1128" w:hRule="atLeast"/>
        </w:trPr>
        <w:tc>
          <w:tcPr>
            <w:tcW w:w="759" w:type="dxa"/>
          </w:tcPr>
          <w:p>
            <w:pPr>
              <w:pStyle w:val="TableParagraph"/>
              <w:rPr>
                <w:sz w:val="22"/>
              </w:rPr>
            </w:pPr>
          </w:p>
          <w:p>
            <w:pPr>
              <w:pStyle w:val="TableParagraph"/>
              <w:rPr>
                <w:sz w:val="22"/>
              </w:rPr>
            </w:pPr>
          </w:p>
          <w:p>
            <w:pPr>
              <w:pStyle w:val="TableParagraph"/>
              <w:spacing w:before="9"/>
              <w:rPr>
                <w:sz w:val="20"/>
              </w:rPr>
            </w:pPr>
          </w:p>
          <w:p>
            <w:pPr>
              <w:pStyle w:val="TableParagraph"/>
              <w:ind w:left="50"/>
              <w:rPr>
                <w:rFonts w:ascii="Times New Roman"/>
                <w:sz w:val="21"/>
              </w:rPr>
            </w:pPr>
            <w:r>
              <w:rPr>
                <w:rFonts w:ascii="Times New Roman"/>
                <w:sz w:val="21"/>
              </w:rPr>
              <w:t>6.10</w:t>
            </w:r>
          </w:p>
        </w:tc>
        <w:tc>
          <w:tcPr>
            <w:tcW w:w="2114" w:type="dxa"/>
          </w:tcPr>
          <w:p>
            <w:pPr>
              <w:pStyle w:val="TableParagraph"/>
              <w:rPr>
                <w:sz w:val="20"/>
              </w:rPr>
            </w:pPr>
          </w:p>
          <w:p>
            <w:pPr>
              <w:pStyle w:val="TableParagraph"/>
              <w:rPr>
                <w:sz w:val="20"/>
              </w:rPr>
            </w:pPr>
          </w:p>
          <w:p>
            <w:pPr>
              <w:pStyle w:val="TableParagraph"/>
              <w:spacing w:before="5"/>
              <w:rPr>
                <w:sz w:val="21"/>
              </w:rPr>
            </w:pPr>
          </w:p>
          <w:p>
            <w:pPr>
              <w:pStyle w:val="TableParagraph"/>
              <w:ind w:left="342"/>
              <w:rPr>
                <w:b/>
                <w:sz w:val="21"/>
              </w:rPr>
            </w:pPr>
            <w:r>
              <w:rPr>
                <w:b/>
                <w:sz w:val="21"/>
              </w:rPr>
              <w:t>慢性肝功能衰竭</w:t>
            </w:r>
          </w:p>
        </w:tc>
        <w:tc>
          <w:tcPr>
            <w:tcW w:w="6483" w:type="dxa"/>
          </w:tcPr>
          <w:p>
            <w:pPr>
              <w:pStyle w:val="TableParagraph"/>
              <w:spacing w:line="237" w:lineRule="exact"/>
              <w:ind w:left="110"/>
              <w:rPr>
                <w:sz w:val="21"/>
              </w:rPr>
            </w:pPr>
            <w:r>
              <w:rPr>
                <w:sz w:val="21"/>
              </w:rPr>
              <w:t>（</w:t>
            </w:r>
            <w:r>
              <w:rPr>
                <w:rFonts w:ascii="Times New Roman" w:eastAsia="Times New Roman"/>
                <w:sz w:val="21"/>
              </w:rPr>
              <w:t>2</w:t>
            </w:r>
            <w:r>
              <w:rPr>
                <w:sz w:val="21"/>
              </w:rPr>
              <w:t>）实际实施了对脑肿瘤进行的放射治疗。</w:t>
            </w:r>
          </w:p>
          <w:p>
            <w:pPr>
              <w:pStyle w:val="TableParagraph"/>
              <w:spacing w:before="21"/>
              <w:ind w:left="110"/>
              <w:rPr>
                <w:sz w:val="21"/>
              </w:rPr>
            </w:pPr>
            <w:r>
              <w:rPr>
                <w:sz w:val="21"/>
              </w:rPr>
              <w:t>脑垂体瘤、脑囊肿、脑血管性疾病不在保障范围内。</w:t>
            </w:r>
          </w:p>
          <w:p>
            <w:pPr>
              <w:pStyle w:val="TableParagraph"/>
              <w:spacing w:before="9"/>
              <w:rPr>
                <w:sz w:val="20"/>
              </w:rPr>
            </w:pPr>
          </w:p>
          <w:p>
            <w:pPr>
              <w:pStyle w:val="TableParagraph"/>
              <w:ind w:left="110"/>
              <w:rPr>
                <w:sz w:val="21"/>
              </w:rPr>
            </w:pPr>
            <w:r>
              <w:rPr>
                <w:sz w:val="21"/>
              </w:rPr>
              <w:t>指因慢性肝脏疾病导致肝功能衰竭。须满足下列全部条件：</w:t>
            </w:r>
          </w:p>
        </w:tc>
      </w:tr>
      <w:tr>
        <w:trPr>
          <w:trHeight w:val="1254" w:hRule="atLeast"/>
        </w:trPr>
        <w:tc>
          <w:tcPr>
            <w:tcW w:w="759" w:type="dxa"/>
          </w:tcPr>
          <w:p>
            <w:pPr>
              <w:pStyle w:val="TableParagraph"/>
              <w:rPr>
                <w:rFonts w:ascii="Times New Roman"/>
                <w:sz w:val="20"/>
              </w:rPr>
            </w:pPr>
          </w:p>
        </w:tc>
        <w:tc>
          <w:tcPr>
            <w:tcW w:w="2114" w:type="dxa"/>
          </w:tcPr>
          <w:p>
            <w:pPr>
              <w:pStyle w:val="TableParagraph"/>
              <w:spacing w:line="262" w:lineRule="exact"/>
              <w:ind w:left="342"/>
              <w:rPr>
                <w:b/>
                <w:sz w:val="21"/>
              </w:rPr>
            </w:pPr>
            <w:r>
              <w:rPr>
                <w:b/>
                <w:w w:val="95"/>
                <w:sz w:val="21"/>
              </w:rPr>
              <w:t>失代偿期</w:t>
            </w:r>
          </w:p>
        </w:tc>
        <w:tc>
          <w:tcPr>
            <w:tcW w:w="6483" w:type="dxa"/>
          </w:tcPr>
          <w:p>
            <w:pPr>
              <w:pStyle w:val="TableParagraph"/>
              <w:spacing w:line="268" w:lineRule="exact"/>
              <w:ind w:left="110"/>
              <w:rPr>
                <w:sz w:val="21"/>
              </w:rPr>
            </w:pPr>
            <w:r>
              <w:rPr>
                <w:sz w:val="21"/>
              </w:rPr>
              <w:t>（</w:t>
            </w:r>
            <w:r>
              <w:rPr>
                <w:rFonts w:ascii="Times New Roman" w:eastAsia="Times New Roman"/>
                <w:position w:val="1"/>
                <w:sz w:val="21"/>
              </w:rPr>
              <w:t>1</w:t>
            </w:r>
            <w:r>
              <w:rPr>
                <w:sz w:val="21"/>
              </w:rPr>
              <w:t>）持续性黄疸；</w:t>
            </w:r>
          </w:p>
          <w:p>
            <w:pPr>
              <w:pStyle w:val="TableParagraph"/>
              <w:spacing w:before="31"/>
              <w:ind w:left="110"/>
              <w:rPr>
                <w:sz w:val="21"/>
              </w:rPr>
            </w:pPr>
            <w:r>
              <w:rPr>
                <w:sz w:val="21"/>
              </w:rPr>
              <w:t>（</w:t>
            </w:r>
            <w:r>
              <w:rPr>
                <w:rFonts w:ascii="Times New Roman" w:eastAsia="Times New Roman"/>
                <w:position w:val="1"/>
                <w:sz w:val="21"/>
              </w:rPr>
              <w:t>2</w:t>
            </w:r>
            <w:r>
              <w:rPr>
                <w:sz w:val="21"/>
              </w:rPr>
              <w:t>）腹水；</w:t>
            </w:r>
          </w:p>
          <w:p>
            <w:pPr>
              <w:pStyle w:val="TableParagraph"/>
              <w:spacing w:before="31"/>
              <w:ind w:left="110"/>
              <w:rPr>
                <w:sz w:val="21"/>
              </w:rPr>
            </w:pPr>
            <w:r>
              <w:rPr>
                <w:sz w:val="21"/>
              </w:rPr>
              <w:t>（</w:t>
            </w:r>
            <w:r>
              <w:rPr>
                <w:rFonts w:ascii="Times New Roman" w:eastAsia="Times New Roman"/>
                <w:position w:val="1"/>
                <w:sz w:val="21"/>
              </w:rPr>
              <w:t>3</w:t>
            </w:r>
            <w:r>
              <w:rPr>
                <w:sz w:val="21"/>
              </w:rPr>
              <w:t>）肝性脑病；</w:t>
            </w:r>
          </w:p>
          <w:p>
            <w:pPr>
              <w:pStyle w:val="TableParagraph"/>
              <w:spacing w:before="31"/>
              <w:ind w:left="110"/>
              <w:rPr>
                <w:sz w:val="21"/>
              </w:rPr>
            </w:pPr>
            <w:r>
              <w:rPr>
                <w:sz w:val="21"/>
              </w:rPr>
              <w:t>（</w:t>
            </w:r>
            <w:r>
              <w:rPr>
                <w:rFonts w:ascii="Times New Roman" w:eastAsia="Times New Roman"/>
                <w:position w:val="1"/>
                <w:sz w:val="21"/>
              </w:rPr>
              <w:t>4</w:t>
            </w:r>
            <w:r>
              <w:rPr>
                <w:sz w:val="21"/>
              </w:rPr>
              <w:t>）充血性脾肿大伴脾功能亢进或食管胃底静脉曲张。</w:t>
            </w:r>
          </w:p>
        </w:tc>
      </w:tr>
      <w:tr>
        <w:trPr>
          <w:trHeight w:val="417" w:hRule="atLeast"/>
        </w:trPr>
        <w:tc>
          <w:tcPr>
            <w:tcW w:w="759" w:type="dxa"/>
          </w:tcPr>
          <w:p>
            <w:pPr>
              <w:pStyle w:val="TableParagraph"/>
              <w:rPr>
                <w:rFonts w:ascii="Times New Roman"/>
                <w:sz w:val="20"/>
              </w:rPr>
            </w:pPr>
          </w:p>
        </w:tc>
        <w:tc>
          <w:tcPr>
            <w:tcW w:w="2114" w:type="dxa"/>
          </w:tcPr>
          <w:p>
            <w:pPr>
              <w:pStyle w:val="TableParagraph"/>
              <w:rPr>
                <w:rFonts w:ascii="Times New Roman"/>
                <w:sz w:val="20"/>
              </w:rPr>
            </w:pPr>
          </w:p>
        </w:tc>
        <w:tc>
          <w:tcPr>
            <w:tcW w:w="6483" w:type="dxa"/>
          </w:tcPr>
          <w:p>
            <w:pPr>
              <w:pStyle w:val="TableParagraph"/>
              <w:spacing w:line="256" w:lineRule="exact"/>
              <w:ind w:left="110"/>
              <w:rPr>
                <w:sz w:val="21"/>
              </w:rPr>
            </w:pPr>
            <w:r>
              <w:rPr>
                <w:sz w:val="21"/>
              </w:rPr>
              <w:t>因酗酒或药物滥用导致的肝功能衰竭不在保障范围内。</w:t>
            </w:r>
          </w:p>
        </w:tc>
      </w:tr>
      <w:tr>
        <w:trPr>
          <w:trHeight w:val="751" w:hRule="atLeast"/>
        </w:trPr>
        <w:tc>
          <w:tcPr>
            <w:tcW w:w="759" w:type="dxa"/>
          </w:tcPr>
          <w:p>
            <w:pPr>
              <w:pStyle w:val="TableParagraph"/>
              <w:spacing w:before="152"/>
              <w:ind w:left="50"/>
              <w:rPr>
                <w:rFonts w:ascii="Times New Roman"/>
                <w:sz w:val="21"/>
              </w:rPr>
            </w:pPr>
            <w:r>
              <w:rPr>
                <w:rFonts w:ascii="Times New Roman"/>
                <w:sz w:val="21"/>
              </w:rPr>
              <w:t>6.11</w:t>
            </w:r>
          </w:p>
        </w:tc>
        <w:tc>
          <w:tcPr>
            <w:tcW w:w="2114" w:type="dxa"/>
          </w:tcPr>
          <w:p>
            <w:pPr>
              <w:pStyle w:val="TableParagraph"/>
              <w:spacing w:before="107"/>
              <w:ind w:left="342"/>
              <w:rPr>
                <w:b/>
                <w:sz w:val="21"/>
              </w:rPr>
            </w:pPr>
            <w:r>
              <w:rPr>
                <w:b/>
                <w:sz w:val="21"/>
              </w:rPr>
              <w:t>脑炎后遗症或脑</w:t>
            </w:r>
          </w:p>
          <w:p>
            <w:pPr>
              <w:pStyle w:val="TableParagraph"/>
              <w:spacing w:before="36"/>
              <w:ind w:left="342"/>
              <w:rPr>
                <w:b/>
                <w:sz w:val="21"/>
              </w:rPr>
            </w:pPr>
            <w:r>
              <w:rPr>
                <w:b/>
                <w:w w:val="95"/>
                <w:sz w:val="21"/>
              </w:rPr>
              <w:t>膜炎后遗症</w:t>
            </w:r>
          </w:p>
        </w:tc>
        <w:tc>
          <w:tcPr>
            <w:tcW w:w="6483" w:type="dxa"/>
          </w:tcPr>
          <w:p>
            <w:pPr>
              <w:pStyle w:val="TableParagraph"/>
              <w:spacing w:line="320" w:lineRule="atLeast" w:before="62"/>
              <w:ind w:left="110" w:right="207"/>
              <w:rPr>
                <w:sz w:val="21"/>
              </w:rPr>
            </w:pPr>
            <w:r>
              <w:rPr>
                <w:sz w:val="21"/>
              </w:rPr>
              <w:t>指因患脑炎或脑膜炎导致的神经系统永久性的功能障碍。神经系统永久性的功能障碍，指疾病确诊 </w:t>
            </w:r>
            <w:r>
              <w:rPr>
                <w:rFonts w:ascii="Times New Roman" w:eastAsia="Times New Roman"/>
                <w:sz w:val="21"/>
              </w:rPr>
              <w:t>180 </w:t>
            </w:r>
            <w:r>
              <w:rPr>
                <w:sz w:val="21"/>
              </w:rPr>
              <w:t>天后，仍遗留下列一种或一种</w:t>
            </w:r>
          </w:p>
        </w:tc>
      </w:tr>
      <w:tr>
        <w:trPr>
          <w:trHeight w:val="300" w:hRule="atLeast"/>
        </w:trPr>
        <w:tc>
          <w:tcPr>
            <w:tcW w:w="759" w:type="dxa"/>
          </w:tcPr>
          <w:p>
            <w:pPr>
              <w:pStyle w:val="TableParagraph"/>
              <w:rPr>
                <w:rFonts w:ascii="Times New Roman"/>
                <w:sz w:val="20"/>
              </w:rPr>
            </w:pPr>
          </w:p>
        </w:tc>
        <w:tc>
          <w:tcPr>
            <w:tcW w:w="2114" w:type="dxa"/>
          </w:tcPr>
          <w:p>
            <w:pPr>
              <w:pStyle w:val="TableParagraph"/>
              <w:rPr>
                <w:rFonts w:ascii="Times New Roman"/>
                <w:sz w:val="20"/>
              </w:rPr>
            </w:pPr>
          </w:p>
        </w:tc>
        <w:tc>
          <w:tcPr>
            <w:tcW w:w="6483" w:type="dxa"/>
          </w:tcPr>
          <w:p>
            <w:pPr>
              <w:pStyle w:val="TableParagraph"/>
              <w:spacing w:line="255" w:lineRule="exact"/>
              <w:ind w:left="110"/>
              <w:rPr>
                <w:sz w:val="21"/>
              </w:rPr>
            </w:pPr>
            <w:r>
              <w:rPr>
                <w:sz w:val="21"/>
              </w:rPr>
              <w:t>以上障碍：</w:t>
            </w:r>
          </w:p>
        </w:tc>
      </w:tr>
      <w:tr>
        <w:trPr>
          <w:trHeight w:val="947" w:hRule="atLeast"/>
        </w:trPr>
        <w:tc>
          <w:tcPr>
            <w:tcW w:w="759" w:type="dxa"/>
          </w:tcPr>
          <w:p>
            <w:pPr>
              <w:pStyle w:val="TableParagraph"/>
              <w:rPr>
                <w:rFonts w:ascii="Times New Roman"/>
                <w:sz w:val="20"/>
              </w:rPr>
            </w:pPr>
          </w:p>
        </w:tc>
        <w:tc>
          <w:tcPr>
            <w:tcW w:w="2114" w:type="dxa"/>
          </w:tcPr>
          <w:p>
            <w:pPr>
              <w:pStyle w:val="TableParagraph"/>
              <w:rPr>
                <w:rFonts w:ascii="Times New Roman"/>
                <w:sz w:val="20"/>
              </w:rPr>
            </w:pPr>
          </w:p>
        </w:tc>
        <w:tc>
          <w:tcPr>
            <w:tcW w:w="6483" w:type="dxa"/>
          </w:tcPr>
          <w:p>
            <w:pPr>
              <w:pStyle w:val="TableParagraph"/>
              <w:spacing w:line="282" w:lineRule="exact"/>
              <w:ind w:left="110"/>
              <w:rPr>
                <w:sz w:val="21"/>
              </w:rPr>
            </w:pPr>
            <w:r>
              <w:rPr>
                <w:sz w:val="21"/>
              </w:rPr>
              <w:t>（</w:t>
            </w:r>
            <w:r>
              <w:rPr>
                <w:rFonts w:ascii="Times New Roman" w:eastAsia="Times New Roman"/>
                <w:sz w:val="21"/>
              </w:rPr>
              <w:t>1</w:t>
            </w:r>
            <w:r>
              <w:rPr>
                <w:sz w:val="21"/>
              </w:rPr>
              <w:t>）一肢或一肢以上肢体机能完全丧失；</w:t>
            </w:r>
          </w:p>
          <w:p>
            <w:pPr>
              <w:pStyle w:val="TableParagraph"/>
              <w:spacing w:before="21"/>
              <w:ind w:left="110"/>
              <w:rPr>
                <w:sz w:val="21"/>
              </w:rPr>
            </w:pPr>
            <w:r>
              <w:rPr>
                <w:sz w:val="21"/>
              </w:rPr>
              <w:t>（</w:t>
            </w:r>
            <w:r>
              <w:rPr>
                <w:rFonts w:ascii="Times New Roman" w:eastAsia="Times New Roman"/>
                <w:sz w:val="21"/>
              </w:rPr>
              <w:t>2</w:t>
            </w:r>
            <w:r>
              <w:rPr>
                <w:sz w:val="21"/>
              </w:rPr>
              <w:t>）语言能力或咀嚼吞咽能力完全丧失；</w:t>
            </w:r>
          </w:p>
          <w:p>
            <w:pPr>
              <w:pStyle w:val="TableParagraph"/>
              <w:spacing w:before="21"/>
              <w:ind w:left="110"/>
              <w:rPr>
                <w:sz w:val="21"/>
              </w:rPr>
            </w:pPr>
            <w:r>
              <w:rPr>
                <w:sz w:val="21"/>
              </w:rPr>
              <w:t>（</w:t>
            </w:r>
            <w:r>
              <w:rPr>
                <w:rFonts w:ascii="Times New Roman" w:eastAsia="Times New Roman"/>
                <w:sz w:val="21"/>
              </w:rPr>
              <w:t>3</w:t>
            </w:r>
            <w:r>
              <w:rPr>
                <w:sz w:val="21"/>
              </w:rPr>
              <w:t>）自主生活能力完全丧失，无法独立完成六项基本日常生活活</w:t>
            </w:r>
          </w:p>
        </w:tc>
      </w:tr>
      <w:tr>
        <w:trPr>
          <w:trHeight w:val="416" w:hRule="atLeast"/>
        </w:trPr>
        <w:tc>
          <w:tcPr>
            <w:tcW w:w="759" w:type="dxa"/>
          </w:tcPr>
          <w:p>
            <w:pPr>
              <w:pStyle w:val="TableParagraph"/>
              <w:rPr>
                <w:rFonts w:ascii="Times New Roman"/>
                <w:sz w:val="20"/>
              </w:rPr>
            </w:pPr>
          </w:p>
        </w:tc>
        <w:tc>
          <w:tcPr>
            <w:tcW w:w="2114" w:type="dxa"/>
          </w:tcPr>
          <w:p>
            <w:pPr>
              <w:pStyle w:val="TableParagraph"/>
              <w:rPr>
                <w:rFonts w:ascii="Times New Roman"/>
                <w:sz w:val="20"/>
              </w:rPr>
            </w:pPr>
          </w:p>
        </w:tc>
        <w:tc>
          <w:tcPr>
            <w:tcW w:w="6483" w:type="dxa"/>
          </w:tcPr>
          <w:p>
            <w:pPr>
              <w:pStyle w:val="TableParagraph"/>
              <w:spacing w:line="255" w:lineRule="exact"/>
              <w:ind w:left="110"/>
              <w:rPr>
                <w:sz w:val="21"/>
              </w:rPr>
            </w:pPr>
            <w:r>
              <w:rPr>
                <w:sz w:val="21"/>
              </w:rPr>
              <w:t>动中的三项或三项以上。</w:t>
            </w:r>
          </w:p>
        </w:tc>
      </w:tr>
      <w:tr>
        <w:trPr>
          <w:trHeight w:val="1064" w:hRule="atLeast"/>
        </w:trPr>
        <w:tc>
          <w:tcPr>
            <w:tcW w:w="759" w:type="dxa"/>
          </w:tcPr>
          <w:p>
            <w:pPr>
              <w:pStyle w:val="TableParagraph"/>
              <w:spacing w:before="152"/>
              <w:ind w:left="50"/>
              <w:rPr>
                <w:rFonts w:ascii="Times New Roman"/>
                <w:sz w:val="21"/>
              </w:rPr>
            </w:pPr>
            <w:r>
              <w:rPr>
                <w:rFonts w:ascii="Times New Roman"/>
                <w:sz w:val="21"/>
              </w:rPr>
              <w:t>6.12</w:t>
            </w:r>
          </w:p>
        </w:tc>
        <w:tc>
          <w:tcPr>
            <w:tcW w:w="2114" w:type="dxa"/>
          </w:tcPr>
          <w:p>
            <w:pPr>
              <w:pStyle w:val="TableParagraph"/>
              <w:spacing w:before="109"/>
              <w:ind w:left="342"/>
              <w:rPr>
                <w:b/>
                <w:sz w:val="21"/>
              </w:rPr>
            </w:pPr>
            <w:r>
              <w:rPr>
                <w:b/>
                <w:w w:val="95"/>
                <w:sz w:val="21"/>
              </w:rPr>
              <w:t>深度昏迷</w:t>
            </w:r>
          </w:p>
        </w:tc>
        <w:tc>
          <w:tcPr>
            <w:tcW w:w="6483" w:type="dxa"/>
          </w:tcPr>
          <w:p>
            <w:pPr>
              <w:pStyle w:val="TableParagraph"/>
              <w:spacing w:line="266" w:lineRule="auto" w:before="109"/>
              <w:ind w:left="110" w:right="263"/>
              <w:rPr>
                <w:sz w:val="21"/>
              </w:rPr>
            </w:pPr>
            <w:r>
              <w:rPr>
                <w:spacing w:val="5"/>
                <w:sz w:val="21"/>
              </w:rPr>
              <w:t>指因疾病或意外伤害导致意识丧失</w:t>
            </w:r>
            <w:r>
              <w:rPr>
                <w:rFonts w:ascii="Times New Roman" w:eastAsia="Times New Roman"/>
                <w:spacing w:val="5"/>
                <w:position w:val="1"/>
                <w:sz w:val="21"/>
              </w:rPr>
              <w:t>,</w:t>
            </w:r>
            <w:r>
              <w:rPr>
                <w:spacing w:val="3"/>
                <w:sz w:val="21"/>
              </w:rPr>
              <w:t>对外界刺激和体内需求均无反</w:t>
            </w:r>
            <w:r>
              <w:rPr>
                <w:spacing w:val="2"/>
                <w:sz w:val="21"/>
              </w:rPr>
              <w:t>应</w:t>
            </w:r>
            <w:r>
              <w:rPr>
                <w:rFonts w:ascii="Times New Roman" w:eastAsia="Times New Roman"/>
                <w:spacing w:val="5"/>
                <w:position w:val="1"/>
                <w:sz w:val="21"/>
              </w:rPr>
              <w:t>,</w:t>
            </w:r>
            <w:r>
              <w:rPr>
                <w:sz w:val="21"/>
              </w:rPr>
              <w:t>昏迷程度按照格拉斯哥昏迷分级（</w:t>
            </w:r>
            <w:r>
              <w:rPr>
                <w:spacing w:val="-81"/>
                <w:sz w:val="21"/>
              </w:rPr>
              <w:t> </w:t>
            </w:r>
            <w:r>
              <w:rPr>
                <w:rFonts w:ascii="Times New Roman" w:eastAsia="Times New Roman"/>
                <w:position w:val="1"/>
                <w:sz w:val="21"/>
              </w:rPr>
              <w:t>Glasgow coma scale</w:t>
            </w:r>
            <w:r>
              <w:rPr>
                <w:sz w:val="21"/>
              </w:rPr>
              <w:t>）</w:t>
            </w:r>
            <w:r>
              <w:rPr>
                <w:spacing w:val="0"/>
                <w:sz w:val="21"/>
              </w:rPr>
              <w:t>结果为</w:t>
            </w:r>
          </w:p>
          <w:p>
            <w:pPr>
              <w:pStyle w:val="TableParagraph"/>
              <w:spacing w:before="5"/>
              <w:ind w:left="110"/>
              <w:rPr>
                <w:sz w:val="21"/>
              </w:rPr>
            </w:pPr>
            <w:r>
              <w:rPr>
                <w:rFonts w:ascii="Times New Roman" w:eastAsia="Times New Roman"/>
                <w:position w:val="1"/>
                <w:sz w:val="21"/>
              </w:rPr>
              <w:t>5 </w:t>
            </w:r>
            <w:r>
              <w:rPr>
                <w:sz w:val="21"/>
              </w:rPr>
              <w:t>分或 </w:t>
            </w:r>
            <w:r>
              <w:rPr>
                <w:rFonts w:ascii="Times New Roman" w:eastAsia="Times New Roman"/>
                <w:position w:val="1"/>
                <w:sz w:val="21"/>
              </w:rPr>
              <w:t>5 </w:t>
            </w:r>
            <w:r>
              <w:rPr>
                <w:sz w:val="21"/>
              </w:rPr>
              <w:t>分以下，且已经持续使用呼吸机及其它生命维持系统 </w:t>
            </w:r>
            <w:r>
              <w:rPr>
                <w:rFonts w:ascii="Times New Roman" w:eastAsia="Times New Roman"/>
                <w:position w:val="1"/>
                <w:sz w:val="21"/>
              </w:rPr>
              <w:t>96 </w:t>
            </w:r>
            <w:r>
              <w:rPr>
                <w:sz w:val="21"/>
              </w:rPr>
              <w:t>小</w:t>
            </w:r>
          </w:p>
        </w:tc>
      </w:tr>
      <w:tr>
        <w:trPr>
          <w:trHeight w:val="307" w:hRule="atLeast"/>
        </w:trPr>
        <w:tc>
          <w:tcPr>
            <w:tcW w:w="759" w:type="dxa"/>
          </w:tcPr>
          <w:p>
            <w:pPr>
              <w:pStyle w:val="TableParagraph"/>
              <w:rPr>
                <w:rFonts w:ascii="Times New Roman"/>
                <w:sz w:val="20"/>
              </w:rPr>
            </w:pPr>
          </w:p>
        </w:tc>
        <w:tc>
          <w:tcPr>
            <w:tcW w:w="2114" w:type="dxa"/>
          </w:tcPr>
          <w:p>
            <w:pPr>
              <w:pStyle w:val="TableParagraph"/>
              <w:rPr>
                <w:rFonts w:ascii="Times New Roman"/>
                <w:sz w:val="20"/>
              </w:rPr>
            </w:pPr>
          </w:p>
        </w:tc>
        <w:tc>
          <w:tcPr>
            <w:tcW w:w="6483" w:type="dxa"/>
          </w:tcPr>
          <w:p>
            <w:pPr>
              <w:pStyle w:val="TableParagraph"/>
              <w:spacing w:line="256" w:lineRule="exact"/>
              <w:ind w:left="110"/>
              <w:rPr>
                <w:sz w:val="21"/>
              </w:rPr>
            </w:pPr>
            <w:r>
              <w:rPr>
                <w:sz w:val="21"/>
              </w:rPr>
              <w:t>时以上。</w:t>
            </w:r>
          </w:p>
        </w:tc>
      </w:tr>
      <w:tr>
        <w:trPr>
          <w:trHeight w:val="422" w:hRule="atLeast"/>
        </w:trPr>
        <w:tc>
          <w:tcPr>
            <w:tcW w:w="759" w:type="dxa"/>
          </w:tcPr>
          <w:p>
            <w:pPr>
              <w:pStyle w:val="TableParagraph"/>
              <w:rPr>
                <w:rFonts w:ascii="Times New Roman"/>
                <w:sz w:val="20"/>
              </w:rPr>
            </w:pPr>
          </w:p>
        </w:tc>
        <w:tc>
          <w:tcPr>
            <w:tcW w:w="2114" w:type="dxa"/>
          </w:tcPr>
          <w:p>
            <w:pPr>
              <w:pStyle w:val="TableParagraph"/>
              <w:rPr>
                <w:rFonts w:ascii="Times New Roman"/>
                <w:sz w:val="20"/>
              </w:rPr>
            </w:pPr>
          </w:p>
        </w:tc>
        <w:tc>
          <w:tcPr>
            <w:tcW w:w="6483" w:type="dxa"/>
          </w:tcPr>
          <w:p>
            <w:pPr>
              <w:pStyle w:val="TableParagraph"/>
              <w:spacing w:line="261" w:lineRule="exact"/>
              <w:ind w:left="110"/>
              <w:rPr>
                <w:sz w:val="21"/>
              </w:rPr>
            </w:pPr>
            <w:r>
              <w:rPr>
                <w:sz w:val="21"/>
              </w:rPr>
              <w:t>因酗酒或药物滥用导致的深度昏迷不在保障范围内。</w:t>
            </w:r>
          </w:p>
        </w:tc>
      </w:tr>
      <w:tr>
        <w:trPr>
          <w:trHeight w:val="751" w:hRule="atLeast"/>
        </w:trPr>
        <w:tc>
          <w:tcPr>
            <w:tcW w:w="759" w:type="dxa"/>
          </w:tcPr>
          <w:p>
            <w:pPr>
              <w:pStyle w:val="TableParagraph"/>
              <w:spacing w:before="152"/>
              <w:ind w:left="50"/>
              <w:rPr>
                <w:rFonts w:ascii="Times New Roman"/>
                <w:sz w:val="21"/>
              </w:rPr>
            </w:pPr>
            <w:r>
              <w:rPr>
                <w:rFonts w:ascii="Times New Roman"/>
                <w:sz w:val="21"/>
              </w:rPr>
              <w:t>6.13</w:t>
            </w:r>
          </w:p>
        </w:tc>
        <w:tc>
          <w:tcPr>
            <w:tcW w:w="2114" w:type="dxa"/>
          </w:tcPr>
          <w:p>
            <w:pPr>
              <w:pStyle w:val="TableParagraph"/>
              <w:spacing w:before="107"/>
              <w:ind w:left="342"/>
              <w:rPr>
                <w:b/>
                <w:sz w:val="21"/>
              </w:rPr>
            </w:pPr>
            <w:r>
              <w:rPr>
                <w:b/>
                <w:w w:val="95"/>
                <w:sz w:val="21"/>
              </w:rPr>
              <w:t>双耳失聪</w:t>
            </w:r>
          </w:p>
        </w:tc>
        <w:tc>
          <w:tcPr>
            <w:tcW w:w="6483" w:type="dxa"/>
          </w:tcPr>
          <w:p>
            <w:pPr>
              <w:pStyle w:val="TableParagraph"/>
              <w:spacing w:before="107"/>
              <w:ind w:left="110"/>
              <w:rPr>
                <w:sz w:val="21"/>
              </w:rPr>
            </w:pPr>
            <w:r>
              <w:rPr>
                <w:sz w:val="21"/>
              </w:rPr>
              <w:t>指因疾病或意外伤害导致双耳听力</w:t>
            </w:r>
            <w:r>
              <w:rPr>
                <w:b/>
                <w:sz w:val="21"/>
              </w:rPr>
              <w:t>永久不可逆</w:t>
            </w:r>
            <w:r>
              <w:rPr>
                <w:sz w:val="21"/>
              </w:rPr>
              <w:t>性丧失，在 </w:t>
            </w:r>
            <w:r>
              <w:rPr>
                <w:rFonts w:ascii="Times New Roman" w:eastAsia="Times New Roman"/>
                <w:sz w:val="21"/>
              </w:rPr>
              <w:t>500 </w:t>
            </w:r>
            <w:r>
              <w:rPr>
                <w:sz w:val="21"/>
              </w:rPr>
              <w:t>赫兹、</w:t>
            </w:r>
          </w:p>
          <w:p>
            <w:pPr>
              <w:pStyle w:val="TableParagraph"/>
              <w:spacing w:before="20"/>
              <w:ind w:left="110"/>
              <w:rPr>
                <w:sz w:val="21"/>
              </w:rPr>
            </w:pPr>
            <w:r>
              <w:rPr>
                <w:rFonts w:ascii="Times New Roman" w:eastAsia="Times New Roman"/>
                <w:sz w:val="21"/>
              </w:rPr>
              <w:t>1000 </w:t>
            </w:r>
            <w:r>
              <w:rPr>
                <w:sz w:val="21"/>
              </w:rPr>
              <w:t>赫兹和 </w:t>
            </w:r>
            <w:r>
              <w:rPr>
                <w:rFonts w:ascii="Times New Roman" w:eastAsia="Times New Roman"/>
                <w:sz w:val="21"/>
              </w:rPr>
              <w:t>2000 </w:t>
            </w:r>
            <w:r>
              <w:rPr>
                <w:sz w:val="21"/>
              </w:rPr>
              <w:t>赫兹语音频率下，平均听阈大于 </w:t>
            </w:r>
            <w:r>
              <w:rPr>
                <w:rFonts w:ascii="Times New Roman" w:eastAsia="Times New Roman"/>
                <w:sz w:val="21"/>
              </w:rPr>
              <w:t>90 </w:t>
            </w:r>
            <w:r>
              <w:rPr>
                <w:sz w:val="21"/>
              </w:rPr>
              <w:t>分贝，且经纯</w:t>
            </w:r>
          </w:p>
        </w:tc>
      </w:tr>
      <w:tr>
        <w:trPr>
          <w:trHeight w:val="456" w:hRule="atLeast"/>
        </w:trPr>
        <w:tc>
          <w:tcPr>
            <w:tcW w:w="759" w:type="dxa"/>
          </w:tcPr>
          <w:p>
            <w:pPr>
              <w:pStyle w:val="TableParagraph"/>
              <w:rPr>
                <w:rFonts w:ascii="Times New Roman"/>
                <w:sz w:val="20"/>
              </w:rPr>
            </w:pPr>
          </w:p>
        </w:tc>
        <w:tc>
          <w:tcPr>
            <w:tcW w:w="2114" w:type="dxa"/>
          </w:tcPr>
          <w:p>
            <w:pPr>
              <w:pStyle w:val="TableParagraph"/>
              <w:rPr>
                <w:rFonts w:ascii="Times New Roman"/>
                <w:sz w:val="20"/>
              </w:rPr>
            </w:pPr>
          </w:p>
        </w:tc>
        <w:tc>
          <w:tcPr>
            <w:tcW w:w="6483" w:type="dxa"/>
          </w:tcPr>
          <w:p>
            <w:pPr>
              <w:pStyle w:val="TableParagraph"/>
              <w:spacing w:line="255" w:lineRule="exact"/>
              <w:ind w:left="110"/>
              <w:rPr>
                <w:sz w:val="21"/>
              </w:rPr>
            </w:pPr>
            <w:r>
              <w:rPr>
                <w:sz w:val="21"/>
              </w:rPr>
              <w:t>音听力测试、声导抗检测或听觉诱发电位检测等证实。</w:t>
            </w:r>
          </w:p>
        </w:tc>
      </w:tr>
      <w:tr>
        <w:trPr>
          <w:trHeight w:val="479" w:hRule="atLeast"/>
        </w:trPr>
        <w:tc>
          <w:tcPr>
            <w:tcW w:w="759" w:type="dxa"/>
          </w:tcPr>
          <w:p>
            <w:pPr>
              <w:pStyle w:val="TableParagraph"/>
              <w:spacing w:before="192"/>
              <w:ind w:left="50"/>
              <w:rPr>
                <w:rFonts w:ascii="Times New Roman"/>
                <w:sz w:val="21"/>
              </w:rPr>
            </w:pPr>
            <w:r>
              <w:rPr>
                <w:rFonts w:ascii="Times New Roman"/>
                <w:sz w:val="21"/>
              </w:rPr>
              <w:t>6.14</w:t>
            </w:r>
          </w:p>
        </w:tc>
        <w:tc>
          <w:tcPr>
            <w:tcW w:w="2114" w:type="dxa"/>
          </w:tcPr>
          <w:p>
            <w:pPr>
              <w:pStyle w:val="TableParagraph"/>
              <w:spacing w:before="147"/>
              <w:ind w:left="342"/>
              <w:rPr>
                <w:b/>
                <w:sz w:val="21"/>
              </w:rPr>
            </w:pPr>
            <w:r>
              <w:rPr>
                <w:b/>
                <w:w w:val="95"/>
                <w:sz w:val="21"/>
              </w:rPr>
              <w:t>双目失明</w:t>
            </w:r>
          </w:p>
        </w:tc>
        <w:tc>
          <w:tcPr>
            <w:tcW w:w="6483" w:type="dxa"/>
          </w:tcPr>
          <w:p>
            <w:pPr>
              <w:pStyle w:val="TableParagraph"/>
              <w:spacing w:before="147"/>
              <w:ind w:left="110"/>
              <w:rPr>
                <w:sz w:val="21"/>
              </w:rPr>
            </w:pPr>
            <w:r>
              <w:rPr>
                <w:sz w:val="21"/>
              </w:rPr>
              <w:t>指因疾病或意外伤害导致双眼视力永久不可逆性丧失，双眼中较好</w:t>
            </w:r>
          </w:p>
        </w:tc>
      </w:tr>
      <w:tr>
        <w:trPr>
          <w:trHeight w:val="300" w:hRule="atLeast"/>
        </w:trPr>
        <w:tc>
          <w:tcPr>
            <w:tcW w:w="759" w:type="dxa"/>
          </w:tcPr>
          <w:p>
            <w:pPr>
              <w:pStyle w:val="TableParagraph"/>
              <w:rPr>
                <w:rFonts w:ascii="Times New Roman"/>
                <w:sz w:val="20"/>
              </w:rPr>
            </w:pPr>
          </w:p>
        </w:tc>
        <w:tc>
          <w:tcPr>
            <w:tcW w:w="2114" w:type="dxa"/>
          </w:tcPr>
          <w:p>
            <w:pPr>
              <w:pStyle w:val="TableParagraph"/>
              <w:rPr>
                <w:rFonts w:ascii="Times New Roman"/>
                <w:sz w:val="20"/>
              </w:rPr>
            </w:pPr>
          </w:p>
        </w:tc>
        <w:tc>
          <w:tcPr>
            <w:tcW w:w="6483" w:type="dxa"/>
          </w:tcPr>
          <w:p>
            <w:pPr>
              <w:pStyle w:val="TableParagraph"/>
              <w:spacing w:line="255" w:lineRule="exact"/>
              <w:ind w:left="110"/>
              <w:rPr>
                <w:sz w:val="21"/>
              </w:rPr>
            </w:pPr>
            <w:r>
              <w:rPr>
                <w:sz w:val="21"/>
              </w:rPr>
              <w:t>眼须满足下列至少一项条件：</w:t>
            </w:r>
          </w:p>
        </w:tc>
      </w:tr>
      <w:tr>
        <w:trPr>
          <w:trHeight w:val="635" w:hRule="atLeast"/>
        </w:trPr>
        <w:tc>
          <w:tcPr>
            <w:tcW w:w="759" w:type="dxa"/>
          </w:tcPr>
          <w:p>
            <w:pPr>
              <w:pStyle w:val="TableParagraph"/>
              <w:rPr>
                <w:rFonts w:ascii="Times New Roman"/>
                <w:sz w:val="20"/>
              </w:rPr>
            </w:pPr>
          </w:p>
        </w:tc>
        <w:tc>
          <w:tcPr>
            <w:tcW w:w="2114" w:type="dxa"/>
          </w:tcPr>
          <w:p>
            <w:pPr>
              <w:pStyle w:val="TableParagraph"/>
              <w:rPr>
                <w:rFonts w:ascii="Times New Roman"/>
                <w:sz w:val="20"/>
              </w:rPr>
            </w:pPr>
          </w:p>
        </w:tc>
        <w:tc>
          <w:tcPr>
            <w:tcW w:w="6483" w:type="dxa"/>
          </w:tcPr>
          <w:p>
            <w:pPr>
              <w:pStyle w:val="TableParagraph"/>
              <w:spacing w:line="282" w:lineRule="exact"/>
              <w:ind w:left="110"/>
              <w:rPr>
                <w:sz w:val="21"/>
              </w:rPr>
            </w:pPr>
            <w:r>
              <w:rPr>
                <w:sz w:val="21"/>
              </w:rPr>
              <w:t>（</w:t>
            </w:r>
            <w:r>
              <w:rPr>
                <w:rFonts w:ascii="Times New Roman" w:eastAsia="Times New Roman"/>
                <w:sz w:val="21"/>
              </w:rPr>
              <w:t>1</w:t>
            </w:r>
            <w:r>
              <w:rPr>
                <w:sz w:val="21"/>
              </w:rPr>
              <w:t>）眼球缺失或摘除；</w:t>
            </w:r>
          </w:p>
          <w:p>
            <w:pPr>
              <w:pStyle w:val="TableParagraph"/>
              <w:spacing w:before="21"/>
              <w:ind w:left="110"/>
              <w:rPr>
                <w:sz w:val="21"/>
              </w:rPr>
            </w:pPr>
            <w:r>
              <w:rPr>
                <w:sz w:val="21"/>
              </w:rPr>
              <w:t>（</w:t>
            </w:r>
            <w:r>
              <w:rPr>
                <w:rFonts w:ascii="Times New Roman" w:eastAsia="Times New Roman"/>
                <w:sz w:val="21"/>
              </w:rPr>
              <w:t>2</w:t>
            </w:r>
            <w:r>
              <w:rPr>
                <w:sz w:val="21"/>
              </w:rPr>
              <w:t>）矫正视力低于 </w:t>
            </w:r>
            <w:r>
              <w:rPr>
                <w:rFonts w:ascii="Times New Roman" w:eastAsia="Times New Roman"/>
                <w:sz w:val="21"/>
              </w:rPr>
              <w:t>0.02</w:t>
            </w:r>
            <w:r>
              <w:rPr>
                <w:sz w:val="21"/>
              </w:rPr>
              <w:t>（采用国际标准视力表，如果使用其它视</w:t>
            </w:r>
          </w:p>
        </w:tc>
      </w:tr>
      <w:tr>
        <w:trPr>
          <w:trHeight w:val="300" w:hRule="atLeast"/>
        </w:trPr>
        <w:tc>
          <w:tcPr>
            <w:tcW w:w="759" w:type="dxa"/>
          </w:tcPr>
          <w:p>
            <w:pPr>
              <w:pStyle w:val="TableParagraph"/>
              <w:rPr>
                <w:rFonts w:ascii="Times New Roman"/>
                <w:sz w:val="20"/>
              </w:rPr>
            </w:pPr>
          </w:p>
        </w:tc>
        <w:tc>
          <w:tcPr>
            <w:tcW w:w="2114" w:type="dxa"/>
          </w:tcPr>
          <w:p>
            <w:pPr>
              <w:pStyle w:val="TableParagraph"/>
              <w:rPr>
                <w:rFonts w:ascii="Times New Roman"/>
                <w:sz w:val="20"/>
              </w:rPr>
            </w:pPr>
          </w:p>
        </w:tc>
        <w:tc>
          <w:tcPr>
            <w:tcW w:w="6483" w:type="dxa"/>
          </w:tcPr>
          <w:p>
            <w:pPr>
              <w:pStyle w:val="TableParagraph"/>
              <w:spacing w:line="255" w:lineRule="exact"/>
              <w:ind w:left="110"/>
              <w:rPr>
                <w:sz w:val="21"/>
              </w:rPr>
            </w:pPr>
            <w:r>
              <w:rPr>
                <w:sz w:val="21"/>
              </w:rPr>
              <w:t>力表应进行换算）；</w:t>
            </w:r>
          </w:p>
        </w:tc>
      </w:tr>
      <w:tr>
        <w:trPr>
          <w:trHeight w:val="433" w:hRule="atLeast"/>
        </w:trPr>
        <w:tc>
          <w:tcPr>
            <w:tcW w:w="759" w:type="dxa"/>
          </w:tcPr>
          <w:p>
            <w:pPr>
              <w:pStyle w:val="TableParagraph"/>
              <w:rPr>
                <w:rFonts w:ascii="Times New Roman"/>
                <w:sz w:val="20"/>
              </w:rPr>
            </w:pPr>
          </w:p>
        </w:tc>
        <w:tc>
          <w:tcPr>
            <w:tcW w:w="2114" w:type="dxa"/>
          </w:tcPr>
          <w:p>
            <w:pPr>
              <w:pStyle w:val="TableParagraph"/>
              <w:rPr>
                <w:rFonts w:ascii="Times New Roman"/>
                <w:sz w:val="20"/>
              </w:rPr>
            </w:pPr>
          </w:p>
        </w:tc>
        <w:tc>
          <w:tcPr>
            <w:tcW w:w="6483" w:type="dxa"/>
          </w:tcPr>
          <w:p>
            <w:pPr>
              <w:pStyle w:val="TableParagraph"/>
              <w:spacing w:line="282" w:lineRule="exact"/>
              <w:ind w:left="110"/>
              <w:rPr>
                <w:sz w:val="21"/>
              </w:rPr>
            </w:pPr>
            <w:r>
              <w:rPr>
                <w:sz w:val="21"/>
              </w:rPr>
              <w:t>（</w:t>
            </w:r>
            <w:r>
              <w:rPr>
                <w:rFonts w:ascii="Times New Roman" w:eastAsia="Times New Roman"/>
                <w:sz w:val="21"/>
              </w:rPr>
              <w:t>3</w:t>
            </w:r>
            <w:r>
              <w:rPr>
                <w:sz w:val="21"/>
              </w:rPr>
              <w:t>）视野半径小于 </w:t>
            </w:r>
            <w:r>
              <w:rPr>
                <w:rFonts w:ascii="Times New Roman" w:eastAsia="Times New Roman"/>
                <w:sz w:val="21"/>
              </w:rPr>
              <w:t>5 </w:t>
            </w:r>
            <w:r>
              <w:rPr>
                <w:sz w:val="21"/>
              </w:rPr>
              <w:t>度。</w:t>
            </w:r>
          </w:p>
        </w:tc>
      </w:tr>
      <w:tr>
        <w:trPr>
          <w:trHeight w:val="746" w:hRule="atLeast"/>
        </w:trPr>
        <w:tc>
          <w:tcPr>
            <w:tcW w:w="759" w:type="dxa"/>
          </w:tcPr>
          <w:p>
            <w:pPr>
              <w:pStyle w:val="TableParagraph"/>
              <w:spacing w:before="146"/>
              <w:ind w:left="50"/>
              <w:rPr>
                <w:rFonts w:ascii="Times New Roman"/>
                <w:sz w:val="21"/>
              </w:rPr>
            </w:pPr>
            <w:r>
              <w:rPr>
                <w:rFonts w:ascii="Times New Roman"/>
                <w:sz w:val="21"/>
              </w:rPr>
              <w:t>6.15</w:t>
            </w:r>
          </w:p>
        </w:tc>
        <w:tc>
          <w:tcPr>
            <w:tcW w:w="2114" w:type="dxa"/>
          </w:tcPr>
          <w:p>
            <w:pPr>
              <w:pStyle w:val="TableParagraph"/>
              <w:spacing w:before="103"/>
              <w:ind w:left="342"/>
              <w:rPr>
                <w:b/>
                <w:sz w:val="21"/>
              </w:rPr>
            </w:pPr>
            <w:r>
              <w:rPr>
                <w:b/>
                <w:w w:val="95"/>
                <w:sz w:val="21"/>
              </w:rPr>
              <w:t>瘫痪</w:t>
            </w:r>
          </w:p>
        </w:tc>
        <w:tc>
          <w:tcPr>
            <w:tcW w:w="6483" w:type="dxa"/>
          </w:tcPr>
          <w:p>
            <w:pPr>
              <w:pStyle w:val="TableParagraph"/>
              <w:spacing w:before="103"/>
              <w:ind w:left="110"/>
              <w:rPr>
                <w:sz w:val="21"/>
              </w:rPr>
            </w:pPr>
            <w:r>
              <w:rPr>
                <w:sz w:val="21"/>
              </w:rPr>
              <w:t>指因疾病或意外伤害导致两肢或两肢以上肢体机能永久完全丧失。</w:t>
            </w:r>
          </w:p>
          <w:p>
            <w:pPr>
              <w:pStyle w:val="TableParagraph"/>
              <w:spacing w:before="36"/>
              <w:ind w:left="110"/>
              <w:rPr>
                <w:rFonts w:ascii="Times New Roman" w:eastAsia="Times New Roman"/>
                <w:sz w:val="21"/>
              </w:rPr>
            </w:pPr>
            <w:r>
              <w:rPr>
                <w:sz w:val="21"/>
              </w:rPr>
              <w:t>肢体机能永久完全丧失，指疾病确诊 </w:t>
            </w:r>
            <w:r>
              <w:rPr>
                <w:rFonts w:ascii="Times New Roman" w:eastAsia="Times New Roman"/>
                <w:position w:val="1"/>
                <w:sz w:val="21"/>
              </w:rPr>
              <w:t>180 </w:t>
            </w:r>
            <w:r>
              <w:rPr>
                <w:sz w:val="21"/>
              </w:rPr>
              <w:t>天后或意外伤害发生 </w:t>
            </w:r>
            <w:r>
              <w:rPr>
                <w:rFonts w:ascii="Times New Roman" w:eastAsia="Times New Roman"/>
                <w:position w:val="1"/>
                <w:sz w:val="21"/>
              </w:rPr>
              <w:t>180</w:t>
            </w:r>
          </w:p>
        </w:tc>
      </w:tr>
      <w:tr>
        <w:trPr>
          <w:trHeight w:val="307" w:hRule="atLeast"/>
        </w:trPr>
        <w:tc>
          <w:tcPr>
            <w:tcW w:w="759" w:type="dxa"/>
          </w:tcPr>
          <w:p>
            <w:pPr>
              <w:pStyle w:val="TableParagraph"/>
              <w:rPr>
                <w:rFonts w:ascii="Times New Roman"/>
                <w:sz w:val="20"/>
              </w:rPr>
            </w:pPr>
          </w:p>
        </w:tc>
        <w:tc>
          <w:tcPr>
            <w:tcW w:w="2114" w:type="dxa"/>
          </w:tcPr>
          <w:p>
            <w:pPr>
              <w:pStyle w:val="TableParagraph"/>
              <w:rPr>
                <w:rFonts w:ascii="Times New Roman"/>
                <w:sz w:val="20"/>
              </w:rPr>
            </w:pPr>
          </w:p>
        </w:tc>
        <w:tc>
          <w:tcPr>
            <w:tcW w:w="6483" w:type="dxa"/>
          </w:tcPr>
          <w:p>
            <w:pPr>
              <w:pStyle w:val="TableParagraph"/>
              <w:spacing w:line="256" w:lineRule="exact"/>
              <w:ind w:left="110"/>
              <w:rPr>
                <w:sz w:val="21"/>
              </w:rPr>
            </w:pPr>
            <w:r>
              <w:rPr>
                <w:sz w:val="21"/>
              </w:rPr>
              <w:t>天后，每肢三大关节中的两大关节仍然完全僵硬，或不能随意识活</w:t>
            </w:r>
          </w:p>
        </w:tc>
      </w:tr>
      <w:tr>
        <w:trPr>
          <w:trHeight w:val="422" w:hRule="atLeast"/>
        </w:trPr>
        <w:tc>
          <w:tcPr>
            <w:tcW w:w="759" w:type="dxa"/>
          </w:tcPr>
          <w:p>
            <w:pPr>
              <w:pStyle w:val="TableParagraph"/>
              <w:rPr>
                <w:rFonts w:ascii="Times New Roman"/>
                <w:sz w:val="20"/>
              </w:rPr>
            </w:pPr>
          </w:p>
        </w:tc>
        <w:tc>
          <w:tcPr>
            <w:tcW w:w="2114" w:type="dxa"/>
          </w:tcPr>
          <w:p>
            <w:pPr>
              <w:pStyle w:val="TableParagraph"/>
              <w:rPr>
                <w:rFonts w:ascii="Times New Roman"/>
                <w:sz w:val="20"/>
              </w:rPr>
            </w:pPr>
          </w:p>
        </w:tc>
        <w:tc>
          <w:tcPr>
            <w:tcW w:w="6483" w:type="dxa"/>
          </w:tcPr>
          <w:p>
            <w:pPr>
              <w:pStyle w:val="TableParagraph"/>
              <w:spacing w:line="261" w:lineRule="exact"/>
              <w:ind w:left="110"/>
              <w:rPr>
                <w:sz w:val="21"/>
              </w:rPr>
            </w:pPr>
            <w:r>
              <w:rPr>
                <w:sz w:val="21"/>
              </w:rPr>
              <w:t>动。</w:t>
            </w:r>
          </w:p>
        </w:tc>
      </w:tr>
      <w:tr>
        <w:trPr>
          <w:trHeight w:val="439" w:hRule="atLeast"/>
        </w:trPr>
        <w:tc>
          <w:tcPr>
            <w:tcW w:w="759" w:type="dxa"/>
          </w:tcPr>
          <w:p>
            <w:pPr>
              <w:pStyle w:val="TableParagraph"/>
              <w:spacing w:before="152"/>
              <w:ind w:left="50"/>
              <w:rPr>
                <w:rFonts w:ascii="Times New Roman"/>
                <w:sz w:val="21"/>
              </w:rPr>
            </w:pPr>
            <w:r>
              <w:rPr>
                <w:rFonts w:ascii="Times New Roman"/>
                <w:sz w:val="21"/>
              </w:rPr>
              <w:t>6.16</w:t>
            </w:r>
          </w:p>
        </w:tc>
        <w:tc>
          <w:tcPr>
            <w:tcW w:w="2114" w:type="dxa"/>
          </w:tcPr>
          <w:p>
            <w:pPr>
              <w:pStyle w:val="TableParagraph"/>
              <w:spacing w:before="107"/>
              <w:ind w:left="342"/>
              <w:rPr>
                <w:b/>
                <w:sz w:val="21"/>
              </w:rPr>
            </w:pPr>
            <w:r>
              <w:rPr>
                <w:b/>
                <w:w w:val="95"/>
                <w:sz w:val="21"/>
              </w:rPr>
              <w:t>心脏瓣膜手术</w:t>
            </w:r>
          </w:p>
        </w:tc>
        <w:tc>
          <w:tcPr>
            <w:tcW w:w="6483" w:type="dxa"/>
          </w:tcPr>
          <w:p>
            <w:pPr>
              <w:pStyle w:val="TableParagraph"/>
              <w:spacing w:before="107"/>
              <w:ind w:left="110"/>
              <w:rPr>
                <w:sz w:val="21"/>
              </w:rPr>
            </w:pPr>
            <w:r>
              <w:rPr>
                <w:sz w:val="21"/>
              </w:rPr>
              <w:t>指为治疗心脏瓣膜疾病，实际实施了开胸进行的心脏瓣膜置换或修</w:t>
            </w:r>
          </w:p>
        </w:tc>
      </w:tr>
      <w:tr>
        <w:trPr>
          <w:trHeight w:val="416" w:hRule="atLeast"/>
        </w:trPr>
        <w:tc>
          <w:tcPr>
            <w:tcW w:w="759" w:type="dxa"/>
          </w:tcPr>
          <w:p>
            <w:pPr>
              <w:pStyle w:val="TableParagraph"/>
              <w:rPr>
                <w:rFonts w:ascii="Times New Roman"/>
                <w:sz w:val="20"/>
              </w:rPr>
            </w:pPr>
          </w:p>
        </w:tc>
        <w:tc>
          <w:tcPr>
            <w:tcW w:w="2114" w:type="dxa"/>
          </w:tcPr>
          <w:p>
            <w:pPr>
              <w:pStyle w:val="TableParagraph"/>
              <w:rPr>
                <w:rFonts w:ascii="Times New Roman"/>
                <w:sz w:val="20"/>
              </w:rPr>
            </w:pPr>
          </w:p>
        </w:tc>
        <w:tc>
          <w:tcPr>
            <w:tcW w:w="6483" w:type="dxa"/>
          </w:tcPr>
          <w:p>
            <w:pPr>
              <w:pStyle w:val="TableParagraph"/>
              <w:spacing w:line="255" w:lineRule="exact"/>
              <w:ind w:left="110"/>
              <w:rPr>
                <w:sz w:val="21"/>
              </w:rPr>
            </w:pPr>
            <w:r>
              <w:rPr>
                <w:sz w:val="21"/>
              </w:rPr>
              <w:t>复的手术。</w:t>
            </w:r>
          </w:p>
        </w:tc>
      </w:tr>
      <w:tr>
        <w:trPr>
          <w:trHeight w:val="440" w:hRule="atLeast"/>
        </w:trPr>
        <w:tc>
          <w:tcPr>
            <w:tcW w:w="759" w:type="dxa"/>
          </w:tcPr>
          <w:p>
            <w:pPr>
              <w:pStyle w:val="TableParagraph"/>
              <w:spacing w:before="152"/>
              <w:ind w:left="50"/>
              <w:rPr>
                <w:rFonts w:ascii="Times New Roman"/>
                <w:sz w:val="21"/>
              </w:rPr>
            </w:pPr>
            <w:r>
              <w:rPr>
                <w:rFonts w:ascii="Times New Roman"/>
                <w:sz w:val="21"/>
              </w:rPr>
              <w:t>6.17</w:t>
            </w:r>
          </w:p>
        </w:tc>
        <w:tc>
          <w:tcPr>
            <w:tcW w:w="2114" w:type="dxa"/>
          </w:tcPr>
          <w:p>
            <w:pPr>
              <w:pStyle w:val="TableParagraph"/>
              <w:spacing w:before="109"/>
              <w:ind w:left="342"/>
              <w:rPr>
                <w:b/>
                <w:sz w:val="21"/>
              </w:rPr>
            </w:pPr>
            <w:r>
              <w:rPr>
                <w:b/>
                <w:sz w:val="21"/>
              </w:rPr>
              <w:t>严重阿尔茨海默</w:t>
            </w:r>
          </w:p>
        </w:tc>
        <w:tc>
          <w:tcPr>
            <w:tcW w:w="6483" w:type="dxa"/>
          </w:tcPr>
          <w:p>
            <w:pPr>
              <w:pStyle w:val="TableParagraph"/>
              <w:spacing w:before="109"/>
              <w:ind w:left="110"/>
              <w:rPr>
                <w:sz w:val="21"/>
              </w:rPr>
            </w:pPr>
            <w:r>
              <w:rPr>
                <w:sz w:val="21"/>
              </w:rPr>
              <w:t>指因大脑进行性、不可逆性改变导致智能严重衰退或丧失，临床表</w:t>
            </w:r>
          </w:p>
        </w:tc>
      </w:tr>
      <w:tr>
        <w:trPr>
          <w:trHeight w:val="300" w:hRule="atLeast"/>
        </w:trPr>
        <w:tc>
          <w:tcPr>
            <w:tcW w:w="759" w:type="dxa"/>
          </w:tcPr>
          <w:p>
            <w:pPr>
              <w:pStyle w:val="TableParagraph"/>
              <w:rPr>
                <w:rFonts w:ascii="Times New Roman"/>
                <w:sz w:val="20"/>
              </w:rPr>
            </w:pPr>
          </w:p>
        </w:tc>
        <w:tc>
          <w:tcPr>
            <w:tcW w:w="2114" w:type="dxa"/>
          </w:tcPr>
          <w:p>
            <w:pPr>
              <w:pStyle w:val="TableParagraph"/>
              <w:spacing w:line="256" w:lineRule="exact"/>
              <w:ind w:left="342"/>
              <w:rPr>
                <w:b/>
                <w:sz w:val="21"/>
              </w:rPr>
            </w:pPr>
            <w:r>
              <w:rPr>
                <w:b/>
                <w:w w:val="99"/>
                <w:sz w:val="21"/>
              </w:rPr>
              <w:t>病</w:t>
            </w:r>
          </w:p>
        </w:tc>
        <w:tc>
          <w:tcPr>
            <w:tcW w:w="6483" w:type="dxa"/>
          </w:tcPr>
          <w:p>
            <w:pPr>
              <w:pStyle w:val="TableParagraph"/>
              <w:spacing w:line="256" w:lineRule="exact"/>
              <w:ind w:left="110"/>
              <w:rPr>
                <w:sz w:val="21"/>
              </w:rPr>
            </w:pPr>
            <w:r>
              <w:rPr>
                <w:sz w:val="21"/>
              </w:rPr>
              <w:t>现为明显的认知能力障碍、行为异常和社交能力减退，其日常生活</w:t>
            </w:r>
          </w:p>
        </w:tc>
      </w:tr>
      <w:tr>
        <w:trPr>
          <w:trHeight w:val="589" w:hRule="atLeast"/>
        </w:trPr>
        <w:tc>
          <w:tcPr>
            <w:tcW w:w="759" w:type="dxa"/>
          </w:tcPr>
          <w:p>
            <w:pPr>
              <w:pStyle w:val="TableParagraph"/>
              <w:rPr>
                <w:rFonts w:ascii="Times New Roman"/>
                <w:sz w:val="20"/>
              </w:rPr>
            </w:pPr>
          </w:p>
        </w:tc>
        <w:tc>
          <w:tcPr>
            <w:tcW w:w="2114" w:type="dxa"/>
          </w:tcPr>
          <w:p>
            <w:pPr>
              <w:pStyle w:val="TableParagraph"/>
              <w:rPr>
                <w:rFonts w:ascii="Times New Roman"/>
                <w:sz w:val="20"/>
              </w:rPr>
            </w:pPr>
          </w:p>
        </w:tc>
        <w:tc>
          <w:tcPr>
            <w:tcW w:w="6483" w:type="dxa"/>
          </w:tcPr>
          <w:p>
            <w:pPr>
              <w:pStyle w:val="TableParagraph"/>
              <w:spacing w:line="273" w:lineRule="exact"/>
              <w:ind w:left="110"/>
              <w:rPr>
                <w:sz w:val="21"/>
              </w:rPr>
            </w:pPr>
            <w:r>
              <w:rPr>
                <w:sz w:val="21"/>
              </w:rPr>
              <w:t>必须持续受到他人监护。须由头颅断层扫描（</w:t>
            </w:r>
            <w:r>
              <w:rPr>
                <w:rFonts w:ascii="Times New Roman" w:eastAsia="Times New Roman"/>
                <w:position w:val="1"/>
                <w:sz w:val="21"/>
              </w:rPr>
              <w:t>CT</w:t>
            </w:r>
            <w:r>
              <w:rPr>
                <w:sz w:val="21"/>
              </w:rPr>
              <w:t>）、核磁共振检查</w:t>
            </w:r>
          </w:p>
          <w:p>
            <w:pPr>
              <w:pStyle w:val="TableParagraph"/>
              <w:spacing w:line="265" w:lineRule="exact" w:before="31"/>
              <w:ind w:left="110"/>
              <w:rPr>
                <w:sz w:val="21"/>
              </w:rPr>
            </w:pPr>
            <w:r>
              <w:rPr>
                <w:sz w:val="21"/>
              </w:rPr>
              <w:t>（</w:t>
            </w:r>
            <w:r>
              <w:rPr>
                <w:rFonts w:ascii="Times New Roman" w:eastAsia="Times New Roman"/>
                <w:position w:val="1"/>
                <w:sz w:val="21"/>
              </w:rPr>
              <w:t>MRI</w:t>
            </w:r>
            <w:r>
              <w:rPr>
                <w:sz w:val="21"/>
              </w:rPr>
              <w:t>）或正电子发射断层扫描（</w:t>
            </w:r>
            <w:r>
              <w:rPr>
                <w:rFonts w:ascii="Times New Roman" w:eastAsia="Times New Roman"/>
                <w:position w:val="1"/>
                <w:sz w:val="21"/>
              </w:rPr>
              <w:t>PET</w:t>
            </w:r>
            <w:r>
              <w:rPr>
                <w:sz w:val="21"/>
              </w:rPr>
              <w:t>）等影像学检查证实，且自</w:t>
            </w:r>
          </w:p>
        </w:tc>
      </w:tr>
    </w:tbl>
    <w:p>
      <w:pPr>
        <w:spacing w:after="0" w:line="265" w:lineRule="exact"/>
        <w:rPr>
          <w:sz w:val="21"/>
        </w:rPr>
        <w:sectPr>
          <w:pgSz w:w="11900" w:h="16840"/>
          <w:pgMar w:header="0" w:footer="866" w:top="1280" w:bottom="1060" w:left="1000" w:right="132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9"/>
        <w:gridCol w:w="2113"/>
        <w:gridCol w:w="6275"/>
      </w:tblGrid>
      <w:tr>
        <w:trPr>
          <w:trHeight w:val="260" w:hRule="atLeast"/>
        </w:trPr>
        <w:tc>
          <w:tcPr>
            <w:tcW w:w="759" w:type="dxa"/>
          </w:tcPr>
          <w:p>
            <w:pPr>
              <w:pStyle w:val="TableParagraph"/>
              <w:rPr>
                <w:rFonts w:ascii="Times New Roman"/>
                <w:sz w:val="18"/>
              </w:rPr>
            </w:pPr>
          </w:p>
        </w:tc>
        <w:tc>
          <w:tcPr>
            <w:tcW w:w="2113" w:type="dxa"/>
          </w:tcPr>
          <w:p>
            <w:pPr>
              <w:pStyle w:val="TableParagraph"/>
              <w:rPr>
                <w:rFonts w:ascii="Times New Roman"/>
                <w:sz w:val="18"/>
              </w:rPr>
            </w:pPr>
          </w:p>
        </w:tc>
        <w:tc>
          <w:tcPr>
            <w:tcW w:w="6275" w:type="dxa"/>
          </w:tcPr>
          <w:p>
            <w:pPr>
              <w:pStyle w:val="TableParagraph"/>
              <w:spacing w:line="204" w:lineRule="exact"/>
              <w:ind w:left="110"/>
              <w:rPr>
                <w:sz w:val="21"/>
              </w:rPr>
            </w:pPr>
            <w:r>
              <w:rPr>
                <w:sz w:val="21"/>
              </w:rPr>
              <w:t>主生活能力完全丧失，无法独立完成六项基本日常生活活动中的三</w:t>
            </w:r>
          </w:p>
        </w:tc>
      </w:tr>
      <w:tr>
        <w:trPr>
          <w:trHeight w:val="311" w:hRule="atLeast"/>
        </w:trPr>
        <w:tc>
          <w:tcPr>
            <w:tcW w:w="759" w:type="dxa"/>
          </w:tcPr>
          <w:p>
            <w:pPr>
              <w:pStyle w:val="TableParagraph"/>
              <w:rPr>
                <w:rFonts w:ascii="Times New Roman"/>
                <w:sz w:val="20"/>
              </w:rPr>
            </w:pPr>
          </w:p>
        </w:tc>
        <w:tc>
          <w:tcPr>
            <w:tcW w:w="2113" w:type="dxa"/>
          </w:tcPr>
          <w:p>
            <w:pPr>
              <w:pStyle w:val="TableParagraph"/>
              <w:rPr>
                <w:rFonts w:ascii="Times New Roman"/>
                <w:sz w:val="20"/>
              </w:rPr>
            </w:pPr>
          </w:p>
        </w:tc>
        <w:tc>
          <w:tcPr>
            <w:tcW w:w="6275" w:type="dxa"/>
          </w:tcPr>
          <w:p>
            <w:pPr>
              <w:pStyle w:val="TableParagraph"/>
              <w:spacing w:line="255" w:lineRule="exact"/>
              <w:ind w:left="110"/>
              <w:rPr>
                <w:sz w:val="21"/>
              </w:rPr>
            </w:pPr>
            <w:r>
              <w:rPr>
                <w:sz w:val="21"/>
              </w:rPr>
              <w:t>项或三项以上。</w:t>
            </w:r>
          </w:p>
        </w:tc>
      </w:tr>
      <w:tr>
        <w:trPr>
          <w:trHeight w:val="422" w:hRule="atLeast"/>
        </w:trPr>
        <w:tc>
          <w:tcPr>
            <w:tcW w:w="759" w:type="dxa"/>
          </w:tcPr>
          <w:p>
            <w:pPr>
              <w:pStyle w:val="TableParagraph"/>
              <w:rPr>
                <w:rFonts w:ascii="Times New Roman"/>
                <w:sz w:val="20"/>
              </w:rPr>
            </w:pPr>
          </w:p>
        </w:tc>
        <w:tc>
          <w:tcPr>
            <w:tcW w:w="2113" w:type="dxa"/>
          </w:tcPr>
          <w:p>
            <w:pPr>
              <w:pStyle w:val="TableParagraph"/>
              <w:rPr>
                <w:rFonts w:ascii="Times New Roman"/>
                <w:sz w:val="20"/>
              </w:rPr>
            </w:pPr>
          </w:p>
        </w:tc>
        <w:tc>
          <w:tcPr>
            <w:tcW w:w="6275" w:type="dxa"/>
          </w:tcPr>
          <w:p>
            <w:pPr>
              <w:pStyle w:val="TableParagraph"/>
              <w:spacing w:line="255" w:lineRule="exact"/>
              <w:ind w:left="110"/>
              <w:rPr>
                <w:sz w:val="21"/>
              </w:rPr>
            </w:pPr>
            <w:r>
              <w:rPr>
                <w:sz w:val="21"/>
              </w:rPr>
              <w:t>神经官能症和精神疾病不在保障范围内。</w:t>
            </w:r>
          </w:p>
        </w:tc>
      </w:tr>
      <w:tr>
        <w:trPr>
          <w:trHeight w:val="1376" w:hRule="atLeast"/>
        </w:trPr>
        <w:tc>
          <w:tcPr>
            <w:tcW w:w="759" w:type="dxa"/>
          </w:tcPr>
          <w:p>
            <w:pPr>
              <w:pStyle w:val="TableParagraph"/>
              <w:spacing w:before="146"/>
              <w:ind w:left="50"/>
              <w:rPr>
                <w:rFonts w:ascii="Times New Roman"/>
                <w:sz w:val="21"/>
              </w:rPr>
            </w:pPr>
            <w:r>
              <w:rPr>
                <w:rFonts w:ascii="Times New Roman"/>
                <w:sz w:val="21"/>
              </w:rPr>
              <w:t>6.18</w:t>
            </w:r>
          </w:p>
        </w:tc>
        <w:tc>
          <w:tcPr>
            <w:tcW w:w="2113" w:type="dxa"/>
          </w:tcPr>
          <w:p>
            <w:pPr>
              <w:pStyle w:val="TableParagraph"/>
              <w:spacing w:before="103"/>
              <w:ind w:left="342"/>
              <w:rPr>
                <w:b/>
                <w:sz w:val="21"/>
              </w:rPr>
            </w:pPr>
            <w:r>
              <w:rPr>
                <w:b/>
                <w:w w:val="95"/>
                <w:sz w:val="21"/>
              </w:rPr>
              <w:t>严重脑损伤</w:t>
            </w:r>
          </w:p>
        </w:tc>
        <w:tc>
          <w:tcPr>
            <w:tcW w:w="6275" w:type="dxa"/>
          </w:tcPr>
          <w:p>
            <w:pPr>
              <w:pStyle w:val="TableParagraph"/>
              <w:spacing w:line="273" w:lineRule="auto" w:before="103"/>
              <w:ind w:left="111" w:right="53"/>
              <w:rPr>
                <w:sz w:val="21"/>
              </w:rPr>
            </w:pPr>
            <w:r>
              <w:rPr>
                <w:sz w:val="21"/>
              </w:rPr>
              <w:t>指因头部遭受机械性外力，引起脑重要部位损伤，导致神经系统永</w:t>
            </w:r>
            <w:r>
              <w:rPr>
                <w:spacing w:val="20"/>
                <w:sz w:val="21"/>
              </w:rPr>
              <w:t>久性的功能障碍。须由头颅断层扫描</w:t>
            </w:r>
            <w:r>
              <w:rPr>
                <w:sz w:val="21"/>
              </w:rPr>
              <w:t>（</w:t>
            </w:r>
            <w:r>
              <w:rPr>
                <w:spacing w:val="-60"/>
                <w:sz w:val="21"/>
              </w:rPr>
              <w:t> </w:t>
            </w:r>
            <w:r>
              <w:rPr>
                <w:rFonts w:ascii="Times New Roman" w:eastAsia="Times New Roman"/>
                <w:position w:val="1"/>
                <w:sz w:val="21"/>
              </w:rPr>
              <w:t>CT </w:t>
            </w:r>
            <w:r>
              <w:rPr>
                <w:sz w:val="21"/>
              </w:rPr>
              <w:t>）</w:t>
            </w:r>
            <w:r>
              <w:rPr>
                <w:spacing w:val="5"/>
                <w:sz w:val="21"/>
              </w:rPr>
              <w:t> 、核磁共振检查</w:t>
            </w:r>
          </w:p>
          <w:p>
            <w:pPr>
              <w:pStyle w:val="TableParagraph"/>
              <w:spacing w:line="279" w:lineRule="exact"/>
              <w:ind w:left="111"/>
              <w:rPr>
                <w:sz w:val="21"/>
              </w:rPr>
            </w:pPr>
            <w:r>
              <w:rPr>
                <w:sz w:val="21"/>
              </w:rPr>
              <w:t>（</w:t>
            </w:r>
            <w:r>
              <w:rPr>
                <w:rFonts w:ascii="Times New Roman" w:eastAsia="Times New Roman"/>
                <w:position w:val="1"/>
                <w:sz w:val="21"/>
              </w:rPr>
              <w:t>MRI</w:t>
            </w:r>
            <w:r>
              <w:rPr>
                <w:sz w:val="21"/>
              </w:rPr>
              <w:t>）或正电子发射断层扫描（</w:t>
            </w:r>
            <w:r>
              <w:rPr>
                <w:rFonts w:ascii="Times New Roman" w:eastAsia="Times New Roman"/>
                <w:position w:val="1"/>
                <w:sz w:val="21"/>
              </w:rPr>
              <w:t>PET</w:t>
            </w:r>
            <w:r>
              <w:rPr>
                <w:sz w:val="21"/>
              </w:rPr>
              <w:t>）等影像学检查证实。神经</w:t>
            </w:r>
          </w:p>
          <w:p>
            <w:pPr>
              <w:pStyle w:val="TableParagraph"/>
              <w:spacing w:before="31"/>
              <w:ind w:left="111"/>
              <w:rPr>
                <w:sz w:val="21"/>
              </w:rPr>
            </w:pPr>
            <w:r>
              <w:rPr>
                <w:sz w:val="21"/>
              </w:rPr>
              <w:t>系统永久性的功能障碍，指脑损伤 </w:t>
            </w:r>
            <w:r>
              <w:rPr>
                <w:rFonts w:ascii="Times New Roman" w:eastAsia="Times New Roman"/>
                <w:position w:val="1"/>
                <w:sz w:val="21"/>
              </w:rPr>
              <w:t>180 </w:t>
            </w:r>
            <w:r>
              <w:rPr>
                <w:sz w:val="21"/>
              </w:rPr>
              <w:t>天后，仍遗留下列一种或一</w:t>
            </w:r>
          </w:p>
        </w:tc>
      </w:tr>
      <w:tr>
        <w:trPr>
          <w:trHeight w:val="300" w:hRule="atLeast"/>
        </w:trPr>
        <w:tc>
          <w:tcPr>
            <w:tcW w:w="759" w:type="dxa"/>
          </w:tcPr>
          <w:p>
            <w:pPr>
              <w:pStyle w:val="TableParagraph"/>
              <w:rPr>
                <w:rFonts w:ascii="Times New Roman"/>
                <w:sz w:val="20"/>
              </w:rPr>
            </w:pPr>
          </w:p>
        </w:tc>
        <w:tc>
          <w:tcPr>
            <w:tcW w:w="2113" w:type="dxa"/>
          </w:tcPr>
          <w:p>
            <w:pPr>
              <w:pStyle w:val="TableParagraph"/>
              <w:rPr>
                <w:rFonts w:ascii="Times New Roman"/>
                <w:sz w:val="20"/>
              </w:rPr>
            </w:pPr>
          </w:p>
        </w:tc>
        <w:tc>
          <w:tcPr>
            <w:tcW w:w="6275" w:type="dxa"/>
          </w:tcPr>
          <w:p>
            <w:pPr>
              <w:pStyle w:val="TableParagraph"/>
              <w:spacing w:line="250" w:lineRule="exact"/>
              <w:ind w:left="111"/>
              <w:rPr>
                <w:sz w:val="21"/>
              </w:rPr>
            </w:pPr>
            <w:r>
              <w:rPr>
                <w:sz w:val="21"/>
              </w:rPr>
              <w:t>种以上障碍：</w:t>
            </w:r>
          </w:p>
        </w:tc>
      </w:tr>
      <w:tr>
        <w:trPr>
          <w:trHeight w:val="947" w:hRule="atLeast"/>
        </w:trPr>
        <w:tc>
          <w:tcPr>
            <w:tcW w:w="759" w:type="dxa"/>
          </w:tcPr>
          <w:p>
            <w:pPr>
              <w:pStyle w:val="TableParagraph"/>
              <w:rPr>
                <w:rFonts w:ascii="Times New Roman"/>
                <w:sz w:val="20"/>
              </w:rPr>
            </w:pPr>
          </w:p>
        </w:tc>
        <w:tc>
          <w:tcPr>
            <w:tcW w:w="2113" w:type="dxa"/>
          </w:tcPr>
          <w:p>
            <w:pPr>
              <w:pStyle w:val="TableParagraph"/>
              <w:rPr>
                <w:rFonts w:ascii="Times New Roman"/>
                <w:sz w:val="20"/>
              </w:rPr>
            </w:pPr>
          </w:p>
        </w:tc>
        <w:tc>
          <w:tcPr>
            <w:tcW w:w="6275" w:type="dxa"/>
          </w:tcPr>
          <w:p>
            <w:pPr>
              <w:pStyle w:val="TableParagraph"/>
              <w:spacing w:line="267" w:lineRule="exact"/>
              <w:ind w:left="110"/>
              <w:rPr>
                <w:sz w:val="21"/>
              </w:rPr>
            </w:pPr>
            <w:r>
              <w:rPr>
                <w:sz w:val="21"/>
              </w:rPr>
              <w:t>（</w:t>
            </w:r>
            <w:r>
              <w:rPr>
                <w:rFonts w:ascii="Times New Roman" w:eastAsia="Times New Roman"/>
                <w:position w:val="1"/>
                <w:sz w:val="21"/>
              </w:rPr>
              <w:t>1</w:t>
            </w:r>
            <w:r>
              <w:rPr>
                <w:sz w:val="21"/>
              </w:rPr>
              <w:t>）一肢或一肢以上肢体机能完全丧失；</w:t>
            </w:r>
          </w:p>
          <w:p>
            <w:pPr>
              <w:pStyle w:val="TableParagraph"/>
              <w:spacing w:before="31"/>
              <w:ind w:left="110"/>
              <w:rPr>
                <w:sz w:val="21"/>
              </w:rPr>
            </w:pPr>
            <w:r>
              <w:rPr>
                <w:sz w:val="21"/>
              </w:rPr>
              <w:t>（</w:t>
            </w:r>
            <w:r>
              <w:rPr>
                <w:rFonts w:ascii="Times New Roman" w:eastAsia="Times New Roman"/>
                <w:position w:val="1"/>
                <w:sz w:val="21"/>
              </w:rPr>
              <w:t>2</w:t>
            </w:r>
            <w:r>
              <w:rPr>
                <w:sz w:val="21"/>
              </w:rPr>
              <w:t>）语言能力或咀嚼吞咽能力完全丧失；</w:t>
            </w:r>
          </w:p>
          <w:p>
            <w:pPr>
              <w:pStyle w:val="TableParagraph"/>
              <w:spacing w:before="31"/>
              <w:ind w:left="110"/>
              <w:rPr>
                <w:sz w:val="21"/>
              </w:rPr>
            </w:pPr>
            <w:r>
              <w:rPr>
                <w:sz w:val="21"/>
              </w:rPr>
              <w:t>（</w:t>
            </w:r>
            <w:r>
              <w:rPr>
                <w:rFonts w:ascii="Times New Roman" w:eastAsia="Times New Roman"/>
                <w:position w:val="1"/>
                <w:sz w:val="21"/>
              </w:rPr>
              <w:t>3</w:t>
            </w:r>
            <w:r>
              <w:rPr>
                <w:sz w:val="21"/>
              </w:rPr>
              <w:t>）自主生活能力完全丧失，无法独立完成六项基本日常生活活</w:t>
            </w:r>
          </w:p>
        </w:tc>
      </w:tr>
      <w:tr>
        <w:trPr>
          <w:trHeight w:val="456" w:hRule="atLeast"/>
        </w:trPr>
        <w:tc>
          <w:tcPr>
            <w:tcW w:w="759" w:type="dxa"/>
          </w:tcPr>
          <w:p>
            <w:pPr>
              <w:pStyle w:val="TableParagraph"/>
              <w:rPr>
                <w:rFonts w:ascii="Times New Roman"/>
                <w:sz w:val="20"/>
              </w:rPr>
            </w:pPr>
          </w:p>
        </w:tc>
        <w:tc>
          <w:tcPr>
            <w:tcW w:w="2113" w:type="dxa"/>
          </w:tcPr>
          <w:p>
            <w:pPr>
              <w:pStyle w:val="TableParagraph"/>
              <w:rPr>
                <w:rFonts w:ascii="Times New Roman"/>
                <w:sz w:val="20"/>
              </w:rPr>
            </w:pPr>
          </w:p>
        </w:tc>
        <w:tc>
          <w:tcPr>
            <w:tcW w:w="6275" w:type="dxa"/>
          </w:tcPr>
          <w:p>
            <w:pPr>
              <w:pStyle w:val="TableParagraph"/>
              <w:spacing w:line="250" w:lineRule="exact"/>
              <w:ind w:left="110"/>
              <w:rPr>
                <w:sz w:val="21"/>
              </w:rPr>
            </w:pPr>
            <w:r>
              <w:rPr>
                <w:sz w:val="21"/>
              </w:rPr>
              <w:t>动中的三项或三项以上。</w:t>
            </w:r>
          </w:p>
        </w:tc>
      </w:tr>
      <w:tr>
        <w:trPr>
          <w:trHeight w:val="479" w:hRule="atLeast"/>
        </w:trPr>
        <w:tc>
          <w:tcPr>
            <w:tcW w:w="759" w:type="dxa"/>
          </w:tcPr>
          <w:p>
            <w:pPr>
              <w:pStyle w:val="TableParagraph"/>
              <w:spacing w:before="185"/>
              <w:ind w:left="50"/>
              <w:rPr>
                <w:rFonts w:ascii="Times New Roman"/>
                <w:sz w:val="21"/>
              </w:rPr>
            </w:pPr>
            <w:r>
              <w:rPr>
                <w:rFonts w:ascii="Times New Roman"/>
                <w:sz w:val="21"/>
              </w:rPr>
              <w:t>6.19</w:t>
            </w:r>
          </w:p>
        </w:tc>
        <w:tc>
          <w:tcPr>
            <w:tcW w:w="2113" w:type="dxa"/>
          </w:tcPr>
          <w:p>
            <w:pPr>
              <w:pStyle w:val="TableParagraph"/>
              <w:spacing w:before="142"/>
              <w:ind w:left="342"/>
              <w:rPr>
                <w:b/>
                <w:sz w:val="21"/>
              </w:rPr>
            </w:pPr>
            <w:r>
              <w:rPr>
                <w:b/>
                <w:w w:val="95"/>
                <w:sz w:val="21"/>
              </w:rPr>
              <w:t>严重帕金森病</w:t>
            </w:r>
          </w:p>
        </w:tc>
        <w:tc>
          <w:tcPr>
            <w:tcW w:w="6275" w:type="dxa"/>
          </w:tcPr>
          <w:p>
            <w:pPr>
              <w:pStyle w:val="TableParagraph"/>
              <w:spacing w:before="142"/>
              <w:ind w:left="110"/>
              <w:rPr>
                <w:sz w:val="21"/>
              </w:rPr>
            </w:pPr>
            <w:r>
              <w:rPr>
                <w:sz w:val="21"/>
              </w:rPr>
              <w:t>是一种中枢神经系统的退行性疾病，临床表现为震颤麻痹、共济失</w:t>
            </w:r>
          </w:p>
        </w:tc>
      </w:tr>
      <w:tr>
        <w:trPr>
          <w:trHeight w:val="300" w:hRule="atLeast"/>
        </w:trPr>
        <w:tc>
          <w:tcPr>
            <w:tcW w:w="759" w:type="dxa"/>
          </w:tcPr>
          <w:p>
            <w:pPr>
              <w:pStyle w:val="TableParagraph"/>
              <w:rPr>
                <w:rFonts w:ascii="Times New Roman"/>
                <w:sz w:val="20"/>
              </w:rPr>
            </w:pPr>
          </w:p>
        </w:tc>
        <w:tc>
          <w:tcPr>
            <w:tcW w:w="2113" w:type="dxa"/>
          </w:tcPr>
          <w:p>
            <w:pPr>
              <w:pStyle w:val="TableParagraph"/>
              <w:rPr>
                <w:rFonts w:ascii="Times New Roman"/>
                <w:sz w:val="20"/>
              </w:rPr>
            </w:pPr>
          </w:p>
        </w:tc>
        <w:tc>
          <w:tcPr>
            <w:tcW w:w="6275" w:type="dxa"/>
          </w:tcPr>
          <w:p>
            <w:pPr>
              <w:pStyle w:val="TableParagraph"/>
              <w:spacing w:line="250" w:lineRule="exact"/>
              <w:ind w:left="110"/>
              <w:rPr>
                <w:sz w:val="21"/>
              </w:rPr>
            </w:pPr>
            <w:r>
              <w:rPr>
                <w:sz w:val="21"/>
              </w:rPr>
              <w:t>调等。须满足下列全部条件：</w:t>
            </w:r>
          </w:p>
        </w:tc>
      </w:tr>
      <w:tr>
        <w:trPr>
          <w:trHeight w:val="635" w:hRule="atLeast"/>
        </w:trPr>
        <w:tc>
          <w:tcPr>
            <w:tcW w:w="759" w:type="dxa"/>
          </w:tcPr>
          <w:p>
            <w:pPr>
              <w:pStyle w:val="TableParagraph"/>
              <w:rPr>
                <w:rFonts w:ascii="Times New Roman"/>
                <w:sz w:val="20"/>
              </w:rPr>
            </w:pPr>
          </w:p>
        </w:tc>
        <w:tc>
          <w:tcPr>
            <w:tcW w:w="2113" w:type="dxa"/>
          </w:tcPr>
          <w:p>
            <w:pPr>
              <w:pStyle w:val="TableParagraph"/>
              <w:rPr>
                <w:rFonts w:ascii="Times New Roman"/>
                <w:sz w:val="20"/>
              </w:rPr>
            </w:pPr>
          </w:p>
        </w:tc>
        <w:tc>
          <w:tcPr>
            <w:tcW w:w="6275" w:type="dxa"/>
          </w:tcPr>
          <w:p>
            <w:pPr>
              <w:pStyle w:val="TableParagraph"/>
              <w:spacing w:line="267" w:lineRule="exact"/>
              <w:ind w:left="110"/>
              <w:rPr>
                <w:sz w:val="21"/>
              </w:rPr>
            </w:pPr>
            <w:r>
              <w:rPr>
                <w:sz w:val="21"/>
              </w:rPr>
              <w:t>（</w:t>
            </w:r>
            <w:r>
              <w:rPr>
                <w:rFonts w:ascii="Times New Roman" w:eastAsia="Times New Roman"/>
                <w:position w:val="1"/>
                <w:sz w:val="21"/>
              </w:rPr>
              <w:t>1</w:t>
            </w:r>
            <w:r>
              <w:rPr>
                <w:sz w:val="21"/>
              </w:rPr>
              <w:t>）药物治疗无法控制病情；</w:t>
            </w:r>
          </w:p>
          <w:p>
            <w:pPr>
              <w:pStyle w:val="TableParagraph"/>
              <w:spacing w:before="31"/>
              <w:ind w:left="110"/>
              <w:rPr>
                <w:sz w:val="21"/>
              </w:rPr>
            </w:pPr>
            <w:r>
              <w:rPr>
                <w:sz w:val="21"/>
              </w:rPr>
              <w:t>（</w:t>
            </w:r>
            <w:r>
              <w:rPr>
                <w:rFonts w:ascii="Times New Roman" w:eastAsia="Times New Roman"/>
                <w:position w:val="1"/>
                <w:sz w:val="21"/>
              </w:rPr>
              <w:t>2</w:t>
            </w:r>
            <w:r>
              <w:rPr>
                <w:sz w:val="21"/>
              </w:rPr>
              <w:t>）自主生活能力完全丧失，无法独立完成六项基本日常生活活</w:t>
            </w:r>
          </w:p>
        </w:tc>
      </w:tr>
      <w:tr>
        <w:trPr>
          <w:trHeight w:val="307" w:hRule="atLeast"/>
        </w:trPr>
        <w:tc>
          <w:tcPr>
            <w:tcW w:w="759" w:type="dxa"/>
          </w:tcPr>
          <w:p>
            <w:pPr>
              <w:pStyle w:val="TableParagraph"/>
              <w:rPr>
                <w:rFonts w:ascii="Times New Roman"/>
                <w:sz w:val="20"/>
              </w:rPr>
            </w:pPr>
          </w:p>
        </w:tc>
        <w:tc>
          <w:tcPr>
            <w:tcW w:w="2113" w:type="dxa"/>
          </w:tcPr>
          <w:p>
            <w:pPr>
              <w:pStyle w:val="TableParagraph"/>
              <w:rPr>
                <w:rFonts w:ascii="Times New Roman"/>
                <w:sz w:val="20"/>
              </w:rPr>
            </w:pPr>
          </w:p>
        </w:tc>
        <w:tc>
          <w:tcPr>
            <w:tcW w:w="6275" w:type="dxa"/>
          </w:tcPr>
          <w:p>
            <w:pPr>
              <w:pStyle w:val="TableParagraph"/>
              <w:spacing w:line="250" w:lineRule="exact"/>
              <w:ind w:left="110"/>
              <w:rPr>
                <w:sz w:val="21"/>
              </w:rPr>
            </w:pPr>
            <w:r>
              <w:rPr>
                <w:sz w:val="21"/>
              </w:rPr>
              <w:t>动中的三项或三项以上。</w:t>
            </w:r>
          </w:p>
        </w:tc>
      </w:tr>
      <w:tr>
        <w:trPr>
          <w:trHeight w:val="422" w:hRule="atLeast"/>
        </w:trPr>
        <w:tc>
          <w:tcPr>
            <w:tcW w:w="759" w:type="dxa"/>
          </w:tcPr>
          <w:p>
            <w:pPr>
              <w:pStyle w:val="TableParagraph"/>
              <w:rPr>
                <w:rFonts w:ascii="Times New Roman"/>
                <w:sz w:val="20"/>
              </w:rPr>
            </w:pPr>
          </w:p>
        </w:tc>
        <w:tc>
          <w:tcPr>
            <w:tcW w:w="2113" w:type="dxa"/>
          </w:tcPr>
          <w:p>
            <w:pPr>
              <w:pStyle w:val="TableParagraph"/>
              <w:rPr>
                <w:rFonts w:ascii="Times New Roman"/>
                <w:sz w:val="20"/>
              </w:rPr>
            </w:pPr>
          </w:p>
        </w:tc>
        <w:tc>
          <w:tcPr>
            <w:tcW w:w="6275" w:type="dxa"/>
          </w:tcPr>
          <w:p>
            <w:pPr>
              <w:pStyle w:val="TableParagraph"/>
              <w:spacing w:line="255" w:lineRule="exact"/>
              <w:ind w:left="110"/>
              <w:rPr>
                <w:sz w:val="21"/>
              </w:rPr>
            </w:pPr>
            <w:r>
              <w:rPr>
                <w:sz w:val="21"/>
              </w:rPr>
              <w:t>继发性帕金森综合征不在保障范围内。</w:t>
            </w:r>
          </w:p>
        </w:tc>
      </w:tr>
      <w:tr>
        <w:trPr>
          <w:trHeight w:val="861" w:hRule="atLeast"/>
        </w:trPr>
        <w:tc>
          <w:tcPr>
            <w:tcW w:w="759" w:type="dxa"/>
          </w:tcPr>
          <w:p>
            <w:pPr>
              <w:pStyle w:val="TableParagraph"/>
              <w:spacing w:before="146"/>
              <w:ind w:left="50"/>
              <w:rPr>
                <w:rFonts w:ascii="Times New Roman"/>
                <w:sz w:val="21"/>
              </w:rPr>
            </w:pPr>
            <w:r>
              <w:rPr>
                <w:rFonts w:ascii="Times New Roman"/>
                <w:sz w:val="21"/>
              </w:rPr>
              <w:t>6.20</w:t>
            </w:r>
          </w:p>
        </w:tc>
        <w:tc>
          <w:tcPr>
            <w:tcW w:w="2113" w:type="dxa"/>
          </w:tcPr>
          <w:p>
            <w:pPr>
              <w:pStyle w:val="TableParagraph"/>
              <w:spacing w:before="101"/>
              <w:ind w:left="342"/>
              <w:rPr>
                <w:b/>
                <w:sz w:val="21"/>
              </w:rPr>
            </w:pPr>
            <w:r>
              <w:rPr>
                <w:b/>
                <w:w w:val="95"/>
                <w:sz w:val="21"/>
              </w:rPr>
              <w:t>严重Ⅲ度烧伤</w:t>
            </w:r>
          </w:p>
        </w:tc>
        <w:tc>
          <w:tcPr>
            <w:tcW w:w="6275" w:type="dxa"/>
          </w:tcPr>
          <w:p>
            <w:pPr>
              <w:pStyle w:val="TableParagraph"/>
              <w:spacing w:before="101"/>
              <w:ind w:left="110"/>
              <w:rPr>
                <w:sz w:val="21"/>
              </w:rPr>
            </w:pPr>
            <w:r>
              <w:rPr>
                <w:sz w:val="21"/>
              </w:rPr>
              <w:t>指烧伤程度为Ⅲ度，且Ⅲ度烧伤的面积达到全身体表面积的 </w:t>
            </w:r>
            <w:r>
              <w:rPr>
                <w:rFonts w:ascii="Times New Roman" w:hAnsi="Times New Roman" w:eastAsia="Times New Roman"/>
                <w:sz w:val="21"/>
              </w:rPr>
              <w:t>20</w:t>
            </w:r>
            <w:r>
              <w:rPr>
                <w:sz w:val="21"/>
              </w:rPr>
              <w:t>％</w:t>
            </w:r>
          </w:p>
          <w:p>
            <w:pPr>
              <w:pStyle w:val="TableParagraph"/>
              <w:spacing w:before="21"/>
              <w:ind w:left="110"/>
              <w:rPr>
                <w:sz w:val="21"/>
              </w:rPr>
            </w:pPr>
            <w:r>
              <w:rPr>
                <w:sz w:val="21"/>
              </w:rPr>
              <w:t>或 </w:t>
            </w:r>
            <w:r>
              <w:rPr>
                <w:rFonts w:ascii="Times New Roman" w:eastAsia="Times New Roman"/>
                <w:sz w:val="21"/>
              </w:rPr>
              <w:t>20</w:t>
            </w:r>
            <w:r>
              <w:rPr>
                <w:sz w:val="21"/>
              </w:rPr>
              <w:t>％以上。体表面积根据《中国新九分法》计算。</w:t>
            </w:r>
          </w:p>
        </w:tc>
      </w:tr>
      <w:tr>
        <w:trPr>
          <w:trHeight w:val="434" w:hRule="atLeast"/>
        </w:trPr>
        <w:tc>
          <w:tcPr>
            <w:tcW w:w="759" w:type="dxa"/>
          </w:tcPr>
          <w:p>
            <w:pPr>
              <w:pStyle w:val="TableParagraph"/>
              <w:spacing w:before="140"/>
              <w:ind w:left="50"/>
              <w:rPr>
                <w:rFonts w:ascii="Times New Roman"/>
                <w:sz w:val="21"/>
              </w:rPr>
            </w:pPr>
            <w:r>
              <w:rPr>
                <w:rFonts w:ascii="Times New Roman"/>
                <w:sz w:val="21"/>
              </w:rPr>
              <w:t>6.21</w:t>
            </w:r>
          </w:p>
        </w:tc>
        <w:tc>
          <w:tcPr>
            <w:tcW w:w="2113" w:type="dxa"/>
          </w:tcPr>
          <w:p>
            <w:pPr>
              <w:pStyle w:val="TableParagraph"/>
              <w:spacing w:before="97"/>
              <w:ind w:left="342"/>
              <w:rPr>
                <w:b/>
                <w:sz w:val="21"/>
              </w:rPr>
            </w:pPr>
            <w:r>
              <w:rPr>
                <w:b/>
                <w:sz w:val="21"/>
              </w:rPr>
              <w:t>严重原发性肺动</w:t>
            </w:r>
          </w:p>
        </w:tc>
        <w:tc>
          <w:tcPr>
            <w:tcW w:w="6275" w:type="dxa"/>
          </w:tcPr>
          <w:p>
            <w:pPr>
              <w:pStyle w:val="TableParagraph"/>
              <w:spacing w:before="97"/>
              <w:ind w:left="110"/>
              <w:rPr>
                <w:sz w:val="21"/>
              </w:rPr>
            </w:pPr>
            <w:r>
              <w:rPr>
                <w:sz w:val="21"/>
              </w:rPr>
              <w:t>指不明原因的肺动脉压力持续性增高，进行性发展而导致的慢性疾</w:t>
            </w:r>
          </w:p>
        </w:tc>
      </w:tr>
      <w:tr>
        <w:trPr>
          <w:trHeight w:val="307" w:hRule="atLeast"/>
        </w:trPr>
        <w:tc>
          <w:tcPr>
            <w:tcW w:w="759" w:type="dxa"/>
          </w:tcPr>
          <w:p>
            <w:pPr>
              <w:pStyle w:val="TableParagraph"/>
              <w:rPr>
                <w:rFonts w:ascii="Times New Roman"/>
                <w:sz w:val="20"/>
              </w:rPr>
            </w:pPr>
          </w:p>
        </w:tc>
        <w:tc>
          <w:tcPr>
            <w:tcW w:w="2113" w:type="dxa"/>
          </w:tcPr>
          <w:p>
            <w:pPr>
              <w:pStyle w:val="TableParagraph"/>
              <w:spacing w:line="250" w:lineRule="exact"/>
              <w:ind w:left="342"/>
              <w:rPr>
                <w:b/>
                <w:sz w:val="21"/>
              </w:rPr>
            </w:pPr>
            <w:r>
              <w:rPr>
                <w:b/>
                <w:w w:val="95"/>
                <w:sz w:val="21"/>
              </w:rPr>
              <w:t>脉高压</w:t>
            </w:r>
          </w:p>
        </w:tc>
        <w:tc>
          <w:tcPr>
            <w:tcW w:w="6275" w:type="dxa"/>
          </w:tcPr>
          <w:p>
            <w:pPr>
              <w:pStyle w:val="TableParagraph"/>
              <w:spacing w:line="250" w:lineRule="exact"/>
              <w:ind w:left="110"/>
              <w:rPr>
                <w:b/>
                <w:sz w:val="21"/>
              </w:rPr>
            </w:pPr>
            <w:r>
              <w:rPr>
                <w:w w:val="95"/>
                <w:sz w:val="21"/>
              </w:rPr>
              <w:t>病，已经造成永久不可逆性的体力活动能力受限，达到</w:t>
            </w:r>
            <w:r>
              <w:rPr>
                <w:b/>
                <w:w w:val="95"/>
                <w:sz w:val="21"/>
              </w:rPr>
              <w:t>美国纽约心</w:t>
            </w:r>
          </w:p>
        </w:tc>
      </w:tr>
      <w:tr>
        <w:trPr>
          <w:trHeight w:val="305" w:hRule="atLeast"/>
        </w:trPr>
        <w:tc>
          <w:tcPr>
            <w:tcW w:w="759" w:type="dxa"/>
          </w:tcPr>
          <w:p>
            <w:pPr>
              <w:pStyle w:val="TableParagraph"/>
              <w:rPr>
                <w:rFonts w:ascii="Times New Roman"/>
                <w:sz w:val="20"/>
              </w:rPr>
            </w:pPr>
          </w:p>
        </w:tc>
        <w:tc>
          <w:tcPr>
            <w:tcW w:w="2113" w:type="dxa"/>
          </w:tcPr>
          <w:p>
            <w:pPr>
              <w:pStyle w:val="TableParagraph"/>
              <w:rPr>
                <w:rFonts w:ascii="Times New Roman"/>
                <w:sz w:val="20"/>
              </w:rPr>
            </w:pPr>
          </w:p>
        </w:tc>
        <w:tc>
          <w:tcPr>
            <w:tcW w:w="6275" w:type="dxa"/>
          </w:tcPr>
          <w:p>
            <w:pPr>
              <w:pStyle w:val="TableParagraph"/>
              <w:spacing w:line="255" w:lineRule="exact"/>
              <w:ind w:left="110"/>
              <w:rPr>
                <w:sz w:val="21"/>
              </w:rPr>
            </w:pPr>
            <w:r>
              <w:rPr>
                <w:b/>
                <w:sz w:val="21"/>
              </w:rPr>
              <w:t>脏病学会心功能状态分级Ⅳ级</w:t>
            </w:r>
            <w:r>
              <w:rPr>
                <w:sz w:val="21"/>
              </w:rPr>
              <w:t>，且静息状态下肺动脉平均压超过</w:t>
            </w:r>
          </w:p>
        </w:tc>
      </w:tr>
      <w:tr>
        <w:trPr>
          <w:trHeight w:val="433" w:hRule="atLeast"/>
        </w:trPr>
        <w:tc>
          <w:tcPr>
            <w:tcW w:w="759" w:type="dxa"/>
          </w:tcPr>
          <w:p>
            <w:pPr>
              <w:pStyle w:val="TableParagraph"/>
              <w:rPr>
                <w:rFonts w:ascii="Times New Roman"/>
                <w:sz w:val="20"/>
              </w:rPr>
            </w:pPr>
          </w:p>
        </w:tc>
        <w:tc>
          <w:tcPr>
            <w:tcW w:w="2113" w:type="dxa"/>
          </w:tcPr>
          <w:p>
            <w:pPr>
              <w:pStyle w:val="TableParagraph"/>
              <w:rPr>
                <w:rFonts w:ascii="Times New Roman"/>
                <w:sz w:val="20"/>
              </w:rPr>
            </w:pPr>
          </w:p>
        </w:tc>
        <w:tc>
          <w:tcPr>
            <w:tcW w:w="6275" w:type="dxa"/>
          </w:tcPr>
          <w:p>
            <w:pPr>
              <w:pStyle w:val="TableParagraph"/>
              <w:spacing w:line="267" w:lineRule="exact"/>
              <w:ind w:left="110"/>
              <w:rPr>
                <w:sz w:val="21"/>
              </w:rPr>
            </w:pPr>
            <w:r>
              <w:rPr>
                <w:rFonts w:ascii="Times New Roman" w:eastAsia="Times New Roman"/>
                <w:position w:val="1"/>
                <w:sz w:val="21"/>
              </w:rPr>
              <w:t>30mmHg</w:t>
            </w:r>
            <w:r>
              <w:rPr>
                <w:sz w:val="21"/>
              </w:rPr>
              <w:t>。</w:t>
            </w:r>
          </w:p>
        </w:tc>
      </w:tr>
      <w:tr>
        <w:trPr>
          <w:trHeight w:val="434" w:hRule="atLeast"/>
        </w:trPr>
        <w:tc>
          <w:tcPr>
            <w:tcW w:w="759" w:type="dxa"/>
          </w:tcPr>
          <w:p>
            <w:pPr>
              <w:pStyle w:val="TableParagraph"/>
              <w:spacing w:before="141"/>
              <w:ind w:left="50"/>
              <w:rPr>
                <w:rFonts w:ascii="Times New Roman"/>
                <w:sz w:val="21"/>
              </w:rPr>
            </w:pPr>
            <w:r>
              <w:rPr>
                <w:rFonts w:ascii="Times New Roman"/>
                <w:sz w:val="21"/>
              </w:rPr>
              <w:t>6.22</w:t>
            </w:r>
          </w:p>
        </w:tc>
        <w:tc>
          <w:tcPr>
            <w:tcW w:w="2113" w:type="dxa"/>
          </w:tcPr>
          <w:p>
            <w:pPr>
              <w:pStyle w:val="TableParagraph"/>
              <w:spacing w:before="96"/>
              <w:ind w:left="342"/>
              <w:rPr>
                <w:b/>
                <w:sz w:val="21"/>
              </w:rPr>
            </w:pPr>
            <w:r>
              <w:rPr>
                <w:b/>
                <w:sz w:val="21"/>
              </w:rPr>
              <w:t>严重运动神经元</w:t>
            </w:r>
          </w:p>
        </w:tc>
        <w:tc>
          <w:tcPr>
            <w:tcW w:w="6275" w:type="dxa"/>
          </w:tcPr>
          <w:p>
            <w:pPr>
              <w:pStyle w:val="TableParagraph"/>
              <w:spacing w:before="96"/>
              <w:ind w:left="110"/>
              <w:rPr>
                <w:sz w:val="21"/>
              </w:rPr>
            </w:pPr>
            <w:r>
              <w:rPr>
                <w:sz w:val="21"/>
              </w:rPr>
              <w:t>是一组中枢神经系统运动神经元的进行性变性疾病，包括进行性脊</w:t>
            </w:r>
          </w:p>
        </w:tc>
      </w:tr>
      <w:tr>
        <w:trPr>
          <w:trHeight w:val="306" w:hRule="atLeast"/>
        </w:trPr>
        <w:tc>
          <w:tcPr>
            <w:tcW w:w="759" w:type="dxa"/>
          </w:tcPr>
          <w:p>
            <w:pPr>
              <w:pStyle w:val="TableParagraph"/>
              <w:rPr>
                <w:rFonts w:ascii="Times New Roman"/>
                <w:sz w:val="20"/>
              </w:rPr>
            </w:pPr>
          </w:p>
        </w:tc>
        <w:tc>
          <w:tcPr>
            <w:tcW w:w="2113" w:type="dxa"/>
          </w:tcPr>
          <w:p>
            <w:pPr>
              <w:pStyle w:val="TableParagraph"/>
              <w:spacing w:line="249" w:lineRule="exact"/>
              <w:ind w:left="342"/>
              <w:rPr>
                <w:b/>
                <w:sz w:val="21"/>
              </w:rPr>
            </w:pPr>
            <w:r>
              <w:rPr>
                <w:b/>
                <w:w w:val="99"/>
                <w:sz w:val="21"/>
              </w:rPr>
              <w:t>病</w:t>
            </w:r>
          </w:p>
        </w:tc>
        <w:tc>
          <w:tcPr>
            <w:tcW w:w="6275" w:type="dxa"/>
          </w:tcPr>
          <w:p>
            <w:pPr>
              <w:pStyle w:val="TableParagraph"/>
              <w:spacing w:line="249" w:lineRule="exact"/>
              <w:ind w:left="110"/>
              <w:rPr>
                <w:sz w:val="21"/>
              </w:rPr>
            </w:pPr>
            <w:r>
              <w:rPr>
                <w:spacing w:val="-16"/>
                <w:sz w:val="21"/>
              </w:rPr>
              <w:t>肌萎缩症、进行性延髓麻痹症、原发性侧索硬化症、肌萎缩性侧索硬</w:t>
            </w:r>
          </w:p>
        </w:tc>
      </w:tr>
      <w:tr>
        <w:trPr>
          <w:trHeight w:val="312" w:hRule="atLeast"/>
        </w:trPr>
        <w:tc>
          <w:tcPr>
            <w:tcW w:w="759" w:type="dxa"/>
          </w:tcPr>
          <w:p>
            <w:pPr>
              <w:pStyle w:val="TableParagraph"/>
              <w:rPr>
                <w:rFonts w:ascii="Times New Roman"/>
                <w:sz w:val="20"/>
              </w:rPr>
            </w:pPr>
          </w:p>
        </w:tc>
        <w:tc>
          <w:tcPr>
            <w:tcW w:w="2113" w:type="dxa"/>
          </w:tcPr>
          <w:p>
            <w:pPr>
              <w:pStyle w:val="TableParagraph"/>
              <w:rPr>
                <w:rFonts w:ascii="Times New Roman"/>
                <w:sz w:val="20"/>
              </w:rPr>
            </w:pPr>
          </w:p>
        </w:tc>
        <w:tc>
          <w:tcPr>
            <w:tcW w:w="6275" w:type="dxa"/>
          </w:tcPr>
          <w:p>
            <w:pPr>
              <w:pStyle w:val="TableParagraph"/>
              <w:spacing w:line="255" w:lineRule="exact"/>
              <w:ind w:left="110"/>
              <w:rPr>
                <w:sz w:val="21"/>
              </w:rPr>
            </w:pPr>
            <w:r>
              <w:rPr>
                <w:sz w:val="21"/>
              </w:rPr>
              <w:t>化症。须满足自主生活能力完全丧失，无法独立完成六项基本日常</w:t>
            </w:r>
          </w:p>
        </w:tc>
      </w:tr>
      <w:tr>
        <w:trPr>
          <w:trHeight w:val="462" w:hRule="atLeast"/>
        </w:trPr>
        <w:tc>
          <w:tcPr>
            <w:tcW w:w="759" w:type="dxa"/>
          </w:tcPr>
          <w:p>
            <w:pPr>
              <w:pStyle w:val="TableParagraph"/>
              <w:rPr>
                <w:rFonts w:ascii="Times New Roman"/>
                <w:sz w:val="20"/>
              </w:rPr>
            </w:pPr>
          </w:p>
        </w:tc>
        <w:tc>
          <w:tcPr>
            <w:tcW w:w="2113" w:type="dxa"/>
          </w:tcPr>
          <w:p>
            <w:pPr>
              <w:pStyle w:val="TableParagraph"/>
              <w:rPr>
                <w:rFonts w:ascii="Times New Roman"/>
                <w:sz w:val="20"/>
              </w:rPr>
            </w:pPr>
          </w:p>
        </w:tc>
        <w:tc>
          <w:tcPr>
            <w:tcW w:w="6275" w:type="dxa"/>
          </w:tcPr>
          <w:p>
            <w:pPr>
              <w:pStyle w:val="TableParagraph"/>
              <w:spacing w:line="255" w:lineRule="exact"/>
              <w:ind w:left="110"/>
              <w:rPr>
                <w:sz w:val="21"/>
              </w:rPr>
            </w:pPr>
            <w:r>
              <w:rPr>
                <w:sz w:val="21"/>
              </w:rPr>
              <w:t>生活活动中的三项或三项以上的条件。</w:t>
            </w:r>
          </w:p>
        </w:tc>
      </w:tr>
      <w:tr>
        <w:trPr>
          <w:trHeight w:val="791" w:hRule="atLeast"/>
        </w:trPr>
        <w:tc>
          <w:tcPr>
            <w:tcW w:w="759" w:type="dxa"/>
          </w:tcPr>
          <w:p>
            <w:pPr>
              <w:pStyle w:val="TableParagraph"/>
              <w:spacing w:before="186"/>
              <w:ind w:left="50"/>
              <w:rPr>
                <w:rFonts w:ascii="Times New Roman"/>
                <w:sz w:val="21"/>
              </w:rPr>
            </w:pPr>
            <w:r>
              <w:rPr>
                <w:rFonts w:ascii="Times New Roman"/>
                <w:sz w:val="21"/>
              </w:rPr>
              <w:t>6.23</w:t>
            </w:r>
          </w:p>
        </w:tc>
        <w:tc>
          <w:tcPr>
            <w:tcW w:w="2113" w:type="dxa"/>
          </w:tcPr>
          <w:p>
            <w:pPr>
              <w:pStyle w:val="TableParagraph"/>
              <w:spacing w:before="141"/>
              <w:ind w:left="342"/>
              <w:rPr>
                <w:b/>
                <w:sz w:val="21"/>
              </w:rPr>
            </w:pPr>
            <w:r>
              <w:rPr>
                <w:b/>
                <w:w w:val="95"/>
                <w:sz w:val="21"/>
              </w:rPr>
              <w:t>语言能力丧失</w:t>
            </w:r>
          </w:p>
        </w:tc>
        <w:tc>
          <w:tcPr>
            <w:tcW w:w="6275" w:type="dxa"/>
          </w:tcPr>
          <w:p>
            <w:pPr>
              <w:pStyle w:val="TableParagraph"/>
              <w:spacing w:before="141"/>
              <w:ind w:left="110"/>
              <w:rPr>
                <w:sz w:val="21"/>
              </w:rPr>
            </w:pPr>
            <w:r>
              <w:rPr>
                <w:sz w:val="21"/>
              </w:rPr>
              <w:t>指因疾病或意外伤害导致完全丧失语言能力，经过积极治疗至少</w:t>
            </w:r>
          </w:p>
          <w:p>
            <w:pPr>
              <w:pStyle w:val="TableParagraph"/>
              <w:spacing w:before="37"/>
              <w:ind w:left="110"/>
              <w:rPr>
                <w:sz w:val="21"/>
              </w:rPr>
            </w:pPr>
            <w:r>
              <w:rPr>
                <w:rFonts w:ascii="Times New Roman" w:eastAsia="Times New Roman"/>
                <w:sz w:val="21"/>
              </w:rPr>
              <w:t>12 </w:t>
            </w:r>
            <w:r>
              <w:rPr>
                <w:sz w:val="21"/>
              </w:rPr>
              <w:t>个月（声带完全切除不受此时间限制），仍无法通过现有医疗</w:t>
            </w:r>
          </w:p>
        </w:tc>
      </w:tr>
      <w:tr>
        <w:trPr>
          <w:trHeight w:val="306" w:hRule="atLeast"/>
        </w:trPr>
        <w:tc>
          <w:tcPr>
            <w:tcW w:w="759" w:type="dxa"/>
          </w:tcPr>
          <w:p>
            <w:pPr>
              <w:pStyle w:val="TableParagraph"/>
              <w:rPr>
                <w:rFonts w:ascii="Times New Roman"/>
                <w:sz w:val="20"/>
              </w:rPr>
            </w:pPr>
          </w:p>
        </w:tc>
        <w:tc>
          <w:tcPr>
            <w:tcW w:w="2113" w:type="dxa"/>
          </w:tcPr>
          <w:p>
            <w:pPr>
              <w:pStyle w:val="TableParagraph"/>
              <w:rPr>
                <w:rFonts w:ascii="Times New Roman"/>
                <w:sz w:val="20"/>
              </w:rPr>
            </w:pPr>
          </w:p>
        </w:tc>
        <w:tc>
          <w:tcPr>
            <w:tcW w:w="6275" w:type="dxa"/>
          </w:tcPr>
          <w:p>
            <w:pPr>
              <w:pStyle w:val="TableParagraph"/>
              <w:spacing w:line="249" w:lineRule="exact"/>
              <w:ind w:left="110"/>
              <w:rPr>
                <w:sz w:val="21"/>
              </w:rPr>
            </w:pPr>
            <w:r>
              <w:rPr>
                <w:sz w:val="21"/>
              </w:rPr>
              <w:t>手段恢复。</w:t>
            </w:r>
          </w:p>
        </w:tc>
      </w:tr>
      <w:tr>
        <w:trPr>
          <w:trHeight w:val="422" w:hRule="atLeast"/>
        </w:trPr>
        <w:tc>
          <w:tcPr>
            <w:tcW w:w="759" w:type="dxa"/>
          </w:tcPr>
          <w:p>
            <w:pPr>
              <w:pStyle w:val="TableParagraph"/>
              <w:rPr>
                <w:rFonts w:ascii="Times New Roman"/>
                <w:sz w:val="20"/>
              </w:rPr>
            </w:pPr>
          </w:p>
        </w:tc>
        <w:tc>
          <w:tcPr>
            <w:tcW w:w="2113" w:type="dxa"/>
          </w:tcPr>
          <w:p>
            <w:pPr>
              <w:pStyle w:val="TableParagraph"/>
              <w:rPr>
                <w:rFonts w:ascii="Times New Roman"/>
                <w:sz w:val="20"/>
              </w:rPr>
            </w:pPr>
          </w:p>
        </w:tc>
        <w:tc>
          <w:tcPr>
            <w:tcW w:w="6275" w:type="dxa"/>
          </w:tcPr>
          <w:p>
            <w:pPr>
              <w:pStyle w:val="TableParagraph"/>
              <w:spacing w:line="255" w:lineRule="exact"/>
              <w:ind w:left="110"/>
              <w:rPr>
                <w:sz w:val="21"/>
              </w:rPr>
            </w:pPr>
            <w:r>
              <w:rPr>
                <w:sz w:val="21"/>
              </w:rPr>
              <w:t>精神心理因素所致的语言能力丧失不在保障范围内。</w:t>
            </w:r>
          </w:p>
        </w:tc>
      </w:tr>
      <w:tr>
        <w:trPr>
          <w:trHeight w:val="440" w:hRule="atLeast"/>
        </w:trPr>
        <w:tc>
          <w:tcPr>
            <w:tcW w:w="759" w:type="dxa"/>
          </w:tcPr>
          <w:p>
            <w:pPr>
              <w:pStyle w:val="TableParagraph"/>
              <w:spacing w:before="146"/>
              <w:ind w:left="50"/>
              <w:rPr>
                <w:rFonts w:ascii="Times New Roman"/>
                <w:sz w:val="21"/>
              </w:rPr>
            </w:pPr>
            <w:r>
              <w:rPr>
                <w:rFonts w:ascii="Times New Roman"/>
                <w:sz w:val="21"/>
              </w:rPr>
              <w:t>6.24</w:t>
            </w:r>
          </w:p>
        </w:tc>
        <w:tc>
          <w:tcPr>
            <w:tcW w:w="2113" w:type="dxa"/>
          </w:tcPr>
          <w:p>
            <w:pPr>
              <w:pStyle w:val="TableParagraph"/>
              <w:spacing w:before="103"/>
              <w:ind w:left="342"/>
              <w:rPr>
                <w:b/>
                <w:sz w:val="21"/>
              </w:rPr>
            </w:pPr>
            <w:r>
              <w:rPr>
                <w:b/>
                <w:sz w:val="21"/>
              </w:rPr>
              <w:t>重型再生障碍性</w:t>
            </w:r>
          </w:p>
        </w:tc>
        <w:tc>
          <w:tcPr>
            <w:tcW w:w="6275" w:type="dxa"/>
          </w:tcPr>
          <w:p>
            <w:pPr>
              <w:pStyle w:val="TableParagraph"/>
              <w:spacing w:before="103"/>
              <w:ind w:left="110"/>
              <w:rPr>
                <w:sz w:val="21"/>
              </w:rPr>
            </w:pPr>
            <w:r>
              <w:rPr>
                <w:sz w:val="21"/>
              </w:rPr>
              <w:t>指因骨髓造血功能慢性持续性衰竭导致的贫血、中性粒细胞减少及</w:t>
            </w:r>
          </w:p>
        </w:tc>
      </w:tr>
      <w:tr>
        <w:trPr>
          <w:trHeight w:val="300" w:hRule="atLeast"/>
        </w:trPr>
        <w:tc>
          <w:tcPr>
            <w:tcW w:w="759" w:type="dxa"/>
          </w:tcPr>
          <w:p>
            <w:pPr>
              <w:pStyle w:val="TableParagraph"/>
              <w:rPr>
                <w:rFonts w:ascii="Times New Roman"/>
                <w:sz w:val="20"/>
              </w:rPr>
            </w:pPr>
          </w:p>
        </w:tc>
        <w:tc>
          <w:tcPr>
            <w:tcW w:w="2113" w:type="dxa"/>
          </w:tcPr>
          <w:p>
            <w:pPr>
              <w:pStyle w:val="TableParagraph"/>
              <w:spacing w:line="250" w:lineRule="exact"/>
              <w:ind w:left="342"/>
              <w:rPr>
                <w:b/>
                <w:sz w:val="21"/>
              </w:rPr>
            </w:pPr>
            <w:r>
              <w:rPr>
                <w:b/>
                <w:w w:val="95"/>
                <w:sz w:val="21"/>
              </w:rPr>
              <w:t>贫血</w:t>
            </w:r>
          </w:p>
        </w:tc>
        <w:tc>
          <w:tcPr>
            <w:tcW w:w="6275" w:type="dxa"/>
          </w:tcPr>
          <w:p>
            <w:pPr>
              <w:pStyle w:val="TableParagraph"/>
              <w:spacing w:line="250" w:lineRule="exact"/>
              <w:ind w:left="110"/>
              <w:rPr>
                <w:sz w:val="21"/>
              </w:rPr>
            </w:pPr>
            <w:r>
              <w:rPr>
                <w:sz w:val="21"/>
              </w:rPr>
              <w:t>血小板减少。须满足下列全部条件：</w:t>
            </w:r>
          </w:p>
        </w:tc>
      </w:tr>
      <w:tr>
        <w:trPr>
          <w:trHeight w:val="589" w:hRule="atLeast"/>
        </w:trPr>
        <w:tc>
          <w:tcPr>
            <w:tcW w:w="759" w:type="dxa"/>
          </w:tcPr>
          <w:p>
            <w:pPr>
              <w:pStyle w:val="TableParagraph"/>
              <w:rPr>
                <w:rFonts w:ascii="Times New Roman"/>
                <w:sz w:val="20"/>
              </w:rPr>
            </w:pPr>
          </w:p>
        </w:tc>
        <w:tc>
          <w:tcPr>
            <w:tcW w:w="2113" w:type="dxa"/>
          </w:tcPr>
          <w:p>
            <w:pPr>
              <w:pStyle w:val="TableParagraph"/>
              <w:rPr>
                <w:rFonts w:ascii="Times New Roman"/>
                <w:sz w:val="20"/>
              </w:rPr>
            </w:pPr>
          </w:p>
        </w:tc>
        <w:tc>
          <w:tcPr>
            <w:tcW w:w="6275" w:type="dxa"/>
          </w:tcPr>
          <w:p>
            <w:pPr>
              <w:pStyle w:val="TableParagraph"/>
              <w:spacing w:line="267" w:lineRule="exact"/>
              <w:ind w:left="110"/>
              <w:rPr>
                <w:sz w:val="21"/>
              </w:rPr>
            </w:pPr>
            <w:r>
              <w:rPr>
                <w:sz w:val="21"/>
              </w:rPr>
              <w:t>（</w:t>
            </w:r>
            <w:r>
              <w:rPr>
                <w:rFonts w:ascii="Times New Roman" w:eastAsia="Times New Roman"/>
                <w:position w:val="1"/>
                <w:sz w:val="21"/>
              </w:rPr>
              <w:t>1</w:t>
            </w:r>
            <w:r>
              <w:rPr>
                <w:sz w:val="21"/>
              </w:rPr>
              <w:t>）骨髓穿刺检查或骨髓活检结果支持诊断；</w:t>
            </w:r>
          </w:p>
          <w:p>
            <w:pPr>
              <w:pStyle w:val="TableParagraph"/>
              <w:spacing w:line="271" w:lineRule="exact" w:before="31"/>
              <w:ind w:left="110"/>
              <w:rPr>
                <w:sz w:val="21"/>
              </w:rPr>
            </w:pPr>
            <w:r>
              <w:rPr>
                <w:sz w:val="21"/>
              </w:rPr>
              <w:t>（</w:t>
            </w:r>
            <w:r>
              <w:rPr>
                <w:rFonts w:ascii="Times New Roman" w:eastAsia="Times New Roman"/>
                <w:position w:val="1"/>
                <w:sz w:val="21"/>
              </w:rPr>
              <w:t>2</w:t>
            </w:r>
            <w:r>
              <w:rPr>
                <w:sz w:val="21"/>
              </w:rPr>
              <w:t>）外周血象须具备以下三项条件：</w:t>
            </w:r>
          </w:p>
        </w:tc>
      </w:tr>
    </w:tbl>
    <w:p>
      <w:pPr>
        <w:pStyle w:val="BodyText"/>
        <w:spacing w:before="21"/>
        <w:ind w:left="3206"/>
      </w:pPr>
      <w:r>
        <w:rPr/>
        <w:t>① 中性粒细胞绝对值</w:t>
      </w:r>
      <w:r>
        <w:rPr>
          <w:rFonts w:ascii="Times New Roman" w:hAnsi="Times New Roman" w:eastAsia="Times New Roman"/>
          <w:position w:val="1"/>
        </w:rPr>
        <w:t>≤0.5×10</w:t>
      </w:r>
      <w:r>
        <w:rPr>
          <w:rFonts w:ascii="Times New Roman" w:hAnsi="Times New Roman" w:eastAsia="Times New Roman"/>
          <w:position w:val="8"/>
          <w:sz w:val="12"/>
        </w:rPr>
        <w:t>9</w:t>
      </w:r>
      <w:r>
        <w:rPr>
          <w:rFonts w:ascii="Times New Roman" w:hAnsi="Times New Roman" w:eastAsia="Times New Roman"/>
          <w:position w:val="1"/>
        </w:rPr>
        <w:t>/L </w:t>
      </w:r>
      <w:r>
        <w:rPr/>
        <w:t>；</w:t>
      </w:r>
    </w:p>
    <w:p>
      <w:pPr>
        <w:pStyle w:val="BodyText"/>
        <w:spacing w:before="31"/>
        <w:ind w:left="2538" w:right="3493"/>
        <w:jc w:val="center"/>
      </w:pPr>
      <w:r>
        <w:rPr/>
        <w:t>② 网织红细胞＜</w:t>
      </w:r>
      <w:r>
        <w:rPr>
          <w:rFonts w:ascii="Times New Roman" w:hAnsi="Times New Roman" w:eastAsia="Times New Roman"/>
          <w:position w:val="1"/>
        </w:rPr>
        <w:t>1%</w:t>
      </w:r>
      <w:r>
        <w:rPr/>
        <w:t>；</w:t>
      </w:r>
    </w:p>
    <w:p>
      <w:pPr>
        <w:pStyle w:val="BodyText"/>
        <w:spacing w:before="31"/>
        <w:ind w:left="3160" w:right="3493"/>
        <w:jc w:val="center"/>
      </w:pPr>
      <w:r>
        <w:rPr/>
        <w:t>③ 血小板绝对值</w:t>
      </w:r>
      <w:r>
        <w:rPr>
          <w:rFonts w:ascii="Times New Roman" w:hAnsi="Times New Roman" w:eastAsia="Times New Roman"/>
          <w:position w:val="1"/>
        </w:rPr>
        <w:t>≤20×10</w:t>
      </w:r>
      <w:r>
        <w:rPr>
          <w:rFonts w:ascii="Times New Roman" w:hAnsi="Times New Roman" w:eastAsia="Times New Roman"/>
          <w:position w:val="8"/>
          <w:sz w:val="12"/>
        </w:rPr>
        <w:t>9</w:t>
      </w:r>
      <w:r>
        <w:rPr>
          <w:rFonts w:ascii="Times New Roman" w:hAnsi="Times New Roman" w:eastAsia="Times New Roman"/>
          <w:position w:val="1"/>
        </w:rPr>
        <w:t>/L</w:t>
      </w:r>
      <w:r>
        <w:rPr/>
        <w:t>。</w:t>
      </w:r>
    </w:p>
    <w:p>
      <w:pPr>
        <w:spacing w:after="0"/>
        <w:jc w:val="center"/>
        <w:sectPr>
          <w:pgSz w:w="11900" w:h="16840"/>
          <w:pgMar w:header="0" w:footer="866" w:top="1300" w:bottom="1060" w:left="1560" w:right="9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15"/>
        </w:rPr>
      </w:pPr>
    </w:p>
    <w:p>
      <w:pPr>
        <w:pStyle w:val="BodyText"/>
        <w:tabs>
          <w:tab w:pos="2765" w:val="left" w:leader="none"/>
        </w:tabs>
        <w:spacing w:line="312" w:lineRule="exact" w:before="42"/>
        <w:ind w:left="884"/>
        <w:jc w:val="center"/>
      </w:pPr>
      <w:r>
        <w:rPr/>
        <w:pict>
          <v:shape style="position:absolute;margin-left:55.5pt;margin-top:-245.292999pt;width:457.5pt;height:250.95pt;mso-position-horizontal-relative:page;mso-position-vertical-relative:paragraph;z-index:119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9"/>
                    <w:gridCol w:w="2114"/>
                    <w:gridCol w:w="6275"/>
                  </w:tblGrid>
                  <w:tr>
                    <w:trPr>
                      <w:trHeight w:val="277" w:hRule="atLeast"/>
                    </w:trPr>
                    <w:tc>
                      <w:tcPr>
                        <w:tcW w:w="759" w:type="dxa"/>
                      </w:tcPr>
                      <w:p>
                        <w:pPr>
                          <w:pStyle w:val="TableParagraph"/>
                          <w:spacing w:line="233" w:lineRule="exact"/>
                          <w:ind w:left="50"/>
                          <w:rPr>
                            <w:rFonts w:ascii="Times New Roman"/>
                            <w:sz w:val="21"/>
                          </w:rPr>
                        </w:pPr>
                        <w:r>
                          <w:rPr>
                            <w:rFonts w:ascii="Times New Roman"/>
                            <w:sz w:val="21"/>
                          </w:rPr>
                          <w:t>6.25</w:t>
                        </w:r>
                      </w:p>
                    </w:tc>
                    <w:tc>
                      <w:tcPr>
                        <w:tcW w:w="2114" w:type="dxa"/>
                      </w:tcPr>
                      <w:p>
                        <w:pPr>
                          <w:pStyle w:val="TableParagraph"/>
                          <w:spacing w:line="221" w:lineRule="exact"/>
                          <w:ind w:left="342"/>
                          <w:rPr>
                            <w:b/>
                            <w:sz w:val="21"/>
                          </w:rPr>
                        </w:pPr>
                        <w:r>
                          <w:rPr>
                            <w:b/>
                            <w:w w:val="95"/>
                            <w:sz w:val="21"/>
                          </w:rPr>
                          <w:t>主动脉手术</w:t>
                        </w:r>
                      </w:p>
                    </w:tc>
                    <w:tc>
                      <w:tcPr>
                        <w:tcW w:w="6275" w:type="dxa"/>
                      </w:tcPr>
                      <w:p>
                        <w:pPr>
                          <w:pStyle w:val="TableParagraph"/>
                          <w:spacing w:line="221" w:lineRule="exact"/>
                          <w:ind w:left="110"/>
                          <w:rPr>
                            <w:sz w:val="21"/>
                          </w:rPr>
                        </w:pPr>
                        <w:r>
                          <w:rPr>
                            <w:spacing w:val="-8"/>
                            <w:sz w:val="21"/>
                          </w:rPr>
                          <w:t>指为治疗主动脉疾病，实际实施了开胸或开腹进行的切除、置换、修</w:t>
                        </w:r>
                      </w:p>
                    </w:tc>
                  </w:tr>
                  <w:tr>
                    <w:trPr>
                      <w:trHeight w:val="306" w:hRule="atLeast"/>
                    </w:trPr>
                    <w:tc>
                      <w:tcPr>
                        <w:tcW w:w="759" w:type="dxa"/>
                      </w:tcPr>
                      <w:p>
                        <w:pPr>
                          <w:pStyle w:val="TableParagraph"/>
                          <w:rPr>
                            <w:rFonts w:ascii="Times New Roman"/>
                            <w:sz w:val="20"/>
                          </w:rPr>
                        </w:pPr>
                      </w:p>
                    </w:tc>
                    <w:tc>
                      <w:tcPr>
                        <w:tcW w:w="2114" w:type="dxa"/>
                      </w:tcPr>
                      <w:p>
                        <w:pPr>
                          <w:pStyle w:val="TableParagraph"/>
                          <w:rPr>
                            <w:rFonts w:ascii="Times New Roman"/>
                            <w:sz w:val="20"/>
                          </w:rPr>
                        </w:pPr>
                      </w:p>
                    </w:tc>
                    <w:tc>
                      <w:tcPr>
                        <w:tcW w:w="6275" w:type="dxa"/>
                      </w:tcPr>
                      <w:p>
                        <w:pPr>
                          <w:pStyle w:val="TableParagraph"/>
                          <w:spacing w:line="255" w:lineRule="exact"/>
                          <w:ind w:left="110"/>
                          <w:rPr>
                            <w:sz w:val="21"/>
                          </w:rPr>
                        </w:pPr>
                        <w:r>
                          <w:rPr>
                            <w:sz w:val="21"/>
                          </w:rPr>
                          <w:t>补病损主动脉血管的手术。主动脉指胸主动脉和腹主动脉，不包括</w:t>
                        </w:r>
                      </w:p>
                    </w:tc>
                  </w:tr>
                  <w:tr>
                    <w:trPr>
                      <w:trHeight w:val="312" w:hRule="atLeast"/>
                    </w:trPr>
                    <w:tc>
                      <w:tcPr>
                        <w:tcW w:w="759" w:type="dxa"/>
                      </w:tcPr>
                      <w:p>
                        <w:pPr>
                          <w:pStyle w:val="TableParagraph"/>
                          <w:rPr>
                            <w:rFonts w:ascii="Times New Roman"/>
                            <w:sz w:val="20"/>
                          </w:rPr>
                        </w:pPr>
                      </w:p>
                    </w:tc>
                    <w:tc>
                      <w:tcPr>
                        <w:tcW w:w="2114" w:type="dxa"/>
                      </w:tcPr>
                      <w:p>
                        <w:pPr>
                          <w:pStyle w:val="TableParagraph"/>
                          <w:rPr>
                            <w:rFonts w:ascii="Times New Roman"/>
                            <w:sz w:val="20"/>
                          </w:rPr>
                        </w:pPr>
                      </w:p>
                    </w:tc>
                    <w:tc>
                      <w:tcPr>
                        <w:tcW w:w="6275" w:type="dxa"/>
                      </w:tcPr>
                      <w:p>
                        <w:pPr>
                          <w:pStyle w:val="TableParagraph"/>
                          <w:spacing w:line="261" w:lineRule="exact"/>
                          <w:ind w:left="110"/>
                          <w:rPr>
                            <w:sz w:val="21"/>
                          </w:rPr>
                        </w:pPr>
                        <w:r>
                          <w:rPr>
                            <w:sz w:val="21"/>
                          </w:rPr>
                          <w:t>胸主动脉和腹主动脉的分支血管。</w:t>
                        </w:r>
                      </w:p>
                    </w:tc>
                  </w:tr>
                  <w:tr>
                    <w:trPr>
                      <w:trHeight w:val="462" w:hRule="atLeast"/>
                    </w:trPr>
                    <w:tc>
                      <w:tcPr>
                        <w:tcW w:w="759" w:type="dxa"/>
                      </w:tcPr>
                      <w:p>
                        <w:pPr>
                          <w:pStyle w:val="TableParagraph"/>
                          <w:rPr>
                            <w:rFonts w:ascii="Times New Roman"/>
                            <w:sz w:val="20"/>
                          </w:rPr>
                        </w:pPr>
                      </w:p>
                    </w:tc>
                    <w:tc>
                      <w:tcPr>
                        <w:tcW w:w="2114" w:type="dxa"/>
                      </w:tcPr>
                      <w:p>
                        <w:pPr>
                          <w:pStyle w:val="TableParagraph"/>
                          <w:rPr>
                            <w:rFonts w:ascii="Times New Roman"/>
                            <w:sz w:val="20"/>
                          </w:rPr>
                        </w:pPr>
                      </w:p>
                    </w:tc>
                    <w:tc>
                      <w:tcPr>
                        <w:tcW w:w="6275" w:type="dxa"/>
                      </w:tcPr>
                      <w:p>
                        <w:pPr>
                          <w:pStyle w:val="TableParagraph"/>
                          <w:spacing w:line="261" w:lineRule="exact"/>
                          <w:ind w:left="110"/>
                          <w:rPr>
                            <w:sz w:val="21"/>
                          </w:rPr>
                        </w:pPr>
                        <w:r>
                          <w:rPr>
                            <w:sz w:val="21"/>
                          </w:rPr>
                          <w:t>动脉内血管成形术不在保障范围内。</w:t>
                        </w:r>
                      </w:p>
                    </w:tc>
                  </w:tr>
                  <w:tr>
                    <w:trPr>
                      <w:trHeight w:val="479" w:hRule="atLeast"/>
                    </w:trPr>
                    <w:tc>
                      <w:tcPr>
                        <w:tcW w:w="759" w:type="dxa"/>
                      </w:tcPr>
                      <w:p>
                        <w:pPr>
                          <w:pStyle w:val="TableParagraph"/>
                          <w:spacing w:before="192"/>
                          <w:ind w:left="50"/>
                          <w:rPr>
                            <w:rFonts w:ascii="Times New Roman"/>
                            <w:sz w:val="21"/>
                          </w:rPr>
                        </w:pPr>
                        <w:r>
                          <w:rPr>
                            <w:rFonts w:ascii="Times New Roman"/>
                            <w:sz w:val="21"/>
                          </w:rPr>
                          <w:t>6.26</w:t>
                        </w:r>
                      </w:p>
                    </w:tc>
                    <w:tc>
                      <w:tcPr>
                        <w:tcW w:w="2114" w:type="dxa"/>
                      </w:tcPr>
                      <w:p>
                        <w:pPr>
                          <w:pStyle w:val="TableParagraph"/>
                          <w:spacing w:before="147"/>
                          <w:ind w:left="342"/>
                          <w:rPr>
                            <w:b/>
                            <w:sz w:val="21"/>
                          </w:rPr>
                        </w:pPr>
                        <w:r>
                          <w:rPr>
                            <w:b/>
                            <w:w w:val="95"/>
                            <w:sz w:val="21"/>
                          </w:rPr>
                          <w:t>严重心肌病</w:t>
                        </w:r>
                      </w:p>
                    </w:tc>
                    <w:tc>
                      <w:tcPr>
                        <w:tcW w:w="6275" w:type="dxa"/>
                      </w:tcPr>
                      <w:p>
                        <w:pPr>
                          <w:pStyle w:val="TableParagraph"/>
                          <w:spacing w:before="147"/>
                          <w:ind w:left="110"/>
                          <w:rPr>
                            <w:sz w:val="21"/>
                          </w:rPr>
                        </w:pPr>
                        <w:r>
                          <w:rPr>
                            <w:sz w:val="21"/>
                          </w:rPr>
                          <w:t>指被保险人因心肌病导致慢性心功能损害造成永久不可逆性的体力</w:t>
                        </w:r>
                      </w:p>
                    </w:tc>
                  </w:tr>
                  <w:tr>
                    <w:trPr>
                      <w:trHeight w:val="306" w:hRule="atLeast"/>
                    </w:trPr>
                    <w:tc>
                      <w:tcPr>
                        <w:tcW w:w="759" w:type="dxa"/>
                      </w:tcPr>
                      <w:p>
                        <w:pPr>
                          <w:pStyle w:val="TableParagraph"/>
                          <w:rPr>
                            <w:rFonts w:ascii="Times New Roman"/>
                            <w:sz w:val="20"/>
                          </w:rPr>
                        </w:pPr>
                      </w:p>
                    </w:tc>
                    <w:tc>
                      <w:tcPr>
                        <w:tcW w:w="2114" w:type="dxa"/>
                      </w:tcPr>
                      <w:p>
                        <w:pPr>
                          <w:pStyle w:val="TableParagraph"/>
                          <w:rPr>
                            <w:rFonts w:ascii="Times New Roman"/>
                            <w:sz w:val="20"/>
                          </w:rPr>
                        </w:pPr>
                      </w:p>
                    </w:tc>
                    <w:tc>
                      <w:tcPr>
                        <w:tcW w:w="6275" w:type="dxa"/>
                      </w:tcPr>
                      <w:p>
                        <w:pPr>
                          <w:pStyle w:val="TableParagraph"/>
                          <w:spacing w:line="255" w:lineRule="exact"/>
                          <w:ind w:left="110"/>
                          <w:rPr>
                            <w:sz w:val="21"/>
                          </w:rPr>
                        </w:pPr>
                        <w:r>
                          <w:rPr>
                            <w:sz w:val="21"/>
                          </w:rPr>
                          <w:t>活动能力受限，达到美国纽约心脏病学会心功能状态分级Ⅳ级。</w:t>
                        </w:r>
                      </w:p>
                    </w:tc>
                  </w:tr>
                  <w:tr>
                    <w:trPr>
                      <w:trHeight w:val="312" w:hRule="atLeast"/>
                    </w:trPr>
                    <w:tc>
                      <w:tcPr>
                        <w:tcW w:w="759" w:type="dxa"/>
                      </w:tcPr>
                      <w:p>
                        <w:pPr>
                          <w:pStyle w:val="TableParagraph"/>
                          <w:rPr>
                            <w:rFonts w:ascii="Times New Roman"/>
                            <w:sz w:val="20"/>
                          </w:rPr>
                        </w:pPr>
                      </w:p>
                    </w:tc>
                    <w:tc>
                      <w:tcPr>
                        <w:tcW w:w="2114" w:type="dxa"/>
                      </w:tcPr>
                      <w:p>
                        <w:pPr>
                          <w:pStyle w:val="TableParagraph"/>
                          <w:rPr>
                            <w:rFonts w:ascii="Times New Roman"/>
                            <w:sz w:val="20"/>
                          </w:rPr>
                        </w:pPr>
                      </w:p>
                    </w:tc>
                    <w:tc>
                      <w:tcPr>
                        <w:tcW w:w="6275" w:type="dxa"/>
                      </w:tcPr>
                      <w:p>
                        <w:pPr>
                          <w:pStyle w:val="TableParagraph"/>
                          <w:spacing w:line="261" w:lineRule="exact"/>
                          <w:ind w:left="110"/>
                          <w:rPr>
                            <w:sz w:val="21"/>
                          </w:rPr>
                        </w:pPr>
                        <w:r>
                          <w:rPr>
                            <w:sz w:val="21"/>
                          </w:rPr>
                          <w:t>心肌病必须经医院的超声心动图检查来确认。</w:t>
                        </w:r>
                      </w:p>
                    </w:tc>
                  </w:tr>
                  <w:tr>
                    <w:trPr>
                      <w:trHeight w:val="450" w:hRule="atLeast"/>
                    </w:trPr>
                    <w:tc>
                      <w:tcPr>
                        <w:tcW w:w="759" w:type="dxa"/>
                      </w:tcPr>
                      <w:p>
                        <w:pPr>
                          <w:pStyle w:val="TableParagraph"/>
                          <w:rPr>
                            <w:rFonts w:ascii="Times New Roman"/>
                            <w:sz w:val="20"/>
                          </w:rPr>
                        </w:pPr>
                      </w:p>
                    </w:tc>
                    <w:tc>
                      <w:tcPr>
                        <w:tcW w:w="2114" w:type="dxa"/>
                      </w:tcPr>
                      <w:p>
                        <w:pPr>
                          <w:pStyle w:val="TableParagraph"/>
                          <w:rPr>
                            <w:rFonts w:ascii="Times New Roman"/>
                            <w:sz w:val="20"/>
                          </w:rPr>
                        </w:pPr>
                      </w:p>
                    </w:tc>
                    <w:tc>
                      <w:tcPr>
                        <w:tcW w:w="6275" w:type="dxa"/>
                      </w:tcPr>
                      <w:p>
                        <w:pPr>
                          <w:pStyle w:val="TableParagraph"/>
                          <w:spacing w:line="261" w:lineRule="exact"/>
                          <w:ind w:left="110"/>
                          <w:rPr>
                            <w:sz w:val="21"/>
                          </w:rPr>
                        </w:pPr>
                        <w:r>
                          <w:rPr>
                            <w:sz w:val="21"/>
                          </w:rPr>
                          <w:t>因酗酒或药物滥用导致的心肌病不在保障范围内。</w:t>
                        </w:r>
                      </w:p>
                    </w:tc>
                  </w:tr>
                  <w:tr>
                    <w:trPr>
                      <w:trHeight w:val="650" w:hRule="atLeast"/>
                    </w:trPr>
                    <w:tc>
                      <w:tcPr>
                        <w:tcW w:w="759" w:type="dxa"/>
                      </w:tcPr>
                      <w:p>
                        <w:pPr>
                          <w:pStyle w:val="TableParagraph"/>
                          <w:spacing w:before="9"/>
                          <w:rPr>
                            <w:sz w:val="15"/>
                          </w:rPr>
                        </w:pPr>
                      </w:p>
                      <w:p>
                        <w:pPr>
                          <w:pStyle w:val="TableParagraph"/>
                          <w:ind w:left="50"/>
                          <w:rPr>
                            <w:rFonts w:ascii="Times New Roman"/>
                            <w:sz w:val="21"/>
                          </w:rPr>
                        </w:pPr>
                        <w:r>
                          <w:rPr>
                            <w:rFonts w:ascii="Times New Roman"/>
                            <w:sz w:val="21"/>
                          </w:rPr>
                          <w:t>6.27</w:t>
                        </w:r>
                      </w:p>
                    </w:tc>
                    <w:tc>
                      <w:tcPr>
                        <w:tcW w:w="2114" w:type="dxa"/>
                      </w:tcPr>
                      <w:p>
                        <w:pPr>
                          <w:pStyle w:val="TableParagraph"/>
                          <w:spacing w:before="160"/>
                          <w:ind w:left="342"/>
                          <w:rPr>
                            <w:b/>
                            <w:sz w:val="21"/>
                          </w:rPr>
                        </w:pPr>
                        <w:r>
                          <w:rPr>
                            <w:b/>
                            <w:w w:val="95"/>
                            <w:sz w:val="21"/>
                          </w:rPr>
                          <w:t>慢性肺功能衰竭</w:t>
                        </w:r>
                      </w:p>
                    </w:tc>
                    <w:tc>
                      <w:tcPr>
                        <w:tcW w:w="6275" w:type="dxa"/>
                      </w:tcPr>
                      <w:p>
                        <w:pPr>
                          <w:pStyle w:val="TableParagraph"/>
                          <w:spacing w:line="240" w:lineRule="exact" w:before="177"/>
                          <w:ind w:left="110" w:right="73"/>
                          <w:rPr>
                            <w:sz w:val="21"/>
                          </w:rPr>
                        </w:pPr>
                        <w:r>
                          <w:rPr>
                            <w:sz w:val="21"/>
                          </w:rPr>
                          <w:t>慢性肺部疾病导致永久不可逆性的慢性呼吸功能衰竭，必须符合下列所有条件：</w:t>
                        </w:r>
                      </w:p>
                    </w:tc>
                  </w:tr>
                  <w:tr>
                    <w:trPr>
                      <w:trHeight w:val="241" w:hRule="atLeast"/>
                    </w:trPr>
                    <w:tc>
                      <w:tcPr>
                        <w:tcW w:w="759" w:type="dxa"/>
                      </w:tcPr>
                      <w:p>
                        <w:pPr>
                          <w:pStyle w:val="TableParagraph"/>
                          <w:rPr>
                            <w:rFonts w:ascii="Times New Roman"/>
                            <w:sz w:val="16"/>
                          </w:rPr>
                        </w:pPr>
                      </w:p>
                    </w:tc>
                    <w:tc>
                      <w:tcPr>
                        <w:tcW w:w="2114" w:type="dxa"/>
                      </w:tcPr>
                      <w:p>
                        <w:pPr>
                          <w:pStyle w:val="TableParagraph"/>
                          <w:rPr>
                            <w:rFonts w:ascii="Times New Roman"/>
                            <w:sz w:val="16"/>
                          </w:rPr>
                        </w:pPr>
                      </w:p>
                    </w:tc>
                    <w:tc>
                      <w:tcPr>
                        <w:tcW w:w="6275" w:type="dxa"/>
                      </w:tcPr>
                      <w:p>
                        <w:pPr>
                          <w:pStyle w:val="TableParagraph"/>
                          <w:spacing w:line="222" w:lineRule="exact"/>
                          <w:ind w:left="110"/>
                          <w:rPr>
                            <w:sz w:val="21"/>
                          </w:rPr>
                        </w:pPr>
                        <w:r>
                          <w:rPr>
                            <w:sz w:val="21"/>
                          </w:rPr>
                          <w:t>（</w:t>
                        </w:r>
                        <w:r>
                          <w:rPr>
                            <w:rFonts w:ascii="Times New Roman" w:eastAsia="Times New Roman"/>
                            <w:sz w:val="21"/>
                          </w:rPr>
                          <w:t>1</w:t>
                        </w:r>
                        <w:r>
                          <w:rPr>
                            <w:sz w:val="21"/>
                          </w:rPr>
                          <w:t>） 休息时出现呼吸困难；</w:t>
                        </w:r>
                      </w:p>
                    </w:tc>
                  </w:tr>
                  <w:tr>
                    <w:trPr>
                      <w:trHeight w:val="241" w:hRule="atLeast"/>
                    </w:trPr>
                    <w:tc>
                      <w:tcPr>
                        <w:tcW w:w="759" w:type="dxa"/>
                      </w:tcPr>
                      <w:p>
                        <w:pPr>
                          <w:pStyle w:val="TableParagraph"/>
                          <w:rPr>
                            <w:rFonts w:ascii="Times New Roman"/>
                            <w:sz w:val="16"/>
                          </w:rPr>
                        </w:pPr>
                      </w:p>
                    </w:tc>
                    <w:tc>
                      <w:tcPr>
                        <w:tcW w:w="2114" w:type="dxa"/>
                      </w:tcPr>
                      <w:p>
                        <w:pPr>
                          <w:pStyle w:val="TableParagraph"/>
                          <w:rPr>
                            <w:rFonts w:ascii="Times New Roman"/>
                            <w:sz w:val="16"/>
                          </w:rPr>
                        </w:pPr>
                      </w:p>
                    </w:tc>
                    <w:tc>
                      <w:tcPr>
                        <w:tcW w:w="6275" w:type="dxa"/>
                      </w:tcPr>
                      <w:p>
                        <w:pPr>
                          <w:pStyle w:val="TableParagraph"/>
                          <w:spacing w:line="221" w:lineRule="exact"/>
                          <w:ind w:left="110"/>
                          <w:rPr>
                            <w:sz w:val="21"/>
                          </w:rPr>
                        </w:pPr>
                        <w:r>
                          <w:rPr>
                            <w:sz w:val="21"/>
                          </w:rPr>
                          <w:t>（</w:t>
                        </w:r>
                        <w:r>
                          <w:rPr>
                            <w:rFonts w:ascii="Times New Roman" w:eastAsia="Times New Roman"/>
                            <w:sz w:val="21"/>
                          </w:rPr>
                          <w:t>2</w:t>
                        </w:r>
                        <w:r>
                          <w:rPr>
                            <w:sz w:val="21"/>
                          </w:rPr>
                          <w:t>）动脉血氧分压（</w:t>
                        </w:r>
                        <w:r>
                          <w:rPr>
                            <w:rFonts w:ascii="Times New Roman" w:eastAsia="Times New Roman"/>
                            <w:sz w:val="21"/>
                          </w:rPr>
                          <w:t>PaO</w:t>
                        </w:r>
                        <w:r>
                          <w:rPr>
                            <w:rFonts w:ascii="Times New Roman" w:eastAsia="Times New Roman"/>
                            <w:position w:val="-1"/>
                            <w:sz w:val="12"/>
                          </w:rPr>
                          <w:t>2</w:t>
                        </w:r>
                        <w:r>
                          <w:rPr>
                            <w:sz w:val="21"/>
                          </w:rPr>
                          <w:t>）</w:t>
                        </w:r>
                        <w:r>
                          <w:rPr>
                            <w:rFonts w:ascii="Times New Roman" w:eastAsia="Times New Roman"/>
                            <w:sz w:val="21"/>
                          </w:rPr>
                          <w:t>&lt; 50mmHg</w:t>
                        </w:r>
                        <w:r>
                          <w:rPr>
                            <w:sz w:val="21"/>
                          </w:rPr>
                          <w:t>；</w:t>
                        </w:r>
                      </w:p>
                    </w:tc>
                  </w:tr>
                  <w:tr>
                    <w:trPr>
                      <w:trHeight w:val="241" w:hRule="atLeast"/>
                    </w:trPr>
                    <w:tc>
                      <w:tcPr>
                        <w:tcW w:w="759" w:type="dxa"/>
                      </w:tcPr>
                      <w:p>
                        <w:pPr>
                          <w:pStyle w:val="TableParagraph"/>
                          <w:rPr>
                            <w:rFonts w:ascii="Times New Roman"/>
                            <w:sz w:val="16"/>
                          </w:rPr>
                        </w:pPr>
                      </w:p>
                    </w:tc>
                    <w:tc>
                      <w:tcPr>
                        <w:tcW w:w="2114" w:type="dxa"/>
                      </w:tcPr>
                      <w:p>
                        <w:pPr>
                          <w:pStyle w:val="TableParagraph"/>
                          <w:rPr>
                            <w:rFonts w:ascii="Times New Roman"/>
                            <w:sz w:val="16"/>
                          </w:rPr>
                        </w:pPr>
                      </w:p>
                    </w:tc>
                    <w:tc>
                      <w:tcPr>
                        <w:tcW w:w="6275" w:type="dxa"/>
                      </w:tcPr>
                      <w:p>
                        <w:pPr>
                          <w:pStyle w:val="TableParagraph"/>
                          <w:spacing w:line="221" w:lineRule="exact"/>
                          <w:ind w:left="110"/>
                          <w:rPr>
                            <w:sz w:val="21"/>
                          </w:rPr>
                        </w:pPr>
                        <w:r>
                          <w:rPr>
                            <w:sz w:val="21"/>
                          </w:rPr>
                          <w:t>（</w:t>
                        </w:r>
                        <w:r>
                          <w:rPr>
                            <w:rFonts w:ascii="Times New Roman" w:eastAsia="Times New Roman"/>
                            <w:sz w:val="21"/>
                          </w:rPr>
                          <w:t>3</w:t>
                        </w:r>
                        <w:r>
                          <w:rPr>
                            <w:sz w:val="21"/>
                          </w:rPr>
                          <w:t>）动脉血氧饱和度（</w:t>
                        </w:r>
                        <w:r>
                          <w:rPr>
                            <w:rFonts w:ascii="Times New Roman" w:eastAsia="Times New Roman"/>
                            <w:sz w:val="21"/>
                          </w:rPr>
                          <w:t>SaO</w:t>
                        </w:r>
                        <w:r>
                          <w:rPr>
                            <w:rFonts w:ascii="Times New Roman" w:eastAsia="Times New Roman"/>
                            <w:position w:val="-1"/>
                            <w:sz w:val="12"/>
                          </w:rPr>
                          <w:t>2</w:t>
                        </w:r>
                        <w:r>
                          <w:rPr>
                            <w:sz w:val="21"/>
                          </w:rPr>
                          <w:t>）</w:t>
                        </w:r>
                        <w:r>
                          <w:rPr>
                            <w:rFonts w:ascii="Times New Roman" w:eastAsia="Times New Roman"/>
                            <w:sz w:val="21"/>
                          </w:rPr>
                          <w:t>&lt; 80</w:t>
                        </w:r>
                        <w:r>
                          <w:rPr>
                            <w:sz w:val="21"/>
                          </w:rPr>
                          <w:t>％；</w:t>
                        </w:r>
                      </w:p>
                    </w:tc>
                  </w:tr>
                  <w:tr>
                    <w:trPr>
                      <w:trHeight w:val="353" w:hRule="atLeast"/>
                    </w:trPr>
                    <w:tc>
                      <w:tcPr>
                        <w:tcW w:w="759" w:type="dxa"/>
                      </w:tcPr>
                      <w:p>
                        <w:pPr>
                          <w:pStyle w:val="TableParagraph"/>
                          <w:rPr>
                            <w:rFonts w:ascii="Times New Roman"/>
                            <w:sz w:val="20"/>
                          </w:rPr>
                        </w:pPr>
                      </w:p>
                    </w:tc>
                    <w:tc>
                      <w:tcPr>
                        <w:tcW w:w="2114" w:type="dxa"/>
                      </w:tcPr>
                      <w:p>
                        <w:pPr>
                          <w:pStyle w:val="TableParagraph"/>
                          <w:rPr>
                            <w:rFonts w:ascii="Times New Roman"/>
                            <w:sz w:val="20"/>
                          </w:rPr>
                        </w:pPr>
                      </w:p>
                    </w:tc>
                    <w:tc>
                      <w:tcPr>
                        <w:tcW w:w="6275" w:type="dxa"/>
                      </w:tcPr>
                      <w:p>
                        <w:pPr>
                          <w:pStyle w:val="TableParagraph"/>
                          <w:spacing w:line="237" w:lineRule="exact"/>
                          <w:ind w:left="110"/>
                          <w:rPr>
                            <w:sz w:val="21"/>
                          </w:rPr>
                        </w:pPr>
                        <w:r>
                          <w:rPr>
                            <w:sz w:val="21"/>
                          </w:rPr>
                          <w:t>（</w:t>
                        </w:r>
                        <w:r>
                          <w:rPr>
                            <w:rFonts w:ascii="Times New Roman" w:eastAsia="Times New Roman"/>
                            <w:sz w:val="21"/>
                          </w:rPr>
                          <w:t>4</w:t>
                        </w:r>
                        <w:r>
                          <w:rPr>
                            <w:sz w:val="21"/>
                          </w:rPr>
                          <w:t>）因缺氧必须接受持续的输氧治疗。</w:t>
                        </w:r>
                      </w:p>
                    </w:tc>
                  </w:tr>
                  <w:tr>
                    <w:trPr>
                      <w:trHeight w:val="377" w:hRule="atLeast"/>
                    </w:trPr>
                    <w:tc>
                      <w:tcPr>
                        <w:tcW w:w="759" w:type="dxa"/>
                      </w:tcPr>
                      <w:p>
                        <w:pPr>
                          <w:pStyle w:val="TableParagraph"/>
                          <w:spacing w:before="108"/>
                          <w:ind w:left="50"/>
                          <w:rPr>
                            <w:rFonts w:ascii="Times New Roman"/>
                            <w:sz w:val="21"/>
                          </w:rPr>
                        </w:pPr>
                        <w:r>
                          <w:rPr>
                            <w:rFonts w:ascii="Times New Roman"/>
                            <w:sz w:val="21"/>
                          </w:rPr>
                          <w:t>6.28</w:t>
                        </w:r>
                      </w:p>
                    </w:tc>
                    <w:tc>
                      <w:tcPr>
                        <w:tcW w:w="2114" w:type="dxa"/>
                      </w:tcPr>
                      <w:p>
                        <w:pPr>
                          <w:pStyle w:val="TableParagraph"/>
                          <w:spacing w:line="255" w:lineRule="exact" w:before="102"/>
                          <w:ind w:left="342"/>
                          <w:rPr>
                            <w:b/>
                            <w:sz w:val="21"/>
                          </w:rPr>
                        </w:pPr>
                        <w:r>
                          <w:rPr>
                            <w:b/>
                            <w:sz w:val="21"/>
                          </w:rPr>
                          <w:t>严重多发性硬化</w:t>
                        </w:r>
                      </w:p>
                    </w:tc>
                    <w:tc>
                      <w:tcPr>
                        <w:tcW w:w="6275" w:type="dxa"/>
                      </w:tcPr>
                      <w:p>
                        <w:pPr>
                          <w:pStyle w:val="TableParagraph"/>
                          <w:spacing w:before="66"/>
                          <w:ind w:left="110"/>
                          <w:rPr>
                            <w:sz w:val="21"/>
                          </w:rPr>
                        </w:pPr>
                        <w:r>
                          <w:rPr>
                            <w:sz w:val="21"/>
                          </w:rPr>
                          <w:t>多发性硬化为中枢神经系统白质多灶性脱髓鞘病变。多发性硬化须</w:t>
                        </w:r>
                      </w:p>
                    </w:tc>
                  </w:tr>
                </w:tbl>
                <w:p>
                  <w:pPr>
                    <w:pStyle w:val="BodyText"/>
                  </w:pPr>
                </w:p>
              </w:txbxContent>
            </v:textbox>
            <w10:wrap type="none"/>
          </v:shape>
        </w:pict>
      </w:r>
      <w:r>
        <w:rPr>
          <w:b/>
          <w:position w:val="-10"/>
        </w:rPr>
        <w:t>症</w:t>
        <w:tab/>
      </w:r>
      <w:r>
        <w:rPr/>
        <w:t>由核磁共振（</w:t>
      </w:r>
      <w:r>
        <w:rPr>
          <w:rFonts w:ascii="Times New Roman" w:eastAsia="Times New Roman"/>
        </w:rPr>
        <w:t>MRI</w:t>
      </w:r>
      <w:r>
        <w:rPr/>
        <w:t>）等影像学检查证实，并且被保险人已永久不可</w:t>
      </w:r>
    </w:p>
    <w:p>
      <w:pPr>
        <w:pStyle w:val="BodyText"/>
        <w:spacing w:line="185" w:lineRule="exact"/>
        <w:ind w:left="3154"/>
      </w:pPr>
      <w:r>
        <w:rPr/>
        <w:t>逆地无法独立完成下列任何一项基本日常生活活动：</w:t>
      </w:r>
    </w:p>
    <w:p>
      <w:pPr>
        <w:pStyle w:val="BodyText"/>
        <w:spacing w:line="249" w:lineRule="exact"/>
        <w:ind w:left="3156"/>
      </w:pPr>
      <w:r>
        <w:rPr/>
        <w:t>（</w:t>
      </w:r>
      <w:r>
        <w:rPr>
          <w:rFonts w:ascii="Times New Roman" w:eastAsia="Times New Roman"/>
        </w:rPr>
        <w:t>1</w:t>
      </w:r>
      <w:r>
        <w:rPr/>
        <w:t>）移动：自己从一个房间到另一个房间；</w:t>
      </w:r>
    </w:p>
    <w:p>
      <w:pPr>
        <w:pStyle w:val="BodyText"/>
        <w:spacing w:line="266" w:lineRule="exact"/>
        <w:ind w:left="3156"/>
      </w:pPr>
      <w:r>
        <w:rPr/>
        <w:t>（</w:t>
      </w:r>
      <w:r>
        <w:rPr>
          <w:rFonts w:ascii="Times New Roman" w:eastAsia="Times New Roman"/>
        </w:rPr>
        <w:t>2</w:t>
      </w:r>
      <w:r>
        <w:rPr/>
        <w:t>）进食：自己从已准备好的碗或碟中取食物放入口中。</w:t>
      </w:r>
    </w:p>
    <w:p>
      <w:pPr>
        <w:pStyle w:val="BodyText"/>
        <w:spacing w:before="2"/>
        <w:rPr>
          <w:sz w:val="19"/>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6"/>
        <w:gridCol w:w="2379"/>
        <w:gridCol w:w="6271"/>
      </w:tblGrid>
      <w:tr>
        <w:trPr>
          <w:trHeight w:val="414" w:hRule="atLeast"/>
        </w:trPr>
        <w:tc>
          <w:tcPr>
            <w:tcW w:w="766" w:type="dxa"/>
            <w:tcBorders>
              <w:bottom w:val="single" w:sz="6" w:space="0" w:color="000000"/>
            </w:tcBorders>
          </w:tcPr>
          <w:p>
            <w:pPr>
              <w:pStyle w:val="TableParagraph"/>
              <w:spacing w:line="272" w:lineRule="exact"/>
              <w:ind w:left="110"/>
              <w:rPr>
                <w:rFonts w:ascii="Times New Roman"/>
                <w:b/>
                <w:sz w:val="24"/>
              </w:rPr>
            </w:pPr>
            <w:r>
              <w:rPr>
                <w:rFonts w:ascii="Times New Roman"/>
                <w:b/>
                <w:sz w:val="24"/>
              </w:rPr>
              <w:t>7</w:t>
            </w:r>
          </w:p>
        </w:tc>
        <w:tc>
          <w:tcPr>
            <w:tcW w:w="2379" w:type="dxa"/>
            <w:tcBorders>
              <w:bottom w:val="single" w:sz="6" w:space="0" w:color="000000"/>
            </w:tcBorders>
          </w:tcPr>
          <w:p>
            <w:pPr>
              <w:pStyle w:val="TableParagraph"/>
              <w:spacing w:line="240" w:lineRule="exact"/>
              <w:ind w:left="395"/>
              <w:rPr>
                <w:b/>
                <w:sz w:val="24"/>
              </w:rPr>
            </w:pPr>
            <w:r>
              <w:rPr>
                <w:b/>
                <w:w w:val="95"/>
                <w:sz w:val="24"/>
              </w:rPr>
              <w:t>释义</w:t>
            </w:r>
          </w:p>
        </w:tc>
        <w:tc>
          <w:tcPr>
            <w:tcW w:w="6271" w:type="dxa"/>
            <w:tcBorders>
              <w:bottom w:val="single" w:sz="6" w:space="0" w:color="000000"/>
            </w:tcBorders>
          </w:tcPr>
          <w:p>
            <w:pPr>
              <w:pStyle w:val="TableParagraph"/>
              <w:rPr>
                <w:rFonts w:ascii="Times New Roman"/>
                <w:sz w:val="20"/>
              </w:rPr>
            </w:pPr>
          </w:p>
        </w:tc>
      </w:tr>
      <w:tr>
        <w:trPr>
          <w:trHeight w:val="477" w:hRule="atLeast"/>
        </w:trPr>
        <w:tc>
          <w:tcPr>
            <w:tcW w:w="766" w:type="dxa"/>
            <w:tcBorders>
              <w:top w:val="single" w:sz="6" w:space="0" w:color="000000"/>
            </w:tcBorders>
          </w:tcPr>
          <w:p>
            <w:pPr>
              <w:pStyle w:val="TableParagraph"/>
              <w:spacing w:before="26"/>
              <w:ind w:left="110"/>
              <w:rPr>
                <w:rFonts w:ascii="Times New Roman"/>
                <w:sz w:val="21"/>
              </w:rPr>
            </w:pPr>
            <w:r>
              <w:rPr>
                <w:rFonts w:ascii="Times New Roman"/>
                <w:sz w:val="21"/>
              </w:rPr>
              <w:t>7.1</w:t>
            </w:r>
          </w:p>
        </w:tc>
        <w:tc>
          <w:tcPr>
            <w:tcW w:w="2379" w:type="dxa"/>
            <w:tcBorders>
              <w:top w:val="single" w:sz="6" w:space="0" w:color="000000"/>
            </w:tcBorders>
          </w:tcPr>
          <w:p>
            <w:pPr>
              <w:pStyle w:val="TableParagraph"/>
              <w:spacing w:line="258" w:lineRule="exact"/>
              <w:ind w:left="395"/>
              <w:rPr>
                <w:b/>
                <w:sz w:val="21"/>
              </w:rPr>
            </w:pPr>
            <w:r>
              <w:rPr>
                <w:b/>
                <w:w w:val="95"/>
                <w:sz w:val="21"/>
              </w:rPr>
              <w:t>发病</w:t>
            </w:r>
          </w:p>
        </w:tc>
        <w:tc>
          <w:tcPr>
            <w:tcW w:w="6271" w:type="dxa"/>
            <w:tcBorders>
              <w:top w:val="single" w:sz="6" w:space="0" w:color="000000"/>
            </w:tcBorders>
          </w:tcPr>
          <w:p>
            <w:pPr>
              <w:pStyle w:val="TableParagraph"/>
              <w:spacing w:line="213" w:lineRule="exact"/>
              <w:ind w:left="108"/>
              <w:rPr>
                <w:sz w:val="21"/>
              </w:rPr>
            </w:pPr>
            <w:r>
              <w:rPr>
                <w:sz w:val="21"/>
              </w:rPr>
              <w:t>发病是指出现第 </w:t>
            </w:r>
            <w:r>
              <w:rPr>
                <w:rFonts w:ascii="Times New Roman" w:eastAsia="Times New Roman"/>
                <w:sz w:val="21"/>
              </w:rPr>
              <w:t>6 </w:t>
            </w:r>
            <w:r>
              <w:rPr>
                <w:sz w:val="21"/>
              </w:rPr>
              <w:t>条约定的疾病前兆或异常身体状况，该疾病前</w:t>
            </w:r>
          </w:p>
          <w:p>
            <w:pPr>
              <w:pStyle w:val="TableParagraph"/>
              <w:spacing w:line="244" w:lineRule="exact"/>
              <w:ind w:left="108"/>
              <w:rPr>
                <w:sz w:val="21"/>
              </w:rPr>
            </w:pPr>
            <w:r>
              <w:rPr>
                <w:sz w:val="21"/>
              </w:rPr>
              <w:t>兆或异常身体状况按常识足以引起或应当引起被保险人或被保</w:t>
            </w:r>
          </w:p>
        </w:tc>
      </w:tr>
      <w:tr>
        <w:trPr>
          <w:trHeight w:val="356" w:hRule="atLeast"/>
        </w:trPr>
        <w:tc>
          <w:tcPr>
            <w:tcW w:w="766" w:type="dxa"/>
          </w:tcPr>
          <w:p>
            <w:pPr>
              <w:pStyle w:val="TableParagraph"/>
              <w:rPr>
                <w:rFonts w:ascii="Times New Roman"/>
                <w:sz w:val="20"/>
              </w:rPr>
            </w:pPr>
          </w:p>
        </w:tc>
        <w:tc>
          <w:tcPr>
            <w:tcW w:w="2379" w:type="dxa"/>
          </w:tcPr>
          <w:p>
            <w:pPr>
              <w:pStyle w:val="TableParagraph"/>
              <w:rPr>
                <w:rFonts w:ascii="Times New Roman"/>
                <w:sz w:val="20"/>
              </w:rPr>
            </w:pPr>
          </w:p>
        </w:tc>
        <w:tc>
          <w:tcPr>
            <w:tcW w:w="6271" w:type="dxa"/>
          </w:tcPr>
          <w:p>
            <w:pPr>
              <w:pStyle w:val="TableParagraph"/>
              <w:spacing w:line="225" w:lineRule="exact"/>
              <w:ind w:left="108"/>
              <w:rPr>
                <w:sz w:val="21"/>
              </w:rPr>
            </w:pPr>
            <w:r>
              <w:rPr>
                <w:sz w:val="21"/>
              </w:rPr>
              <w:t>险人的监护人注意并寻求检查、诊断、治疗或护理。</w:t>
            </w:r>
          </w:p>
        </w:tc>
      </w:tr>
      <w:tr>
        <w:trPr>
          <w:trHeight w:val="725" w:hRule="atLeast"/>
        </w:trPr>
        <w:tc>
          <w:tcPr>
            <w:tcW w:w="766" w:type="dxa"/>
          </w:tcPr>
          <w:p>
            <w:pPr>
              <w:pStyle w:val="TableParagraph"/>
              <w:spacing w:before="146"/>
              <w:ind w:left="110"/>
              <w:rPr>
                <w:rFonts w:ascii="Times New Roman"/>
                <w:sz w:val="21"/>
              </w:rPr>
            </w:pPr>
            <w:r>
              <w:rPr>
                <w:rFonts w:ascii="Times New Roman"/>
                <w:sz w:val="21"/>
              </w:rPr>
              <w:t>7.2</w:t>
            </w:r>
          </w:p>
        </w:tc>
        <w:tc>
          <w:tcPr>
            <w:tcW w:w="2379" w:type="dxa"/>
          </w:tcPr>
          <w:p>
            <w:pPr>
              <w:pStyle w:val="TableParagraph"/>
              <w:spacing w:before="103"/>
              <w:ind w:left="395"/>
              <w:rPr>
                <w:b/>
                <w:sz w:val="21"/>
              </w:rPr>
            </w:pPr>
            <w:r>
              <w:rPr>
                <w:b/>
                <w:w w:val="95"/>
                <w:sz w:val="21"/>
              </w:rPr>
              <w:t>均衡保险费</w:t>
            </w:r>
          </w:p>
        </w:tc>
        <w:tc>
          <w:tcPr>
            <w:tcW w:w="6271" w:type="dxa"/>
          </w:tcPr>
          <w:p>
            <w:pPr>
              <w:pStyle w:val="TableParagraph"/>
              <w:spacing w:line="208" w:lineRule="auto" w:before="103"/>
              <w:ind w:left="108" w:right="281"/>
              <w:rPr>
                <w:sz w:val="21"/>
              </w:rPr>
            </w:pPr>
            <w:r>
              <w:rPr>
                <w:sz w:val="21"/>
              </w:rPr>
              <w:t>本附加合同所称的均衡保险费是指保险合同的保险费支付期限和保险期间均在一年以上，并且各保单年度应付保险费金额相同。</w:t>
            </w:r>
          </w:p>
        </w:tc>
      </w:tr>
      <w:tr>
        <w:trPr>
          <w:trHeight w:val="415" w:hRule="atLeast"/>
        </w:trPr>
        <w:tc>
          <w:tcPr>
            <w:tcW w:w="766" w:type="dxa"/>
          </w:tcPr>
          <w:p>
            <w:pPr>
              <w:pStyle w:val="TableParagraph"/>
              <w:spacing w:before="134"/>
              <w:ind w:left="110"/>
              <w:rPr>
                <w:rFonts w:ascii="Times New Roman"/>
                <w:sz w:val="21"/>
              </w:rPr>
            </w:pPr>
            <w:r>
              <w:rPr>
                <w:rFonts w:ascii="Times New Roman"/>
                <w:sz w:val="21"/>
              </w:rPr>
              <w:t>7.3</w:t>
            </w:r>
          </w:p>
        </w:tc>
        <w:tc>
          <w:tcPr>
            <w:tcW w:w="2379" w:type="dxa"/>
          </w:tcPr>
          <w:p>
            <w:pPr>
              <w:pStyle w:val="TableParagraph"/>
              <w:spacing w:before="89"/>
              <w:ind w:left="395"/>
              <w:rPr>
                <w:b/>
                <w:sz w:val="21"/>
              </w:rPr>
            </w:pPr>
            <w:r>
              <w:rPr>
                <w:b/>
                <w:w w:val="95"/>
                <w:sz w:val="21"/>
              </w:rPr>
              <w:t>专科医生</w:t>
            </w:r>
          </w:p>
        </w:tc>
        <w:tc>
          <w:tcPr>
            <w:tcW w:w="6271" w:type="dxa"/>
          </w:tcPr>
          <w:p>
            <w:pPr>
              <w:pStyle w:val="TableParagraph"/>
              <w:spacing w:before="89"/>
              <w:ind w:left="108"/>
              <w:rPr>
                <w:sz w:val="21"/>
              </w:rPr>
            </w:pPr>
            <w:r>
              <w:rPr>
                <w:sz w:val="21"/>
              </w:rPr>
              <w:t>专科医生应当同时满足以下四项资格条件：</w:t>
            </w:r>
          </w:p>
        </w:tc>
      </w:tr>
      <w:tr>
        <w:trPr>
          <w:trHeight w:val="312" w:hRule="atLeast"/>
        </w:trPr>
        <w:tc>
          <w:tcPr>
            <w:tcW w:w="766" w:type="dxa"/>
          </w:tcPr>
          <w:p>
            <w:pPr>
              <w:pStyle w:val="TableParagraph"/>
              <w:rPr>
                <w:rFonts w:ascii="Times New Roman"/>
                <w:sz w:val="20"/>
              </w:rPr>
            </w:pPr>
          </w:p>
        </w:tc>
        <w:tc>
          <w:tcPr>
            <w:tcW w:w="2379" w:type="dxa"/>
          </w:tcPr>
          <w:p>
            <w:pPr>
              <w:pStyle w:val="TableParagraph"/>
              <w:rPr>
                <w:rFonts w:ascii="Times New Roman"/>
                <w:sz w:val="20"/>
              </w:rPr>
            </w:pPr>
          </w:p>
        </w:tc>
        <w:tc>
          <w:tcPr>
            <w:tcW w:w="6271" w:type="dxa"/>
          </w:tcPr>
          <w:p>
            <w:pPr>
              <w:pStyle w:val="TableParagraph"/>
              <w:spacing w:line="276" w:lineRule="exact"/>
              <w:ind w:left="108"/>
              <w:rPr>
                <w:sz w:val="21"/>
              </w:rPr>
            </w:pPr>
            <w:r>
              <w:rPr>
                <w:sz w:val="21"/>
              </w:rPr>
              <w:t>（</w:t>
            </w:r>
            <w:r>
              <w:rPr>
                <w:rFonts w:ascii="Times New Roman" w:eastAsia="Times New Roman"/>
                <w:sz w:val="21"/>
              </w:rPr>
              <w:t>1</w:t>
            </w:r>
            <w:r>
              <w:rPr>
                <w:sz w:val="21"/>
              </w:rPr>
              <w:t>）具有有效的中华人民共和国《医师资格证书》；</w:t>
            </w:r>
          </w:p>
        </w:tc>
      </w:tr>
      <w:tr>
        <w:trPr>
          <w:trHeight w:val="317" w:hRule="atLeast"/>
        </w:trPr>
        <w:tc>
          <w:tcPr>
            <w:tcW w:w="766" w:type="dxa"/>
          </w:tcPr>
          <w:p>
            <w:pPr>
              <w:pStyle w:val="TableParagraph"/>
              <w:rPr>
                <w:rFonts w:ascii="Times New Roman"/>
                <w:sz w:val="20"/>
              </w:rPr>
            </w:pPr>
          </w:p>
        </w:tc>
        <w:tc>
          <w:tcPr>
            <w:tcW w:w="2379" w:type="dxa"/>
          </w:tcPr>
          <w:p>
            <w:pPr>
              <w:pStyle w:val="TableParagraph"/>
              <w:rPr>
                <w:rFonts w:ascii="Times New Roman"/>
                <w:sz w:val="20"/>
              </w:rPr>
            </w:pPr>
          </w:p>
        </w:tc>
        <w:tc>
          <w:tcPr>
            <w:tcW w:w="6271" w:type="dxa"/>
          </w:tcPr>
          <w:p>
            <w:pPr>
              <w:pStyle w:val="TableParagraph"/>
              <w:spacing w:line="276" w:lineRule="exact"/>
              <w:ind w:left="108"/>
              <w:rPr>
                <w:sz w:val="21"/>
              </w:rPr>
            </w:pPr>
            <w:r>
              <w:rPr>
                <w:sz w:val="21"/>
              </w:rPr>
              <w:t>（</w:t>
            </w:r>
            <w:r>
              <w:rPr>
                <w:rFonts w:ascii="Times New Roman" w:eastAsia="Times New Roman"/>
                <w:sz w:val="21"/>
              </w:rPr>
              <w:t>2</w:t>
            </w:r>
            <w:r>
              <w:rPr>
                <w:sz w:val="21"/>
              </w:rPr>
              <w:t>）具有有效的中华人民共和国《医师执业证书》，并按期到相</w:t>
            </w:r>
          </w:p>
        </w:tc>
      </w:tr>
      <w:tr>
        <w:trPr>
          <w:trHeight w:val="300" w:hRule="atLeast"/>
        </w:trPr>
        <w:tc>
          <w:tcPr>
            <w:tcW w:w="766" w:type="dxa"/>
          </w:tcPr>
          <w:p>
            <w:pPr>
              <w:pStyle w:val="TableParagraph"/>
              <w:rPr>
                <w:rFonts w:ascii="Times New Roman"/>
                <w:sz w:val="20"/>
              </w:rPr>
            </w:pPr>
          </w:p>
        </w:tc>
        <w:tc>
          <w:tcPr>
            <w:tcW w:w="2379" w:type="dxa"/>
          </w:tcPr>
          <w:p>
            <w:pPr>
              <w:pStyle w:val="TableParagraph"/>
              <w:rPr>
                <w:rFonts w:ascii="Times New Roman"/>
                <w:sz w:val="20"/>
              </w:rPr>
            </w:pPr>
          </w:p>
        </w:tc>
        <w:tc>
          <w:tcPr>
            <w:tcW w:w="6271" w:type="dxa"/>
          </w:tcPr>
          <w:p>
            <w:pPr>
              <w:pStyle w:val="TableParagraph"/>
              <w:spacing w:line="255" w:lineRule="exact"/>
              <w:ind w:left="108"/>
              <w:rPr>
                <w:sz w:val="21"/>
              </w:rPr>
            </w:pPr>
            <w:r>
              <w:rPr>
                <w:sz w:val="21"/>
              </w:rPr>
              <w:t>关部门登记注册；</w:t>
            </w:r>
          </w:p>
        </w:tc>
      </w:tr>
      <w:tr>
        <w:trPr>
          <w:trHeight w:val="323" w:hRule="atLeast"/>
        </w:trPr>
        <w:tc>
          <w:tcPr>
            <w:tcW w:w="766" w:type="dxa"/>
          </w:tcPr>
          <w:p>
            <w:pPr>
              <w:pStyle w:val="TableParagraph"/>
              <w:rPr>
                <w:rFonts w:ascii="Times New Roman"/>
                <w:sz w:val="20"/>
              </w:rPr>
            </w:pPr>
          </w:p>
        </w:tc>
        <w:tc>
          <w:tcPr>
            <w:tcW w:w="2379" w:type="dxa"/>
          </w:tcPr>
          <w:p>
            <w:pPr>
              <w:pStyle w:val="TableParagraph"/>
              <w:rPr>
                <w:rFonts w:ascii="Times New Roman"/>
                <w:sz w:val="20"/>
              </w:rPr>
            </w:pPr>
          </w:p>
        </w:tc>
        <w:tc>
          <w:tcPr>
            <w:tcW w:w="6271" w:type="dxa"/>
          </w:tcPr>
          <w:p>
            <w:pPr>
              <w:pStyle w:val="TableParagraph"/>
              <w:spacing w:line="282" w:lineRule="exact"/>
              <w:ind w:left="108"/>
              <w:rPr>
                <w:sz w:val="21"/>
              </w:rPr>
            </w:pPr>
            <w:r>
              <w:rPr>
                <w:sz w:val="21"/>
              </w:rPr>
              <w:t>（</w:t>
            </w:r>
            <w:r>
              <w:rPr>
                <w:rFonts w:ascii="Times New Roman" w:eastAsia="Times New Roman"/>
                <w:sz w:val="21"/>
              </w:rPr>
              <w:t>3</w:t>
            </w:r>
            <w:r>
              <w:rPr>
                <w:sz w:val="21"/>
              </w:rPr>
              <w:t>）具有有效的中华人民共和国主治医师或主治医师以上职称</w:t>
            </w:r>
          </w:p>
        </w:tc>
      </w:tr>
      <w:tr>
        <w:trPr>
          <w:trHeight w:val="300" w:hRule="atLeast"/>
        </w:trPr>
        <w:tc>
          <w:tcPr>
            <w:tcW w:w="766" w:type="dxa"/>
          </w:tcPr>
          <w:p>
            <w:pPr>
              <w:pStyle w:val="TableParagraph"/>
              <w:rPr>
                <w:rFonts w:ascii="Times New Roman"/>
                <w:sz w:val="20"/>
              </w:rPr>
            </w:pPr>
          </w:p>
        </w:tc>
        <w:tc>
          <w:tcPr>
            <w:tcW w:w="2379" w:type="dxa"/>
          </w:tcPr>
          <w:p>
            <w:pPr>
              <w:pStyle w:val="TableParagraph"/>
              <w:rPr>
                <w:rFonts w:ascii="Times New Roman"/>
                <w:sz w:val="20"/>
              </w:rPr>
            </w:pPr>
          </w:p>
        </w:tc>
        <w:tc>
          <w:tcPr>
            <w:tcW w:w="6271" w:type="dxa"/>
          </w:tcPr>
          <w:p>
            <w:pPr>
              <w:pStyle w:val="TableParagraph"/>
              <w:spacing w:line="255" w:lineRule="exact"/>
              <w:ind w:left="108"/>
              <w:rPr>
                <w:sz w:val="21"/>
              </w:rPr>
            </w:pPr>
            <w:r>
              <w:rPr>
                <w:sz w:val="21"/>
              </w:rPr>
              <w:t>的《医师职称证书》；</w:t>
            </w:r>
          </w:p>
        </w:tc>
      </w:tr>
      <w:tr>
        <w:trPr>
          <w:trHeight w:val="317" w:hRule="atLeast"/>
        </w:trPr>
        <w:tc>
          <w:tcPr>
            <w:tcW w:w="766" w:type="dxa"/>
          </w:tcPr>
          <w:p>
            <w:pPr>
              <w:pStyle w:val="TableParagraph"/>
              <w:rPr>
                <w:rFonts w:ascii="Times New Roman"/>
                <w:sz w:val="20"/>
              </w:rPr>
            </w:pPr>
          </w:p>
        </w:tc>
        <w:tc>
          <w:tcPr>
            <w:tcW w:w="2379" w:type="dxa"/>
          </w:tcPr>
          <w:p>
            <w:pPr>
              <w:pStyle w:val="TableParagraph"/>
              <w:rPr>
                <w:rFonts w:ascii="Times New Roman"/>
                <w:sz w:val="20"/>
              </w:rPr>
            </w:pPr>
          </w:p>
        </w:tc>
        <w:tc>
          <w:tcPr>
            <w:tcW w:w="6271" w:type="dxa"/>
          </w:tcPr>
          <w:p>
            <w:pPr>
              <w:pStyle w:val="TableParagraph"/>
              <w:spacing w:line="282" w:lineRule="exact"/>
              <w:ind w:left="108"/>
              <w:rPr>
                <w:sz w:val="21"/>
              </w:rPr>
            </w:pPr>
            <w:r>
              <w:rPr>
                <w:sz w:val="21"/>
              </w:rPr>
              <w:t>（</w:t>
            </w:r>
            <w:r>
              <w:rPr>
                <w:rFonts w:ascii="Times New Roman" w:eastAsia="Times New Roman"/>
                <w:sz w:val="21"/>
              </w:rPr>
              <w:t>4</w:t>
            </w:r>
            <w:r>
              <w:rPr>
                <w:sz w:val="21"/>
              </w:rPr>
              <w:t>）在二级或二级以上医院的相应科室从事临床工作三年以上。</w:t>
            </w:r>
          </w:p>
        </w:tc>
      </w:tr>
      <w:tr>
        <w:trPr>
          <w:trHeight w:val="317" w:hRule="atLeast"/>
        </w:trPr>
        <w:tc>
          <w:tcPr>
            <w:tcW w:w="766" w:type="dxa"/>
          </w:tcPr>
          <w:p>
            <w:pPr>
              <w:pStyle w:val="TableParagraph"/>
              <w:spacing w:before="30"/>
              <w:ind w:left="110"/>
              <w:rPr>
                <w:rFonts w:ascii="Times New Roman"/>
                <w:sz w:val="21"/>
              </w:rPr>
            </w:pPr>
            <w:r>
              <w:rPr>
                <w:rFonts w:ascii="Times New Roman"/>
                <w:sz w:val="21"/>
              </w:rPr>
              <w:t>7.4</w:t>
            </w:r>
          </w:p>
        </w:tc>
        <w:tc>
          <w:tcPr>
            <w:tcW w:w="2379" w:type="dxa"/>
          </w:tcPr>
          <w:p>
            <w:pPr>
              <w:pStyle w:val="TableParagraph"/>
              <w:spacing w:line="260" w:lineRule="exact"/>
              <w:ind w:left="395"/>
              <w:rPr>
                <w:b/>
                <w:sz w:val="21"/>
              </w:rPr>
            </w:pPr>
            <w:r>
              <w:rPr>
                <w:b/>
                <w:sz w:val="21"/>
              </w:rPr>
              <w:t>感染艾滋病病毒或</w:t>
            </w:r>
          </w:p>
        </w:tc>
        <w:tc>
          <w:tcPr>
            <w:tcW w:w="6271" w:type="dxa"/>
          </w:tcPr>
          <w:p>
            <w:pPr>
              <w:pStyle w:val="TableParagraph"/>
              <w:spacing w:line="276" w:lineRule="exact"/>
              <w:ind w:left="108"/>
              <w:rPr>
                <w:sz w:val="21"/>
              </w:rPr>
            </w:pPr>
            <w:r>
              <w:rPr>
                <w:sz w:val="21"/>
              </w:rPr>
              <w:t>艾滋病病毒指人类免疫缺陷病毒，英文缩写为 </w:t>
            </w:r>
            <w:r>
              <w:rPr>
                <w:rFonts w:ascii="Times New Roman" w:eastAsia="Times New Roman"/>
                <w:sz w:val="21"/>
              </w:rPr>
              <w:t>HIV</w:t>
            </w:r>
            <w:r>
              <w:rPr>
                <w:sz w:val="21"/>
              </w:rPr>
              <w:t>。艾滋病指人</w:t>
            </w:r>
          </w:p>
        </w:tc>
      </w:tr>
      <w:tr>
        <w:trPr>
          <w:trHeight w:val="300" w:hRule="atLeast"/>
        </w:trPr>
        <w:tc>
          <w:tcPr>
            <w:tcW w:w="766" w:type="dxa"/>
          </w:tcPr>
          <w:p>
            <w:pPr>
              <w:pStyle w:val="TableParagraph"/>
              <w:rPr>
                <w:rFonts w:ascii="Times New Roman"/>
                <w:sz w:val="20"/>
              </w:rPr>
            </w:pPr>
          </w:p>
        </w:tc>
        <w:tc>
          <w:tcPr>
            <w:tcW w:w="2379" w:type="dxa"/>
          </w:tcPr>
          <w:p>
            <w:pPr>
              <w:pStyle w:val="TableParagraph"/>
              <w:spacing w:line="255" w:lineRule="exact"/>
              <w:ind w:left="395"/>
              <w:rPr>
                <w:b/>
                <w:sz w:val="21"/>
              </w:rPr>
            </w:pPr>
            <w:r>
              <w:rPr>
                <w:b/>
                <w:w w:val="95"/>
                <w:sz w:val="21"/>
              </w:rPr>
              <w:t>患艾滋病</w:t>
            </w:r>
          </w:p>
        </w:tc>
        <w:tc>
          <w:tcPr>
            <w:tcW w:w="6271" w:type="dxa"/>
          </w:tcPr>
          <w:p>
            <w:pPr>
              <w:pStyle w:val="TableParagraph"/>
              <w:spacing w:line="255" w:lineRule="exact"/>
              <w:ind w:left="108"/>
              <w:rPr>
                <w:sz w:val="21"/>
              </w:rPr>
            </w:pPr>
            <w:r>
              <w:rPr>
                <w:sz w:val="21"/>
              </w:rPr>
              <w:t>类免疫缺陷病毒引起的获得性免疫缺陷综合征，英文缩写为</w:t>
            </w:r>
          </w:p>
        </w:tc>
      </w:tr>
      <w:tr>
        <w:trPr>
          <w:trHeight w:val="323" w:hRule="atLeast"/>
        </w:trPr>
        <w:tc>
          <w:tcPr>
            <w:tcW w:w="766" w:type="dxa"/>
          </w:tcPr>
          <w:p>
            <w:pPr>
              <w:pStyle w:val="TableParagraph"/>
              <w:rPr>
                <w:rFonts w:ascii="Times New Roman"/>
                <w:sz w:val="20"/>
              </w:rPr>
            </w:pPr>
          </w:p>
        </w:tc>
        <w:tc>
          <w:tcPr>
            <w:tcW w:w="2379" w:type="dxa"/>
          </w:tcPr>
          <w:p>
            <w:pPr>
              <w:pStyle w:val="TableParagraph"/>
              <w:rPr>
                <w:rFonts w:ascii="Times New Roman"/>
                <w:sz w:val="20"/>
              </w:rPr>
            </w:pPr>
          </w:p>
        </w:tc>
        <w:tc>
          <w:tcPr>
            <w:tcW w:w="6271" w:type="dxa"/>
          </w:tcPr>
          <w:p>
            <w:pPr>
              <w:pStyle w:val="TableParagraph"/>
              <w:spacing w:line="282" w:lineRule="exact"/>
              <w:ind w:left="108"/>
              <w:rPr>
                <w:sz w:val="21"/>
              </w:rPr>
            </w:pPr>
            <w:r>
              <w:rPr>
                <w:rFonts w:ascii="Times New Roman" w:eastAsia="Times New Roman"/>
                <w:sz w:val="21"/>
              </w:rPr>
              <w:t>AIDS</w:t>
            </w:r>
            <w:r>
              <w:rPr>
                <w:sz w:val="21"/>
              </w:rPr>
              <w:t>。</w:t>
            </w:r>
          </w:p>
        </w:tc>
      </w:tr>
      <w:tr>
        <w:trPr>
          <w:trHeight w:val="306" w:hRule="atLeast"/>
        </w:trPr>
        <w:tc>
          <w:tcPr>
            <w:tcW w:w="766" w:type="dxa"/>
          </w:tcPr>
          <w:p>
            <w:pPr>
              <w:pStyle w:val="TableParagraph"/>
              <w:rPr>
                <w:rFonts w:ascii="Times New Roman"/>
                <w:sz w:val="20"/>
              </w:rPr>
            </w:pPr>
          </w:p>
        </w:tc>
        <w:tc>
          <w:tcPr>
            <w:tcW w:w="2379" w:type="dxa"/>
          </w:tcPr>
          <w:p>
            <w:pPr>
              <w:pStyle w:val="TableParagraph"/>
              <w:rPr>
                <w:rFonts w:ascii="Times New Roman"/>
                <w:sz w:val="20"/>
              </w:rPr>
            </w:pPr>
          </w:p>
        </w:tc>
        <w:tc>
          <w:tcPr>
            <w:tcW w:w="6271" w:type="dxa"/>
          </w:tcPr>
          <w:p>
            <w:pPr>
              <w:pStyle w:val="TableParagraph"/>
              <w:spacing w:line="255" w:lineRule="exact"/>
              <w:ind w:left="108"/>
              <w:rPr>
                <w:sz w:val="21"/>
              </w:rPr>
            </w:pPr>
            <w:r>
              <w:rPr>
                <w:sz w:val="21"/>
              </w:rPr>
              <w:t>在人体血液或其它样本中检测到艾滋病病毒或其抗体呈阳性，没</w:t>
            </w:r>
          </w:p>
        </w:tc>
      </w:tr>
      <w:tr>
        <w:trPr>
          <w:trHeight w:val="312" w:hRule="atLeast"/>
        </w:trPr>
        <w:tc>
          <w:tcPr>
            <w:tcW w:w="766" w:type="dxa"/>
          </w:tcPr>
          <w:p>
            <w:pPr>
              <w:pStyle w:val="TableParagraph"/>
              <w:rPr>
                <w:rFonts w:ascii="Times New Roman"/>
                <w:sz w:val="20"/>
              </w:rPr>
            </w:pPr>
          </w:p>
        </w:tc>
        <w:tc>
          <w:tcPr>
            <w:tcW w:w="2379" w:type="dxa"/>
          </w:tcPr>
          <w:p>
            <w:pPr>
              <w:pStyle w:val="TableParagraph"/>
              <w:rPr>
                <w:rFonts w:ascii="Times New Roman"/>
                <w:sz w:val="20"/>
              </w:rPr>
            </w:pPr>
          </w:p>
        </w:tc>
        <w:tc>
          <w:tcPr>
            <w:tcW w:w="6271" w:type="dxa"/>
          </w:tcPr>
          <w:p>
            <w:pPr>
              <w:pStyle w:val="TableParagraph"/>
              <w:spacing w:line="261" w:lineRule="exact"/>
              <w:ind w:left="108"/>
              <w:rPr>
                <w:sz w:val="21"/>
              </w:rPr>
            </w:pPr>
            <w:r>
              <w:rPr>
                <w:sz w:val="21"/>
              </w:rPr>
              <w:t>有出现临床症状或体征的，为感染艾滋病病毒；如果同时出现了</w:t>
            </w:r>
          </w:p>
        </w:tc>
      </w:tr>
      <w:tr>
        <w:trPr>
          <w:trHeight w:val="462" w:hRule="atLeast"/>
        </w:trPr>
        <w:tc>
          <w:tcPr>
            <w:tcW w:w="766" w:type="dxa"/>
          </w:tcPr>
          <w:p>
            <w:pPr>
              <w:pStyle w:val="TableParagraph"/>
              <w:rPr>
                <w:rFonts w:ascii="Times New Roman"/>
                <w:sz w:val="20"/>
              </w:rPr>
            </w:pPr>
          </w:p>
        </w:tc>
        <w:tc>
          <w:tcPr>
            <w:tcW w:w="2379" w:type="dxa"/>
          </w:tcPr>
          <w:p>
            <w:pPr>
              <w:pStyle w:val="TableParagraph"/>
              <w:rPr>
                <w:rFonts w:ascii="Times New Roman"/>
                <w:sz w:val="20"/>
              </w:rPr>
            </w:pPr>
          </w:p>
        </w:tc>
        <w:tc>
          <w:tcPr>
            <w:tcW w:w="6271" w:type="dxa"/>
          </w:tcPr>
          <w:p>
            <w:pPr>
              <w:pStyle w:val="TableParagraph"/>
              <w:spacing w:line="261" w:lineRule="exact"/>
              <w:ind w:left="108"/>
              <w:rPr>
                <w:sz w:val="21"/>
              </w:rPr>
            </w:pPr>
            <w:r>
              <w:rPr>
                <w:sz w:val="21"/>
              </w:rPr>
              <w:t>明显临床症状或体征的，为患艾滋病。</w:t>
            </w:r>
          </w:p>
        </w:tc>
      </w:tr>
      <w:tr>
        <w:trPr>
          <w:trHeight w:val="479" w:hRule="atLeast"/>
        </w:trPr>
        <w:tc>
          <w:tcPr>
            <w:tcW w:w="766" w:type="dxa"/>
          </w:tcPr>
          <w:p>
            <w:pPr>
              <w:pStyle w:val="TableParagraph"/>
              <w:spacing w:before="192"/>
              <w:ind w:left="110"/>
              <w:rPr>
                <w:rFonts w:ascii="Times New Roman"/>
                <w:sz w:val="21"/>
              </w:rPr>
            </w:pPr>
            <w:r>
              <w:rPr>
                <w:rFonts w:ascii="Times New Roman"/>
                <w:sz w:val="21"/>
              </w:rPr>
              <w:t>7.5</w:t>
            </w:r>
          </w:p>
        </w:tc>
        <w:tc>
          <w:tcPr>
            <w:tcW w:w="2379" w:type="dxa"/>
          </w:tcPr>
          <w:p>
            <w:pPr>
              <w:pStyle w:val="TableParagraph"/>
              <w:spacing w:before="147"/>
              <w:ind w:left="395"/>
              <w:rPr>
                <w:b/>
                <w:sz w:val="21"/>
              </w:rPr>
            </w:pPr>
            <w:r>
              <w:rPr>
                <w:b/>
                <w:w w:val="95"/>
                <w:sz w:val="21"/>
              </w:rPr>
              <w:t>遗传性疾病</w:t>
            </w:r>
          </w:p>
        </w:tc>
        <w:tc>
          <w:tcPr>
            <w:tcW w:w="6271" w:type="dxa"/>
          </w:tcPr>
          <w:p>
            <w:pPr>
              <w:pStyle w:val="TableParagraph"/>
              <w:spacing w:before="147"/>
              <w:ind w:left="108"/>
              <w:rPr>
                <w:sz w:val="21"/>
              </w:rPr>
            </w:pPr>
            <w:r>
              <w:rPr>
                <w:sz w:val="21"/>
              </w:rPr>
              <w:t>指生殖细胞或受精卵的遗传物质（染色体和基因）发生突变或畸</w:t>
            </w:r>
          </w:p>
        </w:tc>
      </w:tr>
      <w:tr>
        <w:trPr>
          <w:trHeight w:val="456" w:hRule="atLeast"/>
        </w:trPr>
        <w:tc>
          <w:tcPr>
            <w:tcW w:w="766" w:type="dxa"/>
          </w:tcPr>
          <w:p>
            <w:pPr>
              <w:pStyle w:val="TableParagraph"/>
              <w:rPr>
                <w:rFonts w:ascii="Times New Roman"/>
                <w:sz w:val="20"/>
              </w:rPr>
            </w:pPr>
          </w:p>
        </w:tc>
        <w:tc>
          <w:tcPr>
            <w:tcW w:w="2379" w:type="dxa"/>
          </w:tcPr>
          <w:p>
            <w:pPr>
              <w:pStyle w:val="TableParagraph"/>
              <w:rPr>
                <w:rFonts w:ascii="Times New Roman"/>
                <w:sz w:val="20"/>
              </w:rPr>
            </w:pPr>
          </w:p>
        </w:tc>
        <w:tc>
          <w:tcPr>
            <w:tcW w:w="6271" w:type="dxa"/>
          </w:tcPr>
          <w:p>
            <w:pPr>
              <w:pStyle w:val="TableParagraph"/>
              <w:spacing w:line="255" w:lineRule="exact"/>
              <w:ind w:left="108"/>
              <w:rPr>
                <w:sz w:val="21"/>
              </w:rPr>
            </w:pPr>
            <w:r>
              <w:rPr>
                <w:sz w:val="21"/>
              </w:rPr>
              <w:t>变所引起的疾病，通常具有由亲代传至后代的垂直传递的特征。</w:t>
            </w:r>
          </w:p>
        </w:tc>
      </w:tr>
      <w:tr>
        <w:trPr>
          <w:trHeight w:val="479" w:hRule="atLeast"/>
        </w:trPr>
        <w:tc>
          <w:tcPr>
            <w:tcW w:w="766" w:type="dxa"/>
          </w:tcPr>
          <w:p>
            <w:pPr>
              <w:pStyle w:val="TableParagraph"/>
              <w:spacing w:before="192"/>
              <w:ind w:left="110"/>
              <w:rPr>
                <w:rFonts w:ascii="Times New Roman"/>
                <w:sz w:val="21"/>
              </w:rPr>
            </w:pPr>
            <w:r>
              <w:rPr>
                <w:rFonts w:ascii="Times New Roman"/>
                <w:sz w:val="21"/>
              </w:rPr>
              <w:t>7.6</w:t>
            </w:r>
          </w:p>
        </w:tc>
        <w:tc>
          <w:tcPr>
            <w:tcW w:w="2379" w:type="dxa"/>
          </w:tcPr>
          <w:p>
            <w:pPr>
              <w:pStyle w:val="TableParagraph"/>
              <w:spacing w:before="147"/>
              <w:ind w:left="395"/>
              <w:rPr>
                <w:b/>
                <w:sz w:val="21"/>
              </w:rPr>
            </w:pPr>
            <w:r>
              <w:rPr>
                <w:b/>
                <w:w w:val="95"/>
                <w:sz w:val="21"/>
              </w:rPr>
              <w:t>先天性畸形、变形或</w:t>
            </w:r>
          </w:p>
        </w:tc>
        <w:tc>
          <w:tcPr>
            <w:tcW w:w="6271" w:type="dxa"/>
          </w:tcPr>
          <w:p>
            <w:pPr>
              <w:pStyle w:val="TableParagraph"/>
              <w:spacing w:before="147"/>
              <w:ind w:left="108"/>
              <w:rPr>
                <w:sz w:val="21"/>
              </w:rPr>
            </w:pPr>
            <w:r>
              <w:rPr>
                <w:spacing w:val="-12"/>
                <w:sz w:val="21"/>
              </w:rPr>
              <w:t>指被保险人出生时就具有的畸形、变形或染色体异常。先天性畸形、</w:t>
            </w:r>
          </w:p>
        </w:tc>
      </w:tr>
      <w:tr>
        <w:trPr>
          <w:trHeight w:val="255" w:hRule="atLeast"/>
        </w:trPr>
        <w:tc>
          <w:tcPr>
            <w:tcW w:w="766" w:type="dxa"/>
          </w:tcPr>
          <w:p>
            <w:pPr>
              <w:pStyle w:val="TableParagraph"/>
              <w:rPr>
                <w:rFonts w:ascii="Times New Roman"/>
                <w:sz w:val="18"/>
              </w:rPr>
            </w:pPr>
          </w:p>
        </w:tc>
        <w:tc>
          <w:tcPr>
            <w:tcW w:w="2379" w:type="dxa"/>
          </w:tcPr>
          <w:p>
            <w:pPr>
              <w:pStyle w:val="TableParagraph"/>
              <w:spacing w:line="235" w:lineRule="exact"/>
              <w:ind w:left="395"/>
              <w:rPr>
                <w:b/>
                <w:sz w:val="21"/>
              </w:rPr>
            </w:pPr>
            <w:r>
              <w:rPr>
                <w:b/>
                <w:w w:val="95"/>
                <w:sz w:val="21"/>
              </w:rPr>
              <w:t>染色体异常</w:t>
            </w:r>
          </w:p>
        </w:tc>
        <w:tc>
          <w:tcPr>
            <w:tcW w:w="6271" w:type="dxa"/>
          </w:tcPr>
          <w:p>
            <w:pPr>
              <w:pStyle w:val="TableParagraph"/>
              <w:spacing w:line="235" w:lineRule="exact"/>
              <w:ind w:left="108"/>
              <w:rPr>
                <w:sz w:val="21"/>
              </w:rPr>
            </w:pPr>
            <w:r>
              <w:rPr>
                <w:sz w:val="21"/>
              </w:rPr>
              <w:t>变形和染色体异常依照世界卫生组织《疾病和有关健康问题的国</w:t>
            </w:r>
          </w:p>
        </w:tc>
      </w:tr>
    </w:tbl>
    <w:p>
      <w:pPr>
        <w:spacing w:after="0" w:line="235" w:lineRule="exact"/>
        <w:rPr>
          <w:sz w:val="21"/>
        </w:rPr>
        <w:sectPr>
          <w:pgSz w:w="11900" w:h="16840"/>
          <w:pgMar w:header="0" w:footer="866" w:top="1280" w:bottom="1060" w:left="940" w:right="1320"/>
        </w:sectPr>
      </w:pPr>
    </w:p>
    <w:p>
      <w:pPr>
        <w:pStyle w:val="BodyText"/>
        <w:spacing w:before="28"/>
        <w:ind w:left="3352" w:right="3256"/>
        <w:jc w:val="center"/>
      </w:pPr>
      <w:r>
        <w:rPr/>
        <w:t>际统计分类》（</w:t>
      </w:r>
      <w:r>
        <w:rPr>
          <w:rFonts w:ascii="Times New Roman" w:eastAsia="Times New Roman"/>
        </w:rPr>
        <w:t>ICD-10</w:t>
      </w:r>
      <w:r>
        <w:rPr/>
        <w:t>）确定。</w:t>
      </w:r>
    </w:p>
    <w:p>
      <w:pPr>
        <w:pStyle w:val="ListParagraph"/>
        <w:numPr>
          <w:ilvl w:val="1"/>
          <w:numId w:val="5"/>
        </w:numPr>
        <w:tabs>
          <w:tab w:pos="1279" w:val="left" w:leader="none"/>
          <w:tab w:pos="1280" w:val="left" w:leader="none"/>
          <w:tab w:pos="3371" w:val="left" w:leader="none"/>
        </w:tabs>
        <w:spacing w:line="240" w:lineRule="auto" w:before="20" w:after="0"/>
        <w:ind w:left="1280" w:right="0" w:hanging="1052"/>
        <w:jc w:val="left"/>
        <w:rPr>
          <w:sz w:val="21"/>
        </w:rPr>
      </w:pPr>
      <w:r>
        <w:rPr>
          <w:b/>
          <w:sz w:val="21"/>
        </w:rPr>
        <w:t>肢体机能完全丧失</w:t>
        <w:tab/>
      </w:r>
      <w:r>
        <w:rPr>
          <w:sz w:val="21"/>
        </w:rPr>
        <w:t>指肢体的三大关节中的两大关节僵硬，或不能随意识活动。肢体</w:t>
      </w:r>
    </w:p>
    <w:p>
      <w:pPr>
        <w:pStyle w:val="BodyText"/>
        <w:spacing w:before="20"/>
        <w:ind w:left="3372"/>
      </w:pPr>
      <w:r>
        <w:rPr/>
        <w:t>是指包括肩关节的整个上肢或包括髋关节的整个下肢。</w:t>
      </w:r>
    </w:p>
    <w:p>
      <w:pPr>
        <w:pStyle w:val="BodyText"/>
        <w:spacing w:before="1"/>
        <w:rPr>
          <w:sz w:val="23"/>
        </w:rPr>
      </w:pPr>
    </w:p>
    <w:p>
      <w:pPr>
        <w:spacing w:after="0"/>
        <w:rPr>
          <w:sz w:val="23"/>
        </w:rPr>
        <w:sectPr>
          <w:pgSz w:w="11900" w:h="16840"/>
          <w:pgMar w:header="0" w:footer="866" w:top="1200" w:bottom="1060" w:left="1500" w:right="800"/>
        </w:sectPr>
      </w:pPr>
    </w:p>
    <w:p>
      <w:pPr>
        <w:pStyle w:val="Heading3"/>
        <w:numPr>
          <w:ilvl w:val="1"/>
          <w:numId w:val="5"/>
        </w:numPr>
        <w:tabs>
          <w:tab w:pos="1279" w:val="left" w:leader="none"/>
          <w:tab w:pos="1280" w:val="left" w:leader="none"/>
        </w:tabs>
        <w:spacing w:line="256" w:lineRule="auto" w:before="46" w:after="0"/>
        <w:ind w:left="1280" w:right="0" w:hanging="1052"/>
        <w:jc w:val="left"/>
      </w:pPr>
      <w:r>
        <w:rPr>
          <w:spacing w:val="21"/>
        </w:rPr>
        <w:t>语言能力或咀嚼吞</w:t>
      </w:r>
      <w:r>
        <w:rPr>
          <w:spacing w:val="21"/>
          <w:w w:val="95"/>
        </w:rPr>
        <w:t>咽能力完全丧失</w:t>
      </w:r>
    </w:p>
    <w:p>
      <w:pPr>
        <w:pStyle w:val="BodyText"/>
        <w:spacing w:line="273" w:lineRule="auto" w:before="46"/>
        <w:ind w:left="176" w:right="229"/>
      </w:pPr>
      <w:r>
        <w:rPr/>
        <w:br w:type="column"/>
      </w:r>
      <w:r>
        <w:rPr/>
        <w:t>语言能力完全丧失，指无法发出四种语音（</w:t>
      </w:r>
      <w:r>
        <w:rPr>
          <w:spacing w:val="-11"/>
        </w:rPr>
        <w:t>包括口唇音、齿舌音、口盖音和喉头音）中的任何三种、或声带全部切除，或因大脑语言中枢受伤害而患失语症。</w:t>
      </w:r>
    </w:p>
    <w:p>
      <w:pPr>
        <w:pStyle w:val="BodyText"/>
        <w:spacing w:line="273" w:lineRule="auto" w:before="7"/>
        <w:ind w:left="176" w:right="347"/>
        <w:jc w:val="both"/>
      </w:pPr>
      <w:r>
        <w:rPr/>
        <w:t>咀嚼吞咽能力完全丧失，指因牙齿以外的原因导致器质障碍或机能障碍，以致不能作咀嚼吞咽运动，除流质食物外不能摄取或吞咽的状态。</w:t>
      </w:r>
    </w:p>
    <w:p>
      <w:pPr>
        <w:spacing w:after="0" w:line="273" w:lineRule="auto"/>
        <w:jc w:val="both"/>
        <w:sectPr>
          <w:type w:val="continuous"/>
          <w:pgSz w:w="11900" w:h="16840"/>
          <w:pgMar w:top="80" w:bottom="280" w:left="1500" w:right="800"/>
          <w:cols w:num="2" w:equalWidth="0">
            <w:col w:w="3156" w:space="40"/>
            <w:col w:w="6404"/>
          </w:cols>
        </w:sectPr>
      </w:pPr>
    </w:p>
    <w:p>
      <w:pPr>
        <w:pStyle w:val="BodyText"/>
        <w:spacing w:before="10"/>
        <w:rPr>
          <w:sz w:val="14"/>
        </w:rPr>
      </w:pPr>
    </w:p>
    <w:p>
      <w:pPr>
        <w:spacing w:after="0"/>
        <w:rPr>
          <w:sz w:val="14"/>
        </w:rPr>
        <w:sectPr>
          <w:type w:val="continuous"/>
          <w:pgSz w:w="11900" w:h="16840"/>
          <w:pgMar w:top="80" w:bottom="280" w:left="1500" w:right="800"/>
        </w:sectPr>
      </w:pPr>
    </w:p>
    <w:p>
      <w:pPr>
        <w:pStyle w:val="Heading3"/>
        <w:numPr>
          <w:ilvl w:val="1"/>
          <w:numId w:val="5"/>
        </w:numPr>
        <w:tabs>
          <w:tab w:pos="1279" w:val="left" w:leader="none"/>
          <w:tab w:pos="1280" w:val="left" w:leader="none"/>
        </w:tabs>
        <w:spacing w:line="266" w:lineRule="auto" w:before="48" w:after="0"/>
        <w:ind w:left="1280" w:right="0" w:hanging="1052"/>
        <w:jc w:val="left"/>
      </w:pPr>
      <w:r>
        <w:rPr>
          <w:spacing w:val="21"/>
        </w:rPr>
        <w:t>六项基本日常生活</w:t>
      </w:r>
      <w:r>
        <w:rPr>
          <w:spacing w:val="21"/>
          <w:w w:val="95"/>
        </w:rPr>
        <w:t>活动</w:t>
      </w:r>
    </w:p>
    <w:p>
      <w:pPr>
        <w:pStyle w:val="BodyText"/>
        <w:spacing w:before="48"/>
        <w:ind w:left="175"/>
      </w:pPr>
      <w:r>
        <w:rPr/>
        <w:br w:type="column"/>
      </w:r>
      <w:r>
        <w:rPr/>
        <w:t>六项基本日常生活活动是指：</w:t>
      </w:r>
    </w:p>
    <w:p>
      <w:pPr>
        <w:pStyle w:val="BodyText"/>
        <w:spacing w:before="37"/>
        <w:ind w:left="175"/>
      </w:pPr>
      <w:r>
        <w:rPr/>
        <w:t>（</w:t>
      </w:r>
      <w:r>
        <w:rPr>
          <w:rFonts w:ascii="Times New Roman" w:eastAsia="Times New Roman"/>
          <w:position w:val="1"/>
        </w:rPr>
        <w:t>1</w:t>
      </w:r>
      <w:r>
        <w:rPr/>
        <w:t>）穿衣：自己能够穿衣及脱衣；</w:t>
      </w:r>
    </w:p>
    <w:p>
      <w:pPr>
        <w:pStyle w:val="BodyText"/>
        <w:spacing w:before="31"/>
        <w:ind w:left="175"/>
      </w:pPr>
      <w:r>
        <w:rPr/>
        <w:t>（</w:t>
      </w:r>
      <w:r>
        <w:rPr>
          <w:rFonts w:ascii="Times New Roman" w:eastAsia="Times New Roman"/>
          <w:position w:val="1"/>
        </w:rPr>
        <w:t>2</w:t>
      </w:r>
      <w:r>
        <w:rPr/>
        <w:t>）移动：自己从一个房间到另一个房间；</w:t>
      </w:r>
    </w:p>
    <w:p>
      <w:pPr>
        <w:pStyle w:val="BodyText"/>
        <w:spacing w:before="31"/>
        <w:ind w:left="175"/>
      </w:pPr>
      <w:r>
        <w:rPr/>
        <w:t>（</w:t>
      </w:r>
      <w:r>
        <w:rPr>
          <w:rFonts w:ascii="Times New Roman" w:eastAsia="Times New Roman"/>
          <w:position w:val="1"/>
        </w:rPr>
        <w:t>3</w:t>
      </w:r>
      <w:r>
        <w:rPr/>
        <w:t>）行动：自己上下床或上下轮椅；</w:t>
      </w:r>
    </w:p>
    <w:p>
      <w:pPr>
        <w:pStyle w:val="BodyText"/>
        <w:spacing w:before="31"/>
        <w:ind w:left="175"/>
      </w:pPr>
      <w:r>
        <w:rPr/>
        <w:t>（</w:t>
      </w:r>
      <w:r>
        <w:rPr>
          <w:rFonts w:ascii="Times New Roman" w:eastAsia="Times New Roman"/>
          <w:position w:val="1"/>
        </w:rPr>
        <w:t>4</w:t>
      </w:r>
      <w:r>
        <w:rPr/>
        <w:t>）如厕：自己控制进行大小便；</w:t>
      </w:r>
    </w:p>
    <w:p>
      <w:pPr>
        <w:pStyle w:val="BodyText"/>
        <w:spacing w:before="31"/>
        <w:ind w:left="175"/>
      </w:pPr>
      <w:r>
        <w:rPr/>
        <w:t>（</w:t>
      </w:r>
      <w:r>
        <w:rPr>
          <w:rFonts w:ascii="Times New Roman" w:eastAsia="Times New Roman"/>
          <w:position w:val="1"/>
        </w:rPr>
        <w:t>5</w:t>
      </w:r>
      <w:r>
        <w:rPr/>
        <w:t>）进食：自己从已准备好的碗或碟中取食物放入口中；</w:t>
      </w:r>
    </w:p>
    <w:p>
      <w:pPr>
        <w:pStyle w:val="BodyText"/>
        <w:spacing w:before="31"/>
        <w:ind w:left="175"/>
      </w:pPr>
      <w:r>
        <w:rPr/>
        <w:t>（</w:t>
      </w:r>
      <w:r>
        <w:rPr>
          <w:rFonts w:ascii="Times New Roman" w:eastAsia="Times New Roman"/>
          <w:position w:val="1"/>
        </w:rPr>
        <w:t>6</w:t>
      </w:r>
      <w:r>
        <w:rPr/>
        <w:t>）洗澡：自己进行淋浴或盆浴。</w:t>
      </w:r>
    </w:p>
    <w:p>
      <w:pPr>
        <w:spacing w:after="0"/>
        <w:sectPr>
          <w:type w:val="continuous"/>
          <w:pgSz w:w="11900" w:h="16840"/>
          <w:pgMar w:top="80" w:bottom="280" w:left="1500" w:right="800"/>
          <w:cols w:num="2" w:equalWidth="0">
            <w:col w:w="3157" w:space="40"/>
            <w:col w:w="6403"/>
          </w:cols>
        </w:sectPr>
      </w:pPr>
    </w:p>
    <w:p>
      <w:pPr>
        <w:pStyle w:val="BodyText"/>
        <w:spacing w:before="7"/>
        <w:rPr>
          <w:sz w:val="16"/>
        </w:rPr>
      </w:pPr>
    </w:p>
    <w:p>
      <w:pPr>
        <w:pStyle w:val="ListParagraph"/>
        <w:numPr>
          <w:ilvl w:val="1"/>
          <w:numId w:val="5"/>
        </w:numPr>
        <w:tabs>
          <w:tab w:pos="1051" w:val="left" w:leader="none"/>
          <w:tab w:pos="1280" w:val="left" w:leader="none"/>
          <w:tab w:pos="3143" w:val="left" w:leader="none"/>
        </w:tabs>
        <w:spacing w:line="240" w:lineRule="auto" w:before="46" w:after="0"/>
        <w:ind w:left="1280" w:right="96" w:hanging="1052"/>
        <w:jc w:val="left"/>
        <w:rPr>
          <w:sz w:val="21"/>
        </w:rPr>
      </w:pPr>
      <w:r>
        <w:rPr>
          <w:b/>
          <w:sz w:val="21"/>
        </w:rPr>
        <w:t>永久不可逆</w:t>
        <w:tab/>
      </w:r>
      <w:r>
        <w:rPr>
          <w:sz w:val="21"/>
        </w:rPr>
        <w:t>指自疾病确诊或意外伤害发生之日起，经过积极治疗</w:t>
      </w:r>
      <w:r>
        <w:rPr>
          <w:spacing w:val="-38"/>
          <w:sz w:val="21"/>
        </w:rPr>
        <w:t> </w:t>
      </w:r>
      <w:r>
        <w:rPr>
          <w:rFonts w:ascii="Times New Roman" w:eastAsia="Times New Roman"/>
          <w:sz w:val="21"/>
        </w:rPr>
        <w:t>180</w:t>
      </w:r>
      <w:r>
        <w:rPr>
          <w:rFonts w:ascii="Times New Roman" w:eastAsia="Times New Roman"/>
          <w:spacing w:val="-5"/>
          <w:sz w:val="21"/>
        </w:rPr>
        <w:t> </w:t>
      </w:r>
      <w:r>
        <w:rPr>
          <w:sz w:val="21"/>
        </w:rPr>
        <w:t>天后，</w:t>
      </w:r>
    </w:p>
    <w:p>
      <w:pPr>
        <w:pStyle w:val="BodyText"/>
        <w:spacing w:before="20"/>
        <w:ind w:left="3340" w:right="3256"/>
        <w:jc w:val="center"/>
      </w:pPr>
      <w:r>
        <w:rPr/>
        <w:t>仍无法通过现有医疗手段恢复。</w:t>
      </w:r>
    </w:p>
    <w:p>
      <w:pPr>
        <w:pStyle w:val="BodyText"/>
        <w:rPr>
          <w:sz w:val="17"/>
        </w:rPr>
      </w:pPr>
    </w:p>
    <w:p>
      <w:pPr>
        <w:spacing w:after="0"/>
        <w:rPr>
          <w:sz w:val="17"/>
        </w:rPr>
        <w:sectPr>
          <w:type w:val="continuous"/>
          <w:pgSz w:w="11900" w:h="16840"/>
          <w:pgMar w:top="80" w:bottom="280" w:left="1500" w:right="800"/>
        </w:sectPr>
      </w:pPr>
    </w:p>
    <w:p>
      <w:pPr>
        <w:pStyle w:val="Heading3"/>
        <w:numPr>
          <w:ilvl w:val="1"/>
          <w:numId w:val="5"/>
        </w:numPr>
        <w:tabs>
          <w:tab w:pos="1279" w:val="left" w:leader="none"/>
          <w:tab w:pos="1280" w:val="left" w:leader="none"/>
        </w:tabs>
        <w:spacing w:line="240" w:lineRule="auto" w:before="48" w:after="0"/>
        <w:ind w:left="1280" w:right="0" w:hanging="1052"/>
        <w:jc w:val="left"/>
      </w:pPr>
      <w:r>
        <w:rPr>
          <w:spacing w:val="21"/>
          <w:w w:val="95"/>
        </w:rPr>
        <w:t>美国纽约心脏病学</w:t>
      </w:r>
    </w:p>
    <w:p>
      <w:pPr>
        <w:spacing w:before="31"/>
        <w:ind w:left="1280" w:right="0" w:firstLine="0"/>
        <w:jc w:val="left"/>
        <w:rPr>
          <w:b/>
          <w:sz w:val="21"/>
        </w:rPr>
      </w:pPr>
      <w:r>
        <w:rPr>
          <w:b/>
          <w:w w:val="95"/>
          <w:sz w:val="21"/>
        </w:rPr>
        <w:t>会心功能状态分级</w:t>
      </w:r>
    </w:p>
    <w:p>
      <w:pPr>
        <w:spacing w:before="37"/>
        <w:ind w:left="1271" w:right="1425" w:firstLine="0"/>
        <w:jc w:val="center"/>
        <w:rPr>
          <w:b/>
          <w:sz w:val="21"/>
        </w:rPr>
      </w:pPr>
      <w:r>
        <w:rPr>
          <w:rFonts w:ascii="Times New Roman" w:eastAsia="Times New Roman"/>
          <w:b/>
          <w:w w:val="95"/>
          <w:position w:val="1"/>
          <w:sz w:val="21"/>
        </w:rPr>
        <w:t>IV</w:t>
      </w:r>
      <w:r>
        <w:rPr>
          <w:b/>
          <w:w w:val="95"/>
          <w:sz w:val="21"/>
        </w:rPr>
        <w:t>级</w:t>
      </w:r>
    </w:p>
    <w:p>
      <w:pPr>
        <w:pStyle w:val="BodyText"/>
        <w:spacing w:line="273" w:lineRule="auto" w:before="38"/>
        <w:ind w:left="173" w:right="341"/>
        <w:jc w:val="both"/>
      </w:pPr>
      <w:r>
        <w:rPr/>
        <w:br w:type="column"/>
      </w:r>
      <w:r>
        <w:rPr/>
        <w:t>心功能状态分级</w:t>
      </w:r>
      <w:r>
        <w:rPr>
          <w:position w:val="1"/>
        </w:rPr>
        <w:t>Ⅳ</w:t>
      </w:r>
      <w:r>
        <w:rPr/>
        <w:t>级是指被保险人不能无症状地进行任何体力活动，休息时也会出现心力衰竭或心绞痛的症状，任何体力活动都会加重病情。</w:t>
      </w:r>
    </w:p>
    <w:p>
      <w:pPr>
        <w:spacing w:after="0" w:line="273" w:lineRule="auto"/>
        <w:jc w:val="both"/>
        <w:sectPr>
          <w:type w:val="continuous"/>
          <w:pgSz w:w="11900" w:h="16840"/>
          <w:pgMar w:top="80" w:bottom="280" w:left="1500" w:right="800"/>
          <w:cols w:num="2" w:equalWidth="0">
            <w:col w:w="3159" w:space="40"/>
            <w:col w:w="6401"/>
          </w:cols>
        </w:sectPr>
      </w:pPr>
    </w:p>
    <w:p>
      <w:pPr>
        <w:pStyle w:val="BodyText"/>
        <w:spacing w:before="2"/>
        <w:rPr>
          <w:sz w:val="19"/>
        </w:rPr>
      </w:pPr>
    </w:p>
    <w:p>
      <w:pPr>
        <w:spacing w:after="0"/>
        <w:rPr>
          <w:sz w:val="19"/>
        </w:rPr>
        <w:sectPr>
          <w:type w:val="continuous"/>
          <w:pgSz w:w="11900" w:h="16840"/>
          <w:pgMar w:top="80" w:bottom="280" w:left="1500" w:right="800"/>
        </w:sectPr>
      </w:pPr>
    </w:p>
    <w:p>
      <w:pPr>
        <w:pStyle w:val="Heading2"/>
        <w:numPr>
          <w:ilvl w:val="0"/>
          <w:numId w:val="5"/>
        </w:numPr>
        <w:tabs>
          <w:tab w:pos="1279" w:val="left" w:leader="none"/>
          <w:tab w:pos="1280" w:val="left" w:leader="none"/>
        </w:tabs>
        <w:spacing w:line="240" w:lineRule="auto" w:before="30" w:after="0"/>
        <w:ind w:left="1280" w:right="0" w:hanging="1052"/>
        <w:jc w:val="left"/>
        <w:rPr>
          <w:rFonts w:ascii="Times New Roman" w:eastAsia="Times New Roman"/>
        </w:rPr>
      </w:pPr>
      <w:r>
        <w:rPr/>
        <w:pict>
          <v:group style="position:absolute;margin-left:80.900002pt;margin-top:27.115637pt;width:463.2pt;height:.6pt;mso-position-horizontal-relative:page;mso-position-vertical-relative:paragraph;z-index:-45064" coordorigin="1618,542" coordsize="9264,12">
            <v:line style="position:absolute" from="1618,548" to="2670,548" stroked="true" strokeweight=".6pt" strokecolor="#000000">
              <v:stroke dashstyle="solid"/>
            </v:line>
            <v:line style="position:absolute" from="2670,548" to="4550,548" stroked="true" strokeweight=".6pt" strokecolor="#000000">
              <v:stroke dashstyle="solid"/>
            </v:line>
            <v:line style="position:absolute" from="4550,548" to="10882,548" stroked="true" strokeweight=".6pt" strokecolor="#000000">
              <v:stroke dashstyle="solid"/>
            </v:line>
            <w10:wrap type="none"/>
          </v:group>
        </w:pict>
      </w:r>
      <w:r>
        <w:rPr>
          <w:w w:val="95"/>
          <w:position w:val="1"/>
        </w:rPr>
        <w:t>特别说明</w:t>
      </w:r>
    </w:p>
    <w:p>
      <w:pPr>
        <w:pStyle w:val="BodyText"/>
        <w:rPr>
          <w:b/>
          <w:sz w:val="20"/>
        </w:rPr>
      </w:pPr>
      <w:r>
        <w:rPr/>
        <w:br w:type="column"/>
      </w:r>
      <w:r>
        <w:rPr>
          <w:b/>
          <w:sz w:val="20"/>
        </w:rPr>
      </w:r>
    </w:p>
    <w:p>
      <w:pPr>
        <w:pStyle w:val="BodyText"/>
        <w:rPr>
          <w:b/>
        </w:rPr>
      </w:pPr>
    </w:p>
    <w:p>
      <w:pPr>
        <w:pStyle w:val="BodyText"/>
        <w:spacing w:line="256" w:lineRule="auto"/>
        <w:ind w:left="228" w:right="323"/>
        <w:jc w:val="both"/>
      </w:pPr>
      <w:r>
        <w:rPr/>
        <w:t>（</w:t>
      </w:r>
      <w:r>
        <w:rPr>
          <w:rFonts w:ascii="Times New Roman" w:eastAsia="Times New Roman"/>
        </w:rPr>
        <w:t>1</w:t>
      </w:r>
      <w:r>
        <w:rPr/>
        <w:t>）本附加合同第</w:t>
      </w:r>
      <w:r>
        <w:rPr>
          <w:rFonts w:ascii="Times New Roman" w:eastAsia="Times New Roman"/>
        </w:rPr>
        <w:t>6</w:t>
      </w:r>
      <w:r>
        <w:rPr/>
        <w:t>条</w:t>
      </w:r>
      <w:r>
        <w:rPr>
          <w:rFonts w:ascii="Times New Roman" w:eastAsia="Times New Roman"/>
        </w:rPr>
        <w:t>6.1</w:t>
      </w:r>
      <w:r>
        <w:rPr/>
        <w:t>至</w:t>
      </w:r>
      <w:r>
        <w:rPr>
          <w:rFonts w:ascii="Times New Roman" w:eastAsia="Times New Roman"/>
        </w:rPr>
        <w:t>6.25</w:t>
      </w:r>
      <w:r>
        <w:rPr/>
        <w:t>款使用了中国保险行业协会《重大</w:t>
      </w:r>
      <w:r>
        <w:rPr>
          <w:spacing w:val="-7"/>
        </w:rPr>
        <w:t>疾病保险的疾病定义使用规范》</w:t>
      </w:r>
      <w:r>
        <w:rPr/>
        <w:t>（</w:t>
      </w:r>
      <w:r>
        <w:rPr>
          <w:spacing w:val="-20"/>
        </w:rPr>
        <w:t>中保协寿【</w:t>
      </w:r>
      <w:r>
        <w:rPr>
          <w:rFonts w:ascii="Times New Roman" w:eastAsia="Times New Roman"/>
        </w:rPr>
        <w:t>2007</w:t>
      </w:r>
      <w:r>
        <w:rPr>
          <w:spacing w:val="-98"/>
        </w:rPr>
        <w:t>】</w:t>
      </w:r>
      <w:r>
        <w:rPr>
          <w:rFonts w:ascii="Times New Roman" w:eastAsia="Times New Roman"/>
        </w:rPr>
        <w:t>9</w:t>
      </w:r>
      <w:r>
        <w:rPr/>
        <w:t>号）的疾病名称和疾病定义。</w:t>
      </w:r>
    </w:p>
    <w:p>
      <w:pPr>
        <w:pStyle w:val="BodyText"/>
        <w:spacing w:line="256" w:lineRule="auto" w:before="22"/>
        <w:ind w:left="228" w:right="113"/>
      </w:pPr>
      <w:r>
        <w:rPr/>
        <w:t>（</w:t>
      </w:r>
      <w:r>
        <w:rPr>
          <w:rFonts w:ascii="Times New Roman" w:eastAsia="Times New Roman"/>
        </w:rPr>
        <w:t>2</w:t>
      </w:r>
      <w:r>
        <w:rPr/>
        <w:t>）本附加合同第</w:t>
      </w:r>
      <w:r>
        <w:rPr>
          <w:rFonts w:ascii="Times New Roman" w:eastAsia="Times New Roman"/>
        </w:rPr>
        <w:t>7</w:t>
      </w:r>
      <w:r>
        <w:rPr/>
        <w:t>条</w:t>
      </w:r>
      <w:r>
        <w:rPr>
          <w:rFonts w:ascii="Times New Roman" w:eastAsia="Times New Roman"/>
        </w:rPr>
        <w:t>7.3</w:t>
      </w:r>
      <w:r>
        <w:rPr/>
        <w:t>至</w:t>
      </w:r>
      <w:r>
        <w:rPr>
          <w:rFonts w:ascii="Times New Roman" w:eastAsia="Times New Roman"/>
        </w:rPr>
        <w:t>7.10</w:t>
      </w:r>
      <w:r>
        <w:rPr/>
        <w:t>款使用了中国保险行业协会《重大 </w:t>
      </w:r>
      <w:r>
        <w:rPr>
          <w:spacing w:val="-8"/>
        </w:rPr>
        <w:t>疾病保险的疾病定义使用规范》</w:t>
      </w:r>
      <w:r>
        <w:rPr/>
        <w:t>（</w:t>
      </w:r>
      <w:r>
        <w:rPr>
          <w:spacing w:val="-20"/>
        </w:rPr>
        <w:t>中保协寿【</w:t>
      </w:r>
      <w:r>
        <w:rPr>
          <w:rFonts w:ascii="Times New Roman" w:eastAsia="Times New Roman"/>
        </w:rPr>
        <w:t>2007</w:t>
      </w:r>
      <w:r>
        <w:rPr>
          <w:spacing w:val="-98"/>
        </w:rPr>
        <w:t>】</w:t>
      </w:r>
      <w:r>
        <w:rPr>
          <w:rFonts w:ascii="Times New Roman" w:eastAsia="Times New Roman"/>
        </w:rPr>
        <w:t>9</w:t>
      </w:r>
      <w:r>
        <w:rPr/>
        <w:t>号）的术语释义。</w:t>
      </w:r>
    </w:p>
    <w:p>
      <w:pPr>
        <w:pStyle w:val="BodyText"/>
        <w:rPr>
          <w:sz w:val="22"/>
        </w:rPr>
      </w:pPr>
    </w:p>
    <w:p>
      <w:pPr>
        <w:pStyle w:val="BodyText"/>
        <w:spacing w:before="1"/>
        <w:rPr>
          <w:sz w:val="26"/>
        </w:rPr>
      </w:pPr>
    </w:p>
    <w:p>
      <w:pPr>
        <w:pStyle w:val="BodyText"/>
        <w:ind w:left="1632"/>
        <w:rPr>
          <w:rFonts w:ascii="Times New Roman" w:eastAsia="Times New Roman"/>
        </w:rPr>
      </w:pPr>
      <w:r>
        <w:rPr>
          <w:rFonts w:ascii="Times New Roman" w:eastAsia="Times New Roman"/>
        </w:rPr>
        <w:t>(</w:t>
      </w:r>
      <w:r>
        <w:rPr/>
        <w:t>完</w:t>
      </w:r>
      <w:r>
        <w:rPr>
          <w:rFonts w:ascii="Times New Roman" w:eastAsia="Times New Roman"/>
        </w:rPr>
        <w:t>)</w:t>
      </w:r>
    </w:p>
    <w:p>
      <w:pPr>
        <w:spacing w:after="0"/>
        <w:rPr>
          <w:rFonts w:ascii="Times New Roman" w:eastAsia="Times New Roman"/>
        </w:rPr>
        <w:sectPr>
          <w:type w:val="continuous"/>
          <w:pgSz w:w="11900" w:h="16840"/>
          <w:pgMar w:top="80" w:bottom="280" w:left="1500" w:right="800"/>
          <w:cols w:num="2" w:equalWidth="0">
            <w:col w:w="2241" w:space="691"/>
            <w:col w:w="6668"/>
          </w:cols>
        </w:sectPr>
      </w:pPr>
    </w:p>
    <w:p>
      <w:pPr>
        <w:pStyle w:val="BodyText"/>
        <w:spacing w:before="10"/>
        <w:rPr>
          <w:rFonts w:ascii="Times New Roman"/>
          <w:sz w:val="18"/>
        </w:rPr>
      </w:pPr>
    </w:p>
    <w:p>
      <w:pPr>
        <w:pStyle w:val="BodyText"/>
        <w:spacing w:before="35"/>
        <w:ind w:left="3342" w:right="3897"/>
        <w:jc w:val="center"/>
      </w:pPr>
      <w:r>
        <w:rPr/>
        <w:t>（此页空白）</w:t>
      </w:r>
    </w:p>
    <w:sectPr>
      <w:pgSz w:w="11900" w:h="16840"/>
      <w:pgMar w:header="0" w:footer="866" w:top="1600" w:bottom="106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ymbol">
    <w:altName w:val="Symbol"/>
    <w:charset w:val="2"/>
    <w:family w:val="roman"/>
    <w:pitch w:val="variable"/>
  </w:font>
  <w:font w:name="宋体">
    <w:altName w:val="宋体"/>
    <w:charset w:val="86"/>
    <w:family w:val="auto"/>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76.600006pt;margin-top:787.706238pt;width:14pt;height:12pt;mso-position-horizontal-relative:page;mso-position-vertical-relative:page;z-index:-45256" type="#_x0000_t202" filled="false" stroked="false">
          <v:textbox inset="0,0,0,0">
            <w:txbxContent>
              <w:p>
                <w:pPr>
                  <w:spacing w:line="220" w:lineRule="exact" w:before="0"/>
                  <w:ind w:left="40" w:right="0" w:firstLine="0"/>
                  <w:jc w:val="left"/>
                  <w:rPr>
                    <w:sz w:val="20"/>
                  </w:rPr>
                </w:pPr>
                <w:r>
                  <w:rPr/>
                  <w:fldChar w:fldCharType="begin"/>
                </w:r>
                <w:r>
                  <w:rPr>
                    <w:sz w:val="20"/>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7.399994pt;margin-top:787.706238pt;width:9pt;height:12pt;mso-position-horizontal-relative:page;mso-position-vertical-relative:page;z-index:-45232" type="#_x0000_t202" filled="false" stroked="false">
          <v:textbox inset="0,0,0,0">
            <w:txbxContent>
              <w:p>
                <w:pPr>
                  <w:spacing w:line="220" w:lineRule="exact" w:before="0"/>
                  <w:ind w:left="40" w:right="0" w:firstLine="0"/>
                  <w:jc w:val="left"/>
                  <w:rPr>
                    <w:sz w:val="20"/>
                  </w:rPr>
                </w:pPr>
                <w:r>
                  <w:rPr/>
                  <w:fldChar w:fldCharType="begin"/>
                </w:r>
                <w:r>
                  <w:rPr>
                    <w:sz w:val="20"/>
                  </w:rPr>
                  <w:instrText> PAGE </w:instrText>
                </w:r>
                <w:r>
                  <w:rPr/>
                  <w:fldChar w:fldCharType="separate"/>
                </w:r>
                <w:r>
                  <w:rPr/>
                  <w:t>3</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7"/>
      <w:numFmt w:val="decimal"/>
      <w:lvlText w:val="%1"/>
      <w:lvlJc w:val="left"/>
      <w:pPr>
        <w:ind w:left="1280" w:hanging="1052"/>
        <w:jc w:val="left"/>
      </w:pPr>
      <w:rPr>
        <w:rFonts w:hint="default"/>
      </w:rPr>
    </w:lvl>
    <w:lvl w:ilvl="1">
      <w:start w:val="7"/>
      <w:numFmt w:val="decimal"/>
      <w:lvlText w:val="%1.%2"/>
      <w:lvlJc w:val="left"/>
      <w:pPr>
        <w:ind w:left="1280" w:hanging="1052"/>
        <w:jc w:val="left"/>
      </w:pPr>
      <w:rPr>
        <w:rFonts w:hint="default" w:ascii="Times New Roman" w:hAnsi="Times New Roman" w:eastAsia="Times New Roman" w:cs="Times New Roman"/>
        <w:spacing w:val="-1"/>
        <w:w w:val="99"/>
        <w:sz w:val="21"/>
        <w:szCs w:val="21"/>
      </w:rPr>
    </w:lvl>
    <w:lvl w:ilvl="2">
      <w:start w:val="0"/>
      <w:numFmt w:val="bullet"/>
      <w:lvlText w:val="•"/>
      <w:lvlJc w:val="left"/>
      <w:pPr>
        <w:ind w:left="2944" w:hanging="1052"/>
      </w:pPr>
      <w:rPr>
        <w:rFonts w:hint="default"/>
      </w:rPr>
    </w:lvl>
    <w:lvl w:ilvl="3">
      <w:start w:val="0"/>
      <w:numFmt w:val="bullet"/>
      <w:lvlText w:val="•"/>
      <w:lvlJc w:val="left"/>
      <w:pPr>
        <w:ind w:left="3776" w:hanging="1052"/>
      </w:pPr>
      <w:rPr>
        <w:rFonts w:hint="default"/>
      </w:rPr>
    </w:lvl>
    <w:lvl w:ilvl="4">
      <w:start w:val="0"/>
      <w:numFmt w:val="bullet"/>
      <w:lvlText w:val="•"/>
      <w:lvlJc w:val="left"/>
      <w:pPr>
        <w:ind w:left="4608" w:hanging="1052"/>
      </w:pPr>
      <w:rPr>
        <w:rFonts w:hint="default"/>
      </w:rPr>
    </w:lvl>
    <w:lvl w:ilvl="5">
      <w:start w:val="0"/>
      <w:numFmt w:val="bullet"/>
      <w:lvlText w:val="•"/>
      <w:lvlJc w:val="left"/>
      <w:pPr>
        <w:ind w:left="5440" w:hanging="1052"/>
      </w:pPr>
      <w:rPr>
        <w:rFonts w:hint="default"/>
      </w:rPr>
    </w:lvl>
    <w:lvl w:ilvl="6">
      <w:start w:val="0"/>
      <w:numFmt w:val="bullet"/>
      <w:lvlText w:val="•"/>
      <w:lvlJc w:val="left"/>
      <w:pPr>
        <w:ind w:left="6272" w:hanging="1052"/>
      </w:pPr>
      <w:rPr>
        <w:rFonts w:hint="default"/>
      </w:rPr>
    </w:lvl>
    <w:lvl w:ilvl="7">
      <w:start w:val="0"/>
      <w:numFmt w:val="bullet"/>
      <w:lvlText w:val="•"/>
      <w:lvlJc w:val="left"/>
      <w:pPr>
        <w:ind w:left="7104" w:hanging="1052"/>
      </w:pPr>
      <w:rPr>
        <w:rFonts w:hint="default"/>
      </w:rPr>
    </w:lvl>
    <w:lvl w:ilvl="8">
      <w:start w:val="0"/>
      <w:numFmt w:val="bullet"/>
      <w:lvlText w:val="•"/>
      <w:lvlJc w:val="left"/>
      <w:pPr>
        <w:ind w:left="7936" w:hanging="1052"/>
      </w:pPr>
      <w:rPr>
        <w:rFonts w:hint="default"/>
      </w:rPr>
    </w:lvl>
  </w:abstractNum>
  <w:abstractNum w:abstractNumId="3">
    <w:multiLevelType w:val="hybridMultilevel"/>
    <w:lvl w:ilvl="0">
      <w:start w:val="5"/>
      <w:numFmt w:val="decimal"/>
      <w:lvlText w:val="%1"/>
      <w:lvlJc w:val="left"/>
      <w:pPr>
        <w:ind w:left="1272" w:hanging="1052"/>
        <w:jc w:val="left"/>
      </w:pPr>
      <w:rPr>
        <w:rFonts w:hint="default" w:ascii="Times New Roman" w:hAnsi="Times New Roman" w:eastAsia="Times New Roman" w:cs="Times New Roman"/>
        <w:b/>
        <w:bCs/>
        <w:w w:val="99"/>
        <w:sz w:val="24"/>
        <w:szCs w:val="24"/>
      </w:rPr>
    </w:lvl>
    <w:lvl w:ilvl="1">
      <w:start w:val="1"/>
      <w:numFmt w:val="decimal"/>
      <w:lvlText w:val="%1.%2"/>
      <w:lvlJc w:val="left"/>
      <w:pPr>
        <w:ind w:left="1272" w:hanging="1052"/>
        <w:jc w:val="left"/>
      </w:pPr>
      <w:rPr>
        <w:rFonts w:hint="default" w:ascii="Times New Roman" w:hAnsi="Times New Roman" w:eastAsia="Times New Roman" w:cs="Times New Roman"/>
        <w:spacing w:val="-3"/>
        <w:w w:val="99"/>
        <w:sz w:val="21"/>
        <w:szCs w:val="21"/>
      </w:rPr>
    </w:lvl>
    <w:lvl w:ilvl="2">
      <w:start w:val="0"/>
      <w:numFmt w:val="bullet"/>
      <w:lvlText w:val="•"/>
      <w:lvlJc w:val="left"/>
      <w:pPr>
        <w:ind w:left="3597" w:hanging="1052"/>
      </w:pPr>
      <w:rPr>
        <w:rFonts w:hint="default"/>
      </w:rPr>
    </w:lvl>
    <w:lvl w:ilvl="3">
      <w:start w:val="0"/>
      <w:numFmt w:val="bullet"/>
      <w:lvlText w:val="•"/>
      <w:lvlJc w:val="left"/>
      <w:pPr>
        <w:ind w:left="3514" w:hanging="1052"/>
      </w:pPr>
      <w:rPr>
        <w:rFonts w:hint="default"/>
      </w:rPr>
    </w:lvl>
    <w:lvl w:ilvl="4">
      <w:start w:val="0"/>
      <w:numFmt w:val="bullet"/>
      <w:lvlText w:val="•"/>
      <w:lvlJc w:val="left"/>
      <w:pPr>
        <w:ind w:left="3431" w:hanging="1052"/>
      </w:pPr>
      <w:rPr>
        <w:rFonts w:hint="default"/>
      </w:rPr>
    </w:lvl>
    <w:lvl w:ilvl="5">
      <w:start w:val="0"/>
      <w:numFmt w:val="bullet"/>
      <w:lvlText w:val="•"/>
      <w:lvlJc w:val="left"/>
      <w:pPr>
        <w:ind w:left="3348" w:hanging="1052"/>
      </w:pPr>
      <w:rPr>
        <w:rFonts w:hint="default"/>
      </w:rPr>
    </w:lvl>
    <w:lvl w:ilvl="6">
      <w:start w:val="0"/>
      <w:numFmt w:val="bullet"/>
      <w:lvlText w:val="•"/>
      <w:lvlJc w:val="left"/>
      <w:pPr>
        <w:ind w:left="3265" w:hanging="1052"/>
      </w:pPr>
      <w:rPr>
        <w:rFonts w:hint="default"/>
      </w:rPr>
    </w:lvl>
    <w:lvl w:ilvl="7">
      <w:start w:val="0"/>
      <w:numFmt w:val="bullet"/>
      <w:lvlText w:val="•"/>
      <w:lvlJc w:val="left"/>
      <w:pPr>
        <w:ind w:left="3182" w:hanging="1052"/>
      </w:pPr>
      <w:rPr>
        <w:rFonts w:hint="default"/>
      </w:rPr>
    </w:lvl>
    <w:lvl w:ilvl="8">
      <w:start w:val="0"/>
      <w:numFmt w:val="bullet"/>
      <w:lvlText w:val="•"/>
      <w:lvlJc w:val="left"/>
      <w:pPr>
        <w:ind w:left="3100" w:hanging="1052"/>
      </w:pPr>
      <w:rPr>
        <w:rFonts w:hint="default"/>
      </w:rPr>
    </w:lvl>
  </w:abstractNum>
  <w:abstractNum w:abstractNumId="2">
    <w:multiLevelType w:val="hybridMultilevel"/>
    <w:lvl w:ilvl="0">
      <w:start w:val="1"/>
      <w:numFmt w:val="decimal"/>
      <w:lvlText w:val="%1"/>
      <w:lvlJc w:val="left"/>
      <w:pPr>
        <w:ind w:left="1272" w:hanging="1052"/>
        <w:jc w:val="left"/>
      </w:pPr>
      <w:rPr>
        <w:rFonts w:hint="default" w:ascii="Times New Roman" w:hAnsi="Times New Roman" w:eastAsia="Times New Roman" w:cs="Times New Roman"/>
        <w:b/>
        <w:bCs/>
        <w:w w:val="99"/>
        <w:position w:val="1"/>
        <w:sz w:val="24"/>
        <w:szCs w:val="24"/>
      </w:rPr>
    </w:lvl>
    <w:lvl w:ilvl="1">
      <w:start w:val="1"/>
      <w:numFmt w:val="decimal"/>
      <w:lvlText w:val="%1.%2"/>
      <w:lvlJc w:val="left"/>
      <w:pPr>
        <w:ind w:left="1272" w:hanging="1052"/>
        <w:jc w:val="left"/>
      </w:pPr>
      <w:rPr>
        <w:rFonts w:hint="default" w:ascii="Times New Roman" w:hAnsi="Times New Roman" w:eastAsia="Times New Roman" w:cs="Times New Roman"/>
        <w:spacing w:val="-3"/>
        <w:w w:val="99"/>
        <w:position w:val="1"/>
        <w:sz w:val="21"/>
        <w:szCs w:val="21"/>
      </w:rPr>
    </w:lvl>
    <w:lvl w:ilvl="2">
      <w:start w:val="0"/>
      <w:numFmt w:val="bullet"/>
      <w:lvlText w:val="•"/>
      <w:lvlJc w:val="left"/>
      <w:pPr>
        <w:ind w:left="2920" w:hanging="1052"/>
      </w:pPr>
      <w:rPr>
        <w:rFonts w:hint="default"/>
      </w:rPr>
    </w:lvl>
    <w:lvl w:ilvl="3">
      <w:start w:val="0"/>
      <w:numFmt w:val="bullet"/>
      <w:lvlText w:val="•"/>
      <w:lvlJc w:val="left"/>
      <w:pPr>
        <w:ind w:left="3740" w:hanging="1052"/>
      </w:pPr>
      <w:rPr>
        <w:rFonts w:hint="default"/>
      </w:rPr>
    </w:lvl>
    <w:lvl w:ilvl="4">
      <w:start w:val="0"/>
      <w:numFmt w:val="bullet"/>
      <w:lvlText w:val="•"/>
      <w:lvlJc w:val="left"/>
      <w:pPr>
        <w:ind w:left="4560" w:hanging="1052"/>
      </w:pPr>
      <w:rPr>
        <w:rFonts w:hint="default"/>
      </w:rPr>
    </w:lvl>
    <w:lvl w:ilvl="5">
      <w:start w:val="0"/>
      <w:numFmt w:val="bullet"/>
      <w:lvlText w:val="•"/>
      <w:lvlJc w:val="left"/>
      <w:pPr>
        <w:ind w:left="5380" w:hanging="1052"/>
      </w:pPr>
      <w:rPr>
        <w:rFonts w:hint="default"/>
      </w:rPr>
    </w:lvl>
    <w:lvl w:ilvl="6">
      <w:start w:val="0"/>
      <w:numFmt w:val="bullet"/>
      <w:lvlText w:val="•"/>
      <w:lvlJc w:val="left"/>
      <w:pPr>
        <w:ind w:left="6200" w:hanging="1052"/>
      </w:pPr>
      <w:rPr>
        <w:rFonts w:hint="default"/>
      </w:rPr>
    </w:lvl>
    <w:lvl w:ilvl="7">
      <w:start w:val="0"/>
      <w:numFmt w:val="bullet"/>
      <w:lvlText w:val="•"/>
      <w:lvlJc w:val="left"/>
      <w:pPr>
        <w:ind w:left="7020" w:hanging="1052"/>
      </w:pPr>
      <w:rPr>
        <w:rFonts w:hint="default"/>
      </w:rPr>
    </w:lvl>
    <w:lvl w:ilvl="8">
      <w:start w:val="0"/>
      <w:numFmt w:val="bullet"/>
      <w:lvlText w:val="•"/>
      <w:lvlJc w:val="left"/>
      <w:pPr>
        <w:ind w:left="7840" w:hanging="1052"/>
      </w:pPr>
      <w:rPr>
        <w:rFonts w:hint="default"/>
      </w:rPr>
    </w:lvl>
  </w:abstractNum>
  <w:abstractNum w:abstractNumId="1">
    <w:multiLevelType w:val="hybridMultilevel"/>
    <w:lvl w:ilvl="0">
      <w:start w:val="1"/>
      <w:numFmt w:val="decimal"/>
      <w:lvlText w:val="%1"/>
      <w:lvlJc w:val="left"/>
      <w:pPr>
        <w:ind w:left="398" w:hanging="158"/>
        <w:jc w:val="left"/>
      </w:pPr>
      <w:rPr>
        <w:rFonts w:hint="default" w:ascii="Times New Roman" w:hAnsi="Times New Roman" w:eastAsia="Times New Roman" w:cs="Times New Roman"/>
        <w:b/>
        <w:bCs/>
        <w:w w:val="99"/>
        <w:sz w:val="21"/>
        <w:szCs w:val="21"/>
      </w:rPr>
    </w:lvl>
    <w:lvl w:ilvl="1">
      <w:start w:val="1"/>
      <w:numFmt w:val="decimal"/>
      <w:lvlText w:val="%1.%2"/>
      <w:lvlJc w:val="left"/>
      <w:pPr>
        <w:ind w:left="754" w:hanging="304"/>
        <w:jc w:val="left"/>
      </w:pPr>
      <w:rPr>
        <w:rFonts w:hint="default" w:ascii="Times New Roman" w:hAnsi="Times New Roman" w:eastAsia="Times New Roman" w:cs="Times New Roman"/>
        <w:spacing w:val="-1"/>
        <w:w w:val="100"/>
        <w:sz w:val="21"/>
        <w:szCs w:val="21"/>
      </w:rPr>
    </w:lvl>
    <w:lvl w:ilvl="2">
      <w:start w:val="0"/>
      <w:numFmt w:val="bullet"/>
      <w:lvlText w:val="•"/>
      <w:lvlJc w:val="left"/>
      <w:pPr>
        <w:ind w:left="1795" w:hanging="304"/>
      </w:pPr>
      <w:rPr>
        <w:rFonts w:hint="default"/>
      </w:rPr>
    </w:lvl>
    <w:lvl w:ilvl="3">
      <w:start w:val="0"/>
      <w:numFmt w:val="bullet"/>
      <w:lvlText w:val="•"/>
      <w:lvlJc w:val="left"/>
      <w:pPr>
        <w:ind w:left="2831" w:hanging="304"/>
      </w:pPr>
      <w:rPr>
        <w:rFonts w:hint="default"/>
      </w:rPr>
    </w:lvl>
    <w:lvl w:ilvl="4">
      <w:start w:val="0"/>
      <w:numFmt w:val="bullet"/>
      <w:lvlText w:val="•"/>
      <w:lvlJc w:val="left"/>
      <w:pPr>
        <w:ind w:left="3866" w:hanging="304"/>
      </w:pPr>
      <w:rPr>
        <w:rFonts w:hint="default"/>
      </w:rPr>
    </w:lvl>
    <w:lvl w:ilvl="5">
      <w:start w:val="0"/>
      <w:numFmt w:val="bullet"/>
      <w:lvlText w:val="•"/>
      <w:lvlJc w:val="left"/>
      <w:pPr>
        <w:ind w:left="4902" w:hanging="304"/>
      </w:pPr>
      <w:rPr>
        <w:rFonts w:hint="default"/>
      </w:rPr>
    </w:lvl>
    <w:lvl w:ilvl="6">
      <w:start w:val="0"/>
      <w:numFmt w:val="bullet"/>
      <w:lvlText w:val="•"/>
      <w:lvlJc w:val="left"/>
      <w:pPr>
        <w:ind w:left="5937" w:hanging="304"/>
      </w:pPr>
      <w:rPr>
        <w:rFonts w:hint="default"/>
      </w:rPr>
    </w:lvl>
    <w:lvl w:ilvl="7">
      <w:start w:val="0"/>
      <w:numFmt w:val="bullet"/>
      <w:lvlText w:val="•"/>
      <w:lvlJc w:val="left"/>
      <w:pPr>
        <w:ind w:left="6973" w:hanging="304"/>
      </w:pPr>
      <w:rPr>
        <w:rFonts w:hint="default"/>
      </w:rPr>
    </w:lvl>
    <w:lvl w:ilvl="8">
      <w:start w:val="0"/>
      <w:numFmt w:val="bullet"/>
      <w:lvlText w:val="•"/>
      <w:lvlJc w:val="left"/>
      <w:pPr>
        <w:ind w:left="8008" w:hanging="304"/>
      </w:pPr>
      <w:rPr>
        <w:rFonts w:hint="default"/>
      </w:rPr>
    </w:lvl>
  </w:abstractNum>
  <w:abstractNum w:abstractNumId="0">
    <w:multiLevelType w:val="hybridMultilevel"/>
    <w:lvl w:ilvl="0">
      <w:start w:val="0"/>
      <w:numFmt w:val="bullet"/>
      <w:lvlText w:val=""/>
      <w:lvlJc w:val="left"/>
      <w:pPr>
        <w:ind w:left="944" w:hanging="420"/>
      </w:pPr>
      <w:rPr>
        <w:rFonts w:hint="default" w:ascii="Wingdings" w:hAnsi="Wingdings" w:eastAsia="Wingdings" w:cs="Wingdings"/>
        <w:w w:val="100"/>
        <w:sz w:val="21"/>
        <w:szCs w:val="21"/>
      </w:rPr>
    </w:lvl>
    <w:lvl w:ilvl="1">
      <w:start w:val="0"/>
      <w:numFmt w:val="bullet"/>
      <w:lvlText w:val="•"/>
      <w:lvlJc w:val="left"/>
      <w:pPr>
        <w:ind w:left="1854" w:hanging="420"/>
      </w:pPr>
      <w:rPr>
        <w:rFonts w:hint="default"/>
      </w:rPr>
    </w:lvl>
    <w:lvl w:ilvl="2">
      <w:start w:val="0"/>
      <w:numFmt w:val="bullet"/>
      <w:lvlText w:val="•"/>
      <w:lvlJc w:val="left"/>
      <w:pPr>
        <w:ind w:left="2768" w:hanging="420"/>
      </w:pPr>
      <w:rPr>
        <w:rFonts w:hint="default"/>
      </w:rPr>
    </w:lvl>
    <w:lvl w:ilvl="3">
      <w:start w:val="0"/>
      <w:numFmt w:val="bullet"/>
      <w:lvlText w:val="•"/>
      <w:lvlJc w:val="left"/>
      <w:pPr>
        <w:ind w:left="3682" w:hanging="420"/>
      </w:pPr>
      <w:rPr>
        <w:rFonts w:hint="default"/>
      </w:rPr>
    </w:lvl>
    <w:lvl w:ilvl="4">
      <w:start w:val="0"/>
      <w:numFmt w:val="bullet"/>
      <w:lvlText w:val="•"/>
      <w:lvlJc w:val="left"/>
      <w:pPr>
        <w:ind w:left="4596" w:hanging="420"/>
      </w:pPr>
      <w:rPr>
        <w:rFonts w:hint="default"/>
      </w:rPr>
    </w:lvl>
    <w:lvl w:ilvl="5">
      <w:start w:val="0"/>
      <w:numFmt w:val="bullet"/>
      <w:lvlText w:val="•"/>
      <w:lvlJc w:val="left"/>
      <w:pPr>
        <w:ind w:left="5510" w:hanging="420"/>
      </w:pPr>
      <w:rPr>
        <w:rFonts w:hint="default"/>
      </w:rPr>
    </w:lvl>
    <w:lvl w:ilvl="6">
      <w:start w:val="0"/>
      <w:numFmt w:val="bullet"/>
      <w:lvlText w:val="•"/>
      <w:lvlJc w:val="left"/>
      <w:pPr>
        <w:ind w:left="6424" w:hanging="420"/>
      </w:pPr>
      <w:rPr>
        <w:rFonts w:hint="default"/>
      </w:rPr>
    </w:lvl>
    <w:lvl w:ilvl="7">
      <w:start w:val="0"/>
      <w:numFmt w:val="bullet"/>
      <w:lvlText w:val="•"/>
      <w:lvlJc w:val="left"/>
      <w:pPr>
        <w:ind w:left="7338" w:hanging="420"/>
      </w:pPr>
      <w:rPr>
        <w:rFonts w:hint="default"/>
      </w:rPr>
    </w:lvl>
    <w:lvl w:ilvl="8">
      <w:start w:val="0"/>
      <w:numFmt w:val="bullet"/>
      <w:lvlText w:val="•"/>
      <w:lvlJc w:val="left"/>
      <w:pPr>
        <w:ind w:left="8252" w:hanging="420"/>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before="1"/>
      <w:ind w:left="914"/>
      <w:outlineLvl w:val="1"/>
    </w:pPr>
    <w:rPr>
      <w:rFonts w:ascii="宋体" w:hAnsi="宋体" w:eastAsia="宋体" w:cs="宋体"/>
      <w:b/>
      <w:bCs/>
      <w:sz w:val="32"/>
      <w:szCs w:val="32"/>
    </w:rPr>
  </w:style>
  <w:style w:styleId="Heading2" w:type="paragraph">
    <w:name w:val="Heading 2"/>
    <w:basedOn w:val="Normal"/>
    <w:uiPriority w:val="1"/>
    <w:qFormat/>
    <w:pPr>
      <w:spacing w:before="30"/>
      <w:ind w:left="1272" w:hanging="1052"/>
      <w:outlineLvl w:val="2"/>
    </w:pPr>
    <w:rPr>
      <w:rFonts w:ascii="宋体" w:hAnsi="宋体" w:eastAsia="宋体" w:cs="宋体"/>
      <w:b/>
      <w:bCs/>
      <w:sz w:val="24"/>
      <w:szCs w:val="24"/>
    </w:rPr>
  </w:style>
  <w:style w:styleId="Heading3" w:type="paragraph">
    <w:name w:val="Heading 3"/>
    <w:basedOn w:val="Normal"/>
    <w:uiPriority w:val="1"/>
    <w:qFormat/>
    <w:pPr>
      <w:ind w:left="1280"/>
      <w:outlineLvl w:val="3"/>
    </w:pPr>
    <w:rPr>
      <w:rFonts w:ascii="宋体" w:hAnsi="宋体" w:eastAsia="宋体" w:cs="宋体"/>
      <w:b/>
      <w:bCs/>
      <w:sz w:val="21"/>
      <w:szCs w:val="21"/>
    </w:rPr>
  </w:style>
  <w:style w:styleId="ListParagraph" w:type="paragraph">
    <w:name w:val="List Paragraph"/>
    <w:basedOn w:val="Normal"/>
    <w:uiPriority w:val="1"/>
    <w:qFormat/>
    <w:pPr>
      <w:spacing w:before="21"/>
      <w:ind w:left="1272" w:hanging="1052"/>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image" Target="media/image4.jpeg"/><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gact003</dc:creator>
  <dc:title>中意人寿保险有限公司</dc:title>
  <dcterms:created xsi:type="dcterms:W3CDTF">2018-10-20T01:52:16Z</dcterms:created>
  <dcterms:modified xsi:type="dcterms:W3CDTF">2018-10-20T01:52:16Z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2014-05-26T00:00:00Z</vt:filetime>
  </property>
  <property fmtid="{D5CDD505-2E9C-101B-9397-08002B2CF9AE}" pid="3" name="Creator">
    <vt:lpwstr>Writer</vt:lpwstr>
  </property>
  <property fmtid="{D5CDD505-2E9C-101B-9397-08002B2CF9AE}" pid="4" name="LastSaved">
    <vt:filetime>2014-05-26T00:00:00Z</vt:filetime>
  </property>
</Properties>
</file>