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4" w:lineRule="exact" w:before="0"/>
        <w:ind w:left="6553" w:right="0" w:firstLine="0"/>
        <w:jc w:val="left"/>
        <w:rPr>
          <w:sz w:val="20"/>
        </w:rPr>
      </w:pPr>
      <w:r>
        <w:rPr/>
        <w:drawing>
          <wp:anchor distT="0" distB="0" distL="0" distR="0" allowOverlap="1" layoutInCell="1" locked="0" behindDoc="0" simplePos="0" relativeHeight="0">
            <wp:simplePos x="0" y="0"/>
            <wp:positionH relativeFrom="page">
              <wp:posOffset>6113145</wp:posOffset>
            </wp:positionH>
            <wp:positionV relativeFrom="paragraph">
              <wp:posOffset>173522</wp:posOffset>
            </wp:positionV>
            <wp:extent cx="724152" cy="7239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4152" cy="723900"/>
                    </a:xfrm>
                    <a:prstGeom prst="rect">
                      <a:avLst/>
                    </a:prstGeom>
                  </pic:spPr>
                </pic:pic>
              </a:graphicData>
            </a:graphic>
          </wp:anchor>
        </w:drawing>
      </w:r>
      <w:r>
        <w:rPr>
          <w:sz w:val="20"/>
        </w:rPr>
        <w:t>恒安标准人寿[2016]疾病保险 018 号</w:t>
      </w:r>
    </w:p>
    <w:p>
      <w:pPr>
        <w:spacing w:line="193" w:lineRule="exact" w:before="0"/>
        <w:ind w:left="0" w:right="114" w:firstLine="0"/>
        <w:jc w:val="right"/>
        <w:rPr>
          <w:sz w:val="20"/>
        </w:rPr>
      </w:pPr>
      <w:r>
        <w:rPr>
          <w:w w:val="95"/>
          <w:sz w:val="20"/>
        </w:rPr>
        <w:t>请扫描以查询验证条款</w:t>
      </w:r>
    </w:p>
    <w:p>
      <w:pPr>
        <w:spacing w:line="406" w:lineRule="exact" w:before="0"/>
        <w:ind w:left="11" w:right="0" w:firstLine="0"/>
        <w:jc w:val="center"/>
        <w:rPr>
          <w:b/>
          <w:sz w:val="32"/>
        </w:rPr>
      </w:pPr>
      <w:r>
        <w:rPr>
          <w:b/>
          <w:sz w:val="32"/>
        </w:rPr>
        <w:t>恒 安 标 准 人 寿 保 险 有 限 公 司</w:t>
      </w:r>
    </w:p>
    <w:p>
      <w:pPr>
        <w:spacing w:before="74"/>
        <w:ind w:left="9" w:right="0" w:firstLine="0"/>
        <w:jc w:val="center"/>
        <w:rPr>
          <w:rFonts w:ascii="Times New Roman"/>
          <w:sz w:val="24"/>
        </w:rPr>
      </w:pPr>
      <w:r>
        <w:rPr/>
        <w:pict>
          <v:group style="position:absolute;margin-left:109.5pt;margin-top:21.823103pt;width:396pt;height:4.6pt;mso-position-horizontal-relative:page;mso-position-vertical-relative:paragraph;z-index:1048;mso-wrap-distance-left:0;mso-wrap-distance-right:0" coordorigin="2190,436" coordsize="7920,92">
            <v:line style="position:absolute" from="2190,451" to="10110,451" stroked="true" strokeweight="1.5pt" strokecolor="#000000">
              <v:stroke dashstyle="solid"/>
            </v:line>
            <v:line style="position:absolute" from="2190,525" to="10110,525" stroked="true" strokeweight=".25pt" strokecolor="#000000">
              <v:stroke dashstyle="solid"/>
            </v:line>
            <w10:wrap type="topAndBottom"/>
          </v:group>
        </w:pict>
      </w:r>
      <w:r>
        <w:rPr>
          <w:rFonts w:ascii="Times New Roman"/>
          <w:sz w:val="24"/>
        </w:rPr>
        <w:t>Heng An Standard Life Insurance Company Limited</w:t>
      </w:r>
    </w:p>
    <w:p>
      <w:pPr>
        <w:pStyle w:val="BodyText"/>
        <w:spacing w:before="4"/>
        <w:ind w:left="0"/>
        <w:rPr>
          <w:rFonts w:ascii="Times New Roman"/>
          <w:sz w:val="38"/>
        </w:rPr>
      </w:pPr>
    </w:p>
    <w:p>
      <w:pPr>
        <w:spacing w:before="0"/>
        <w:ind w:left="0" w:right="0" w:firstLine="0"/>
        <w:jc w:val="center"/>
        <w:rPr>
          <w:rFonts w:ascii="黑体" w:eastAsia="黑体" w:hint="eastAsia"/>
          <w:sz w:val="30"/>
        </w:rPr>
      </w:pPr>
      <w:r>
        <w:rPr>
          <w:rFonts w:ascii="黑体" w:eastAsia="黑体" w:hint="eastAsia"/>
          <w:sz w:val="30"/>
        </w:rPr>
        <w:t>恒安标准附加富贵尊享重大疾病保险条款</w:t>
      </w:r>
    </w:p>
    <w:p>
      <w:pPr>
        <w:pStyle w:val="BodyText"/>
        <w:spacing w:before="0"/>
        <w:ind w:left="0"/>
        <w:rPr>
          <w:rFonts w:ascii="黑体"/>
          <w:sz w:val="20"/>
        </w:rPr>
      </w:pPr>
    </w:p>
    <w:p>
      <w:pPr>
        <w:pStyle w:val="BodyText"/>
        <w:spacing w:before="12"/>
        <w:ind w:left="0"/>
        <w:rPr>
          <w:rFonts w:ascii="黑体"/>
          <w:sz w:val="20"/>
        </w:rPr>
      </w:pPr>
    </w:p>
    <w:p>
      <w:pPr>
        <w:tabs>
          <w:tab w:pos="599" w:val="left" w:leader="none"/>
        </w:tabs>
        <w:spacing w:before="8"/>
        <w:ind w:left="0" w:right="0" w:firstLine="0"/>
        <w:jc w:val="center"/>
        <w:rPr>
          <w:rFonts w:ascii="黑体" w:eastAsia="黑体" w:hint="eastAsia"/>
          <w:sz w:val="30"/>
        </w:rPr>
      </w:pPr>
      <w:r>
        <w:rPr>
          <w:rFonts w:ascii="黑体" w:eastAsia="黑体" w:hint="eastAsia"/>
          <w:sz w:val="30"/>
        </w:rPr>
        <w:t>目</w:t>
        <w:tab/>
        <w:t>录</w:t>
      </w:r>
    </w:p>
    <w:sdt>
      <w:sdtPr>
        <w:docPartObj>
          <w:docPartGallery w:val="Table of Contents"/>
          <w:docPartUnique/>
        </w:docPartObj>
      </w:sdtPr>
      <w:sdtEndPr/>
      <w:sdtContent>
        <w:p>
          <w:pPr>
            <w:pStyle w:val="TOC1"/>
            <w:numPr>
              <w:ilvl w:val="0"/>
              <w:numId w:val="1"/>
            </w:numPr>
            <w:tabs>
              <w:tab w:pos="509" w:val="left" w:leader="none"/>
              <w:tab w:pos="510" w:val="left" w:leader="none"/>
              <w:tab w:pos="9743" w:val="right" w:leader="dot"/>
            </w:tabs>
            <w:spacing w:line="240" w:lineRule="auto" w:before="155" w:after="0"/>
            <w:ind w:left="509" w:right="0" w:hanging="397"/>
            <w:jc w:val="left"/>
            <w:rPr>
              <w:rFonts w:ascii="Times New Roman" w:eastAsia="Times New Roman"/>
            </w:rPr>
          </w:pPr>
          <w:r>
            <w:fldChar w:fldCharType="begin"/>
          </w:r>
          <w:r>
            <w:instrText>TOC \o "1-2" \h \z \u </w:instrText>
          </w:r>
          <w:r>
            <w:fldChar w:fldCharType="separate"/>
          </w:r>
          <w:hyperlink w:history="true" w:anchor="_TOC_250029">
            <w:r>
              <w:rPr/>
              <w:t>您与我们订立附加合同时需要了解的内容</w:t>
              <w:tab/>
            </w:r>
            <w:r>
              <w:rPr>
                <w:rFonts w:ascii="Times New Roman" w:eastAsia="Times New Roman"/>
              </w:rPr>
              <w:t>2</w:t>
            </w:r>
          </w:hyperlink>
        </w:p>
        <w:p>
          <w:pPr>
            <w:pStyle w:val="TOC2"/>
            <w:numPr>
              <w:ilvl w:val="1"/>
              <w:numId w:val="1"/>
            </w:numPr>
            <w:tabs>
              <w:tab w:pos="1164" w:val="left" w:leader="none"/>
              <w:tab w:pos="1165" w:val="left" w:leader="none"/>
              <w:tab w:pos="9743" w:val="right" w:leader="dot"/>
            </w:tabs>
            <w:spacing w:line="240" w:lineRule="auto" w:before="7" w:after="0"/>
            <w:ind w:left="1164" w:right="0" w:hanging="655"/>
            <w:jc w:val="left"/>
            <w:rPr>
              <w:rFonts w:ascii="Times New Roman" w:eastAsia="Times New Roman"/>
            </w:rPr>
          </w:pPr>
          <w:hyperlink w:history="true" w:anchor="_TOC_250028">
            <w:r>
              <w:rPr/>
              <w:t>附加</w:t>
            </w:r>
            <w:r>
              <w:rPr>
                <w:spacing w:val="-3"/>
              </w:rPr>
              <w:t>保</w:t>
            </w:r>
            <w:r>
              <w:rPr/>
              <w:t>险</w:t>
            </w:r>
            <w:r>
              <w:rPr>
                <w:spacing w:val="-3"/>
              </w:rPr>
              <w:t>合</w:t>
            </w:r>
            <w:r>
              <w:rPr/>
              <w:t>同</w:t>
            </w:r>
            <w:r>
              <w:rPr>
                <w:spacing w:val="-3"/>
              </w:rPr>
              <w:t>的</w:t>
            </w:r>
            <w:r>
              <w:rPr/>
              <w:t>种</w:t>
            </w:r>
            <w:r>
              <w:rPr>
                <w:spacing w:val="-3"/>
              </w:rPr>
              <w:t>类</w:t>
            </w:r>
            <w:r>
              <w:rPr/>
              <w:t>及</w:t>
            </w:r>
            <w:r>
              <w:rPr>
                <w:spacing w:val="-3"/>
              </w:rPr>
              <w:t>构</w:t>
            </w:r>
            <w:r>
              <w:rPr/>
              <w:t>成</w:t>
              <w:tab/>
            </w:r>
            <w:r>
              <w:rPr>
                <w:rFonts w:ascii="Times New Roman" w:eastAsia="Times New Roman"/>
              </w:rPr>
              <w:t>2</w:t>
            </w:r>
          </w:hyperlink>
        </w:p>
        <w:p>
          <w:pPr>
            <w:pStyle w:val="TOC2"/>
            <w:numPr>
              <w:ilvl w:val="1"/>
              <w:numId w:val="1"/>
            </w:numPr>
            <w:tabs>
              <w:tab w:pos="1164" w:val="left" w:leader="none"/>
              <w:tab w:pos="1165" w:val="left" w:leader="none"/>
              <w:tab w:pos="9743" w:val="right" w:leader="dot"/>
            </w:tabs>
            <w:spacing w:line="240" w:lineRule="auto" w:before="20" w:after="0"/>
            <w:ind w:left="1164" w:right="0" w:hanging="655"/>
            <w:jc w:val="left"/>
            <w:rPr>
              <w:rFonts w:ascii="Times New Roman" w:eastAsia="Times New Roman"/>
            </w:rPr>
          </w:pPr>
          <w:hyperlink w:history="true" w:anchor="_TOC_250027">
            <w:r>
              <w:rPr/>
              <w:t>投保</w:t>
            </w:r>
            <w:r>
              <w:rPr>
                <w:spacing w:val="-3"/>
              </w:rPr>
              <w:t>条</w:t>
            </w:r>
            <w:r>
              <w:rPr/>
              <w:t>件</w:t>
              <w:tab/>
            </w:r>
            <w:r>
              <w:rPr>
                <w:rFonts w:ascii="Times New Roman" w:eastAsia="Times New Roman"/>
              </w:rPr>
              <w:t>2</w:t>
            </w:r>
          </w:hyperlink>
        </w:p>
        <w:p>
          <w:pPr>
            <w:pStyle w:val="TOC2"/>
            <w:numPr>
              <w:ilvl w:val="1"/>
              <w:numId w:val="1"/>
            </w:numPr>
            <w:tabs>
              <w:tab w:pos="1164" w:val="left" w:leader="none"/>
              <w:tab w:pos="1165" w:val="left" w:leader="none"/>
              <w:tab w:pos="9743" w:val="right" w:leader="dot"/>
            </w:tabs>
            <w:spacing w:line="240" w:lineRule="auto" w:before="20" w:after="0"/>
            <w:ind w:left="1164" w:right="0" w:hanging="655"/>
            <w:jc w:val="left"/>
            <w:rPr>
              <w:rFonts w:ascii="Times New Roman" w:eastAsia="Times New Roman"/>
            </w:rPr>
          </w:pPr>
          <w:hyperlink w:history="true" w:anchor="_TOC_250026">
            <w:r>
              <w:rPr/>
              <w:t>保险</w:t>
            </w:r>
            <w:r>
              <w:rPr>
                <w:spacing w:val="-3"/>
              </w:rPr>
              <w:t>期</w:t>
            </w:r>
            <w:r>
              <w:rPr/>
              <w:t>间</w:t>
              <w:tab/>
            </w:r>
            <w:r>
              <w:rPr>
                <w:rFonts w:ascii="Times New Roman" w:eastAsia="Times New Roman"/>
              </w:rPr>
              <w:t>2</w:t>
            </w:r>
          </w:hyperlink>
        </w:p>
        <w:p>
          <w:pPr>
            <w:pStyle w:val="TOC2"/>
            <w:numPr>
              <w:ilvl w:val="1"/>
              <w:numId w:val="1"/>
            </w:numPr>
            <w:tabs>
              <w:tab w:pos="1164" w:val="left" w:leader="none"/>
              <w:tab w:pos="1165" w:val="left" w:leader="none"/>
              <w:tab w:pos="9743" w:val="right" w:leader="dot"/>
            </w:tabs>
            <w:spacing w:line="240" w:lineRule="auto" w:before="20" w:after="0"/>
            <w:ind w:left="1164" w:right="0" w:hanging="655"/>
            <w:jc w:val="left"/>
            <w:rPr>
              <w:rFonts w:ascii="Times New Roman" w:eastAsia="Times New Roman"/>
            </w:rPr>
          </w:pPr>
          <w:hyperlink w:history="true" w:anchor="_TOC_250025">
            <w:r>
              <w:rPr/>
              <w:t>保险</w:t>
            </w:r>
            <w:r>
              <w:rPr>
                <w:spacing w:val="-3"/>
              </w:rPr>
              <w:t>责</w:t>
            </w:r>
            <w:r>
              <w:rPr/>
              <w:t>任</w:t>
            </w:r>
            <w:r>
              <w:rPr>
                <w:spacing w:val="-3"/>
              </w:rPr>
              <w:t>的</w:t>
            </w:r>
            <w:r>
              <w:rPr/>
              <w:t>开</w:t>
            </w:r>
            <w:r>
              <w:rPr>
                <w:spacing w:val="-3"/>
              </w:rPr>
              <w:t>始</w:t>
            </w:r>
            <w:r>
              <w:rPr/>
              <w:t>和</w:t>
            </w:r>
            <w:r>
              <w:rPr>
                <w:spacing w:val="-3"/>
              </w:rPr>
              <w:t>终</w:t>
            </w:r>
            <w:r>
              <w:rPr/>
              <w:t>止</w:t>
              <w:tab/>
            </w:r>
            <w:r>
              <w:rPr>
                <w:rFonts w:ascii="Times New Roman" w:eastAsia="Times New Roman"/>
              </w:rPr>
              <w:t>2</w:t>
            </w:r>
          </w:hyperlink>
        </w:p>
        <w:p>
          <w:pPr>
            <w:pStyle w:val="TOC2"/>
            <w:numPr>
              <w:ilvl w:val="1"/>
              <w:numId w:val="1"/>
            </w:numPr>
            <w:tabs>
              <w:tab w:pos="1164" w:val="left" w:leader="none"/>
              <w:tab w:pos="1165" w:val="left" w:leader="none"/>
              <w:tab w:pos="9743" w:val="right" w:leader="dot"/>
            </w:tabs>
            <w:spacing w:line="240" w:lineRule="auto" w:before="20" w:after="0"/>
            <w:ind w:left="1164" w:right="0" w:hanging="655"/>
            <w:jc w:val="left"/>
            <w:rPr>
              <w:rFonts w:ascii="Times New Roman" w:eastAsia="Times New Roman"/>
            </w:rPr>
          </w:pPr>
          <w:hyperlink w:history="true" w:anchor="_TOC_250024">
            <w:r>
              <w:rPr/>
              <w:t>犹豫期</w:t>
              <w:tab/>
            </w:r>
            <w:r>
              <w:rPr>
                <w:rFonts w:ascii="Times New Roman" w:eastAsia="Times New Roman"/>
              </w:rPr>
              <w:t>2</w:t>
            </w:r>
          </w:hyperlink>
        </w:p>
        <w:p>
          <w:pPr>
            <w:pStyle w:val="TOC2"/>
            <w:numPr>
              <w:ilvl w:val="1"/>
              <w:numId w:val="1"/>
            </w:numPr>
            <w:tabs>
              <w:tab w:pos="1164" w:val="left" w:leader="none"/>
              <w:tab w:pos="1165" w:val="left" w:leader="none"/>
              <w:tab w:pos="9743" w:val="right" w:leader="dot"/>
            </w:tabs>
            <w:spacing w:line="288" w:lineRule="exact" w:before="20" w:after="0"/>
            <w:ind w:left="1164" w:right="0" w:hanging="655"/>
            <w:jc w:val="left"/>
            <w:rPr>
              <w:rFonts w:ascii="Times New Roman" w:eastAsia="Times New Roman"/>
            </w:rPr>
          </w:pPr>
          <w:hyperlink w:history="true" w:anchor="_TOC_250023">
            <w:r>
              <w:rPr/>
              <w:t>明确</w:t>
            </w:r>
            <w:r>
              <w:rPr>
                <w:spacing w:val="-3"/>
              </w:rPr>
              <w:t>说</w:t>
            </w:r>
            <w:r>
              <w:rPr/>
              <w:t>明</w:t>
            </w:r>
            <w:r>
              <w:rPr>
                <w:spacing w:val="-3"/>
              </w:rPr>
              <w:t>与</w:t>
            </w:r>
            <w:r>
              <w:rPr/>
              <w:t>如</w:t>
            </w:r>
            <w:r>
              <w:rPr>
                <w:spacing w:val="-3"/>
              </w:rPr>
              <w:t>实</w:t>
            </w:r>
            <w:r>
              <w:rPr/>
              <w:t>告知</w:t>
              <w:tab/>
            </w:r>
            <w:r>
              <w:rPr>
                <w:rFonts w:ascii="Times New Roman" w:eastAsia="Times New Roman"/>
              </w:rPr>
              <w:t>2</w:t>
            </w:r>
          </w:hyperlink>
        </w:p>
        <w:p>
          <w:pPr>
            <w:pStyle w:val="TOC1"/>
            <w:numPr>
              <w:ilvl w:val="0"/>
              <w:numId w:val="1"/>
            </w:numPr>
            <w:tabs>
              <w:tab w:pos="509" w:val="left" w:leader="none"/>
              <w:tab w:pos="510" w:val="left" w:leader="none"/>
              <w:tab w:pos="9743" w:val="right" w:leader="dot"/>
            </w:tabs>
            <w:spacing w:line="329" w:lineRule="exact" w:before="0" w:after="0"/>
            <w:ind w:left="509" w:right="0" w:hanging="397"/>
            <w:jc w:val="left"/>
            <w:rPr>
              <w:rFonts w:ascii="Times New Roman" w:eastAsia="Times New Roman"/>
            </w:rPr>
          </w:pPr>
          <w:hyperlink w:history="true" w:anchor="_TOC_250022">
            <w:r>
              <w:rPr/>
              <w:t>附加合同项下的保障和利益</w:t>
              <w:tab/>
            </w:r>
            <w:r>
              <w:rPr>
                <w:rFonts w:ascii="Times New Roman" w:eastAsia="Times New Roman"/>
              </w:rPr>
              <w:t>2</w:t>
            </w:r>
          </w:hyperlink>
        </w:p>
        <w:p>
          <w:pPr>
            <w:pStyle w:val="TOC2"/>
            <w:numPr>
              <w:ilvl w:val="1"/>
              <w:numId w:val="1"/>
            </w:numPr>
            <w:tabs>
              <w:tab w:pos="1164" w:val="left" w:leader="none"/>
              <w:tab w:pos="1165" w:val="left" w:leader="none"/>
              <w:tab w:pos="9743" w:val="right" w:leader="dot"/>
            </w:tabs>
            <w:spacing w:line="240" w:lineRule="auto" w:before="8" w:after="0"/>
            <w:ind w:left="1164" w:right="0" w:hanging="655"/>
            <w:jc w:val="left"/>
            <w:rPr>
              <w:rFonts w:ascii="Times New Roman" w:eastAsia="Times New Roman"/>
            </w:rPr>
          </w:pPr>
          <w:hyperlink w:history="true" w:anchor="_TOC_250021">
            <w:r>
              <w:rPr/>
              <w:t>基本</w:t>
            </w:r>
            <w:r>
              <w:rPr>
                <w:spacing w:val="-3"/>
              </w:rPr>
              <w:t>保</w:t>
            </w:r>
            <w:r>
              <w:rPr/>
              <w:t>险</w:t>
            </w:r>
            <w:r>
              <w:rPr>
                <w:spacing w:val="-3"/>
              </w:rPr>
              <w:t>金</w:t>
            </w:r>
            <w:r>
              <w:rPr/>
              <w:t>额</w:t>
              <w:tab/>
            </w:r>
            <w:r>
              <w:rPr>
                <w:rFonts w:ascii="Times New Roman" w:eastAsia="Times New Roman"/>
              </w:rPr>
              <w:t>2</w:t>
            </w:r>
          </w:hyperlink>
        </w:p>
        <w:p>
          <w:pPr>
            <w:pStyle w:val="TOC2"/>
            <w:numPr>
              <w:ilvl w:val="1"/>
              <w:numId w:val="1"/>
            </w:numPr>
            <w:tabs>
              <w:tab w:pos="1164" w:val="left" w:leader="none"/>
              <w:tab w:pos="1165" w:val="left" w:leader="none"/>
              <w:tab w:pos="9743" w:val="right" w:leader="dot"/>
            </w:tabs>
            <w:spacing w:line="240" w:lineRule="auto" w:before="21" w:after="0"/>
            <w:ind w:left="1164" w:right="0" w:hanging="655"/>
            <w:jc w:val="left"/>
            <w:rPr>
              <w:rFonts w:ascii="Times New Roman" w:eastAsia="Times New Roman"/>
            </w:rPr>
          </w:pPr>
          <w:hyperlink w:history="true" w:anchor="_TOC_250020">
            <w:r>
              <w:rPr/>
              <w:t>我们</w:t>
            </w:r>
            <w:r>
              <w:rPr>
                <w:spacing w:val="-3"/>
              </w:rPr>
              <w:t>提</w:t>
            </w:r>
            <w:r>
              <w:rPr/>
              <w:t>供</w:t>
            </w:r>
            <w:r>
              <w:rPr>
                <w:spacing w:val="-3"/>
              </w:rPr>
              <w:t>的</w:t>
            </w:r>
            <w:r>
              <w:rPr/>
              <w:t>保障</w:t>
              <w:tab/>
            </w:r>
            <w:r>
              <w:rPr>
                <w:rFonts w:ascii="Times New Roman" w:eastAsia="Times New Roman"/>
              </w:rPr>
              <w:t>3</w:t>
            </w:r>
          </w:hyperlink>
        </w:p>
        <w:p>
          <w:pPr>
            <w:pStyle w:val="TOC2"/>
            <w:numPr>
              <w:ilvl w:val="1"/>
              <w:numId w:val="1"/>
            </w:numPr>
            <w:tabs>
              <w:tab w:pos="1164" w:val="left" w:leader="none"/>
              <w:tab w:pos="1165" w:val="left" w:leader="none"/>
              <w:tab w:pos="9743" w:val="right" w:leader="dot"/>
            </w:tabs>
            <w:spacing w:line="287" w:lineRule="exact" w:before="21" w:after="0"/>
            <w:ind w:left="1164" w:right="0" w:hanging="655"/>
            <w:jc w:val="left"/>
            <w:rPr>
              <w:rFonts w:ascii="Times New Roman" w:eastAsia="Times New Roman"/>
            </w:rPr>
          </w:pPr>
          <w:hyperlink w:history="true" w:anchor="_TOC_250019">
            <w:r>
              <w:rPr/>
              <w:t>我们</w:t>
            </w:r>
            <w:r>
              <w:rPr>
                <w:spacing w:val="-3"/>
              </w:rPr>
              <w:t>不</w:t>
            </w:r>
            <w:r>
              <w:rPr/>
              <w:t>承</w:t>
            </w:r>
            <w:r>
              <w:rPr>
                <w:spacing w:val="-3"/>
              </w:rPr>
              <w:t>担</w:t>
            </w:r>
            <w:r>
              <w:rPr/>
              <w:t>的</w:t>
            </w:r>
            <w:r>
              <w:rPr>
                <w:spacing w:val="-3"/>
              </w:rPr>
              <w:t>责</w:t>
            </w:r>
            <w:r>
              <w:rPr/>
              <w:t>任</w:t>
              <w:tab/>
            </w:r>
            <w:r>
              <w:rPr>
                <w:rFonts w:ascii="Times New Roman" w:eastAsia="Times New Roman"/>
              </w:rPr>
              <w:t>3</w:t>
            </w:r>
          </w:hyperlink>
        </w:p>
        <w:p>
          <w:pPr>
            <w:pStyle w:val="TOC1"/>
            <w:numPr>
              <w:ilvl w:val="0"/>
              <w:numId w:val="1"/>
            </w:numPr>
            <w:tabs>
              <w:tab w:pos="509" w:val="left" w:leader="none"/>
              <w:tab w:pos="510" w:val="left" w:leader="none"/>
              <w:tab w:pos="9743" w:val="right" w:leader="dot"/>
            </w:tabs>
            <w:spacing w:line="329" w:lineRule="exact" w:before="0" w:after="0"/>
            <w:ind w:left="509" w:right="0" w:hanging="397"/>
            <w:jc w:val="left"/>
            <w:rPr>
              <w:rFonts w:ascii="Times New Roman" w:eastAsia="Times New Roman"/>
            </w:rPr>
          </w:pPr>
          <w:hyperlink w:history="true" w:anchor="_TOC_250018">
            <w:r>
              <w:rPr/>
              <w:t>您在附加合同项下的权利和义务</w:t>
              <w:tab/>
            </w:r>
            <w:r>
              <w:rPr>
                <w:rFonts w:ascii="Times New Roman" w:eastAsia="Times New Roman"/>
              </w:rPr>
              <w:t>3</w:t>
            </w:r>
          </w:hyperlink>
        </w:p>
        <w:p>
          <w:pPr>
            <w:pStyle w:val="TOC2"/>
            <w:numPr>
              <w:ilvl w:val="1"/>
              <w:numId w:val="1"/>
            </w:numPr>
            <w:tabs>
              <w:tab w:pos="1164" w:val="left" w:leader="none"/>
              <w:tab w:pos="1165" w:val="left" w:leader="none"/>
              <w:tab w:pos="9743" w:val="right" w:leader="dot"/>
            </w:tabs>
            <w:spacing w:line="240" w:lineRule="auto" w:before="8" w:after="0"/>
            <w:ind w:left="1164" w:right="0" w:hanging="655"/>
            <w:jc w:val="left"/>
            <w:rPr>
              <w:rFonts w:ascii="Times New Roman" w:eastAsia="Times New Roman"/>
            </w:rPr>
          </w:pPr>
          <w:hyperlink w:history="true" w:anchor="_TOC_250017">
            <w:r>
              <w:rPr/>
              <w:t>保险</w:t>
            </w:r>
            <w:r>
              <w:rPr>
                <w:spacing w:val="-3"/>
              </w:rPr>
              <w:t>费</w:t>
            </w:r>
            <w:r>
              <w:rPr/>
              <w:t>的</w:t>
            </w:r>
            <w:r>
              <w:rPr>
                <w:spacing w:val="-3"/>
              </w:rPr>
              <w:t>交</w:t>
            </w:r>
            <w:r>
              <w:rPr/>
              <w:t>付</w:t>
              <w:tab/>
            </w:r>
            <w:r>
              <w:rPr>
                <w:rFonts w:ascii="Times New Roman" w:eastAsia="Times New Roman"/>
              </w:rPr>
              <w:t>3</w:t>
            </w:r>
          </w:hyperlink>
        </w:p>
        <w:p>
          <w:pPr>
            <w:pStyle w:val="TOC2"/>
            <w:numPr>
              <w:ilvl w:val="1"/>
              <w:numId w:val="1"/>
            </w:numPr>
            <w:tabs>
              <w:tab w:pos="1164" w:val="left" w:leader="none"/>
              <w:tab w:pos="1165" w:val="left" w:leader="none"/>
              <w:tab w:pos="9743" w:val="right" w:leader="dot"/>
            </w:tabs>
            <w:spacing w:line="240" w:lineRule="auto" w:before="21" w:after="0"/>
            <w:ind w:left="1164" w:right="0" w:hanging="655"/>
            <w:jc w:val="left"/>
            <w:rPr>
              <w:rFonts w:ascii="Times New Roman" w:eastAsia="Times New Roman"/>
            </w:rPr>
          </w:pPr>
          <w:hyperlink w:history="true" w:anchor="_TOC_250016">
            <w:r>
              <w:rPr/>
              <w:t>宽限期</w:t>
              <w:tab/>
            </w:r>
            <w:r>
              <w:rPr>
                <w:rFonts w:ascii="Times New Roman" w:eastAsia="Times New Roman"/>
              </w:rPr>
              <w:t>3</w:t>
            </w:r>
          </w:hyperlink>
        </w:p>
        <w:p>
          <w:pPr>
            <w:pStyle w:val="TOC2"/>
            <w:numPr>
              <w:ilvl w:val="1"/>
              <w:numId w:val="1"/>
            </w:numPr>
            <w:tabs>
              <w:tab w:pos="1164" w:val="left" w:leader="none"/>
              <w:tab w:pos="1165" w:val="left" w:leader="none"/>
              <w:tab w:pos="9743" w:val="right" w:leader="dot"/>
            </w:tabs>
            <w:spacing w:line="240" w:lineRule="auto" w:before="21" w:after="0"/>
            <w:ind w:left="1164" w:right="0" w:hanging="655"/>
            <w:jc w:val="left"/>
            <w:rPr>
              <w:rFonts w:ascii="Times New Roman" w:eastAsia="Times New Roman"/>
            </w:rPr>
          </w:pPr>
          <w:hyperlink w:history="true" w:anchor="_TOC_250015">
            <w:r>
              <w:rPr/>
              <w:t>合同</w:t>
            </w:r>
            <w:r>
              <w:rPr>
                <w:spacing w:val="-3"/>
              </w:rPr>
              <w:t>效</w:t>
            </w:r>
            <w:r>
              <w:rPr/>
              <w:t>力</w:t>
            </w:r>
            <w:r>
              <w:rPr>
                <w:spacing w:val="-3"/>
              </w:rPr>
              <w:t>的</w:t>
            </w:r>
            <w:r>
              <w:rPr/>
              <w:t>中</w:t>
            </w:r>
            <w:r>
              <w:rPr>
                <w:spacing w:val="-3"/>
              </w:rPr>
              <w:t>止</w:t>
            </w:r>
            <w:r>
              <w:rPr/>
              <w:t>和</w:t>
            </w:r>
            <w:r>
              <w:rPr>
                <w:spacing w:val="-3"/>
              </w:rPr>
              <w:t>恢</w:t>
            </w:r>
            <w:r>
              <w:rPr/>
              <w:t>复</w:t>
              <w:tab/>
            </w:r>
            <w:r>
              <w:rPr>
                <w:rFonts w:ascii="Times New Roman" w:eastAsia="Times New Roman"/>
              </w:rPr>
              <w:t>3</w:t>
            </w:r>
          </w:hyperlink>
        </w:p>
        <w:p>
          <w:pPr>
            <w:pStyle w:val="TOC2"/>
            <w:numPr>
              <w:ilvl w:val="1"/>
              <w:numId w:val="1"/>
            </w:numPr>
            <w:tabs>
              <w:tab w:pos="1164" w:val="left" w:leader="none"/>
              <w:tab w:pos="1165" w:val="left" w:leader="none"/>
              <w:tab w:pos="9743" w:val="right" w:leader="dot"/>
            </w:tabs>
            <w:spacing w:line="240" w:lineRule="auto" w:before="21" w:after="0"/>
            <w:ind w:left="1164" w:right="0" w:hanging="655"/>
            <w:jc w:val="left"/>
            <w:rPr>
              <w:rFonts w:ascii="Times New Roman" w:eastAsia="Times New Roman"/>
            </w:rPr>
          </w:pPr>
          <w:hyperlink w:history="true" w:anchor="_TOC_250014">
            <w:r>
              <w:rPr/>
              <w:t>犹豫</w:t>
            </w:r>
            <w:r>
              <w:rPr>
                <w:spacing w:val="-3"/>
              </w:rPr>
              <w:t>期</w:t>
            </w:r>
            <w:r>
              <w:rPr/>
              <w:t>后</w:t>
            </w:r>
            <w:r>
              <w:rPr>
                <w:spacing w:val="-3"/>
              </w:rPr>
              <w:t>解</w:t>
            </w:r>
            <w:r>
              <w:rPr/>
              <w:t>除</w:t>
            </w:r>
            <w:r>
              <w:rPr>
                <w:spacing w:val="-3"/>
              </w:rPr>
              <w:t>合</w:t>
            </w:r>
            <w:r>
              <w:rPr/>
              <w:t>同</w:t>
            </w:r>
            <w:r>
              <w:rPr>
                <w:spacing w:val="-3"/>
              </w:rPr>
              <w:t>的</w:t>
            </w:r>
            <w:r>
              <w:rPr/>
              <w:t>处理</w:t>
              <w:tab/>
            </w:r>
            <w:r>
              <w:rPr>
                <w:rFonts w:ascii="Times New Roman" w:eastAsia="Times New Roman"/>
              </w:rPr>
              <w:t>4</w:t>
            </w:r>
          </w:hyperlink>
        </w:p>
        <w:p>
          <w:pPr>
            <w:pStyle w:val="TOC2"/>
            <w:numPr>
              <w:ilvl w:val="1"/>
              <w:numId w:val="1"/>
            </w:numPr>
            <w:tabs>
              <w:tab w:pos="1164" w:val="left" w:leader="none"/>
              <w:tab w:pos="1165" w:val="left" w:leader="none"/>
              <w:tab w:pos="9743" w:val="right" w:leader="dot"/>
            </w:tabs>
            <w:spacing w:line="240" w:lineRule="auto" w:before="21" w:after="0"/>
            <w:ind w:left="1164" w:right="0" w:hanging="655"/>
            <w:jc w:val="left"/>
            <w:rPr>
              <w:rFonts w:ascii="Times New Roman" w:eastAsia="Times New Roman"/>
            </w:rPr>
          </w:pPr>
          <w:hyperlink w:history="true" w:anchor="_TOC_250013">
            <w:r>
              <w:rPr/>
              <w:t>合同</w:t>
            </w:r>
            <w:r>
              <w:rPr>
                <w:spacing w:val="-3"/>
              </w:rPr>
              <w:t>内</w:t>
            </w:r>
            <w:r>
              <w:rPr/>
              <w:t>容</w:t>
            </w:r>
            <w:r>
              <w:rPr>
                <w:spacing w:val="-3"/>
              </w:rPr>
              <w:t>的</w:t>
            </w:r>
            <w:r>
              <w:rPr/>
              <w:t>变更</w:t>
              <w:tab/>
            </w:r>
            <w:r>
              <w:rPr>
                <w:rFonts w:ascii="Times New Roman" w:eastAsia="Times New Roman"/>
              </w:rPr>
              <w:t>4</w:t>
            </w:r>
          </w:hyperlink>
        </w:p>
        <w:p>
          <w:pPr>
            <w:pStyle w:val="TOC2"/>
            <w:numPr>
              <w:ilvl w:val="1"/>
              <w:numId w:val="1"/>
            </w:numPr>
            <w:tabs>
              <w:tab w:pos="1164" w:val="left" w:leader="none"/>
              <w:tab w:pos="1165" w:val="left" w:leader="none"/>
              <w:tab w:pos="9743" w:val="right" w:leader="dot"/>
            </w:tabs>
            <w:spacing w:line="288" w:lineRule="exact" w:before="21" w:after="0"/>
            <w:ind w:left="1164" w:right="0" w:hanging="655"/>
            <w:jc w:val="left"/>
            <w:rPr>
              <w:rFonts w:ascii="Times New Roman" w:eastAsia="Times New Roman"/>
            </w:rPr>
          </w:pPr>
          <w:hyperlink w:history="true" w:anchor="_TOC_250012">
            <w:r>
              <w:rPr/>
              <w:t>现金</w:t>
            </w:r>
            <w:r>
              <w:rPr>
                <w:spacing w:val="-3"/>
              </w:rPr>
              <w:t>价</w:t>
            </w:r>
            <w:r>
              <w:rPr/>
              <w:t>值</w:t>
              <w:tab/>
            </w:r>
            <w:r>
              <w:rPr>
                <w:rFonts w:ascii="Times New Roman" w:eastAsia="Times New Roman"/>
              </w:rPr>
              <w:t>4</w:t>
            </w:r>
          </w:hyperlink>
        </w:p>
        <w:p>
          <w:pPr>
            <w:pStyle w:val="TOC1"/>
            <w:numPr>
              <w:ilvl w:val="0"/>
              <w:numId w:val="1"/>
            </w:numPr>
            <w:tabs>
              <w:tab w:pos="509" w:val="left" w:leader="none"/>
              <w:tab w:pos="510" w:val="left" w:leader="none"/>
              <w:tab w:pos="9743" w:val="right" w:leader="dot"/>
            </w:tabs>
            <w:spacing w:line="329" w:lineRule="exact" w:before="0" w:after="0"/>
            <w:ind w:left="509" w:right="0" w:hanging="397"/>
            <w:jc w:val="left"/>
            <w:rPr>
              <w:rFonts w:ascii="Times New Roman" w:eastAsia="Times New Roman"/>
            </w:rPr>
          </w:pPr>
          <w:hyperlink w:history="true" w:anchor="_TOC_250011">
            <w:r>
              <w:rPr/>
              <w:t>如何申请领取保险金</w:t>
              <w:tab/>
            </w:r>
            <w:r>
              <w:rPr>
                <w:rFonts w:ascii="Times New Roman" w:eastAsia="Times New Roman"/>
              </w:rPr>
              <w:t>4</w:t>
            </w:r>
          </w:hyperlink>
        </w:p>
        <w:p>
          <w:pPr>
            <w:pStyle w:val="TOC2"/>
            <w:numPr>
              <w:ilvl w:val="1"/>
              <w:numId w:val="1"/>
            </w:numPr>
            <w:tabs>
              <w:tab w:pos="1164" w:val="left" w:leader="none"/>
              <w:tab w:pos="1165" w:val="left" w:leader="none"/>
              <w:tab w:pos="9743" w:val="right" w:leader="dot"/>
            </w:tabs>
            <w:spacing w:line="240" w:lineRule="auto" w:before="8" w:after="0"/>
            <w:ind w:left="1164" w:right="0" w:hanging="655"/>
            <w:jc w:val="left"/>
            <w:rPr>
              <w:rFonts w:ascii="Times New Roman" w:eastAsia="Times New Roman"/>
            </w:rPr>
          </w:pPr>
          <w:hyperlink w:history="true" w:anchor="_TOC_250010">
            <w:r>
              <w:rPr/>
              <w:t>保险</w:t>
            </w:r>
            <w:r>
              <w:rPr>
                <w:spacing w:val="-3"/>
              </w:rPr>
              <w:t>金</w:t>
            </w:r>
            <w:r>
              <w:rPr/>
              <w:t>受</w:t>
            </w:r>
            <w:r>
              <w:rPr>
                <w:spacing w:val="-3"/>
              </w:rPr>
              <w:t>益</w:t>
            </w:r>
            <w:r>
              <w:rPr/>
              <w:t>人</w:t>
              <w:tab/>
            </w:r>
            <w:r>
              <w:rPr>
                <w:rFonts w:ascii="Times New Roman" w:eastAsia="Times New Roman"/>
              </w:rPr>
              <w:t>4</w:t>
            </w:r>
          </w:hyperlink>
        </w:p>
        <w:p>
          <w:pPr>
            <w:pStyle w:val="TOC2"/>
            <w:numPr>
              <w:ilvl w:val="1"/>
              <w:numId w:val="1"/>
            </w:numPr>
            <w:tabs>
              <w:tab w:pos="1164" w:val="left" w:leader="none"/>
              <w:tab w:pos="1165" w:val="left" w:leader="none"/>
              <w:tab w:pos="9743" w:val="right" w:leader="dot"/>
            </w:tabs>
            <w:spacing w:line="240" w:lineRule="auto" w:before="21" w:after="0"/>
            <w:ind w:left="1164" w:right="0" w:hanging="655"/>
            <w:jc w:val="left"/>
            <w:rPr>
              <w:rFonts w:ascii="Times New Roman" w:eastAsia="Times New Roman"/>
            </w:rPr>
          </w:pPr>
          <w:hyperlink w:history="true" w:anchor="_TOC_250009">
            <w:r>
              <w:rPr/>
              <w:t>保险</w:t>
            </w:r>
            <w:r>
              <w:rPr>
                <w:spacing w:val="-3"/>
              </w:rPr>
              <w:t>事</w:t>
            </w:r>
            <w:r>
              <w:rPr/>
              <w:t>故</w:t>
            </w:r>
            <w:r>
              <w:rPr>
                <w:spacing w:val="-3"/>
              </w:rPr>
              <w:t>的</w:t>
            </w:r>
            <w:r>
              <w:rPr/>
              <w:t>通知</w:t>
              <w:tab/>
            </w:r>
            <w:r>
              <w:rPr>
                <w:rFonts w:ascii="Times New Roman" w:eastAsia="Times New Roman"/>
              </w:rPr>
              <w:t>4</w:t>
            </w:r>
          </w:hyperlink>
        </w:p>
        <w:p>
          <w:pPr>
            <w:pStyle w:val="TOC2"/>
            <w:numPr>
              <w:ilvl w:val="1"/>
              <w:numId w:val="1"/>
            </w:numPr>
            <w:tabs>
              <w:tab w:pos="1164" w:val="left" w:leader="none"/>
              <w:tab w:pos="1165" w:val="left" w:leader="none"/>
              <w:tab w:pos="9743" w:val="right" w:leader="dot"/>
            </w:tabs>
            <w:spacing w:line="240" w:lineRule="auto" w:before="21" w:after="0"/>
            <w:ind w:left="1164" w:right="0" w:hanging="655"/>
            <w:jc w:val="left"/>
            <w:rPr>
              <w:rFonts w:ascii="Times New Roman" w:eastAsia="Times New Roman"/>
            </w:rPr>
          </w:pPr>
          <w:hyperlink w:history="true" w:anchor="_TOC_250008">
            <w:r>
              <w:rPr/>
              <w:t>保险</w:t>
            </w:r>
            <w:r>
              <w:rPr>
                <w:spacing w:val="-3"/>
              </w:rPr>
              <w:t>金</w:t>
            </w:r>
            <w:r>
              <w:rPr/>
              <w:t>的</w:t>
            </w:r>
            <w:r>
              <w:rPr>
                <w:spacing w:val="-3"/>
              </w:rPr>
              <w:t>申</w:t>
            </w:r>
            <w:r>
              <w:rPr/>
              <w:t>请</w:t>
            </w:r>
            <w:r>
              <w:rPr>
                <w:spacing w:val="-3"/>
              </w:rPr>
              <w:t>和</w:t>
            </w:r>
            <w:r>
              <w:rPr/>
              <w:t>给付</w:t>
              <w:tab/>
            </w:r>
            <w:r>
              <w:rPr>
                <w:rFonts w:ascii="Times New Roman" w:eastAsia="Times New Roman"/>
              </w:rPr>
              <w:t>4</w:t>
            </w:r>
          </w:hyperlink>
        </w:p>
        <w:p>
          <w:pPr>
            <w:pStyle w:val="TOC2"/>
            <w:numPr>
              <w:ilvl w:val="1"/>
              <w:numId w:val="1"/>
            </w:numPr>
            <w:tabs>
              <w:tab w:pos="1164" w:val="left" w:leader="none"/>
              <w:tab w:pos="1165" w:val="left" w:leader="none"/>
              <w:tab w:pos="9743" w:val="right" w:leader="dot"/>
            </w:tabs>
            <w:spacing w:line="287" w:lineRule="exact" w:before="21" w:after="0"/>
            <w:ind w:left="1164" w:right="0" w:hanging="655"/>
            <w:jc w:val="left"/>
            <w:rPr>
              <w:rFonts w:ascii="Times New Roman" w:eastAsia="Times New Roman"/>
            </w:rPr>
          </w:pPr>
          <w:hyperlink w:history="true" w:anchor="_TOC_250007">
            <w:r>
              <w:rPr/>
              <w:t>欠交</w:t>
            </w:r>
            <w:r>
              <w:rPr>
                <w:spacing w:val="-3"/>
              </w:rPr>
              <w:t>保</w:t>
            </w:r>
            <w:r>
              <w:rPr/>
              <w:t>险</w:t>
            </w:r>
            <w:r>
              <w:rPr>
                <w:spacing w:val="-3"/>
              </w:rPr>
              <w:t>费</w:t>
            </w:r>
            <w:r>
              <w:rPr/>
              <w:t>及</w:t>
            </w:r>
            <w:r>
              <w:rPr>
                <w:spacing w:val="-3"/>
              </w:rPr>
              <w:t>未</w:t>
            </w:r>
            <w:r>
              <w:rPr/>
              <w:t>还</w:t>
            </w:r>
            <w:r>
              <w:rPr>
                <w:spacing w:val="-3"/>
              </w:rPr>
              <w:t>款</w:t>
            </w:r>
            <w:r>
              <w:rPr/>
              <w:t>项</w:t>
            </w:r>
            <w:r>
              <w:rPr>
                <w:spacing w:val="-3"/>
              </w:rPr>
              <w:t>的</w:t>
            </w:r>
            <w:r>
              <w:rPr/>
              <w:t>扣除</w:t>
              <w:tab/>
            </w:r>
            <w:r>
              <w:rPr>
                <w:rFonts w:ascii="Times New Roman" w:eastAsia="Times New Roman"/>
              </w:rPr>
              <w:t>5</w:t>
            </w:r>
          </w:hyperlink>
        </w:p>
        <w:p>
          <w:pPr>
            <w:pStyle w:val="TOC1"/>
            <w:numPr>
              <w:ilvl w:val="0"/>
              <w:numId w:val="1"/>
            </w:numPr>
            <w:tabs>
              <w:tab w:pos="509" w:val="left" w:leader="none"/>
              <w:tab w:pos="510" w:val="left" w:leader="none"/>
              <w:tab w:pos="9743" w:val="right" w:leader="dot"/>
            </w:tabs>
            <w:spacing w:line="329" w:lineRule="exact" w:before="0" w:after="0"/>
            <w:ind w:left="509" w:right="0" w:hanging="397"/>
            <w:jc w:val="left"/>
            <w:rPr>
              <w:rFonts w:ascii="Times New Roman" w:eastAsia="Times New Roman"/>
            </w:rPr>
          </w:pPr>
          <w:hyperlink w:history="true" w:anchor="_TOC_250006">
            <w:r>
              <w:rPr/>
              <w:t>您需要了解的其他内容</w:t>
              <w:tab/>
            </w:r>
            <w:r>
              <w:rPr>
                <w:rFonts w:ascii="Times New Roman" w:eastAsia="Times New Roman"/>
              </w:rPr>
              <w:t>5</w:t>
            </w:r>
          </w:hyperlink>
        </w:p>
        <w:p>
          <w:pPr>
            <w:pStyle w:val="TOC2"/>
            <w:numPr>
              <w:ilvl w:val="1"/>
              <w:numId w:val="1"/>
            </w:numPr>
            <w:tabs>
              <w:tab w:pos="1164" w:val="left" w:leader="none"/>
              <w:tab w:pos="1165" w:val="left" w:leader="none"/>
              <w:tab w:pos="9743" w:val="right" w:leader="dot"/>
            </w:tabs>
            <w:spacing w:line="240" w:lineRule="auto" w:before="8" w:after="0"/>
            <w:ind w:left="1164" w:right="0" w:hanging="655"/>
            <w:jc w:val="left"/>
            <w:rPr>
              <w:rFonts w:ascii="Times New Roman" w:eastAsia="Times New Roman"/>
            </w:rPr>
          </w:pPr>
          <w:hyperlink w:history="true" w:anchor="_TOC_250005">
            <w:r>
              <w:rPr/>
              <w:t>被保</w:t>
            </w:r>
            <w:r>
              <w:rPr>
                <w:spacing w:val="-3"/>
              </w:rPr>
              <w:t>险</w:t>
            </w:r>
            <w:r>
              <w:rPr/>
              <w:t>人</w:t>
            </w:r>
            <w:r>
              <w:rPr>
                <w:spacing w:val="-3"/>
              </w:rPr>
              <w:t>身</w:t>
            </w:r>
            <w:r>
              <w:rPr/>
              <w:t>故</w:t>
            </w:r>
            <w:r>
              <w:rPr>
                <w:spacing w:val="-3"/>
              </w:rPr>
              <w:t>或</w:t>
            </w:r>
            <w:r>
              <w:rPr/>
              <w:t>永</w:t>
            </w:r>
            <w:r>
              <w:rPr>
                <w:spacing w:val="-3"/>
              </w:rPr>
              <w:t>久</w:t>
            </w:r>
            <w:r>
              <w:rPr/>
              <w:t>完</w:t>
            </w:r>
            <w:r>
              <w:rPr>
                <w:spacing w:val="-3"/>
              </w:rPr>
              <w:t>全</w:t>
            </w:r>
            <w:r>
              <w:rPr/>
              <w:t>残疾</w:t>
            </w:r>
            <w:r>
              <w:rPr>
                <w:spacing w:val="-3"/>
              </w:rPr>
              <w:t>的</w:t>
            </w:r>
            <w:r>
              <w:rPr/>
              <w:t>处理</w:t>
              <w:tab/>
            </w:r>
            <w:r>
              <w:rPr>
                <w:rFonts w:ascii="Times New Roman" w:eastAsia="Times New Roman"/>
              </w:rPr>
              <w:t>5</w:t>
            </w:r>
          </w:hyperlink>
        </w:p>
        <w:p>
          <w:pPr>
            <w:pStyle w:val="TOC2"/>
            <w:numPr>
              <w:ilvl w:val="1"/>
              <w:numId w:val="1"/>
            </w:numPr>
            <w:tabs>
              <w:tab w:pos="1164" w:val="left" w:leader="none"/>
              <w:tab w:pos="1165" w:val="left" w:leader="none"/>
              <w:tab w:pos="9743" w:val="right" w:leader="dot"/>
            </w:tabs>
            <w:spacing w:line="240" w:lineRule="auto" w:before="21" w:after="0"/>
            <w:ind w:left="1164" w:right="0" w:hanging="655"/>
            <w:jc w:val="left"/>
            <w:rPr>
              <w:rFonts w:ascii="Times New Roman" w:eastAsia="Times New Roman"/>
            </w:rPr>
          </w:pPr>
          <w:hyperlink w:history="true" w:anchor="_TOC_250004">
            <w:r>
              <w:rPr/>
              <w:t>年龄</w:t>
            </w:r>
            <w:r>
              <w:rPr>
                <w:spacing w:val="-3"/>
              </w:rPr>
              <w:t>计</w:t>
            </w:r>
            <w:r>
              <w:rPr/>
              <w:t>算</w:t>
            </w:r>
            <w:r>
              <w:rPr>
                <w:spacing w:val="-3"/>
              </w:rPr>
              <w:t>及</w:t>
            </w:r>
            <w:r>
              <w:rPr/>
              <w:t>错</w:t>
            </w:r>
            <w:r>
              <w:rPr>
                <w:spacing w:val="-3"/>
              </w:rPr>
              <w:t>误</w:t>
            </w:r>
            <w:r>
              <w:rPr/>
              <w:t>处理</w:t>
              <w:tab/>
            </w:r>
            <w:r>
              <w:rPr>
                <w:rFonts w:ascii="Times New Roman" w:eastAsia="Times New Roman"/>
              </w:rPr>
              <w:t>5</w:t>
            </w:r>
          </w:hyperlink>
        </w:p>
        <w:p>
          <w:pPr>
            <w:pStyle w:val="TOC2"/>
            <w:numPr>
              <w:ilvl w:val="1"/>
              <w:numId w:val="1"/>
            </w:numPr>
            <w:tabs>
              <w:tab w:pos="1164" w:val="left" w:leader="none"/>
              <w:tab w:pos="1165" w:val="left" w:leader="none"/>
              <w:tab w:pos="9743" w:val="right" w:leader="dot"/>
            </w:tabs>
            <w:spacing w:line="240" w:lineRule="auto" w:before="21" w:after="0"/>
            <w:ind w:left="1164" w:right="0" w:hanging="655"/>
            <w:jc w:val="left"/>
            <w:rPr>
              <w:rFonts w:ascii="Times New Roman" w:eastAsia="Times New Roman"/>
            </w:rPr>
          </w:pPr>
          <w:hyperlink w:history="true" w:anchor="_TOC_250003">
            <w:r>
              <w:rPr/>
              <w:t>联系</w:t>
            </w:r>
            <w:r>
              <w:rPr>
                <w:spacing w:val="-3"/>
              </w:rPr>
              <w:t>方</w:t>
            </w:r>
            <w:r>
              <w:rPr/>
              <w:t>式</w:t>
            </w:r>
            <w:r>
              <w:rPr>
                <w:spacing w:val="-3"/>
              </w:rPr>
              <w:t>的</w:t>
            </w:r>
            <w:r>
              <w:rPr/>
              <w:t>变更</w:t>
              <w:tab/>
            </w:r>
            <w:r>
              <w:rPr>
                <w:rFonts w:ascii="Times New Roman" w:eastAsia="Times New Roman"/>
              </w:rPr>
              <w:t>5</w:t>
            </w:r>
          </w:hyperlink>
        </w:p>
        <w:p>
          <w:pPr>
            <w:pStyle w:val="TOC2"/>
            <w:numPr>
              <w:ilvl w:val="1"/>
              <w:numId w:val="1"/>
            </w:numPr>
            <w:tabs>
              <w:tab w:pos="1164" w:val="left" w:leader="none"/>
              <w:tab w:pos="1165" w:val="left" w:leader="none"/>
              <w:tab w:pos="9743" w:val="right" w:leader="dot"/>
            </w:tabs>
            <w:spacing w:line="240" w:lineRule="auto" w:before="21" w:after="0"/>
            <w:ind w:left="1164" w:right="0" w:hanging="655"/>
            <w:jc w:val="left"/>
            <w:rPr>
              <w:rFonts w:ascii="Times New Roman" w:eastAsia="Times New Roman"/>
            </w:rPr>
          </w:pPr>
          <w:hyperlink w:history="true" w:anchor="_TOC_250002">
            <w:r>
              <w:rPr/>
              <w:t>身体</w:t>
            </w:r>
            <w:r>
              <w:rPr>
                <w:spacing w:val="-3"/>
              </w:rPr>
              <w:t>检</w:t>
            </w:r>
            <w:r>
              <w:rPr/>
              <w:t>查</w:t>
            </w:r>
            <w:r>
              <w:rPr>
                <w:spacing w:val="-3"/>
              </w:rPr>
              <w:t>及</w:t>
            </w:r>
            <w:r>
              <w:rPr/>
              <w:t>司</w:t>
            </w:r>
            <w:r>
              <w:rPr>
                <w:spacing w:val="-3"/>
              </w:rPr>
              <w:t>法</w:t>
            </w:r>
            <w:r>
              <w:rPr/>
              <w:t>鉴定</w:t>
              <w:tab/>
            </w:r>
            <w:r>
              <w:rPr>
                <w:rFonts w:ascii="Times New Roman" w:eastAsia="Times New Roman"/>
              </w:rPr>
              <w:t>5</w:t>
            </w:r>
          </w:hyperlink>
        </w:p>
        <w:p>
          <w:pPr>
            <w:pStyle w:val="TOC2"/>
            <w:numPr>
              <w:ilvl w:val="1"/>
              <w:numId w:val="1"/>
            </w:numPr>
            <w:tabs>
              <w:tab w:pos="1164" w:val="left" w:leader="none"/>
              <w:tab w:pos="1165" w:val="left" w:leader="none"/>
              <w:tab w:pos="9743" w:val="right" w:leader="dot"/>
            </w:tabs>
            <w:spacing w:line="287" w:lineRule="exact" w:before="21" w:after="0"/>
            <w:ind w:left="1164" w:right="0" w:hanging="655"/>
            <w:jc w:val="left"/>
            <w:rPr>
              <w:rFonts w:ascii="Times New Roman" w:eastAsia="Times New Roman"/>
            </w:rPr>
          </w:pPr>
          <w:hyperlink w:history="true" w:anchor="_TOC_250001">
            <w:r>
              <w:rPr/>
              <w:t>争议</w:t>
            </w:r>
            <w:r>
              <w:rPr>
                <w:spacing w:val="-3"/>
              </w:rPr>
              <w:t>处</w:t>
            </w:r>
            <w:r>
              <w:rPr/>
              <w:t>理</w:t>
              <w:tab/>
            </w:r>
            <w:r>
              <w:rPr>
                <w:rFonts w:ascii="Times New Roman" w:eastAsia="Times New Roman"/>
              </w:rPr>
              <w:t>5</w:t>
            </w:r>
          </w:hyperlink>
        </w:p>
        <w:p>
          <w:pPr>
            <w:pStyle w:val="TOC1"/>
            <w:numPr>
              <w:ilvl w:val="0"/>
              <w:numId w:val="1"/>
            </w:numPr>
            <w:tabs>
              <w:tab w:pos="509" w:val="left" w:leader="none"/>
              <w:tab w:pos="510" w:val="left" w:leader="none"/>
              <w:tab w:pos="9743" w:val="right" w:leader="dot"/>
            </w:tabs>
            <w:spacing w:line="329" w:lineRule="exact" w:before="0" w:after="0"/>
            <w:ind w:left="509" w:right="0" w:hanging="397"/>
            <w:jc w:val="left"/>
            <w:rPr>
              <w:rFonts w:ascii="Times New Roman" w:eastAsia="Times New Roman"/>
            </w:rPr>
          </w:pPr>
          <w:hyperlink w:history="true" w:anchor="_TOC_250000">
            <w:r>
              <w:rPr/>
              <w:t>条款的解释</w:t>
              <w:tab/>
            </w:r>
            <w:r>
              <w:rPr>
                <w:rFonts w:ascii="Times New Roman" w:eastAsia="Times New Roman"/>
              </w:rPr>
              <w:t>5</w:t>
            </w:r>
          </w:hyperlink>
        </w:p>
        <w:p>
          <w:pPr/>
          <w:r>
            <w:fldChar w:fldCharType="end"/>
          </w:r>
        </w:p>
      </w:sdtContent>
    </w:sdt>
    <w:p>
      <w:pPr>
        <w:spacing w:after="0"/>
        <w:sectPr>
          <w:headerReference w:type="default" r:id="rId5"/>
          <w:footerReference w:type="default" r:id="rId6"/>
          <w:type w:val="continuous"/>
          <w:pgSz w:w="11910" w:h="16840"/>
          <w:pgMar w:header="228" w:footer="888" w:top="1200" w:bottom="1080" w:left="1020" w:right="1020"/>
          <w:pgNumType w:start="1"/>
        </w:sectPr>
      </w:pPr>
    </w:p>
    <w:p>
      <w:pPr>
        <w:pStyle w:val="Heading1"/>
        <w:numPr>
          <w:ilvl w:val="0"/>
          <w:numId w:val="2"/>
        </w:numPr>
        <w:tabs>
          <w:tab w:pos="593" w:val="left" w:leader="none"/>
          <w:tab w:pos="594" w:val="left" w:leader="none"/>
        </w:tabs>
        <w:spacing w:line="240" w:lineRule="auto" w:before="52" w:after="0"/>
        <w:ind w:left="593" w:right="0" w:hanging="481"/>
        <w:jc w:val="left"/>
        <w:rPr>
          <w:rFonts w:ascii="黑体" w:eastAsia="黑体" w:hint="eastAsia"/>
        </w:rPr>
      </w:pPr>
      <w:bookmarkStart w:name="_TOC_250029" w:id="1"/>
      <w:bookmarkEnd w:id="1"/>
      <w:r>
        <w:rPr>
          <w:w w:val="95"/>
        </w:rPr>
        <w:t>您与我们订立附加合同时需要了解的内容</w:t>
      </w:r>
    </w:p>
    <w:p>
      <w:pPr>
        <w:pStyle w:val="Heading2"/>
        <w:numPr>
          <w:ilvl w:val="1"/>
          <w:numId w:val="2"/>
        </w:numPr>
        <w:tabs>
          <w:tab w:pos="594" w:val="left" w:leader="none"/>
        </w:tabs>
        <w:spacing w:line="240" w:lineRule="auto" w:before="143" w:after="0"/>
        <w:ind w:left="593" w:right="0" w:hanging="481"/>
        <w:jc w:val="left"/>
      </w:pPr>
      <w:bookmarkStart w:name="_TOC_250028" w:id="2"/>
      <w:bookmarkEnd w:id="2"/>
      <w:r>
        <w:rPr>
          <w:w w:val="95"/>
        </w:rPr>
        <w:t>附加保险合同的种类及构成</w:t>
      </w:r>
    </w:p>
    <w:p>
      <w:pPr>
        <w:pStyle w:val="BodyText"/>
        <w:spacing w:line="273" w:lineRule="auto" w:before="16"/>
        <w:ind w:right="206" w:firstLine="420"/>
      </w:pPr>
      <w:r>
        <w:rPr>
          <w:b/>
        </w:rPr>
        <w:t>您</w:t>
      </w:r>
      <w:r>
        <w:rPr>
          <w:spacing w:val="-15"/>
        </w:rPr>
        <w:t>作为投保人，与</w:t>
      </w:r>
      <w:r>
        <w:rPr>
          <w:b/>
        </w:rPr>
        <w:t>我们</w:t>
      </w:r>
      <w:r>
        <w:rPr>
          <w:spacing w:val="-6"/>
        </w:rPr>
        <w:t>订立的附加保险合同为恒安标准附加富贵尊享重大疾病保险合同</w:t>
      </w:r>
      <w:r>
        <w:rPr>
          <w:spacing w:val="-3"/>
        </w:rPr>
        <w:t>（</w:t>
      </w:r>
      <w:r>
        <w:rPr>
          <w:spacing w:val="-16"/>
        </w:rPr>
        <w:t>以下简称“附</w:t>
      </w:r>
      <w:r>
        <w:rPr>
          <w:spacing w:val="-37"/>
        </w:rPr>
        <w:t>加合同”</w:t>
      </w:r>
      <w:r>
        <w:rPr>
          <w:spacing w:val="-97"/>
        </w:rPr>
        <w:t>）</w:t>
      </w:r>
      <w:r>
        <w:rPr>
          <w:spacing w:val="-15"/>
        </w:rPr>
        <w:t>，所使用的保险条款为恒安标准附加富贵尊享重大疾病保险条款</w:t>
      </w:r>
      <w:r>
        <w:rPr>
          <w:spacing w:val="-3"/>
        </w:rPr>
        <w:t>（</w:t>
      </w:r>
      <w:r>
        <w:rPr>
          <w:spacing w:val="-19"/>
        </w:rPr>
        <w:t>以下简称“本附加保险条款”</w:t>
      </w:r>
      <w:r>
        <w:rPr>
          <w:spacing w:val="-107"/>
        </w:rPr>
        <w:t>）</w:t>
      </w:r>
      <w:r>
        <w:rPr>
          <w:spacing w:val="-106"/>
        </w:rPr>
        <w:t>。</w:t>
      </w:r>
      <w:r>
        <w:rPr>
          <w:spacing w:val="-3"/>
        </w:rPr>
        <w:t>您只有在与我们订立我们所规定的主险保险合同（</w:t>
      </w:r>
      <w:r>
        <w:rPr>
          <w:spacing w:val="-1"/>
        </w:rPr>
        <w:t>以下简称</w:t>
      </w:r>
      <w:r>
        <w:rPr>
          <w:rFonts w:ascii="Times New Roman" w:hAnsi="Times New Roman" w:eastAsia="Times New Roman"/>
          <w:spacing w:val="-3"/>
        </w:rPr>
        <w:t>“</w:t>
      </w:r>
      <w:r>
        <w:rPr>
          <w:spacing w:val="-2"/>
        </w:rPr>
        <w:t>主险合同</w:t>
      </w:r>
      <w:r>
        <w:rPr>
          <w:rFonts w:ascii="Times New Roman" w:hAnsi="Times New Roman" w:eastAsia="Times New Roman"/>
        </w:rPr>
        <w:t>”</w:t>
      </w:r>
      <w:r>
        <w:rPr/>
        <w:t>）</w:t>
      </w:r>
      <w:r>
        <w:rPr>
          <w:spacing w:val="-3"/>
        </w:rPr>
        <w:t>时，才可以选择订立附加合同。</w:t>
      </w:r>
    </w:p>
    <w:p>
      <w:pPr>
        <w:pStyle w:val="BodyText"/>
        <w:spacing w:line="273" w:lineRule="auto" w:before="17"/>
        <w:ind w:right="108" w:firstLine="420"/>
        <w:jc w:val="both"/>
      </w:pPr>
      <w:r>
        <w:rPr/>
        <w:t>本附加保险条款、与附加合同有关的保险单或其他保险凭证、投保文件、声明、批单、现金价值表、协议，以及与附加合同有关的主险合同所附保险条款、保险单、现金价值表等均为附加合同的组成部分。如果本附加保险条款与主险合同所附保险条款或其他有关文件的规定不一致，以本附加保险条款为准。</w:t>
      </w:r>
    </w:p>
    <w:p>
      <w:pPr>
        <w:pStyle w:val="BodyText"/>
        <w:spacing w:line="256" w:lineRule="auto" w:before="7"/>
        <w:ind w:right="208" w:firstLine="420"/>
      </w:pPr>
      <w:r>
        <w:rPr>
          <w:spacing w:val="-6"/>
        </w:rPr>
        <w:t>我们在本附加保险条款第 </w:t>
      </w:r>
      <w:r>
        <w:rPr>
          <w:rFonts w:ascii="Times New Roman" w:eastAsia="Times New Roman"/>
        </w:rPr>
        <w:t>6 </w:t>
      </w:r>
      <w:r>
        <w:rPr>
          <w:spacing w:val="-5"/>
        </w:rPr>
        <w:t>条中对重要术语进行了解释，术语含义以该条中的解释为准，请您注意阅读。</w:t>
      </w:r>
    </w:p>
    <w:p>
      <w:pPr>
        <w:pStyle w:val="Heading2"/>
        <w:numPr>
          <w:ilvl w:val="1"/>
          <w:numId w:val="2"/>
        </w:numPr>
        <w:tabs>
          <w:tab w:pos="594" w:val="left" w:leader="none"/>
        </w:tabs>
        <w:spacing w:line="240" w:lineRule="auto" w:before="63" w:after="0"/>
        <w:ind w:left="593" w:right="0" w:hanging="481"/>
        <w:jc w:val="left"/>
      </w:pPr>
      <w:bookmarkStart w:name="_TOC_250027" w:id="3"/>
      <w:bookmarkEnd w:id="3"/>
      <w:r>
        <w:rPr>
          <w:w w:val="95"/>
        </w:rPr>
        <w:t>投保条件</w:t>
      </w:r>
    </w:p>
    <w:p>
      <w:pPr>
        <w:pStyle w:val="BodyText"/>
        <w:spacing w:before="17"/>
        <w:ind w:left="533"/>
      </w:pPr>
      <w:r>
        <w:rPr/>
        <w:t>附加合同的投保条件与主险合同的相关规定一致。</w:t>
      </w:r>
    </w:p>
    <w:p>
      <w:pPr>
        <w:pStyle w:val="Heading2"/>
        <w:numPr>
          <w:ilvl w:val="1"/>
          <w:numId w:val="2"/>
        </w:numPr>
        <w:tabs>
          <w:tab w:pos="594" w:val="left" w:leader="none"/>
        </w:tabs>
        <w:spacing w:line="240" w:lineRule="auto" w:before="78" w:after="0"/>
        <w:ind w:left="593" w:right="0" w:hanging="481"/>
        <w:jc w:val="left"/>
      </w:pPr>
      <w:bookmarkStart w:name="_TOC_250026" w:id="4"/>
      <w:bookmarkEnd w:id="4"/>
      <w:r>
        <w:rPr>
          <w:w w:val="95"/>
        </w:rPr>
        <w:t>保险期间</w:t>
      </w:r>
    </w:p>
    <w:p>
      <w:pPr>
        <w:pStyle w:val="BodyText"/>
        <w:spacing w:before="16"/>
        <w:ind w:left="533"/>
      </w:pPr>
      <w:r>
        <w:rPr/>
        <w:t>附加合同的保险期间与主险合同相同，自附加合同生效日次日零时起算。</w:t>
      </w:r>
    </w:p>
    <w:p>
      <w:pPr>
        <w:pStyle w:val="Heading2"/>
        <w:numPr>
          <w:ilvl w:val="1"/>
          <w:numId w:val="2"/>
        </w:numPr>
        <w:tabs>
          <w:tab w:pos="594" w:val="left" w:leader="none"/>
        </w:tabs>
        <w:spacing w:line="240" w:lineRule="auto" w:before="77" w:after="0"/>
        <w:ind w:left="593" w:right="0" w:hanging="481"/>
        <w:jc w:val="left"/>
      </w:pPr>
      <w:bookmarkStart w:name="_TOC_250025" w:id="5"/>
      <w:bookmarkEnd w:id="5"/>
      <w:r>
        <w:rPr>
          <w:w w:val="95"/>
        </w:rPr>
        <w:t>保险责任的开始和终止</w:t>
      </w:r>
    </w:p>
    <w:p>
      <w:pPr>
        <w:pStyle w:val="BodyText"/>
        <w:spacing w:before="16"/>
        <w:ind w:left="533"/>
      </w:pPr>
      <w:r>
        <w:rPr/>
        <w:t>一、保险责任的开始</w:t>
      </w:r>
    </w:p>
    <w:p>
      <w:pPr>
        <w:pStyle w:val="BodyText"/>
        <w:spacing w:line="273" w:lineRule="auto" w:before="65"/>
        <w:ind w:right="187" w:firstLine="420"/>
      </w:pPr>
      <w:r>
        <w:rPr/>
        <w:t>您完成投保申请，经我们审核同意，附加合同成立。自您交付的</w:t>
      </w:r>
      <w:r>
        <w:rPr>
          <w:b/>
        </w:rPr>
        <w:t>保险费</w:t>
      </w:r>
      <w:r>
        <w:rPr/>
        <w:t>到达我们的账户之日起，附加合同生效，具体的生效日期在保险单中载明。我们自附加合同生效日次日零时起开始承担保险责任。</w:t>
      </w:r>
    </w:p>
    <w:p>
      <w:pPr>
        <w:pStyle w:val="BodyText"/>
        <w:spacing w:before="7"/>
        <w:ind w:left="533"/>
      </w:pPr>
      <w:r>
        <w:rPr/>
        <w:t>二、保险责任的终止</w:t>
      </w:r>
    </w:p>
    <w:p>
      <w:pPr>
        <w:pStyle w:val="BodyText"/>
        <w:spacing w:before="68"/>
        <w:ind w:left="533"/>
      </w:pPr>
      <w:r>
        <w:rPr/>
        <w:t>发生下列情况之一时，附加合同保险责任自动终止：</w:t>
      </w:r>
    </w:p>
    <w:p>
      <w:pPr>
        <w:pStyle w:val="ListParagraph"/>
        <w:numPr>
          <w:ilvl w:val="0"/>
          <w:numId w:val="3"/>
        </w:numPr>
        <w:tabs>
          <w:tab w:pos="893" w:val="left" w:leader="none"/>
          <w:tab w:pos="894" w:val="left" w:leader="none"/>
        </w:tabs>
        <w:spacing w:line="240" w:lineRule="auto" w:before="65" w:after="0"/>
        <w:ind w:left="893" w:right="0" w:hanging="360"/>
        <w:jc w:val="left"/>
        <w:rPr>
          <w:sz w:val="21"/>
        </w:rPr>
      </w:pPr>
      <w:r>
        <w:rPr>
          <w:spacing w:val="-3"/>
          <w:sz w:val="21"/>
        </w:rPr>
        <w:t>主险合同效力终止；</w:t>
      </w:r>
    </w:p>
    <w:p>
      <w:pPr>
        <w:pStyle w:val="ListParagraph"/>
        <w:numPr>
          <w:ilvl w:val="0"/>
          <w:numId w:val="3"/>
        </w:numPr>
        <w:tabs>
          <w:tab w:pos="893" w:val="left" w:leader="none"/>
          <w:tab w:pos="894" w:val="left" w:leader="none"/>
        </w:tabs>
        <w:spacing w:line="240" w:lineRule="auto" w:before="21" w:after="0"/>
        <w:ind w:left="893" w:right="0" w:hanging="360"/>
        <w:jc w:val="left"/>
        <w:rPr>
          <w:sz w:val="21"/>
        </w:rPr>
      </w:pPr>
      <w:r>
        <w:rPr>
          <w:spacing w:val="-3"/>
          <w:sz w:val="21"/>
        </w:rPr>
        <w:t>被保险人身故或</w:t>
      </w:r>
      <w:r>
        <w:rPr>
          <w:b/>
          <w:spacing w:val="-1"/>
          <w:sz w:val="21"/>
        </w:rPr>
        <w:t>永久完全残疾</w:t>
      </w:r>
      <w:r>
        <w:rPr>
          <w:sz w:val="21"/>
        </w:rPr>
        <w:t>；</w:t>
      </w:r>
    </w:p>
    <w:p>
      <w:pPr>
        <w:pStyle w:val="ListParagraph"/>
        <w:numPr>
          <w:ilvl w:val="0"/>
          <w:numId w:val="3"/>
        </w:numPr>
        <w:tabs>
          <w:tab w:pos="893" w:val="left" w:leader="none"/>
          <w:tab w:pos="894" w:val="left" w:leader="none"/>
        </w:tabs>
        <w:spacing w:line="240" w:lineRule="auto" w:before="21" w:after="0"/>
        <w:ind w:left="893" w:right="0" w:hanging="360"/>
        <w:jc w:val="left"/>
        <w:rPr>
          <w:sz w:val="21"/>
        </w:rPr>
      </w:pPr>
      <w:r>
        <w:rPr>
          <w:spacing w:val="-3"/>
          <w:sz w:val="21"/>
        </w:rPr>
        <w:t>被保险人被确诊患有附加合同约定的</w:t>
      </w:r>
      <w:r>
        <w:rPr>
          <w:b/>
          <w:sz w:val="21"/>
        </w:rPr>
        <w:t>重大疾病</w:t>
      </w:r>
      <w:r>
        <w:rPr>
          <w:sz w:val="21"/>
        </w:rPr>
        <w:t>；</w:t>
      </w:r>
    </w:p>
    <w:p>
      <w:pPr>
        <w:pStyle w:val="ListParagraph"/>
        <w:numPr>
          <w:ilvl w:val="0"/>
          <w:numId w:val="3"/>
        </w:numPr>
        <w:tabs>
          <w:tab w:pos="893" w:val="left" w:leader="none"/>
          <w:tab w:pos="894" w:val="left" w:leader="none"/>
        </w:tabs>
        <w:spacing w:line="240" w:lineRule="auto" w:before="21" w:after="0"/>
        <w:ind w:left="893" w:right="0" w:hanging="360"/>
        <w:jc w:val="left"/>
        <w:rPr>
          <w:sz w:val="21"/>
        </w:rPr>
      </w:pPr>
      <w:r>
        <w:rPr>
          <w:spacing w:val="-3"/>
          <w:sz w:val="21"/>
        </w:rPr>
        <w:t>附加合同的效力依据附加合同的有关规定中止，未在中止期间内恢复效力的；</w:t>
      </w:r>
    </w:p>
    <w:p>
      <w:pPr>
        <w:pStyle w:val="ListParagraph"/>
        <w:numPr>
          <w:ilvl w:val="0"/>
          <w:numId w:val="3"/>
        </w:numPr>
        <w:tabs>
          <w:tab w:pos="893" w:val="left" w:leader="none"/>
          <w:tab w:pos="894" w:val="left" w:leader="none"/>
        </w:tabs>
        <w:spacing w:line="240" w:lineRule="auto" w:before="21" w:after="0"/>
        <w:ind w:left="893" w:right="0" w:hanging="360"/>
        <w:jc w:val="left"/>
        <w:rPr>
          <w:sz w:val="21"/>
        </w:rPr>
      </w:pPr>
      <w:r>
        <w:rPr>
          <w:spacing w:val="-3"/>
          <w:sz w:val="21"/>
        </w:rPr>
        <w:t>附加合同其他条款约定的附加合同或保险责任终止的情形。</w:t>
      </w:r>
    </w:p>
    <w:p>
      <w:pPr>
        <w:pStyle w:val="Heading2"/>
        <w:numPr>
          <w:ilvl w:val="1"/>
          <w:numId w:val="2"/>
        </w:numPr>
        <w:tabs>
          <w:tab w:pos="594" w:val="left" w:leader="none"/>
        </w:tabs>
        <w:spacing w:line="240" w:lineRule="auto" w:before="62" w:after="0"/>
        <w:ind w:left="593" w:right="0" w:hanging="481"/>
        <w:jc w:val="left"/>
      </w:pPr>
      <w:bookmarkStart w:name="_TOC_250024" w:id="6"/>
      <w:bookmarkEnd w:id="6"/>
      <w:r>
        <w:rPr>
          <w:w w:val="95"/>
        </w:rPr>
        <w:t>犹豫期</w:t>
      </w:r>
    </w:p>
    <w:p>
      <w:pPr>
        <w:pStyle w:val="BodyText"/>
        <w:spacing w:before="16"/>
        <w:ind w:left="533"/>
      </w:pPr>
      <w:r>
        <w:rPr/>
        <w:t>附加合同的犹豫期与主险合同的相关规定一致。</w:t>
      </w:r>
    </w:p>
    <w:p>
      <w:pPr>
        <w:pStyle w:val="Heading2"/>
        <w:numPr>
          <w:ilvl w:val="1"/>
          <w:numId w:val="2"/>
        </w:numPr>
        <w:tabs>
          <w:tab w:pos="594" w:val="left" w:leader="none"/>
        </w:tabs>
        <w:spacing w:line="240" w:lineRule="auto" w:before="77" w:after="0"/>
        <w:ind w:left="593" w:right="0" w:hanging="481"/>
        <w:jc w:val="left"/>
      </w:pPr>
      <w:bookmarkStart w:name="_TOC_250023" w:id="7"/>
      <w:bookmarkEnd w:id="7"/>
      <w:r>
        <w:rPr>
          <w:w w:val="95"/>
        </w:rPr>
        <w:t>明确说明与如实告知</w:t>
      </w:r>
    </w:p>
    <w:p>
      <w:pPr>
        <w:pStyle w:val="BodyText"/>
        <w:spacing w:line="273" w:lineRule="auto" w:before="16"/>
        <w:ind w:right="206" w:firstLine="420"/>
        <w:jc w:val="both"/>
      </w:pPr>
      <w:r>
        <w:rPr>
          <w:spacing w:val="-6"/>
        </w:rPr>
        <w:t>在订立附加合同时，我们应向您说明附加合同的内容。对保险条款中免除我们责任的条款，我们在订立合同时应当在投保单、保险单或者其他保险凭证上作出足以引起您注意的提示，并对该条款的内容以书</w:t>
      </w:r>
      <w:r>
        <w:rPr>
          <w:spacing w:val="-4"/>
        </w:rPr>
        <w:t>面或者口头形式向您作出明确说明，未作提示或者明确说明的，该条款不产生效力。</w:t>
      </w:r>
    </w:p>
    <w:p>
      <w:pPr>
        <w:pStyle w:val="BodyText"/>
        <w:spacing w:line="273" w:lineRule="auto" w:before="8"/>
        <w:ind w:right="205" w:firstLine="420"/>
        <w:jc w:val="both"/>
      </w:pPr>
      <w:r>
        <w:rPr>
          <w:spacing w:val="-5"/>
        </w:rPr>
        <w:t>我们可以口头或书面询问您和被保险人的有关情况，您有义务如实告知。您故意或因重大过失未履行</w:t>
      </w:r>
      <w:r>
        <w:rPr>
          <w:spacing w:val="-7"/>
        </w:rPr>
        <w:t>如实告知义务，足以影响我们决定是否同意承保或者提高保险费率的，我们有权解除附加合同。您故意不</w:t>
      </w:r>
      <w:r>
        <w:rPr>
          <w:spacing w:val="-6"/>
        </w:rPr>
        <w:t>履行如实告知义务的，即使附加合同解除前发生</w:t>
      </w:r>
      <w:r>
        <w:rPr>
          <w:b/>
        </w:rPr>
        <w:t>保险事故</w:t>
      </w:r>
      <w:r>
        <w:rPr>
          <w:spacing w:val="-4"/>
        </w:rPr>
        <w:t>，我们也不承担给付</w:t>
      </w:r>
      <w:r>
        <w:rPr>
          <w:b/>
        </w:rPr>
        <w:t>保险金</w:t>
      </w:r>
      <w:r>
        <w:rPr>
          <w:spacing w:val="-5"/>
        </w:rPr>
        <w:t>的责任，并不退还保</w:t>
      </w:r>
      <w:r>
        <w:rPr>
          <w:spacing w:val="-7"/>
        </w:rPr>
        <w:t>险费。您因重大过失未履行如实告知义务，对保险事故的发生有严重影响的，我们对附加合同解除前发生</w:t>
      </w:r>
      <w:r>
        <w:rPr>
          <w:spacing w:val="-5"/>
        </w:rPr>
        <w:t>的保险事故不承担给付保险金的责任，但将退还保险费。</w:t>
      </w:r>
    </w:p>
    <w:p>
      <w:pPr>
        <w:pStyle w:val="BodyText"/>
        <w:spacing w:before="7"/>
        <w:ind w:left="533"/>
      </w:pPr>
      <w:r>
        <w:rPr/>
        <w:t>前项规定的合同解除权，自我们知道有解除事由之日起，超过 </w:t>
      </w:r>
      <w:r>
        <w:rPr>
          <w:rFonts w:ascii="Times New Roman" w:eastAsia="Times New Roman"/>
        </w:rPr>
        <w:t>30  </w:t>
      </w:r>
      <w:r>
        <w:rPr/>
        <w:t>日不行使而消灭。自附加合同成立</w:t>
      </w:r>
    </w:p>
    <w:p>
      <w:pPr>
        <w:pStyle w:val="BodyText"/>
      </w:pPr>
      <w:r>
        <w:rPr/>
        <w:t>之日起超过 </w:t>
      </w:r>
      <w:r>
        <w:rPr>
          <w:rFonts w:ascii="Times New Roman" w:eastAsia="Times New Roman"/>
        </w:rPr>
        <w:t>2 </w:t>
      </w:r>
      <w:r>
        <w:rPr/>
        <w:t>年的，我们不得解除附加合同；发生保险事故的，我们承担给付保险金的责任。</w:t>
      </w:r>
    </w:p>
    <w:p>
      <w:pPr>
        <w:pStyle w:val="BodyText"/>
        <w:spacing w:line="273" w:lineRule="auto"/>
        <w:ind w:right="110" w:firstLine="420"/>
      </w:pPr>
      <w:r>
        <w:rPr/>
        <w:t>我们在附加合同订立时已经知道您未如实告知的情况的，我们不得解除附加合同；发生保险事故的， 我们承担给付保险金的责任。</w:t>
      </w:r>
    </w:p>
    <w:p>
      <w:pPr>
        <w:pStyle w:val="Heading1"/>
        <w:numPr>
          <w:ilvl w:val="0"/>
          <w:numId w:val="2"/>
        </w:numPr>
        <w:tabs>
          <w:tab w:pos="593" w:val="left" w:leader="none"/>
          <w:tab w:pos="594" w:val="left" w:leader="none"/>
        </w:tabs>
        <w:spacing w:line="240" w:lineRule="auto" w:before="59" w:after="0"/>
        <w:ind w:left="593" w:right="0" w:hanging="481"/>
        <w:jc w:val="left"/>
        <w:rPr>
          <w:rFonts w:ascii="Times New Roman" w:eastAsia="Times New Roman"/>
        </w:rPr>
      </w:pPr>
      <w:bookmarkStart w:name="_TOC_250022" w:id="8"/>
      <w:bookmarkEnd w:id="8"/>
      <w:r>
        <w:rPr>
          <w:w w:val="95"/>
        </w:rPr>
        <w:t>附加合同项下的保障和利益</w:t>
      </w:r>
    </w:p>
    <w:p>
      <w:pPr>
        <w:pStyle w:val="Heading2"/>
        <w:numPr>
          <w:ilvl w:val="1"/>
          <w:numId w:val="2"/>
        </w:numPr>
        <w:tabs>
          <w:tab w:pos="594" w:val="left" w:leader="none"/>
        </w:tabs>
        <w:spacing w:line="240" w:lineRule="auto" w:before="126" w:after="0"/>
        <w:ind w:left="593" w:right="0" w:hanging="481"/>
        <w:jc w:val="left"/>
      </w:pPr>
      <w:bookmarkStart w:name="_TOC_250021" w:id="9"/>
      <w:bookmarkEnd w:id="9"/>
      <w:r>
        <w:rPr>
          <w:w w:val="95"/>
        </w:rPr>
        <w:t>基本保险金额</w:t>
      </w:r>
    </w:p>
    <w:p>
      <w:pPr>
        <w:pStyle w:val="BodyText"/>
        <w:spacing w:before="16"/>
        <w:ind w:left="533"/>
      </w:pPr>
      <w:r>
        <w:rPr/>
        <w:t>附加合同和主险合同所称的基本保险金额，不是两者各自拥有的独立的基本保险金额，而是两者共用</w:t>
      </w:r>
    </w:p>
    <w:p>
      <w:pPr>
        <w:spacing w:after="0"/>
        <w:sectPr>
          <w:pgSz w:w="11910" w:h="16840"/>
          <w:pgMar w:header="228" w:footer="888" w:top="1200" w:bottom="1100" w:left="1020" w:right="920"/>
        </w:sectPr>
      </w:pPr>
    </w:p>
    <w:p>
      <w:pPr>
        <w:pStyle w:val="BodyText"/>
        <w:spacing w:line="273" w:lineRule="auto" w:before="1"/>
        <w:ind w:right="208"/>
      </w:pPr>
      <w:r>
        <w:rPr/>
        <w:t>的基本保险金额，即如果我们根据主险合同相关规定按基本保险金额给付身故或永久完全残疾保险金后， </w:t>
      </w:r>
      <w:r>
        <w:rPr>
          <w:spacing w:val="-5"/>
        </w:rPr>
        <w:t>附加合同的基本保险金额也等额扣除，附加合同自动终止；如果我们根据附加合同相关规定按基本保险金</w:t>
      </w:r>
      <w:r>
        <w:rPr>
          <w:spacing w:val="-7"/>
        </w:rPr>
        <w:t>额给付保险金后，主险合同的基本保险金额也等额扣除，主险合同自动终止。附加合同的基本保险金额由</w:t>
      </w:r>
      <w:r>
        <w:rPr>
          <w:spacing w:val="-5"/>
        </w:rPr>
        <w:t>您与我们约定，并在保险单中载明。</w:t>
      </w:r>
    </w:p>
    <w:p>
      <w:pPr>
        <w:pStyle w:val="Heading2"/>
        <w:numPr>
          <w:ilvl w:val="1"/>
          <w:numId w:val="2"/>
        </w:numPr>
        <w:tabs>
          <w:tab w:pos="594" w:val="left" w:leader="none"/>
        </w:tabs>
        <w:spacing w:line="240" w:lineRule="auto" w:before="48" w:after="0"/>
        <w:ind w:left="593" w:right="0" w:hanging="481"/>
        <w:jc w:val="left"/>
      </w:pPr>
      <w:bookmarkStart w:name="_TOC_250020" w:id="10"/>
      <w:bookmarkEnd w:id="10"/>
      <w:r>
        <w:rPr>
          <w:w w:val="95"/>
        </w:rPr>
        <w:t>我们提供的保障</w:t>
      </w:r>
    </w:p>
    <w:p>
      <w:pPr>
        <w:pStyle w:val="BodyText"/>
        <w:spacing w:line="273" w:lineRule="auto" w:before="16"/>
        <w:ind w:right="306" w:firstLine="420"/>
        <w:jc w:val="both"/>
      </w:pPr>
      <w:r>
        <w:rPr>
          <w:spacing w:val="-6"/>
        </w:rPr>
        <w:t>在保险期间内，我们承担下列保险责任，在附加合同履行中发生合同效力中止情形的，则按照本附加</w:t>
      </w:r>
      <w:r>
        <w:rPr>
          <w:spacing w:val="-11"/>
        </w:rPr>
        <w:t>保险条款第 </w:t>
      </w:r>
      <w:r>
        <w:rPr>
          <w:rFonts w:ascii="Times New Roman" w:eastAsia="Times New Roman"/>
        </w:rPr>
        <w:t>3.3 </w:t>
      </w:r>
      <w:r>
        <w:rPr>
          <w:spacing w:val="-3"/>
        </w:rPr>
        <w:t>款的约定执行：</w:t>
      </w:r>
    </w:p>
    <w:p>
      <w:pPr>
        <w:pStyle w:val="BodyText"/>
        <w:spacing w:line="256" w:lineRule="auto" w:before="0"/>
        <w:ind w:right="308" w:firstLine="420"/>
        <w:jc w:val="both"/>
        <w:rPr>
          <w:b/>
        </w:rPr>
      </w:pPr>
      <w:r>
        <w:rPr>
          <w:spacing w:val="-7"/>
        </w:rPr>
        <w:t>一、若被保险人因</w:t>
      </w:r>
      <w:r>
        <w:rPr>
          <w:b/>
          <w:spacing w:val="-1"/>
        </w:rPr>
        <w:t>意外伤害事故</w:t>
      </w:r>
      <w:r>
        <w:rPr>
          <w:spacing w:val="-8"/>
        </w:rPr>
        <w:t>，或在合同生效日次日零时起</w:t>
      </w:r>
      <w:r>
        <w:rPr>
          <w:rFonts w:ascii="Times New Roman" w:eastAsia="Times New Roman"/>
          <w:spacing w:val="-4"/>
        </w:rPr>
        <w:t>(</w:t>
      </w:r>
      <w:r>
        <w:rPr>
          <w:spacing w:val="-5"/>
        </w:rPr>
        <w:t>在附加合同履行中有复效情形的，自每</w:t>
      </w:r>
      <w:r>
        <w:rPr>
          <w:spacing w:val="-4"/>
        </w:rPr>
        <w:t>一次复效日次日零时起</w:t>
      </w:r>
      <w:r>
        <w:rPr>
          <w:spacing w:val="-10"/>
        </w:rPr>
        <w:t>）</w:t>
      </w:r>
      <w:r>
        <w:rPr>
          <w:spacing w:val="-21"/>
        </w:rPr>
        <w:t>满 </w:t>
      </w:r>
      <w:r>
        <w:rPr>
          <w:rFonts w:ascii="Times New Roman" w:eastAsia="Times New Roman"/>
        </w:rPr>
        <w:t>90 </w:t>
      </w:r>
      <w:r>
        <w:rPr>
          <w:spacing w:val="-5"/>
        </w:rPr>
        <w:t>日后</w:t>
      </w:r>
      <w:r>
        <w:rPr/>
        <w:t>（</w:t>
      </w:r>
      <w:r>
        <w:rPr>
          <w:spacing w:val="-13"/>
        </w:rPr>
        <w:t>不含第 </w:t>
      </w:r>
      <w:r>
        <w:rPr>
          <w:rFonts w:ascii="Times New Roman" w:eastAsia="Times New Roman"/>
        </w:rPr>
        <w:t>90 </w:t>
      </w:r>
      <w:r>
        <w:rPr>
          <w:spacing w:val="-3"/>
        </w:rPr>
        <w:t>日</w:t>
      </w:r>
      <w:r>
        <w:rPr>
          <w:spacing w:val="-8"/>
        </w:rPr>
        <w:t>）</w:t>
      </w:r>
      <w:r>
        <w:rPr>
          <w:spacing w:val="-4"/>
        </w:rPr>
        <w:t>因意外伤害事故以外的原因，</w:t>
      </w:r>
      <w:r>
        <w:rPr>
          <w:b/>
        </w:rPr>
        <w:t>初次罹患</w:t>
      </w:r>
      <w:r>
        <w:rPr>
          <w:spacing w:val="-3"/>
        </w:rPr>
        <w:t>并被</w:t>
      </w:r>
      <w:r>
        <w:rPr>
          <w:b/>
        </w:rPr>
        <w:t>我们指定</w:t>
      </w:r>
    </w:p>
    <w:p>
      <w:pPr>
        <w:pStyle w:val="BodyText"/>
        <w:spacing w:line="264" w:lineRule="auto" w:before="16"/>
        <w:ind w:right="203"/>
      </w:pPr>
      <w:r>
        <w:rPr>
          <w:b/>
        </w:rPr>
        <w:t>或认可的医院</w:t>
      </w:r>
      <w:r>
        <w:rPr>
          <w:spacing w:val="-3"/>
        </w:rPr>
        <w:t>的</w:t>
      </w:r>
      <w:r>
        <w:rPr>
          <w:b/>
          <w:spacing w:val="-1"/>
        </w:rPr>
        <w:t>专科医生</w:t>
      </w:r>
      <w:r>
        <w:rPr>
          <w:spacing w:val="-3"/>
        </w:rPr>
        <w:t>确诊为本附加保险条款第 </w:t>
      </w:r>
      <w:r>
        <w:rPr>
          <w:rFonts w:ascii="Times New Roman" w:hAnsi="Times New Roman" w:eastAsia="Times New Roman"/>
        </w:rPr>
        <w:t>6 </w:t>
      </w:r>
      <w:r>
        <w:rPr>
          <w:spacing w:val="-3"/>
        </w:rPr>
        <w:t>条中“重大疾病”术语项下的一项或多项重大疾病， </w:t>
      </w:r>
      <w:r>
        <w:rPr>
          <w:spacing w:val="-6"/>
        </w:rPr>
        <w:t>我们按附加合同的基本保险金额给付重大疾病保险金，附加合同终止，同时，主险合同的基本保险金额也</w:t>
      </w:r>
      <w:r>
        <w:rPr>
          <w:spacing w:val="-4"/>
        </w:rPr>
        <w:t>等额扣除，主险合同自动终止。</w:t>
      </w:r>
    </w:p>
    <w:p>
      <w:pPr>
        <w:spacing w:line="228" w:lineRule="auto" w:before="4"/>
        <w:ind w:left="112" w:right="311" w:firstLine="480"/>
        <w:jc w:val="both"/>
        <w:rPr>
          <w:rFonts w:ascii="黑体" w:hAnsi="黑体" w:eastAsia="黑体" w:hint="eastAsia"/>
          <w:sz w:val="24"/>
        </w:rPr>
      </w:pPr>
      <w:r>
        <w:rPr>
          <w:rFonts w:ascii="黑体" w:hAnsi="黑体" w:eastAsia="黑体" w:hint="eastAsia"/>
          <w:spacing w:val="-5"/>
          <w:sz w:val="24"/>
        </w:rPr>
        <w:t>二、若被保险人在合同</w:t>
      </w:r>
      <w:r>
        <w:rPr>
          <w:rFonts w:ascii="黑体" w:hAnsi="黑体" w:eastAsia="黑体" w:hint="eastAsia"/>
          <w:sz w:val="24"/>
        </w:rPr>
        <w:t>Th效日次日零时起</w:t>
      </w:r>
      <w:r>
        <w:rPr>
          <w:rFonts w:ascii="Times New Roman" w:hAnsi="Times New Roman" w:eastAsia="Times New Roman"/>
          <w:sz w:val="24"/>
        </w:rPr>
        <w:t>(</w:t>
      </w:r>
      <w:r>
        <w:rPr>
          <w:rFonts w:ascii="黑体" w:hAnsi="黑体" w:eastAsia="黑体" w:hint="eastAsia"/>
          <w:spacing w:val="-2"/>
          <w:sz w:val="24"/>
        </w:rPr>
        <w:t>在附加合同履行中有复效情形的，自每一次复效日次日零时起）</w:t>
      </w:r>
      <w:r>
        <w:rPr>
          <w:rFonts w:ascii="Times New Roman" w:hAnsi="Times New Roman" w:eastAsia="Times New Roman"/>
          <w:spacing w:val="-2"/>
          <w:sz w:val="24"/>
        </w:rPr>
        <w:t>90 </w:t>
      </w:r>
      <w:r>
        <w:rPr>
          <w:rFonts w:ascii="黑体" w:hAnsi="黑体" w:eastAsia="黑体" w:hint="eastAsia"/>
          <w:sz w:val="24"/>
        </w:rPr>
        <w:t>日内（</w:t>
      </w:r>
      <w:r>
        <w:rPr>
          <w:rFonts w:ascii="黑体" w:hAnsi="黑体" w:eastAsia="黑体" w:hint="eastAsia"/>
          <w:spacing w:val="-9"/>
          <w:sz w:val="24"/>
        </w:rPr>
        <w:t>含第 </w:t>
      </w:r>
      <w:r>
        <w:rPr>
          <w:rFonts w:ascii="Times New Roman" w:hAnsi="Times New Roman" w:eastAsia="Times New Roman"/>
          <w:sz w:val="24"/>
        </w:rPr>
        <w:t>90 </w:t>
      </w:r>
      <w:r>
        <w:rPr>
          <w:rFonts w:ascii="黑体" w:hAnsi="黑体" w:eastAsia="黑体" w:hint="eastAsia"/>
          <w:sz w:val="24"/>
        </w:rPr>
        <w:t>日）</w:t>
      </w:r>
      <w:r>
        <w:rPr>
          <w:rFonts w:ascii="黑体" w:hAnsi="黑体" w:eastAsia="黑体" w:hint="eastAsia"/>
          <w:spacing w:val="-2"/>
          <w:sz w:val="24"/>
        </w:rPr>
        <w:t>因意外伤害事故以外的原因，经诊断患有足以导致</w:t>
      </w:r>
      <w:r>
        <w:rPr>
          <w:rFonts w:ascii="黑体" w:hAnsi="黑体" w:eastAsia="黑体" w:hint="eastAsia"/>
          <w:spacing w:val="-4"/>
          <w:sz w:val="24"/>
        </w:rPr>
        <w:t>附加合同约定的重大疾病的疾病，或经诊断患有本附加保险条款第 </w:t>
      </w:r>
      <w:r>
        <w:rPr>
          <w:rFonts w:ascii="Times New Roman" w:hAnsi="Times New Roman" w:eastAsia="Times New Roman"/>
          <w:sz w:val="24"/>
        </w:rPr>
        <w:t>6 </w:t>
      </w:r>
      <w:r>
        <w:rPr>
          <w:rFonts w:ascii="黑体" w:hAnsi="黑体" w:eastAsia="黑体" w:hint="eastAsia"/>
          <w:sz w:val="24"/>
        </w:rPr>
        <w:t>条中“重大疾病”术语项下的一项或多项重大疾病，附加合同终止，我们向您返还附加合同终止时您已交付的附加合同保险费与附加合同</w:t>
      </w:r>
      <w:r>
        <w:rPr>
          <w:rFonts w:ascii="黑体" w:hAnsi="黑体" w:eastAsia="黑体" w:hint="eastAsia"/>
          <w:b/>
          <w:sz w:val="24"/>
        </w:rPr>
        <w:t>现金价值</w:t>
      </w:r>
      <w:r>
        <w:rPr>
          <w:rFonts w:ascii="黑体" w:hAnsi="黑体" w:eastAsia="黑体" w:hint="eastAsia"/>
          <w:spacing w:val="-1"/>
          <w:sz w:val="24"/>
        </w:rPr>
        <w:t>两者中金额较大者。</w:t>
      </w:r>
    </w:p>
    <w:p>
      <w:pPr>
        <w:pStyle w:val="Heading2"/>
        <w:numPr>
          <w:ilvl w:val="1"/>
          <w:numId w:val="2"/>
        </w:numPr>
        <w:tabs>
          <w:tab w:pos="594" w:val="left" w:leader="none"/>
        </w:tabs>
        <w:spacing w:line="299" w:lineRule="exact" w:before="66" w:after="0"/>
        <w:ind w:left="593" w:right="0" w:hanging="481"/>
        <w:jc w:val="left"/>
      </w:pPr>
      <w:bookmarkStart w:name="_TOC_250019" w:id="11"/>
      <w:bookmarkEnd w:id="11"/>
      <w:r>
        <w:rPr>
          <w:w w:val="95"/>
        </w:rPr>
        <w:t>我们不承担的责任</w:t>
      </w:r>
    </w:p>
    <w:p>
      <w:pPr>
        <w:spacing w:line="261" w:lineRule="auto" w:before="0"/>
        <w:ind w:left="593" w:right="2090" w:hanging="60"/>
        <w:jc w:val="left"/>
        <w:rPr>
          <w:rFonts w:ascii="黑体" w:eastAsia="黑体" w:hint="eastAsia"/>
          <w:sz w:val="24"/>
        </w:rPr>
      </w:pPr>
      <w:r>
        <w:rPr>
          <w:rFonts w:ascii="黑体" w:eastAsia="黑体" w:hint="eastAsia"/>
          <w:sz w:val="24"/>
        </w:rPr>
        <w:t>因下列任一情形导致被保险人身患重大疾病的，我们不承担保险责任： 一、投保人对被保险人的故意杀害、故意伤害或故意造成疾病；</w:t>
      </w:r>
    </w:p>
    <w:p>
      <w:pPr>
        <w:spacing w:line="312" w:lineRule="exact" w:before="13"/>
        <w:ind w:left="593" w:right="2270" w:firstLine="0"/>
        <w:jc w:val="left"/>
        <w:rPr>
          <w:rFonts w:ascii="黑体" w:eastAsia="黑体" w:hint="eastAsia"/>
          <w:sz w:val="24"/>
        </w:rPr>
      </w:pPr>
      <w:r>
        <w:rPr>
          <w:rFonts w:ascii="黑体" w:eastAsia="黑体" w:hint="eastAsia"/>
          <w:sz w:val="24"/>
        </w:rPr>
        <w:t>二、被保险人故意自伤、故意犯罪、抗拒依法采取的刑事强制措施； 三、被保险人主动吸食或注射</w:t>
      </w:r>
      <w:r>
        <w:rPr>
          <w:rFonts w:ascii="黑体" w:eastAsia="黑体" w:hint="eastAsia"/>
          <w:b/>
          <w:sz w:val="24"/>
        </w:rPr>
        <w:t>毒品</w:t>
      </w:r>
      <w:r>
        <w:rPr>
          <w:rFonts w:ascii="黑体" w:eastAsia="黑体" w:hint="eastAsia"/>
          <w:sz w:val="24"/>
        </w:rPr>
        <w:t>；</w:t>
      </w:r>
    </w:p>
    <w:p>
      <w:pPr>
        <w:spacing w:line="312" w:lineRule="exact" w:before="0"/>
        <w:ind w:left="593" w:right="800" w:firstLine="0"/>
        <w:jc w:val="left"/>
        <w:rPr>
          <w:rFonts w:ascii="黑体" w:eastAsia="黑体" w:hint="eastAsia"/>
          <w:sz w:val="24"/>
        </w:rPr>
      </w:pPr>
      <w:r>
        <w:rPr>
          <w:rFonts w:ascii="黑体" w:eastAsia="黑体" w:hint="eastAsia"/>
          <w:sz w:val="24"/>
        </w:rPr>
        <w:t>四、被保险人</w:t>
      </w:r>
      <w:r>
        <w:rPr>
          <w:rFonts w:ascii="黑体" w:eastAsia="黑体" w:hint="eastAsia"/>
          <w:b/>
          <w:sz w:val="24"/>
        </w:rPr>
        <w:t>酒后驾驶</w:t>
      </w:r>
      <w:r>
        <w:rPr>
          <w:rFonts w:ascii="黑体" w:eastAsia="黑体" w:hint="eastAsia"/>
          <w:sz w:val="24"/>
        </w:rPr>
        <w:t>、</w:t>
      </w:r>
      <w:r>
        <w:rPr>
          <w:rFonts w:ascii="黑体" w:eastAsia="黑体" w:hint="eastAsia"/>
          <w:b/>
          <w:sz w:val="24"/>
        </w:rPr>
        <w:t>无合法有效驾驶证驾驶</w:t>
      </w:r>
      <w:r>
        <w:rPr>
          <w:rFonts w:ascii="黑体" w:eastAsia="黑体" w:hint="eastAsia"/>
          <w:sz w:val="24"/>
        </w:rPr>
        <w:t>，或</w:t>
      </w:r>
      <w:r>
        <w:rPr>
          <w:rFonts w:ascii="黑体" w:eastAsia="黑体" w:hint="eastAsia"/>
          <w:b/>
          <w:sz w:val="24"/>
        </w:rPr>
        <w:t>驾驶无有效行驶证的机动车</w:t>
      </w:r>
      <w:r>
        <w:rPr>
          <w:rFonts w:ascii="黑体" w:eastAsia="黑体" w:hint="eastAsia"/>
          <w:sz w:val="24"/>
        </w:rPr>
        <w:t>； </w:t>
      </w:r>
      <w:r>
        <w:rPr>
          <w:rFonts w:ascii="黑体" w:eastAsia="黑体" w:hint="eastAsia"/>
          <w:spacing w:val="-1"/>
          <w:sz w:val="24"/>
        </w:rPr>
        <w:t>五、被保险人</w:t>
      </w:r>
      <w:r>
        <w:rPr>
          <w:rFonts w:ascii="黑体" w:eastAsia="黑体" w:hint="eastAsia"/>
          <w:b/>
          <w:w w:val="99"/>
          <w:sz w:val="24"/>
        </w:rPr>
        <w:t>感染艾滋病病毒</w:t>
      </w:r>
      <w:r>
        <w:rPr>
          <w:rFonts w:ascii="Times New Roman" w:eastAsia="Times New Roman"/>
          <w:w w:val="99"/>
          <w:sz w:val="24"/>
        </w:rPr>
        <w:t>(H</w:t>
      </w:r>
      <w:r>
        <w:rPr>
          <w:rFonts w:ascii="Times New Roman" w:eastAsia="Times New Roman"/>
          <w:spacing w:val="-6"/>
          <w:w w:val="99"/>
          <w:sz w:val="24"/>
        </w:rPr>
        <w:t>I</w:t>
      </w:r>
      <w:r>
        <w:rPr>
          <w:rFonts w:ascii="Times New Roman" w:eastAsia="Times New Roman"/>
          <w:w w:val="99"/>
          <w:sz w:val="24"/>
        </w:rPr>
        <w:t>V</w:t>
      </w:r>
      <w:r>
        <w:rPr>
          <w:rFonts w:ascii="Times New Roman" w:eastAsia="Times New Roman"/>
          <w:sz w:val="24"/>
        </w:rPr>
        <w:t> </w:t>
      </w:r>
      <w:r>
        <w:rPr>
          <w:rFonts w:ascii="黑体" w:eastAsia="黑体" w:hint="eastAsia"/>
          <w:sz w:val="24"/>
        </w:rPr>
        <w:t>呈阳性</w:t>
      </w:r>
      <w:r>
        <w:rPr>
          <w:rFonts w:ascii="Times New Roman" w:eastAsia="Times New Roman"/>
          <w:spacing w:val="-1"/>
          <w:sz w:val="24"/>
        </w:rPr>
        <w:t>)</w:t>
      </w:r>
      <w:r>
        <w:rPr>
          <w:rFonts w:ascii="黑体" w:eastAsia="黑体" w:hint="eastAsia"/>
          <w:spacing w:val="1"/>
          <w:sz w:val="24"/>
        </w:rPr>
        <w:t>或</w:t>
      </w:r>
      <w:r>
        <w:rPr>
          <w:rFonts w:ascii="黑体" w:eastAsia="黑体" w:hint="eastAsia"/>
          <w:b/>
          <w:w w:val="99"/>
          <w:sz w:val="24"/>
        </w:rPr>
        <w:t>患艾滋病</w:t>
      </w:r>
      <w:r>
        <w:rPr>
          <w:rFonts w:ascii="黑体" w:eastAsia="黑体" w:hint="eastAsia"/>
          <w:sz w:val="24"/>
        </w:rPr>
        <w:t>（</w:t>
      </w:r>
      <w:r>
        <w:rPr>
          <w:rFonts w:ascii="Times New Roman" w:eastAsia="Times New Roman"/>
          <w:w w:val="99"/>
          <w:sz w:val="24"/>
        </w:rPr>
        <w:t>A</w:t>
      </w:r>
      <w:r>
        <w:rPr>
          <w:rFonts w:ascii="Times New Roman" w:eastAsia="Times New Roman"/>
          <w:spacing w:val="-6"/>
          <w:w w:val="99"/>
          <w:sz w:val="24"/>
        </w:rPr>
        <w:t>I</w:t>
      </w:r>
      <w:r>
        <w:rPr>
          <w:rFonts w:ascii="Times New Roman" w:eastAsia="Times New Roman"/>
          <w:w w:val="99"/>
          <w:sz w:val="24"/>
        </w:rPr>
        <w:t>DS</w:t>
      </w:r>
      <w:r>
        <w:rPr>
          <w:rFonts w:ascii="黑体" w:eastAsia="黑体" w:hint="eastAsia"/>
          <w:spacing w:val="-120"/>
          <w:sz w:val="24"/>
        </w:rPr>
        <w:t>）</w:t>
      </w:r>
      <w:r>
        <w:rPr>
          <w:rFonts w:ascii="黑体" w:eastAsia="黑体" w:hint="eastAsia"/>
          <w:sz w:val="24"/>
        </w:rPr>
        <w:t>；</w:t>
      </w:r>
    </w:p>
    <w:p>
      <w:pPr>
        <w:spacing w:line="312" w:lineRule="exact" w:before="0"/>
        <w:ind w:left="593" w:right="5151" w:firstLine="0"/>
        <w:jc w:val="left"/>
        <w:rPr>
          <w:rFonts w:ascii="黑体" w:eastAsia="黑体" w:hint="eastAsia"/>
          <w:sz w:val="24"/>
        </w:rPr>
      </w:pPr>
      <w:r>
        <w:rPr>
          <w:rFonts w:ascii="黑体" w:eastAsia="黑体" w:hint="eastAsia"/>
          <w:sz w:val="24"/>
        </w:rPr>
        <w:t>六、战争、军事冲突、暴乱或武装叛乱； 七、核爆炸、核辐射或核污染；</w:t>
      </w:r>
    </w:p>
    <w:p>
      <w:pPr>
        <w:spacing w:line="283" w:lineRule="exact" w:before="0"/>
        <w:ind w:left="593" w:right="0" w:firstLine="0"/>
        <w:jc w:val="left"/>
        <w:rPr>
          <w:rFonts w:ascii="黑体" w:eastAsia="黑体" w:hint="eastAsia"/>
          <w:sz w:val="24"/>
        </w:rPr>
      </w:pPr>
      <w:r>
        <w:rPr>
          <w:rFonts w:ascii="黑体" w:eastAsia="黑体" w:hint="eastAsia"/>
          <w:sz w:val="24"/>
        </w:rPr>
        <w:t>八、</w:t>
      </w:r>
      <w:r>
        <w:rPr>
          <w:rFonts w:ascii="黑体" w:eastAsia="黑体" w:hint="eastAsia"/>
          <w:b/>
          <w:sz w:val="24"/>
        </w:rPr>
        <w:t>遗传性疾病</w:t>
      </w:r>
      <w:r>
        <w:rPr>
          <w:rFonts w:ascii="黑体" w:eastAsia="黑体" w:hint="eastAsia"/>
          <w:sz w:val="24"/>
        </w:rPr>
        <w:t>，</w:t>
      </w:r>
      <w:r>
        <w:rPr>
          <w:rFonts w:ascii="黑体" w:eastAsia="黑体" w:hint="eastAsia"/>
          <w:b/>
          <w:sz w:val="24"/>
        </w:rPr>
        <w:t>先天性畸形</w:t>
      </w:r>
      <w:r>
        <w:rPr>
          <w:rFonts w:ascii="黑体" w:eastAsia="黑体" w:hint="eastAsia"/>
          <w:sz w:val="24"/>
        </w:rPr>
        <w:t>、</w:t>
      </w:r>
      <w:r>
        <w:rPr>
          <w:rFonts w:ascii="黑体" w:eastAsia="黑体" w:hint="eastAsia"/>
          <w:b/>
          <w:sz w:val="24"/>
        </w:rPr>
        <w:t>变形或染色体异常</w:t>
      </w:r>
      <w:r>
        <w:rPr>
          <w:rFonts w:ascii="黑体" w:eastAsia="黑体" w:hint="eastAsia"/>
          <w:sz w:val="24"/>
        </w:rPr>
        <w:t>。</w:t>
      </w:r>
    </w:p>
    <w:p>
      <w:pPr>
        <w:pStyle w:val="BodyText"/>
        <w:spacing w:line="273" w:lineRule="auto" w:before="25"/>
        <w:ind w:right="306" w:firstLine="420"/>
        <w:jc w:val="both"/>
      </w:pPr>
      <w:r>
        <w:rPr>
          <w:spacing w:val="-5"/>
        </w:rPr>
        <w:t>被保险人因上述任一情形导致身患重大疾病，附加合同终止。我们向您或其他权利人退还附加合同终</w:t>
      </w:r>
      <w:r>
        <w:rPr>
          <w:spacing w:val="-3"/>
        </w:rPr>
        <w:t>止时的现金价值。</w:t>
      </w:r>
    </w:p>
    <w:p>
      <w:pPr>
        <w:pStyle w:val="Heading1"/>
        <w:numPr>
          <w:ilvl w:val="0"/>
          <w:numId w:val="2"/>
        </w:numPr>
        <w:tabs>
          <w:tab w:pos="593" w:val="left" w:leader="none"/>
          <w:tab w:pos="594" w:val="left" w:leader="none"/>
        </w:tabs>
        <w:spacing w:line="240" w:lineRule="auto" w:before="58" w:after="0"/>
        <w:ind w:left="593" w:right="0" w:hanging="481"/>
        <w:jc w:val="left"/>
        <w:rPr>
          <w:rFonts w:ascii="黑体" w:eastAsia="黑体" w:hint="eastAsia"/>
        </w:rPr>
      </w:pPr>
      <w:bookmarkStart w:name="_TOC_250018" w:id="12"/>
      <w:bookmarkEnd w:id="12"/>
      <w:r>
        <w:rPr>
          <w:w w:val="95"/>
        </w:rPr>
        <w:t>您在附加合同项下的权利和义务</w:t>
      </w:r>
    </w:p>
    <w:p>
      <w:pPr>
        <w:pStyle w:val="Heading2"/>
        <w:numPr>
          <w:ilvl w:val="1"/>
          <w:numId w:val="2"/>
        </w:numPr>
        <w:tabs>
          <w:tab w:pos="594" w:val="left" w:leader="none"/>
        </w:tabs>
        <w:spacing w:line="240" w:lineRule="auto" w:before="143" w:after="0"/>
        <w:ind w:left="593" w:right="0" w:hanging="481"/>
        <w:jc w:val="left"/>
      </w:pPr>
      <w:bookmarkStart w:name="_TOC_250017" w:id="13"/>
      <w:bookmarkEnd w:id="13"/>
      <w:r>
        <w:rPr>
          <w:w w:val="95"/>
        </w:rPr>
        <w:t>保险费的交付</w:t>
      </w:r>
    </w:p>
    <w:p>
      <w:pPr>
        <w:pStyle w:val="BodyText"/>
        <w:spacing w:before="17"/>
        <w:ind w:left="533"/>
      </w:pPr>
      <w:r>
        <w:rPr/>
        <w:t>附加合同的保险费按约定的基本保险金额和保险费率确定。</w:t>
      </w:r>
    </w:p>
    <w:p>
      <w:pPr>
        <w:spacing w:line="273" w:lineRule="auto" w:before="36"/>
        <w:ind w:left="112" w:right="100" w:firstLine="420"/>
        <w:jc w:val="left"/>
        <w:rPr>
          <w:sz w:val="21"/>
        </w:rPr>
      </w:pPr>
      <w:r>
        <w:rPr>
          <w:spacing w:val="-5"/>
          <w:sz w:val="21"/>
        </w:rPr>
        <w:t>附加合同的交费方式和交费期间由您和我们约定，并在保险单中载明。</w:t>
      </w:r>
      <w:r>
        <w:rPr>
          <w:b/>
          <w:sz w:val="21"/>
        </w:rPr>
        <w:t>首期保险费</w:t>
      </w:r>
      <w:r>
        <w:rPr>
          <w:spacing w:val="-5"/>
          <w:sz w:val="21"/>
        </w:rPr>
        <w:t>在投保时交付，</w:t>
      </w:r>
      <w:r>
        <w:rPr>
          <w:b/>
          <w:sz w:val="21"/>
        </w:rPr>
        <w:t>续 期保险费</w:t>
      </w:r>
      <w:r>
        <w:rPr>
          <w:spacing w:val="-3"/>
          <w:sz w:val="21"/>
        </w:rPr>
        <w:t>应在交费期间内每年的</w:t>
      </w:r>
      <w:r>
        <w:rPr>
          <w:b/>
          <w:spacing w:val="-2"/>
          <w:sz w:val="21"/>
        </w:rPr>
        <w:t>合同生效日对应日</w:t>
      </w:r>
      <w:r>
        <w:rPr>
          <w:spacing w:val="-7"/>
          <w:sz w:val="21"/>
        </w:rPr>
        <w:t>交付。合同生效日对应日即为续期保险费的约定交付日。</w:t>
      </w:r>
    </w:p>
    <w:p>
      <w:pPr>
        <w:pStyle w:val="BodyText"/>
        <w:spacing w:line="273" w:lineRule="auto" w:before="7"/>
        <w:ind w:right="306" w:firstLine="420"/>
        <w:jc w:val="both"/>
      </w:pPr>
      <w:r>
        <w:rPr>
          <w:spacing w:val="-4"/>
        </w:rPr>
        <w:t>附加合同的保险费交付日期与主险合同保险费的交付日期相同，附加合同和主险合同的续期保险费应</w:t>
      </w:r>
      <w:r>
        <w:rPr>
          <w:spacing w:val="-3"/>
        </w:rPr>
        <w:t>同时交付。</w:t>
      </w:r>
    </w:p>
    <w:p>
      <w:pPr>
        <w:pStyle w:val="Heading2"/>
        <w:numPr>
          <w:ilvl w:val="1"/>
          <w:numId w:val="2"/>
        </w:numPr>
        <w:tabs>
          <w:tab w:pos="594" w:val="left" w:leader="none"/>
        </w:tabs>
        <w:spacing w:line="240" w:lineRule="auto" w:before="49" w:after="0"/>
        <w:ind w:left="593" w:right="0" w:hanging="481"/>
        <w:jc w:val="left"/>
      </w:pPr>
      <w:bookmarkStart w:name="_TOC_250016" w:id="14"/>
      <w:bookmarkEnd w:id="14"/>
      <w:r>
        <w:rPr>
          <w:w w:val="95"/>
        </w:rPr>
        <w:t>宽限期</w:t>
      </w:r>
    </w:p>
    <w:p>
      <w:pPr>
        <w:pStyle w:val="BodyText"/>
        <w:spacing w:line="264" w:lineRule="auto" w:before="17"/>
        <w:ind w:right="306" w:firstLine="420"/>
        <w:jc w:val="both"/>
      </w:pPr>
      <w:r>
        <w:rPr>
          <w:spacing w:val="-3"/>
        </w:rPr>
        <w:t>您未按附加合同约定日期交付续期保险费的，自该约定交付日次日零时起 </w:t>
      </w:r>
      <w:r>
        <w:rPr>
          <w:rFonts w:ascii="Times New Roman" w:eastAsia="Times New Roman"/>
        </w:rPr>
        <w:t>60 </w:t>
      </w:r>
      <w:r>
        <w:rPr>
          <w:spacing w:val="-3"/>
        </w:rPr>
        <w:t>日为宽限期。在宽限期</w:t>
      </w:r>
      <w:r>
        <w:rPr>
          <w:spacing w:val="-6"/>
        </w:rPr>
        <w:t>内您可以继续交付续期保险费，如果发生保险事故，我们仍按附加合同的约定承担保险责任，但在给付保</w:t>
      </w:r>
      <w:r>
        <w:rPr>
          <w:spacing w:val="-4"/>
        </w:rPr>
        <w:t>险金时将扣除您欠交的续期保险费。</w:t>
      </w:r>
    </w:p>
    <w:p>
      <w:pPr>
        <w:pStyle w:val="Heading2"/>
        <w:numPr>
          <w:ilvl w:val="1"/>
          <w:numId w:val="2"/>
        </w:numPr>
        <w:tabs>
          <w:tab w:pos="594" w:val="left" w:leader="none"/>
        </w:tabs>
        <w:spacing w:line="240" w:lineRule="auto" w:before="57" w:after="0"/>
        <w:ind w:left="593" w:right="0" w:hanging="481"/>
        <w:jc w:val="left"/>
      </w:pPr>
      <w:bookmarkStart w:name="_TOC_250015" w:id="15"/>
      <w:bookmarkEnd w:id="15"/>
      <w:r>
        <w:rPr>
          <w:w w:val="95"/>
        </w:rPr>
        <w:t>合同效力的中止和恢复</w:t>
      </w:r>
    </w:p>
    <w:p>
      <w:pPr>
        <w:spacing w:line="249" w:lineRule="auto" w:before="16"/>
        <w:ind w:left="112" w:right="306" w:firstLine="420"/>
        <w:jc w:val="both"/>
        <w:rPr>
          <w:sz w:val="21"/>
        </w:rPr>
      </w:pPr>
      <w:r>
        <w:rPr>
          <w:spacing w:val="-6"/>
          <w:sz w:val="21"/>
        </w:rPr>
        <w:t>如果您在宽限期届满时仍未交付续期保险费，则自宽限期届满日次日零时起，附加合同效力中止，效</w:t>
      </w:r>
      <w:r>
        <w:rPr>
          <w:spacing w:val="-7"/>
          <w:sz w:val="21"/>
        </w:rPr>
        <w:t>力中止期间最长为两年。</w:t>
      </w:r>
      <w:r>
        <w:rPr>
          <w:rFonts w:ascii="黑体" w:eastAsia="黑体" w:hint="eastAsia"/>
          <w:spacing w:val="-4"/>
          <w:sz w:val="24"/>
        </w:rPr>
        <w:t>无论附加合同效力是否恢复，对效力中止期间发</w:t>
      </w:r>
      <w:r>
        <w:rPr>
          <w:rFonts w:ascii="黑体" w:eastAsia="黑体" w:hint="eastAsia"/>
          <w:sz w:val="24"/>
        </w:rPr>
        <w:t>Th</w:t>
      </w:r>
      <w:r>
        <w:rPr>
          <w:rFonts w:ascii="黑体" w:eastAsia="黑体" w:hint="eastAsia"/>
          <w:spacing w:val="-7"/>
          <w:sz w:val="24"/>
        </w:rPr>
        <w:t>的保险事故，我们不</w:t>
      </w:r>
      <w:r>
        <w:rPr>
          <w:rFonts w:ascii="黑体" w:eastAsia="黑体" w:hint="eastAsia"/>
          <w:spacing w:val="-9"/>
          <w:sz w:val="24"/>
        </w:rPr>
        <w:t>承担保险责任。</w:t>
      </w:r>
      <w:r>
        <w:rPr>
          <w:spacing w:val="-5"/>
          <w:sz w:val="21"/>
        </w:rPr>
        <w:t>在中止期间内您可申请恢复附加合同效力，经我们审核同意后，自我们收到您补交所欠</w:t>
      </w:r>
      <w:r>
        <w:rPr>
          <w:spacing w:val="-4"/>
          <w:sz w:val="21"/>
        </w:rPr>
        <w:t>续期保险费及</w:t>
      </w:r>
      <w:r>
        <w:rPr>
          <w:b/>
          <w:sz w:val="21"/>
        </w:rPr>
        <w:t>利息</w:t>
      </w:r>
      <w:r>
        <w:rPr>
          <w:spacing w:val="-6"/>
          <w:sz w:val="21"/>
        </w:rPr>
        <w:t>之日起，附加合同效力恢复，我们对被保险人自合同效力恢复之日的次日零时起发生的</w:t>
      </w:r>
    </w:p>
    <w:p>
      <w:pPr>
        <w:spacing w:after="0" w:line="249" w:lineRule="auto"/>
        <w:jc w:val="both"/>
        <w:rPr>
          <w:sz w:val="21"/>
        </w:rPr>
        <w:sectPr>
          <w:pgSz w:w="11910" w:h="16840"/>
          <w:pgMar w:header="228" w:footer="888" w:top="1200" w:bottom="1100" w:left="1020" w:right="820"/>
        </w:sectPr>
      </w:pPr>
    </w:p>
    <w:p>
      <w:pPr>
        <w:pStyle w:val="BodyText"/>
        <w:spacing w:before="1"/>
      </w:pPr>
      <w:r>
        <w:rPr/>
        <w:t>保险事故承担保险责任。</w:t>
      </w:r>
    </w:p>
    <w:p>
      <w:pPr>
        <w:pStyle w:val="BodyText"/>
        <w:spacing w:line="273" w:lineRule="auto" w:before="37"/>
        <w:ind w:right="110" w:firstLine="420"/>
      </w:pPr>
      <w:r>
        <w:rPr/>
        <w:t>附加合同自效力中止之日起满两年未恢复效力的，则自该两年中止期间届满日次日零时起自动终止， 我们将向您支付附加合同效力中止之日的现金价值，但将扣除您的各项欠款。</w:t>
      </w:r>
    </w:p>
    <w:p>
      <w:pPr>
        <w:pStyle w:val="Heading2"/>
        <w:numPr>
          <w:ilvl w:val="1"/>
          <w:numId w:val="2"/>
        </w:numPr>
        <w:tabs>
          <w:tab w:pos="594" w:val="left" w:leader="none"/>
        </w:tabs>
        <w:spacing w:line="240" w:lineRule="auto" w:before="48" w:after="0"/>
        <w:ind w:left="593" w:right="0" w:hanging="481"/>
        <w:jc w:val="left"/>
      </w:pPr>
      <w:bookmarkStart w:name="_TOC_250014" w:id="16"/>
      <w:bookmarkEnd w:id="16"/>
      <w:r>
        <w:rPr>
          <w:w w:val="95"/>
        </w:rPr>
        <w:t>犹豫期后解除合同的处理</w:t>
      </w:r>
    </w:p>
    <w:p>
      <w:pPr>
        <w:pStyle w:val="BodyText"/>
        <w:spacing w:before="16"/>
        <w:ind w:left="533"/>
      </w:pPr>
      <w:r>
        <w:rPr/>
        <w:t>犹豫期过后，您要求解除附加合同的，应填写解除合同申请书，并向我们提供下列材料：</w:t>
      </w:r>
    </w:p>
    <w:p>
      <w:pPr>
        <w:pStyle w:val="BodyText"/>
        <w:spacing w:before="37"/>
        <w:ind w:left="533"/>
      </w:pPr>
      <w:r>
        <w:rPr/>
        <w:t>（</w:t>
      </w:r>
      <w:r>
        <w:rPr>
          <w:rFonts w:ascii="Times New Roman" w:eastAsia="Times New Roman"/>
        </w:rPr>
        <w:t>1</w:t>
      </w:r>
      <w:r>
        <w:rPr/>
        <w:t>）保险合同原件；</w:t>
      </w:r>
    </w:p>
    <w:p>
      <w:pPr>
        <w:pStyle w:val="BodyText"/>
        <w:ind w:left="533"/>
      </w:pPr>
      <w:r>
        <w:rPr/>
        <w:t>（</w:t>
      </w:r>
      <w:r>
        <w:rPr>
          <w:rFonts w:ascii="Times New Roman" w:eastAsia="Times New Roman"/>
        </w:rPr>
        <w:t>2</w:t>
      </w:r>
      <w:r>
        <w:rPr/>
        <w:t>）您的有效身份证件。</w:t>
      </w:r>
    </w:p>
    <w:p>
      <w:pPr>
        <w:pStyle w:val="BodyText"/>
        <w:spacing w:line="273" w:lineRule="auto"/>
        <w:ind w:right="183" w:firstLine="420"/>
      </w:pPr>
      <w:r>
        <w:rPr/>
        <w:t>附加合同自我们收到您的解除合同申请书以及上述完整的解除合同申请材料时终止，我们计算收到当日的现金价值，并在 </w:t>
      </w:r>
      <w:r>
        <w:rPr>
          <w:rFonts w:ascii="Times New Roman" w:eastAsia="Times New Roman"/>
        </w:rPr>
        <w:t>10 </w:t>
      </w:r>
      <w:r>
        <w:rPr/>
        <w:t>日内向您返还该现金价值。</w:t>
      </w:r>
    </w:p>
    <w:p>
      <w:pPr>
        <w:pStyle w:val="BodyText"/>
        <w:spacing w:line="264" w:lineRule="exact" w:before="0"/>
        <w:ind w:left="533"/>
      </w:pPr>
      <w:r>
        <w:rPr/>
        <w:t>您在犹豫期后解除合同会遭受一定的损失。</w:t>
      </w:r>
    </w:p>
    <w:p>
      <w:pPr>
        <w:pStyle w:val="Heading2"/>
        <w:numPr>
          <w:ilvl w:val="1"/>
          <w:numId w:val="2"/>
        </w:numPr>
        <w:tabs>
          <w:tab w:pos="594" w:val="left" w:leader="none"/>
        </w:tabs>
        <w:spacing w:line="240" w:lineRule="auto" w:before="78" w:after="0"/>
        <w:ind w:left="593" w:right="0" w:hanging="481"/>
        <w:jc w:val="left"/>
      </w:pPr>
      <w:bookmarkStart w:name="_TOC_250013" w:id="17"/>
      <w:bookmarkEnd w:id="17"/>
      <w:r>
        <w:rPr>
          <w:w w:val="95"/>
        </w:rPr>
        <w:t>合同内容的变更</w:t>
      </w:r>
    </w:p>
    <w:p>
      <w:pPr>
        <w:pStyle w:val="BodyText"/>
        <w:spacing w:line="273" w:lineRule="auto" w:before="17"/>
        <w:ind w:right="206" w:firstLine="420"/>
      </w:pPr>
      <w:r>
        <w:rPr>
          <w:spacing w:val="-6"/>
        </w:rPr>
        <w:t>在附加合同有效期内，您与我们经协商一致，可以变更附加合同内容。我们同意您的变更申请并出具</w:t>
      </w:r>
      <w:r>
        <w:rPr>
          <w:spacing w:val="-4"/>
        </w:rPr>
        <w:t>修改批单，或与您订立书面的变更协议后，变更方能生效。</w:t>
      </w:r>
    </w:p>
    <w:p>
      <w:pPr>
        <w:pStyle w:val="Heading2"/>
        <w:numPr>
          <w:ilvl w:val="1"/>
          <w:numId w:val="2"/>
        </w:numPr>
        <w:tabs>
          <w:tab w:pos="594" w:val="left" w:leader="none"/>
        </w:tabs>
        <w:spacing w:line="240" w:lineRule="auto" w:before="49" w:after="0"/>
        <w:ind w:left="593" w:right="0" w:hanging="481"/>
        <w:jc w:val="left"/>
      </w:pPr>
      <w:bookmarkStart w:name="_TOC_250012" w:id="18"/>
      <w:bookmarkEnd w:id="18"/>
      <w:r>
        <w:rPr>
          <w:w w:val="95"/>
        </w:rPr>
        <w:t>现金价值</w:t>
      </w:r>
    </w:p>
    <w:p>
      <w:pPr>
        <w:pStyle w:val="BodyText"/>
        <w:spacing w:line="273" w:lineRule="auto" w:before="14"/>
        <w:ind w:right="206" w:firstLine="420"/>
        <w:jc w:val="both"/>
      </w:pPr>
      <w:r>
        <w:rPr>
          <w:spacing w:val="-2"/>
        </w:rPr>
        <w:t>每一</w:t>
      </w:r>
      <w:r>
        <w:rPr>
          <w:b/>
        </w:rPr>
        <w:t>保单年度</w:t>
      </w:r>
      <w:r>
        <w:rPr>
          <w:spacing w:val="-16"/>
        </w:rPr>
        <w:t>的现金价值具体数额请见“现金价值表”。“现金价值表”中所列每一保单年度的现金价</w:t>
      </w:r>
      <w:r>
        <w:rPr>
          <w:spacing w:val="-8"/>
        </w:rPr>
        <w:t>值数额是在您按时交付该保单年度续期保险费的情况下该保单年度的现金价值。如您欠交某保单年度的保</w:t>
      </w:r>
      <w:r>
        <w:rPr>
          <w:spacing w:val="-5"/>
        </w:rPr>
        <w:t>险费，则该保单年度的现金价值为您已交最后一期保险费所对应的保单年度的现金价值。</w:t>
      </w:r>
    </w:p>
    <w:p>
      <w:pPr>
        <w:pStyle w:val="Heading1"/>
        <w:numPr>
          <w:ilvl w:val="0"/>
          <w:numId w:val="2"/>
        </w:numPr>
        <w:tabs>
          <w:tab w:pos="593" w:val="left" w:leader="none"/>
          <w:tab w:pos="594" w:val="left" w:leader="none"/>
        </w:tabs>
        <w:spacing w:line="240" w:lineRule="auto" w:before="59" w:after="0"/>
        <w:ind w:left="593" w:right="0" w:hanging="481"/>
        <w:jc w:val="left"/>
        <w:rPr>
          <w:rFonts w:ascii="Times New Roman" w:eastAsia="Times New Roman"/>
        </w:rPr>
      </w:pPr>
      <w:bookmarkStart w:name="_TOC_250011" w:id="19"/>
      <w:bookmarkEnd w:id="19"/>
      <w:r>
        <w:rPr>
          <w:w w:val="95"/>
        </w:rPr>
        <w:t>如何申请领取保险金</w:t>
      </w:r>
    </w:p>
    <w:p>
      <w:pPr>
        <w:pStyle w:val="Heading2"/>
        <w:numPr>
          <w:ilvl w:val="1"/>
          <w:numId w:val="2"/>
        </w:numPr>
        <w:tabs>
          <w:tab w:pos="594" w:val="left" w:leader="none"/>
        </w:tabs>
        <w:spacing w:line="240" w:lineRule="auto" w:before="125" w:after="0"/>
        <w:ind w:left="593" w:right="0" w:hanging="481"/>
        <w:jc w:val="left"/>
      </w:pPr>
      <w:bookmarkStart w:name="_TOC_250010" w:id="20"/>
      <w:bookmarkEnd w:id="20"/>
      <w:r>
        <w:rPr>
          <w:w w:val="95"/>
        </w:rPr>
        <w:t>保险金受益人</w:t>
      </w:r>
    </w:p>
    <w:p>
      <w:pPr>
        <w:pStyle w:val="BodyText"/>
        <w:spacing w:line="273" w:lineRule="auto" w:before="16"/>
        <w:ind w:right="107" w:firstLine="420"/>
      </w:pPr>
      <w:r>
        <w:rPr/>
        <w:t>除附加合同另有约定外，重大疾病保险金的受益人为被保险人本人。因受益人变更引起的法律纠纷， 我们不承担任何责任。</w:t>
      </w:r>
    </w:p>
    <w:p>
      <w:pPr>
        <w:pStyle w:val="Heading2"/>
        <w:numPr>
          <w:ilvl w:val="1"/>
          <w:numId w:val="2"/>
        </w:numPr>
        <w:tabs>
          <w:tab w:pos="594" w:val="left" w:leader="none"/>
        </w:tabs>
        <w:spacing w:line="240" w:lineRule="auto" w:before="49" w:after="0"/>
        <w:ind w:left="593" w:right="0" w:hanging="481"/>
        <w:jc w:val="left"/>
      </w:pPr>
      <w:bookmarkStart w:name="_TOC_250009" w:id="21"/>
      <w:bookmarkEnd w:id="21"/>
      <w:r>
        <w:rPr>
          <w:w w:val="95"/>
        </w:rPr>
        <w:t>保险事故的通知</w:t>
      </w:r>
    </w:p>
    <w:p>
      <w:pPr>
        <w:pStyle w:val="BodyText"/>
        <w:spacing w:line="266" w:lineRule="auto" w:before="16"/>
        <w:ind w:right="108" w:firstLine="420"/>
      </w:pPr>
      <w:r>
        <w:rPr>
          <w:spacing w:val="-3"/>
        </w:rPr>
        <w:t>您、被保险人或者受益人应当在知道保险事故发生之日起 </w:t>
      </w:r>
      <w:r>
        <w:rPr>
          <w:rFonts w:ascii="Times New Roman" w:eastAsia="Times New Roman"/>
        </w:rPr>
        <w:t>10 </w:t>
      </w:r>
      <w:r>
        <w:rPr>
          <w:spacing w:val="-3"/>
        </w:rPr>
        <w:t>日内通知我们，否则，应承担由于通知</w:t>
      </w:r>
      <w:r>
        <w:rPr>
          <w:spacing w:val="-5"/>
        </w:rPr>
        <w:t>延迟致使我们增加的查勘、检验等项费用，但因</w:t>
      </w:r>
      <w:r>
        <w:rPr>
          <w:b/>
        </w:rPr>
        <w:t>不可抗力</w:t>
      </w:r>
      <w:r>
        <w:rPr>
          <w:spacing w:val="-5"/>
        </w:rPr>
        <w:t>导致的延迟除外。您、被保险人或者受益人故意或者因重大过失未及时通知，致使保险事故的性质、原因、程度等难以确定的，我们对无法确定的部分， </w:t>
      </w:r>
      <w:r>
        <w:rPr>
          <w:spacing w:val="-4"/>
        </w:rPr>
        <w:t>不承担给付保险金的责任，但我们通过其他途径已经及时知道或者应当及时知道保险事故发生的除外。</w:t>
      </w:r>
    </w:p>
    <w:p>
      <w:pPr>
        <w:pStyle w:val="Heading2"/>
        <w:numPr>
          <w:ilvl w:val="1"/>
          <w:numId w:val="2"/>
        </w:numPr>
        <w:tabs>
          <w:tab w:pos="594" w:val="left" w:leader="none"/>
        </w:tabs>
        <w:spacing w:line="240" w:lineRule="auto" w:before="54" w:after="0"/>
        <w:ind w:left="593" w:right="0" w:hanging="481"/>
        <w:jc w:val="left"/>
      </w:pPr>
      <w:bookmarkStart w:name="_TOC_250008" w:id="22"/>
      <w:bookmarkEnd w:id="22"/>
      <w:r>
        <w:rPr>
          <w:w w:val="95"/>
        </w:rPr>
        <w:t>保险金的申请和给付</w:t>
      </w:r>
    </w:p>
    <w:p>
      <w:pPr>
        <w:pStyle w:val="BodyText"/>
        <w:spacing w:before="16"/>
        <w:ind w:left="533"/>
      </w:pPr>
      <w:r>
        <w:rPr/>
        <w:t>一、重大疾病保险金的申请</w:t>
      </w:r>
    </w:p>
    <w:p>
      <w:pPr>
        <w:pStyle w:val="BodyText"/>
        <w:spacing w:before="37"/>
        <w:ind w:left="533"/>
      </w:pPr>
      <w:r>
        <w:rPr/>
        <w:t>由重大疾病保险金的受益人作为申请人，向我们提交保险金给付申请书和下列证明材料申请给付：</w:t>
      </w:r>
    </w:p>
    <w:p>
      <w:pPr>
        <w:pStyle w:val="ListParagraph"/>
        <w:numPr>
          <w:ilvl w:val="0"/>
          <w:numId w:val="4"/>
        </w:numPr>
        <w:tabs>
          <w:tab w:pos="798" w:val="left" w:leader="none"/>
        </w:tabs>
        <w:spacing w:line="240" w:lineRule="auto" w:before="37" w:after="0"/>
        <w:ind w:left="112" w:right="0" w:firstLine="421"/>
        <w:jc w:val="left"/>
        <w:rPr>
          <w:sz w:val="21"/>
        </w:rPr>
      </w:pPr>
      <w:r>
        <w:rPr>
          <w:spacing w:val="-3"/>
          <w:sz w:val="21"/>
        </w:rPr>
        <w:t>保险合同原件；</w:t>
      </w:r>
    </w:p>
    <w:p>
      <w:pPr>
        <w:pStyle w:val="ListParagraph"/>
        <w:numPr>
          <w:ilvl w:val="0"/>
          <w:numId w:val="4"/>
        </w:numPr>
        <w:tabs>
          <w:tab w:pos="798" w:val="left" w:leader="none"/>
        </w:tabs>
        <w:spacing w:line="240" w:lineRule="auto" w:before="21" w:after="0"/>
        <w:ind w:left="112" w:right="0" w:firstLine="421"/>
        <w:jc w:val="left"/>
        <w:rPr>
          <w:sz w:val="21"/>
        </w:rPr>
      </w:pPr>
      <w:r>
        <w:rPr>
          <w:spacing w:val="-3"/>
          <w:sz w:val="21"/>
        </w:rPr>
        <w:t>被保险人的户籍证明或身份证件原件；</w:t>
      </w:r>
    </w:p>
    <w:p>
      <w:pPr>
        <w:pStyle w:val="ListParagraph"/>
        <w:numPr>
          <w:ilvl w:val="0"/>
          <w:numId w:val="4"/>
        </w:numPr>
        <w:tabs>
          <w:tab w:pos="798" w:val="left" w:leader="none"/>
        </w:tabs>
        <w:spacing w:line="256" w:lineRule="auto" w:before="21" w:after="0"/>
        <w:ind w:left="112" w:right="208" w:firstLine="421"/>
        <w:jc w:val="left"/>
        <w:rPr>
          <w:sz w:val="21"/>
        </w:rPr>
      </w:pPr>
      <w:r>
        <w:rPr>
          <w:spacing w:val="-6"/>
          <w:sz w:val="21"/>
        </w:rPr>
        <w:t>由我们指定或认可的医院出具的被保险人身患重大疾病的诊断证明书原件，并应附有病理显微镜检</w:t>
      </w:r>
      <w:r>
        <w:rPr>
          <w:spacing w:val="-4"/>
          <w:sz w:val="21"/>
        </w:rPr>
        <w:t>查、血液检验及其他科学方法的检验报告；</w:t>
      </w:r>
    </w:p>
    <w:p>
      <w:pPr>
        <w:pStyle w:val="ListParagraph"/>
        <w:numPr>
          <w:ilvl w:val="0"/>
          <w:numId w:val="4"/>
        </w:numPr>
        <w:tabs>
          <w:tab w:pos="798" w:val="left" w:leader="none"/>
        </w:tabs>
        <w:spacing w:line="240" w:lineRule="auto" w:before="22" w:after="0"/>
        <w:ind w:left="112" w:right="0" w:firstLine="421"/>
        <w:jc w:val="left"/>
        <w:rPr>
          <w:sz w:val="21"/>
        </w:rPr>
      </w:pPr>
      <w:r>
        <w:rPr>
          <w:spacing w:val="-3"/>
          <w:sz w:val="21"/>
        </w:rPr>
        <w:t>申请人所能提供的与确认保险事故的性质、原因、程度等有关的其他证明材料。</w:t>
      </w:r>
    </w:p>
    <w:p>
      <w:pPr>
        <w:pStyle w:val="BodyText"/>
        <w:spacing w:line="273" w:lineRule="auto"/>
        <w:ind w:right="206" w:firstLine="420"/>
      </w:pPr>
      <w:r>
        <w:rPr>
          <w:spacing w:val="-6"/>
        </w:rPr>
        <w:t>二、我们收到申请人提交的保险金给付申请书及上述证明材料后，认为有关的证明材料不完整的，将</w:t>
      </w:r>
      <w:r>
        <w:rPr>
          <w:spacing w:val="-7"/>
        </w:rPr>
        <w:t>及时一次性通知申请人补充提供。我们收到申请书及完整的证明材料后，将在 </w:t>
      </w:r>
      <w:r>
        <w:rPr>
          <w:rFonts w:ascii="Times New Roman" w:eastAsia="Times New Roman"/>
        </w:rPr>
        <w:t>5 </w:t>
      </w:r>
      <w:r>
        <w:rPr>
          <w:spacing w:val="-4"/>
        </w:rPr>
        <w:t>日内作出核定；情形复杂</w:t>
      </w:r>
    </w:p>
    <w:p>
      <w:pPr>
        <w:pStyle w:val="BodyText"/>
        <w:spacing w:line="279" w:lineRule="exact" w:before="0"/>
      </w:pPr>
      <w:r>
        <w:rPr/>
        <w:t>的，将在 </w:t>
      </w:r>
      <w:r>
        <w:rPr>
          <w:rFonts w:ascii="Times New Roman" w:eastAsia="Times New Roman"/>
        </w:rPr>
        <w:t>30 </w:t>
      </w:r>
      <w:r>
        <w:rPr/>
        <w:t>日内作出核定，但有下列任一情形的除外：</w:t>
      </w:r>
    </w:p>
    <w:p>
      <w:pPr>
        <w:pStyle w:val="BodyText"/>
        <w:ind w:left="511"/>
      </w:pPr>
      <w:r>
        <w:rPr>
          <w:rFonts w:ascii="Times New Roman" w:eastAsia="Times New Roman"/>
        </w:rPr>
        <w:t>1</w:t>
      </w:r>
      <w:r>
        <w:rPr/>
        <w:t>．您或被保险人不及时配合我们的理赔调查；</w:t>
      </w:r>
    </w:p>
    <w:p>
      <w:pPr>
        <w:pStyle w:val="BodyText"/>
        <w:spacing w:before="20"/>
        <w:ind w:left="511"/>
      </w:pPr>
      <w:r>
        <w:rPr>
          <w:rFonts w:ascii="Times New Roman" w:eastAsia="Times New Roman"/>
        </w:rPr>
        <w:t>2</w:t>
      </w:r>
      <w:r>
        <w:rPr/>
        <w:t>．被保险人身处偏远地区，导致我们不能及时了解情况；</w:t>
      </w:r>
    </w:p>
    <w:p>
      <w:pPr>
        <w:pStyle w:val="BodyText"/>
        <w:spacing w:before="20"/>
        <w:ind w:left="511"/>
      </w:pPr>
      <w:r>
        <w:rPr>
          <w:rFonts w:ascii="Times New Roman" w:eastAsia="Times New Roman"/>
        </w:rPr>
        <w:t>3</w:t>
      </w:r>
      <w:r>
        <w:rPr/>
        <w:t>．不可抗力导致我们不能及时进行理赔。</w:t>
      </w:r>
    </w:p>
    <w:p>
      <w:pPr>
        <w:pStyle w:val="BodyText"/>
        <w:spacing w:line="264" w:lineRule="auto" w:before="20"/>
        <w:ind w:right="206" w:firstLine="420"/>
        <w:jc w:val="both"/>
      </w:pPr>
      <w:r>
        <w:rPr>
          <w:spacing w:val="-3"/>
        </w:rPr>
        <w:t>对核定属于保险责任的，我们在与申请人达成有关给付保险金协议后 </w:t>
      </w:r>
      <w:r>
        <w:rPr>
          <w:rFonts w:ascii="Times New Roman" w:eastAsia="Times New Roman"/>
        </w:rPr>
        <w:t>10 </w:t>
      </w:r>
      <w:r>
        <w:rPr>
          <w:spacing w:val="-3"/>
        </w:rPr>
        <w:t>日内给付保险金；未及时给</w:t>
      </w:r>
      <w:r>
        <w:rPr>
          <w:spacing w:val="-6"/>
        </w:rPr>
        <w:t>付的，除支付保险金外，应当赔偿受益人因此受到的损失。对核定不属于保险责任的，我们自作出核定之</w:t>
      </w:r>
      <w:r>
        <w:rPr>
          <w:spacing w:val="-16"/>
        </w:rPr>
        <w:t>日起 </w:t>
      </w:r>
      <w:r>
        <w:rPr>
          <w:rFonts w:ascii="Times New Roman" w:eastAsia="Times New Roman"/>
        </w:rPr>
        <w:t>3 </w:t>
      </w:r>
      <w:r>
        <w:rPr>
          <w:spacing w:val="-3"/>
        </w:rPr>
        <w:t>日内向申请人发出拒绝给付保险金通知书，并说明理由。</w:t>
      </w:r>
    </w:p>
    <w:p>
      <w:pPr>
        <w:pStyle w:val="BodyText"/>
        <w:spacing w:line="256" w:lineRule="auto" w:before="0"/>
        <w:ind w:right="180" w:firstLine="420"/>
      </w:pPr>
      <w:r>
        <w:rPr/>
        <w:t>我们在收到保险金给付申请书及有关证明材料之日起 </w:t>
      </w:r>
      <w:r>
        <w:rPr>
          <w:rFonts w:ascii="Times New Roman" w:eastAsia="Times New Roman"/>
        </w:rPr>
        <w:t>60 </w:t>
      </w:r>
      <w:r>
        <w:rPr/>
        <w:t>日内，对给付保险金的数额不能确定的，将先予支付根据已有证明材料可以确定的数额。最终确定应给付保险金的数额后，我们将扣除已先予支付的</w:t>
      </w:r>
    </w:p>
    <w:p>
      <w:pPr>
        <w:spacing w:after="0" w:line="256" w:lineRule="auto"/>
        <w:sectPr>
          <w:pgSz w:w="11910" w:h="16840"/>
          <w:pgMar w:header="228" w:footer="888" w:top="1200" w:bottom="1080" w:left="1020" w:right="920"/>
        </w:sectPr>
      </w:pPr>
    </w:p>
    <w:p>
      <w:pPr>
        <w:pStyle w:val="BodyText"/>
        <w:spacing w:before="1"/>
      </w:pPr>
      <w:r>
        <w:rPr/>
        <w:t>保险金数额，支付相应的差额。</w:t>
      </w:r>
    </w:p>
    <w:p>
      <w:pPr>
        <w:pStyle w:val="BodyText"/>
        <w:spacing w:before="37"/>
        <w:ind w:left="533"/>
      </w:pPr>
      <w:r>
        <w:rPr>
          <w:spacing w:val="-14"/>
        </w:rPr>
        <w:t>三、申请人请求给付保险金的诉讼时效期间为 </w:t>
      </w:r>
      <w:r>
        <w:rPr>
          <w:rFonts w:ascii="Times New Roman" w:eastAsia="Times New Roman"/>
        </w:rPr>
        <w:t>2 </w:t>
      </w:r>
      <w:r>
        <w:rPr>
          <w:spacing w:val="-13"/>
        </w:rPr>
        <w:t>年，自其知道或者应当知道保险事故发生之日起计算。</w:t>
      </w:r>
    </w:p>
    <w:p>
      <w:pPr>
        <w:pStyle w:val="Heading2"/>
        <w:numPr>
          <w:ilvl w:val="1"/>
          <w:numId w:val="2"/>
        </w:numPr>
        <w:tabs>
          <w:tab w:pos="594" w:val="left" w:leader="none"/>
        </w:tabs>
        <w:spacing w:line="240" w:lineRule="auto" w:before="62" w:after="0"/>
        <w:ind w:left="593" w:right="0" w:hanging="481"/>
        <w:jc w:val="left"/>
      </w:pPr>
      <w:bookmarkStart w:name="_TOC_250007" w:id="23"/>
      <w:bookmarkEnd w:id="23"/>
      <w:r>
        <w:rPr>
          <w:w w:val="95"/>
        </w:rPr>
        <w:t>欠交保险费及未还款项的扣除</w:t>
      </w:r>
    </w:p>
    <w:p>
      <w:pPr>
        <w:pStyle w:val="BodyText"/>
        <w:spacing w:line="273" w:lineRule="auto" w:before="16"/>
        <w:ind w:right="106" w:firstLine="420"/>
        <w:jc w:val="both"/>
      </w:pPr>
      <w:r>
        <w:rPr>
          <w:spacing w:val="-6"/>
        </w:rPr>
        <w:t>我们在办理给付保险金、返还现金价值或返还您交付的保险费等事项时，如果您有欠交的保险费或其</w:t>
      </w:r>
      <w:r>
        <w:rPr>
          <w:spacing w:val="-4"/>
        </w:rPr>
        <w:t>它尚未还清的款项，我们将在所应给付的金额中扣除您的所有欠款。</w:t>
      </w:r>
    </w:p>
    <w:p>
      <w:pPr>
        <w:pStyle w:val="Heading1"/>
        <w:numPr>
          <w:ilvl w:val="0"/>
          <w:numId w:val="2"/>
        </w:numPr>
        <w:tabs>
          <w:tab w:pos="593" w:val="left" w:leader="none"/>
          <w:tab w:pos="594" w:val="left" w:leader="none"/>
        </w:tabs>
        <w:spacing w:line="240" w:lineRule="auto" w:before="58" w:after="0"/>
        <w:ind w:left="593" w:right="0" w:hanging="481"/>
        <w:jc w:val="left"/>
        <w:rPr>
          <w:rFonts w:ascii="Times New Roman" w:eastAsia="Times New Roman"/>
        </w:rPr>
      </w:pPr>
      <w:bookmarkStart w:name="_TOC_250006" w:id="24"/>
      <w:bookmarkEnd w:id="24"/>
      <w:r>
        <w:rPr>
          <w:w w:val="95"/>
        </w:rPr>
        <w:t>您需要了解的其他内容</w:t>
      </w:r>
    </w:p>
    <w:p>
      <w:pPr>
        <w:pStyle w:val="Heading2"/>
        <w:numPr>
          <w:ilvl w:val="1"/>
          <w:numId w:val="2"/>
        </w:numPr>
        <w:tabs>
          <w:tab w:pos="594" w:val="left" w:leader="none"/>
        </w:tabs>
        <w:spacing w:line="240" w:lineRule="auto" w:before="125" w:after="0"/>
        <w:ind w:left="593" w:right="0" w:hanging="481"/>
        <w:jc w:val="left"/>
      </w:pPr>
      <w:bookmarkStart w:name="_TOC_250005" w:id="25"/>
      <w:bookmarkEnd w:id="25"/>
      <w:r>
        <w:rPr>
          <w:w w:val="95"/>
        </w:rPr>
        <w:t>被保险人身故或永久完全残疾的处理</w:t>
      </w:r>
    </w:p>
    <w:p>
      <w:pPr>
        <w:pStyle w:val="BodyText"/>
        <w:spacing w:line="264" w:lineRule="auto" w:before="17"/>
        <w:ind w:right="106" w:firstLine="420"/>
        <w:jc w:val="both"/>
      </w:pPr>
      <w:r>
        <w:rPr>
          <w:spacing w:val="-11"/>
        </w:rPr>
        <w:t>一、若被保险人因意外伤害事故身故或永久完全残疾，且被保险人发生身故或永久完全残疾时已满 </w:t>
      </w:r>
      <w:r>
        <w:rPr>
          <w:rFonts w:ascii="Times New Roman" w:eastAsia="Times New Roman"/>
          <w:spacing w:val="-3"/>
        </w:rPr>
        <w:t>18 </w:t>
      </w:r>
      <w:r>
        <w:rPr>
          <w:b/>
        </w:rPr>
        <w:t>周岁</w:t>
      </w:r>
      <w:r>
        <w:rPr>
          <w:spacing w:val="-16"/>
        </w:rPr>
        <w:t>，或者自附加合同生效日次日零时起</w:t>
      </w:r>
      <w:r>
        <w:rPr/>
        <w:t>（</w:t>
      </w:r>
      <w:r>
        <w:rPr>
          <w:spacing w:val="-9"/>
        </w:rPr>
        <w:t>在附加合同履行中有复效情形的，自每一次复效日次日零时起</w:t>
      </w:r>
      <w:r>
        <w:rPr/>
        <w:t>） </w:t>
      </w:r>
      <w:r>
        <w:rPr>
          <w:w w:val="100"/>
        </w:rPr>
        <w:t>满</w:t>
      </w:r>
      <w:r>
        <w:rPr>
          <w:spacing w:val="-31"/>
        </w:rPr>
        <w:t> </w:t>
      </w:r>
      <w:r>
        <w:rPr>
          <w:rFonts w:ascii="Times New Roman" w:eastAsia="Times New Roman"/>
          <w:spacing w:val="-3"/>
          <w:w w:val="100"/>
        </w:rPr>
        <w:t>9</w:t>
      </w:r>
      <w:r>
        <w:rPr>
          <w:rFonts w:ascii="Times New Roman" w:eastAsia="Times New Roman"/>
          <w:w w:val="100"/>
        </w:rPr>
        <w:t>0</w:t>
      </w:r>
      <w:r>
        <w:rPr>
          <w:rFonts w:ascii="Times New Roman" w:eastAsia="Times New Roman"/>
        </w:rPr>
        <w:t> </w:t>
      </w:r>
      <w:r>
        <w:rPr>
          <w:spacing w:val="-2"/>
          <w:w w:val="100"/>
        </w:rPr>
        <w:t>日后</w:t>
      </w:r>
      <w:r>
        <w:rPr>
          <w:spacing w:val="-3"/>
          <w:w w:val="100"/>
        </w:rPr>
        <w:t>（</w:t>
      </w:r>
      <w:r>
        <w:rPr>
          <w:spacing w:val="-2"/>
          <w:w w:val="100"/>
        </w:rPr>
        <w:t>不含第</w:t>
      </w:r>
      <w:r>
        <w:rPr>
          <w:spacing w:val="-2"/>
        </w:rPr>
        <w:t> </w:t>
      </w:r>
      <w:r>
        <w:rPr>
          <w:rFonts w:ascii="Times New Roman" w:eastAsia="Times New Roman"/>
          <w:w w:val="100"/>
        </w:rPr>
        <w:t>90</w:t>
      </w:r>
      <w:r>
        <w:rPr>
          <w:rFonts w:ascii="Times New Roman" w:eastAsia="Times New Roman"/>
        </w:rPr>
        <w:t> </w:t>
      </w:r>
      <w:r>
        <w:rPr>
          <w:spacing w:val="-3"/>
          <w:w w:val="100"/>
        </w:rPr>
        <w:t>日</w:t>
      </w:r>
      <w:r>
        <w:rPr>
          <w:spacing w:val="-106"/>
          <w:w w:val="100"/>
        </w:rPr>
        <w:t>）</w:t>
      </w:r>
      <w:r>
        <w:rPr>
          <w:spacing w:val="-3"/>
          <w:w w:val="100"/>
        </w:rPr>
        <w:t>，因意外伤害事故以外的原因导致身故或永久完全残疾，且被保险人发生身故</w:t>
      </w:r>
    </w:p>
    <w:p>
      <w:pPr>
        <w:pStyle w:val="BodyText"/>
        <w:spacing w:line="259" w:lineRule="auto" w:before="0"/>
        <w:ind w:left="533" w:right="106" w:hanging="421"/>
      </w:pPr>
      <w:r>
        <w:rPr>
          <w:spacing w:val="-6"/>
        </w:rPr>
        <w:t>或永久完全残疾时已满 </w:t>
      </w:r>
      <w:r>
        <w:rPr>
          <w:rFonts w:ascii="Times New Roman" w:eastAsia="Times New Roman"/>
        </w:rPr>
        <w:t>18 </w:t>
      </w:r>
      <w:r>
        <w:rPr>
          <w:spacing w:val="-13"/>
        </w:rPr>
        <w:t>周岁，附加合同终止，我们不向您返还附加合同的保险费或附加合同现金价值。</w:t>
      </w:r>
      <w:r>
        <w:rPr>
          <w:spacing w:val="-5"/>
        </w:rPr>
        <w:t>二、若被保险人在附加合同生效日次日零时起</w:t>
      </w:r>
      <w:r>
        <w:rPr/>
        <w:t>（</w:t>
      </w:r>
      <w:r>
        <w:rPr>
          <w:spacing w:val="-4"/>
        </w:rPr>
        <w:t>在附加合同履行中有复效情形的，自每一次复效日次</w:t>
      </w:r>
    </w:p>
    <w:p>
      <w:pPr>
        <w:pStyle w:val="BodyText"/>
        <w:spacing w:line="256" w:lineRule="auto" w:before="22"/>
        <w:ind w:right="106"/>
        <w:jc w:val="both"/>
      </w:pPr>
      <w:r>
        <w:rPr>
          <w:spacing w:val="-1"/>
          <w:w w:val="100"/>
        </w:rPr>
        <w:t>日零时起</w:t>
      </w:r>
      <w:r>
        <w:rPr>
          <w:spacing w:val="-19"/>
          <w:w w:val="100"/>
        </w:rPr>
        <w:t>）</w:t>
      </w:r>
      <w:r>
        <w:rPr>
          <w:rFonts w:ascii="Times New Roman" w:eastAsia="Times New Roman"/>
          <w:spacing w:val="-3"/>
          <w:w w:val="100"/>
        </w:rPr>
        <w:t>9</w:t>
      </w:r>
      <w:r>
        <w:rPr>
          <w:rFonts w:ascii="Times New Roman" w:eastAsia="Times New Roman"/>
          <w:w w:val="100"/>
        </w:rPr>
        <w:t>0</w:t>
      </w:r>
      <w:r>
        <w:rPr>
          <w:rFonts w:ascii="Times New Roman" w:eastAsia="Times New Roman"/>
        </w:rPr>
        <w:t> </w:t>
      </w:r>
      <w:r>
        <w:rPr>
          <w:spacing w:val="-12"/>
          <w:w w:val="100"/>
        </w:rPr>
        <w:t>日内</w:t>
      </w:r>
      <w:r>
        <w:rPr>
          <w:spacing w:val="-3"/>
          <w:w w:val="100"/>
        </w:rPr>
        <w:t>（</w:t>
      </w:r>
      <w:r>
        <w:rPr>
          <w:w w:val="100"/>
        </w:rPr>
        <w:t>含第</w:t>
      </w:r>
      <w:r>
        <w:rPr>
          <w:spacing w:val="-55"/>
        </w:rPr>
        <w:t> </w:t>
      </w:r>
      <w:r>
        <w:rPr>
          <w:rFonts w:ascii="Times New Roman" w:eastAsia="Times New Roman"/>
          <w:w w:val="100"/>
        </w:rPr>
        <w:t>90</w:t>
      </w:r>
      <w:r>
        <w:rPr>
          <w:rFonts w:ascii="Times New Roman" w:eastAsia="Times New Roman"/>
        </w:rPr>
        <w:t> </w:t>
      </w:r>
      <w:r>
        <w:rPr>
          <w:w w:val="100"/>
        </w:rPr>
        <w:t>日</w:t>
      </w:r>
      <w:r>
        <w:rPr>
          <w:spacing w:val="-108"/>
          <w:w w:val="100"/>
        </w:rPr>
        <w:t>）</w:t>
      </w:r>
      <w:r>
        <w:rPr>
          <w:spacing w:val="-7"/>
          <w:w w:val="100"/>
        </w:rPr>
        <w:t>，因意外伤害事故以外的原因导致身故或永久完全残疾，且被保险人发生</w:t>
      </w:r>
      <w:r>
        <w:rPr>
          <w:spacing w:val="-4"/>
        </w:rPr>
        <w:t>身故或者永久完全残疾时已满 </w:t>
      </w:r>
      <w:r>
        <w:rPr>
          <w:rFonts w:ascii="Times New Roman" w:eastAsia="Times New Roman"/>
        </w:rPr>
        <w:t>18 </w:t>
      </w:r>
      <w:r>
        <w:rPr>
          <w:spacing w:val="-3"/>
        </w:rPr>
        <w:t>周岁，附加合同终止，我们向您返还被保险人身故或永久完全残疾时您已交付的附加合同保险费与附加合同现金价值两者中金额较大者。</w:t>
      </w:r>
    </w:p>
    <w:p>
      <w:pPr>
        <w:pStyle w:val="BodyText"/>
        <w:spacing w:line="264" w:lineRule="auto" w:before="22"/>
        <w:ind w:right="106" w:firstLine="420"/>
        <w:jc w:val="both"/>
      </w:pPr>
      <w:r>
        <w:rPr>
          <w:spacing w:val="-5"/>
        </w:rPr>
        <w:t>三、若被保险人在附加合同生效日次日零时起</w:t>
      </w:r>
      <w:r>
        <w:rPr/>
        <w:t>（</w:t>
      </w:r>
      <w:r>
        <w:rPr>
          <w:spacing w:val="-4"/>
        </w:rPr>
        <w:t>在附加合同履行中有复效情形的，自每一次复效日次</w:t>
      </w:r>
      <w:r>
        <w:rPr>
          <w:spacing w:val="-3"/>
          <w:w w:val="100"/>
        </w:rPr>
        <w:t>日零时起</w:t>
      </w:r>
      <w:r>
        <w:rPr>
          <w:spacing w:val="-109"/>
          <w:w w:val="100"/>
        </w:rPr>
        <w:t>）</w:t>
      </w:r>
      <w:r>
        <w:rPr>
          <w:spacing w:val="-4"/>
          <w:w w:val="100"/>
        </w:rPr>
        <w:t>，年满</w:t>
      </w:r>
      <w:r>
        <w:rPr>
          <w:spacing w:val="-4"/>
        </w:rPr>
        <w:t> </w:t>
      </w:r>
      <w:r>
        <w:rPr>
          <w:rFonts w:ascii="Times New Roman" w:eastAsia="Times New Roman"/>
          <w:w w:val="100"/>
        </w:rPr>
        <w:t>18</w:t>
      </w:r>
      <w:r>
        <w:rPr>
          <w:rFonts w:ascii="Times New Roman" w:eastAsia="Times New Roman"/>
        </w:rPr>
        <w:t> </w:t>
      </w:r>
      <w:r>
        <w:rPr>
          <w:spacing w:val="-5"/>
          <w:w w:val="100"/>
        </w:rPr>
        <w:t>周岁前发生身故或永久完全残疾的，附加合同终止，我们向您返还被保险人身故或永</w:t>
      </w:r>
      <w:r>
        <w:rPr>
          <w:spacing w:val="-3"/>
        </w:rPr>
        <w:t>久完全残疾时您已交付的附加合同保险费与附加合同现金价值两者中金额较大者。</w:t>
      </w:r>
    </w:p>
    <w:p>
      <w:pPr>
        <w:pStyle w:val="Heading2"/>
        <w:numPr>
          <w:ilvl w:val="1"/>
          <w:numId w:val="2"/>
        </w:numPr>
        <w:tabs>
          <w:tab w:pos="594" w:val="left" w:leader="none"/>
        </w:tabs>
        <w:spacing w:line="240" w:lineRule="auto" w:before="57" w:after="0"/>
        <w:ind w:left="593" w:right="0" w:hanging="481"/>
        <w:jc w:val="left"/>
      </w:pPr>
      <w:bookmarkStart w:name="_TOC_250004" w:id="26"/>
      <w:bookmarkEnd w:id="26"/>
      <w:r>
        <w:rPr>
          <w:w w:val="95"/>
        </w:rPr>
        <w:t>年龄计算及错误处理</w:t>
      </w:r>
    </w:p>
    <w:p>
      <w:pPr>
        <w:pStyle w:val="BodyText"/>
        <w:spacing w:line="273" w:lineRule="auto" w:before="14"/>
        <w:ind w:right="106" w:firstLine="420"/>
        <w:jc w:val="both"/>
      </w:pPr>
      <w:r>
        <w:rPr>
          <w:spacing w:val="-5"/>
        </w:rPr>
        <w:t>被保险人的年龄按周岁计算。您在投保时应将被保险人的真实年龄准确填写在投保申请书上。如果发</w:t>
      </w:r>
      <w:r>
        <w:rPr>
          <w:spacing w:val="-4"/>
        </w:rPr>
        <w:t>生错误，我们按照下列规定办理：</w:t>
      </w:r>
    </w:p>
    <w:p>
      <w:pPr>
        <w:pStyle w:val="BodyText"/>
        <w:spacing w:line="266" w:lineRule="auto" w:before="8"/>
        <w:ind w:right="106" w:firstLine="420"/>
        <w:jc w:val="both"/>
      </w:pPr>
      <w:r>
        <w:rPr>
          <w:spacing w:val="-6"/>
        </w:rPr>
        <w:t>一、您申报的被保险人年龄不真实并且其真实年龄不符合附加合同约定的年龄限制的，我们有权解除</w:t>
      </w:r>
      <w:r>
        <w:rPr>
          <w:spacing w:val="-17"/>
        </w:rPr>
        <w:t>附加合同，并向您退还附加合同解除之日的现金价值；该合同解除权，自我们知道年龄申报不真实之日起， </w:t>
      </w:r>
      <w:r>
        <w:rPr>
          <w:spacing w:val="-19"/>
        </w:rPr>
        <w:t>超过 </w:t>
      </w:r>
      <w:r>
        <w:rPr>
          <w:rFonts w:ascii="Times New Roman" w:eastAsia="Times New Roman"/>
        </w:rPr>
        <w:t>30</w:t>
      </w:r>
      <w:r>
        <w:rPr>
          <w:rFonts w:ascii="Times New Roman" w:eastAsia="Times New Roman"/>
          <w:spacing w:val="30"/>
        </w:rPr>
        <w:t> </w:t>
      </w:r>
      <w:r>
        <w:rPr>
          <w:spacing w:val="-4"/>
        </w:rPr>
        <w:t>日不行使而消灭，但自附加合同成立之日起超过 </w:t>
      </w:r>
      <w:r>
        <w:rPr>
          <w:rFonts w:ascii="Times New Roman" w:eastAsia="Times New Roman"/>
        </w:rPr>
        <w:t>2 </w:t>
      </w:r>
      <w:r>
        <w:rPr>
          <w:spacing w:val="-3"/>
        </w:rPr>
        <w:t>年的，我们不得解除附加合同，并依据本款第二、第三项办理。</w:t>
      </w:r>
    </w:p>
    <w:p>
      <w:pPr>
        <w:pStyle w:val="BodyText"/>
        <w:spacing w:line="273" w:lineRule="auto" w:before="14"/>
        <w:ind w:right="106" w:firstLine="420"/>
        <w:jc w:val="both"/>
      </w:pPr>
      <w:r>
        <w:rPr>
          <w:spacing w:val="-6"/>
        </w:rPr>
        <w:t>二、您申报的被保险人年龄不真实，致使您实交的保险费少于应交的保险费的，我们有权更正并要求</w:t>
      </w:r>
      <w:r>
        <w:rPr>
          <w:spacing w:val="-4"/>
        </w:rPr>
        <w:t>您补交不足的部分。若已经发生保险事故，在给付保险金时按照实付保险费与应付保险费的比例给付。</w:t>
      </w:r>
    </w:p>
    <w:p>
      <w:pPr>
        <w:pStyle w:val="BodyText"/>
        <w:spacing w:line="273" w:lineRule="auto" w:before="7"/>
        <w:ind w:right="106" w:firstLine="420"/>
        <w:jc w:val="both"/>
      </w:pPr>
      <w:r>
        <w:rPr>
          <w:spacing w:val="-6"/>
        </w:rPr>
        <w:t>三、您申报的被保险人年龄不真实，致使您实交的保险费多于应交的保险费的，我们将无息退还多交</w:t>
      </w:r>
      <w:r>
        <w:rPr>
          <w:spacing w:val="-4"/>
        </w:rPr>
        <w:t>的部分。</w:t>
      </w:r>
    </w:p>
    <w:p>
      <w:pPr>
        <w:pStyle w:val="Heading2"/>
        <w:numPr>
          <w:ilvl w:val="1"/>
          <w:numId w:val="2"/>
        </w:numPr>
        <w:tabs>
          <w:tab w:pos="594" w:val="left" w:leader="none"/>
        </w:tabs>
        <w:spacing w:line="240" w:lineRule="auto" w:before="48" w:after="0"/>
        <w:ind w:left="593" w:right="0" w:hanging="481"/>
        <w:jc w:val="left"/>
      </w:pPr>
      <w:bookmarkStart w:name="_TOC_250003" w:id="27"/>
      <w:bookmarkEnd w:id="27"/>
      <w:r>
        <w:rPr>
          <w:spacing w:val="-1"/>
          <w:w w:val="95"/>
        </w:rPr>
        <w:t>联系方式的变更</w:t>
      </w:r>
    </w:p>
    <w:p>
      <w:pPr>
        <w:pStyle w:val="BodyText"/>
        <w:spacing w:line="273" w:lineRule="auto" w:before="16"/>
        <w:ind w:right="108" w:firstLine="420"/>
        <w:jc w:val="both"/>
      </w:pPr>
      <w:r>
        <w:rPr>
          <w:spacing w:val="-6"/>
        </w:rPr>
        <w:t>您、被保险人以及受益人的住所、通讯地址、电话或电子邮箱等变更时，应及时以书面或双方认可的其他方式通知我们。若您未及时通知，我们按您最后提供的住所、通讯地址、电话或电子邮箱向您发送相</w:t>
      </w:r>
      <w:r>
        <w:rPr>
          <w:spacing w:val="-4"/>
        </w:rPr>
        <w:t>关通知或文件的，均视为已经送达给您。</w:t>
      </w:r>
    </w:p>
    <w:p>
      <w:pPr>
        <w:pStyle w:val="Heading2"/>
        <w:numPr>
          <w:ilvl w:val="1"/>
          <w:numId w:val="2"/>
        </w:numPr>
        <w:tabs>
          <w:tab w:pos="653" w:val="left" w:leader="none"/>
          <w:tab w:pos="654" w:val="left" w:leader="none"/>
        </w:tabs>
        <w:spacing w:line="303" w:lineRule="exact" w:before="0" w:after="0"/>
        <w:ind w:left="653" w:right="0" w:hanging="541"/>
        <w:jc w:val="left"/>
      </w:pPr>
      <w:bookmarkStart w:name="_TOC_250002" w:id="28"/>
      <w:bookmarkEnd w:id="28"/>
      <w:r>
        <w:rPr>
          <w:w w:val="95"/>
        </w:rPr>
        <w:t>身体检查及司法鉴定</w:t>
      </w:r>
    </w:p>
    <w:p>
      <w:pPr>
        <w:pStyle w:val="BodyText"/>
        <w:spacing w:line="273" w:lineRule="auto" w:before="17"/>
        <w:ind w:right="106" w:firstLine="420"/>
        <w:jc w:val="both"/>
      </w:pPr>
      <w:r>
        <w:rPr>
          <w:spacing w:val="-5"/>
        </w:rPr>
        <w:t>在申请保险金给付的期间，我们有权要求由我们指定或认可的医院或司法鉴定机构对被保险人进行相</w:t>
      </w:r>
      <w:r>
        <w:rPr>
          <w:spacing w:val="-4"/>
        </w:rPr>
        <w:t>关检查或鉴定，您和有关人员应给予配合和协助。</w:t>
      </w:r>
    </w:p>
    <w:p>
      <w:pPr>
        <w:pStyle w:val="Heading2"/>
        <w:numPr>
          <w:ilvl w:val="1"/>
          <w:numId w:val="2"/>
        </w:numPr>
        <w:tabs>
          <w:tab w:pos="594" w:val="left" w:leader="none"/>
        </w:tabs>
        <w:spacing w:line="240" w:lineRule="auto" w:before="48" w:after="0"/>
        <w:ind w:left="593" w:right="0" w:hanging="481"/>
        <w:jc w:val="left"/>
      </w:pPr>
      <w:bookmarkStart w:name="_TOC_250001" w:id="29"/>
      <w:bookmarkEnd w:id="29"/>
      <w:r>
        <w:rPr>
          <w:w w:val="95"/>
        </w:rPr>
        <w:t>争议处理</w:t>
      </w:r>
    </w:p>
    <w:p>
      <w:pPr>
        <w:pStyle w:val="BodyText"/>
        <w:spacing w:before="16"/>
        <w:ind w:left="533"/>
      </w:pPr>
      <w:r>
        <w:rPr/>
        <w:t>附加合同争议解决方式由当事人从下列两种方式中选择一种：</w:t>
      </w:r>
    </w:p>
    <w:p>
      <w:pPr>
        <w:pStyle w:val="BodyText"/>
        <w:spacing w:line="273" w:lineRule="auto" w:before="37"/>
        <w:ind w:right="108" w:firstLine="420"/>
        <w:jc w:val="both"/>
      </w:pPr>
      <w:r>
        <w:rPr>
          <w:spacing w:val="-5"/>
        </w:rPr>
        <w:t>一、因履行附加合同发生的争议，由当事人协商解决，协商不成的，提交双方均认可的仲裁委员会仲裁；</w:t>
      </w:r>
    </w:p>
    <w:p>
      <w:pPr>
        <w:pStyle w:val="BodyText"/>
        <w:spacing w:before="7"/>
        <w:ind w:left="533"/>
      </w:pPr>
      <w:r>
        <w:rPr>
          <w:spacing w:val="-18"/>
        </w:rPr>
        <w:t>二、因履行附加合同发生的争议，由当事人协商解决，协商不成的，依法向被告住所地人民法院起诉。</w:t>
      </w:r>
    </w:p>
    <w:p>
      <w:pPr>
        <w:pStyle w:val="Heading1"/>
        <w:numPr>
          <w:ilvl w:val="0"/>
          <w:numId w:val="2"/>
        </w:numPr>
        <w:tabs>
          <w:tab w:pos="593" w:val="left" w:leader="none"/>
          <w:tab w:pos="594" w:val="left" w:leader="none"/>
        </w:tabs>
        <w:spacing w:line="240" w:lineRule="auto" w:before="88" w:after="0"/>
        <w:ind w:left="593" w:right="0" w:hanging="481"/>
        <w:jc w:val="left"/>
        <w:rPr>
          <w:rFonts w:ascii="Times New Roman" w:eastAsia="Times New Roman"/>
        </w:rPr>
      </w:pPr>
      <w:bookmarkStart w:name="_TOC_250000" w:id="30"/>
      <w:bookmarkEnd w:id="30"/>
      <w:r>
        <w:rPr>
          <w:w w:val="95"/>
        </w:rPr>
        <w:t>条款的解释</w:t>
      </w:r>
    </w:p>
    <w:p>
      <w:pPr>
        <w:pStyle w:val="BodyText"/>
        <w:spacing w:line="274" w:lineRule="exact" w:before="62"/>
      </w:pPr>
      <w:r>
        <w:rPr>
          <w:b/>
        </w:rPr>
        <w:t>【您】</w:t>
      </w:r>
      <w:r>
        <w:rPr>
          <w:b/>
          <w:sz w:val="18"/>
        </w:rPr>
        <w:t>：</w:t>
      </w:r>
      <w:r>
        <w:rPr/>
        <w:t>指的是投保人，即购买附加合同项下保险的人。</w:t>
      </w:r>
    </w:p>
    <w:p>
      <w:pPr>
        <w:spacing w:line="274" w:lineRule="exact" w:before="0"/>
        <w:ind w:left="112" w:right="0" w:firstLine="0"/>
        <w:jc w:val="left"/>
        <w:rPr>
          <w:sz w:val="21"/>
        </w:rPr>
      </w:pPr>
      <w:r>
        <w:rPr>
          <w:b/>
          <w:sz w:val="21"/>
        </w:rPr>
        <w:t>【我们】：</w:t>
      </w:r>
      <w:r>
        <w:rPr>
          <w:sz w:val="21"/>
        </w:rPr>
        <w:t>指的是恒安标准人寿保险有限公司。</w:t>
      </w:r>
    </w:p>
    <w:p>
      <w:pPr>
        <w:spacing w:after="0" w:line="274" w:lineRule="exact"/>
        <w:jc w:val="left"/>
        <w:rPr>
          <w:sz w:val="21"/>
        </w:rPr>
        <w:sectPr>
          <w:pgSz w:w="11910" w:h="16840"/>
          <w:pgMar w:header="228" w:footer="888" w:top="1200" w:bottom="1100" w:left="1020" w:right="1020"/>
        </w:sectPr>
      </w:pPr>
    </w:p>
    <w:p>
      <w:pPr>
        <w:spacing w:line="255" w:lineRule="exact" w:before="0"/>
        <w:ind w:left="112" w:right="0" w:firstLine="0"/>
        <w:jc w:val="left"/>
        <w:rPr>
          <w:sz w:val="21"/>
        </w:rPr>
      </w:pPr>
      <w:r>
        <w:rPr>
          <w:b/>
          <w:sz w:val="21"/>
        </w:rPr>
        <w:t>【保险费】：</w:t>
      </w:r>
      <w:r>
        <w:rPr>
          <w:sz w:val="21"/>
        </w:rPr>
        <w:t>指您为购买附加合同项下保险而支付的金额。</w:t>
      </w:r>
    </w:p>
    <w:p>
      <w:pPr>
        <w:pStyle w:val="BodyText"/>
        <w:spacing w:before="18"/>
      </w:pPr>
      <w:r>
        <w:rPr/>
        <w:t>【</w:t>
      </w:r>
      <w:r>
        <w:rPr>
          <w:b/>
        </w:rPr>
        <w:t>保险事故</w:t>
      </w:r>
      <w:r>
        <w:rPr/>
        <w:t>】：是指附加合同约定的我们承担的保险责任范围内的事故。</w:t>
      </w:r>
    </w:p>
    <w:p>
      <w:pPr>
        <w:spacing w:before="15"/>
        <w:ind w:left="112" w:right="0" w:firstLine="0"/>
        <w:jc w:val="left"/>
        <w:rPr>
          <w:sz w:val="21"/>
        </w:rPr>
      </w:pPr>
      <w:r>
        <w:rPr>
          <w:b/>
          <w:sz w:val="21"/>
        </w:rPr>
        <w:t>【保险金】：</w:t>
      </w:r>
      <w:r>
        <w:rPr>
          <w:sz w:val="21"/>
        </w:rPr>
        <w:t>是指被保险人发生保险事故时，我们给付的金额。</w:t>
      </w:r>
    </w:p>
    <w:p>
      <w:pPr>
        <w:spacing w:line="247" w:lineRule="auto" w:before="20"/>
        <w:ind w:left="112" w:right="163" w:firstLine="0"/>
        <w:jc w:val="left"/>
        <w:rPr>
          <w:rFonts w:ascii="黑体" w:eastAsia="黑体" w:hint="eastAsia"/>
          <w:sz w:val="24"/>
        </w:rPr>
      </w:pPr>
      <w:r>
        <w:rPr>
          <w:b/>
          <w:sz w:val="21"/>
        </w:rPr>
        <w:t>【意外伤害事故】</w:t>
      </w:r>
      <w:r>
        <w:rPr>
          <w:sz w:val="21"/>
        </w:rPr>
        <w:t>：是指外来的、不可预知的、突发的、非被保险人本意的、非疾病的并以此为直接原因使被保险人身体受到伤害的客观事件。</w:t>
      </w:r>
      <w:r>
        <w:rPr>
          <w:rFonts w:ascii="黑体" w:eastAsia="黑体" w:hint="eastAsia"/>
          <w:sz w:val="24"/>
        </w:rPr>
        <w:t>猝死不属于意外伤害事故。</w:t>
      </w:r>
    </w:p>
    <w:p>
      <w:pPr>
        <w:pStyle w:val="BodyText"/>
        <w:spacing w:before="18"/>
      </w:pPr>
      <w:r>
        <w:rPr/>
        <w:t>【</w:t>
      </w:r>
      <w:r>
        <w:rPr>
          <w:b/>
        </w:rPr>
        <w:t>初次罹患</w:t>
      </w:r>
      <w:r>
        <w:rPr/>
        <w:t>】：是指被保险人一生中首次罹患某种疾病。</w:t>
      </w:r>
    </w:p>
    <w:p>
      <w:pPr>
        <w:pStyle w:val="BodyText"/>
        <w:spacing w:line="273" w:lineRule="auto" w:before="37"/>
        <w:ind w:right="206"/>
        <w:jc w:val="both"/>
      </w:pPr>
      <w:r>
        <w:rPr/>
        <w:t>【</w:t>
      </w:r>
      <w:r>
        <w:rPr>
          <w:b/>
          <w:spacing w:val="-1"/>
        </w:rPr>
        <w:t>我们指定或认可的医院</w:t>
      </w:r>
      <w:r>
        <w:rPr>
          <w:spacing w:val="-7"/>
        </w:rPr>
        <w:t>】：我们指定的医院见保险单中的附表。若被保险人居住地及事故发生地没有我们指定的医院，则为国家卫生部规定的医院等级分类中的二级甲等以上</w:t>
      </w:r>
      <w:r>
        <w:rPr/>
        <w:t>（</w:t>
      </w:r>
      <w:r>
        <w:rPr>
          <w:spacing w:val="-3"/>
        </w:rPr>
        <w:t>含二级甲等</w:t>
      </w:r>
      <w:r>
        <w:rPr>
          <w:spacing w:val="-8"/>
        </w:rPr>
        <w:t>）</w:t>
      </w:r>
      <w:r>
        <w:rPr>
          <w:spacing w:val="-3"/>
        </w:rPr>
        <w:t>或虽未达到该等级</w:t>
      </w:r>
      <w:r>
        <w:rPr>
          <w:spacing w:val="-5"/>
        </w:rPr>
        <w:t>但我们认为其医疗水平满足我们要求的医院。当被保险人因紧急抢救不受此限制，但经急救处理伤情稳定</w:t>
      </w:r>
      <w:r>
        <w:rPr>
          <w:spacing w:val="-4"/>
        </w:rPr>
        <w:t>后，必须及时转入我们指定或认可的医院治疗。</w:t>
      </w:r>
    </w:p>
    <w:p>
      <w:pPr>
        <w:pStyle w:val="BodyText"/>
        <w:spacing w:before="8"/>
      </w:pPr>
      <w:r>
        <w:rPr>
          <w:b/>
          <w:spacing w:val="-27"/>
        </w:rPr>
        <w:t>【专科医生】：</w:t>
      </w:r>
      <w:r>
        <w:rPr>
          <w:spacing w:val="-13"/>
        </w:rPr>
        <w:t>专科医生应当同时满足以下四项资格条件：①具有有效的中华人民共和国《医师资格证书》；</w:t>
      </w:r>
    </w:p>
    <w:p>
      <w:pPr>
        <w:pStyle w:val="BodyText"/>
        <w:spacing w:line="273" w:lineRule="auto" w:before="37"/>
        <w:ind w:right="209"/>
        <w:jc w:val="both"/>
      </w:pPr>
      <w:r>
        <w:rPr>
          <w:spacing w:val="-6"/>
        </w:rPr>
        <w:t>②具有有效的中华人民共和国《医师执业证书》，并按期到相关部门登记注册；③具有有效的中华人民共</w:t>
      </w:r>
      <w:r>
        <w:rPr>
          <w:spacing w:val="-11"/>
        </w:rPr>
        <w:t>和国主治医师或主治医师以上职称的《医师职称证书》；④在二级或二级以上医院的相应科室从事临床工</w:t>
      </w:r>
      <w:r>
        <w:rPr>
          <w:spacing w:val="-6"/>
        </w:rPr>
        <w:t>作三年以上。</w:t>
      </w:r>
    </w:p>
    <w:p>
      <w:pPr>
        <w:pStyle w:val="BodyText"/>
        <w:spacing w:line="273" w:lineRule="auto" w:before="7"/>
        <w:ind w:right="212"/>
      </w:pPr>
      <w:r>
        <w:rPr/>
        <w:t>【</w:t>
      </w:r>
      <w:r>
        <w:rPr>
          <w:b/>
        </w:rPr>
        <w:t>现金价值</w:t>
      </w:r>
      <w:r>
        <w:rPr>
          <w:spacing w:val="-11"/>
        </w:rPr>
        <w:t>】：指保险单所具有的价值，通常体现为解除合同时，根据精算原理计算的，由我们退还的那</w:t>
      </w:r>
      <w:r>
        <w:rPr>
          <w:spacing w:val="-6"/>
        </w:rPr>
        <w:t>部分金额。</w:t>
      </w:r>
    </w:p>
    <w:p>
      <w:pPr>
        <w:pStyle w:val="BodyText"/>
        <w:spacing w:line="273" w:lineRule="auto" w:before="7"/>
        <w:ind w:right="206"/>
        <w:jc w:val="both"/>
      </w:pPr>
      <w:r>
        <w:rPr>
          <w:b/>
          <w:spacing w:val="-27"/>
        </w:rPr>
        <w:t>【毒品】</w:t>
      </w:r>
      <w:r>
        <w:rPr>
          <w:spacing w:val="-5"/>
        </w:rPr>
        <w:t>：指中华人民共和国刑法规定的鸦片、海洛因、甲基苯丙胺</w:t>
      </w:r>
      <w:r>
        <w:rPr/>
        <w:t>（</w:t>
      </w:r>
      <w:r>
        <w:rPr>
          <w:spacing w:val="-2"/>
        </w:rPr>
        <w:t>冰毒</w:t>
      </w:r>
      <w:r>
        <w:rPr>
          <w:spacing w:val="-108"/>
        </w:rPr>
        <w:t>）</w:t>
      </w:r>
      <w:r>
        <w:rPr>
          <w:spacing w:val="-3"/>
        </w:rPr>
        <w:t>、吗啡、大麻、可卡因以及国</w:t>
      </w:r>
      <w:r>
        <w:rPr>
          <w:spacing w:val="-4"/>
        </w:rPr>
        <w:t>家规定管制的其他能够使人形成瘾癖的麻醉药品和精神药品，但不包括由医生开具并遵医嘱使用的用于治</w:t>
      </w:r>
      <w:r>
        <w:rPr>
          <w:spacing w:val="-3"/>
        </w:rPr>
        <w:t>疗疾病但含有毒品成分的处方药品。</w:t>
      </w:r>
    </w:p>
    <w:p>
      <w:pPr>
        <w:pStyle w:val="BodyText"/>
        <w:spacing w:line="273" w:lineRule="auto" w:before="7"/>
        <w:ind w:right="212"/>
      </w:pPr>
      <w:r>
        <w:rPr/>
        <w:t>【</w:t>
      </w:r>
      <w:r>
        <w:rPr>
          <w:b/>
        </w:rPr>
        <w:t>酒后驾驶</w:t>
      </w:r>
      <w:r>
        <w:rPr>
          <w:spacing w:val="-11"/>
        </w:rPr>
        <w:t>】：指经检测或鉴定，发生事故时车辆驾驶人员每百毫升血液中的酒精含量达到或超过一定的</w:t>
      </w:r>
      <w:r>
        <w:rPr>
          <w:spacing w:val="-6"/>
        </w:rPr>
        <w:t>标准，被国家有关机关认定为酒后驾驶。</w:t>
      </w:r>
    </w:p>
    <w:p>
      <w:pPr>
        <w:spacing w:before="7"/>
        <w:ind w:left="112" w:right="0" w:firstLine="0"/>
        <w:jc w:val="both"/>
        <w:rPr>
          <w:sz w:val="21"/>
        </w:rPr>
      </w:pPr>
      <w:r>
        <w:rPr>
          <w:b/>
          <w:sz w:val="21"/>
        </w:rPr>
        <w:t>【无合法有效驾驶证驾驶】</w:t>
      </w:r>
      <w:r>
        <w:rPr>
          <w:sz w:val="21"/>
        </w:rPr>
        <w:t>：指下列情形之一：</w:t>
      </w:r>
    </w:p>
    <w:p>
      <w:pPr>
        <w:pStyle w:val="BodyText"/>
        <w:spacing w:before="37"/>
        <w:jc w:val="both"/>
      </w:pPr>
      <w:r>
        <w:rPr/>
        <w:t>（</w:t>
      </w:r>
      <w:r>
        <w:rPr>
          <w:rFonts w:ascii="Times New Roman" w:eastAsia="Times New Roman"/>
        </w:rPr>
        <w:t>1</w:t>
      </w:r>
      <w:r>
        <w:rPr/>
        <w:t>）没有驾驶证驾驶；</w:t>
      </w:r>
    </w:p>
    <w:p>
      <w:pPr>
        <w:pStyle w:val="BodyText"/>
        <w:jc w:val="both"/>
      </w:pPr>
      <w:r>
        <w:rPr/>
        <w:t>（</w:t>
      </w:r>
      <w:r>
        <w:rPr>
          <w:rFonts w:ascii="Times New Roman" w:eastAsia="Times New Roman"/>
        </w:rPr>
        <w:t>2</w:t>
      </w:r>
      <w:r>
        <w:rPr/>
        <w:t>）驾驶与驾驶证准驾车型不相符合的车辆；</w:t>
      </w:r>
    </w:p>
    <w:p>
      <w:pPr>
        <w:pStyle w:val="BodyText"/>
        <w:jc w:val="both"/>
      </w:pPr>
      <w:r>
        <w:rPr/>
        <w:t>（</w:t>
      </w:r>
      <w:r>
        <w:rPr>
          <w:rFonts w:ascii="Times New Roman" w:eastAsia="Times New Roman"/>
        </w:rPr>
        <w:t>3</w:t>
      </w:r>
      <w:r>
        <w:rPr/>
        <w:t>）驾驶员持审验不合格的驾驶证驾驶；</w:t>
      </w:r>
    </w:p>
    <w:p>
      <w:pPr>
        <w:pStyle w:val="BodyText"/>
        <w:jc w:val="both"/>
      </w:pPr>
      <w:r>
        <w:rPr/>
        <w:t>（</w:t>
      </w:r>
      <w:r>
        <w:rPr>
          <w:rFonts w:ascii="Times New Roman" w:eastAsia="Times New Roman"/>
        </w:rPr>
        <w:t>4</w:t>
      </w:r>
      <w:r>
        <w:rPr/>
        <w:t>）未经公安交通管理部门同意，持未审验的驾驶证驾驶；</w:t>
      </w:r>
    </w:p>
    <w:p>
      <w:pPr>
        <w:pStyle w:val="BodyText"/>
        <w:jc w:val="both"/>
      </w:pPr>
      <w:r>
        <w:rPr/>
        <w:t>（</w:t>
      </w:r>
      <w:r>
        <w:rPr>
          <w:rFonts w:ascii="Times New Roman" w:eastAsia="Times New Roman"/>
        </w:rPr>
        <w:t>5</w:t>
      </w:r>
      <w:r>
        <w:rPr/>
        <w:t>）持学习驾驶证学习驾车时，无教练员随车指导，或不按指定时间、路线学习驾车；</w:t>
      </w:r>
    </w:p>
    <w:p>
      <w:pPr>
        <w:pStyle w:val="BodyText"/>
        <w:jc w:val="both"/>
      </w:pPr>
      <w:r>
        <w:rPr/>
        <w:t>（</w:t>
      </w:r>
      <w:r>
        <w:rPr>
          <w:rFonts w:ascii="Times New Roman" w:eastAsia="Times New Roman"/>
        </w:rPr>
        <w:t>6</w:t>
      </w:r>
      <w:r>
        <w:rPr/>
        <w:t>）公安交通管理部门规定的其他无有效驾驶证驾驶的情况。</w:t>
      </w:r>
    </w:p>
    <w:p>
      <w:pPr>
        <w:spacing w:before="21"/>
        <w:ind w:left="112" w:right="0" w:firstLine="0"/>
        <w:jc w:val="both"/>
        <w:rPr>
          <w:sz w:val="21"/>
        </w:rPr>
      </w:pPr>
      <w:r>
        <w:rPr>
          <w:b/>
          <w:sz w:val="21"/>
        </w:rPr>
        <w:t>【驾驶无有效行驶证的机动车】</w:t>
      </w:r>
      <w:r>
        <w:rPr>
          <w:sz w:val="21"/>
        </w:rPr>
        <w:t>：指下列情形之一：</w:t>
      </w:r>
    </w:p>
    <w:p>
      <w:pPr>
        <w:pStyle w:val="BodyText"/>
        <w:spacing w:before="37"/>
        <w:jc w:val="both"/>
      </w:pPr>
      <w:r>
        <w:rPr/>
        <w:t>（</w:t>
      </w:r>
      <w:r>
        <w:rPr>
          <w:rFonts w:ascii="Times New Roman" w:eastAsia="Times New Roman"/>
        </w:rPr>
        <w:t>1</w:t>
      </w:r>
      <w:r>
        <w:rPr/>
        <w:t>）机动车被依法注销登记的；</w:t>
      </w:r>
    </w:p>
    <w:p>
      <w:pPr>
        <w:pStyle w:val="BodyText"/>
        <w:jc w:val="both"/>
      </w:pPr>
      <w:r>
        <w:rPr/>
        <w:t>（</w:t>
      </w:r>
      <w:r>
        <w:rPr>
          <w:rFonts w:ascii="Times New Roman" w:eastAsia="Times New Roman"/>
        </w:rPr>
        <w:t>2</w:t>
      </w:r>
      <w:r>
        <w:rPr/>
        <w:t>）未在法律规定期限内按时进行或通过安全技术检验。</w:t>
      </w:r>
    </w:p>
    <w:p>
      <w:pPr>
        <w:pStyle w:val="BodyText"/>
        <w:spacing w:line="256" w:lineRule="auto"/>
        <w:ind w:right="208"/>
      </w:pPr>
      <w:r>
        <w:rPr>
          <w:b/>
          <w:spacing w:val="-12"/>
        </w:rPr>
        <w:t>【感染艾滋病病毒】</w:t>
      </w:r>
      <w:r>
        <w:rPr>
          <w:spacing w:val="-8"/>
        </w:rPr>
        <w:t>：艾滋病病毒是人类免疫缺陷病毒</w:t>
      </w:r>
      <w:r>
        <w:rPr>
          <w:spacing w:val="-7"/>
        </w:rPr>
        <w:t>（</w:t>
      </w:r>
      <w:r>
        <w:rPr>
          <w:rFonts w:ascii="Times New Roman" w:eastAsia="Times New Roman"/>
          <w:spacing w:val="-7"/>
        </w:rPr>
        <w:t>HIV</w:t>
      </w:r>
      <w:r>
        <w:rPr>
          <w:spacing w:val="-7"/>
        </w:rPr>
        <w:t>）的简称。如在人体血液或其他样本中检测到</w:t>
      </w:r>
      <w:r>
        <w:rPr>
          <w:spacing w:val="-5"/>
        </w:rPr>
        <w:t>艾滋病病毒或者其抗体呈阳性，没有出现临床症状或体征的，为感染艾滋病病毒。</w:t>
      </w:r>
    </w:p>
    <w:p>
      <w:pPr>
        <w:pStyle w:val="BodyText"/>
        <w:spacing w:line="256" w:lineRule="auto" w:before="23"/>
        <w:ind w:right="211"/>
      </w:pPr>
      <w:r>
        <w:rPr>
          <w:b/>
          <w:spacing w:val="-18"/>
        </w:rPr>
        <w:t>【患艾滋病】</w:t>
      </w:r>
      <w:r>
        <w:rPr>
          <w:spacing w:val="-3"/>
        </w:rPr>
        <w:t>：艾滋病是人类免疫缺陷病毒引起的获得性免疫力缺乏综合征</w:t>
      </w:r>
      <w:r>
        <w:rPr/>
        <w:t>（</w:t>
      </w:r>
      <w:r>
        <w:rPr>
          <w:rFonts w:ascii="Times New Roman" w:eastAsia="Times New Roman"/>
        </w:rPr>
        <w:t>AIDS</w:t>
      </w:r>
      <w:r>
        <w:rPr/>
        <w:t>）</w:t>
      </w:r>
      <w:r>
        <w:rPr>
          <w:spacing w:val="-3"/>
        </w:rPr>
        <w:t>的简称。如在人体血液或其他样本中检测到艾滋病病毒或者其抗体呈阳性，且同时出现临床症状或体征的，为患艾滋病。</w:t>
      </w:r>
    </w:p>
    <w:p>
      <w:pPr>
        <w:pStyle w:val="BodyText"/>
        <w:spacing w:line="273" w:lineRule="auto" w:before="22"/>
        <w:ind w:right="163"/>
      </w:pPr>
      <w:r>
        <w:rPr>
          <w:b/>
        </w:rPr>
        <w:t>【遗传性疾病】：</w:t>
      </w:r>
      <w:r>
        <w:rPr/>
        <w:t>指生殖细胞或受精卵的遗传物质（染色体和基因）发生突变或畸变所引起的疾病，通常具有由亲代传至后代的垂直传递的特征。</w:t>
      </w:r>
    </w:p>
    <w:p>
      <w:pPr>
        <w:pStyle w:val="BodyText"/>
        <w:spacing w:line="273" w:lineRule="auto" w:before="7"/>
        <w:ind w:right="208"/>
      </w:pPr>
      <w:r>
        <w:rPr>
          <w:b/>
          <w:spacing w:val="-13"/>
        </w:rPr>
        <w:t>【先天性畸形、变形或染色体异常】</w:t>
      </w:r>
      <w:r>
        <w:rPr>
          <w:spacing w:val="-12"/>
        </w:rPr>
        <w:t>：指被保险人出生时就具有的畸形、变形和染色体异常。先天性畸形、</w:t>
      </w:r>
      <w:r>
        <w:rPr>
          <w:spacing w:val="-7"/>
        </w:rPr>
        <w:t>变形和染色体异常依照世界卫生组织《疾病和有关健康问题的国际统计分类》</w:t>
      </w:r>
      <w:r>
        <w:rPr/>
        <w:t>（</w:t>
      </w:r>
      <w:r>
        <w:rPr>
          <w:rFonts w:ascii="Times New Roman" w:eastAsia="Times New Roman"/>
        </w:rPr>
        <w:t>ICD-10</w:t>
      </w:r>
      <w:r>
        <w:rPr/>
        <w:t>）</w:t>
      </w:r>
      <w:r>
        <w:rPr>
          <w:spacing w:val="-2"/>
        </w:rPr>
        <w:t>确定。</w:t>
      </w:r>
    </w:p>
    <w:p>
      <w:pPr>
        <w:spacing w:line="279" w:lineRule="exact" w:before="0"/>
        <w:ind w:left="112" w:right="0" w:firstLine="0"/>
        <w:jc w:val="both"/>
        <w:rPr>
          <w:sz w:val="21"/>
        </w:rPr>
      </w:pPr>
      <w:r>
        <w:rPr>
          <w:b/>
          <w:sz w:val="21"/>
        </w:rPr>
        <w:t>【首期保险费】</w:t>
      </w:r>
      <w:r>
        <w:rPr>
          <w:sz w:val="21"/>
        </w:rPr>
        <w:t>：指保险期间内第 </w:t>
      </w:r>
      <w:r>
        <w:rPr>
          <w:rFonts w:ascii="Times New Roman" w:eastAsia="Times New Roman"/>
          <w:sz w:val="21"/>
        </w:rPr>
        <w:t>1 </w:t>
      </w:r>
      <w:r>
        <w:rPr>
          <w:sz w:val="21"/>
        </w:rPr>
        <w:t>年的应交保险费。</w:t>
      </w:r>
    </w:p>
    <w:p>
      <w:pPr>
        <w:spacing w:before="22"/>
        <w:ind w:left="112" w:right="0" w:firstLine="0"/>
        <w:jc w:val="both"/>
        <w:rPr>
          <w:sz w:val="21"/>
        </w:rPr>
      </w:pPr>
      <w:r>
        <w:rPr>
          <w:b/>
          <w:sz w:val="21"/>
        </w:rPr>
        <w:t>【续期保险费】</w:t>
      </w:r>
      <w:r>
        <w:rPr>
          <w:sz w:val="21"/>
        </w:rPr>
        <w:t>：指保险期间内第 </w:t>
      </w:r>
      <w:r>
        <w:rPr>
          <w:rFonts w:ascii="Times New Roman" w:eastAsia="Times New Roman"/>
          <w:sz w:val="21"/>
        </w:rPr>
        <w:t>2 </w:t>
      </w:r>
      <w:r>
        <w:rPr>
          <w:sz w:val="21"/>
        </w:rPr>
        <w:t>年及以后各年的应交保险费。</w:t>
      </w:r>
    </w:p>
    <w:p>
      <w:pPr>
        <w:pStyle w:val="BodyText"/>
        <w:jc w:val="both"/>
      </w:pPr>
      <w:r>
        <w:rPr>
          <w:b/>
          <w:spacing w:val="-11"/>
        </w:rPr>
        <w:t>【合同生效日对应日】</w:t>
      </w:r>
      <w:r>
        <w:rPr>
          <w:spacing w:val="-4"/>
        </w:rPr>
        <w:t>：指保险单中载明的保险单生效日在每年的对应日。保险单生效日为 </w:t>
      </w:r>
      <w:r>
        <w:rPr>
          <w:rFonts w:ascii="Times New Roman" w:eastAsia="Times New Roman"/>
        </w:rPr>
        <w:t>2 </w:t>
      </w:r>
      <w:r>
        <w:rPr>
          <w:spacing w:val="-11"/>
        </w:rPr>
        <w:t>月 </w:t>
      </w:r>
      <w:r>
        <w:rPr>
          <w:rFonts w:ascii="Times New Roman" w:eastAsia="Times New Roman"/>
        </w:rPr>
        <w:t>29 </w:t>
      </w:r>
      <w:r>
        <w:rPr>
          <w:spacing w:val="-2"/>
        </w:rPr>
        <w:t>日的，</w:t>
      </w:r>
    </w:p>
    <w:p>
      <w:pPr>
        <w:pStyle w:val="BodyText"/>
        <w:jc w:val="both"/>
      </w:pPr>
      <w:r>
        <w:rPr/>
        <w:t>保险合同有效期内的某年如果没有 </w:t>
      </w:r>
      <w:r>
        <w:rPr>
          <w:rFonts w:ascii="Times New Roman" w:eastAsia="Times New Roman"/>
        </w:rPr>
        <w:t>2 </w:t>
      </w:r>
      <w:r>
        <w:rPr/>
        <w:t>月 </w:t>
      </w:r>
      <w:r>
        <w:rPr>
          <w:rFonts w:ascii="Times New Roman" w:eastAsia="Times New Roman"/>
        </w:rPr>
        <w:t>29 </w:t>
      </w:r>
      <w:r>
        <w:rPr/>
        <w:t>日，则 </w:t>
      </w:r>
      <w:r>
        <w:rPr>
          <w:rFonts w:ascii="Times New Roman" w:eastAsia="Times New Roman"/>
        </w:rPr>
        <w:t>2 </w:t>
      </w:r>
      <w:r>
        <w:rPr/>
        <w:t>月 </w:t>
      </w:r>
      <w:r>
        <w:rPr>
          <w:rFonts w:ascii="Times New Roman" w:eastAsia="Times New Roman"/>
        </w:rPr>
        <w:t>28 </w:t>
      </w:r>
      <w:r>
        <w:rPr/>
        <w:t>日为该年的合同生效日对应日。</w:t>
      </w:r>
    </w:p>
    <w:p>
      <w:pPr>
        <w:pStyle w:val="BodyText"/>
        <w:spacing w:line="273" w:lineRule="auto" w:before="22"/>
        <w:ind w:right="162"/>
      </w:pPr>
      <w:r>
        <w:rPr>
          <w:b/>
        </w:rPr>
        <w:t>【利息】：</w:t>
      </w:r>
      <w:r>
        <w:rPr/>
        <w:t>附加合同效力中止后补交续期保险费会产生利息。该利息按我们公布的贷款利率进行计算并通过年复利的方式进行计息。</w:t>
      </w:r>
    </w:p>
    <w:p>
      <w:pPr>
        <w:pStyle w:val="BodyText"/>
        <w:spacing w:before="8"/>
        <w:jc w:val="both"/>
      </w:pPr>
      <w:r>
        <w:rPr>
          <w:b/>
        </w:rPr>
        <w:t>【保单年度】</w:t>
      </w:r>
      <w:r>
        <w:rPr/>
        <w:t>：从附加合同生效日次日零时起，每十二个连续日历月为一个保单年度。</w:t>
      </w:r>
    </w:p>
    <w:p>
      <w:pPr>
        <w:spacing w:after="0"/>
        <w:jc w:val="both"/>
        <w:sectPr>
          <w:pgSz w:w="11910" w:h="16840"/>
          <w:pgMar w:header="228" w:footer="888" w:top="1200" w:bottom="1100" w:left="1020" w:right="920"/>
        </w:sectPr>
      </w:pPr>
    </w:p>
    <w:p>
      <w:pPr>
        <w:pStyle w:val="BodyText"/>
        <w:spacing w:before="1"/>
        <w:jc w:val="both"/>
      </w:pPr>
      <w:r>
        <w:rPr/>
        <w:t>【</w:t>
      </w:r>
      <w:r>
        <w:rPr>
          <w:b/>
        </w:rPr>
        <w:t>不可抗力</w:t>
      </w:r>
      <w:r>
        <w:rPr/>
        <w:t>】：是指不能预见、不可避免且无法克服的客观情况。</w:t>
      </w:r>
    </w:p>
    <w:p>
      <w:pPr>
        <w:pStyle w:val="BodyText"/>
        <w:spacing w:line="291" w:lineRule="exact" w:before="66"/>
        <w:jc w:val="both"/>
      </w:pPr>
      <w:r>
        <w:rPr>
          <w:b/>
          <w:spacing w:val="-22"/>
        </w:rPr>
        <w:t>【周岁】：</w:t>
      </w:r>
      <w:r>
        <w:rPr>
          <w:spacing w:val="-3"/>
        </w:rPr>
        <w:t>以法定身份证明文件中记载的出生日期为准</w:t>
      </w:r>
      <w:r>
        <w:rPr/>
        <w:t>（</w:t>
      </w:r>
      <w:r>
        <w:rPr>
          <w:spacing w:val="-13"/>
        </w:rPr>
        <w:t>不足 </w:t>
      </w:r>
      <w:r>
        <w:rPr>
          <w:rFonts w:ascii="Times New Roman" w:eastAsia="Times New Roman"/>
        </w:rPr>
        <w:t>1 </w:t>
      </w:r>
      <w:r>
        <w:rPr>
          <w:spacing w:val="-2"/>
        </w:rPr>
        <w:t>年不计</w:t>
      </w:r>
      <w:r>
        <w:rPr>
          <w:spacing w:val="-108"/>
        </w:rPr>
        <w:t>）</w:t>
      </w:r>
      <w:r>
        <w:rPr/>
        <w:t>。</w:t>
      </w:r>
    </w:p>
    <w:p>
      <w:pPr>
        <w:spacing w:line="274" w:lineRule="exact" w:before="0"/>
        <w:ind w:left="112" w:right="0" w:firstLine="0"/>
        <w:jc w:val="both"/>
        <w:rPr>
          <w:sz w:val="21"/>
        </w:rPr>
      </w:pPr>
      <w:r>
        <w:rPr>
          <w:b/>
          <w:sz w:val="21"/>
        </w:rPr>
        <w:t>【永久完全残疾】</w:t>
      </w:r>
      <w:r>
        <w:rPr>
          <w:sz w:val="21"/>
        </w:rPr>
        <w:t>：指被保险人发生下列任何一种情形：</w:t>
      </w:r>
    </w:p>
    <w:p>
      <w:pPr>
        <w:pStyle w:val="BodyText"/>
        <w:spacing w:line="280" w:lineRule="exact" w:before="0"/>
        <w:jc w:val="both"/>
      </w:pPr>
      <w:r>
        <w:rPr>
          <w:rFonts w:ascii="Times New Roman" w:eastAsia="Times New Roman"/>
        </w:rPr>
        <w:t>1</w:t>
      </w:r>
      <w:r>
        <w:rPr/>
        <w:t>． 双目永久完全失明的（注 </w:t>
      </w:r>
      <w:r>
        <w:rPr>
          <w:rFonts w:ascii="Times New Roman" w:eastAsia="Times New Roman"/>
        </w:rPr>
        <w:t>1</w:t>
      </w:r>
      <w:r>
        <w:rPr/>
        <w:t>，</w:t>
      </w:r>
      <w:r>
        <w:rPr>
          <w:rFonts w:ascii="Times New Roman" w:eastAsia="Times New Roman"/>
        </w:rPr>
        <w:t>5</w:t>
      </w:r>
      <w:r>
        <w:rPr/>
        <w:t>）；</w:t>
      </w:r>
    </w:p>
    <w:p>
      <w:pPr>
        <w:pStyle w:val="BodyText"/>
        <w:spacing w:line="272" w:lineRule="exact" w:before="0"/>
        <w:jc w:val="both"/>
      </w:pPr>
      <w:r>
        <w:rPr>
          <w:rFonts w:ascii="Times New Roman" w:eastAsia="Times New Roman"/>
        </w:rPr>
        <w:t>2</w:t>
      </w:r>
      <w:r>
        <w:rPr/>
        <w:t>． 两上肢腕关节以上或两下肢踝关节以上缺失的；</w:t>
      </w:r>
    </w:p>
    <w:p>
      <w:pPr>
        <w:pStyle w:val="BodyText"/>
        <w:spacing w:line="272" w:lineRule="exact" w:before="0"/>
        <w:jc w:val="both"/>
      </w:pPr>
      <w:r>
        <w:rPr>
          <w:rFonts w:ascii="Times New Roman" w:eastAsia="Times New Roman"/>
        </w:rPr>
        <w:t>3</w:t>
      </w:r>
      <w:r>
        <w:rPr/>
        <w:t>． 一上肢腕关节以上及一下肢踝关节以上缺失的；</w:t>
      </w:r>
    </w:p>
    <w:p>
      <w:pPr>
        <w:pStyle w:val="BodyText"/>
        <w:spacing w:line="272" w:lineRule="exact" w:before="0"/>
        <w:jc w:val="both"/>
      </w:pPr>
      <w:r>
        <w:rPr>
          <w:rFonts w:ascii="Times New Roman" w:eastAsia="Times New Roman"/>
        </w:rPr>
        <w:t>4</w:t>
      </w:r>
      <w:r>
        <w:rPr/>
        <w:t>． 一目永久完全失明及一上肢腕关节以上缺失的；</w:t>
      </w:r>
    </w:p>
    <w:p>
      <w:pPr>
        <w:pStyle w:val="BodyText"/>
        <w:spacing w:line="272" w:lineRule="exact" w:before="0"/>
        <w:jc w:val="both"/>
      </w:pPr>
      <w:r>
        <w:rPr>
          <w:rFonts w:ascii="Times New Roman" w:eastAsia="Times New Roman"/>
        </w:rPr>
        <w:t>5</w:t>
      </w:r>
      <w:r>
        <w:rPr/>
        <w:t>． 一目永久完全失明及一下肢踝关节以上缺失的；</w:t>
      </w:r>
    </w:p>
    <w:p>
      <w:pPr>
        <w:pStyle w:val="BodyText"/>
        <w:spacing w:line="272" w:lineRule="exact" w:before="0"/>
        <w:jc w:val="both"/>
      </w:pPr>
      <w:r>
        <w:rPr>
          <w:rFonts w:ascii="Times New Roman" w:eastAsia="Times New Roman"/>
        </w:rPr>
        <w:t>6</w:t>
      </w:r>
      <w:r>
        <w:rPr/>
        <w:t>． 四肢关节机能永久完全丧失的（注 </w:t>
      </w:r>
      <w:r>
        <w:rPr>
          <w:rFonts w:ascii="Times New Roman" w:eastAsia="Times New Roman"/>
        </w:rPr>
        <w:t>2</w:t>
      </w:r>
      <w:r>
        <w:rPr/>
        <w:t>）；</w:t>
      </w:r>
    </w:p>
    <w:p>
      <w:pPr>
        <w:pStyle w:val="BodyText"/>
        <w:spacing w:line="272" w:lineRule="exact" w:before="0"/>
        <w:jc w:val="both"/>
      </w:pPr>
      <w:r>
        <w:rPr>
          <w:rFonts w:ascii="Times New Roman" w:eastAsia="Times New Roman"/>
        </w:rPr>
        <w:t>7</w:t>
      </w:r>
      <w:r>
        <w:rPr/>
        <w:t>． 咀嚼、吞咽机能永久完全丧失的（注 </w:t>
      </w:r>
      <w:r>
        <w:rPr>
          <w:rFonts w:ascii="Times New Roman" w:eastAsia="Times New Roman"/>
        </w:rPr>
        <w:t>3</w:t>
      </w:r>
      <w:r>
        <w:rPr/>
        <w:t>）；</w:t>
      </w:r>
    </w:p>
    <w:p>
      <w:pPr>
        <w:pStyle w:val="BodyText"/>
        <w:spacing w:line="225" w:lineRule="auto" w:before="7"/>
        <w:ind w:right="106"/>
      </w:pPr>
      <w:r>
        <w:rPr>
          <w:rFonts w:ascii="Times New Roman" w:eastAsia="Times New Roman"/>
        </w:rPr>
        <w:t>8</w:t>
      </w:r>
      <w:r>
        <w:rPr>
          <w:spacing w:val="-5"/>
        </w:rPr>
        <w:t>． 中枢神经系统机能或胸、腹部脏器机能极度障碍，终身不能从事任何工作，为维持生命必要的日常生</w:t>
      </w:r>
      <w:r>
        <w:rPr>
          <w:spacing w:val="-4"/>
        </w:rPr>
        <w:t>活活动，全需他人扶助的</w:t>
      </w:r>
      <w:r>
        <w:rPr/>
        <w:t>（</w:t>
      </w:r>
      <w:r>
        <w:rPr>
          <w:spacing w:val="-19"/>
        </w:rPr>
        <w:t>注 </w:t>
      </w:r>
      <w:r>
        <w:rPr>
          <w:rFonts w:ascii="Times New Roman" w:eastAsia="Times New Roman"/>
        </w:rPr>
        <w:t>4</w:t>
      </w:r>
      <w:r>
        <w:rPr/>
        <w:t>）。</w:t>
      </w:r>
    </w:p>
    <w:p>
      <w:pPr>
        <w:pStyle w:val="BodyText"/>
        <w:spacing w:line="255" w:lineRule="exact" w:before="0"/>
      </w:pPr>
      <w:r>
        <w:rPr/>
        <w:t>注：</w:t>
      </w:r>
    </w:p>
    <w:p>
      <w:pPr>
        <w:pStyle w:val="ListParagraph"/>
        <w:numPr>
          <w:ilvl w:val="0"/>
          <w:numId w:val="5"/>
        </w:numPr>
        <w:tabs>
          <w:tab w:pos="534" w:val="left" w:leader="none"/>
        </w:tabs>
        <w:spacing w:line="223" w:lineRule="auto" w:before="20" w:after="0"/>
        <w:ind w:left="112" w:right="106" w:firstLine="0"/>
        <w:jc w:val="left"/>
        <w:rPr>
          <w:sz w:val="21"/>
        </w:rPr>
      </w:pPr>
      <w:r>
        <w:rPr>
          <w:spacing w:val="-6"/>
          <w:sz w:val="21"/>
        </w:rPr>
        <w:t>失明包括眼球缺失或摘除、或不能辨别明暗、或仅能辨别眼前手动者，最佳矫正视力低于国际标准视</w:t>
      </w:r>
      <w:r>
        <w:rPr>
          <w:spacing w:val="-17"/>
          <w:sz w:val="21"/>
        </w:rPr>
        <w:t>力表 </w:t>
      </w:r>
      <w:r>
        <w:rPr>
          <w:rFonts w:ascii="Times New Roman" w:eastAsia="Times New Roman"/>
          <w:sz w:val="21"/>
        </w:rPr>
        <w:t>0.02</w:t>
      </w:r>
      <w:r>
        <w:rPr>
          <w:spacing w:val="-8"/>
          <w:sz w:val="21"/>
        </w:rPr>
        <w:t>，或视野半径小于 </w:t>
      </w:r>
      <w:r>
        <w:rPr>
          <w:rFonts w:ascii="Times New Roman" w:eastAsia="Times New Roman"/>
          <w:sz w:val="21"/>
        </w:rPr>
        <w:t>5</w:t>
      </w:r>
      <w:r>
        <w:rPr>
          <w:rFonts w:ascii="Times New Roman" w:eastAsia="Times New Roman"/>
          <w:spacing w:val="12"/>
          <w:sz w:val="21"/>
        </w:rPr>
        <w:t> </w:t>
      </w:r>
      <w:r>
        <w:rPr>
          <w:spacing w:val="-3"/>
          <w:sz w:val="21"/>
        </w:rPr>
        <w:t>度，并由本公司指定有资格的眼科医师出具医疗诊断证明。</w:t>
      </w:r>
    </w:p>
    <w:p>
      <w:pPr>
        <w:pStyle w:val="ListParagraph"/>
        <w:numPr>
          <w:ilvl w:val="0"/>
          <w:numId w:val="5"/>
        </w:numPr>
        <w:tabs>
          <w:tab w:pos="534" w:val="left" w:leader="none"/>
        </w:tabs>
        <w:spacing w:line="264" w:lineRule="exact" w:before="0" w:after="0"/>
        <w:ind w:left="112" w:right="0" w:firstLine="0"/>
        <w:jc w:val="left"/>
        <w:rPr>
          <w:sz w:val="21"/>
        </w:rPr>
      </w:pPr>
      <w:r>
        <w:rPr>
          <w:spacing w:val="-3"/>
          <w:sz w:val="21"/>
        </w:rPr>
        <w:t>关节机能的丧失系指关节永久完全僵硬、或麻痹、或关节不能随意识活动。</w:t>
      </w:r>
    </w:p>
    <w:p>
      <w:pPr>
        <w:pStyle w:val="ListParagraph"/>
        <w:numPr>
          <w:ilvl w:val="0"/>
          <w:numId w:val="5"/>
        </w:numPr>
        <w:tabs>
          <w:tab w:pos="534" w:val="left" w:leader="none"/>
        </w:tabs>
        <w:spacing w:line="225" w:lineRule="auto" w:before="8" w:after="0"/>
        <w:ind w:left="112" w:right="106" w:firstLine="0"/>
        <w:jc w:val="left"/>
        <w:rPr>
          <w:sz w:val="21"/>
        </w:rPr>
      </w:pPr>
      <w:r>
        <w:rPr>
          <w:spacing w:val="-6"/>
          <w:sz w:val="21"/>
        </w:rPr>
        <w:t>咀嚼、吞咽机能的丧失系指由于牙齿以外的原因引起器质障碍或机能障碍，以致不能作咀嚼、吞咽运</w:t>
      </w:r>
      <w:r>
        <w:rPr>
          <w:spacing w:val="-4"/>
          <w:sz w:val="21"/>
        </w:rPr>
        <w:t>动，除流质食物外不能摄取或吞咽的状态。</w:t>
      </w:r>
    </w:p>
    <w:p>
      <w:pPr>
        <w:pStyle w:val="ListParagraph"/>
        <w:numPr>
          <w:ilvl w:val="0"/>
          <w:numId w:val="5"/>
        </w:numPr>
        <w:tabs>
          <w:tab w:pos="534" w:val="left" w:leader="none"/>
        </w:tabs>
        <w:spacing w:line="225" w:lineRule="auto" w:before="13" w:after="0"/>
        <w:ind w:left="112" w:right="108" w:firstLine="0"/>
        <w:jc w:val="left"/>
        <w:rPr>
          <w:sz w:val="21"/>
        </w:rPr>
      </w:pPr>
      <w:r>
        <w:rPr>
          <w:spacing w:val="-12"/>
          <w:sz w:val="21"/>
        </w:rPr>
        <w:t>为维持生命必要的日常生活活动，全需他人扶助系指食物摄取、大小便始末、穿脱衣服、起居、步行、</w:t>
      </w:r>
      <w:r>
        <w:rPr>
          <w:spacing w:val="-6"/>
          <w:sz w:val="21"/>
        </w:rPr>
        <w:t>入浴等，皆不能自己为之，需要他人帮助。</w:t>
      </w:r>
    </w:p>
    <w:p>
      <w:pPr>
        <w:pStyle w:val="ListParagraph"/>
        <w:numPr>
          <w:ilvl w:val="0"/>
          <w:numId w:val="5"/>
        </w:numPr>
        <w:tabs>
          <w:tab w:pos="534" w:val="left" w:leader="none"/>
        </w:tabs>
        <w:spacing w:line="225" w:lineRule="auto" w:before="13" w:after="0"/>
        <w:ind w:left="112" w:right="106" w:firstLine="0"/>
        <w:jc w:val="left"/>
        <w:rPr>
          <w:sz w:val="21"/>
        </w:rPr>
      </w:pPr>
      <w:r>
        <w:rPr>
          <w:spacing w:val="-5"/>
          <w:sz w:val="21"/>
        </w:rPr>
        <w:t>所谓永久完全系指自意外伤害或疾病诊断之日起经过 </w:t>
      </w:r>
      <w:r>
        <w:rPr>
          <w:rFonts w:ascii="Times New Roman" w:eastAsia="Times New Roman"/>
          <w:sz w:val="21"/>
        </w:rPr>
        <w:t>180</w:t>
      </w:r>
      <w:r>
        <w:rPr>
          <w:rFonts w:ascii="Times New Roman" w:eastAsia="Times New Roman"/>
          <w:spacing w:val="17"/>
          <w:sz w:val="21"/>
        </w:rPr>
        <w:t> </w:t>
      </w:r>
      <w:r>
        <w:rPr>
          <w:spacing w:val="-6"/>
          <w:sz w:val="21"/>
        </w:rPr>
        <w:t>天的治疗，机能仍然完全丧失，但眼球摘除</w:t>
      </w:r>
      <w:r>
        <w:rPr>
          <w:spacing w:val="-4"/>
          <w:sz w:val="21"/>
        </w:rPr>
        <w:t>等明显无法复原之情况，不在此限。</w:t>
      </w:r>
    </w:p>
    <w:p>
      <w:pPr>
        <w:spacing w:line="266" w:lineRule="auto" w:before="0"/>
        <w:ind w:left="112" w:right="106" w:firstLine="0"/>
        <w:jc w:val="both"/>
        <w:rPr>
          <w:sz w:val="21"/>
        </w:rPr>
      </w:pPr>
      <w:r>
        <w:rPr>
          <w:sz w:val="21"/>
        </w:rPr>
        <w:t>【</w:t>
      </w:r>
      <w:r>
        <w:rPr>
          <w:b/>
          <w:sz w:val="21"/>
        </w:rPr>
        <w:t>重大疾病</w:t>
      </w:r>
      <w:r>
        <w:rPr>
          <w:spacing w:val="-54"/>
          <w:sz w:val="21"/>
        </w:rPr>
        <w:t>】：</w:t>
      </w:r>
      <w:r>
        <w:rPr>
          <w:rFonts w:ascii="黑体" w:eastAsia="黑体" w:hint="eastAsia"/>
          <w:spacing w:val="-2"/>
          <w:sz w:val="24"/>
        </w:rPr>
        <w:t>附加合同仅对以下所列并符合其程度和条件的重大疾病承担保险责任，</w:t>
      </w:r>
      <w:r>
        <w:rPr>
          <w:spacing w:val="-3"/>
          <w:sz w:val="21"/>
        </w:rPr>
        <w:t>其中前二</w:t>
      </w:r>
      <w:r>
        <w:rPr>
          <w:spacing w:val="-4"/>
          <w:sz w:val="21"/>
        </w:rPr>
        <w:t>十五种重大疾病的定义由中国保险行业协会与中国医师协会共同制定，后四十种重大疾病的定义由我们自</w:t>
      </w:r>
      <w:r>
        <w:rPr>
          <w:spacing w:val="-1"/>
          <w:sz w:val="21"/>
        </w:rPr>
        <w:t>行制定：</w:t>
      </w:r>
    </w:p>
    <w:p>
      <w:pPr>
        <w:pStyle w:val="Heading3"/>
        <w:spacing w:before="24"/>
        <w:ind w:left="533"/>
      </w:pPr>
      <w:r>
        <w:rPr/>
        <w:t>一、恶性肿瘤</w:t>
      </w:r>
    </w:p>
    <w:p>
      <w:pPr>
        <w:pStyle w:val="BodyText"/>
        <w:spacing w:line="273" w:lineRule="auto" w:before="37"/>
        <w:ind w:right="106" w:firstLine="420"/>
        <w:jc w:val="both"/>
      </w:pPr>
      <w:r>
        <w:rPr>
          <w:spacing w:val="-6"/>
        </w:rPr>
        <w:t>指恶性细胞不受控制的进行性增长和扩散，浸润和破坏周围正常组织，可以经血管、淋巴管和体腔扩</w:t>
      </w:r>
      <w:r>
        <w:rPr>
          <w:spacing w:val="-7"/>
        </w:rPr>
        <w:t>散转移到身体其它部位的疾病。经病理学检查结果明确诊断，临床诊断属于世界卫生组织《疾病和有关健</w:t>
      </w:r>
      <w:r>
        <w:rPr>
          <w:spacing w:val="-13"/>
        </w:rPr>
        <w:t>康问题的国际统计分类》</w:t>
      </w:r>
      <w:r>
        <w:rPr>
          <w:spacing w:val="-1"/>
        </w:rPr>
        <w:t>（</w:t>
      </w:r>
      <w:r>
        <w:rPr>
          <w:rFonts w:ascii="Times New Roman" w:eastAsia="Times New Roman"/>
          <w:spacing w:val="-1"/>
        </w:rPr>
        <w:t>ICD-10</w:t>
      </w:r>
      <w:r>
        <w:rPr>
          <w:spacing w:val="-1"/>
        </w:rPr>
        <w:t>）</w:t>
      </w:r>
      <w:r>
        <w:rPr>
          <w:spacing w:val="-3"/>
        </w:rPr>
        <w:t>的恶性肿瘤范畴。</w:t>
      </w:r>
    </w:p>
    <w:p>
      <w:pPr>
        <w:spacing w:line="274" w:lineRule="exact" w:before="0"/>
        <w:ind w:left="564" w:right="0" w:firstLine="0"/>
        <w:jc w:val="left"/>
        <w:rPr>
          <w:rFonts w:ascii="黑体" w:eastAsia="黑体" w:hint="eastAsia"/>
          <w:sz w:val="24"/>
        </w:rPr>
      </w:pPr>
      <w:r>
        <w:rPr>
          <w:rFonts w:ascii="黑体" w:eastAsia="黑体" w:hint="eastAsia"/>
          <w:sz w:val="24"/>
        </w:rPr>
        <w:t>下列疾病不在保障范围内：</w:t>
      </w:r>
    </w:p>
    <w:p>
      <w:pPr>
        <w:spacing w:line="312" w:lineRule="exact" w:before="0"/>
        <w:ind w:left="353" w:right="0" w:firstLine="0"/>
        <w:jc w:val="left"/>
        <w:rPr>
          <w:rFonts w:ascii="黑体" w:eastAsia="黑体" w:hint="eastAsia"/>
          <w:sz w:val="24"/>
        </w:rPr>
      </w:pPr>
      <w:r>
        <w:rPr>
          <w:rFonts w:ascii="黑体" w:eastAsia="黑体" w:hint="eastAsia"/>
          <w:sz w:val="24"/>
        </w:rPr>
        <w:t>（1）原位癌；</w:t>
      </w:r>
    </w:p>
    <w:p>
      <w:pPr>
        <w:spacing w:line="312" w:lineRule="exact" w:before="0"/>
        <w:ind w:left="353" w:right="0" w:firstLine="0"/>
        <w:jc w:val="left"/>
        <w:rPr>
          <w:rFonts w:ascii="黑体" w:eastAsia="黑体" w:hint="eastAsia"/>
          <w:sz w:val="24"/>
        </w:rPr>
      </w:pPr>
      <w:r>
        <w:rPr>
          <w:rFonts w:ascii="黑体" w:eastAsia="黑体" w:hint="eastAsia"/>
          <w:sz w:val="24"/>
        </w:rPr>
        <w:t>（2）相当于 Binet 分期方案 A 期程度的慢性淋巴细胞白血病；</w:t>
      </w:r>
    </w:p>
    <w:p>
      <w:pPr>
        <w:spacing w:line="312" w:lineRule="exact" w:before="0"/>
        <w:ind w:left="353" w:right="0" w:firstLine="0"/>
        <w:jc w:val="left"/>
        <w:rPr>
          <w:rFonts w:ascii="黑体" w:eastAsia="黑体" w:hint="eastAsia"/>
          <w:sz w:val="24"/>
        </w:rPr>
      </w:pPr>
      <w:r>
        <w:rPr>
          <w:rFonts w:ascii="黑体" w:eastAsia="黑体" w:hint="eastAsia"/>
          <w:sz w:val="24"/>
        </w:rPr>
        <w:t>（3）相当于 Ann Arbor 分期方案 I 期程度的何杰金氏病；</w:t>
      </w:r>
    </w:p>
    <w:p>
      <w:pPr>
        <w:spacing w:line="312" w:lineRule="exact" w:before="0"/>
        <w:ind w:left="353" w:right="0" w:firstLine="0"/>
        <w:jc w:val="left"/>
        <w:rPr>
          <w:rFonts w:ascii="黑体" w:eastAsia="黑体" w:hint="eastAsia"/>
          <w:sz w:val="24"/>
        </w:rPr>
      </w:pPr>
      <w:r>
        <w:rPr>
          <w:rFonts w:ascii="黑体" w:eastAsia="黑体" w:hint="eastAsia"/>
          <w:sz w:val="24"/>
        </w:rPr>
        <w:t>（4）皮肤癌（不包括恶性黑色素瘤及已发Th转移的皮肤癌</w:t>
      </w:r>
      <w:r>
        <w:rPr>
          <w:rFonts w:ascii="黑体" w:eastAsia="黑体" w:hint="eastAsia"/>
          <w:spacing w:val="-120"/>
          <w:sz w:val="24"/>
        </w:rPr>
        <w:t>）</w:t>
      </w:r>
      <w:r>
        <w:rPr>
          <w:rFonts w:ascii="黑体" w:eastAsia="黑体" w:hint="eastAsia"/>
          <w:sz w:val="24"/>
        </w:rPr>
        <w:t>；</w:t>
      </w:r>
    </w:p>
    <w:p>
      <w:pPr>
        <w:spacing w:line="314" w:lineRule="exact" w:before="0"/>
        <w:ind w:left="353" w:right="0" w:firstLine="0"/>
        <w:jc w:val="left"/>
        <w:rPr>
          <w:rFonts w:ascii="黑体" w:eastAsia="黑体" w:hint="eastAsia"/>
          <w:sz w:val="24"/>
        </w:rPr>
      </w:pPr>
      <w:r>
        <w:rPr>
          <w:rFonts w:ascii="黑体" w:eastAsia="黑体" w:hint="eastAsia"/>
          <w:position w:val="2"/>
          <w:sz w:val="24"/>
        </w:rPr>
        <w:t>（5）TNM 分期为 T</w:t>
      </w:r>
      <w:r>
        <w:rPr>
          <w:rFonts w:ascii="黑体" w:eastAsia="黑体" w:hint="eastAsia"/>
          <w:sz w:val="12"/>
        </w:rPr>
        <w:t>1</w:t>
      </w:r>
      <w:r>
        <w:rPr>
          <w:rFonts w:ascii="黑体" w:eastAsia="黑体" w:hint="eastAsia"/>
          <w:position w:val="2"/>
          <w:sz w:val="24"/>
        </w:rPr>
        <w:t>N</w:t>
      </w:r>
      <w:r>
        <w:rPr>
          <w:rFonts w:ascii="黑体" w:eastAsia="黑体" w:hint="eastAsia"/>
          <w:sz w:val="12"/>
        </w:rPr>
        <w:t>0</w:t>
      </w:r>
      <w:r>
        <w:rPr>
          <w:rFonts w:ascii="黑体" w:eastAsia="黑体" w:hint="eastAsia"/>
          <w:position w:val="2"/>
          <w:sz w:val="24"/>
        </w:rPr>
        <w:t>M</w:t>
      </w:r>
      <w:r>
        <w:rPr>
          <w:rFonts w:ascii="黑体" w:eastAsia="黑体" w:hint="eastAsia"/>
          <w:sz w:val="12"/>
        </w:rPr>
        <w:t>0 </w:t>
      </w:r>
      <w:r>
        <w:rPr>
          <w:rFonts w:ascii="黑体" w:eastAsia="黑体" w:hint="eastAsia"/>
          <w:position w:val="2"/>
          <w:sz w:val="24"/>
        </w:rPr>
        <w:t>期或更轻分期的前列腺癌；</w:t>
      </w:r>
    </w:p>
    <w:p>
      <w:pPr>
        <w:spacing w:line="312" w:lineRule="exact" w:before="0"/>
        <w:ind w:left="353" w:right="0" w:firstLine="0"/>
        <w:jc w:val="left"/>
        <w:rPr>
          <w:rFonts w:ascii="黑体" w:eastAsia="黑体" w:hint="eastAsia"/>
          <w:sz w:val="24"/>
        </w:rPr>
      </w:pPr>
      <w:r>
        <w:rPr>
          <w:rFonts w:ascii="黑体" w:eastAsia="黑体" w:hint="eastAsia"/>
          <w:sz w:val="24"/>
        </w:rPr>
        <w:t>（6）感染艾滋病病毒或患艾滋病期间所患恶性肿瘤。</w:t>
      </w:r>
    </w:p>
    <w:p>
      <w:pPr>
        <w:pStyle w:val="Heading3"/>
        <w:spacing w:before="25"/>
      </w:pPr>
      <w:r>
        <w:rPr/>
        <w:t>二、急性心肌梗塞</w:t>
      </w:r>
    </w:p>
    <w:p>
      <w:pPr>
        <w:pStyle w:val="BodyText"/>
        <w:spacing w:before="36"/>
        <w:ind w:left="533"/>
      </w:pPr>
      <w:r>
        <w:rPr/>
        <w:t>指因冠状动脉阻塞导致的相应区域供血不足造成部分心肌坏死。须满足下列至少三项条件：</w:t>
      </w:r>
    </w:p>
    <w:p>
      <w:pPr>
        <w:pStyle w:val="BodyText"/>
        <w:spacing w:before="36"/>
        <w:ind w:left="324"/>
      </w:pPr>
      <w:r>
        <w:rPr/>
        <w:t>（</w:t>
      </w:r>
      <w:r>
        <w:rPr>
          <w:rFonts w:ascii="Times New Roman" w:eastAsia="Times New Roman"/>
        </w:rPr>
        <w:t>1</w:t>
      </w:r>
      <w:r>
        <w:rPr/>
        <w:t>）典型临床表现，例如急性胸痛等；</w:t>
      </w:r>
    </w:p>
    <w:p>
      <w:pPr>
        <w:pStyle w:val="BodyText"/>
        <w:spacing w:before="20"/>
        <w:ind w:left="324"/>
      </w:pPr>
      <w:r>
        <w:rPr/>
        <w:t>（</w:t>
      </w:r>
      <w:r>
        <w:rPr>
          <w:rFonts w:ascii="Times New Roman" w:eastAsia="Times New Roman"/>
        </w:rPr>
        <w:t>2</w:t>
      </w:r>
      <w:r>
        <w:rPr/>
        <w:t>）新近的心电图改变提示急性心肌梗塞；</w:t>
      </w:r>
    </w:p>
    <w:p>
      <w:pPr>
        <w:pStyle w:val="BodyText"/>
        <w:spacing w:before="20"/>
        <w:ind w:left="324"/>
      </w:pPr>
      <w:r>
        <w:rPr/>
        <w:t>（</w:t>
      </w:r>
      <w:r>
        <w:rPr>
          <w:rFonts w:ascii="Times New Roman" w:eastAsia="Times New Roman"/>
        </w:rPr>
        <w:t>3</w:t>
      </w:r>
      <w:r>
        <w:rPr/>
        <w:t>）心肌酶或肌钙蛋白有诊断意义的升高，或呈符合急性心肌梗塞的动态性变化；</w:t>
      </w:r>
    </w:p>
    <w:p>
      <w:pPr>
        <w:pStyle w:val="BodyText"/>
        <w:spacing w:line="256" w:lineRule="auto" w:before="20"/>
        <w:ind w:left="535" w:right="2168" w:hanging="212"/>
        <w:rPr>
          <w:b/>
        </w:rPr>
      </w:pPr>
      <w:r>
        <w:rPr/>
        <w:t>（</w:t>
      </w:r>
      <w:r>
        <w:rPr>
          <w:rFonts w:ascii="Times New Roman" w:eastAsia="Times New Roman"/>
        </w:rPr>
        <w:t>4</w:t>
      </w:r>
      <w:r>
        <w:rPr/>
        <w:t>）</w:t>
      </w:r>
      <w:r>
        <w:rPr>
          <w:spacing w:val="-15"/>
        </w:rPr>
        <w:t>发病 </w:t>
      </w:r>
      <w:r>
        <w:rPr>
          <w:rFonts w:ascii="Times New Roman" w:eastAsia="Times New Roman"/>
        </w:rPr>
        <w:t>90 </w:t>
      </w:r>
      <w:r>
        <w:rPr>
          <w:spacing w:val="-5"/>
        </w:rPr>
        <w:t>日后，经检查证实左心室功能降低，如左心室射血分数低于 </w:t>
      </w:r>
      <w:r>
        <w:rPr>
          <w:rFonts w:ascii="Times New Roman" w:eastAsia="Times New Roman"/>
          <w:spacing w:val="-3"/>
        </w:rPr>
        <w:t>50%</w:t>
      </w:r>
      <w:r>
        <w:rPr/>
        <w:t>。</w:t>
      </w:r>
      <w:r>
        <w:rPr>
          <w:b/>
        </w:rPr>
        <w:t>三、脑中风后遗症</w:t>
      </w:r>
    </w:p>
    <w:p>
      <w:pPr>
        <w:pStyle w:val="BodyText"/>
        <w:spacing w:line="273" w:lineRule="auto"/>
        <w:ind w:right="106" w:firstLine="420"/>
      </w:pPr>
      <w:r>
        <w:rPr>
          <w:spacing w:val="-6"/>
        </w:rPr>
        <w:t>指因脑血管的突发病变引起脑血管出血、栓塞或梗塞，并导致神经系统永久性的功能障碍。神经系统永久性的功能障碍，指疾病确诊 </w:t>
      </w:r>
      <w:r>
        <w:rPr>
          <w:rFonts w:ascii="Times New Roman" w:eastAsia="Times New Roman"/>
        </w:rPr>
        <w:t>180 </w:t>
      </w:r>
      <w:r>
        <w:rPr>
          <w:spacing w:val="-3"/>
        </w:rPr>
        <w:t>日后，仍遗留下列一种或一种以上障碍：</w:t>
      </w:r>
    </w:p>
    <w:p>
      <w:pPr>
        <w:pStyle w:val="BodyText"/>
        <w:spacing w:line="280" w:lineRule="exact" w:before="0"/>
        <w:ind w:left="324"/>
      </w:pPr>
      <w:r>
        <w:rPr/>
        <w:t>（</w:t>
      </w:r>
      <w:r>
        <w:rPr>
          <w:rFonts w:ascii="Times New Roman" w:eastAsia="Times New Roman"/>
        </w:rPr>
        <w:t>1</w:t>
      </w:r>
      <w:r>
        <w:rPr/>
        <w:t>）一肢或一肢以上肢体机能完全丧失；</w:t>
      </w:r>
    </w:p>
    <w:p>
      <w:pPr>
        <w:pStyle w:val="BodyText"/>
        <w:spacing w:before="22"/>
        <w:ind w:left="324"/>
      </w:pPr>
      <w:r>
        <w:rPr/>
        <w:t>（</w:t>
      </w:r>
      <w:r>
        <w:rPr>
          <w:rFonts w:ascii="Times New Roman" w:eastAsia="Times New Roman"/>
        </w:rPr>
        <w:t>2</w:t>
      </w:r>
      <w:r>
        <w:rPr/>
        <w:t>）语言能力或咀嚼吞咽能力完全丧失；</w:t>
      </w:r>
    </w:p>
    <w:p>
      <w:pPr>
        <w:pStyle w:val="BodyText"/>
        <w:ind w:left="324"/>
      </w:pPr>
      <w:r>
        <w:rPr/>
        <w:t>（</w:t>
      </w:r>
      <w:r>
        <w:rPr>
          <w:rFonts w:ascii="Times New Roman" w:eastAsia="Times New Roman"/>
        </w:rPr>
        <w:t>3</w:t>
      </w:r>
      <w:r>
        <w:rPr/>
        <w:t>）自主生活能力完全丧失，无法独立完成六项基本日常生活活动中的三项或三项以上。</w:t>
      </w:r>
    </w:p>
    <w:p>
      <w:pPr>
        <w:spacing w:after="0"/>
        <w:sectPr>
          <w:pgSz w:w="11910" w:h="16840"/>
          <w:pgMar w:header="228" w:footer="888" w:top="1200" w:bottom="1100" w:left="1020" w:right="1020"/>
        </w:sectPr>
      </w:pPr>
    </w:p>
    <w:p>
      <w:pPr>
        <w:pStyle w:val="BodyText"/>
        <w:spacing w:line="264" w:lineRule="auto" w:before="1"/>
        <w:ind w:right="206" w:firstLine="420"/>
        <w:jc w:val="both"/>
      </w:pPr>
      <w:r>
        <w:rPr>
          <w:spacing w:val="5"/>
        </w:rPr>
        <w:t>注 </w:t>
      </w:r>
      <w:r>
        <w:rPr>
          <w:rFonts w:ascii="Times New Roman" w:hAnsi="Times New Roman" w:eastAsia="Times New Roman"/>
        </w:rPr>
        <w:t>1</w:t>
      </w:r>
      <w:r>
        <w:rPr>
          <w:spacing w:val="-3"/>
        </w:rPr>
        <w:t>：六项基本日常生活活动包括：①穿衣：自己能够穿衣及脱衣；②移动：自己从一个房间到另一</w:t>
      </w:r>
      <w:r>
        <w:rPr>
          <w:spacing w:val="-5"/>
        </w:rPr>
        <w:t>个房间；③行动：自己上下床或上下轮椅；④如厕：自己控制进行大小便；⑤进食：自己从已准备好的碗</w:t>
      </w:r>
      <w:r>
        <w:rPr>
          <w:spacing w:val="-3"/>
        </w:rPr>
        <w:t>或碟中取食物放入口中；⑥洗澡：自己进行淋浴或盆浴。</w:t>
      </w:r>
    </w:p>
    <w:p>
      <w:pPr>
        <w:pStyle w:val="BodyText"/>
        <w:spacing w:line="256" w:lineRule="auto" w:before="16"/>
        <w:ind w:right="160" w:firstLine="420"/>
      </w:pPr>
      <w:r>
        <w:rPr/>
        <w:t>注 </w:t>
      </w:r>
      <w:r>
        <w:rPr>
          <w:rFonts w:ascii="Times New Roman" w:eastAsia="Times New Roman"/>
        </w:rPr>
        <w:t>2</w:t>
      </w:r>
      <w:r>
        <w:rPr/>
        <w:t>：肢体机能完全丧失：指肢体的三大关节中的两大关节僵硬，或不能随意识活动。肢体是指包括肩关节的整个上肢或包括髋关节的整个下肢。</w:t>
      </w:r>
    </w:p>
    <w:p>
      <w:pPr>
        <w:pStyle w:val="BodyText"/>
        <w:spacing w:line="256" w:lineRule="auto" w:before="22"/>
        <w:ind w:right="160" w:firstLine="420"/>
      </w:pPr>
      <w:r>
        <w:rPr/>
        <w:t>注 </w:t>
      </w:r>
      <w:r>
        <w:rPr>
          <w:rFonts w:ascii="Times New Roman" w:eastAsia="Times New Roman"/>
        </w:rPr>
        <w:t>3</w:t>
      </w:r>
      <w:r>
        <w:rPr/>
        <w:t>：咀嚼吞咽能力完全丧失：指因牙齿以外的原因导致器质障碍或机能障碍，以致不能作咀嚼吞咽运动，除流质食物外不能摄取或吞咽的状态。</w:t>
      </w:r>
    </w:p>
    <w:p>
      <w:pPr>
        <w:pStyle w:val="BodyText"/>
        <w:spacing w:line="256" w:lineRule="auto" w:before="22"/>
        <w:ind w:right="160" w:firstLine="420"/>
      </w:pPr>
      <w:r>
        <w:rPr/>
        <w:t>注 </w:t>
      </w:r>
      <w:r>
        <w:rPr>
          <w:rFonts w:ascii="Times New Roman" w:eastAsia="Times New Roman"/>
        </w:rPr>
        <w:t>4</w:t>
      </w:r>
      <w:r>
        <w:rPr/>
        <w:t>：语言能力完全丧失：指无法发出四种语音（包括口唇音、齿舌音、口盖音和喉头音）中的任何三种、或声带全部切除，或因大脑语言中枢受伤害而患失语症。</w:t>
      </w:r>
    </w:p>
    <w:p>
      <w:pPr>
        <w:pStyle w:val="Heading3"/>
        <w:spacing w:before="22"/>
      </w:pPr>
      <w:r>
        <w:rPr/>
        <w:t>四、重大器官移植术或造血干细胞移植术</w:t>
      </w:r>
    </w:p>
    <w:p>
      <w:pPr>
        <w:pStyle w:val="BodyText"/>
        <w:spacing w:line="273" w:lineRule="auto" w:before="36"/>
        <w:ind w:left="533" w:right="206"/>
      </w:pPr>
      <w:r>
        <w:rPr>
          <w:spacing w:val="-3"/>
        </w:rPr>
        <w:t>重大器官移植术，指因相应器官功能衰竭，已经实施了肾脏、肝脏、心脏或肺脏的异体移植手术。 </w:t>
      </w:r>
      <w:r>
        <w:rPr>
          <w:spacing w:val="-6"/>
        </w:rPr>
        <w:t>造血干细胞移植术，指因造血功能损害或造血系统恶性肿瘤，已经实施了造血干细胞</w:t>
      </w:r>
      <w:r>
        <w:rPr/>
        <w:t>（</w:t>
      </w:r>
      <w:r>
        <w:rPr>
          <w:spacing w:val="-3"/>
        </w:rPr>
        <w:t>包括骨髓造血</w:t>
      </w:r>
    </w:p>
    <w:p>
      <w:pPr>
        <w:spacing w:line="273" w:lineRule="auto" w:before="8"/>
        <w:ind w:left="535" w:right="3754" w:hanging="423"/>
        <w:jc w:val="left"/>
        <w:rPr>
          <w:b/>
          <w:sz w:val="21"/>
        </w:rPr>
      </w:pPr>
      <w:r>
        <w:rPr>
          <w:sz w:val="21"/>
        </w:rPr>
        <w:t>干细胞、外周血造血干细胞和脐血造血干细胞）的异体移植手术。</w:t>
      </w:r>
      <w:r>
        <w:rPr>
          <w:b/>
          <w:sz w:val="21"/>
        </w:rPr>
        <w:t>五、冠状动脉搭桥术（或称冠状动脉旁路移植术）</w:t>
      </w:r>
    </w:p>
    <w:p>
      <w:pPr>
        <w:pStyle w:val="BodyText"/>
        <w:spacing w:before="8"/>
        <w:ind w:left="533"/>
      </w:pPr>
      <w:r>
        <w:rPr/>
        <w:t>指为治疗严重的冠心病，实际实施了开胸进行的冠状动脉血管旁路移植的手术。</w:t>
      </w:r>
    </w:p>
    <w:p>
      <w:pPr>
        <w:spacing w:line="237" w:lineRule="auto" w:before="12"/>
        <w:ind w:left="112" w:right="213" w:firstLine="420"/>
        <w:jc w:val="left"/>
        <w:rPr>
          <w:rFonts w:ascii="黑体" w:eastAsia="黑体" w:hint="eastAsia"/>
          <w:sz w:val="24"/>
        </w:rPr>
      </w:pPr>
      <w:r>
        <w:rPr>
          <w:rFonts w:ascii="黑体" w:eastAsia="黑体" w:hint="eastAsia"/>
          <w:sz w:val="24"/>
        </w:rPr>
        <w:t>冠状动脉支架植入术、心导管球囊扩张术、激光射频技术及其它非开胸的介入手术、腔镜手术不在保障范围内。</w:t>
      </w:r>
    </w:p>
    <w:p>
      <w:pPr>
        <w:pStyle w:val="Heading3"/>
        <w:spacing w:before="25"/>
      </w:pPr>
      <w:r>
        <w:rPr/>
        <w:t>六、终末期肾病（或称慢性肾功能衰竭尿毒症期）</w:t>
      </w:r>
    </w:p>
    <w:p>
      <w:pPr>
        <w:pStyle w:val="BodyText"/>
        <w:spacing w:line="256" w:lineRule="auto" w:before="37"/>
        <w:ind w:right="206" w:firstLine="420"/>
      </w:pPr>
      <w:r>
        <w:rPr/>
        <w:t>指双肾功能慢性不可逆性衰竭，达到尿毒症期，经诊断后已经进行了至少 </w:t>
      </w:r>
      <w:r>
        <w:rPr>
          <w:rFonts w:ascii="Times New Roman" w:eastAsia="Times New Roman"/>
        </w:rPr>
        <w:t>90 </w:t>
      </w:r>
      <w:r>
        <w:rPr/>
        <w:t>日的规律性透析治疗或实施了肾脏移植手术。</w:t>
      </w:r>
    </w:p>
    <w:p>
      <w:pPr>
        <w:pStyle w:val="Heading3"/>
        <w:spacing w:before="22"/>
      </w:pPr>
      <w:r>
        <w:rPr/>
        <w:t>七、多个肢体缺失</w:t>
      </w:r>
    </w:p>
    <w:p>
      <w:pPr>
        <w:spacing w:line="273" w:lineRule="auto" w:before="36"/>
        <w:ind w:left="535" w:right="103" w:hanging="3"/>
        <w:jc w:val="left"/>
        <w:rPr>
          <w:b/>
          <w:sz w:val="21"/>
        </w:rPr>
      </w:pPr>
      <w:r>
        <w:rPr>
          <w:spacing w:val="-6"/>
          <w:sz w:val="21"/>
        </w:rPr>
        <w:t>指因疾病或意外伤害导致两个或两个以上肢体自腕关节或踝关节近端</w:t>
      </w:r>
      <w:r>
        <w:rPr>
          <w:sz w:val="21"/>
        </w:rPr>
        <w:t>（</w:t>
      </w:r>
      <w:r>
        <w:rPr>
          <w:spacing w:val="-3"/>
          <w:sz w:val="21"/>
        </w:rPr>
        <w:t>靠近躯干端</w:t>
      </w:r>
      <w:r>
        <w:rPr>
          <w:spacing w:val="-65"/>
          <w:sz w:val="21"/>
        </w:rPr>
        <w:t>）</w:t>
      </w:r>
      <w:r>
        <w:rPr>
          <w:spacing w:val="-3"/>
          <w:sz w:val="21"/>
        </w:rPr>
        <w:t>以上完全性断离。</w:t>
      </w:r>
      <w:r>
        <w:rPr>
          <w:b/>
          <w:spacing w:val="-3"/>
          <w:sz w:val="21"/>
        </w:rPr>
        <w:t>八、急性或亚急性重症肝炎</w:t>
      </w:r>
    </w:p>
    <w:p>
      <w:pPr>
        <w:pStyle w:val="BodyText"/>
        <w:spacing w:line="273" w:lineRule="auto" w:before="7"/>
        <w:ind w:right="110" w:firstLine="420"/>
      </w:pPr>
      <w:r>
        <w:rPr/>
        <w:t>指因肝炎病毒感染引起肝脏组织弥漫性坏死，导致急性肝功能衰竭，且经血清学或病毒学检查证实， 并须满足下列全部条件：</w:t>
      </w:r>
    </w:p>
    <w:p>
      <w:pPr>
        <w:pStyle w:val="BodyText"/>
        <w:spacing w:before="7"/>
        <w:ind w:left="324"/>
      </w:pPr>
      <w:r>
        <w:rPr/>
        <w:t>（</w:t>
      </w:r>
      <w:r>
        <w:rPr>
          <w:rFonts w:ascii="Times New Roman" w:eastAsia="Times New Roman"/>
        </w:rPr>
        <w:t>1</w:t>
      </w:r>
      <w:r>
        <w:rPr/>
        <w:t>）重度黄疸或黄疸迅速加重；</w:t>
      </w:r>
    </w:p>
    <w:p>
      <w:pPr>
        <w:pStyle w:val="BodyText"/>
        <w:spacing w:before="20"/>
        <w:ind w:left="324"/>
      </w:pPr>
      <w:r>
        <w:rPr/>
        <w:t>（</w:t>
      </w:r>
      <w:r>
        <w:rPr>
          <w:rFonts w:ascii="Times New Roman" w:eastAsia="Times New Roman"/>
        </w:rPr>
        <w:t>2</w:t>
      </w:r>
      <w:r>
        <w:rPr/>
        <w:t>）肝性脑病；</w:t>
      </w:r>
    </w:p>
    <w:p>
      <w:pPr>
        <w:pStyle w:val="BodyText"/>
        <w:spacing w:before="20"/>
        <w:ind w:left="324"/>
      </w:pPr>
      <w:r>
        <w:rPr/>
        <w:t>（</w:t>
      </w:r>
      <w:r>
        <w:rPr>
          <w:rFonts w:ascii="Times New Roman" w:eastAsia="Times New Roman"/>
        </w:rPr>
        <w:t>3</w:t>
      </w:r>
      <w:r>
        <w:rPr/>
        <w:t>）</w:t>
      </w:r>
      <w:r>
        <w:rPr>
          <w:rFonts w:ascii="Times New Roman" w:eastAsia="Times New Roman"/>
        </w:rPr>
        <w:t>B </w:t>
      </w:r>
      <w:r>
        <w:rPr/>
        <w:t>超或其它影像学检查显示肝脏体积急速萎缩；</w:t>
      </w:r>
    </w:p>
    <w:p>
      <w:pPr>
        <w:spacing w:line="256" w:lineRule="auto" w:before="20"/>
        <w:ind w:left="535" w:right="6802" w:hanging="212"/>
        <w:jc w:val="left"/>
        <w:rPr>
          <w:b/>
          <w:sz w:val="21"/>
        </w:rPr>
      </w:pPr>
      <w:r>
        <w:rPr>
          <w:sz w:val="21"/>
        </w:rPr>
        <w:t>（</w:t>
      </w:r>
      <w:r>
        <w:rPr>
          <w:rFonts w:ascii="Times New Roman" w:eastAsia="Times New Roman"/>
          <w:sz w:val="21"/>
        </w:rPr>
        <w:t>4</w:t>
      </w:r>
      <w:r>
        <w:rPr>
          <w:sz w:val="21"/>
        </w:rPr>
        <w:t>）肝功能指标进行性恶化。</w:t>
      </w:r>
      <w:r>
        <w:rPr>
          <w:b/>
          <w:sz w:val="21"/>
        </w:rPr>
        <w:t>九、良性脑肿瘤</w:t>
      </w:r>
    </w:p>
    <w:p>
      <w:pPr>
        <w:pStyle w:val="BodyText"/>
        <w:spacing w:line="264" w:lineRule="auto" w:before="22"/>
        <w:ind w:right="206" w:firstLine="420"/>
        <w:jc w:val="both"/>
      </w:pPr>
      <w:r>
        <w:rPr>
          <w:spacing w:val="-5"/>
        </w:rPr>
        <w:t>指脑的良性肿瘤，已经引起颅内压增高，临床表现为视神经乳头水肿、精神症状、癫痫及运动感觉障</w:t>
      </w:r>
      <w:r>
        <w:rPr>
          <w:w w:val="100"/>
        </w:rPr>
        <w:t>碍等，并危及生命。须由头颅断层扫描</w:t>
      </w:r>
      <w:r>
        <w:rPr>
          <w:spacing w:val="2"/>
          <w:w w:val="100"/>
        </w:rPr>
        <w:t>（</w:t>
      </w:r>
      <w:r>
        <w:rPr>
          <w:rFonts w:ascii="Times New Roman" w:eastAsia="Times New Roman"/>
          <w:w w:val="100"/>
        </w:rPr>
        <w:t>CT</w:t>
      </w:r>
      <w:r>
        <w:rPr>
          <w:spacing w:val="-104"/>
          <w:w w:val="100"/>
        </w:rPr>
        <w:t>）</w:t>
      </w:r>
      <w:r>
        <w:rPr>
          <w:w w:val="100"/>
        </w:rPr>
        <w:t>、核磁共振检查</w:t>
      </w:r>
      <w:r>
        <w:rPr>
          <w:spacing w:val="0"/>
          <w:w w:val="100"/>
        </w:rPr>
        <w:t>（</w:t>
      </w:r>
      <w:r>
        <w:rPr>
          <w:rFonts w:ascii="Times New Roman" w:eastAsia="Times New Roman"/>
          <w:w w:val="100"/>
        </w:rPr>
        <w:t>MR</w:t>
      </w:r>
      <w:r>
        <w:rPr>
          <w:rFonts w:ascii="Times New Roman" w:eastAsia="Times New Roman"/>
          <w:spacing w:val="-1"/>
          <w:w w:val="100"/>
        </w:rPr>
        <w:t>I</w:t>
      </w:r>
      <w:r>
        <w:rPr>
          <w:spacing w:val="1"/>
          <w:w w:val="100"/>
        </w:rPr>
        <w:t>）</w:t>
      </w:r>
      <w:r>
        <w:rPr>
          <w:w w:val="100"/>
        </w:rPr>
        <w:t>或正电子发射断层扫描</w:t>
      </w:r>
      <w:r>
        <w:rPr>
          <w:spacing w:val="1"/>
          <w:w w:val="100"/>
        </w:rPr>
        <w:t>（</w:t>
      </w:r>
      <w:r>
        <w:rPr>
          <w:rFonts w:ascii="Times New Roman" w:eastAsia="Times New Roman"/>
          <w:w w:val="100"/>
        </w:rPr>
        <w:t>P</w:t>
      </w:r>
      <w:r>
        <w:rPr>
          <w:rFonts w:ascii="Times New Roman" w:eastAsia="Times New Roman"/>
          <w:spacing w:val="-2"/>
          <w:w w:val="100"/>
        </w:rPr>
        <w:t>E</w:t>
      </w:r>
      <w:r>
        <w:rPr>
          <w:rFonts w:ascii="Times New Roman" w:eastAsia="Times New Roman"/>
          <w:w w:val="100"/>
        </w:rPr>
        <w:t>T</w:t>
      </w:r>
      <w:r>
        <w:rPr>
          <w:spacing w:val="1"/>
          <w:w w:val="100"/>
        </w:rPr>
        <w:t>）等</w:t>
      </w:r>
      <w:r>
        <w:rPr>
          <w:spacing w:val="-3"/>
        </w:rPr>
        <w:t>影像学检查证实，并须满足下列至少一项条件：</w:t>
      </w:r>
    </w:p>
    <w:p>
      <w:pPr>
        <w:pStyle w:val="BodyText"/>
        <w:spacing w:before="17"/>
        <w:ind w:left="324"/>
      </w:pPr>
      <w:r>
        <w:rPr/>
        <w:t>（</w:t>
      </w:r>
      <w:r>
        <w:rPr>
          <w:rFonts w:ascii="Times New Roman" w:eastAsia="Times New Roman"/>
        </w:rPr>
        <w:t>1</w:t>
      </w:r>
      <w:r>
        <w:rPr/>
        <w:t>）实际实施了开颅进行的脑肿瘤完全切除或部分切除的手术；</w:t>
      </w:r>
    </w:p>
    <w:p>
      <w:pPr>
        <w:pStyle w:val="BodyText"/>
        <w:spacing w:line="287" w:lineRule="exact"/>
        <w:ind w:left="324"/>
      </w:pPr>
      <w:r>
        <w:rPr/>
        <w:t>（</w:t>
      </w:r>
      <w:r>
        <w:rPr>
          <w:rFonts w:ascii="Times New Roman" w:eastAsia="Times New Roman"/>
        </w:rPr>
        <w:t>2</w:t>
      </w:r>
      <w:r>
        <w:rPr/>
        <w:t>）实际实施了对脑肿瘤进行的放射治疗。</w:t>
      </w:r>
    </w:p>
    <w:p>
      <w:pPr>
        <w:spacing w:line="311" w:lineRule="exact" w:before="0"/>
        <w:ind w:left="533" w:right="0" w:firstLine="0"/>
        <w:jc w:val="left"/>
        <w:rPr>
          <w:rFonts w:ascii="黑体" w:eastAsia="黑体" w:hint="eastAsia"/>
          <w:sz w:val="24"/>
        </w:rPr>
      </w:pPr>
      <w:r>
        <w:rPr>
          <w:rFonts w:ascii="黑体" w:eastAsia="黑体" w:hint="eastAsia"/>
          <w:sz w:val="24"/>
        </w:rPr>
        <w:t>脑垂体瘤、脑囊肿、脑血管性疾病不在保障范围内。</w:t>
      </w:r>
    </w:p>
    <w:p>
      <w:pPr>
        <w:pStyle w:val="Heading3"/>
        <w:spacing w:before="26"/>
        <w:ind w:left="533"/>
      </w:pPr>
      <w:r>
        <w:rPr/>
        <w:t>十、慢性肝功能衰竭失代偿期</w:t>
      </w:r>
    </w:p>
    <w:p>
      <w:pPr>
        <w:pStyle w:val="BodyText"/>
        <w:spacing w:before="37"/>
        <w:ind w:left="533"/>
      </w:pPr>
      <w:r>
        <w:rPr/>
        <w:t>指因慢性肝脏疾病导致肝功能衰竭。须满足下列全部条件：</w:t>
      </w:r>
    </w:p>
    <w:p>
      <w:pPr>
        <w:pStyle w:val="BodyText"/>
        <w:spacing w:before="37"/>
        <w:ind w:left="324"/>
      </w:pPr>
      <w:r>
        <w:rPr/>
        <w:t>（</w:t>
      </w:r>
      <w:r>
        <w:rPr>
          <w:rFonts w:ascii="Times New Roman" w:eastAsia="Times New Roman"/>
        </w:rPr>
        <w:t>1</w:t>
      </w:r>
      <w:r>
        <w:rPr/>
        <w:t>）持续性黄疸；</w:t>
      </w:r>
    </w:p>
    <w:p>
      <w:pPr>
        <w:pStyle w:val="BodyText"/>
        <w:ind w:left="324"/>
      </w:pPr>
      <w:r>
        <w:rPr/>
        <w:t>（</w:t>
      </w:r>
      <w:r>
        <w:rPr>
          <w:rFonts w:ascii="Times New Roman" w:eastAsia="Times New Roman"/>
        </w:rPr>
        <w:t>2</w:t>
      </w:r>
      <w:r>
        <w:rPr/>
        <w:t>）腹水；</w:t>
      </w:r>
    </w:p>
    <w:p>
      <w:pPr>
        <w:pStyle w:val="BodyText"/>
        <w:ind w:left="324"/>
      </w:pPr>
      <w:r>
        <w:rPr/>
        <w:t>（</w:t>
      </w:r>
      <w:r>
        <w:rPr>
          <w:rFonts w:ascii="Times New Roman" w:eastAsia="Times New Roman"/>
        </w:rPr>
        <w:t>3</w:t>
      </w:r>
      <w:r>
        <w:rPr/>
        <w:t>）肝性脑病；</w:t>
      </w:r>
    </w:p>
    <w:p>
      <w:pPr>
        <w:pStyle w:val="BodyText"/>
        <w:spacing w:line="287" w:lineRule="exact"/>
        <w:ind w:left="324"/>
      </w:pPr>
      <w:r>
        <w:rPr/>
        <w:t>（</w:t>
      </w:r>
      <w:r>
        <w:rPr>
          <w:rFonts w:ascii="Times New Roman" w:eastAsia="Times New Roman"/>
        </w:rPr>
        <w:t>4</w:t>
      </w:r>
      <w:r>
        <w:rPr/>
        <w:t>）充血性脾肿大伴脾功能亢进或食管胃底静脉曲张。</w:t>
      </w:r>
    </w:p>
    <w:p>
      <w:pPr>
        <w:spacing w:line="311" w:lineRule="exact" w:before="0"/>
        <w:ind w:left="593" w:right="0" w:firstLine="0"/>
        <w:jc w:val="left"/>
        <w:rPr>
          <w:rFonts w:ascii="黑体" w:eastAsia="黑体" w:hint="eastAsia"/>
          <w:sz w:val="24"/>
        </w:rPr>
      </w:pPr>
      <w:r>
        <w:rPr>
          <w:rFonts w:ascii="黑体" w:eastAsia="黑体" w:hint="eastAsia"/>
          <w:sz w:val="24"/>
        </w:rPr>
        <w:t>因酗酒或药物滥用导致的肝功能衰竭不在保障范围内。</w:t>
      </w:r>
    </w:p>
    <w:p>
      <w:pPr>
        <w:pStyle w:val="Heading3"/>
        <w:spacing w:before="26"/>
        <w:ind w:left="533"/>
      </w:pPr>
      <w:r>
        <w:rPr/>
        <w:t>十一、脑炎后遗症或脑膜炎后遗症</w:t>
      </w:r>
    </w:p>
    <w:p>
      <w:pPr>
        <w:pStyle w:val="BodyText"/>
        <w:spacing w:before="37"/>
        <w:ind w:left="535"/>
        <w:rPr>
          <w:rFonts w:ascii="Times New Roman" w:eastAsia="Times New Roman"/>
        </w:rPr>
      </w:pPr>
      <w:r>
        <w:rPr>
          <w:spacing w:val="-10"/>
        </w:rPr>
        <w:t>指因患脑炎或脑膜炎导致的神经系统永久性的功能障碍。神经系统永久性的功能障碍，指疾病确诊 </w:t>
      </w:r>
      <w:r>
        <w:rPr>
          <w:rFonts w:ascii="Times New Roman" w:eastAsia="Times New Roman"/>
        </w:rPr>
        <w:t>180</w:t>
      </w:r>
    </w:p>
    <w:p>
      <w:pPr>
        <w:pStyle w:val="BodyText"/>
      </w:pPr>
      <w:r>
        <w:rPr/>
        <w:t>日后，仍遗留下列一种或一种以上障碍：</w:t>
      </w:r>
    </w:p>
    <w:p>
      <w:pPr>
        <w:spacing w:after="0"/>
        <w:sectPr>
          <w:pgSz w:w="11910" w:h="16840"/>
          <w:pgMar w:header="228" w:footer="888" w:top="1200" w:bottom="1100" w:left="1020" w:right="920"/>
        </w:sectPr>
      </w:pPr>
    </w:p>
    <w:p>
      <w:pPr>
        <w:pStyle w:val="Heading3"/>
        <w:spacing w:before="37"/>
      </w:pPr>
      <w:r>
        <w:rPr/>
        <w:t>十二、 深度昏迷</w:t>
      </w:r>
    </w:p>
    <w:p>
      <w:pPr>
        <w:pStyle w:val="BodyText"/>
        <w:spacing w:before="36"/>
        <w:ind w:left="533"/>
      </w:pP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p>
    <w:p>
      <w:pPr>
        <w:pStyle w:val="BodyText"/>
        <w:spacing w:line="287" w:lineRule="exact" w:before="20"/>
      </w:pPr>
      <w:r>
        <w:rPr>
          <w:w w:val="100"/>
        </w:rPr>
        <w:t>（</w:t>
      </w:r>
      <w:r>
        <w:rPr>
          <w:rFonts w:ascii="Times New Roman" w:eastAsia="Times New Roman"/>
          <w:w w:val="100"/>
        </w:rPr>
        <w:t>G</w:t>
      </w:r>
      <w:r>
        <w:rPr>
          <w:rFonts w:ascii="Times New Roman" w:eastAsia="Times New Roman"/>
          <w:spacing w:val="-2"/>
          <w:w w:val="100"/>
        </w:rPr>
        <w:t>l</w:t>
      </w:r>
      <w:r>
        <w:rPr>
          <w:rFonts w:ascii="Times New Roman" w:eastAsia="Times New Roman"/>
          <w:w w:val="100"/>
        </w:rPr>
        <w:t>a</w:t>
      </w:r>
      <w:r>
        <w:rPr>
          <w:rFonts w:ascii="Times New Roman" w:eastAsia="Times New Roman"/>
          <w:spacing w:val="-1"/>
          <w:w w:val="100"/>
        </w:rPr>
        <w:t>s</w:t>
      </w:r>
      <w:r>
        <w:rPr>
          <w:rFonts w:ascii="Times New Roman" w:eastAsia="Times New Roman"/>
          <w:spacing w:val="-3"/>
          <w:w w:val="100"/>
        </w:rPr>
        <w:t>g</w:t>
      </w:r>
      <w:r>
        <w:rPr>
          <w:rFonts w:ascii="Times New Roman" w:eastAsia="Times New Roman"/>
          <w:w w:val="100"/>
        </w:rPr>
        <w:t>ow</w:t>
      </w:r>
      <w:r>
        <w:rPr>
          <w:rFonts w:ascii="Times New Roman" w:eastAsia="Times New Roman"/>
          <w:spacing w:val="-1"/>
        </w:rPr>
        <w:t> </w:t>
      </w:r>
      <w:r>
        <w:rPr>
          <w:rFonts w:ascii="Times New Roman" w:eastAsia="Times New Roman"/>
          <w:w w:val="100"/>
        </w:rPr>
        <w:t>co</w:t>
      </w:r>
      <w:r>
        <w:rPr>
          <w:rFonts w:ascii="Times New Roman" w:eastAsia="Times New Roman"/>
          <w:spacing w:val="-4"/>
          <w:w w:val="100"/>
        </w:rPr>
        <w:t>m</w:t>
      </w:r>
      <w:r>
        <w:rPr>
          <w:rFonts w:ascii="Times New Roman" w:eastAsia="Times New Roman"/>
          <w:w w:val="100"/>
        </w:rPr>
        <w:t>a</w:t>
      </w:r>
      <w:r>
        <w:rPr>
          <w:rFonts w:ascii="Times New Roman" w:eastAsia="Times New Roman"/>
        </w:rPr>
        <w:t> </w:t>
      </w:r>
      <w:r>
        <w:rPr>
          <w:rFonts w:ascii="Times New Roman" w:eastAsia="Times New Roman"/>
          <w:spacing w:val="-1"/>
          <w:w w:val="100"/>
        </w:rPr>
        <w:t>s</w:t>
      </w:r>
      <w:r>
        <w:rPr>
          <w:rFonts w:ascii="Times New Roman" w:eastAsia="Times New Roman"/>
          <w:w w:val="100"/>
        </w:rPr>
        <w:t>ca</w:t>
      </w:r>
      <w:r>
        <w:rPr>
          <w:rFonts w:ascii="Times New Roman" w:eastAsia="Times New Roman"/>
          <w:spacing w:val="-2"/>
          <w:w w:val="100"/>
        </w:rPr>
        <w:t>l</w:t>
      </w:r>
      <w:r>
        <w:rPr>
          <w:rFonts w:ascii="Times New Roman" w:eastAsia="Times New Roman"/>
          <w:spacing w:val="-1"/>
          <w:w w:val="100"/>
        </w:rPr>
        <w:t>e</w:t>
      </w:r>
      <w:r>
        <w:rPr>
          <w:spacing w:val="-87"/>
          <w:w w:val="100"/>
        </w:rPr>
        <w:t>）</w:t>
      </w:r>
      <w:r>
        <w:rPr>
          <w:spacing w:val="-2"/>
          <w:w w:val="100"/>
        </w:rPr>
        <w:t>结果为</w:t>
      </w:r>
      <w:r>
        <w:rPr>
          <w:spacing w:val="-52"/>
        </w:rPr>
        <w:t> </w:t>
      </w:r>
      <w:r>
        <w:rPr>
          <w:rFonts w:ascii="Times New Roman" w:eastAsia="Times New Roman"/>
          <w:w w:val="100"/>
        </w:rPr>
        <w:t>5</w:t>
      </w:r>
      <w:r>
        <w:rPr>
          <w:rFonts w:ascii="Times New Roman" w:eastAsia="Times New Roman"/>
          <w:spacing w:val="-3"/>
        </w:rPr>
        <w:t> </w:t>
      </w:r>
      <w:r>
        <w:rPr>
          <w:spacing w:val="-2"/>
          <w:w w:val="100"/>
        </w:rPr>
        <w:t>分或</w:t>
      </w:r>
      <w:r>
        <w:rPr>
          <w:spacing w:val="-53"/>
        </w:rPr>
        <w:t> </w:t>
      </w:r>
      <w:r>
        <w:rPr>
          <w:rFonts w:ascii="Times New Roman" w:eastAsia="Times New Roman"/>
          <w:w w:val="100"/>
        </w:rPr>
        <w:t>5</w:t>
      </w:r>
      <w:r>
        <w:rPr>
          <w:rFonts w:ascii="Times New Roman" w:eastAsia="Times New Roman"/>
        </w:rPr>
        <w:t> </w:t>
      </w:r>
      <w:r>
        <w:rPr>
          <w:spacing w:val="-11"/>
          <w:w w:val="100"/>
        </w:rPr>
        <w:t>分以下，且已经持续使用呼吸机及其它生命维持系统</w:t>
      </w:r>
      <w:r>
        <w:rPr>
          <w:spacing w:val="-53"/>
        </w:rPr>
        <w:t> </w:t>
      </w:r>
      <w:r>
        <w:rPr>
          <w:rFonts w:ascii="Times New Roman" w:eastAsia="Times New Roman"/>
          <w:spacing w:val="-3"/>
          <w:w w:val="100"/>
        </w:rPr>
        <w:t>9</w:t>
      </w:r>
      <w:r>
        <w:rPr>
          <w:rFonts w:ascii="Times New Roman" w:eastAsia="Times New Roman"/>
          <w:w w:val="100"/>
        </w:rPr>
        <w:t>6</w:t>
      </w:r>
      <w:r>
        <w:rPr>
          <w:rFonts w:ascii="Times New Roman" w:eastAsia="Times New Roman"/>
        </w:rPr>
        <w:t> </w:t>
      </w:r>
      <w:r>
        <w:rPr>
          <w:spacing w:val="-3"/>
          <w:w w:val="100"/>
        </w:rPr>
        <w:t>小时以上。</w:t>
      </w:r>
    </w:p>
    <w:p>
      <w:pPr>
        <w:spacing w:line="311" w:lineRule="exact" w:before="0"/>
        <w:ind w:left="593" w:right="0" w:firstLine="0"/>
        <w:jc w:val="left"/>
        <w:rPr>
          <w:rFonts w:ascii="黑体" w:eastAsia="黑体" w:hint="eastAsia"/>
          <w:sz w:val="24"/>
        </w:rPr>
      </w:pPr>
      <w:r>
        <w:rPr>
          <w:rFonts w:ascii="黑体" w:eastAsia="黑体" w:hint="eastAsia"/>
          <w:sz w:val="24"/>
        </w:rPr>
        <w:t>因酗酒或药物滥用所致的深度昏迷不在保障范围内。</w:t>
      </w:r>
    </w:p>
    <w:p>
      <w:pPr>
        <w:pStyle w:val="Heading3"/>
        <w:spacing w:before="26"/>
      </w:pPr>
      <w:r>
        <w:rPr/>
        <w:t>十三、双耳失聪</w:t>
      </w:r>
    </w:p>
    <w:p>
      <w:pPr>
        <w:pStyle w:val="BodyText"/>
        <w:spacing w:before="36"/>
        <w:ind w:left="533"/>
      </w:pPr>
      <w:r>
        <w:rPr/>
        <w:t>指因疾病或意外伤害导致双耳听力永久不可逆性丧失，在 </w:t>
      </w:r>
      <w:r>
        <w:rPr>
          <w:rFonts w:ascii="Times New Roman" w:eastAsia="Times New Roman"/>
        </w:rPr>
        <w:t>500 </w:t>
      </w:r>
      <w:r>
        <w:rPr/>
        <w:t>赫兹、</w:t>
      </w:r>
      <w:r>
        <w:rPr>
          <w:rFonts w:ascii="Times New Roman" w:eastAsia="Times New Roman"/>
        </w:rPr>
        <w:t>1000 </w:t>
      </w:r>
      <w:r>
        <w:rPr/>
        <w:t>赫兹和 </w:t>
      </w:r>
      <w:r>
        <w:rPr>
          <w:rFonts w:ascii="Times New Roman" w:eastAsia="Times New Roman"/>
        </w:rPr>
        <w:t>2000 </w:t>
      </w:r>
      <w:r>
        <w:rPr/>
        <w:t>赫兹语音频率</w:t>
      </w:r>
    </w:p>
    <w:p>
      <w:pPr>
        <w:pStyle w:val="BodyText"/>
        <w:spacing w:before="20"/>
      </w:pPr>
      <w:r>
        <w:rPr/>
        <w:t>下，平均听阈大于 </w:t>
      </w:r>
      <w:r>
        <w:rPr>
          <w:rFonts w:ascii="Times New Roman" w:eastAsia="Times New Roman"/>
        </w:rPr>
        <w:t>90 </w:t>
      </w:r>
      <w:r>
        <w:rPr/>
        <w:t>分贝，且经纯音听力测试、声导抗检测或听觉诱发电位检测等证实。</w:t>
      </w:r>
    </w:p>
    <w:p>
      <w:pPr>
        <w:pStyle w:val="BodyText"/>
        <w:spacing w:line="256" w:lineRule="auto" w:before="20"/>
        <w:ind w:right="109" w:firstLine="420"/>
      </w:pPr>
      <w:r>
        <w:rPr>
          <w:spacing w:val="-6"/>
        </w:rPr>
        <w:t>注：永久不可逆：指自疾病确诊或意外伤害发生之日起，经过积极治疗 </w:t>
      </w:r>
      <w:r>
        <w:rPr>
          <w:rFonts w:ascii="Times New Roman" w:eastAsia="Times New Roman"/>
        </w:rPr>
        <w:t>180 </w:t>
      </w:r>
      <w:r>
        <w:rPr>
          <w:spacing w:val="-3"/>
        </w:rPr>
        <w:t>日后，仍无法通过现有医疗手段恢复。</w:t>
      </w:r>
    </w:p>
    <w:p>
      <w:pPr>
        <w:pStyle w:val="Heading3"/>
        <w:spacing w:before="22"/>
      </w:pPr>
      <w:r>
        <w:rPr/>
        <w:t>十四、双目失明</w:t>
      </w:r>
    </w:p>
    <w:p>
      <w:pPr>
        <w:pStyle w:val="BodyText"/>
        <w:spacing w:before="37"/>
        <w:ind w:left="533"/>
      </w:pPr>
      <w:r>
        <w:rPr/>
        <w:t>指因疾病或意外伤害导致双眼视力永久不可逆性丧失，双眼中较好眼须满足下列至少一项条件：</w:t>
      </w:r>
    </w:p>
    <w:p>
      <w:pPr>
        <w:pStyle w:val="BodyText"/>
        <w:spacing w:before="36"/>
        <w:ind w:left="324"/>
      </w:pPr>
      <w:r>
        <w:rPr/>
        <w:t>（</w:t>
      </w:r>
      <w:r>
        <w:rPr>
          <w:rFonts w:ascii="Times New Roman" w:eastAsia="Times New Roman"/>
        </w:rPr>
        <w:t>1</w:t>
      </w:r>
      <w:r>
        <w:rPr/>
        <w:t>）眼球缺失或摘除；</w:t>
      </w:r>
    </w:p>
    <w:p>
      <w:pPr>
        <w:pStyle w:val="BodyText"/>
        <w:ind w:left="324"/>
      </w:pPr>
      <w:r>
        <w:rPr>
          <w:w w:val="100"/>
        </w:rPr>
        <w:t>（</w:t>
      </w:r>
      <w:r>
        <w:rPr>
          <w:rFonts w:ascii="Times New Roman" w:eastAsia="Times New Roman"/>
          <w:w w:val="100"/>
        </w:rPr>
        <w:t>2</w:t>
      </w:r>
      <w:r>
        <w:rPr>
          <w:spacing w:val="-3"/>
          <w:w w:val="100"/>
        </w:rPr>
        <w:t>）矫正视力低于</w:t>
      </w:r>
      <w:r>
        <w:rPr>
          <w:spacing w:val="-55"/>
        </w:rPr>
        <w:t> </w:t>
      </w:r>
      <w:r>
        <w:rPr>
          <w:rFonts w:ascii="Times New Roman" w:eastAsia="Times New Roman"/>
          <w:w w:val="100"/>
        </w:rPr>
        <w:t>0.0</w:t>
      </w:r>
      <w:r>
        <w:rPr>
          <w:rFonts w:ascii="Times New Roman" w:eastAsia="Times New Roman"/>
          <w:spacing w:val="-3"/>
          <w:w w:val="100"/>
        </w:rPr>
        <w:t>2</w:t>
      </w:r>
      <w:r>
        <w:rPr>
          <w:spacing w:val="-3"/>
          <w:w w:val="100"/>
        </w:rPr>
        <w:t>（采用国际标准视力表，如果使用其他视力表应进行换算</w:t>
      </w:r>
      <w:r>
        <w:rPr>
          <w:spacing w:val="-108"/>
          <w:w w:val="100"/>
        </w:rPr>
        <w:t>）</w:t>
      </w:r>
      <w:r>
        <w:rPr>
          <w:w w:val="100"/>
        </w:rPr>
        <w:t>；</w:t>
      </w:r>
    </w:p>
    <w:p>
      <w:pPr>
        <w:pStyle w:val="BodyText"/>
        <w:ind w:left="324"/>
      </w:pPr>
      <w:r>
        <w:rPr/>
        <w:t>（</w:t>
      </w:r>
      <w:r>
        <w:rPr>
          <w:rFonts w:ascii="Times New Roman" w:eastAsia="Times New Roman"/>
        </w:rPr>
        <w:t>3</w:t>
      </w:r>
      <w:r>
        <w:rPr/>
        <w:t>）视野半径小于 </w:t>
      </w:r>
      <w:r>
        <w:rPr>
          <w:rFonts w:ascii="Times New Roman" w:eastAsia="Times New Roman"/>
        </w:rPr>
        <w:t>5 </w:t>
      </w:r>
      <w:r>
        <w:rPr/>
        <w:t>度。</w:t>
      </w:r>
    </w:p>
    <w:p>
      <w:pPr>
        <w:pStyle w:val="BodyText"/>
        <w:ind w:left="533"/>
      </w:pPr>
      <w:r>
        <w:rPr/>
        <w:t>注：永久不可逆：指自疾病确诊或意外伤害发生之日起，经过积极治疗 </w:t>
      </w:r>
      <w:r>
        <w:rPr>
          <w:rFonts w:ascii="Times New Roman" w:eastAsia="Times New Roman"/>
        </w:rPr>
        <w:t>180 </w:t>
      </w:r>
      <w:r>
        <w:rPr/>
        <w:t>日后，仍无法通过现有医</w:t>
      </w:r>
    </w:p>
    <w:p>
      <w:pPr>
        <w:pStyle w:val="BodyText"/>
        <w:spacing w:line="256" w:lineRule="auto"/>
        <w:ind w:left="535" w:right="2544" w:hanging="423"/>
        <w:rPr>
          <w:b/>
        </w:rPr>
      </w:pPr>
      <w:r>
        <w:rPr/>
        <w:t>疗手段恢复。但眼球摘除等明显无法复原的情况，不受此 </w:t>
      </w:r>
      <w:r>
        <w:rPr>
          <w:rFonts w:ascii="Times New Roman" w:eastAsia="Times New Roman"/>
        </w:rPr>
        <w:t>180 </w:t>
      </w:r>
      <w:r>
        <w:rPr/>
        <w:t>日期限的限制。</w:t>
      </w:r>
      <w:r>
        <w:rPr>
          <w:b/>
        </w:rPr>
        <w:t>十五、瘫痪</w:t>
      </w:r>
    </w:p>
    <w:p>
      <w:pPr>
        <w:pStyle w:val="BodyText"/>
        <w:spacing w:line="273" w:lineRule="auto" w:before="22"/>
        <w:ind w:right="106" w:firstLine="420"/>
      </w:pPr>
      <w:r>
        <w:rPr>
          <w:spacing w:val="-5"/>
        </w:rPr>
        <w:t>指因疾病或意外伤害导致两肢或两肢以上肢体机能永久完全丧失。肢体机能永久完全丧失，指疾病确</w:t>
      </w:r>
      <w:r>
        <w:rPr>
          <w:spacing w:val="-22"/>
        </w:rPr>
        <w:t>诊 </w:t>
      </w:r>
      <w:r>
        <w:rPr>
          <w:rFonts w:ascii="Times New Roman" w:eastAsia="Times New Roman"/>
        </w:rPr>
        <w:t>180 </w:t>
      </w:r>
      <w:r>
        <w:rPr>
          <w:spacing w:val="-7"/>
        </w:rPr>
        <w:t>日后或意外伤害发生 </w:t>
      </w:r>
      <w:r>
        <w:rPr>
          <w:rFonts w:ascii="Times New Roman" w:eastAsia="Times New Roman"/>
        </w:rPr>
        <w:t>180 </w:t>
      </w:r>
      <w:r>
        <w:rPr>
          <w:spacing w:val="-3"/>
        </w:rPr>
        <w:t>日后，每肢三大关节中的两大关节仍然完全僵硬，或不能随意识活动。</w:t>
      </w:r>
    </w:p>
    <w:p>
      <w:pPr>
        <w:pStyle w:val="Heading3"/>
        <w:spacing w:line="264" w:lineRule="exact" w:before="0"/>
      </w:pPr>
      <w:r>
        <w:rPr/>
        <w:t>十六、心脏瓣膜手术</w:t>
      </w:r>
    </w:p>
    <w:p>
      <w:pPr>
        <w:spacing w:line="273" w:lineRule="auto" w:before="37"/>
        <w:ind w:left="535" w:right="2185" w:hanging="3"/>
        <w:jc w:val="left"/>
        <w:rPr>
          <w:b/>
          <w:sz w:val="21"/>
        </w:rPr>
      </w:pPr>
      <w:r>
        <w:rPr>
          <w:sz w:val="21"/>
        </w:rPr>
        <w:t>指为治疗心脏瓣膜疾病，实际实施了开胸进行的心脏瓣膜置换或修复的手术。</w:t>
      </w:r>
      <w:r>
        <w:rPr>
          <w:b/>
          <w:sz w:val="21"/>
        </w:rPr>
        <w:t>十七、严重阿尔茨海默病</w:t>
      </w:r>
    </w:p>
    <w:p>
      <w:pPr>
        <w:pStyle w:val="BodyText"/>
        <w:spacing w:line="261" w:lineRule="auto" w:before="7"/>
        <w:ind w:right="106" w:firstLine="420"/>
        <w:jc w:val="both"/>
      </w:pPr>
      <w:r>
        <w:rPr>
          <w:spacing w:val="-6"/>
        </w:rPr>
        <w:t>指因大脑进行性、不可逆性改变导致智能严重衰退或丧失，临床表现为明显的认知能力障碍、行为异</w:t>
      </w:r>
      <w:r>
        <w:rPr>
          <w:spacing w:val="-11"/>
          <w:w w:val="100"/>
        </w:rPr>
        <w:t>常和社交能力减退，其日常生活必须持续受到他人监护。须由头颅断层扫描</w:t>
      </w:r>
      <w:r>
        <w:rPr>
          <w:spacing w:val="-3"/>
          <w:w w:val="100"/>
        </w:rPr>
        <w:t>（</w:t>
      </w:r>
      <w:r>
        <w:rPr>
          <w:rFonts w:ascii="Times New Roman" w:eastAsia="Times New Roman"/>
          <w:w w:val="100"/>
        </w:rPr>
        <w:t>CT</w:t>
      </w:r>
      <w:r>
        <w:rPr>
          <w:spacing w:val="-106"/>
          <w:w w:val="100"/>
        </w:rPr>
        <w:t>）</w:t>
      </w:r>
      <w:r>
        <w:rPr>
          <w:spacing w:val="-12"/>
          <w:w w:val="100"/>
        </w:rPr>
        <w:t>、核磁共振检查</w:t>
      </w:r>
      <w:r>
        <w:rPr>
          <w:spacing w:val="-3"/>
          <w:w w:val="100"/>
        </w:rPr>
        <w:t>（</w:t>
      </w:r>
      <w:r>
        <w:rPr>
          <w:rFonts w:ascii="Times New Roman" w:eastAsia="Times New Roman"/>
          <w:w w:val="100"/>
        </w:rPr>
        <w:t>MR</w:t>
      </w:r>
      <w:r>
        <w:rPr>
          <w:rFonts w:ascii="Times New Roman" w:eastAsia="Times New Roman"/>
          <w:spacing w:val="-3"/>
          <w:w w:val="100"/>
        </w:rPr>
        <w:t>I</w:t>
      </w:r>
      <w:r>
        <w:rPr>
          <w:w w:val="100"/>
        </w:rPr>
        <w:t>）</w:t>
      </w:r>
      <w:r>
        <w:rPr>
          <w:spacing w:val="-2"/>
        </w:rPr>
        <w:t>或正电子发射断层扫描</w:t>
      </w:r>
      <w:r>
        <w:rPr/>
        <w:t>（</w:t>
      </w:r>
      <w:r>
        <w:rPr>
          <w:rFonts w:ascii="Times New Roman" w:eastAsia="Times New Roman"/>
        </w:rPr>
        <w:t>PET</w:t>
      </w:r>
      <w:r>
        <w:rPr/>
        <w:t>）</w:t>
      </w:r>
      <w:r>
        <w:rPr>
          <w:spacing w:val="-3"/>
        </w:rPr>
        <w:t>等影像学检查证实，且自主生活能力完全丧失，无法独立完成六项基本日常生活活动中的三项或三项以上。</w:t>
      </w:r>
    </w:p>
    <w:p>
      <w:pPr>
        <w:spacing w:line="305" w:lineRule="exact" w:before="0"/>
        <w:ind w:left="533" w:right="0" w:firstLine="0"/>
        <w:jc w:val="left"/>
        <w:rPr>
          <w:rFonts w:ascii="黑体" w:eastAsia="黑体" w:hint="eastAsia"/>
          <w:sz w:val="24"/>
        </w:rPr>
      </w:pPr>
      <w:r>
        <w:rPr>
          <w:rFonts w:ascii="黑体" w:eastAsia="黑体" w:hint="eastAsia"/>
          <w:sz w:val="24"/>
        </w:rPr>
        <w:t>神经官能症和精神疾病不在保障范围内。</w:t>
      </w:r>
    </w:p>
    <w:p>
      <w:pPr>
        <w:pStyle w:val="BodyText"/>
        <w:spacing w:line="273" w:lineRule="auto" w:before="26"/>
        <w:ind w:right="106" w:firstLine="420"/>
        <w:jc w:val="both"/>
      </w:pPr>
      <w:r>
        <w:rPr>
          <w:spacing w:val="-6"/>
        </w:rPr>
        <w:t>注：六项基本日常生活活动包括：①穿衣：自己能够穿衣及脱衣；②移动：自己从一个房间到另一个</w:t>
      </w:r>
      <w:r>
        <w:rPr>
          <w:spacing w:val="-7"/>
        </w:rPr>
        <w:t>房间；③行动：自己上下床或上下轮椅；④如厕：自己控制进行大小便；⑤进食：自己从已准备好的碗或</w:t>
      </w:r>
      <w:r>
        <w:rPr>
          <w:spacing w:val="-3"/>
        </w:rPr>
        <w:t>碟中取食物放入口中；⑥洗澡：自己进行淋浴或盆浴。</w:t>
      </w:r>
    </w:p>
    <w:p>
      <w:pPr>
        <w:pStyle w:val="Heading3"/>
        <w:ind w:left="533"/>
      </w:pPr>
      <w:r>
        <w:rPr/>
        <w:t>十八、严重脑损伤</w:t>
      </w:r>
    </w:p>
    <w:p>
      <w:pPr>
        <w:pStyle w:val="BodyText"/>
        <w:spacing w:line="264" w:lineRule="auto" w:before="37"/>
        <w:ind w:right="106" w:firstLine="420"/>
        <w:jc w:val="both"/>
      </w:pPr>
      <w:r>
        <w:rPr>
          <w:spacing w:val="-6"/>
        </w:rPr>
        <w:t>指因头部遭受机械性外力，引起脑重要部位损伤，导致神经系统永久性的功能障碍。须由头颅断层扫</w:t>
      </w:r>
      <w:r>
        <w:rPr>
          <w:spacing w:val="1"/>
          <w:w w:val="100"/>
        </w:rPr>
        <w:t>描</w:t>
      </w:r>
      <w:r>
        <w:rPr>
          <w:w w:val="100"/>
        </w:rPr>
        <w:t>（</w:t>
      </w:r>
      <w:r>
        <w:rPr>
          <w:rFonts w:ascii="Times New Roman" w:eastAsia="Times New Roman"/>
          <w:w w:val="100"/>
        </w:rPr>
        <w:t>CT</w:t>
      </w:r>
      <w:r>
        <w:rPr>
          <w:spacing w:val="-104"/>
          <w:w w:val="100"/>
        </w:rPr>
        <w:t>）</w:t>
      </w:r>
      <w:r>
        <w:rPr>
          <w:w w:val="100"/>
        </w:rPr>
        <w:t>、核磁共振检查</w:t>
      </w:r>
      <w:r>
        <w:rPr>
          <w:spacing w:val="1"/>
          <w:w w:val="100"/>
        </w:rPr>
        <w:t>（</w:t>
      </w:r>
      <w:r>
        <w:rPr>
          <w:rFonts w:ascii="Times New Roman" w:eastAsia="Times New Roman"/>
          <w:w w:val="100"/>
        </w:rPr>
        <w:t>MRI</w:t>
      </w:r>
      <w:r>
        <w:rPr>
          <w:spacing w:val="1"/>
          <w:w w:val="100"/>
        </w:rPr>
        <w:t>）</w:t>
      </w:r>
      <w:r>
        <w:rPr>
          <w:w w:val="100"/>
        </w:rPr>
        <w:t>或正电子发射断层扫描</w:t>
      </w:r>
      <w:r>
        <w:rPr>
          <w:spacing w:val="0"/>
          <w:w w:val="100"/>
        </w:rPr>
        <w:t>（</w:t>
      </w:r>
      <w:r>
        <w:rPr>
          <w:rFonts w:ascii="Times New Roman" w:eastAsia="Times New Roman"/>
          <w:w w:val="100"/>
        </w:rPr>
        <w:t>P</w:t>
      </w:r>
      <w:r>
        <w:rPr>
          <w:rFonts w:ascii="Times New Roman" w:eastAsia="Times New Roman"/>
          <w:spacing w:val="-2"/>
          <w:w w:val="100"/>
        </w:rPr>
        <w:t>E</w:t>
      </w:r>
      <w:r>
        <w:rPr>
          <w:rFonts w:ascii="Times New Roman" w:eastAsia="Times New Roman"/>
          <w:spacing w:val="2"/>
          <w:w w:val="100"/>
        </w:rPr>
        <w:t>T</w:t>
      </w:r>
      <w:r>
        <w:rPr>
          <w:w w:val="100"/>
        </w:rPr>
        <w:t>）等影像学检查证实。神经系统永久性的</w:t>
      </w:r>
      <w:r>
        <w:rPr>
          <w:spacing w:val="-7"/>
        </w:rPr>
        <w:t>功能障碍，指脑损伤 </w:t>
      </w:r>
      <w:r>
        <w:rPr>
          <w:rFonts w:ascii="Times New Roman" w:eastAsia="Times New Roman"/>
        </w:rPr>
        <w:t>180 </w:t>
      </w:r>
      <w:r>
        <w:rPr>
          <w:spacing w:val="-3"/>
        </w:rPr>
        <w:t>日后，仍遗留下列一种或一种以上障碍：</w:t>
      </w:r>
    </w:p>
    <w:p>
      <w:pPr>
        <w:spacing w:after="0" w:line="264" w:lineRule="auto"/>
        <w:jc w:val="both"/>
        <w:sectPr>
          <w:headerReference w:type="default" r:id="rId8"/>
          <w:pgSz w:w="11910" w:h="16840"/>
          <w:pgMar w:header="228" w:footer="888" w:top="4900" w:bottom="1100" w:left="1020" w:right="1020"/>
        </w:sectPr>
      </w:pPr>
    </w:p>
    <w:p>
      <w:pPr>
        <w:pStyle w:val="Heading3"/>
        <w:spacing w:before="37"/>
      </w:pPr>
      <w:r>
        <w:rPr/>
        <w:t>十九、严重帕金森病</w:t>
      </w:r>
    </w:p>
    <w:p>
      <w:pPr>
        <w:pStyle w:val="BodyText"/>
        <w:spacing w:before="36"/>
        <w:ind w:left="533"/>
      </w:pPr>
      <w:r>
        <w:rPr/>
        <w:t>指一种中枢神经系统的退行性疾病，临床表现为震颤麻痹、共济失调等。须满足下列全部条件：</w:t>
      </w:r>
    </w:p>
    <w:p>
      <w:pPr>
        <w:pStyle w:val="BodyText"/>
        <w:spacing w:before="36"/>
        <w:ind w:left="324"/>
      </w:pPr>
      <w:r>
        <w:rPr/>
        <w:t>（</w:t>
      </w:r>
      <w:r>
        <w:rPr>
          <w:rFonts w:ascii="Times New Roman" w:eastAsia="Times New Roman"/>
        </w:rPr>
        <w:t>1</w:t>
      </w:r>
      <w:r>
        <w:rPr/>
        <w:t>）药物治疗无法控制病情；</w:t>
      </w:r>
    </w:p>
    <w:p>
      <w:pPr>
        <w:pStyle w:val="BodyText"/>
        <w:spacing w:line="287" w:lineRule="exact" w:before="20"/>
        <w:ind w:left="324"/>
      </w:pPr>
      <w:r>
        <w:rPr/>
        <w:t>（</w:t>
      </w:r>
      <w:r>
        <w:rPr>
          <w:rFonts w:ascii="Times New Roman" w:eastAsia="Times New Roman"/>
        </w:rPr>
        <w:t>2</w:t>
      </w:r>
      <w:r>
        <w:rPr/>
        <w:t>）自主生活能力完全丧失，无法独立完成六项基本日常生活活动中的三项或三项以上。</w:t>
      </w:r>
    </w:p>
    <w:p>
      <w:pPr>
        <w:spacing w:line="311" w:lineRule="exact" w:before="0"/>
        <w:ind w:left="533" w:right="0" w:firstLine="0"/>
        <w:jc w:val="left"/>
        <w:rPr>
          <w:rFonts w:ascii="黑体" w:eastAsia="黑体" w:hint="eastAsia"/>
          <w:sz w:val="24"/>
        </w:rPr>
      </w:pPr>
      <w:r>
        <w:rPr>
          <w:rFonts w:ascii="黑体" w:eastAsia="黑体" w:hint="eastAsia"/>
          <w:sz w:val="24"/>
        </w:rPr>
        <w:t>继发性帕金森综合症不在保障范围内。</w:t>
      </w:r>
    </w:p>
    <w:p>
      <w:pPr>
        <w:pStyle w:val="BodyText"/>
        <w:spacing w:line="273" w:lineRule="auto" w:before="26"/>
        <w:ind w:right="206" w:firstLine="420"/>
        <w:jc w:val="both"/>
      </w:pPr>
      <w:r>
        <w:rPr>
          <w:spacing w:val="-6"/>
        </w:rPr>
        <w:t>注：六项基本日常生活活动包括：①穿衣：自己能够穿衣及脱衣；②移动：自己从一个房间到另一个</w:t>
      </w:r>
      <w:r>
        <w:rPr>
          <w:spacing w:val="-7"/>
        </w:rPr>
        <w:t>房间；③行动：自己上下床或上下轮椅；④如厕：自己控制进行大小便；⑤进食：自己从已准备好的碗或</w:t>
      </w:r>
      <w:r>
        <w:rPr>
          <w:spacing w:val="-3"/>
        </w:rPr>
        <w:t>碟中取食物放入口中；⑥洗澡：自己进行淋浴或盆浴。</w:t>
      </w:r>
    </w:p>
    <w:p>
      <w:pPr>
        <w:pStyle w:val="Heading3"/>
      </w:pPr>
      <w:r>
        <w:rPr/>
        <w:t>二十、严重 </w:t>
      </w:r>
      <w:r>
        <w:rPr>
          <w:rFonts w:ascii="Times New Roman" w:eastAsia="Times New Roman"/>
        </w:rPr>
        <w:t>III </w:t>
      </w:r>
      <w:r>
        <w:rPr/>
        <w:t>度烧伤</w:t>
      </w:r>
    </w:p>
    <w:p>
      <w:pPr>
        <w:pStyle w:val="BodyText"/>
        <w:spacing w:line="256" w:lineRule="auto"/>
        <w:ind w:right="206" w:firstLine="420"/>
      </w:pPr>
      <w:r>
        <w:rPr>
          <w:spacing w:val="-6"/>
        </w:rPr>
        <w:t>指烧伤程度为Ⅲ度，且Ⅲ度烧伤的面积达到全身体表面积的 </w:t>
      </w:r>
      <w:r>
        <w:rPr>
          <w:rFonts w:ascii="Times New Roman" w:hAnsi="Times New Roman" w:eastAsia="Times New Roman"/>
        </w:rPr>
        <w:t>20</w:t>
      </w:r>
      <w:r>
        <w:rPr>
          <w:spacing w:val="-15"/>
        </w:rPr>
        <w:t>％或 </w:t>
      </w:r>
      <w:r>
        <w:rPr>
          <w:rFonts w:ascii="Times New Roman" w:hAnsi="Times New Roman" w:eastAsia="Times New Roman"/>
        </w:rPr>
        <w:t>20</w:t>
      </w:r>
      <w:r>
        <w:rPr>
          <w:spacing w:val="-4"/>
        </w:rPr>
        <w:t>％以上。体表面积根据 《中国</w:t>
      </w:r>
      <w:r>
        <w:rPr>
          <w:spacing w:val="-3"/>
        </w:rPr>
        <w:t>新九分法》计算。</w:t>
      </w:r>
    </w:p>
    <w:p>
      <w:pPr>
        <w:pStyle w:val="Heading3"/>
        <w:spacing w:before="22"/>
      </w:pPr>
      <w:r>
        <w:rPr/>
        <w:t>二十一、严重原发性肺动脉高压</w:t>
      </w:r>
    </w:p>
    <w:p>
      <w:pPr>
        <w:pStyle w:val="BodyText"/>
        <w:spacing w:line="273" w:lineRule="auto" w:before="36"/>
        <w:ind w:right="105" w:firstLine="420"/>
      </w:pPr>
      <w:r>
        <w:rPr>
          <w:spacing w:val="-5"/>
        </w:rPr>
        <w:t>指不明原因的肺动脉压力持续性增高，进行性发展而导致的慢性疾病，已经造成永久不可逆性的体力</w:t>
      </w:r>
      <w:r>
        <w:rPr>
          <w:spacing w:val="-15"/>
        </w:rPr>
        <w:t>活动能力受限，达到美国纽约心脏病学会心功能状态分级 </w:t>
      </w:r>
      <w:r>
        <w:rPr>
          <w:rFonts w:ascii="Times New Roman" w:eastAsia="Times New Roman"/>
        </w:rPr>
        <w:t>IV </w:t>
      </w:r>
      <w:r>
        <w:rPr>
          <w:spacing w:val="-16"/>
        </w:rPr>
        <w:t>级，且静息状态下肺动脉平均压超过 </w:t>
      </w:r>
      <w:r>
        <w:rPr>
          <w:rFonts w:ascii="Times New Roman" w:eastAsia="Times New Roman"/>
        </w:rPr>
        <w:t>30mmHg</w:t>
      </w:r>
      <w:r>
        <w:rPr/>
        <w:t>。</w:t>
      </w:r>
    </w:p>
    <w:p>
      <w:pPr>
        <w:pStyle w:val="BodyText"/>
        <w:spacing w:line="256" w:lineRule="auto" w:before="0"/>
        <w:ind w:right="209" w:firstLine="420"/>
      </w:pPr>
      <w:r>
        <w:rPr>
          <w:spacing w:val="-6"/>
        </w:rPr>
        <w:t>注：永久不可逆：指自疾病确诊或意外伤害发生之日起，经过积极治疗 </w:t>
      </w:r>
      <w:r>
        <w:rPr>
          <w:rFonts w:ascii="Times New Roman" w:eastAsia="Times New Roman"/>
        </w:rPr>
        <w:t>180 </w:t>
      </w:r>
      <w:r>
        <w:rPr>
          <w:spacing w:val="-3"/>
        </w:rPr>
        <w:t>日后，仍无法通过现有医疗手段恢复。</w:t>
      </w:r>
    </w:p>
    <w:p>
      <w:pPr>
        <w:pStyle w:val="Heading3"/>
        <w:spacing w:before="34"/>
      </w:pPr>
      <w:r>
        <w:rPr/>
        <w:t>二十二、严重运动神经元病</w:t>
      </w:r>
    </w:p>
    <w:p>
      <w:pPr>
        <w:pStyle w:val="BodyText"/>
        <w:spacing w:line="273" w:lineRule="auto" w:before="36"/>
        <w:ind w:right="206" w:firstLine="420"/>
        <w:jc w:val="both"/>
      </w:pPr>
      <w:r>
        <w:rPr>
          <w:spacing w:val="-6"/>
        </w:rPr>
        <w:t>指一组中枢神经系统运动神经元的进行性变性疾病，包括进行性脊肌萎缩症、进行性延髓麻痹症、原</w:t>
      </w:r>
      <w:r>
        <w:rPr>
          <w:spacing w:val="-7"/>
        </w:rPr>
        <w:t>发性侧索硬化症、肌萎缩性侧索硬化症。须满足自主生活能力完全丧失，无法独立完成六项基本日常生活</w:t>
      </w:r>
      <w:r>
        <w:rPr>
          <w:spacing w:val="-5"/>
        </w:rPr>
        <w:t>活动中的三项或三项以上的条件。</w:t>
      </w:r>
    </w:p>
    <w:p>
      <w:pPr>
        <w:pStyle w:val="BodyText"/>
        <w:spacing w:line="273" w:lineRule="auto" w:before="7"/>
        <w:ind w:right="206" w:firstLine="420"/>
        <w:jc w:val="both"/>
      </w:pPr>
      <w:r>
        <w:rPr>
          <w:spacing w:val="-6"/>
        </w:rPr>
        <w:t>注：六项基本日常生活活动包括：①穿衣：自己能够穿衣及脱衣；②移动：自己从一个房间到另一个</w:t>
      </w:r>
      <w:r>
        <w:rPr>
          <w:spacing w:val="-7"/>
        </w:rPr>
        <w:t>房间；③行动：自己上下床或上下轮椅；④如厕：自己控制进行大小便；⑤进食：自己从已准备好的碗或</w:t>
      </w:r>
      <w:r>
        <w:rPr>
          <w:spacing w:val="-3"/>
        </w:rPr>
        <w:t>碟中取食物放入口中；⑥洗澡：自己进行淋浴或盆浴。</w:t>
      </w:r>
    </w:p>
    <w:p>
      <w:pPr>
        <w:pStyle w:val="Heading3"/>
      </w:pPr>
      <w:r>
        <w:rPr/>
        <w:t>二十三、语言能力丧失</w:t>
      </w:r>
    </w:p>
    <w:p>
      <w:pPr>
        <w:pStyle w:val="BodyText"/>
        <w:spacing w:line="256" w:lineRule="auto" w:before="36"/>
        <w:ind w:right="290" w:firstLine="420"/>
      </w:pPr>
      <w:r>
        <w:rPr>
          <w:spacing w:val="-5"/>
        </w:rPr>
        <w:t>指因疾病或意外伤害导致完全丧失语言能力，经过积极治疗至少 </w:t>
      </w:r>
      <w:r>
        <w:rPr>
          <w:rFonts w:ascii="Times New Roman" w:eastAsia="Times New Roman"/>
        </w:rPr>
        <w:t>12 </w:t>
      </w:r>
      <w:r>
        <w:rPr>
          <w:spacing w:val="-2"/>
        </w:rPr>
        <w:t>个月</w:t>
      </w:r>
      <w:r>
        <w:rPr>
          <w:spacing w:val="-3"/>
        </w:rPr>
        <w:t>（声带完全切除不受此时间</w:t>
      </w:r>
      <w:r>
        <w:rPr>
          <w:spacing w:val="-3"/>
          <w:w w:val="100"/>
        </w:rPr>
        <w:t>限制</w:t>
      </w:r>
      <w:r>
        <w:rPr>
          <w:spacing w:val="-108"/>
          <w:w w:val="100"/>
        </w:rPr>
        <w:t>）</w:t>
      </w:r>
      <w:r>
        <w:rPr>
          <w:spacing w:val="-3"/>
          <w:w w:val="100"/>
        </w:rPr>
        <w:t>，仍无法通过现有医疗手段恢复。</w:t>
      </w:r>
    </w:p>
    <w:p>
      <w:pPr>
        <w:spacing w:line="309" w:lineRule="exact" w:before="0"/>
        <w:ind w:left="533" w:right="0" w:firstLine="0"/>
        <w:jc w:val="left"/>
        <w:rPr>
          <w:rFonts w:ascii="黑体" w:eastAsia="黑体" w:hint="eastAsia"/>
          <w:sz w:val="24"/>
        </w:rPr>
      </w:pPr>
      <w:r>
        <w:rPr>
          <w:rFonts w:ascii="黑体" w:eastAsia="黑体" w:hint="eastAsia"/>
          <w:sz w:val="24"/>
        </w:rPr>
        <w:t>精神心理因素所致的语言能力丧失不在保障范围内。</w:t>
      </w:r>
    </w:p>
    <w:p>
      <w:pPr>
        <w:pStyle w:val="BodyText"/>
        <w:spacing w:line="273" w:lineRule="auto" w:before="26"/>
        <w:ind w:right="206" w:firstLine="420"/>
      </w:pPr>
      <w:r>
        <w:rPr>
          <w:spacing w:val="-5"/>
        </w:rPr>
        <w:t>注：语言能力完全丧失：指无法发出四种语音</w:t>
      </w:r>
      <w:r>
        <w:rPr>
          <w:spacing w:val="-3"/>
        </w:rPr>
        <w:t>（</w:t>
      </w:r>
      <w:r>
        <w:rPr>
          <w:spacing w:val="-5"/>
        </w:rPr>
        <w:t>包括口唇音、齿舌音、口盖音和喉头音</w:t>
      </w:r>
      <w:r>
        <w:rPr>
          <w:spacing w:val="-8"/>
        </w:rPr>
        <w:t>）</w:t>
      </w:r>
      <w:r>
        <w:rPr>
          <w:spacing w:val="-3"/>
        </w:rPr>
        <w:t>中的任何三种、或声带全部切除，或因大脑语言中枢受伤害而患失语症。</w:t>
      </w:r>
    </w:p>
    <w:p>
      <w:pPr>
        <w:pStyle w:val="Heading3"/>
        <w:ind w:left="533"/>
      </w:pPr>
      <w:r>
        <w:rPr/>
        <w:t>二十四、重型再生障碍性贫血</w:t>
      </w:r>
    </w:p>
    <w:p>
      <w:pPr>
        <w:pStyle w:val="BodyText"/>
        <w:spacing w:before="36"/>
        <w:ind w:left="533"/>
      </w:pPr>
      <w:r>
        <w:rPr>
          <w:spacing w:val="-8"/>
        </w:rPr>
        <w:t>指因骨髓造血功能慢性持续性衰竭导致的贫血、中性粒细胞减少及血小板减少。须满足下列全部条件：</w:t>
      </w:r>
    </w:p>
    <w:p>
      <w:pPr>
        <w:pStyle w:val="BodyText"/>
        <w:spacing w:before="37"/>
        <w:ind w:left="324"/>
      </w:pPr>
      <w:r>
        <w:rPr/>
        <w:t>（</w:t>
      </w:r>
      <w:r>
        <w:rPr>
          <w:rFonts w:ascii="Times New Roman" w:eastAsia="Times New Roman"/>
        </w:rPr>
        <w:t>1</w:t>
      </w:r>
      <w:r>
        <w:rPr/>
        <w:t>）骨髓穿刺检查或骨髓活检结果支持诊断；</w:t>
      </w:r>
    </w:p>
    <w:p>
      <w:pPr>
        <w:pStyle w:val="BodyText"/>
        <w:ind w:left="324"/>
      </w:pPr>
      <w:r>
        <w:rPr/>
        <w:t>（</w:t>
      </w:r>
      <w:r>
        <w:rPr>
          <w:rFonts w:ascii="Times New Roman" w:eastAsia="Times New Roman"/>
        </w:rPr>
        <w:t>2</w:t>
      </w:r>
      <w:r>
        <w:rPr/>
        <w:t>）外周血象须具备以下三项条件：</w:t>
      </w:r>
    </w:p>
    <w:p>
      <w:pPr>
        <w:pStyle w:val="BodyText"/>
        <w:spacing w:before="38"/>
        <w:ind w:left="754" w:right="5960"/>
        <w:jc w:val="center"/>
      </w:pPr>
      <w:r>
        <w:rPr/>
        <w:t>① 中性粒细胞绝对值</w:t>
      </w:r>
      <w:r>
        <w:rPr>
          <w:rFonts w:ascii="Times New Roman" w:hAnsi="Times New Roman" w:eastAsia="Times New Roman"/>
        </w:rPr>
        <w:t>≤0.5×</w:t>
      </w:r>
      <w:r>
        <w:rPr>
          <w:rFonts w:ascii="Times New Roman" w:hAnsi="Times New Roman" w:eastAsia="Times New Roman"/>
          <w:sz w:val="23"/>
        </w:rPr>
        <w:t>10</w:t>
      </w:r>
      <w:r>
        <w:rPr>
          <w:rFonts w:ascii="Times New Roman" w:hAnsi="Times New Roman" w:eastAsia="Times New Roman"/>
          <w:position w:val="10"/>
          <w:sz w:val="13"/>
        </w:rPr>
        <w:t>9 </w:t>
      </w:r>
      <w:r>
        <w:rPr>
          <w:rFonts w:ascii="Times New Roman" w:hAnsi="Times New Roman" w:eastAsia="Times New Roman"/>
        </w:rPr>
        <w:t>/L</w:t>
      </w:r>
      <w:r>
        <w:rPr/>
        <w:t>；</w:t>
      </w:r>
    </w:p>
    <w:p>
      <w:pPr>
        <w:spacing w:after="0"/>
        <w:jc w:val="center"/>
        <w:sectPr>
          <w:pgSz w:w="11910" w:h="16840"/>
          <w:pgMar w:header="228" w:footer="888" w:top="4900" w:bottom="1100" w:left="1020" w:right="920"/>
        </w:sectPr>
      </w:pPr>
    </w:p>
    <w:p>
      <w:pPr>
        <w:pStyle w:val="BodyText"/>
        <w:spacing w:before="1"/>
        <w:ind w:left="744"/>
      </w:pPr>
      <w:r>
        <w:rPr/>
        <w:t>② 网织红细胞＜</w:t>
      </w:r>
      <w:r>
        <w:rPr>
          <w:rFonts w:ascii="Times New Roman" w:hAnsi="Times New Roman" w:eastAsia="Times New Roman"/>
        </w:rPr>
        <w:t>1%</w:t>
      </w:r>
      <w:r>
        <w:rPr/>
        <w:t>；</w:t>
      </w:r>
    </w:p>
    <w:p>
      <w:pPr>
        <w:spacing w:line="237" w:lineRule="auto" w:before="44"/>
        <w:ind w:left="535" w:right="6323" w:firstLine="208"/>
        <w:jc w:val="left"/>
        <w:rPr>
          <w:b/>
          <w:sz w:val="21"/>
        </w:rPr>
      </w:pPr>
      <w:r>
        <w:rPr>
          <w:sz w:val="21"/>
        </w:rPr>
        <w:t>③ 血小板绝对值</w:t>
      </w:r>
      <w:r>
        <w:rPr>
          <w:rFonts w:ascii="Times New Roman" w:hAnsi="Times New Roman" w:eastAsia="Times New Roman"/>
          <w:sz w:val="21"/>
        </w:rPr>
        <w:t>≤20×</w:t>
      </w:r>
      <w:r>
        <w:rPr>
          <w:rFonts w:ascii="Times New Roman" w:hAnsi="Times New Roman" w:eastAsia="Times New Roman"/>
          <w:sz w:val="23"/>
        </w:rPr>
        <w:t>10</w:t>
      </w:r>
      <w:r>
        <w:rPr>
          <w:rFonts w:ascii="Times New Roman" w:hAnsi="Times New Roman" w:eastAsia="Times New Roman"/>
          <w:position w:val="10"/>
          <w:sz w:val="13"/>
        </w:rPr>
        <w:t>9 </w:t>
      </w:r>
      <w:r>
        <w:rPr>
          <w:rFonts w:ascii="Times New Roman" w:hAnsi="Times New Roman" w:eastAsia="Times New Roman"/>
          <w:sz w:val="21"/>
        </w:rPr>
        <w:t>/L</w:t>
      </w:r>
      <w:r>
        <w:rPr>
          <w:sz w:val="21"/>
        </w:rPr>
        <w:t>。</w:t>
      </w:r>
      <w:r>
        <w:rPr>
          <w:b/>
          <w:sz w:val="21"/>
        </w:rPr>
        <w:t>二十五、主动脉手术</w:t>
      </w:r>
    </w:p>
    <w:p>
      <w:pPr>
        <w:spacing w:line="237" w:lineRule="auto" w:before="12"/>
        <w:ind w:left="112" w:right="108" w:firstLine="420"/>
        <w:jc w:val="both"/>
        <w:rPr>
          <w:rFonts w:ascii="黑体" w:eastAsia="黑体" w:hint="eastAsia"/>
          <w:sz w:val="24"/>
        </w:rPr>
      </w:pPr>
      <w:r>
        <w:rPr>
          <w:spacing w:val="-9"/>
          <w:sz w:val="21"/>
        </w:rPr>
        <w:t>指为治疗主动脉疾病，实际实施了开胸或开腹进行的切除、置换、修补病损主动脉血管的手术。</w:t>
      </w:r>
      <w:r>
        <w:rPr>
          <w:rFonts w:ascii="黑体" w:eastAsia="黑体" w:hint="eastAsia"/>
          <w:sz w:val="24"/>
        </w:rPr>
        <w:t>主动脉指胸主动脉和腹主动脉，不包括胸主动脉和腹主动脉的分支血管。</w:t>
      </w:r>
    </w:p>
    <w:p>
      <w:pPr>
        <w:spacing w:line="312" w:lineRule="exact" w:before="0"/>
        <w:ind w:left="593" w:right="0" w:firstLine="0"/>
        <w:jc w:val="left"/>
        <w:rPr>
          <w:rFonts w:ascii="黑体" w:eastAsia="黑体" w:hint="eastAsia"/>
          <w:sz w:val="24"/>
        </w:rPr>
      </w:pPr>
      <w:r>
        <w:rPr>
          <w:rFonts w:ascii="黑体" w:eastAsia="黑体" w:hint="eastAsia"/>
          <w:sz w:val="24"/>
        </w:rPr>
        <w:t>动脉内血管成形术不在保障范围内。</w:t>
      </w:r>
    </w:p>
    <w:p>
      <w:pPr>
        <w:pStyle w:val="Heading3"/>
        <w:spacing w:before="26"/>
      </w:pPr>
      <w:r>
        <w:rPr/>
        <w:t>二十六、细菌性脑脊髓膜炎</w:t>
      </w:r>
    </w:p>
    <w:p>
      <w:pPr>
        <w:pStyle w:val="BodyText"/>
        <w:spacing w:line="273" w:lineRule="auto" w:before="37"/>
        <w:ind w:right="106" w:firstLine="420"/>
        <w:jc w:val="both"/>
      </w:pPr>
      <w:r>
        <w:rPr>
          <w:spacing w:val="-6"/>
        </w:rPr>
        <w:t>指因细菌引起脑和脊髓的脑脊膜炎性感染，经脑脊液细菌学检查确诊，且导致永久性神经损伤。永久</w:t>
      </w:r>
      <w:r>
        <w:rPr>
          <w:spacing w:val="-5"/>
        </w:rPr>
        <w:t>性神经损伤是指经我们认可的神经专科医师确诊，遗留下列残疾之一而无法复原并持续达一百八十日以上者：</w:t>
      </w:r>
    </w:p>
    <w:p>
      <w:pPr>
        <w:pStyle w:val="BodyText"/>
        <w:spacing w:before="8"/>
        <w:ind w:left="324"/>
      </w:pPr>
      <w:r>
        <w:rPr/>
        <w:t>（</w:t>
      </w:r>
      <w:r>
        <w:rPr>
          <w:rFonts w:ascii="Times New Roman" w:eastAsia="Times New Roman"/>
        </w:rPr>
        <w:t>1</w:t>
      </w:r>
      <w:r>
        <w:rPr/>
        <w:t>）符合神经精神病学标准的严重认知功能障碍，而需持续监护；</w:t>
      </w:r>
    </w:p>
    <w:p>
      <w:pPr>
        <w:pStyle w:val="BodyText"/>
        <w:ind w:left="324"/>
      </w:pPr>
      <w:r>
        <w:rPr/>
        <w:t>（</w:t>
      </w:r>
      <w:r>
        <w:rPr>
          <w:rFonts w:ascii="Times New Roman" w:eastAsia="Times New Roman"/>
        </w:rPr>
        <w:t>2</w:t>
      </w:r>
      <w:r>
        <w:rPr/>
        <w:t>）听力丧失或失明；</w:t>
      </w:r>
    </w:p>
    <w:p>
      <w:pPr>
        <w:pStyle w:val="BodyText"/>
        <w:ind w:left="324"/>
      </w:pPr>
      <w:r>
        <w:rPr/>
        <w:t>（</w:t>
      </w:r>
      <w:r>
        <w:rPr>
          <w:rFonts w:ascii="Times New Roman" w:eastAsia="Times New Roman"/>
        </w:rPr>
        <w:t>3</w:t>
      </w:r>
      <w:r>
        <w:rPr/>
        <w:t>）语言机能丧失；</w:t>
      </w:r>
    </w:p>
    <w:p>
      <w:pPr>
        <w:pStyle w:val="BodyText"/>
        <w:spacing w:line="256" w:lineRule="auto" w:before="20"/>
        <w:ind w:right="113" w:firstLine="211"/>
      </w:pPr>
      <w:r>
        <w:rPr/>
        <w:t>（</w:t>
      </w:r>
      <w:r>
        <w:rPr>
          <w:rFonts w:ascii="Times New Roman" w:eastAsia="Times New Roman"/>
        </w:rPr>
        <w:t>4</w:t>
      </w:r>
      <w:r>
        <w:rPr/>
        <w:t>）肌体功能障碍，须满足自主生活能力完全丧失，无法独立完成六项基本日常生活活动中的三项或三项以上的条件。</w:t>
      </w:r>
    </w:p>
    <w:p>
      <w:pPr>
        <w:pStyle w:val="BodyText"/>
        <w:spacing w:line="273" w:lineRule="auto"/>
        <w:ind w:right="106" w:firstLine="420"/>
        <w:jc w:val="both"/>
      </w:pPr>
      <w:r>
        <w:rPr>
          <w:spacing w:val="-6"/>
        </w:rPr>
        <w:t>注：六项基本日常生活活动包括：①穿衣：自己能够穿衣及脱衣；②移动：自己从一个房间到另一个</w:t>
      </w:r>
      <w:r>
        <w:rPr>
          <w:spacing w:val="-7"/>
        </w:rPr>
        <w:t>房间；③行动：自己上下床或上下轮椅；④如厕：自己控制进行大小便；⑤进食：自己从已准备好的碗或</w:t>
      </w:r>
      <w:r>
        <w:rPr>
          <w:spacing w:val="-3"/>
        </w:rPr>
        <w:t>碟中取食物放入口中；⑥洗澡：自己进行淋浴或盆浴。</w:t>
      </w:r>
    </w:p>
    <w:p>
      <w:pPr>
        <w:pStyle w:val="Heading3"/>
      </w:pPr>
      <w:r>
        <w:rPr/>
        <w:t>二十七、多发性硬化</w:t>
      </w:r>
    </w:p>
    <w:p>
      <w:pPr>
        <w:pStyle w:val="BodyText"/>
        <w:spacing w:line="266" w:lineRule="auto" w:before="37"/>
        <w:ind w:right="106" w:firstLine="420"/>
        <w:jc w:val="both"/>
        <w:rPr>
          <w:rFonts w:ascii="Times New Roman" w:eastAsia="Times New Roman"/>
        </w:rPr>
      </w:pPr>
      <w:r>
        <w:rPr>
          <w:spacing w:val="-5"/>
        </w:rPr>
        <w:t>指一种中枢神经系统脱髓鞘疾病，造成身体部位不可逆的功能障碍。临床表现为视力受损、截瘫、平衡失调、构音障碍、大小便机能失调等症状，须经我们认可的神经专科医师确诊，并有 </w:t>
      </w:r>
      <w:r>
        <w:rPr>
          <w:rFonts w:ascii="Times New Roman" w:eastAsia="Times New Roman"/>
        </w:rPr>
        <w:t>CT </w:t>
      </w:r>
      <w:r>
        <w:rPr>
          <w:spacing w:val="-3"/>
        </w:rPr>
        <w:t>或核磁共振检</w:t>
      </w:r>
      <w:r>
        <w:rPr>
          <w:spacing w:val="-6"/>
        </w:rPr>
        <w:t>查结果诊断报告。所谓身体部位不可逆的功能障碍指初次诊断为功能障碍后需持续一百八十日以上。其诊</w:t>
      </w:r>
      <w:r>
        <w:rPr>
          <w:spacing w:val="-4"/>
        </w:rPr>
        <w:t>断必须包含以下全部内容</w:t>
      </w:r>
      <w:r>
        <w:rPr>
          <w:rFonts w:ascii="Times New Roman" w:eastAsia="Times New Roman"/>
        </w:rPr>
        <w:t>:</w:t>
      </w:r>
    </w:p>
    <w:p>
      <w:pPr>
        <w:pStyle w:val="BodyText"/>
        <w:spacing w:line="286" w:lineRule="exact" w:before="0"/>
        <w:ind w:left="324"/>
      </w:pPr>
      <w:r>
        <w:rPr/>
        <w:t>（</w:t>
      </w:r>
      <w:r>
        <w:rPr>
          <w:rFonts w:ascii="Times New Roman" w:eastAsia="Times New Roman"/>
        </w:rPr>
        <w:t>1</w:t>
      </w:r>
      <w:r>
        <w:rPr/>
        <w:t>）由于视神经、脑干和脊髓损伤而导致的临床表现；</w:t>
      </w:r>
    </w:p>
    <w:p>
      <w:pPr>
        <w:pStyle w:val="BodyText"/>
        <w:ind w:left="324"/>
      </w:pPr>
      <w:r>
        <w:rPr/>
        <w:t>（</w:t>
      </w:r>
      <w:r>
        <w:rPr>
          <w:rFonts w:ascii="Times New Roman" w:eastAsia="Times New Roman"/>
        </w:rPr>
        <w:t>2</w:t>
      </w:r>
      <w:r>
        <w:rPr/>
        <w:t>）散在的身体损害的多样性；</w:t>
      </w:r>
    </w:p>
    <w:p>
      <w:pPr>
        <w:spacing w:line="256" w:lineRule="auto" w:before="21"/>
        <w:ind w:left="535" w:right="4391" w:hanging="212"/>
        <w:jc w:val="left"/>
        <w:rPr>
          <w:b/>
          <w:sz w:val="21"/>
        </w:rPr>
      </w:pPr>
      <w:r>
        <w:rPr>
          <w:sz w:val="21"/>
        </w:rPr>
        <w:t>（</w:t>
      </w:r>
      <w:r>
        <w:rPr>
          <w:rFonts w:ascii="Times New Roman" w:eastAsia="Times New Roman"/>
          <w:sz w:val="21"/>
        </w:rPr>
        <w:t>3</w:t>
      </w:r>
      <w:r>
        <w:rPr>
          <w:sz w:val="21"/>
        </w:rPr>
        <w:t>）上述症状反复发作、恶化及神经损伤的病史记录。</w:t>
      </w:r>
      <w:r>
        <w:rPr>
          <w:b/>
          <w:sz w:val="21"/>
        </w:rPr>
        <w:t>二十八、脊髓灰质炎</w:t>
      </w:r>
    </w:p>
    <w:p>
      <w:pPr>
        <w:spacing w:line="235" w:lineRule="auto" w:before="1"/>
        <w:ind w:left="112" w:right="106" w:firstLine="420"/>
        <w:jc w:val="both"/>
        <w:rPr>
          <w:rFonts w:ascii="黑体" w:eastAsia="黑体" w:hint="eastAsia"/>
          <w:sz w:val="24"/>
        </w:rPr>
      </w:pPr>
      <w:r>
        <w:rPr>
          <w:spacing w:val="-6"/>
          <w:sz w:val="21"/>
        </w:rPr>
        <w:t>由于脊髓灰质炎病毒感染所导致的运动功能障碍或呼吸功能减弱麻痹性瘫痪，持续 </w:t>
      </w:r>
      <w:r>
        <w:rPr>
          <w:rFonts w:ascii="Times New Roman" w:eastAsia="Times New Roman"/>
          <w:sz w:val="21"/>
        </w:rPr>
        <w:t>3 </w:t>
      </w:r>
      <w:r>
        <w:rPr>
          <w:spacing w:val="-11"/>
          <w:sz w:val="21"/>
        </w:rPr>
        <w:t>个月以上。</w:t>
      </w:r>
      <w:r>
        <w:rPr>
          <w:rFonts w:ascii="黑体" w:eastAsia="黑体" w:hint="eastAsia"/>
          <w:sz w:val="24"/>
        </w:rPr>
        <w:t>被保险人若无因此感染而导致麻痹性瘫痪的事实结果，则不符合给付保险金的条件。其他病因所</w:t>
      </w:r>
      <w:r>
        <w:rPr>
          <w:rFonts w:ascii="黑体" w:eastAsia="黑体" w:hint="eastAsia"/>
          <w:spacing w:val="-14"/>
          <w:sz w:val="24"/>
        </w:rPr>
        <w:t>致的麻痹，例如格林巴利综合症</w:t>
      </w:r>
      <w:r>
        <w:rPr>
          <w:rFonts w:ascii="黑体" w:eastAsia="黑体" w:hint="eastAsia"/>
          <w:sz w:val="24"/>
        </w:rPr>
        <w:t>（急性感染性多发性神经根神经炎</w:t>
      </w:r>
      <w:r>
        <w:rPr>
          <w:rFonts w:ascii="黑体" w:eastAsia="黑体" w:hint="eastAsia"/>
          <w:spacing w:val="-68"/>
          <w:sz w:val="24"/>
        </w:rPr>
        <w:t>）</w:t>
      </w:r>
      <w:r>
        <w:rPr>
          <w:rFonts w:ascii="黑体" w:eastAsia="黑体" w:hint="eastAsia"/>
          <w:sz w:val="24"/>
        </w:rPr>
        <w:t>则不在此保障范围以内。</w:t>
      </w:r>
    </w:p>
    <w:p>
      <w:pPr>
        <w:pStyle w:val="Heading3"/>
        <w:spacing w:before="25"/>
      </w:pPr>
      <w:r>
        <w:rPr/>
        <w:t>二十九、系统性红斑狼疮伴肾炎</w:t>
      </w:r>
    </w:p>
    <w:p>
      <w:pPr>
        <w:pStyle w:val="BodyText"/>
        <w:spacing w:line="273" w:lineRule="auto" w:before="36"/>
        <w:ind w:right="106" w:firstLine="420"/>
        <w:jc w:val="both"/>
      </w:pPr>
      <w:r>
        <w:rPr>
          <w:spacing w:val="-5"/>
        </w:rPr>
        <w:t>以产生多种自身抗体，并由免疫反应介导的炎症为特征的自体免疫性疾病。系统性红斑狼疮的诊断必</w:t>
      </w:r>
      <w:r>
        <w:rPr>
          <w:spacing w:val="-4"/>
        </w:rPr>
        <w:t>须由我们认可医院合格的免疫学专科医师依据作出。</w:t>
      </w:r>
    </w:p>
    <w:p>
      <w:pPr>
        <w:pStyle w:val="BodyText"/>
        <w:spacing w:line="273" w:lineRule="auto" w:before="7"/>
        <w:ind w:right="106" w:firstLine="420"/>
        <w:jc w:val="both"/>
      </w:pPr>
      <w:r>
        <w:rPr>
          <w:spacing w:val="-5"/>
        </w:rPr>
        <w:t>本保单所保障的系统性红斑狼疮仅限于累及肾脏的状况，且经肾脏活检确认，符合世界卫生组织关于</w:t>
      </w:r>
      <w:r>
        <w:rPr>
          <w:spacing w:val="-3"/>
        </w:rPr>
        <w:t>狼疮性肾炎三型或三型以上的诊断标准，并伴有持续性蛋白尿</w:t>
      </w:r>
      <w:r>
        <w:rPr/>
        <w:t>（</w:t>
      </w:r>
      <w:r>
        <w:rPr>
          <w:spacing w:val="-3"/>
        </w:rPr>
        <w:t>尿蛋白</w:t>
      </w:r>
      <w:r>
        <w:rPr>
          <w:rFonts w:ascii="Times New Roman" w:eastAsia="Times New Roman"/>
        </w:rPr>
        <w:t>++</w:t>
      </w:r>
      <w:r>
        <w:rPr>
          <w:spacing w:val="-2"/>
        </w:rPr>
        <w:t>以上</w:t>
      </w:r>
      <w:r>
        <w:rPr>
          <w:spacing w:val="-106"/>
        </w:rPr>
        <w:t>）</w:t>
      </w:r>
      <w:r>
        <w:rPr/>
        <w:t>。</w:t>
      </w:r>
    </w:p>
    <w:p>
      <w:pPr>
        <w:pStyle w:val="BodyText"/>
        <w:spacing w:line="273" w:lineRule="auto" w:before="0"/>
        <w:ind w:left="533" w:right="1553"/>
      </w:pPr>
      <w:r>
        <w:rPr/>
        <w:t>系统性红斑狼疮的诊断依据国际普遍认可的美国风湿病学会所修订的最新诊断标准。世界卫生组织关于狼疮性肾炎的分型标准：</w:t>
      </w:r>
    </w:p>
    <w:p>
      <w:pPr>
        <w:pStyle w:val="BodyText"/>
        <w:spacing w:line="273" w:lineRule="auto" w:before="19"/>
        <w:ind w:left="533" w:right="6494"/>
      </w:pPr>
      <w:r>
        <w:rPr/>
        <w:t>第一型 微小病变型狼疮性肾炎第二型 系膜增生型狼疮性肾炎</w:t>
      </w:r>
    </w:p>
    <w:p>
      <w:pPr>
        <w:pStyle w:val="BodyText"/>
        <w:spacing w:line="273" w:lineRule="auto" w:before="7"/>
        <w:ind w:left="533" w:right="6073"/>
      </w:pPr>
      <w:r>
        <w:rPr/>
        <w:t>第三型 局灶节段增生型狼疮型肾炎第四型 弥漫增生型狼疮性肾炎</w:t>
      </w:r>
    </w:p>
    <w:p>
      <w:pPr>
        <w:pStyle w:val="BodyText"/>
        <w:spacing w:before="7"/>
        <w:ind w:left="533"/>
      </w:pPr>
      <w:r>
        <w:rPr/>
        <w:t>第五型 膜型狼疮性肾炎</w:t>
      </w:r>
    </w:p>
    <w:p>
      <w:pPr>
        <w:pStyle w:val="BodyText"/>
        <w:spacing w:before="36"/>
        <w:ind w:left="533"/>
      </w:pPr>
      <w:r>
        <w:rPr/>
        <w:t>第六型 肾小球硬化型狼疮性肾炎</w:t>
      </w:r>
    </w:p>
    <w:p>
      <w:pPr>
        <w:spacing w:before="9"/>
        <w:ind w:left="593" w:right="0" w:firstLine="0"/>
        <w:jc w:val="left"/>
        <w:rPr>
          <w:rFonts w:ascii="黑体" w:eastAsia="黑体" w:hint="eastAsia"/>
          <w:sz w:val="24"/>
        </w:rPr>
      </w:pPr>
      <w:r>
        <w:rPr>
          <w:rFonts w:ascii="黑体" w:eastAsia="黑体" w:hint="eastAsia"/>
          <w:sz w:val="24"/>
        </w:rPr>
        <w:t>其他类型的红斑性狼疮，如盘状狼疮、仅累及血液及关节的狼疮不在本保障范围內。</w:t>
      </w:r>
    </w:p>
    <w:p>
      <w:pPr>
        <w:pStyle w:val="Heading3"/>
        <w:spacing w:before="25"/>
      </w:pPr>
      <w:r>
        <w:rPr/>
        <w:t>三十、提供急诊或医疗服务导致的艾滋病病毒感染</w:t>
      </w:r>
    </w:p>
    <w:p>
      <w:pPr>
        <w:pStyle w:val="BodyText"/>
        <w:spacing w:before="36"/>
        <w:ind w:left="533"/>
      </w:pPr>
      <w:r>
        <w:rPr/>
        <w:t>被保险人在从事正常职业</w:t>
      </w:r>
      <w:r>
        <w:rPr>
          <w:rFonts w:ascii="Times New Roman" w:eastAsia="Times New Roman"/>
        </w:rPr>
        <w:t>(</w:t>
      </w:r>
      <w:r>
        <w:rPr/>
        <w:t>我们只有在被保险人的职业为从业医生、医学院学生、国家注册护士、医学</w:t>
      </w:r>
    </w:p>
    <w:p>
      <w:pPr>
        <w:spacing w:after="0"/>
        <w:sectPr>
          <w:headerReference w:type="default" r:id="rId9"/>
          <w:pgSz w:w="11910" w:h="16840"/>
          <w:pgMar w:header="228" w:footer="888" w:top="1200" w:bottom="1100" w:left="1020" w:right="1020"/>
        </w:sectPr>
      </w:pPr>
    </w:p>
    <w:p>
      <w:pPr>
        <w:pStyle w:val="BodyText"/>
        <w:spacing w:line="256" w:lineRule="auto" w:before="1"/>
        <w:ind w:right="208"/>
      </w:pPr>
      <w:r>
        <w:rPr>
          <w:spacing w:val="-9"/>
        </w:rPr>
        <w:t>检验技师、牙医</w:t>
      </w:r>
      <w:r>
        <w:rPr>
          <w:spacing w:val="-3"/>
        </w:rPr>
        <w:t>（外科医生和护士</w:t>
      </w:r>
      <w:r>
        <w:rPr>
          <w:spacing w:val="-27"/>
        </w:rPr>
        <w:t>）</w:t>
      </w:r>
      <w:r>
        <w:rPr>
          <w:spacing w:val="-6"/>
        </w:rPr>
        <w:t>或辅助医务工作者、医学中心或医院工作人员时才承担此项保险责任</w:t>
      </w:r>
      <w:r>
        <w:rPr>
          <w:rFonts w:ascii="Times New Roman" w:eastAsia="Times New Roman"/>
        </w:rPr>
        <w:t>) </w:t>
      </w:r>
      <w:r>
        <w:rPr>
          <w:spacing w:val="-3"/>
        </w:rPr>
        <w:t>中感染艾滋病病毒，并且证实满足以下所有条件者：</w:t>
      </w:r>
    </w:p>
    <w:p>
      <w:pPr>
        <w:pStyle w:val="BodyText"/>
        <w:spacing w:before="22"/>
        <w:ind w:left="324"/>
      </w:pPr>
      <w:r>
        <w:rPr/>
        <w:t>（</w:t>
      </w:r>
      <w:r>
        <w:rPr>
          <w:rFonts w:ascii="Times New Roman" w:eastAsia="Times New Roman"/>
        </w:rPr>
        <w:t>1</w:t>
      </w:r>
      <w:r>
        <w:rPr/>
        <w:t>）任何可能导致感染的意外事件必须在意外发生后 </w:t>
      </w:r>
      <w:r>
        <w:rPr>
          <w:rFonts w:ascii="Times New Roman" w:eastAsia="Times New Roman"/>
        </w:rPr>
        <w:t>7 </w:t>
      </w:r>
      <w:r>
        <w:rPr/>
        <w:t>日内向我们报告；</w:t>
      </w:r>
    </w:p>
    <w:p>
      <w:pPr>
        <w:pStyle w:val="BodyText"/>
        <w:ind w:left="324"/>
      </w:pPr>
      <w:r>
        <w:rPr/>
        <w:t>（</w:t>
      </w:r>
      <w:r>
        <w:rPr>
          <w:rFonts w:ascii="Times New Roman" w:eastAsia="Times New Roman"/>
        </w:rPr>
        <w:t>2</w:t>
      </w:r>
      <w:r>
        <w:rPr/>
        <w:t>）导致意外事件的明确的艾滋病病毒感染的液体的证据；</w:t>
      </w:r>
    </w:p>
    <w:p>
      <w:pPr>
        <w:pStyle w:val="BodyText"/>
        <w:spacing w:line="287" w:lineRule="exact"/>
        <w:ind w:left="324"/>
      </w:pPr>
      <w:r>
        <w:rPr/>
        <w:t>（</w:t>
      </w:r>
      <w:r>
        <w:rPr>
          <w:rFonts w:ascii="Times New Roman" w:eastAsia="Times New Roman"/>
        </w:rPr>
        <w:t>3</w:t>
      </w:r>
      <w:r>
        <w:rPr/>
        <w:t>）在书面报告意外发生后的 </w:t>
      </w:r>
      <w:r>
        <w:rPr>
          <w:rFonts w:ascii="Times New Roman" w:eastAsia="Times New Roman"/>
        </w:rPr>
        <w:t>180 </w:t>
      </w:r>
      <w:r>
        <w:rPr/>
        <w:t>日内出现血清 </w:t>
      </w:r>
      <w:r>
        <w:rPr>
          <w:rFonts w:ascii="Times New Roman" w:eastAsia="Times New Roman"/>
        </w:rPr>
        <w:t>HIV </w:t>
      </w:r>
      <w:r>
        <w:rPr/>
        <w:t>阴性转变为 </w:t>
      </w:r>
      <w:r>
        <w:rPr>
          <w:rFonts w:ascii="Times New Roman" w:eastAsia="Times New Roman"/>
        </w:rPr>
        <w:t>HIV </w:t>
      </w:r>
      <w:r>
        <w:rPr/>
        <w:t>阳性的证据。</w:t>
      </w:r>
    </w:p>
    <w:p>
      <w:pPr>
        <w:spacing w:line="230" w:lineRule="auto" w:before="9"/>
        <w:ind w:left="112" w:right="211" w:firstLine="420"/>
        <w:jc w:val="both"/>
        <w:rPr>
          <w:rFonts w:ascii="黑体" w:eastAsia="黑体" w:hint="eastAsia"/>
          <w:sz w:val="24"/>
        </w:rPr>
      </w:pPr>
      <w:r>
        <w:rPr>
          <w:spacing w:val="-5"/>
          <w:sz w:val="21"/>
        </w:rPr>
        <w:t>这个证据必须包括一个意外事件发生后 </w:t>
      </w:r>
      <w:r>
        <w:rPr>
          <w:rFonts w:ascii="Times New Roman" w:eastAsia="Times New Roman"/>
          <w:sz w:val="21"/>
        </w:rPr>
        <w:t>5 </w:t>
      </w:r>
      <w:r>
        <w:rPr>
          <w:spacing w:val="-13"/>
          <w:sz w:val="21"/>
        </w:rPr>
        <w:t>日内 </w:t>
      </w:r>
      <w:r>
        <w:rPr>
          <w:rFonts w:ascii="Times New Roman" w:eastAsia="Times New Roman"/>
          <w:sz w:val="21"/>
        </w:rPr>
        <w:t>HIV </w:t>
      </w:r>
      <w:r>
        <w:rPr>
          <w:spacing w:val="-3"/>
          <w:sz w:val="21"/>
        </w:rPr>
        <w:t>抗体阴性的检查报告；</w:t>
      </w:r>
      <w:r>
        <w:rPr>
          <w:rFonts w:ascii="黑体" w:eastAsia="黑体" w:hint="eastAsia"/>
          <w:spacing w:val="-2"/>
          <w:sz w:val="24"/>
        </w:rPr>
        <w:t>但由其他途径感染的艾滋病病毒，包括性行为和静脉注射毒品，为除外责任。</w:t>
      </w:r>
    </w:p>
    <w:p>
      <w:pPr>
        <w:spacing w:line="256" w:lineRule="auto" w:before="25"/>
        <w:ind w:left="535" w:right="1910" w:hanging="3"/>
        <w:jc w:val="left"/>
        <w:rPr>
          <w:b/>
          <w:sz w:val="21"/>
        </w:rPr>
      </w:pPr>
      <w:r>
        <w:rPr>
          <w:sz w:val="21"/>
        </w:rPr>
        <w:t>意外事件后 </w:t>
      </w:r>
      <w:r>
        <w:rPr>
          <w:rFonts w:ascii="Times New Roman" w:eastAsia="Times New Roman"/>
          <w:sz w:val="21"/>
        </w:rPr>
        <w:t>12 </w:t>
      </w:r>
      <w:r>
        <w:rPr>
          <w:sz w:val="21"/>
        </w:rPr>
        <w:t>个月内需要进行进一步的血液检查以确认艾滋病病毒抗体的存在。</w:t>
      </w:r>
      <w:r>
        <w:rPr>
          <w:b/>
          <w:sz w:val="21"/>
        </w:rPr>
        <w:t>三十一、严重的类风湿性关节炎</w:t>
      </w:r>
    </w:p>
    <w:p>
      <w:pPr>
        <w:pStyle w:val="BodyText"/>
        <w:spacing w:line="273" w:lineRule="auto" w:before="22"/>
        <w:ind w:right="206" w:firstLine="420"/>
        <w:jc w:val="both"/>
      </w:pPr>
      <w:r>
        <w:rPr>
          <w:spacing w:val="-5"/>
        </w:rPr>
        <w:t>广泛的关节损坏，临床上存在三个或三个以上下列关节的畸形：手、腕、肘、颈椎、膝、踝、蹠－趾</w:t>
      </w:r>
      <w:r>
        <w:rPr>
          <w:spacing w:val="-7"/>
        </w:rPr>
        <w:t>关节。并且由我们认可医院的专科医师确认被保险人须满足自主生活能力完全丧失，无法独立完成六项基</w:t>
      </w:r>
      <w:r>
        <w:rPr>
          <w:spacing w:val="-6"/>
        </w:rPr>
        <w:t>本日常生活活动中的三项或三项以上的条件。上述畸形及功能异常须持续至少达 </w:t>
      </w:r>
      <w:r>
        <w:rPr>
          <w:rFonts w:ascii="Times New Roman" w:eastAsia="Times New Roman"/>
        </w:rPr>
        <w:t>180 </w:t>
      </w:r>
      <w:r>
        <w:rPr>
          <w:spacing w:val="-3"/>
        </w:rPr>
        <w:t>日。</w:t>
      </w:r>
    </w:p>
    <w:p>
      <w:pPr>
        <w:pStyle w:val="BodyText"/>
        <w:spacing w:line="273" w:lineRule="auto" w:before="0"/>
        <w:ind w:right="206" w:firstLine="420"/>
        <w:jc w:val="both"/>
      </w:pPr>
      <w:r>
        <w:rPr>
          <w:spacing w:val="-6"/>
        </w:rPr>
        <w:t>注：六项基本日常生活活动包括：①穿衣：自己能够穿衣及脱衣；②移动：自己从一个房间到另一个</w:t>
      </w:r>
      <w:r>
        <w:rPr>
          <w:spacing w:val="-7"/>
        </w:rPr>
        <w:t>房间；③行动：自己上下床或上下轮椅；④如厕：自己控制进行大小便；⑤进食：自己从已准备好的碗或</w:t>
      </w:r>
      <w:r>
        <w:rPr>
          <w:spacing w:val="-3"/>
        </w:rPr>
        <w:t>碟中取食物放入口中；⑥洗澡：自己进行淋浴或盆浴。</w:t>
      </w:r>
    </w:p>
    <w:p>
      <w:pPr>
        <w:pStyle w:val="Heading3"/>
        <w:spacing w:before="19"/>
      </w:pPr>
      <w:r>
        <w:rPr/>
        <w:t>三十二、心肌病</w:t>
      </w:r>
    </w:p>
    <w:p>
      <w:pPr>
        <w:pStyle w:val="BodyText"/>
        <w:spacing w:line="237" w:lineRule="auto" w:before="40"/>
        <w:ind w:right="206" w:firstLine="420"/>
        <w:jc w:val="both"/>
        <w:rPr>
          <w:rFonts w:ascii="黑体" w:eastAsia="黑体" w:hint="eastAsia"/>
          <w:sz w:val="24"/>
        </w:rPr>
      </w:pPr>
      <w:r>
        <w:rPr>
          <w:spacing w:val="-4"/>
        </w:rPr>
        <w:t>指被保险人经我们认可的医院的心脏专科医师确诊被保险人因心肌病包括扩张型心肌病、肥厚型心肌</w:t>
      </w:r>
      <w:r>
        <w:rPr>
          <w:spacing w:val="-3"/>
        </w:rPr>
        <w:t>病及限制型心肌病而导致出现明显的心功能衰竭</w:t>
      </w:r>
      <w:r>
        <w:rPr>
          <w:rFonts w:ascii="Times New Roman" w:eastAsia="Times New Roman"/>
        </w:rPr>
        <w:t>(</w:t>
      </w:r>
      <w:r>
        <w:rPr>
          <w:spacing w:val="-4"/>
        </w:rPr>
        <w:t>美国纽约心脏病学会分类标准心功能达 </w:t>
      </w:r>
      <w:r>
        <w:rPr>
          <w:rFonts w:ascii="Times New Roman" w:eastAsia="Times New Roman"/>
        </w:rPr>
        <w:t>IV </w:t>
      </w:r>
      <w:r>
        <w:rPr/>
        <w:t>级</w:t>
      </w:r>
      <w:r>
        <w:rPr>
          <w:rFonts w:ascii="Times New Roman" w:eastAsia="Times New Roman"/>
          <w:spacing w:val="-4"/>
        </w:rPr>
        <w:t>)</w:t>
      </w:r>
      <w:r>
        <w:rPr/>
        <w:t>。</w:t>
      </w:r>
      <w:r>
        <w:rPr>
          <w:rFonts w:ascii="黑体" w:eastAsia="黑体" w:hint="eastAsia"/>
          <w:spacing w:val="-2"/>
          <w:sz w:val="24"/>
        </w:rPr>
        <w:t>继发于酒精滥用性的心肌病不在此保障范围之内。</w:t>
      </w:r>
    </w:p>
    <w:p>
      <w:pPr>
        <w:pStyle w:val="BodyText"/>
        <w:spacing w:line="256" w:lineRule="auto" w:before="25"/>
        <w:ind w:right="206" w:firstLine="420"/>
        <w:jc w:val="both"/>
      </w:pPr>
      <w:r>
        <w:rPr/>
        <w:t>注：美国纽约心脏病学会心功能 </w:t>
      </w:r>
      <w:r>
        <w:rPr>
          <w:rFonts w:ascii="Times New Roman" w:eastAsia="Times New Roman"/>
        </w:rPr>
        <w:t>IV </w:t>
      </w:r>
      <w:r>
        <w:rPr/>
        <w:t>级是指不能无症状地进行任何体力活动，休息时可有心力衰竭或心绞痛症状，任何体力活动都加重不适。</w:t>
      </w:r>
    </w:p>
    <w:p>
      <w:pPr>
        <w:pStyle w:val="Heading3"/>
        <w:spacing w:before="22"/>
      </w:pPr>
      <w:r>
        <w:rPr/>
        <w:t>三十三、终末期肺病</w:t>
      </w:r>
    </w:p>
    <w:p>
      <w:pPr>
        <w:pStyle w:val="BodyText"/>
        <w:spacing w:line="273" w:lineRule="auto" w:before="37"/>
        <w:ind w:right="110" w:firstLine="420"/>
        <w:jc w:val="both"/>
      </w:pPr>
      <w:r>
        <w:rPr/>
        <w:t>指被保险人必须经我们认可的医院的呼吸科专科医师确诊患有终末期肺病而出现慢性呼吸功能衰竭， 其诊断标准包括以下各项：</w:t>
      </w:r>
    </w:p>
    <w:p>
      <w:pPr>
        <w:pStyle w:val="BodyText"/>
        <w:spacing w:before="7"/>
        <w:ind w:left="324"/>
      </w:pPr>
      <w:r>
        <w:rPr/>
        <w:t>（</w:t>
      </w:r>
      <w:r>
        <w:rPr>
          <w:rFonts w:ascii="Times New Roman" w:eastAsia="Times New Roman"/>
        </w:rPr>
        <w:t>1</w:t>
      </w:r>
      <w:r>
        <w:rPr/>
        <w:t>）肺功能测试其 </w:t>
      </w:r>
      <w:r>
        <w:rPr>
          <w:rFonts w:ascii="Times New Roman" w:eastAsia="Times New Roman"/>
        </w:rPr>
        <w:t>FEV1 </w:t>
      </w:r>
      <w:r>
        <w:rPr/>
        <w:t>持续低于 </w:t>
      </w:r>
      <w:r>
        <w:rPr>
          <w:rFonts w:ascii="Times New Roman" w:eastAsia="Times New Roman"/>
        </w:rPr>
        <w:t>1 </w:t>
      </w:r>
      <w:r>
        <w:rPr/>
        <w:t>升；</w:t>
      </w:r>
    </w:p>
    <w:p>
      <w:pPr>
        <w:pStyle w:val="BodyText"/>
        <w:ind w:left="324"/>
      </w:pPr>
      <w:r>
        <w:rPr/>
        <w:t>（</w:t>
      </w:r>
      <w:r>
        <w:rPr>
          <w:rFonts w:ascii="Times New Roman" w:eastAsia="Times New Roman"/>
        </w:rPr>
        <w:t>2</w:t>
      </w:r>
      <w:r>
        <w:rPr/>
        <w:t>）气道内阻力增加，至少达到 </w:t>
      </w:r>
      <w:r>
        <w:rPr>
          <w:rFonts w:ascii="Times New Roman" w:eastAsia="Times New Roman"/>
        </w:rPr>
        <w:t>0.5kPa/l/s</w:t>
      </w:r>
      <w:r>
        <w:rPr/>
        <w:t>；</w:t>
      </w:r>
    </w:p>
    <w:p>
      <w:pPr>
        <w:pStyle w:val="BodyText"/>
        <w:ind w:left="324"/>
      </w:pPr>
      <w:r>
        <w:rPr/>
        <w:t>（</w:t>
      </w:r>
      <w:r>
        <w:rPr>
          <w:rFonts w:ascii="Times New Roman" w:eastAsia="Times New Roman"/>
        </w:rPr>
        <w:t>3</w:t>
      </w:r>
      <w:r>
        <w:rPr/>
        <w:t>）动脉血气分析氧分压等于或低于 </w:t>
      </w:r>
      <w:r>
        <w:rPr>
          <w:rFonts w:ascii="Times New Roman" w:eastAsia="Times New Roman"/>
        </w:rPr>
        <w:t>55mmHg</w:t>
      </w:r>
      <w:r>
        <w:rPr/>
        <w:t>；</w:t>
      </w:r>
    </w:p>
    <w:p>
      <w:pPr>
        <w:pStyle w:val="BodyText"/>
        <w:ind w:left="324"/>
      </w:pPr>
      <w:r>
        <w:rPr/>
        <w:t>（</w:t>
      </w:r>
      <w:r>
        <w:rPr>
          <w:rFonts w:ascii="Times New Roman" w:eastAsia="Times New Roman"/>
        </w:rPr>
        <w:t>4</w:t>
      </w:r>
      <w:r>
        <w:rPr/>
        <w:t>）残气容积占肺总量（</w:t>
      </w:r>
      <w:r>
        <w:rPr>
          <w:rFonts w:ascii="Times New Roman" w:eastAsia="Times New Roman"/>
        </w:rPr>
        <w:t>TLC</w:t>
      </w:r>
      <w:r>
        <w:rPr/>
        <w:t>）的 </w:t>
      </w:r>
      <w:r>
        <w:rPr>
          <w:rFonts w:ascii="Times New Roman" w:eastAsia="Times New Roman"/>
        </w:rPr>
        <w:t>60%</w:t>
      </w:r>
      <w:r>
        <w:rPr/>
        <w:t>以上；</w:t>
      </w:r>
    </w:p>
    <w:p>
      <w:pPr>
        <w:spacing w:line="256" w:lineRule="auto" w:before="21"/>
        <w:ind w:left="535" w:right="7013" w:hanging="212"/>
        <w:jc w:val="left"/>
        <w:rPr>
          <w:b/>
          <w:sz w:val="21"/>
        </w:rPr>
      </w:pPr>
      <w:r>
        <w:rPr>
          <w:sz w:val="21"/>
        </w:rPr>
        <w:t>（</w:t>
      </w:r>
      <w:r>
        <w:rPr>
          <w:rFonts w:ascii="Times New Roman" w:eastAsia="Times New Roman"/>
          <w:sz w:val="21"/>
        </w:rPr>
        <w:t>5</w:t>
      </w:r>
      <w:r>
        <w:rPr>
          <w:sz w:val="21"/>
        </w:rPr>
        <w:t>）休息时出现呼吸困难。</w:t>
      </w:r>
      <w:r>
        <w:rPr>
          <w:b/>
          <w:sz w:val="21"/>
        </w:rPr>
        <w:t>三十四、坏死性筋膜炎</w:t>
      </w:r>
    </w:p>
    <w:p>
      <w:pPr>
        <w:pStyle w:val="BodyText"/>
        <w:spacing w:line="273" w:lineRule="auto" w:before="22"/>
        <w:ind w:right="206" w:firstLine="420"/>
        <w:jc w:val="both"/>
      </w:pPr>
      <w:r>
        <w:rPr>
          <w:spacing w:val="-6"/>
        </w:rPr>
        <w:t>致死性的坏死性筋膜炎，经细菌培养检出致病菌，出现符合坏死性筋膜炎的一般临床表现，其坏死过</w:t>
      </w:r>
      <w:r>
        <w:rPr>
          <w:w w:val="100"/>
        </w:rPr>
        <w:t>程必须为暴发性的</w:t>
      </w:r>
      <w:r>
        <w:rPr>
          <w:spacing w:val="1"/>
          <w:w w:val="100"/>
        </w:rPr>
        <w:t>（</w:t>
      </w:r>
      <w:r>
        <w:rPr>
          <w:w w:val="100"/>
        </w:rPr>
        <w:t>迅速传播</w:t>
      </w:r>
      <w:r>
        <w:rPr>
          <w:spacing w:val="-106"/>
          <w:w w:val="100"/>
        </w:rPr>
        <w:t>）</w:t>
      </w:r>
      <w:r>
        <w:rPr>
          <w:w w:val="100"/>
        </w:rPr>
        <w:t>，且需进行紧急重要手术来清除坏死组织以及抗菌剂治疗。诊断必须由专</w:t>
      </w:r>
      <w:r>
        <w:rPr>
          <w:spacing w:val="-3"/>
        </w:rPr>
        <w:t>科医生经重要手术后确诊。</w:t>
      </w:r>
    </w:p>
    <w:p>
      <w:pPr>
        <w:spacing w:line="295" w:lineRule="exact" w:before="0"/>
        <w:ind w:left="593" w:right="0" w:firstLine="0"/>
        <w:jc w:val="left"/>
        <w:rPr>
          <w:rFonts w:ascii="黑体" w:eastAsia="黑体" w:hint="eastAsia"/>
          <w:sz w:val="24"/>
        </w:rPr>
      </w:pPr>
      <w:r>
        <w:rPr>
          <w:rFonts w:ascii="黑体" w:eastAsia="黑体" w:hint="eastAsia"/>
          <w:sz w:val="24"/>
        </w:rPr>
        <w:t>冻疮不在本保障范围内。</w:t>
      </w:r>
    </w:p>
    <w:p>
      <w:pPr>
        <w:pStyle w:val="Heading3"/>
        <w:spacing w:before="26"/>
      </w:pPr>
      <w:r>
        <w:rPr/>
        <w:t>三十五、全身性重症肌无力</w:t>
      </w:r>
    </w:p>
    <w:p>
      <w:pPr>
        <w:pStyle w:val="BodyText"/>
        <w:spacing w:line="256" w:lineRule="auto" w:before="37"/>
        <w:ind w:right="210" w:firstLine="420"/>
        <w:jc w:val="both"/>
      </w:pPr>
      <w:r>
        <w:rPr/>
        <w:t>是指一种神经与肌肉接头部位传递障碍的自身免疫性疾病</w:t>
      </w:r>
      <w:r>
        <w:rPr>
          <w:rFonts w:ascii="Times New Roman" w:eastAsia="Times New Roman"/>
        </w:rPr>
        <w:t>,</w:t>
      </w:r>
      <w:r>
        <w:rPr/>
        <w:t>临床特征是局部或全身横纹肌于活动时易</w:t>
      </w:r>
      <w:r>
        <w:rPr>
          <w:spacing w:val="-9"/>
        </w:rPr>
        <w:t>于疲劳无力，颅神经眼外肌最易累及，也可涉及呼吸肌、下肢近端肌群乃至全身肌肉</w:t>
      </w:r>
      <w:r>
        <w:rPr>
          <w:rFonts w:ascii="Times New Roman" w:eastAsia="Times New Roman"/>
        </w:rPr>
        <w:t>,</w:t>
      </w:r>
      <w:r>
        <w:rPr>
          <w:spacing w:val="-3"/>
        </w:rPr>
        <w:t>须经本公司认可的神经科医师确诊。</w:t>
      </w:r>
    </w:p>
    <w:p>
      <w:pPr>
        <w:pStyle w:val="BodyText"/>
        <w:spacing w:before="22"/>
        <w:ind w:left="533"/>
        <w:rPr>
          <w:rFonts w:ascii="Times New Roman" w:eastAsia="Times New Roman"/>
        </w:rPr>
      </w:pPr>
      <w:r>
        <w:rPr/>
        <w:t>理赔时必须同时具有下列情况</w:t>
      </w:r>
      <w:r>
        <w:rPr>
          <w:rFonts w:ascii="Times New Roman" w:eastAsia="Times New Roman"/>
        </w:rPr>
        <w:t>:</w:t>
      </w:r>
    </w:p>
    <w:p>
      <w:pPr>
        <w:pStyle w:val="BodyText"/>
        <w:spacing w:before="20"/>
        <w:ind w:left="533"/>
        <w:rPr>
          <w:rFonts w:ascii="Times New Roman" w:eastAsia="Times New Roman"/>
        </w:rPr>
      </w:pPr>
      <w:r>
        <w:rPr/>
        <w:t>（</w:t>
      </w:r>
      <w:r>
        <w:rPr>
          <w:rFonts w:ascii="Times New Roman" w:eastAsia="Times New Roman"/>
        </w:rPr>
        <w:t>1</w:t>
      </w:r>
      <w:r>
        <w:rPr/>
        <w:t>）症状缓解、复发及恶化交替出现</w:t>
      </w:r>
      <w:r>
        <w:rPr>
          <w:rFonts w:ascii="Times New Roman" w:eastAsia="Times New Roman"/>
        </w:rPr>
        <w:t>;</w:t>
      </w:r>
    </w:p>
    <w:p>
      <w:pPr>
        <w:pStyle w:val="BodyText"/>
        <w:spacing w:before="20"/>
        <w:ind w:left="533"/>
        <w:rPr>
          <w:rFonts w:ascii="Times New Roman" w:eastAsia="Times New Roman"/>
        </w:rPr>
      </w:pPr>
      <w:r>
        <w:rPr/>
        <w:t>（</w:t>
      </w:r>
      <w:r>
        <w:rPr>
          <w:rFonts w:ascii="Times New Roman" w:eastAsia="Times New Roman"/>
        </w:rPr>
        <w:t>2</w:t>
      </w:r>
      <w:r>
        <w:rPr/>
        <w:t>）经药物、胸腺手术治疗一年以上无法控制病情</w:t>
      </w:r>
      <w:r>
        <w:rPr>
          <w:rFonts w:ascii="Times New Roman" w:eastAsia="Times New Roman"/>
        </w:rPr>
        <w:t>,</w:t>
      </w:r>
      <w:r>
        <w:rPr/>
        <w:t>丧失正常工作能力</w:t>
      </w:r>
      <w:r>
        <w:rPr>
          <w:rFonts w:ascii="Times New Roman" w:eastAsia="Times New Roman"/>
        </w:rPr>
        <w:t>;</w:t>
      </w:r>
    </w:p>
    <w:p>
      <w:pPr>
        <w:pStyle w:val="BodyText"/>
        <w:spacing w:line="256" w:lineRule="auto" w:before="20"/>
        <w:ind w:left="535" w:right="710" w:hanging="3"/>
        <w:rPr>
          <w:b/>
        </w:rPr>
      </w:pPr>
      <w:r>
        <w:rPr/>
        <w:t>（</w:t>
      </w:r>
      <w:r>
        <w:rPr>
          <w:rFonts w:ascii="Times New Roman" w:eastAsia="Times New Roman"/>
        </w:rPr>
        <w:t>3</w:t>
      </w:r>
      <w:r>
        <w:rPr/>
        <w:t>）有过由于肌无力累及延髓肌、呼吸肌而致机体呼吸功能异常的危急状态即肌无力危象病史</w:t>
      </w:r>
      <w:r>
        <w:rPr>
          <w:b/>
        </w:rPr>
        <w:t>三十六、</w:t>
      </w:r>
      <w:r>
        <w:rPr>
          <w:rFonts w:ascii="Times New Roman" w:eastAsia="Times New Roman"/>
          <w:b/>
        </w:rPr>
        <w:t>1 </w:t>
      </w:r>
      <w:r>
        <w:rPr>
          <w:b/>
        </w:rPr>
        <w:t>型糖尿病</w:t>
      </w:r>
    </w:p>
    <w:p>
      <w:pPr>
        <w:spacing w:line="237" w:lineRule="auto" w:before="7"/>
        <w:ind w:left="112" w:right="206" w:firstLine="420"/>
        <w:jc w:val="both"/>
        <w:rPr>
          <w:rFonts w:ascii="黑体" w:eastAsia="黑体" w:hint="eastAsia"/>
          <w:sz w:val="24"/>
        </w:rPr>
      </w:pPr>
      <w:r>
        <w:rPr>
          <w:spacing w:val="-4"/>
          <w:sz w:val="21"/>
        </w:rPr>
        <w:t>胰岛素依赖型糖尿病的诊断必须由认可医院的合格内分泌专科医师作出。理赔时被保险人须已持续性地依赖外源性胰岛素治疗至少 </w:t>
      </w:r>
      <w:r>
        <w:rPr>
          <w:rFonts w:ascii="Times New Roman" w:eastAsia="Times New Roman"/>
          <w:sz w:val="21"/>
        </w:rPr>
        <w:t>6 </w:t>
      </w:r>
      <w:r>
        <w:rPr>
          <w:spacing w:val="-2"/>
          <w:sz w:val="21"/>
        </w:rPr>
        <w:t>个月。</w:t>
      </w:r>
      <w:r>
        <w:rPr>
          <w:rFonts w:ascii="黑体" w:eastAsia="黑体" w:hint="eastAsia"/>
          <w:spacing w:val="-1"/>
          <w:sz w:val="24"/>
        </w:rPr>
        <w:t>可以用其他方法</w:t>
      </w:r>
      <w:r>
        <w:rPr>
          <w:rFonts w:ascii="黑体" w:eastAsia="黑体" w:hint="eastAsia"/>
          <w:sz w:val="24"/>
        </w:rPr>
        <w:t>（非胰岛素注射）治疗的糖尿病不在本保障范围之内。</w:t>
      </w:r>
    </w:p>
    <w:p>
      <w:pPr>
        <w:spacing w:after="0" w:line="237" w:lineRule="auto"/>
        <w:jc w:val="both"/>
        <w:rPr>
          <w:rFonts w:ascii="黑体" w:eastAsia="黑体" w:hint="eastAsia"/>
          <w:sz w:val="24"/>
        </w:rPr>
        <w:sectPr>
          <w:pgSz w:w="11910" w:h="16840"/>
          <w:pgMar w:header="228" w:footer="888" w:top="1200" w:bottom="1100" w:left="1020" w:right="920"/>
        </w:sectPr>
      </w:pPr>
    </w:p>
    <w:p>
      <w:pPr>
        <w:pStyle w:val="Heading3"/>
        <w:spacing w:before="1"/>
      </w:pPr>
      <w:r>
        <w:rPr/>
        <w:t>三十七、慢性肾上腺皮质功能减退症</w:t>
      </w:r>
      <w:r>
        <w:rPr>
          <w:rFonts w:ascii="Times New Roman" w:eastAsia="Times New Roman"/>
        </w:rPr>
        <w:t>/</w:t>
      </w:r>
      <w:r>
        <w:rPr/>
        <w:t>阿狄森氏病 （</w:t>
      </w:r>
      <w:r>
        <w:rPr>
          <w:rFonts w:ascii="Times New Roman" w:eastAsia="Times New Roman"/>
        </w:rPr>
        <w:t>Addison disease</w:t>
      </w:r>
      <w:r>
        <w:rPr/>
        <w:t>）</w:t>
      </w:r>
    </w:p>
    <w:p>
      <w:pPr>
        <w:pStyle w:val="BodyText"/>
        <w:spacing w:line="273" w:lineRule="auto"/>
        <w:ind w:right="226" w:firstLine="420"/>
      </w:pPr>
      <w:r>
        <w:rPr>
          <w:spacing w:val="-5"/>
        </w:rPr>
        <w:t>因自身免疫紊乱导致肾上腺逐渐被破坏，从而需要长期接受糖皮质激素替代疗法。诊断必须由认可医</w:t>
      </w:r>
      <w:r>
        <w:rPr>
          <w:spacing w:val="-4"/>
        </w:rPr>
        <w:t>院的合格内分泌专科医师作出，理赔时必须出具以下报告：</w:t>
      </w:r>
    </w:p>
    <w:p>
      <w:pPr>
        <w:pStyle w:val="BodyText"/>
        <w:spacing w:before="7"/>
        <w:ind w:left="533"/>
      </w:pPr>
      <w:r>
        <w:rPr/>
        <w:t>（</w:t>
      </w:r>
      <w:r>
        <w:rPr>
          <w:rFonts w:ascii="Times New Roman" w:eastAsia="Times New Roman"/>
        </w:rPr>
        <w:t>1</w:t>
      </w:r>
      <w:r>
        <w:rPr/>
        <w:t>）促肾上腺皮质激素试验</w:t>
      </w:r>
      <w:r>
        <w:rPr>
          <w:rFonts w:ascii="Times New Roman" w:eastAsia="Times New Roman"/>
        </w:rPr>
        <w:t>(ACTH </w:t>
      </w:r>
      <w:r>
        <w:rPr/>
        <w:t>试验）</w:t>
      </w:r>
    </w:p>
    <w:p>
      <w:pPr>
        <w:pStyle w:val="BodyText"/>
        <w:ind w:left="533"/>
      </w:pPr>
      <w:r>
        <w:rPr/>
        <w:t>（</w:t>
      </w:r>
      <w:r>
        <w:rPr>
          <w:rFonts w:ascii="Times New Roman" w:eastAsia="Times New Roman"/>
        </w:rPr>
        <w:t>2</w:t>
      </w:r>
      <w:r>
        <w:rPr/>
        <w:t>）胰岛素诱导性低血糖试验</w:t>
      </w:r>
    </w:p>
    <w:p>
      <w:pPr>
        <w:pStyle w:val="BodyText"/>
        <w:ind w:left="533"/>
      </w:pPr>
      <w:r>
        <w:rPr/>
        <w:t>（</w:t>
      </w:r>
      <w:r>
        <w:rPr>
          <w:rFonts w:ascii="Times New Roman" w:eastAsia="Times New Roman"/>
        </w:rPr>
        <w:t>3</w:t>
      </w:r>
      <w:r>
        <w:rPr/>
        <w:t>）血浆促肾上腺皮质激素测量</w:t>
      </w:r>
    </w:p>
    <w:p>
      <w:pPr>
        <w:pStyle w:val="BodyText"/>
        <w:spacing w:line="287" w:lineRule="exact"/>
        <w:ind w:left="533"/>
      </w:pPr>
      <w:r>
        <w:rPr/>
        <w:t>（</w:t>
      </w:r>
      <w:r>
        <w:rPr>
          <w:rFonts w:ascii="Times New Roman" w:eastAsia="Times New Roman"/>
        </w:rPr>
        <w:t>4</w:t>
      </w:r>
      <w:r>
        <w:rPr/>
        <w:t>）血浆肾素活性（</w:t>
      </w:r>
      <w:r>
        <w:rPr>
          <w:rFonts w:ascii="Times New Roman" w:eastAsia="Times New Roman"/>
        </w:rPr>
        <w:t>PRA</w:t>
      </w:r>
      <w:r>
        <w:rPr/>
        <w:t>）测量</w:t>
      </w:r>
    </w:p>
    <w:p>
      <w:pPr>
        <w:spacing w:line="237" w:lineRule="auto" w:before="0"/>
        <w:ind w:left="112" w:right="240" w:firstLine="480"/>
        <w:jc w:val="left"/>
        <w:rPr>
          <w:rFonts w:ascii="黑体" w:eastAsia="黑体" w:hint="eastAsia"/>
          <w:sz w:val="24"/>
        </w:rPr>
      </w:pPr>
      <w:r>
        <w:rPr>
          <w:rFonts w:ascii="黑体" w:eastAsia="黑体" w:hint="eastAsia"/>
          <w:sz w:val="24"/>
        </w:rPr>
        <w:t>本保障只承保由自身免疫引起的慢性肾上腺皮质功能减退，其他病因导致的肾上腺功能减退不在本保障范围之内。</w:t>
      </w:r>
    </w:p>
    <w:p>
      <w:pPr>
        <w:pStyle w:val="Heading3"/>
        <w:spacing w:before="25"/>
      </w:pPr>
      <w:r>
        <w:rPr/>
        <w:t>三十八、肌营养不良症</w:t>
      </w:r>
    </w:p>
    <w:p>
      <w:pPr>
        <w:pStyle w:val="BodyText"/>
        <w:spacing w:before="36"/>
        <w:ind w:left="533"/>
      </w:pPr>
      <w:r>
        <w:rPr/>
        <w:t>肌营养不良症需要神经专科医生确诊，并且须满足下列全部条件：</w:t>
      </w:r>
    </w:p>
    <w:p>
      <w:pPr>
        <w:pStyle w:val="BodyText"/>
        <w:spacing w:before="36"/>
        <w:ind w:left="533"/>
      </w:pPr>
      <w:r>
        <w:rPr/>
        <w:t>（</w:t>
      </w:r>
      <w:r>
        <w:rPr>
          <w:rFonts w:ascii="Times New Roman" w:eastAsia="Times New Roman"/>
        </w:rPr>
        <w:t>1</w:t>
      </w:r>
      <w:r>
        <w:rPr/>
        <w:t>）临床表现包括：无感觉神经紊乱，正常脑脊液及轻微腱反射的减退；</w:t>
      </w:r>
    </w:p>
    <w:p>
      <w:pPr>
        <w:pStyle w:val="BodyText"/>
        <w:ind w:left="533"/>
      </w:pPr>
      <w:r>
        <w:rPr/>
        <w:t>（</w:t>
      </w:r>
      <w:r>
        <w:rPr>
          <w:rFonts w:ascii="Times New Roman" w:eastAsia="Times New Roman"/>
        </w:rPr>
        <w:t>2</w:t>
      </w:r>
      <w:r>
        <w:rPr/>
        <w:t>）典型的肌电图；</w:t>
      </w:r>
    </w:p>
    <w:p>
      <w:pPr>
        <w:spacing w:line="256" w:lineRule="auto" w:before="21"/>
        <w:ind w:left="535" w:right="5982" w:hanging="3"/>
        <w:jc w:val="left"/>
        <w:rPr>
          <w:b/>
          <w:sz w:val="21"/>
        </w:rPr>
      </w:pPr>
      <w:r>
        <w:rPr>
          <w:sz w:val="21"/>
        </w:rPr>
        <w:t>（</w:t>
      </w:r>
      <w:r>
        <w:rPr>
          <w:rFonts w:ascii="Times New Roman" w:eastAsia="Times New Roman"/>
          <w:sz w:val="21"/>
        </w:rPr>
        <w:t>3</w:t>
      </w:r>
      <w:r>
        <w:rPr>
          <w:sz w:val="21"/>
        </w:rPr>
        <w:t>）临床的异常表现已被活检确诊。</w:t>
      </w:r>
      <w:r>
        <w:rPr>
          <w:b/>
          <w:sz w:val="21"/>
        </w:rPr>
        <w:t>三十九、疾病终末期状态</w:t>
      </w:r>
    </w:p>
    <w:p>
      <w:pPr>
        <w:pStyle w:val="BodyText"/>
        <w:spacing w:line="273" w:lineRule="auto" w:before="22"/>
        <w:ind w:right="226" w:firstLine="420"/>
        <w:jc w:val="both"/>
      </w:pPr>
      <w:r>
        <w:rPr>
          <w:spacing w:val="-5"/>
        </w:rPr>
        <w:t>被保险人被确诊为疾病的终末期状态，疾病已经无法以现有的医疗技术医治缓解，并且根据临床医学</w:t>
      </w:r>
      <w:r>
        <w:rPr>
          <w:spacing w:val="-6"/>
        </w:rPr>
        <w:t>经验判断被保险人将于未来六个月内死亡。在家属及患者的要求和医师的同意下积极治疗已被放弃，所有治疗措施仅以减轻患者痛苦为目的。此疾病状态必须在被保险人生前已经确诊并且具有医疗证明文件和临</w:t>
      </w:r>
      <w:r>
        <w:rPr>
          <w:spacing w:val="-4"/>
        </w:rPr>
        <w:t>床检查依据。</w:t>
      </w:r>
    </w:p>
    <w:p>
      <w:pPr>
        <w:pStyle w:val="Heading3"/>
      </w:pPr>
      <w:r>
        <w:rPr/>
        <w:t>四十、经输血导致的人类免疫缺陷病毒感染</w:t>
      </w:r>
    </w:p>
    <w:p>
      <w:pPr>
        <w:pStyle w:val="BodyText"/>
        <w:spacing w:before="36"/>
        <w:ind w:left="533"/>
      </w:pPr>
      <w:r>
        <w:rPr/>
        <w:t>是指被保险人感染人类免疫缺陷病毒并且符合下列所有条件：</w:t>
      </w:r>
    </w:p>
    <w:p>
      <w:pPr>
        <w:pStyle w:val="BodyText"/>
        <w:spacing w:line="256" w:lineRule="auto" w:before="36"/>
        <w:ind w:right="234" w:firstLine="420"/>
      </w:pPr>
      <w:r>
        <w:rPr/>
        <w:t>（</w:t>
      </w:r>
      <w:r>
        <w:rPr>
          <w:rFonts w:ascii="Times New Roman" w:eastAsia="Times New Roman"/>
        </w:rPr>
        <w:t>1</w:t>
      </w:r>
      <w:r>
        <w:rPr/>
        <w:t>）在保险期间起始日或复效日次日之后，被保险人因治疗必需而接受输血，并且因输血而感染人类免疫缺陷病毒；</w:t>
      </w:r>
    </w:p>
    <w:p>
      <w:pPr>
        <w:pStyle w:val="BodyText"/>
        <w:spacing w:line="256" w:lineRule="auto" w:before="22"/>
        <w:ind w:right="236" w:firstLine="420"/>
      </w:pPr>
      <w:r>
        <w:rPr/>
        <w:t>（</w:t>
      </w:r>
      <w:r>
        <w:rPr>
          <w:rFonts w:ascii="Times New Roman" w:eastAsia="Times New Roman"/>
        </w:rPr>
        <w:t>2</w:t>
      </w:r>
      <w:r>
        <w:rPr/>
        <w:t>）提供输血治疗的输血中心或医院出具该项输血感染属医疗责任事故的报告，或者法院终审裁定为医疗责任并且不准上诉；</w:t>
      </w:r>
    </w:p>
    <w:p>
      <w:pPr>
        <w:pStyle w:val="BodyText"/>
        <w:spacing w:before="22"/>
        <w:ind w:left="533"/>
      </w:pPr>
      <w:r>
        <w:rPr/>
        <w:t>（</w:t>
      </w:r>
      <w:r>
        <w:rPr>
          <w:rFonts w:ascii="Times New Roman" w:eastAsia="Times New Roman"/>
        </w:rPr>
        <w:t>3</w:t>
      </w:r>
      <w:r>
        <w:rPr/>
        <w:t>）提供输血治疗的输血中心或医院必须拥有合法经营执照；</w:t>
      </w:r>
    </w:p>
    <w:p>
      <w:pPr>
        <w:pStyle w:val="BodyText"/>
        <w:ind w:left="533"/>
      </w:pPr>
      <w:r>
        <w:rPr/>
        <w:t>（</w:t>
      </w:r>
      <w:r>
        <w:rPr>
          <w:rFonts w:ascii="Times New Roman" w:eastAsia="Times New Roman"/>
        </w:rPr>
        <w:t>4</w:t>
      </w:r>
      <w:r>
        <w:rPr/>
        <w:t>）受感染的被保险人不是血友病患者。</w:t>
      </w:r>
    </w:p>
    <w:p>
      <w:pPr>
        <w:spacing w:line="249" w:lineRule="auto" w:before="21"/>
        <w:ind w:left="112" w:right="112" w:firstLine="420"/>
        <w:jc w:val="left"/>
        <w:rPr>
          <w:sz w:val="21"/>
        </w:rPr>
      </w:pPr>
      <w:r>
        <w:rPr>
          <w:spacing w:val="-4"/>
          <w:sz w:val="21"/>
        </w:rPr>
        <w:t>在任何治愈艾滋病或阻止人类免疫缺陷病毒作用的疗法被发现以后，或能防止艾滋病发生的医疗方法</w:t>
      </w:r>
      <w:r>
        <w:rPr>
          <w:spacing w:val="-3"/>
          <w:sz w:val="21"/>
        </w:rPr>
        <w:t>被研究出来以后，本保障将不再予以赔付。</w:t>
      </w:r>
      <w:r>
        <w:rPr>
          <w:rFonts w:ascii="黑体" w:eastAsia="黑体" w:hint="eastAsia"/>
          <w:spacing w:val="-1"/>
          <w:sz w:val="24"/>
        </w:rPr>
        <w:t>任何因其他传播方式</w:t>
      </w:r>
      <w:r>
        <w:rPr>
          <w:rFonts w:ascii="黑体" w:eastAsia="黑体" w:hint="eastAsia"/>
          <w:sz w:val="24"/>
        </w:rPr>
        <w:t>（包括：性传播或静脉注射毒品） </w:t>
      </w:r>
      <w:r>
        <w:rPr>
          <w:rFonts w:ascii="黑体" w:eastAsia="黑体" w:hint="eastAsia"/>
          <w:spacing w:val="-3"/>
          <w:sz w:val="24"/>
        </w:rPr>
        <w:t>导致的人类免疫缺陷病毒感染不在本保障范围内。</w:t>
      </w:r>
      <w:r>
        <w:rPr>
          <w:spacing w:val="-3"/>
          <w:sz w:val="21"/>
        </w:rPr>
        <w:t>我们拥有获得使用被保险人的血液样本的权利和能够对这些样本进行独立检验的权利。</w:t>
      </w:r>
    </w:p>
    <w:p>
      <w:pPr>
        <w:pStyle w:val="Heading3"/>
        <w:spacing w:before="28"/>
      </w:pPr>
      <w:r>
        <w:rPr/>
        <w:t>四十一、植物人状态</w:t>
      </w:r>
    </w:p>
    <w:p>
      <w:pPr>
        <w:pStyle w:val="BodyText"/>
        <w:spacing w:line="249" w:lineRule="auto" w:before="37"/>
        <w:ind w:right="226" w:firstLine="420"/>
        <w:jc w:val="both"/>
        <w:rPr>
          <w:rFonts w:ascii="黑体" w:eastAsia="黑体" w:hint="eastAsia"/>
          <w:sz w:val="24"/>
        </w:rPr>
      </w:pPr>
      <w:r>
        <w:rPr>
          <w:spacing w:val="-3"/>
        </w:rPr>
        <w:t>是指脑皮质广泛性坏死而导致对自身及周边的认知能力完全丧失</w:t>
      </w:r>
      <w:r>
        <w:rPr>
          <w:rFonts w:ascii="Times New Roman" w:eastAsia="Times New Roman"/>
          <w:spacing w:val="-3"/>
        </w:rPr>
        <w:t>,</w:t>
      </w:r>
      <w:r>
        <w:rPr>
          <w:spacing w:val="-10"/>
        </w:rPr>
        <w:t>但脑干功能依然存在。患者无法从事</w:t>
      </w:r>
      <w:r>
        <w:rPr>
          <w:spacing w:val="-8"/>
        </w:rPr>
        <w:t>主动或者有目的的活动，而只能对疼痛刺激产生反应。被保险人需要在医院使用辅助机器维持生命。必须</w:t>
      </w:r>
      <w:r>
        <w:rPr>
          <w:spacing w:val="-13"/>
          <w:w w:val="100"/>
        </w:rPr>
        <w:t>由神经专科医生明确诊断，并有头颅断层扫描</w:t>
      </w:r>
      <w:r>
        <w:rPr>
          <w:spacing w:val="-3"/>
          <w:w w:val="100"/>
        </w:rPr>
        <w:t>（</w:t>
      </w:r>
      <w:r>
        <w:rPr>
          <w:rFonts w:ascii="Times New Roman" w:eastAsia="Times New Roman"/>
          <w:w w:val="100"/>
        </w:rPr>
        <w:t>C</w:t>
      </w:r>
      <w:r>
        <w:rPr>
          <w:rFonts w:ascii="Times New Roman" w:eastAsia="Times New Roman"/>
          <w:spacing w:val="-2"/>
          <w:w w:val="100"/>
        </w:rPr>
        <w:t>T</w:t>
      </w:r>
      <w:r>
        <w:rPr>
          <w:spacing w:val="-108"/>
          <w:w w:val="100"/>
        </w:rPr>
        <w:t>）</w:t>
      </w:r>
      <w:r>
        <w:rPr>
          <w:spacing w:val="-18"/>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spacing w:val="-56"/>
          <w:w w:val="100"/>
        </w:rPr>
        <w:t>）</w:t>
      </w:r>
      <w:r>
        <w:rPr>
          <w:spacing w:val="-9"/>
          <w:w w:val="100"/>
        </w:rPr>
        <w:t>或正电子发射断层扫描</w:t>
      </w:r>
      <w:r>
        <w:rPr>
          <w:spacing w:val="-3"/>
          <w:w w:val="100"/>
        </w:rPr>
        <w:t>（</w:t>
      </w:r>
      <w:r>
        <w:rPr>
          <w:rFonts w:ascii="Times New Roman" w:eastAsia="Times New Roman"/>
          <w:spacing w:val="1"/>
          <w:w w:val="100"/>
        </w:rPr>
        <w:t>P</w:t>
      </w:r>
      <w:r>
        <w:rPr>
          <w:rFonts w:ascii="Times New Roman" w:eastAsia="Times New Roman"/>
          <w:spacing w:val="-2"/>
          <w:w w:val="100"/>
        </w:rPr>
        <w:t>ET</w:t>
      </w:r>
      <w:r>
        <w:rPr>
          <w:w w:val="100"/>
        </w:rPr>
        <w:t>）</w:t>
      </w:r>
      <w:r>
        <w:rPr>
          <w:spacing w:val="-3"/>
        </w:rPr>
        <w:t>等影像学检查证实。上述情况必须有至少一个月的病历记录加以证实。</w:t>
      </w:r>
      <w:r>
        <w:rPr>
          <w:rFonts w:ascii="黑体" w:eastAsia="黑体" w:hint="eastAsia"/>
          <w:spacing w:val="-2"/>
          <w:sz w:val="24"/>
        </w:rPr>
        <w:t>由于酗酒或滥用药物所致的植物人状态不在保障范围内。</w:t>
      </w:r>
    </w:p>
    <w:p>
      <w:pPr>
        <w:pStyle w:val="Heading3"/>
        <w:spacing w:before="16"/>
      </w:pPr>
      <w:r>
        <w:rPr/>
        <w:t>四十二、急性坏死性胰腺炎</w:t>
      </w:r>
    </w:p>
    <w:p>
      <w:pPr>
        <w:spacing w:line="247" w:lineRule="auto" w:before="37"/>
        <w:ind w:left="112" w:right="226" w:firstLine="420"/>
        <w:jc w:val="left"/>
        <w:rPr>
          <w:sz w:val="21"/>
        </w:rPr>
      </w:pPr>
      <w:r>
        <w:rPr>
          <w:spacing w:val="-6"/>
          <w:sz w:val="21"/>
        </w:rPr>
        <w:t>由专科医生确诊为急性坏死性胰腺炎，并需进行手术治疗，以进行组织清除、病灶切除或胰腺部分切除。</w:t>
      </w:r>
      <w:r>
        <w:rPr>
          <w:rFonts w:ascii="黑体" w:eastAsia="黑体" w:hint="eastAsia"/>
          <w:spacing w:val="-6"/>
          <w:sz w:val="24"/>
        </w:rPr>
        <w:t>但因酒精中毒所致的急性坏死性胰腺炎不在保障范围内</w:t>
      </w:r>
      <w:r>
        <w:rPr>
          <w:sz w:val="21"/>
        </w:rPr>
        <w:t>。</w:t>
      </w:r>
    </w:p>
    <w:p>
      <w:pPr>
        <w:pStyle w:val="Heading3"/>
        <w:spacing w:before="18"/>
      </w:pPr>
      <w:r>
        <w:rPr/>
        <w:t>四十三、非阿尔茨海默病所致严重痴呆</w:t>
      </w:r>
    </w:p>
    <w:p>
      <w:pPr>
        <w:pStyle w:val="BodyText"/>
        <w:spacing w:line="256" w:lineRule="auto" w:before="36"/>
        <w:ind w:right="126" w:firstLine="420"/>
        <w:rPr>
          <w:rFonts w:ascii="黑体" w:eastAsia="黑体" w:hint="eastAsia"/>
          <w:sz w:val="24"/>
        </w:rPr>
      </w:pPr>
      <w:r>
        <w:rPr>
          <w:spacing w:val="-4"/>
        </w:rPr>
        <w:t>指因阿尔茨海默病以外的脑的器质性疾病造成脑功能衰竭导致永久不可逆性的严重痴呆，临床表现为</w:t>
      </w:r>
      <w:r>
        <w:rPr>
          <w:spacing w:val="-6"/>
        </w:rPr>
        <w:t>明显的认知能力障碍、行为异常和社交能力减退。被保险人自主生活能力完全丧失，无法独立完成六项基</w:t>
      </w:r>
      <w:r>
        <w:rPr/>
        <w:t>本日常生活活动中的三项或三项以上，日常生活必须持续受到他人监护。导致痴呆的疾病必须明确诊断， </w:t>
      </w:r>
      <w:r>
        <w:rPr>
          <w:spacing w:val="-3"/>
        </w:rPr>
        <w:t>并且由完整的临床、实验室和影像学检查结果证实。</w:t>
      </w:r>
      <w:r>
        <w:rPr>
          <w:rFonts w:ascii="黑体" w:eastAsia="黑体" w:hint="eastAsia"/>
          <w:sz w:val="24"/>
        </w:rPr>
        <w:t>神经官能症，精神疾病及酒精中毒所致脑损害不在保障范围内。</w:t>
      </w:r>
    </w:p>
    <w:p>
      <w:pPr>
        <w:spacing w:after="0" w:line="256" w:lineRule="auto"/>
        <w:rPr>
          <w:rFonts w:ascii="黑体" w:eastAsia="黑体" w:hint="eastAsia"/>
          <w:sz w:val="24"/>
        </w:rPr>
        <w:sectPr>
          <w:pgSz w:w="11910" w:h="16840"/>
          <w:pgMar w:header="228" w:footer="888" w:top="1200" w:bottom="1100" w:left="1020" w:right="900"/>
        </w:sectPr>
      </w:pPr>
    </w:p>
    <w:p>
      <w:pPr>
        <w:pStyle w:val="BodyText"/>
        <w:spacing w:line="273" w:lineRule="auto" w:before="1"/>
        <w:ind w:right="326" w:firstLine="420"/>
        <w:jc w:val="both"/>
      </w:pPr>
      <w:r>
        <w:rPr>
          <w:spacing w:val="-6"/>
        </w:rPr>
        <w:t>注：六项基本日常生活活动包括：①穿衣：自己能够穿衣及脱衣；②移动：自己从一个房间到另一个</w:t>
      </w:r>
      <w:r>
        <w:rPr>
          <w:spacing w:val="-7"/>
        </w:rPr>
        <w:t>房间；③行动：自己上下床或上下轮椅；④如厕：自己控制进行大小便；⑤进食：自己从已准备好的碗或</w:t>
      </w:r>
      <w:r>
        <w:rPr>
          <w:spacing w:val="-3"/>
        </w:rPr>
        <w:t>碟中取食物放入口中；⑥洗澡：自己进行淋浴或盆浴。</w:t>
      </w:r>
    </w:p>
    <w:p>
      <w:pPr>
        <w:pStyle w:val="Heading3"/>
      </w:pPr>
      <w:r>
        <w:rPr/>
        <w:t>四十四、系统性硬化</w:t>
      </w:r>
    </w:p>
    <w:p>
      <w:pPr>
        <w:pStyle w:val="BodyText"/>
        <w:spacing w:line="259" w:lineRule="auto" w:before="36"/>
        <w:ind w:right="326" w:firstLine="420"/>
        <w:jc w:val="both"/>
        <w:rPr>
          <w:rFonts w:ascii="黑体" w:eastAsia="黑体" w:hint="eastAsia"/>
          <w:sz w:val="24"/>
        </w:rPr>
      </w:pPr>
      <w:r>
        <w:rPr>
          <w:spacing w:val="-6"/>
        </w:rPr>
        <w:t>系统性硬化病又称硬皮病，是以弥漫性皮肤、血管及内脏器官结缔组织纤维化、硬化及萎缩为特点的</w:t>
      </w:r>
      <w:r>
        <w:rPr>
          <w:spacing w:val="-7"/>
        </w:rPr>
        <w:t>结缔组织病。必须由风湿免疫专科医生确诊。必须有活体组织检查和血清学的检查作为确诊依据。病变需</w:t>
      </w:r>
      <w:r>
        <w:rPr>
          <w:spacing w:val="-5"/>
        </w:rPr>
        <w:t>累及心脏，肺脏或肾脏。</w:t>
      </w:r>
      <w:r>
        <w:rPr>
          <w:rFonts w:ascii="黑体" w:eastAsia="黑体" w:hint="eastAsia"/>
          <w:sz w:val="24"/>
        </w:rPr>
        <w:t>下列疾病不在保障范围内：</w:t>
      </w:r>
    </w:p>
    <w:p>
      <w:pPr>
        <w:spacing w:line="292" w:lineRule="exact" w:before="0"/>
        <w:ind w:left="593" w:right="0" w:firstLine="0"/>
        <w:jc w:val="left"/>
        <w:rPr>
          <w:rFonts w:ascii="黑体" w:eastAsia="黑体" w:hint="eastAsia"/>
          <w:sz w:val="24"/>
        </w:rPr>
      </w:pPr>
      <w:r>
        <w:rPr>
          <w:rFonts w:ascii="黑体" w:eastAsia="黑体" w:hint="eastAsia"/>
          <w:sz w:val="24"/>
        </w:rPr>
        <w:t>（1</w:t>
      </w:r>
      <w:r>
        <w:rPr>
          <w:rFonts w:ascii="黑体" w:eastAsia="黑体" w:hint="eastAsia"/>
          <w:spacing w:val="-1"/>
          <w:sz w:val="24"/>
        </w:rPr>
        <w:t>）</w:t>
      </w:r>
      <w:r>
        <w:rPr>
          <w:rFonts w:ascii="黑体" w:eastAsia="黑体" w:hint="eastAsia"/>
          <w:sz w:val="24"/>
        </w:rPr>
        <w:t>局限性硬皮病（包括带状硬皮病、硬斑病</w:t>
      </w:r>
      <w:r>
        <w:rPr>
          <w:rFonts w:ascii="黑体" w:eastAsia="黑体" w:hint="eastAsia"/>
          <w:spacing w:val="-120"/>
          <w:sz w:val="24"/>
        </w:rPr>
        <w:t>）</w:t>
      </w:r>
      <w:r>
        <w:rPr>
          <w:rFonts w:ascii="黑体" w:eastAsia="黑体" w:hint="eastAsia"/>
          <w:sz w:val="24"/>
        </w:rPr>
        <w:t>；</w:t>
      </w:r>
    </w:p>
    <w:p>
      <w:pPr>
        <w:spacing w:line="312" w:lineRule="exact" w:before="0"/>
        <w:ind w:left="593" w:right="0" w:firstLine="0"/>
        <w:jc w:val="left"/>
        <w:rPr>
          <w:rFonts w:ascii="黑体" w:eastAsia="黑体" w:hint="eastAsia"/>
          <w:sz w:val="24"/>
        </w:rPr>
      </w:pPr>
      <w:r>
        <w:rPr>
          <w:rFonts w:ascii="黑体" w:eastAsia="黑体" w:hint="eastAsia"/>
          <w:sz w:val="24"/>
        </w:rPr>
        <w:t>（2）嗜酸细胞性筋膜炎；</w:t>
      </w:r>
    </w:p>
    <w:p>
      <w:pPr>
        <w:spacing w:line="313" w:lineRule="exact" w:before="0"/>
        <w:ind w:left="593" w:right="0" w:firstLine="0"/>
        <w:jc w:val="left"/>
        <w:rPr>
          <w:rFonts w:ascii="黑体" w:eastAsia="黑体" w:hint="eastAsia"/>
          <w:sz w:val="24"/>
        </w:rPr>
      </w:pPr>
      <w:r>
        <w:rPr>
          <w:rFonts w:ascii="黑体" w:eastAsia="黑体" w:hint="eastAsia"/>
          <w:sz w:val="24"/>
        </w:rPr>
        <w:t>（3）CREST 综合征。</w:t>
      </w:r>
    </w:p>
    <w:p>
      <w:pPr>
        <w:pStyle w:val="Heading3"/>
        <w:spacing w:before="26"/>
      </w:pPr>
      <w:r>
        <w:rPr/>
        <w:t>四十五、严重克隆病</w:t>
      </w:r>
    </w:p>
    <w:p>
      <w:pPr>
        <w:pStyle w:val="BodyText"/>
        <w:spacing w:line="273" w:lineRule="auto" w:before="36"/>
        <w:ind w:right="326" w:firstLine="420"/>
      </w:pPr>
      <w:r>
        <w:rPr>
          <w:spacing w:val="-5"/>
        </w:rPr>
        <w:t>克隆病是一种慢性肉芽肿性肠炎，具有特征性的克隆病病理组织学变化。诊断必须由病理检查结果证</w:t>
      </w:r>
      <w:r>
        <w:rPr>
          <w:spacing w:val="-4"/>
        </w:rPr>
        <w:t>实。被保险人所患的克隆病必须已经造成瘘管形成并伴有肠梗阻或肠穿孔。</w:t>
      </w:r>
    </w:p>
    <w:p>
      <w:pPr>
        <w:pStyle w:val="Heading3"/>
      </w:pPr>
      <w:r>
        <w:rPr/>
        <w:t>四十六、严重溃疡性结肠炎</w:t>
      </w:r>
    </w:p>
    <w:p>
      <w:pPr>
        <w:pStyle w:val="BodyText"/>
        <w:spacing w:line="273" w:lineRule="auto" w:before="37"/>
        <w:ind w:right="117" w:firstLine="420"/>
      </w:pPr>
      <w:r>
        <w:rPr>
          <w:spacing w:val="-4"/>
        </w:rPr>
        <w:t>我们所保障的溃疡性结肠炎是指伴有致命性电解质紊乱的急性暴发性溃疡性结肠炎，病变累及全结肠， </w:t>
      </w:r>
      <w:r>
        <w:rPr>
          <w:spacing w:val="-5"/>
        </w:rPr>
        <w:t>表现为严重的血便和系统性症状体征，治疗通常采取全结肠切除和回肠造瘘术。溃疡性结肠炎必须根据组 </w:t>
      </w:r>
      <w:r>
        <w:rPr>
          <w:spacing w:val="-4"/>
        </w:rPr>
        <w:t>织病理学特点诊断，并且被保险人已经接受了结肠切除和回肠造瘘术。</w:t>
      </w:r>
    </w:p>
    <w:p>
      <w:pPr>
        <w:pStyle w:val="Heading3"/>
      </w:pPr>
      <w:r>
        <w:rPr/>
        <w:t>四十七、严重川崎病</w:t>
      </w:r>
    </w:p>
    <w:p>
      <w:pPr>
        <w:pStyle w:val="BodyText"/>
        <w:spacing w:line="273" w:lineRule="auto" w:before="36"/>
        <w:ind w:right="326" w:firstLine="420"/>
      </w:pPr>
      <w:r>
        <w:rPr>
          <w:spacing w:val="-6"/>
        </w:rPr>
        <w:t>指一种原因未明的血管炎综合征，临床表现为急性发热，皮肤粘膜病损和淋巴结肿大。本病必须经专</w:t>
      </w:r>
      <w:r>
        <w:rPr>
          <w:spacing w:val="-4"/>
        </w:rPr>
        <w:t>科医生明确诊断，且必须由血管造影或超声心动图检查证实，满足下列至少一项条件：</w:t>
      </w:r>
    </w:p>
    <w:p>
      <w:pPr>
        <w:pStyle w:val="BodyText"/>
        <w:spacing w:before="7"/>
        <w:ind w:left="533"/>
      </w:pPr>
      <w:r>
        <w:rPr/>
        <w:t>（</w:t>
      </w:r>
      <w:r>
        <w:rPr>
          <w:rFonts w:ascii="Times New Roman" w:eastAsia="Times New Roman"/>
        </w:rPr>
        <w:t>1</w:t>
      </w:r>
      <w:r>
        <w:rPr/>
        <w:t>）伴有冠状动脉瘤，且冠状动脉瘤于最初急性发病后持续至少一百八十天；</w:t>
      </w:r>
    </w:p>
    <w:p>
      <w:pPr>
        <w:spacing w:line="256" w:lineRule="auto" w:before="21"/>
        <w:ind w:left="535" w:right="3142" w:hanging="3"/>
        <w:jc w:val="left"/>
        <w:rPr>
          <w:b/>
          <w:sz w:val="21"/>
        </w:rPr>
      </w:pPr>
      <w:r>
        <w:rPr>
          <w:sz w:val="21"/>
        </w:rPr>
        <w:t>（</w:t>
      </w:r>
      <w:r>
        <w:rPr>
          <w:rFonts w:ascii="Times New Roman" w:eastAsia="Times New Roman"/>
          <w:sz w:val="21"/>
        </w:rPr>
        <w:t>2</w:t>
      </w:r>
      <w:r>
        <w:rPr>
          <w:sz w:val="21"/>
        </w:rPr>
        <w:t>）伴有冠状动脉瘤，且实际接受了对冠状动脉瘤进行的手术治疗。</w:t>
      </w:r>
      <w:r>
        <w:rPr>
          <w:b/>
          <w:sz w:val="21"/>
        </w:rPr>
        <w:t>四十八、埃博拉病毒感染</w:t>
      </w:r>
    </w:p>
    <w:p>
      <w:pPr>
        <w:pStyle w:val="BodyText"/>
        <w:spacing w:line="273" w:lineRule="auto" w:before="22"/>
        <w:ind w:right="326" w:firstLine="420"/>
      </w:pPr>
      <w:r>
        <w:rPr>
          <w:spacing w:val="-5"/>
        </w:rPr>
        <w:t>受埃博拉病毒感染导致出血性发热。埃博拉病必须经传染病专科医生确诊，并且埃博拉病毒的存在必</w:t>
      </w:r>
      <w:r>
        <w:rPr>
          <w:spacing w:val="-4"/>
        </w:rPr>
        <w:t>须经过实验室检查证实。该病必须从症状开始后持续三十天出现并发症。</w:t>
      </w:r>
    </w:p>
    <w:p>
      <w:pPr>
        <w:pStyle w:val="Heading3"/>
      </w:pPr>
      <w:r>
        <w:rPr/>
        <w:t>四十九、象皮病</w:t>
      </w:r>
    </w:p>
    <w:p>
      <w:pPr>
        <w:pStyle w:val="BodyText"/>
        <w:spacing w:line="273" w:lineRule="auto" w:before="37"/>
        <w:ind w:right="230" w:firstLine="420"/>
      </w:pPr>
      <w:r>
        <w:rPr/>
        <w:t>指末期丝虫病，按国际淋巴学会分级为三度淋巴液肿，其临床表现为肢体非凹陷性水肿伴畸形增大、硬皮症和疣状增生。此病症须经专科医生根据临床表现和微丝蚴的化验结果确诊。</w:t>
      </w:r>
    </w:p>
    <w:p>
      <w:pPr>
        <w:pStyle w:val="Heading3"/>
        <w:spacing w:before="8"/>
      </w:pPr>
      <w:r>
        <w:rPr/>
        <w:t>五十、原发性硬化性胆管炎</w:t>
      </w:r>
    </w:p>
    <w:p>
      <w:pPr>
        <w:pStyle w:val="BodyText"/>
        <w:spacing w:line="273" w:lineRule="auto" w:before="37"/>
        <w:ind w:right="326" w:firstLine="420"/>
      </w:pPr>
      <w:r>
        <w:rPr>
          <w:spacing w:val="-6"/>
        </w:rPr>
        <w:t>指一种胆汁淤积综合征，其特征是肝内、肝外胆道因纤维化性炎症逐渐狭窄，并最终导致完全阻塞而</w:t>
      </w:r>
      <w:r>
        <w:rPr>
          <w:spacing w:val="-4"/>
        </w:rPr>
        <w:t>发展为肝硬化。本病须经内镜逆行胰胆管造影等影像学检查证实，并须满足下列全部条件：</w:t>
      </w:r>
    </w:p>
    <w:p>
      <w:pPr>
        <w:pStyle w:val="BodyText"/>
        <w:spacing w:before="7"/>
        <w:ind w:left="533"/>
      </w:pPr>
      <w:r>
        <w:rPr/>
        <w:t>（</w:t>
      </w:r>
      <w:r>
        <w:rPr>
          <w:rFonts w:ascii="Times New Roman" w:eastAsia="Times New Roman"/>
        </w:rPr>
        <w:t>1</w:t>
      </w:r>
      <w:r>
        <w:rPr/>
        <w:t>）总胆红素和直接胆红素同时升高，血清 </w:t>
      </w:r>
      <w:r>
        <w:rPr>
          <w:rFonts w:ascii="Times New Roman" w:eastAsia="Times New Roman"/>
        </w:rPr>
        <w:t>ALP&gt;200U/L</w:t>
      </w:r>
      <w:r>
        <w:rPr/>
        <w:t>；</w:t>
      </w:r>
    </w:p>
    <w:p>
      <w:pPr>
        <w:pStyle w:val="BodyText"/>
        <w:ind w:left="533"/>
      </w:pPr>
      <w:r>
        <w:rPr/>
        <w:t>（</w:t>
      </w:r>
      <w:r>
        <w:rPr>
          <w:rFonts w:ascii="Times New Roman" w:eastAsia="Times New Roman"/>
        </w:rPr>
        <w:t>2</w:t>
      </w:r>
      <w:r>
        <w:rPr/>
        <w:t>）持续性黄疸病史；</w:t>
      </w:r>
    </w:p>
    <w:p>
      <w:pPr>
        <w:pStyle w:val="BodyText"/>
        <w:spacing w:line="287" w:lineRule="exact" w:before="22"/>
        <w:ind w:left="533"/>
      </w:pPr>
      <w:r>
        <w:rPr/>
        <w:t>（</w:t>
      </w:r>
      <w:r>
        <w:rPr>
          <w:rFonts w:ascii="Times New Roman" w:eastAsia="Times New Roman"/>
        </w:rPr>
        <w:t>3</w:t>
      </w:r>
      <w:r>
        <w:rPr/>
        <w:t>）出现胆汁性肝硬化或门脉高压。</w:t>
      </w:r>
    </w:p>
    <w:p>
      <w:pPr>
        <w:spacing w:line="311" w:lineRule="exact" w:before="0"/>
        <w:ind w:left="593" w:right="0" w:firstLine="0"/>
        <w:jc w:val="left"/>
        <w:rPr>
          <w:rFonts w:ascii="黑体" w:eastAsia="黑体" w:hint="eastAsia"/>
          <w:sz w:val="24"/>
        </w:rPr>
      </w:pPr>
      <w:r>
        <w:rPr>
          <w:rFonts w:ascii="黑体" w:eastAsia="黑体" w:hint="eastAsia"/>
          <w:sz w:val="24"/>
        </w:rPr>
        <w:t>因肿瘤或胆管损伤等继发性的硬化性胆管炎不在保障范围内。</w:t>
      </w:r>
    </w:p>
    <w:p>
      <w:pPr>
        <w:pStyle w:val="Heading3"/>
        <w:spacing w:before="26"/>
      </w:pPr>
      <w:r>
        <w:rPr/>
        <w:t>五十一、严重心肌炎</w:t>
      </w:r>
    </w:p>
    <w:p>
      <w:pPr>
        <w:pStyle w:val="BodyText"/>
        <w:spacing w:line="273" w:lineRule="auto" w:before="37"/>
        <w:ind w:right="326" w:firstLine="420"/>
      </w:pPr>
      <w:r>
        <w:rPr>
          <w:spacing w:val="-5"/>
        </w:rPr>
        <w:t>指心肌局限性或弥漫性的急性或慢性炎症病变，导致心脏功能障碍，达到美国纽约心脏病学会心功能</w:t>
      </w:r>
      <w:r>
        <w:rPr>
          <w:spacing w:val="-8"/>
        </w:rPr>
        <w:t>状态分级四级，且持续至少 </w:t>
      </w:r>
      <w:r>
        <w:rPr>
          <w:rFonts w:ascii="Times New Roman" w:eastAsia="Times New Roman"/>
        </w:rPr>
        <w:t>90 </w:t>
      </w:r>
      <w:r>
        <w:rPr/>
        <w:t>天。</w:t>
      </w:r>
    </w:p>
    <w:p>
      <w:pPr>
        <w:pStyle w:val="Heading3"/>
        <w:spacing w:line="264" w:lineRule="exact" w:before="0"/>
      </w:pPr>
      <w:r>
        <w:rPr/>
        <w:t>五十二、肾髓质囊性病</w:t>
      </w:r>
    </w:p>
    <w:p>
      <w:pPr>
        <w:pStyle w:val="BodyText"/>
        <w:spacing w:before="37"/>
        <w:ind w:left="533"/>
      </w:pPr>
      <w:r>
        <w:rPr/>
        <w:t>指经肾脏内科专科医生明确诊断为肾髓质囊性病，且须同时满足下列条件：</w:t>
      </w:r>
    </w:p>
    <w:p>
      <w:pPr>
        <w:pStyle w:val="BodyText"/>
        <w:spacing w:before="36"/>
        <w:ind w:left="533"/>
      </w:pPr>
      <w:r>
        <w:rPr/>
        <w:t>（</w:t>
      </w:r>
      <w:r>
        <w:rPr>
          <w:rFonts w:ascii="Times New Roman" w:eastAsia="Times New Roman"/>
        </w:rPr>
        <w:t>1</w:t>
      </w:r>
      <w:r>
        <w:rPr/>
        <w:t>）肾髓质有囊肿、肾小管萎缩及间质纤维化等病理改变；</w:t>
      </w:r>
    </w:p>
    <w:p>
      <w:pPr>
        <w:pStyle w:val="BodyText"/>
        <w:spacing w:before="20"/>
        <w:ind w:left="533"/>
      </w:pPr>
      <w:r>
        <w:rPr/>
        <w:t>（</w:t>
      </w:r>
      <w:r>
        <w:rPr>
          <w:rFonts w:ascii="Times New Roman" w:eastAsia="Times New Roman"/>
        </w:rPr>
        <w:t>2</w:t>
      </w:r>
      <w:r>
        <w:rPr/>
        <w:t>）贫血、多尿及肾功能衰竭等临床表现；</w:t>
      </w:r>
    </w:p>
    <w:p>
      <w:pPr>
        <w:spacing w:line="256" w:lineRule="auto" w:before="20"/>
        <w:ind w:left="535" w:right="6502" w:hanging="3"/>
        <w:jc w:val="left"/>
        <w:rPr>
          <w:b/>
          <w:sz w:val="21"/>
        </w:rPr>
      </w:pPr>
      <w:r>
        <w:rPr>
          <w:sz w:val="21"/>
        </w:rPr>
        <w:t>（</w:t>
      </w:r>
      <w:r>
        <w:rPr>
          <w:rFonts w:ascii="Times New Roman" w:eastAsia="Times New Roman"/>
          <w:sz w:val="21"/>
        </w:rPr>
        <w:t>3</w:t>
      </w:r>
      <w:r>
        <w:rPr>
          <w:sz w:val="21"/>
        </w:rPr>
        <w:t>）诊断须由肾组织活检确定。</w:t>
      </w:r>
      <w:r>
        <w:rPr>
          <w:b/>
          <w:sz w:val="21"/>
        </w:rPr>
        <w:t>五十三、严重慢性复发性胰腺炎</w:t>
      </w:r>
    </w:p>
    <w:p>
      <w:pPr>
        <w:spacing w:line="247" w:lineRule="auto" w:before="22"/>
        <w:ind w:left="112" w:right="326" w:firstLine="420"/>
        <w:jc w:val="left"/>
        <w:rPr>
          <w:rFonts w:ascii="黑体" w:eastAsia="黑体" w:hint="eastAsia"/>
          <w:sz w:val="24"/>
        </w:rPr>
      </w:pPr>
      <w:r>
        <w:rPr>
          <w:spacing w:val="-5"/>
          <w:sz w:val="21"/>
        </w:rPr>
        <w:t>胰腺炎反复发作超过三次以上并导致胰腺功能紊乱和营养不良，需要接受酶替代治疗。诊断必须由消化科专科医生确认并且有内窥镜逆行胰胆管造影所证实。</w:t>
      </w:r>
      <w:r>
        <w:rPr>
          <w:rFonts w:ascii="黑体" w:eastAsia="黑体" w:hint="eastAsia"/>
          <w:spacing w:val="-5"/>
          <w:sz w:val="24"/>
        </w:rPr>
        <w:t>因酒精所致的慢性复发性胰腺炎不在保障</w:t>
      </w:r>
    </w:p>
    <w:p>
      <w:pPr>
        <w:spacing w:after="0" w:line="247" w:lineRule="auto"/>
        <w:jc w:val="left"/>
        <w:rPr>
          <w:rFonts w:ascii="黑体" w:eastAsia="黑体" w:hint="eastAsia"/>
          <w:sz w:val="24"/>
        </w:rPr>
        <w:sectPr>
          <w:pgSz w:w="11910" w:h="16840"/>
          <w:pgMar w:header="228" w:footer="888" w:top="1200" w:bottom="1100" w:left="1020" w:right="800"/>
        </w:sectPr>
      </w:pPr>
    </w:p>
    <w:p>
      <w:pPr>
        <w:spacing w:line="288" w:lineRule="exact" w:before="0"/>
        <w:ind w:left="112" w:right="0" w:firstLine="0"/>
        <w:jc w:val="left"/>
        <w:rPr>
          <w:rFonts w:ascii="黑体" w:eastAsia="黑体" w:hint="eastAsia"/>
          <w:sz w:val="24"/>
        </w:rPr>
      </w:pPr>
      <w:r>
        <w:rPr>
          <w:rFonts w:ascii="黑体" w:eastAsia="黑体" w:hint="eastAsia"/>
          <w:sz w:val="24"/>
        </w:rPr>
        <w:t>范围内。</w:t>
      </w:r>
    </w:p>
    <w:p>
      <w:pPr>
        <w:pStyle w:val="Heading3"/>
        <w:spacing w:before="26"/>
      </w:pPr>
      <w:r>
        <w:rPr/>
        <w:t>五十四、进行性核上性麻痹</w:t>
      </w:r>
    </w:p>
    <w:p>
      <w:pPr>
        <w:pStyle w:val="BodyText"/>
        <w:spacing w:line="261" w:lineRule="auto" w:before="37"/>
        <w:ind w:right="206" w:firstLine="420"/>
        <w:jc w:val="both"/>
      </w:pPr>
      <w:r>
        <w:rPr>
          <w:spacing w:val="-11"/>
        </w:rPr>
        <w:t>进行性核上性麻痹</w:t>
      </w:r>
      <w:r>
        <w:rPr>
          <w:spacing w:val="-13"/>
        </w:rPr>
        <w:t>（</w:t>
      </w:r>
      <w:r>
        <w:rPr>
          <w:rFonts w:ascii="Times New Roman" w:eastAsia="Times New Roman"/>
          <w:spacing w:val="-13"/>
        </w:rPr>
        <w:t>PSP</w:t>
      </w:r>
      <w:r>
        <w:rPr>
          <w:spacing w:val="-13"/>
        </w:rPr>
        <w:t>）又称 </w:t>
      </w:r>
      <w:r>
        <w:rPr>
          <w:rFonts w:ascii="Times New Roman" w:eastAsia="Times New Roman"/>
        </w:rPr>
        <w:t>Steele-Rchardson-Olszewski </w:t>
      </w:r>
      <w:r>
        <w:rPr>
          <w:spacing w:val="-9"/>
        </w:rPr>
        <w:t>综合征，是一种少见的神经系统变性疾病， </w:t>
      </w:r>
      <w:r>
        <w:rPr>
          <w:spacing w:val="-20"/>
        </w:rPr>
        <w:t>以假球麻痹、垂直性核上性眼肌麻痹、锥体外系肌僵直、步态共济失调和轻度痴呆为主要临床特征。</w:t>
      </w:r>
      <w:r>
        <w:rPr>
          <w:rFonts w:ascii="Times New Roman" w:eastAsia="Times New Roman"/>
        </w:rPr>
        <w:t>PSP </w:t>
      </w:r>
      <w:r>
        <w:rPr/>
        <w:t>必</w:t>
      </w:r>
      <w:r>
        <w:rPr>
          <w:spacing w:val="-5"/>
        </w:rPr>
        <w:t>须由三级甲等医院的神经内科专科医生确诊，并且被保险人自主生活能力完全丧失，无法独立完成六项基</w:t>
      </w:r>
      <w:r>
        <w:rPr>
          <w:spacing w:val="-4"/>
        </w:rPr>
        <w:t>本日常生活活动中的三项或三项以上。</w:t>
      </w:r>
    </w:p>
    <w:p>
      <w:pPr>
        <w:pStyle w:val="BodyText"/>
        <w:spacing w:line="273" w:lineRule="auto" w:before="18"/>
        <w:ind w:right="206" w:firstLine="420"/>
        <w:jc w:val="both"/>
      </w:pPr>
      <w:r>
        <w:rPr>
          <w:spacing w:val="-6"/>
        </w:rPr>
        <w:t>注：六项基本日常生活活动包括：①穿衣：自己能够穿衣及脱衣；②移动：自己从一个房间到另一个</w:t>
      </w:r>
      <w:r>
        <w:rPr>
          <w:spacing w:val="-7"/>
        </w:rPr>
        <w:t>房间；③行动：自己上下床或上下轮椅；④如厕：自己控制进行大小便；⑤进食：自己从已准备好的碗或</w:t>
      </w:r>
      <w:r>
        <w:rPr>
          <w:spacing w:val="-3"/>
        </w:rPr>
        <w:t>碟中取食物放入口中；⑥洗澡：自己进行淋浴或盆浴。</w:t>
      </w:r>
    </w:p>
    <w:p>
      <w:pPr>
        <w:pStyle w:val="Heading3"/>
      </w:pPr>
      <w:r>
        <w:rPr/>
        <w:t>五十五、胰腺移植</w:t>
      </w:r>
    </w:p>
    <w:p>
      <w:pPr>
        <w:spacing w:line="237" w:lineRule="auto" w:before="12"/>
        <w:ind w:left="112" w:right="206" w:firstLine="420"/>
        <w:jc w:val="left"/>
        <w:rPr>
          <w:rFonts w:ascii="黑体" w:eastAsia="黑体" w:hint="eastAsia"/>
          <w:sz w:val="24"/>
        </w:rPr>
      </w:pPr>
      <w:r>
        <w:rPr>
          <w:spacing w:val="-6"/>
          <w:sz w:val="21"/>
        </w:rPr>
        <w:t>指因胰腺功能衰竭，已经实施了在全身麻醉下进行的胰腺的异体器官移植手术。</w:t>
      </w:r>
      <w:r>
        <w:rPr>
          <w:rFonts w:ascii="黑体" w:eastAsia="黑体" w:hint="eastAsia"/>
          <w:spacing w:val="-4"/>
          <w:sz w:val="24"/>
        </w:rPr>
        <w:t>单纯胰岛移植、部分胰腺组织或细胞的移植不在本保障范围内。</w:t>
      </w:r>
    </w:p>
    <w:p>
      <w:pPr>
        <w:pStyle w:val="Heading3"/>
        <w:spacing w:before="26"/>
      </w:pPr>
      <w:r>
        <w:rPr/>
        <w:t>五十六、严重自身免疫性肝炎</w:t>
      </w:r>
    </w:p>
    <w:p>
      <w:pPr>
        <w:pStyle w:val="BodyText"/>
        <w:spacing w:line="273" w:lineRule="auto" w:before="36"/>
        <w:ind w:right="206" w:firstLine="420"/>
        <w:jc w:val="both"/>
      </w:pPr>
      <w:r>
        <w:rPr>
          <w:spacing w:val="-5"/>
        </w:rPr>
        <w:t>自身免疫性肝炎是一种原因不明的慢性肝脏的坏死性炎性疾病，机体免疫机制被破坏，产生针对肝脏</w:t>
      </w:r>
      <w:r>
        <w:rPr>
          <w:spacing w:val="-7"/>
        </w:rPr>
        <w:t>自身抗原的抗体导致自身免疫反应，从而破坏肝细胞造成肝脏炎症坏死，进而发展为肝硬化。必须满足所</w:t>
      </w:r>
      <w:r>
        <w:rPr>
          <w:spacing w:val="-5"/>
        </w:rPr>
        <w:t>有以下条件：</w:t>
      </w:r>
    </w:p>
    <w:p>
      <w:pPr>
        <w:pStyle w:val="BodyText"/>
        <w:spacing w:before="7"/>
        <w:ind w:left="533"/>
      </w:pPr>
      <w:r>
        <w:rPr/>
        <w:t>（</w:t>
      </w:r>
      <w:r>
        <w:rPr>
          <w:rFonts w:ascii="Times New Roman" w:hAnsi="Times New Roman" w:eastAsia="Times New Roman"/>
        </w:rPr>
        <w:t>1</w:t>
      </w:r>
      <w:r>
        <w:rPr/>
        <w:t>）高</w:t>
      </w:r>
      <w:r>
        <w:rPr>
          <w:rFonts w:ascii="Arial" w:hAnsi="Arial" w:eastAsia="Arial"/>
        </w:rPr>
        <w:t>γ</w:t>
      </w:r>
      <w:r>
        <w:rPr>
          <w:rFonts w:ascii="Arial" w:hAnsi="Arial" w:eastAsia="Arial"/>
          <w:spacing w:val="51"/>
        </w:rPr>
        <w:t> </w:t>
      </w:r>
      <w:r>
        <w:rPr>
          <w:spacing w:val="-3"/>
        </w:rPr>
        <w:t>球蛋白血症；</w:t>
      </w:r>
    </w:p>
    <w:p>
      <w:pPr>
        <w:pStyle w:val="BodyText"/>
        <w:ind w:left="533"/>
        <w:rPr>
          <w:rFonts w:ascii="Times New Roman" w:eastAsia="Times New Roman"/>
        </w:rPr>
      </w:pPr>
      <w:r>
        <w:rPr/>
        <w:t>（</w:t>
      </w:r>
      <w:r>
        <w:rPr>
          <w:rFonts w:ascii="Times New Roman" w:eastAsia="Times New Roman"/>
        </w:rPr>
        <w:t>2</w:t>
      </w:r>
      <w:r>
        <w:rPr/>
        <w:t>）血液中存在高水平的自身免疫抗体，如 </w:t>
      </w:r>
      <w:r>
        <w:rPr>
          <w:rFonts w:ascii="Times New Roman" w:eastAsia="Times New Roman"/>
        </w:rPr>
        <w:t>ANA</w:t>
      </w:r>
      <w:r>
        <w:rPr/>
        <w:t>（抗核抗体</w:t>
      </w:r>
      <w:r>
        <w:rPr>
          <w:spacing w:val="-104"/>
        </w:rPr>
        <w:t>）</w:t>
      </w:r>
      <w:r>
        <w:rPr/>
        <w:t>、</w:t>
      </w:r>
      <w:r>
        <w:rPr>
          <w:rFonts w:ascii="Times New Roman" w:eastAsia="Times New Roman"/>
        </w:rPr>
        <w:t>SMA</w:t>
      </w:r>
      <w:r>
        <w:rPr/>
        <w:t>（</w:t>
      </w:r>
      <w:r>
        <w:rPr>
          <w:spacing w:val="-2"/>
        </w:rPr>
        <w:t>抗平滑肌抗体</w:t>
      </w:r>
      <w:r>
        <w:rPr>
          <w:spacing w:val="-104"/>
        </w:rPr>
        <w:t>）</w:t>
      </w:r>
      <w:r>
        <w:rPr>
          <w:spacing w:val="-2"/>
        </w:rPr>
        <w:t>、抗</w:t>
      </w:r>
      <w:r>
        <w:rPr>
          <w:rFonts w:ascii="Times New Roman" w:eastAsia="Times New Roman"/>
        </w:rPr>
        <w:t>-LKM-1</w:t>
      </w:r>
    </w:p>
    <w:p>
      <w:pPr>
        <w:pStyle w:val="BodyText"/>
      </w:pPr>
      <w:r>
        <w:rPr/>
        <w:t>抗体或抗</w:t>
      </w:r>
      <w:r>
        <w:rPr>
          <w:rFonts w:ascii="Times New Roman" w:eastAsia="Times New Roman"/>
        </w:rPr>
        <w:t>-SLA/LP </w:t>
      </w:r>
      <w:r>
        <w:rPr/>
        <w:t>抗体；</w:t>
      </w:r>
    </w:p>
    <w:p>
      <w:pPr>
        <w:pStyle w:val="BodyText"/>
        <w:ind w:left="533"/>
      </w:pPr>
      <w:r>
        <w:rPr/>
        <w:t>（</w:t>
      </w:r>
      <w:r>
        <w:rPr>
          <w:rFonts w:ascii="Times New Roman" w:eastAsia="Times New Roman"/>
        </w:rPr>
        <w:t>3</w:t>
      </w:r>
      <w:r>
        <w:rPr/>
        <w:t>）肝脏活检证实免疫性肝炎；</w:t>
      </w:r>
    </w:p>
    <w:p>
      <w:pPr>
        <w:spacing w:line="256" w:lineRule="auto" w:before="21"/>
        <w:ind w:left="535" w:right="3442" w:hanging="3"/>
        <w:jc w:val="left"/>
        <w:rPr>
          <w:b/>
          <w:sz w:val="21"/>
        </w:rPr>
      </w:pPr>
      <w:r>
        <w:rPr>
          <w:sz w:val="21"/>
        </w:rPr>
        <w:t>（</w:t>
      </w:r>
      <w:r>
        <w:rPr>
          <w:rFonts w:ascii="Times New Roman" w:eastAsia="Times New Roman"/>
          <w:sz w:val="21"/>
        </w:rPr>
        <w:t>4</w:t>
      </w:r>
      <w:r>
        <w:rPr>
          <w:sz w:val="21"/>
        </w:rPr>
        <w:t>）临床已经出现腹水、食道静脉曲张和脾肿大等肝硬化表现。</w:t>
      </w:r>
      <w:r>
        <w:rPr>
          <w:b/>
          <w:sz w:val="21"/>
        </w:rPr>
        <w:t>五十七、肌萎缩性（脊髓）侧索硬化症</w:t>
      </w:r>
    </w:p>
    <w:p>
      <w:pPr>
        <w:pStyle w:val="BodyText"/>
        <w:spacing w:line="273" w:lineRule="auto" w:before="23"/>
        <w:ind w:right="112" w:firstLine="420"/>
      </w:pPr>
      <w:r>
        <w:rPr>
          <w:spacing w:val="-6"/>
        </w:rPr>
        <w:t>是指持续的神经变性累及脊髓神经及脑干运动神经元，出现肌肉无力、挛缩、肌束颤动及萎缩症状和</w:t>
      </w:r>
      <w:r>
        <w:rPr>
          <w:spacing w:val="-4"/>
        </w:rPr>
        <w:t>体征。须经神经专科医师做出明确诊断，且疾病进行性发展已导致不可逆转的永久性神经系统功能障碍。</w:t>
      </w:r>
    </w:p>
    <w:p>
      <w:pPr>
        <w:pStyle w:val="BodyText"/>
        <w:spacing w:before="8"/>
        <w:ind w:left="533"/>
      </w:pPr>
      <w:r>
        <w:rPr/>
        <w:t>永久性神经系统功能障碍是指以下六项条件中的一项或一项以上：</w:t>
      </w:r>
    </w:p>
    <w:p>
      <w:pPr>
        <w:pStyle w:val="BodyText"/>
        <w:spacing w:before="37"/>
        <w:ind w:left="533"/>
      </w:pPr>
      <w:r>
        <w:rPr/>
        <w:t>（</w:t>
      </w:r>
      <w:r>
        <w:rPr>
          <w:rFonts w:ascii="Times New Roman" w:eastAsia="Times New Roman"/>
        </w:rPr>
        <w:t>1</w:t>
      </w:r>
      <w:r>
        <w:rPr/>
        <w:t>）一上肢或双上肢手腕以上部分的完全及永久瘫痪；</w:t>
      </w:r>
    </w:p>
    <w:p>
      <w:pPr>
        <w:pStyle w:val="BodyText"/>
        <w:ind w:left="533"/>
      </w:pPr>
      <w:r>
        <w:rPr/>
        <w:t>（</w:t>
      </w:r>
      <w:r>
        <w:rPr>
          <w:rFonts w:ascii="Times New Roman" w:eastAsia="Times New Roman"/>
        </w:rPr>
        <w:t>2</w:t>
      </w:r>
      <w:r>
        <w:rPr/>
        <w:t>）一下肢或双下肢足踝以上部分的完全及永久瘫痪；</w:t>
      </w:r>
    </w:p>
    <w:p>
      <w:pPr>
        <w:pStyle w:val="BodyText"/>
        <w:ind w:left="533"/>
      </w:pPr>
      <w:r>
        <w:rPr/>
        <w:t>（</w:t>
      </w:r>
      <w:r>
        <w:rPr>
          <w:rFonts w:ascii="Times New Roman" w:eastAsia="Times New Roman"/>
        </w:rPr>
        <w:t>3</w:t>
      </w:r>
      <w:r>
        <w:rPr/>
        <w:t>）四肢机能完全及永久丧失；</w:t>
      </w:r>
    </w:p>
    <w:p>
      <w:pPr>
        <w:pStyle w:val="BodyText"/>
        <w:ind w:left="533"/>
      </w:pPr>
      <w:r>
        <w:rPr/>
        <w:t>（</w:t>
      </w:r>
      <w:r>
        <w:rPr>
          <w:rFonts w:ascii="Times New Roman" w:eastAsia="Times New Roman"/>
        </w:rPr>
        <w:t>4</w:t>
      </w:r>
      <w:r>
        <w:rPr/>
        <w:t>）完全及永久丧失语言能力；</w:t>
      </w:r>
    </w:p>
    <w:p>
      <w:pPr>
        <w:pStyle w:val="BodyText"/>
        <w:ind w:left="533"/>
      </w:pPr>
      <w:r>
        <w:rPr>
          <w:w w:val="100"/>
        </w:rPr>
        <w:t>（</w:t>
      </w:r>
      <w:r>
        <w:rPr>
          <w:rFonts w:ascii="Times New Roman" w:eastAsia="Times New Roman"/>
          <w:w w:val="100"/>
        </w:rPr>
        <w:t>5</w:t>
      </w:r>
      <w:r>
        <w:rPr>
          <w:spacing w:val="-3"/>
          <w:w w:val="100"/>
        </w:rPr>
        <w:t>）完全及永久丧失吞咽能力（吞咽困难</w:t>
      </w:r>
      <w:r>
        <w:rPr>
          <w:spacing w:val="-106"/>
          <w:w w:val="100"/>
        </w:rPr>
        <w:t>）</w:t>
      </w:r>
      <w:r>
        <w:rPr>
          <w:spacing w:val="-3"/>
          <w:w w:val="100"/>
        </w:rPr>
        <w:t>，必须永久使用喂饲管；</w:t>
      </w:r>
    </w:p>
    <w:p>
      <w:pPr>
        <w:pStyle w:val="BodyText"/>
        <w:spacing w:line="256" w:lineRule="auto"/>
        <w:ind w:right="214" w:firstLine="420"/>
      </w:pPr>
      <w:r>
        <w:rPr/>
        <w:t>（</w:t>
      </w:r>
      <w:r>
        <w:rPr>
          <w:rFonts w:ascii="Times New Roman" w:eastAsia="Times New Roman"/>
        </w:rPr>
        <w:t>6</w:t>
      </w:r>
      <w:r>
        <w:rPr/>
        <w:t>）无法独立进行六项基本日常生活活动中三项或三项以上，且经过三个月的持续治疗后仍无法完成。</w:t>
      </w:r>
    </w:p>
    <w:p>
      <w:pPr>
        <w:pStyle w:val="BodyText"/>
        <w:spacing w:line="273" w:lineRule="auto" w:before="22"/>
        <w:ind w:right="206" w:firstLine="420"/>
        <w:jc w:val="both"/>
      </w:pPr>
      <w:r>
        <w:rPr>
          <w:spacing w:val="-6"/>
        </w:rPr>
        <w:t>注：六项基本日常生活活动包括：①穿衣：自己能够穿衣及脱衣；②移动：自己从一个房间到另一个</w:t>
      </w:r>
      <w:r>
        <w:rPr>
          <w:spacing w:val="-7"/>
        </w:rPr>
        <w:t>房间；③行动：自己上下床或上下轮椅；④如厕：自己控制进行大小便；⑤进食：自己从已准备好的碗或</w:t>
      </w:r>
      <w:r>
        <w:rPr>
          <w:spacing w:val="-3"/>
        </w:rPr>
        <w:t>碟中取食物放入口中；⑥洗澡：自己进行淋浴或盆浴。</w:t>
      </w:r>
    </w:p>
    <w:p>
      <w:pPr>
        <w:pStyle w:val="Heading3"/>
        <w:rPr>
          <w:rFonts w:ascii="Times New Roman" w:eastAsia="Times New Roman"/>
        </w:rPr>
      </w:pPr>
      <w:r>
        <w:rPr/>
        <w:t>五十八、肝豆状核变性</w:t>
      </w:r>
      <w:r>
        <w:rPr>
          <w:rFonts w:ascii="Times New Roman" w:eastAsia="Times New Roman"/>
        </w:rPr>
        <w:t>(Wilson </w:t>
      </w:r>
      <w:r>
        <w:rPr/>
        <w:t>病</w:t>
      </w:r>
      <w:r>
        <w:rPr>
          <w:rFonts w:ascii="Times New Roman" w:eastAsia="Times New Roman"/>
        </w:rPr>
        <w:t>)</w:t>
      </w:r>
    </w:p>
    <w:p>
      <w:pPr>
        <w:pStyle w:val="BodyText"/>
        <w:spacing w:line="273" w:lineRule="auto"/>
        <w:ind w:right="206" w:firstLine="420"/>
      </w:pPr>
      <w:r>
        <w:rPr>
          <w:spacing w:val="-5"/>
        </w:rPr>
        <w:t>指由于先天性铜代谢障碍所引起的一种疾病，其特点为肝硬化与双侧脑基底神经节变性同时存在，且</w:t>
      </w:r>
      <w:r>
        <w:rPr>
          <w:spacing w:val="-4"/>
        </w:rPr>
        <w:t>须经专科医生明确诊断，并同时必须具备下列情况：</w:t>
      </w:r>
    </w:p>
    <w:p>
      <w:pPr>
        <w:pStyle w:val="BodyText"/>
        <w:spacing w:before="7"/>
        <w:ind w:left="533"/>
      </w:pPr>
      <w:r>
        <w:rPr/>
        <w:t>（</w:t>
      </w:r>
      <w:r>
        <w:rPr>
          <w:rFonts w:ascii="Times New Roman" w:eastAsia="Times New Roman"/>
        </w:rPr>
        <w:t>1</w:t>
      </w:r>
      <w:r>
        <w:rPr/>
        <w:t>）临床表现包括：进行性加剧的肢体震颤，肌强直，吞咽及发音困难，精神异常；</w:t>
      </w:r>
    </w:p>
    <w:p>
      <w:pPr>
        <w:pStyle w:val="BodyText"/>
        <w:spacing w:before="20"/>
        <w:ind w:left="533"/>
      </w:pPr>
      <w:r>
        <w:rPr>
          <w:w w:val="100"/>
        </w:rPr>
        <w:t>（</w:t>
      </w:r>
      <w:r>
        <w:rPr>
          <w:rFonts w:ascii="Times New Roman" w:eastAsia="Times New Roman"/>
          <w:w w:val="100"/>
        </w:rPr>
        <w:t>2</w:t>
      </w:r>
      <w:r>
        <w:rPr>
          <w:spacing w:val="-3"/>
          <w:w w:val="100"/>
        </w:rPr>
        <w:t>）角膜色素环</w:t>
      </w:r>
      <w:r>
        <w:rPr>
          <w:spacing w:val="-1"/>
          <w:w w:val="100"/>
        </w:rPr>
        <w:t>（</w:t>
      </w:r>
      <w:r>
        <w:rPr>
          <w:rFonts w:ascii="Times New Roman" w:eastAsia="Times New Roman"/>
          <w:spacing w:val="-4"/>
          <w:w w:val="100"/>
        </w:rPr>
        <w:t>K</w:t>
      </w:r>
      <w:r>
        <w:rPr>
          <w:rFonts w:ascii="Times New Roman" w:eastAsia="Times New Roman"/>
          <w:spacing w:val="-1"/>
          <w:w w:val="100"/>
        </w:rPr>
        <w:t>-</w:t>
      </w:r>
      <w:r>
        <w:rPr>
          <w:rFonts w:ascii="Times New Roman" w:eastAsia="Times New Roman"/>
          <w:w w:val="100"/>
        </w:rPr>
        <w:t>F</w:t>
      </w:r>
      <w:r>
        <w:rPr>
          <w:rFonts w:ascii="Times New Roman" w:eastAsia="Times New Roman"/>
          <w:spacing w:val="-5"/>
        </w:rPr>
        <w:t> </w:t>
      </w:r>
      <w:r>
        <w:rPr>
          <w:spacing w:val="1"/>
          <w:w w:val="100"/>
        </w:rPr>
        <w:t>环</w:t>
      </w:r>
      <w:r>
        <w:rPr>
          <w:spacing w:val="-106"/>
          <w:w w:val="100"/>
        </w:rPr>
        <w:t>）</w:t>
      </w:r>
      <w:r>
        <w:rPr>
          <w:w w:val="100"/>
        </w:rPr>
        <w:t>；</w:t>
      </w:r>
    </w:p>
    <w:p>
      <w:pPr>
        <w:pStyle w:val="BodyText"/>
        <w:spacing w:before="20"/>
        <w:ind w:left="533"/>
      </w:pPr>
      <w:r>
        <w:rPr/>
        <w:t>（</w:t>
      </w:r>
      <w:r>
        <w:rPr>
          <w:rFonts w:ascii="Times New Roman" w:eastAsia="Times New Roman"/>
        </w:rPr>
        <w:t>3</w:t>
      </w:r>
      <w:r>
        <w:rPr/>
        <w:t>）血清铜和血清铜蓝蛋白降低，尿铜增加；</w:t>
      </w:r>
    </w:p>
    <w:p>
      <w:pPr>
        <w:pStyle w:val="BodyText"/>
        <w:spacing w:before="20"/>
        <w:ind w:left="533"/>
      </w:pPr>
      <w:r>
        <w:rPr/>
        <w:t>（</w:t>
      </w:r>
      <w:r>
        <w:rPr>
          <w:rFonts w:ascii="Times New Roman" w:eastAsia="Times New Roman"/>
        </w:rPr>
        <w:t>4</w:t>
      </w:r>
      <w:r>
        <w:rPr/>
        <w:t>）食管静脉曲张；</w:t>
      </w:r>
    </w:p>
    <w:p>
      <w:pPr>
        <w:pStyle w:val="BodyText"/>
        <w:spacing w:before="20"/>
        <w:ind w:left="533"/>
      </w:pPr>
      <w:r>
        <w:rPr/>
        <w:t>（</w:t>
      </w:r>
      <w:r>
        <w:rPr>
          <w:rFonts w:ascii="Times New Roman" w:eastAsia="Times New Roman"/>
        </w:rPr>
        <w:t>5</w:t>
      </w:r>
      <w:r>
        <w:rPr/>
        <w:t>）腹水。</w:t>
      </w:r>
    </w:p>
    <w:p>
      <w:pPr>
        <w:pStyle w:val="Heading3"/>
        <w:spacing w:before="21"/>
      </w:pPr>
      <w:r>
        <w:rPr/>
        <w:t>五十九、严重哮喘</w:t>
      </w:r>
    </w:p>
    <w:p>
      <w:pPr>
        <w:pStyle w:val="BodyText"/>
        <w:spacing w:before="37"/>
        <w:ind w:left="533"/>
      </w:pPr>
      <w:r>
        <w:rPr>
          <w:spacing w:val="-8"/>
        </w:rPr>
        <w:t>被保险人必须在过去两年内曾发生哮喘持续状态，并符合以下其中两项标准，本公司才承担保险责任：</w:t>
      </w:r>
    </w:p>
    <w:p>
      <w:pPr>
        <w:pStyle w:val="BodyText"/>
        <w:spacing w:before="37"/>
        <w:ind w:left="533"/>
      </w:pPr>
      <w:r>
        <w:rPr/>
        <w:t>（</w:t>
      </w:r>
      <w:r>
        <w:rPr>
          <w:rFonts w:ascii="Times New Roman" w:eastAsia="Times New Roman"/>
        </w:rPr>
        <w:t>1</w:t>
      </w:r>
      <w:r>
        <w:rPr/>
        <w:t>）运动耐受力永久并持续地减少且轻微的运动能引起气促；</w:t>
      </w:r>
    </w:p>
    <w:p>
      <w:pPr>
        <w:spacing w:after="0"/>
        <w:sectPr>
          <w:pgSz w:w="11910" w:h="16840"/>
          <w:pgMar w:header="228" w:footer="888" w:top="1200" w:bottom="1100" w:left="1020" w:right="920"/>
        </w:sectPr>
      </w:pPr>
    </w:p>
    <w:p>
      <w:pPr>
        <w:pStyle w:val="BodyText"/>
        <w:spacing w:before="1"/>
        <w:ind w:left="533"/>
      </w:pPr>
      <w:r>
        <w:rPr/>
        <w:t>（</w:t>
      </w:r>
      <w:r>
        <w:rPr>
          <w:rFonts w:ascii="Times New Roman" w:eastAsia="Times New Roman"/>
        </w:rPr>
        <w:t>2</w:t>
      </w:r>
      <w:r>
        <w:rPr/>
        <w:t>）长期胸腔过度膨胀而导致胸腔畸形；</w:t>
      </w:r>
    </w:p>
    <w:p>
      <w:pPr>
        <w:pStyle w:val="BodyText"/>
        <w:ind w:left="533"/>
      </w:pPr>
      <w:r>
        <w:rPr/>
        <w:t>（</w:t>
      </w:r>
      <w:r>
        <w:rPr>
          <w:rFonts w:ascii="Times New Roman" w:eastAsia="Times New Roman"/>
        </w:rPr>
        <w:t>3</w:t>
      </w:r>
      <w:r>
        <w:rPr/>
        <w:t>）在家及在静息状态下需要吸氧；</w:t>
      </w:r>
    </w:p>
    <w:p>
      <w:pPr>
        <w:spacing w:line="256" w:lineRule="auto" w:before="21"/>
        <w:ind w:left="535" w:right="4143" w:hanging="3"/>
        <w:jc w:val="left"/>
        <w:rPr>
          <w:b/>
          <w:sz w:val="21"/>
        </w:rPr>
      </w:pPr>
      <w:r>
        <w:rPr>
          <w:sz w:val="21"/>
        </w:rPr>
        <w:t>（</w:t>
      </w:r>
      <w:r>
        <w:rPr>
          <w:rFonts w:ascii="Times New Roman" w:eastAsia="Times New Roman"/>
          <w:sz w:val="21"/>
        </w:rPr>
        <w:t>4</w:t>
      </w:r>
      <w:r>
        <w:rPr>
          <w:sz w:val="21"/>
        </w:rPr>
        <w:t>）持续的每天服用类固醇药物</w:t>
      </w:r>
      <w:r>
        <w:rPr>
          <w:rFonts w:ascii="Times New Roman" w:eastAsia="Times New Roman"/>
          <w:sz w:val="21"/>
        </w:rPr>
        <w:t>(</w:t>
      </w:r>
      <w:r>
        <w:rPr>
          <w:sz w:val="21"/>
        </w:rPr>
        <w:t>至少持续六个月以上</w:t>
      </w:r>
      <w:r>
        <w:rPr>
          <w:rFonts w:ascii="Times New Roman" w:eastAsia="Times New Roman"/>
          <w:sz w:val="21"/>
        </w:rPr>
        <w:t>)</w:t>
      </w:r>
      <w:r>
        <w:rPr>
          <w:sz w:val="21"/>
        </w:rPr>
        <w:t>。</w:t>
      </w:r>
      <w:r>
        <w:rPr>
          <w:b/>
          <w:sz w:val="21"/>
        </w:rPr>
        <w:t>六十、溶血性链球菌引起的坏疽</w:t>
      </w:r>
    </w:p>
    <w:p>
      <w:pPr>
        <w:pStyle w:val="BodyText"/>
        <w:spacing w:line="256" w:lineRule="auto" w:before="22"/>
        <w:ind w:right="206" w:firstLine="420"/>
      </w:pPr>
      <w:r>
        <w:rPr>
          <w:spacing w:val="-3"/>
        </w:rPr>
        <w:t>包围肢体或躯干的浅筋膜和</w:t>
      </w:r>
      <w:r>
        <w:rPr>
          <w:rFonts w:ascii="Times New Roman" w:eastAsia="Times New Roman"/>
        </w:rPr>
        <w:t>/</w:t>
      </w:r>
      <w:r>
        <w:rPr>
          <w:spacing w:val="-8"/>
        </w:rPr>
        <w:t>或深筋膜受到溶血性链球菌的感染，病情在短时间内急剧恶化，必须立刻</w:t>
      </w:r>
      <w:r>
        <w:rPr>
          <w:spacing w:val="-5"/>
        </w:rPr>
        <w:t>进行手术及清创术。最后的诊断必须由微生物或病理学专家进行相关检查后证实。</w:t>
      </w:r>
    </w:p>
    <w:p>
      <w:pPr>
        <w:pStyle w:val="Heading3"/>
        <w:spacing w:before="22"/>
      </w:pPr>
      <w:r>
        <w:rPr/>
        <w:t>六十一、颅脑手术</w:t>
      </w:r>
    </w:p>
    <w:p>
      <w:pPr>
        <w:spacing w:line="237" w:lineRule="auto" w:before="12"/>
        <w:ind w:left="112" w:right="206" w:firstLine="420"/>
        <w:jc w:val="left"/>
        <w:rPr>
          <w:sz w:val="21"/>
        </w:rPr>
      </w:pPr>
      <w:r>
        <w:rPr>
          <w:sz w:val="21"/>
        </w:rPr>
        <w:t>被保险人确已实施全麻下的开颅手术（不包括颅骨钻孔手术和经鼻蝶窦入颅手术</w:t>
      </w:r>
      <w:r>
        <w:rPr>
          <w:spacing w:val="-104"/>
          <w:sz w:val="21"/>
        </w:rPr>
        <w:t>）</w:t>
      </w:r>
      <w:r>
        <w:rPr>
          <w:spacing w:val="10"/>
          <w:sz w:val="21"/>
        </w:rPr>
        <w:t>。</w:t>
      </w:r>
      <w:r>
        <w:rPr>
          <w:rFonts w:ascii="黑体" w:eastAsia="黑体" w:hint="eastAsia"/>
          <w:sz w:val="24"/>
        </w:rPr>
        <w:t>因外伤而实施的脑外科手术不在保障范围之内。</w:t>
      </w:r>
      <w:r>
        <w:rPr>
          <w:spacing w:val="-3"/>
          <w:sz w:val="21"/>
        </w:rPr>
        <w:t>理赔时必须提供由神经外科医生出具的诊断书及手术报告。</w:t>
      </w:r>
    </w:p>
    <w:p>
      <w:pPr>
        <w:pStyle w:val="Heading3"/>
        <w:spacing w:before="25"/>
        <w:rPr>
          <w:rFonts w:ascii="Times New Roman" w:eastAsia="Times New Roman"/>
        </w:rPr>
      </w:pPr>
      <w:r>
        <w:rPr/>
        <w:t>六十二、侵蚀性葡萄胎</w:t>
      </w:r>
      <w:r>
        <w:rPr>
          <w:rFonts w:ascii="Times New Roman" w:eastAsia="Times New Roman"/>
        </w:rPr>
        <w:t>(</w:t>
      </w:r>
      <w:r>
        <w:rPr/>
        <w:t>或称恶性葡萄胎 </w:t>
      </w:r>
      <w:r>
        <w:rPr>
          <w:rFonts w:ascii="Times New Roman" w:eastAsia="Times New Roman"/>
        </w:rPr>
        <w:t>)</w:t>
      </w:r>
    </w:p>
    <w:p>
      <w:pPr>
        <w:pStyle w:val="BodyText"/>
        <w:spacing w:line="273" w:lineRule="auto"/>
        <w:ind w:right="181" w:firstLine="420"/>
      </w:pPr>
      <w:r>
        <w:rPr/>
        <w:t>该类疾病是指异常增生的绒毛组织浸润性生长侵入子宫肌层或转移至其他器官或组织的葡萄胎，并已经进行化疗或手术治疗的。</w:t>
      </w:r>
    </w:p>
    <w:p>
      <w:pPr>
        <w:pStyle w:val="Heading3"/>
        <w:spacing w:before="8"/>
      </w:pPr>
      <w:r>
        <w:rPr/>
        <w:t>六十三、破裂脑动脉瘤夹闭手术</w:t>
      </w:r>
    </w:p>
    <w:p>
      <w:pPr>
        <w:spacing w:line="242" w:lineRule="auto" w:before="37"/>
        <w:ind w:left="112" w:right="110" w:firstLine="420"/>
        <w:jc w:val="left"/>
        <w:rPr>
          <w:rFonts w:ascii="黑体" w:eastAsia="黑体" w:hint="eastAsia"/>
          <w:sz w:val="24"/>
        </w:rPr>
      </w:pPr>
      <w:r>
        <w:rPr>
          <w:sz w:val="21"/>
        </w:rPr>
        <w:t>指因脑动脉瘤破裂造成蛛网膜下腔出血，被保险人实际接受了在全麻下进行的开颅动脉瘤夹闭手术。</w:t>
      </w:r>
      <w:r>
        <w:rPr>
          <w:rFonts w:ascii="黑体" w:eastAsia="黑体" w:hint="eastAsia"/>
          <w:sz w:val="24"/>
        </w:rPr>
        <w:t>脑动脉瘤（未破裂）预防性手术、颅骨打孔手术、动脉瘤栓塞手术、血管内手术及其他颅脑手术不在本保障范围内。</w:t>
      </w:r>
    </w:p>
    <w:p>
      <w:pPr>
        <w:pStyle w:val="Heading3"/>
        <w:spacing w:before="23"/>
      </w:pPr>
      <w:r>
        <w:rPr/>
        <w:t>六十四、疾病或外伤所致智力障碍</w:t>
      </w:r>
    </w:p>
    <w:p>
      <w:pPr>
        <w:pStyle w:val="BodyText"/>
        <w:spacing w:before="36"/>
        <w:ind w:left="533"/>
      </w:pPr>
      <w:r>
        <w:rPr>
          <w:spacing w:val="-4"/>
          <w:w w:val="100"/>
        </w:rPr>
        <w:t>因严重头部创伤或疾病造成被保险人智力低常</w:t>
      </w:r>
      <w:r>
        <w:rPr>
          <w:spacing w:val="-3"/>
          <w:w w:val="100"/>
        </w:rPr>
        <w:t>（智力低于常态</w:t>
      </w:r>
      <w:r>
        <w:rPr>
          <w:spacing w:val="-108"/>
          <w:w w:val="100"/>
        </w:rPr>
        <w:t>）</w:t>
      </w:r>
      <w:r>
        <w:rPr>
          <w:spacing w:val="-6"/>
          <w:w w:val="100"/>
        </w:rPr>
        <w:t>。根据智商</w:t>
      </w:r>
      <w:r>
        <w:rPr>
          <w:spacing w:val="-3"/>
          <w:w w:val="100"/>
        </w:rPr>
        <w:t>（</w:t>
      </w:r>
      <w:r>
        <w:rPr>
          <w:rFonts w:ascii="Times New Roman" w:eastAsia="Times New Roman"/>
          <w:spacing w:val="-4"/>
          <w:w w:val="100"/>
        </w:rPr>
        <w:t>I</w:t>
      </w:r>
      <w:r>
        <w:rPr>
          <w:rFonts w:ascii="Times New Roman" w:eastAsia="Times New Roman"/>
          <w:spacing w:val="0"/>
          <w:w w:val="100"/>
        </w:rPr>
        <w:t>Q</w:t>
      </w:r>
      <w:r>
        <w:rPr>
          <w:spacing w:val="-106"/>
          <w:w w:val="100"/>
        </w:rPr>
        <w:t>）</w:t>
      </w:r>
      <w:r>
        <w:rPr>
          <w:spacing w:val="-4"/>
          <w:w w:val="100"/>
        </w:rPr>
        <w:t>，智力低常分为轻度</w:t>
      </w:r>
    </w:p>
    <w:p>
      <w:pPr>
        <w:pStyle w:val="BodyText"/>
        <w:spacing w:line="264" w:lineRule="auto" w:before="20"/>
        <w:ind w:right="206"/>
        <w:jc w:val="both"/>
      </w:pPr>
      <w:r>
        <w:rPr>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w w:val="100"/>
        </w:rPr>
        <w:t>50</w:t>
      </w:r>
      <w:r>
        <w:rPr>
          <w:rFonts w:ascii="Times New Roman" w:eastAsia="Times New Roman"/>
          <w:spacing w:val="-4"/>
          <w:w w:val="100"/>
        </w:rPr>
        <w:t>-</w:t>
      </w:r>
      <w:r>
        <w:rPr>
          <w:rFonts w:ascii="Times New Roman" w:eastAsia="Times New Roman"/>
          <w:w w:val="100"/>
        </w:rPr>
        <w:t>7</w:t>
      </w:r>
      <w:r>
        <w:rPr>
          <w:rFonts w:ascii="Times New Roman" w:eastAsia="Times New Roman"/>
          <w:spacing w:val="-1"/>
          <w:w w:val="100"/>
        </w:rPr>
        <w:t>0</w:t>
      </w:r>
      <w:r>
        <w:rPr>
          <w:spacing w:val="-106"/>
          <w:w w:val="100"/>
        </w:rPr>
        <w:t>）</w:t>
      </w:r>
      <w:r>
        <w:rPr>
          <w:spacing w:val="-10"/>
          <w:w w:val="100"/>
        </w:rPr>
        <w:t>；中度</w:t>
      </w:r>
      <w:r>
        <w:rPr>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w w:val="100"/>
        </w:rPr>
        <w:t>35</w:t>
      </w:r>
      <w:r>
        <w:rPr>
          <w:rFonts w:ascii="Times New Roman" w:eastAsia="Times New Roman"/>
          <w:spacing w:val="-4"/>
          <w:w w:val="100"/>
        </w:rPr>
        <w:t>-</w:t>
      </w:r>
      <w:r>
        <w:rPr>
          <w:rFonts w:ascii="Times New Roman" w:eastAsia="Times New Roman"/>
          <w:w w:val="100"/>
        </w:rPr>
        <w:t>50</w:t>
      </w:r>
      <w:r>
        <w:rPr>
          <w:spacing w:val="-106"/>
          <w:w w:val="100"/>
        </w:rPr>
        <w:t>）</w:t>
      </w:r>
      <w:r>
        <w:rPr>
          <w:spacing w:val="-10"/>
          <w:w w:val="100"/>
        </w:rPr>
        <w:t>；重度</w:t>
      </w:r>
      <w:r>
        <w:rPr>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w w:val="100"/>
        </w:rPr>
        <w:t>20</w:t>
      </w:r>
      <w:r>
        <w:rPr>
          <w:rFonts w:ascii="Times New Roman" w:eastAsia="Times New Roman"/>
          <w:spacing w:val="-4"/>
          <w:w w:val="100"/>
        </w:rPr>
        <w:t>-</w:t>
      </w:r>
      <w:r>
        <w:rPr>
          <w:rFonts w:ascii="Times New Roman" w:eastAsia="Times New Roman"/>
          <w:w w:val="100"/>
        </w:rPr>
        <w:t>35</w:t>
      </w:r>
      <w:r>
        <w:rPr>
          <w:spacing w:val="-15"/>
          <w:w w:val="100"/>
        </w:rPr>
        <w:t>）</w:t>
      </w:r>
      <w:r>
        <w:rPr>
          <w:spacing w:val="-5"/>
          <w:w w:val="100"/>
        </w:rPr>
        <w:t>和极重度</w:t>
      </w:r>
      <w:r>
        <w:rPr>
          <w:w w:val="100"/>
        </w:rPr>
        <w:t>（</w:t>
      </w:r>
      <w:r>
        <w:rPr>
          <w:rFonts w:ascii="Times New Roman" w:eastAsia="Times New Roman"/>
          <w:spacing w:val="-4"/>
          <w:w w:val="100"/>
        </w:rPr>
        <w:t>I</w:t>
      </w:r>
      <w:r>
        <w:rPr>
          <w:rFonts w:ascii="Times New Roman" w:eastAsia="Times New Roman"/>
          <w:spacing w:val="-2"/>
          <w:w w:val="100"/>
        </w:rPr>
        <w:t>Q</w:t>
      </w:r>
      <w:r>
        <w:rPr>
          <w:rFonts w:ascii="Times New Roman" w:eastAsia="Times New Roman"/>
          <w:w w:val="100"/>
        </w:rPr>
        <w:t>&lt;20</w:t>
      </w:r>
      <w:r>
        <w:rPr>
          <w:spacing w:val="-108"/>
          <w:w w:val="100"/>
        </w:rPr>
        <w:t>）</w:t>
      </w:r>
      <w:r>
        <w:rPr>
          <w:spacing w:val="-5"/>
          <w:w w:val="100"/>
        </w:rPr>
        <w:t>。智商的检测必须由我们认可的专职心</w:t>
      </w:r>
      <w:r>
        <w:rPr>
          <w:spacing w:val="-7"/>
        </w:rPr>
        <w:t>理测验工作者进行，心理测验工作者必须持有由心理测量专业委员会资格认定书。根据被保险人年龄采用</w:t>
      </w:r>
      <w:r>
        <w:rPr>
          <w:spacing w:val="-5"/>
        </w:rPr>
        <w:t>对应的智力量表如韦克斯勒智力量表</w:t>
      </w:r>
      <w:r>
        <w:rPr/>
        <w:t>（</w:t>
      </w:r>
      <w:r>
        <w:rPr>
          <w:spacing w:val="-3"/>
        </w:rPr>
        <w:t>儿童智力量表或成人智力量表</w:t>
      </w:r>
      <w:r>
        <w:rPr>
          <w:spacing w:val="-108"/>
        </w:rPr>
        <w:t>）</w:t>
      </w:r>
      <w:r>
        <w:rPr>
          <w:spacing w:val="-3"/>
        </w:rPr>
        <w:t>。理赔时必须满足下列全部条件：</w:t>
      </w:r>
    </w:p>
    <w:p>
      <w:pPr>
        <w:pStyle w:val="BodyText"/>
        <w:spacing w:line="256" w:lineRule="auto" w:before="15"/>
        <w:ind w:right="216" w:firstLine="420"/>
      </w:pPr>
      <w:r>
        <w:rPr/>
        <w:t>（</w:t>
      </w:r>
      <w:r>
        <w:rPr>
          <w:rFonts w:ascii="Times New Roman" w:eastAsia="Times New Roman"/>
        </w:rPr>
        <w:t>1</w:t>
      </w:r>
      <w:r>
        <w:rPr/>
        <w:t>）造成被保险人智力低常（智力低于常态）的严重头部创伤或疾病（以入院日期为准）发生在被保险人 </w:t>
      </w:r>
      <w:r>
        <w:rPr>
          <w:rFonts w:ascii="Times New Roman" w:eastAsia="Times New Roman"/>
        </w:rPr>
        <w:t>6 </w:t>
      </w:r>
      <w:r>
        <w:rPr/>
        <w:t>周岁以后；</w:t>
      </w:r>
    </w:p>
    <w:p>
      <w:pPr>
        <w:pStyle w:val="BodyText"/>
        <w:spacing w:before="4"/>
        <w:ind w:left="533"/>
      </w:pPr>
      <w:r>
        <w:rPr/>
        <w:t>（</w:t>
      </w:r>
      <w:r>
        <w:rPr>
          <w:rFonts w:ascii="Times New Roman" w:eastAsia="Times New Roman"/>
        </w:rPr>
        <w:t>2</w:t>
      </w:r>
      <w:r>
        <w:rPr/>
        <w:t>）专科医师确诊被保险人由于严重头部创伤或疾病造成智力低常；</w:t>
      </w:r>
    </w:p>
    <w:p>
      <w:pPr>
        <w:pStyle w:val="BodyText"/>
        <w:spacing w:line="256" w:lineRule="auto"/>
        <w:ind w:right="212" w:firstLine="420"/>
      </w:pPr>
      <w:r>
        <w:rPr/>
        <w:t>（</w:t>
      </w:r>
      <w:r>
        <w:rPr>
          <w:rFonts w:ascii="Times New Roman" w:eastAsia="Times New Roman"/>
        </w:rPr>
        <w:t>3</w:t>
      </w:r>
      <w:r>
        <w:rPr/>
        <w:t>）专职合格心理检测工作者适时做的心理检测证实被保险人智力低常（轻度、中度、重度或极重</w:t>
      </w:r>
      <w:r>
        <w:rPr>
          <w:w w:val="100"/>
        </w:rPr>
        <w:t>度</w:t>
      </w:r>
      <w:r>
        <w:rPr>
          <w:spacing w:val="-106"/>
          <w:w w:val="100"/>
        </w:rPr>
        <w:t>）</w:t>
      </w:r>
      <w:r>
        <w:rPr>
          <w:w w:val="100"/>
        </w:rPr>
        <w:t>；</w:t>
      </w:r>
    </w:p>
    <w:p>
      <w:pPr>
        <w:spacing w:line="256" w:lineRule="auto" w:before="22"/>
        <w:ind w:left="535" w:right="4220" w:hanging="3"/>
        <w:jc w:val="left"/>
        <w:rPr>
          <w:b/>
          <w:sz w:val="21"/>
        </w:rPr>
      </w:pPr>
      <w:r>
        <w:rPr>
          <w:sz w:val="21"/>
        </w:rPr>
        <w:t>（</w:t>
      </w:r>
      <w:r>
        <w:rPr>
          <w:rFonts w:ascii="Times New Roman" w:eastAsia="Times New Roman"/>
          <w:sz w:val="21"/>
        </w:rPr>
        <w:t>4</w:t>
      </w:r>
      <w:r>
        <w:rPr>
          <w:sz w:val="21"/>
        </w:rPr>
        <w:t>）被保险人的智力低常自确认日起持续 </w:t>
      </w:r>
      <w:r>
        <w:rPr>
          <w:rFonts w:ascii="Times New Roman" w:eastAsia="Times New Roman"/>
          <w:sz w:val="21"/>
        </w:rPr>
        <w:t>180 </w:t>
      </w:r>
      <w:r>
        <w:rPr>
          <w:sz w:val="21"/>
        </w:rPr>
        <w:t>天以上。</w:t>
      </w:r>
      <w:r>
        <w:rPr>
          <w:b/>
          <w:sz w:val="21"/>
        </w:rPr>
        <w:t>六十五、主动脉夹层血肿手术</w:t>
      </w:r>
    </w:p>
    <w:p>
      <w:pPr>
        <w:pStyle w:val="BodyText"/>
        <w:spacing w:line="264" w:lineRule="auto" w:before="22"/>
        <w:ind w:right="206" w:firstLine="420"/>
        <w:jc w:val="both"/>
      </w:pPr>
      <w:r>
        <w:rPr>
          <w:spacing w:val="-6"/>
        </w:rPr>
        <w:t>是指主动脉壁在受到某些病理因素的破坏后，高速、高压的主动脉血流将其内膜撕裂，以致主动脉腔</w:t>
      </w:r>
      <w:r>
        <w:rPr>
          <w:spacing w:val="-5"/>
          <w:w w:val="100"/>
        </w:rPr>
        <w:t>内的血流通过主动脉内膜的破裂口进入主动脉内壁而形成血肿。被保险人需通过断层扫描</w:t>
      </w:r>
      <w:r>
        <w:rPr>
          <w:spacing w:val="0"/>
          <w:w w:val="100"/>
        </w:rPr>
        <w:t>（</w:t>
      </w:r>
      <w:r>
        <w:rPr>
          <w:rFonts w:ascii="Times New Roman" w:eastAsia="Times New Roman"/>
          <w:spacing w:val="-2"/>
          <w:w w:val="100"/>
        </w:rPr>
        <w:t>C</w:t>
      </w:r>
      <w:r>
        <w:rPr>
          <w:rFonts w:ascii="Times New Roman" w:eastAsia="Times New Roman"/>
          <w:w w:val="100"/>
        </w:rPr>
        <w:t>T</w:t>
      </w:r>
      <w:r>
        <w:rPr>
          <w:spacing w:val="-106"/>
          <w:w w:val="100"/>
        </w:rPr>
        <w:t>）</w:t>
      </w:r>
      <w:r>
        <w:rPr>
          <w:spacing w:val="-2"/>
          <w:w w:val="100"/>
        </w:rPr>
        <w:t>、核磁共</w:t>
      </w:r>
      <w:r>
        <w:rPr>
          <w:spacing w:val="-13"/>
          <w:w w:val="100"/>
        </w:rPr>
        <w:t>振检查</w:t>
      </w:r>
      <w:r>
        <w:rPr>
          <w:spacing w:val="-2"/>
          <w:w w:val="100"/>
        </w:rPr>
        <w:t>（</w:t>
      </w:r>
      <w:r>
        <w:rPr>
          <w:rFonts w:ascii="Times New Roman" w:eastAsia="Times New Roman"/>
          <w:w w:val="100"/>
        </w:rPr>
        <w:t>MR</w:t>
      </w:r>
      <w:r>
        <w:rPr>
          <w:rFonts w:ascii="Times New Roman" w:eastAsia="Times New Roman"/>
          <w:spacing w:val="-4"/>
          <w:w w:val="100"/>
        </w:rPr>
        <w:t>I</w:t>
      </w:r>
      <w:r>
        <w:rPr>
          <w:spacing w:val="-106"/>
          <w:w w:val="100"/>
        </w:rPr>
        <w:t>）</w:t>
      </w:r>
      <w:r>
        <w:rPr>
          <w:spacing w:val="-10"/>
          <w:w w:val="100"/>
        </w:rPr>
        <w:t>、磁共振血管检验法</w:t>
      </w:r>
      <w:r>
        <w:rPr>
          <w:w w:val="100"/>
        </w:rPr>
        <w:t>（</w:t>
      </w:r>
      <w:r>
        <w:rPr>
          <w:rFonts w:ascii="Times New Roman" w:eastAsia="Times New Roman"/>
          <w:spacing w:val="-3"/>
          <w:w w:val="100"/>
        </w:rPr>
        <w:t>M</w:t>
      </w:r>
      <w:r>
        <w:rPr>
          <w:rFonts w:ascii="Times New Roman" w:eastAsia="Times New Roman"/>
          <w:spacing w:val="-2"/>
          <w:w w:val="100"/>
        </w:rPr>
        <w:t>R</w:t>
      </w:r>
      <w:r>
        <w:rPr>
          <w:rFonts w:ascii="Times New Roman" w:eastAsia="Times New Roman"/>
          <w:spacing w:val="0"/>
          <w:w w:val="100"/>
        </w:rPr>
        <w:t>A</w:t>
      </w:r>
      <w:r>
        <w:rPr>
          <w:spacing w:val="-34"/>
          <w:w w:val="100"/>
        </w:rPr>
        <w:t>）</w:t>
      </w:r>
      <w:r>
        <w:rPr>
          <w:spacing w:val="-7"/>
          <w:w w:val="100"/>
        </w:rPr>
        <w:t>或血管扫描等检查，并且实施了胸腹切开的直视主动脉手术。</w:t>
      </w:r>
    </w:p>
    <w:sectPr>
      <w:pgSz w:w="11910" w:h="16840"/>
      <w:pgMar w:header="228" w:footer="888" w:top="1200" w:bottom="1100" w:left="10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8"/>
      </w:rPr>
    </w:pPr>
    <w:r>
      <w:rPr/>
      <w:pict>
        <v:shape style="position:absolute;margin-left:276.329987pt;margin-top:785.499939pt;width:23.65pt;height:12pt;mso-position-horizontal-relative:page;mso-position-vertical-relative:page;z-index:-162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r>
                  <w:rPr>
                    <w:rFonts w:ascii="Times New Roman"/>
                    <w:sz w:val="18"/>
                  </w:rPr>
                  <w:t>/16</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drawing>
        <wp:anchor distT="0" distB="0" distL="0" distR="0" allowOverlap="1" layoutInCell="1" locked="0" behindDoc="1" simplePos="0" relativeHeight="268419167">
          <wp:simplePos x="0" y="0"/>
          <wp:positionH relativeFrom="page">
            <wp:posOffset>739140</wp:posOffset>
          </wp:positionH>
          <wp:positionV relativeFrom="page">
            <wp:posOffset>144779</wp:posOffset>
          </wp:positionV>
          <wp:extent cx="2057400" cy="597915"/>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2057400" cy="597915"/>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55.639999pt;margin-top:49.419964pt;width:484pt;height:12pt;mso-position-horizontal-relative:page;mso-position-vertical-relative:page;z-index:-16264" type="#_x0000_t202" filled="false" stroked="false">
          <v:textbox inset="0,0,0,0">
            <w:txbxContent>
              <w:p>
                <w:pPr>
                  <w:tabs>
                    <w:tab w:pos="6714" w:val="left" w:leader="none"/>
                  </w:tabs>
                  <w:spacing w:line="219" w:lineRule="exact" w:before="0"/>
                  <w:ind w:left="20" w:right="0" w:firstLine="0"/>
                  <w:jc w:val="left"/>
                  <w:rPr>
                    <w:rFonts w:ascii="Times New Roman" w:eastAsia="Times New Roman"/>
                    <w:sz w:val="18"/>
                  </w:rPr>
                </w:pPr>
                <w:r>
                  <w:rPr>
                    <w:rFonts w:ascii="Times New Roman" w:eastAsia="Times New Roman"/>
                    <w:sz w:val="18"/>
                    <w:u w:val="single"/>
                  </w:rPr>
                  <w:t> </w:t>
                  <w:tab/>
                </w:r>
                <w:r>
                  <w:rPr>
                    <w:sz w:val="18"/>
                    <w:u w:val="single"/>
                  </w:rPr>
                  <w:t>恒安标准司字[2016]209</w:t>
                </w:r>
                <w:r>
                  <w:rPr>
                    <w:spacing w:val="-11"/>
                    <w:sz w:val="18"/>
                    <w:u w:val="single"/>
                  </w:rPr>
                  <w:t> 号 附件：</w:t>
                </w:r>
                <w:r>
                  <w:rPr>
                    <w:rFonts w:ascii="Times New Roman" w:eastAsia="Times New Roman"/>
                    <w:spacing w:val="-7"/>
                    <w:sz w:val="18"/>
                    <w:u w:val="single"/>
                  </w:rPr>
                  <w:t>2.2</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drawing>
        <wp:anchor distT="0" distB="0" distL="0" distR="0" allowOverlap="1" layoutInCell="1" locked="0" behindDoc="1" simplePos="0" relativeHeight="268419239">
          <wp:simplePos x="0" y="0"/>
          <wp:positionH relativeFrom="page">
            <wp:posOffset>739140</wp:posOffset>
          </wp:positionH>
          <wp:positionV relativeFrom="page">
            <wp:posOffset>144779</wp:posOffset>
          </wp:positionV>
          <wp:extent cx="2057400" cy="597915"/>
          <wp:effectExtent l="0" t="0" r="0" b="0"/>
          <wp:wrapNone/>
          <wp:docPr id="5" name="image1.jpeg" descr=""/>
          <wp:cNvGraphicFramePr>
            <a:graphicFrameLocks noChangeAspect="1"/>
          </wp:cNvGraphicFramePr>
          <a:graphic>
            <a:graphicData uri="http://schemas.openxmlformats.org/drawingml/2006/picture">
              <pic:pic>
                <pic:nvPicPr>
                  <pic:cNvPr id="6" name="image1.jpeg"/>
                  <pic:cNvPicPr/>
                </pic:nvPicPr>
                <pic:blipFill>
                  <a:blip r:embed="rId1" cstate="print"/>
                  <a:stretch>
                    <a:fillRect/>
                  </a:stretch>
                </pic:blipFill>
                <pic:spPr>
                  <a:xfrm>
                    <a:off x="0" y="0"/>
                    <a:ext cx="2057400" cy="597915"/>
                  </a:xfrm>
                  <a:prstGeom prst="rect">
                    <a:avLst/>
                  </a:prstGeom>
                </pic:spPr>
              </pic:pic>
            </a:graphicData>
          </a:graphic>
        </wp:anchor>
      </w:drawing>
    </w:r>
    <w:r>
      <w:rPr/>
      <w:pict>
        <v:shape style="position:absolute;margin-left:55.639999pt;margin-top:49.419964pt;width:484.3pt;height:197.45pt;mso-position-horizontal-relative:page;mso-position-vertical-relative:page;z-index:-16192" type="#_x0000_t202" filled="false" stroked="false">
          <v:textbox inset="0,0,0,0">
            <w:txbxContent>
              <w:p>
                <w:pPr>
                  <w:tabs>
                    <w:tab w:pos="6714" w:val="left" w:leader="none"/>
                  </w:tabs>
                  <w:spacing w:line="219" w:lineRule="exact" w:before="0"/>
                  <w:ind w:left="20" w:right="0" w:firstLine="0"/>
                  <w:jc w:val="left"/>
                  <w:rPr>
                    <w:rFonts w:ascii="Times New Roman" w:eastAsia="Times New Roman"/>
                    <w:sz w:val="18"/>
                  </w:rPr>
                </w:pPr>
                <w:r>
                  <w:rPr>
                    <w:rFonts w:ascii="Times New Roman" w:eastAsia="Times New Roman"/>
                    <w:sz w:val="18"/>
                    <w:u w:val="single"/>
                  </w:rPr>
                  <w:t> </w:t>
                  <w:tab/>
                </w:r>
                <w:r>
                  <w:rPr>
                    <w:sz w:val="18"/>
                    <w:u w:val="single"/>
                  </w:rPr>
                  <w:t>恒安标准司字[2016]209</w:t>
                </w:r>
                <w:r>
                  <w:rPr>
                    <w:spacing w:val="-11"/>
                    <w:sz w:val="18"/>
                    <w:u w:val="single"/>
                  </w:rPr>
                  <w:t> 号 附件：</w:t>
                </w:r>
                <w:r>
                  <w:rPr>
                    <w:rFonts w:ascii="Times New Roman" w:eastAsia="Times New Roman"/>
                    <w:spacing w:val="-7"/>
                    <w:sz w:val="18"/>
                    <w:u w:val="single"/>
                  </w:rPr>
                  <w:t>2.2</w:t>
                </w:r>
              </w:p>
              <w:p>
                <w:pPr>
                  <w:pStyle w:val="BodyText"/>
                  <w:spacing w:before="1"/>
                  <w:ind w:left="231"/>
                </w:pPr>
                <w:r>
                  <w:rPr/>
                  <w:t>（</w:t>
                </w:r>
                <w:r>
                  <w:rPr>
                    <w:rFonts w:ascii="Times New Roman" w:eastAsia="Times New Roman"/>
                  </w:rPr>
                  <w:t>1</w:t>
                </w:r>
                <w:r>
                  <w:rPr/>
                  <w:t>）一肢或一肢以上肌体机能完全丧失；</w:t>
                </w:r>
              </w:p>
              <w:p>
                <w:pPr>
                  <w:pStyle w:val="BodyText"/>
                  <w:ind w:left="231"/>
                </w:pPr>
                <w:r>
                  <w:rPr/>
                  <w:t>（</w:t>
                </w:r>
                <w:r>
                  <w:rPr>
                    <w:rFonts w:ascii="Times New Roman" w:eastAsia="Times New Roman"/>
                  </w:rPr>
                  <w:t>2</w:t>
                </w:r>
                <w:r>
                  <w:rPr/>
                  <w:t>）语言能力或咀嚼吞咽能力完全丧失；</w:t>
                </w:r>
              </w:p>
              <w:p>
                <w:pPr>
                  <w:pStyle w:val="BodyText"/>
                  <w:ind w:left="231"/>
                </w:pPr>
                <w:r>
                  <w:rPr/>
                  <w:t>（</w:t>
                </w:r>
                <w:r>
                  <w:rPr>
                    <w:rFonts w:ascii="Times New Roman" w:eastAsia="Times New Roman"/>
                  </w:rPr>
                  <w:t>3</w:t>
                </w:r>
                <w:r>
                  <w:rPr/>
                  <w:t>）自主生活能力完全丧失，无法独立完成六项基本日常生活活动中的三项或三项以上。</w:t>
                </w:r>
              </w:p>
              <w:p>
                <w:pPr>
                  <w:pStyle w:val="BodyText"/>
                  <w:spacing w:line="264" w:lineRule="auto"/>
                  <w:ind w:left="20" w:right="18" w:firstLine="420"/>
                  <w:jc w:val="both"/>
                </w:pPr>
                <w:r>
                  <w:rPr>
                    <w:spacing w:val="5"/>
                  </w:rPr>
                  <w:t>注 </w:t>
                </w:r>
                <w:r>
                  <w:rPr>
                    <w:rFonts w:ascii="Times New Roman" w:hAnsi="Times New Roman" w:eastAsia="Times New Roman"/>
                  </w:rPr>
                  <w:t>1</w:t>
                </w:r>
                <w:r>
                  <w:rPr>
                    <w:spacing w:val="-3"/>
                  </w:rPr>
                  <w:t>：六项基本日常生活活动包括：①穿衣：自己能够穿衣及脱衣；②移动：自己从一个房间到另一</w:t>
                </w:r>
                <w:r>
                  <w:rPr>
                    <w:spacing w:val="-5"/>
                  </w:rPr>
                  <w:t>个房间；③行动：自己上下床或上下轮椅；④如厕：自己控制进行大小便；⑤进食：自己从已准备好的碗</w:t>
                </w:r>
                <w:r>
                  <w:rPr>
                    <w:spacing w:val="-3"/>
                  </w:rPr>
                  <w:t>或碟中取食物放入口中；⑥洗澡：自己进行淋浴或盆浴。</w:t>
                </w:r>
              </w:p>
              <w:p>
                <w:pPr>
                  <w:pStyle w:val="BodyText"/>
                  <w:spacing w:line="256" w:lineRule="auto" w:before="16"/>
                  <w:ind w:left="20" w:right="18" w:firstLine="420"/>
                  <w:jc w:val="both"/>
                </w:pPr>
                <w:r>
                  <w:rPr>
                    <w:spacing w:val="10"/>
                  </w:rPr>
                  <w:t>注 </w:t>
                </w:r>
                <w:r>
                  <w:rPr>
                    <w:rFonts w:ascii="Times New Roman" w:eastAsia="Times New Roman"/>
                  </w:rPr>
                  <w:t>2</w:t>
                </w:r>
                <w:r>
                  <w:rPr>
                    <w:spacing w:val="-3"/>
                  </w:rPr>
                  <w:t>：肢体机能完全丧失：指肢体的三大关节中的两大关节僵硬，或不能随意识活动。肢体是指包括肩关节的整个上肢或包括髋关节的整个下肢。</w:t>
                </w:r>
              </w:p>
              <w:p>
                <w:pPr>
                  <w:pStyle w:val="BodyText"/>
                  <w:spacing w:line="256" w:lineRule="auto" w:before="22"/>
                  <w:ind w:left="20" w:right="18" w:firstLine="420"/>
                  <w:jc w:val="both"/>
                </w:pPr>
                <w:r>
                  <w:rPr>
                    <w:spacing w:val="10"/>
                  </w:rPr>
                  <w:t>注 </w:t>
                </w:r>
                <w:r>
                  <w:rPr>
                    <w:rFonts w:ascii="Times New Roman" w:eastAsia="Times New Roman"/>
                  </w:rPr>
                  <w:t>3</w:t>
                </w:r>
                <w:r>
                  <w:rPr>
                    <w:spacing w:val="-3"/>
                  </w:rPr>
                  <w:t>：咀嚼吞咽能力完全丧失：指因牙齿以外的原因导致器质障碍或机能障碍，以致不能作咀嚼吞咽运动，除流质食物外不能摄取或吞咽的状态。</w:t>
                </w:r>
              </w:p>
              <w:p>
                <w:pPr>
                  <w:pStyle w:val="BodyText"/>
                  <w:spacing w:line="256" w:lineRule="auto" w:before="22"/>
                  <w:ind w:left="20" w:right="18" w:firstLine="420"/>
                  <w:jc w:val="both"/>
                </w:pPr>
                <w:r>
                  <w:rPr>
                    <w:spacing w:val="10"/>
                  </w:rPr>
                  <w:t>注 </w:t>
                </w:r>
                <w:r>
                  <w:rPr>
                    <w:rFonts w:ascii="Times New Roman" w:eastAsia="Times New Roman"/>
                  </w:rPr>
                  <w:t>4</w:t>
                </w:r>
                <w:r>
                  <w:rPr>
                    <w:spacing w:val="-3"/>
                  </w:rPr>
                  <w:t>：语言能力完全丧失：指无法发出四种语音（包括口唇音、齿舌音、口盖音和喉头音）</w:t>
                </w:r>
                <w:r>
                  <w:rPr>
                    <w:spacing w:val="-2"/>
                  </w:rPr>
                  <w:t>中的任何</w:t>
                </w:r>
                <w:r>
                  <w:rPr>
                    <w:spacing w:val="-3"/>
                  </w:rPr>
                  <w:t>三种、或声带全部切除，或因大脑语言中枢受伤害而患失语症。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drawing>
        <wp:anchor distT="0" distB="0" distL="0" distR="0" allowOverlap="1" layoutInCell="1" locked="0" behindDoc="1" simplePos="0" relativeHeight="268419287">
          <wp:simplePos x="0" y="0"/>
          <wp:positionH relativeFrom="page">
            <wp:posOffset>739140</wp:posOffset>
          </wp:positionH>
          <wp:positionV relativeFrom="page">
            <wp:posOffset>144779</wp:posOffset>
          </wp:positionV>
          <wp:extent cx="2057400" cy="597915"/>
          <wp:effectExtent l="0" t="0" r="0" b="0"/>
          <wp:wrapNone/>
          <wp:docPr id="7" name="image1.jpeg" descr=""/>
          <wp:cNvGraphicFramePr>
            <a:graphicFrameLocks noChangeAspect="1"/>
          </wp:cNvGraphicFramePr>
          <a:graphic>
            <a:graphicData uri="http://schemas.openxmlformats.org/drawingml/2006/picture">
              <pic:pic>
                <pic:nvPicPr>
                  <pic:cNvPr id="8" name="image1.jpeg"/>
                  <pic:cNvPicPr/>
                </pic:nvPicPr>
                <pic:blipFill>
                  <a:blip r:embed="rId1" cstate="print"/>
                  <a:stretch>
                    <a:fillRect/>
                  </a:stretch>
                </pic:blipFill>
                <pic:spPr>
                  <a:xfrm>
                    <a:off x="0" y="0"/>
                    <a:ext cx="2057400" cy="597915"/>
                  </a:xfrm>
                  <a:prstGeom prst="rect">
                    <a:avLst/>
                  </a:prstGeom>
                </pic:spPr>
              </pic:pic>
            </a:graphicData>
          </a:graphic>
        </wp:anchor>
      </w:drawing>
    </w:r>
    <w:r>
      <w:rPr/>
      <w:pict>
        <v:shape style="position:absolute;margin-left:55.639999pt;margin-top:49.419964pt;width:484pt;height:12pt;mso-position-horizontal-relative:page;mso-position-vertical-relative:page;z-index:-16144" type="#_x0000_t202" filled="false" stroked="false">
          <v:textbox inset="0,0,0,0">
            <w:txbxContent>
              <w:p>
                <w:pPr>
                  <w:tabs>
                    <w:tab w:pos="6714" w:val="left" w:leader="none"/>
                  </w:tabs>
                  <w:spacing w:line="219" w:lineRule="exact" w:before="0"/>
                  <w:ind w:left="20" w:right="0" w:firstLine="0"/>
                  <w:jc w:val="left"/>
                  <w:rPr>
                    <w:rFonts w:ascii="Times New Roman" w:eastAsia="Times New Roman"/>
                    <w:sz w:val="18"/>
                  </w:rPr>
                </w:pPr>
                <w:r>
                  <w:rPr>
                    <w:rFonts w:ascii="Times New Roman" w:eastAsia="Times New Roman"/>
                    <w:sz w:val="18"/>
                    <w:u w:val="single"/>
                  </w:rPr>
                  <w:t> </w:t>
                  <w:tab/>
                </w:r>
                <w:r>
                  <w:rPr>
                    <w:sz w:val="18"/>
                    <w:u w:val="single"/>
                  </w:rPr>
                  <w:t>恒安标准司字[2016]209</w:t>
                </w:r>
                <w:r>
                  <w:rPr>
                    <w:spacing w:val="-11"/>
                    <w:sz w:val="18"/>
                    <w:u w:val="single"/>
                  </w:rPr>
                  <w:t> 号 附件：</w:t>
                </w:r>
                <w:r>
                  <w:rPr>
                    <w:rFonts w:ascii="Times New Roman" w:eastAsia="Times New Roman"/>
                    <w:spacing w:val="-7"/>
                    <w:sz w:val="18"/>
                    <w:u w:val="single"/>
                  </w:rPr>
                  <w:t>2.2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12" w:hanging="42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960" w:hanging="421"/>
      </w:pPr>
      <w:rPr>
        <w:rFonts w:hint="default"/>
      </w:rPr>
    </w:lvl>
    <w:lvl w:ilvl="2">
      <w:start w:val="0"/>
      <w:numFmt w:val="bullet"/>
      <w:lvlText w:val="•"/>
      <w:lvlJc w:val="left"/>
      <w:pPr>
        <w:ind w:left="1200" w:hanging="421"/>
      </w:pPr>
      <w:rPr>
        <w:rFonts w:hint="default"/>
      </w:rPr>
    </w:lvl>
    <w:lvl w:ilvl="3">
      <w:start w:val="0"/>
      <w:numFmt w:val="bullet"/>
      <w:lvlText w:val="•"/>
      <w:lvlJc w:val="left"/>
      <w:pPr>
        <w:ind w:left="2283" w:hanging="421"/>
      </w:pPr>
      <w:rPr>
        <w:rFonts w:hint="default"/>
      </w:rPr>
    </w:lvl>
    <w:lvl w:ilvl="4">
      <w:start w:val="0"/>
      <w:numFmt w:val="bullet"/>
      <w:lvlText w:val="•"/>
      <w:lvlJc w:val="left"/>
      <w:pPr>
        <w:ind w:left="3366" w:hanging="421"/>
      </w:pPr>
      <w:rPr>
        <w:rFonts w:hint="default"/>
      </w:rPr>
    </w:lvl>
    <w:lvl w:ilvl="5">
      <w:start w:val="0"/>
      <w:numFmt w:val="bullet"/>
      <w:lvlText w:val="•"/>
      <w:lvlJc w:val="left"/>
      <w:pPr>
        <w:ind w:left="4449" w:hanging="421"/>
      </w:pPr>
      <w:rPr>
        <w:rFonts w:hint="default"/>
      </w:rPr>
    </w:lvl>
    <w:lvl w:ilvl="6">
      <w:start w:val="0"/>
      <w:numFmt w:val="bullet"/>
      <w:lvlText w:val="•"/>
      <w:lvlJc w:val="left"/>
      <w:pPr>
        <w:ind w:left="5533" w:hanging="421"/>
      </w:pPr>
      <w:rPr>
        <w:rFonts w:hint="default"/>
      </w:rPr>
    </w:lvl>
    <w:lvl w:ilvl="7">
      <w:start w:val="0"/>
      <w:numFmt w:val="bullet"/>
      <w:lvlText w:val="•"/>
      <w:lvlJc w:val="left"/>
      <w:pPr>
        <w:ind w:left="6616" w:hanging="421"/>
      </w:pPr>
      <w:rPr>
        <w:rFonts w:hint="default"/>
      </w:rPr>
    </w:lvl>
    <w:lvl w:ilvl="8">
      <w:start w:val="0"/>
      <w:numFmt w:val="bullet"/>
      <w:lvlText w:val="•"/>
      <w:lvlJc w:val="left"/>
      <w:pPr>
        <w:ind w:left="7699" w:hanging="421"/>
      </w:pPr>
      <w:rPr>
        <w:rFonts w:hint="default"/>
      </w:rPr>
    </w:lvl>
  </w:abstractNum>
  <w:abstractNum w:abstractNumId="3">
    <w:multiLevelType w:val="hybridMultilevel"/>
    <w:lvl w:ilvl="0">
      <w:start w:val="1"/>
      <w:numFmt w:val="decimal"/>
      <w:lvlText w:val="%1."/>
      <w:lvlJc w:val="left"/>
      <w:pPr>
        <w:ind w:left="11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04" w:hanging="264"/>
      </w:pPr>
      <w:rPr>
        <w:rFonts w:hint="default"/>
      </w:rPr>
    </w:lvl>
    <w:lvl w:ilvl="2">
      <w:start w:val="0"/>
      <w:numFmt w:val="bullet"/>
      <w:lvlText w:val="•"/>
      <w:lvlJc w:val="left"/>
      <w:pPr>
        <w:ind w:left="2089" w:hanging="264"/>
      </w:pPr>
      <w:rPr>
        <w:rFonts w:hint="default"/>
      </w:rPr>
    </w:lvl>
    <w:lvl w:ilvl="3">
      <w:start w:val="0"/>
      <w:numFmt w:val="bullet"/>
      <w:lvlText w:val="•"/>
      <w:lvlJc w:val="left"/>
      <w:pPr>
        <w:ind w:left="3073" w:hanging="264"/>
      </w:pPr>
      <w:rPr>
        <w:rFonts w:hint="default"/>
      </w:rPr>
    </w:lvl>
    <w:lvl w:ilvl="4">
      <w:start w:val="0"/>
      <w:numFmt w:val="bullet"/>
      <w:lvlText w:val="•"/>
      <w:lvlJc w:val="left"/>
      <w:pPr>
        <w:ind w:left="4058" w:hanging="264"/>
      </w:pPr>
      <w:rPr>
        <w:rFonts w:hint="default"/>
      </w:rPr>
    </w:lvl>
    <w:lvl w:ilvl="5">
      <w:start w:val="0"/>
      <w:numFmt w:val="bullet"/>
      <w:lvlText w:val="•"/>
      <w:lvlJc w:val="left"/>
      <w:pPr>
        <w:ind w:left="5043" w:hanging="264"/>
      </w:pPr>
      <w:rPr>
        <w:rFonts w:hint="default"/>
      </w:rPr>
    </w:lvl>
    <w:lvl w:ilvl="6">
      <w:start w:val="0"/>
      <w:numFmt w:val="bullet"/>
      <w:lvlText w:val="•"/>
      <w:lvlJc w:val="left"/>
      <w:pPr>
        <w:ind w:left="6027" w:hanging="264"/>
      </w:pPr>
      <w:rPr>
        <w:rFonts w:hint="default"/>
      </w:rPr>
    </w:lvl>
    <w:lvl w:ilvl="7">
      <w:start w:val="0"/>
      <w:numFmt w:val="bullet"/>
      <w:lvlText w:val="•"/>
      <w:lvlJc w:val="left"/>
      <w:pPr>
        <w:ind w:left="7012" w:hanging="264"/>
      </w:pPr>
      <w:rPr>
        <w:rFonts w:hint="default"/>
      </w:rPr>
    </w:lvl>
    <w:lvl w:ilvl="8">
      <w:start w:val="0"/>
      <w:numFmt w:val="bullet"/>
      <w:lvlText w:val="•"/>
      <w:lvlJc w:val="left"/>
      <w:pPr>
        <w:ind w:left="7997" w:hanging="264"/>
      </w:pPr>
      <w:rPr>
        <w:rFonts w:hint="default"/>
      </w:rPr>
    </w:lvl>
  </w:abstractNum>
  <w:abstractNum w:abstractNumId="2">
    <w:multiLevelType w:val="hybridMultilevel"/>
    <w:lvl w:ilvl="0">
      <w:start w:val="1"/>
      <w:numFmt w:val="decimal"/>
      <w:lvlText w:val="%1."/>
      <w:lvlJc w:val="left"/>
      <w:pPr>
        <w:ind w:left="893"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806" w:hanging="360"/>
      </w:pPr>
      <w:rPr>
        <w:rFonts w:hint="default"/>
      </w:rPr>
    </w:lvl>
    <w:lvl w:ilvl="2">
      <w:start w:val="0"/>
      <w:numFmt w:val="bullet"/>
      <w:lvlText w:val="•"/>
      <w:lvlJc w:val="left"/>
      <w:pPr>
        <w:ind w:left="2713" w:hanging="360"/>
      </w:pPr>
      <w:rPr>
        <w:rFonts w:hint="default"/>
      </w:rPr>
    </w:lvl>
    <w:lvl w:ilvl="3">
      <w:start w:val="0"/>
      <w:numFmt w:val="bullet"/>
      <w:lvlText w:val="•"/>
      <w:lvlJc w:val="left"/>
      <w:pPr>
        <w:ind w:left="3619" w:hanging="360"/>
      </w:pPr>
      <w:rPr>
        <w:rFonts w:hint="default"/>
      </w:rPr>
    </w:lvl>
    <w:lvl w:ilvl="4">
      <w:start w:val="0"/>
      <w:numFmt w:val="bullet"/>
      <w:lvlText w:val="•"/>
      <w:lvlJc w:val="left"/>
      <w:pPr>
        <w:ind w:left="4526" w:hanging="360"/>
      </w:pPr>
      <w:rPr>
        <w:rFonts w:hint="default"/>
      </w:rPr>
    </w:lvl>
    <w:lvl w:ilvl="5">
      <w:start w:val="0"/>
      <w:numFmt w:val="bullet"/>
      <w:lvlText w:val="•"/>
      <w:lvlJc w:val="left"/>
      <w:pPr>
        <w:ind w:left="5433" w:hanging="360"/>
      </w:pPr>
      <w:rPr>
        <w:rFonts w:hint="default"/>
      </w:rPr>
    </w:lvl>
    <w:lvl w:ilvl="6">
      <w:start w:val="0"/>
      <w:numFmt w:val="bullet"/>
      <w:lvlText w:val="•"/>
      <w:lvlJc w:val="left"/>
      <w:pPr>
        <w:ind w:left="6339" w:hanging="360"/>
      </w:pPr>
      <w:rPr>
        <w:rFonts w:hint="default"/>
      </w:rPr>
    </w:lvl>
    <w:lvl w:ilvl="7">
      <w:start w:val="0"/>
      <w:numFmt w:val="bullet"/>
      <w:lvlText w:val="•"/>
      <w:lvlJc w:val="left"/>
      <w:pPr>
        <w:ind w:left="7246" w:hanging="360"/>
      </w:pPr>
      <w:rPr>
        <w:rFonts w:hint="default"/>
      </w:rPr>
    </w:lvl>
    <w:lvl w:ilvl="8">
      <w:start w:val="0"/>
      <w:numFmt w:val="bullet"/>
      <w:lvlText w:val="•"/>
      <w:lvlJc w:val="left"/>
      <w:pPr>
        <w:ind w:left="8153" w:hanging="360"/>
      </w:pPr>
      <w:rPr>
        <w:rFonts w:hint="default"/>
      </w:rPr>
    </w:lvl>
  </w:abstractNum>
  <w:abstractNum w:abstractNumId="1">
    <w:multiLevelType w:val="hybridMultilevel"/>
    <w:lvl w:ilvl="0">
      <w:start w:val="1"/>
      <w:numFmt w:val="decimal"/>
      <w:lvlText w:val="%1."/>
      <w:lvlJc w:val="left"/>
      <w:pPr>
        <w:ind w:left="593" w:hanging="481"/>
        <w:jc w:val="left"/>
      </w:pPr>
      <w:rPr>
        <w:rFonts w:hint="default"/>
        <w:b/>
        <w:bCs/>
        <w:spacing w:val="0"/>
        <w:w w:val="99"/>
      </w:rPr>
    </w:lvl>
    <w:lvl w:ilvl="1">
      <w:start w:val="1"/>
      <w:numFmt w:val="decimal"/>
      <w:lvlText w:val="%1.%2."/>
      <w:lvlJc w:val="left"/>
      <w:pPr>
        <w:ind w:left="593" w:hanging="481"/>
        <w:jc w:val="left"/>
      </w:pPr>
      <w:rPr>
        <w:rFonts w:hint="default" w:ascii="Times New Roman" w:hAnsi="Times New Roman" w:eastAsia="Times New Roman" w:cs="Times New Roman"/>
        <w:b/>
        <w:bCs/>
        <w:w w:val="100"/>
        <w:sz w:val="22"/>
        <w:szCs w:val="22"/>
      </w:rPr>
    </w:lvl>
    <w:lvl w:ilvl="2">
      <w:start w:val="0"/>
      <w:numFmt w:val="bullet"/>
      <w:lvlText w:val="•"/>
      <w:lvlJc w:val="left"/>
      <w:pPr>
        <w:ind w:left="2453" w:hanging="481"/>
      </w:pPr>
      <w:rPr>
        <w:rFonts w:hint="default"/>
      </w:rPr>
    </w:lvl>
    <w:lvl w:ilvl="3">
      <w:start w:val="0"/>
      <w:numFmt w:val="bullet"/>
      <w:lvlText w:val="•"/>
      <w:lvlJc w:val="left"/>
      <w:pPr>
        <w:ind w:left="3379" w:hanging="481"/>
      </w:pPr>
      <w:rPr>
        <w:rFonts w:hint="default"/>
      </w:rPr>
    </w:lvl>
    <w:lvl w:ilvl="4">
      <w:start w:val="0"/>
      <w:numFmt w:val="bullet"/>
      <w:lvlText w:val="•"/>
      <w:lvlJc w:val="left"/>
      <w:pPr>
        <w:ind w:left="4306" w:hanging="481"/>
      </w:pPr>
      <w:rPr>
        <w:rFonts w:hint="default"/>
      </w:rPr>
    </w:lvl>
    <w:lvl w:ilvl="5">
      <w:start w:val="0"/>
      <w:numFmt w:val="bullet"/>
      <w:lvlText w:val="•"/>
      <w:lvlJc w:val="left"/>
      <w:pPr>
        <w:ind w:left="5233" w:hanging="481"/>
      </w:pPr>
      <w:rPr>
        <w:rFonts w:hint="default"/>
      </w:rPr>
    </w:lvl>
    <w:lvl w:ilvl="6">
      <w:start w:val="0"/>
      <w:numFmt w:val="bullet"/>
      <w:lvlText w:val="•"/>
      <w:lvlJc w:val="left"/>
      <w:pPr>
        <w:ind w:left="6159" w:hanging="481"/>
      </w:pPr>
      <w:rPr>
        <w:rFonts w:hint="default"/>
      </w:rPr>
    </w:lvl>
    <w:lvl w:ilvl="7">
      <w:start w:val="0"/>
      <w:numFmt w:val="bullet"/>
      <w:lvlText w:val="•"/>
      <w:lvlJc w:val="left"/>
      <w:pPr>
        <w:ind w:left="7086" w:hanging="481"/>
      </w:pPr>
      <w:rPr>
        <w:rFonts w:hint="default"/>
      </w:rPr>
    </w:lvl>
    <w:lvl w:ilvl="8">
      <w:start w:val="0"/>
      <w:numFmt w:val="bullet"/>
      <w:lvlText w:val="•"/>
      <w:lvlJc w:val="left"/>
      <w:pPr>
        <w:ind w:left="8013" w:hanging="481"/>
      </w:pPr>
      <w:rPr>
        <w:rFonts w:hint="default"/>
      </w:rPr>
    </w:lvl>
  </w:abstractNum>
  <w:abstractNum w:abstractNumId="0">
    <w:multiLevelType w:val="hybridMultilevel"/>
    <w:lvl w:ilvl="0">
      <w:start w:val="1"/>
      <w:numFmt w:val="decimal"/>
      <w:lvlText w:val="%1."/>
      <w:lvlJc w:val="left"/>
      <w:pPr>
        <w:ind w:left="509" w:hanging="397"/>
        <w:jc w:val="left"/>
      </w:pPr>
      <w:rPr>
        <w:rFonts w:hint="default" w:ascii="Times New Roman" w:hAnsi="Times New Roman" w:eastAsia="Times New Roman" w:cs="Times New Roman"/>
        <w:b/>
        <w:bCs/>
        <w:w w:val="99"/>
        <w:sz w:val="24"/>
        <w:szCs w:val="24"/>
      </w:rPr>
    </w:lvl>
    <w:lvl w:ilvl="1">
      <w:start w:val="1"/>
      <w:numFmt w:val="decimal"/>
      <w:lvlText w:val="%1.%2."/>
      <w:lvlJc w:val="left"/>
      <w:pPr>
        <w:ind w:left="1164" w:hanging="656"/>
        <w:jc w:val="left"/>
      </w:pPr>
      <w:rPr>
        <w:rFonts w:hint="default" w:ascii="Times New Roman" w:hAnsi="Times New Roman" w:eastAsia="Times New Roman" w:cs="Times New Roman"/>
        <w:w w:val="100"/>
        <w:sz w:val="21"/>
        <w:szCs w:val="21"/>
      </w:rPr>
    </w:lvl>
    <w:lvl w:ilvl="2">
      <w:start w:val="0"/>
      <w:numFmt w:val="bullet"/>
      <w:lvlText w:val="•"/>
      <w:lvlJc w:val="left"/>
      <w:pPr>
        <w:ind w:left="2127" w:hanging="656"/>
      </w:pPr>
      <w:rPr>
        <w:rFonts w:hint="default"/>
      </w:rPr>
    </w:lvl>
    <w:lvl w:ilvl="3">
      <w:start w:val="0"/>
      <w:numFmt w:val="bullet"/>
      <w:lvlText w:val="•"/>
      <w:lvlJc w:val="left"/>
      <w:pPr>
        <w:ind w:left="3094" w:hanging="656"/>
      </w:pPr>
      <w:rPr>
        <w:rFonts w:hint="default"/>
      </w:rPr>
    </w:lvl>
    <w:lvl w:ilvl="4">
      <w:start w:val="0"/>
      <w:numFmt w:val="bullet"/>
      <w:lvlText w:val="•"/>
      <w:lvlJc w:val="left"/>
      <w:pPr>
        <w:ind w:left="4062" w:hanging="656"/>
      </w:pPr>
      <w:rPr>
        <w:rFonts w:hint="default"/>
      </w:rPr>
    </w:lvl>
    <w:lvl w:ilvl="5">
      <w:start w:val="0"/>
      <w:numFmt w:val="bullet"/>
      <w:lvlText w:val="•"/>
      <w:lvlJc w:val="left"/>
      <w:pPr>
        <w:ind w:left="5029" w:hanging="656"/>
      </w:pPr>
      <w:rPr>
        <w:rFonts w:hint="default"/>
      </w:rPr>
    </w:lvl>
    <w:lvl w:ilvl="6">
      <w:start w:val="0"/>
      <w:numFmt w:val="bullet"/>
      <w:lvlText w:val="•"/>
      <w:lvlJc w:val="left"/>
      <w:pPr>
        <w:ind w:left="5996" w:hanging="656"/>
      </w:pPr>
      <w:rPr>
        <w:rFonts w:hint="default"/>
      </w:rPr>
    </w:lvl>
    <w:lvl w:ilvl="7">
      <w:start w:val="0"/>
      <w:numFmt w:val="bullet"/>
      <w:lvlText w:val="•"/>
      <w:lvlJc w:val="left"/>
      <w:pPr>
        <w:ind w:left="6964" w:hanging="656"/>
      </w:pPr>
      <w:rPr>
        <w:rFonts w:hint="default"/>
      </w:rPr>
    </w:lvl>
    <w:lvl w:ilvl="8">
      <w:start w:val="0"/>
      <w:numFmt w:val="bullet"/>
      <w:lvlText w:val="•"/>
      <w:lvlJc w:val="left"/>
      <w:pPr>
        <w:ind w:left="7931" w:hanging="656"/>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29" w:lineRule="exact"/>
      <w:ind w:left="509" w:hanging="397"/>
    </w:pPr>
    <w:rPr>
      <w:rFonts w:ascii="宋体" w:hAnsi="宋体" w:eastAsia="宋体" w:cs="宋体"/>
      <w:b/>
      <w:bCs/>
      <w:sz w:val="24"/>
      <w:szCs w:val="24"/>
    </w:rPr>
  </w:style>
  <w:style w:styleId="TOC2" w:type="paragraph">
    <w:name w:val="TOC 2"/>
    <w:basedOn w:val="Normal"/>
    <w:uiPriority w:val="1"/>
    <w:qFormat/>
    <w:pPr>
      <w:spacing w:before="21"/>
      <w:ind w:left="1164" w:hanging="655"/>
    </w:pPr>
    <w:rPr>
      <w:rFonts w:ascii="宋体" w:hAnsi="宋体" w:eastAsia="宋体" w:cs="宋体"/>
      <w:sz w:val="21"/>
      <w:szCs w:val="21"/>
    </w:rPr>
  </w:style>
  <w:style w:styleId="BodyText" w:type="paragraph">
    <w:name w:val="Body Text"/>
    <w:basedOn w:val="Normal"/>
    <w:uiPriority w:val="1"/>
    <w:qFormat/>
    <w:pPr>
      <w:spacing w:before="21"/>
      <w:ind w:left="112"/>
    </w:pPr>
    <w:rPr>
      <w:rFonts w:ascii="宋体" w:hAnsi="宋体" w:eastAsia="宋体" w:cs="宋体"/>
      <w:sz w:val="21"/>
      <w:szCs w:val="21"/>
    </w:rPr>
  </w:style>
  <w:style w:styleId="Heading1" w:type="paragraph">
    <w:name w:val="Heading 1"/>
    <w:basedOn w:val="Normal"/>
    <w:uiPriority w:val="1"/>
    <w:qFormat/>
    <w:pPr>
      <w:spacing w:before="58"/>
      <w:ind w:left="593" w:hanging="481"/>
      <w:outlineLvl w:val="1"/>
    </w:pPr>
    <w:rPr>
      <w:rFonts w:ascii="宋体" w:hAnsi="宋体" w:eastAsia="宋体" w:cs="宋体"/>
      <w:b/>
      <w:bCs/>
      <w:sz w:val="24"/>
      <w:szCs w:val="24"/>
    </w:rPr>
  </w:style>
  <w:style w:styleId="Heading2" w:type="paragraph">
    <w:name w:val="Heading 2"/>
    <w:basedOn w:val="Normal"/>
    <w:uiPriority w:val="1"/>
    <w:qFormat/>
    <w:pPr>
      <w:spacing w:before="48"/>
      <w:ind w:left="593" w:hanging="481"/>
      <w:outlineLvl w:val="2"/>
    </w:pPr>
    <w:rPr>
      <w:rFonts w:ascii="黑体" w:hAnsi="黑体" w:eastAsia="黑体" w:cs="黑体"/>
      <w:b/>
      <w:bCs/>
      <w:sz w:val="22"/>
      <w:szCs w:val="22"/>
    </w:rPr>
  </w:style>
  <w:style w:styleId="Heading3" w:type="paragraph">
    <w:name w:val="Heading 3"/>
    <w:basedOn w:val="Normal"/>
    <w:uiPriority w:val="1"/>
    <w:qFormat/>
    <w:pPr>
      <w:spacing w:before="7"/>
      <w:ind w:left="535"/>
      <w:outlineLvl w:val="3"/>
    </w:pPr>
    <w:rPr>
      <w:rFonts w:ascii="宋体" w:hAnsi="宋体" w:eastAsia="宋体" w:cs="宋体"/>
      <w:b/>
      <w:bCs/>
      <w:sz w:val="21"/>
      <w:szCs w:val="21"/>
    </w:rPr>
  </w:style>
  <w:style w:styleId="ListParagraph" w:type="paragraph">
    <w:name w:val="List Paragraph"/>
    <w:basedOn w:val="Normal"/>
    <w:uiPriority w:val="1"/>
    <w:qFormat/>
    <w:pPr>
      <w:spacing w:before="21"/>
      <w:ind w:left="593" w:hanging="481"/>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Wang</dc:creator>
  <dcterms:created xsi:type="dcterms:W3CDTF">2018-10-20T01:14:46Z</dcterms:created>
  <dcterms:modified xsi:type="dcterms:W3CDTF">2018-10-20T01:14:46Z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2016-09-12T00:00:00Z</vt:filetime>
  </property>
  <property fmtid="{D5CDD505-2E9C-101B-9397-08002B2CF9AE}" pid="3" name="Creator">
    <vt:lpwstr>Microsoft® Office Word 2007</vt:lpwstr>
  </property>
  <property fmtid="{D5CDD505-2E9C-101B-9397-08002B2CF9AE}" pid="4" name="LastSaved">
    <vt:filetime>2018-10-19T00:00:00Z</vt:filetime>
  </property>
</Properties>
</file>