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415" w:firstLine="0"/>
        <w:jc w:val="right"/>
        <w:rPr>
          <w:sz w:val="16"/>
        </w:rPr>
      </w:pPr>
      <w:r>
        <w:rPr/>
        <w:drawing>
          <wp:anchor distT="0" distB="0" distL="0" distR="0" allowOverlap="1" layoutInCell="1" locked="0" behindDoc="0" simplePos="0" relativeHeight="0">
            <wp:simplePos x="0" y="0"/>
            <wp:positionH relativeFrom="page">
              <wp:posOffset>5700521</wp:posOffset>
            </wp:positionH>
            <wp:positionV relativeFrom="paragraph">
              <wp:posOffset>233350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幸福人寿﹝2012﹞疾病保险 004 号</w:t>
      </w:r>
    </w:p>
    <w:p>
      <w:pPr>
        <w:spacing w:before="50"/>
        <w:ind w:left="0" w:right="815" w:firstLine="0"/>
        <w:jc w:val="right"/>
        <w:rPr>
          <w:sz w:val="16"/>
        </w:rPr>
      </w:pPr>
      <w:r>
        <w:rPr>
          <w:w w:val="95"/>
          <w:sz w:val="16"/>
        </w:rPr>
        <w:t>请扫描以查询验证条款</w:t>
      </w:r>
    </w:p>
    <w:p>
      <w:pPr>
        <w:spacing w:before="100"/>
        <w:ind w:left="2765" w:right="2827" w:firstLine="0"/>
        <w:jc w:val="center"/>
        <w:rPr>
          <w:b/>
          <w:sz w:val="30"/>
        </w:rPr>
      </w:pPr>
      <w:r>
        <w:rPr>
          <w:b/>
          <w:w w:val="95"/>
          <w:sz w:val="30"/>
        </w:rPr>
        <w:t>幸福人寿保险股份有限公司</w:t>
      </w:r>
    </w:p>
    <w:p>
      <w:pPr>
        <w:spacing w:before="123"/>
        <w:ind w:left="2765" w:right="2827" w:firstLine="0"/>
        <w:jc w:val="center"/>
        <w:rPr>
          <w:b/>
          <w:sz w:val="30"/>
        </w:rPr>
      </w:pPr>
      <w:r>
        <w:rPr>
          <w:b/>
          <w:w w:val="95"/>
          <w:sz w:val="30"/>
        </w:rPr>
        <w:t>幸福附加财富人生重大疾病保险条款</w:t>
      </w:r>
    </w:p>
    <w:p>
      <w:pPr>
        <w:pStyle w:val="BodyText"/>
        <w:spacing w:before="0"/>
        <w:ind w:left="0"/>
        <w:rPr>
          <w:b/>
          <w:sz w:val="28"/>
        </w:rPr>
      </w:pPr>
    </w:p>
    <w:p>
      <w:pPr>
        <w:pStyle w:val="BodyText"/>
        <w:spacing w:before="28"/>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5"/>
        <w:ind w:left="0"/>
      </w:pPr>
    </w:p>
    <w:p>
      <w:pPr>
        <w:pStyle w:val="Heading1"/>
        <w:ind w:left="2765" w:right="2406"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3"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5"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5"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5</w:t>
            </w:r>
          </w:hyperlink>
        </w:p>
        <w:p>
          <w:pPr>
            <w:pStyle w:val="TOC1"/>
            <w:numPr>
              <w:ilvl w:val="0"/>
              <w:numId w:val="1"/>
            </w:numPr>
            <w:tabs>
              <w:tab w:pos="435" w:val="left" w:leader="none"/>
              <w:tab w:pos="9745" w:val="right" w:leader="dot"/>
            </w:tabs>
            <w:spacing w:line="240" w:lineRule="auto" w:before="65"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6"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1"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5</w:t>
            </w:r>
          </w:hyperlink>
        </w:p>
        <w:p>
          <w:pPr>
            <w:pStyle w:val="TOC2"/>
            <w:tabs>
              <w:tab w:pos="9760" w:val="right" w:leader="dot"/>
            </w:tabs>
            <w:ind w:left="537" w:firstLine="0"/>
            <w:rPr>
              <w:rFonts w:ascii="Times New Roman" w:eastAsia="Times New Roman"/>
            </w:rPr>
          </w:pPr>
          <w:r>
            <w:rPr/>
            <w:t>附表一：重大疾病名称及定义和早期治疗保险金疾病名称及定义</w:t>
            <w:tab/>
          </w:r>
          <w:r>
            <w:rPr>
              <w:rFonts w:ascii="Times New Roman" w:eastAsia="Times New Roman"/>
            </w:rPr>
            <w:t>6</w:t>
          </w:r>
        </w:p>
      </w:sdtContent>
    </w:sdt>
    <w:p>
      <w:pPr>
        <w:spacing w:after="0"/>
        <w:rPr>
          <w:rFonts w:ascii="Times New Roman" w:eastAsia="Times New Roman"/>
        </w:rPr>
        <w:sectPr>
          <w:type w:val="continuous"/>
          <w:pgSz w:w="11910" w:h="16840"/>
          <w:pgMar w:top="520" w:bottom="280" w:left="960" w:right="740"/>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spacing w:line="230" w:lineRule="auto" w:before="0"/>
        <w:ind w:left="117" w:right="158" w:firstLine="420"/>
        <w:jc w:val="both"/>
      </w:pPr>
      <w:r>
        <w:rPr/>
        <w:t>幸福附加财富人生重大疾病保险合同（以下简称本附加险合同）由以下几个部分构成：本保险条款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157" w:firstLine="420"/>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0"/>
        <w:ind w:left="0"/>
        <w:rPr>
          <w:sz w:val="20"/>
        </w:rPr>
      </w:pPr>
    </w:p>
    <w:p>
      <w:pPr>
        <w:pStyle w:val="BodyText"/>
        <w:spacing w:before="3"/>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20" w:id="4"/>
      <w:bookmarkEnd w:id="4"/>
      <w:r>
        <w:rPr>
          <w:w w:val="95"/>
        </w:rPr>
        <w:t>投保范围</w:t>
      </w:r>
    </w:p>
    <w:p>
      <w:pPr>
        <w:pStyle w:val="BodyText"/>
        <w:spacing w:before="9"/>
        <w:ind w:left="537"/>
      </w:pPr>
      <w:r>
        <w:rPr/>
        <w:t>年龄为出生满 </w:t>
      </w:r>
      <w:r>
        <w:rPr>
          <w:rFonts w:ascii="Times New Roman" w:eastAsia="Times New Roman"/>
        </w:rPr>
        <w:t>30 </w:t>
      </w:r>
      <w:r>
        <w:rPr/>
        <w:t>日至 </w:t>
      </w:r>
      <w:r>
        <w:rPr>
          <w:rFonts w:ascii="Times New Roman" w:eastAsia="Times New Roman"/>
        </w:rPr>
        <w:t>50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9" w:id="5"/>
      <w:bookmarkEnd w:id="5"/>
      <w:r>
        <w:rPr>
          <w:w w:val="95"/>
        </w:rPr>
        <w:t>保险期间</w:t>
      </w:r>
    </w:p>
    <w:p>
      <w:pPr>
        <w:pStyle w:val="BodyText"/>
        <w:spacing w:line="256" w:lineRule="auto" w:before="0"/>
        <w:ind w:left="117" w:right="103" w:firstLine="435"/>
      </w:pPr>
      <w:r>
        <w:rPr>
          <w:spacing w:val="-3"/>
        </w:rPr>
        <w:t>本附加险合同的保险期间为自生效日零时起至被保险人满 </w:t>
      </w:r>
      <w:r>
        <w:rPr>
          <w:rFonts w:ascii="Times New Roman" w:eastAsia="Times New Roman"/>
        </w:rPr>
        <w:t>80 </w:t>
      </w:r>
      <w:r>
        <w:rPr>
          <w:spacing w:val="-28"/>
        </w:rPr>
        <w:t>或 </w:t>
      </w:r>
      <w:r>
        <w:rPr>
          <w:rFonts w:ascii="Times New Roman" w:eastAsia="Times New Roman"/>
        </w:rPr>
        <w:t>88 </w:t>
      </w:r>
      <w:r>
        <w:rPr/>
        <w:t>周岁后的首个</w:t>
      </w:r>
      <w:r>
        <w:rPr>
          <w:b/>
        </w:rPr>
        <w:t>保险单周年日</w:t>
      </w:r>
      <w:r>
        <w:rPr>
          <w:rFonts w:ascii="Times New Roman" w:eastAsia="Times New Roman"/>
          <w:vertAlign w:val="superscript"/>
        </w:rPr>
        <w:t>3</w:t>
      </w:r>
      <w:r>
        <w:rPr>
          <w:rFonts w:ascii="Times New Roman" w:eastAsia="Times New Roman"/>
          <w:vertAlign w:val="baseline"/>
        </w:rPr>
      </w:r>
      <w:r>
        <w:rPr>
          <w:vertAlign w:val="baseline"/>
        </w:rPr>
        <w:t>零时止， 本附加险合同的保险期间由您与我们约定并于保险单上载明。</w:t>
      </w:r>
    </w:p>
    <w:p>
      <w:pPr>
        <w:pStyle w:val="BodyText"/>
        <w:spacing w:before="8"/>
        <w:ind w:left="0"/>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7"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ind w:left="117" w:right="158"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在本附加险合同有效期内，本附加险合同的基本保险金额等于主险合同的基本保险金额。</w:t>
      </w:r>
    </w:p>
    <w:p>
      <w:pPr>
        <w:pStyle w:val="BodyText"/>
        <w:spacing w:before="10"/>
        <w:ind w:left="117"/>
      </w:pPr>
      <w:r>
        <w:rPr/>
        <w:t>（</w:t>
      </w:r>
      <w:r>
        <w:rPr>
          <w:rFonts w:ascii="Times New Roman" w:eastAsia="Times New Roman"/>
        </w:rPr>
        <w:t>2</w:t>
      </w:r>
      <w:r>
        <w:rPr/>
        <w:t>）保险金额</w:t>
      </w:r>
    </w:p>
    <w:p>
      <w:pPr>
        <w:pStyle w:val="BodyText"/>
        <w:spacing w:before="31"/>
        <w:ind w:left="537"/>
      </w:pPr>
      <w:r>
        <w:rPr/>
        <w:t>保险金额具体参见本条款保险责任部分。</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在本附加险合同有效期内，我们承担以下责任：</w:t>
      </w:r>
    </w:p>
    <w:p>
      <w:pPr>
        <w:pStyle w:val="BodyText"/>
        <w:spacing w:line="291" w:lineRule="exact" w:before="44"/>
        <w:ind w:left="117"/>
      </w:pPr>
      <w:r>
        <w:rPr/>
        <w:t>（</w:t>
      </w:r>
      <w:r>
        <w:rPr>
          <w:rFonts w:ascii="Times New Roman" w:eastAsia="Times New Roman"/>
        </w:rPr>
        <w:t>1</w:t>
      </w:r>
      <w:r>
        <w:rPr/>
        <w:t>）早期治疗保险金</w:t>
      </w:r>
    </w:p>
    <w:p>
      <w:pPr>
        <w:pStyle w:val="BodyText"/>
        <w:spacing w:line="256" w:lineRule="auto" w:before="0"/>
        <w:ind w:left="117" w:right="184" w:firstLine="419"/>
      </w:pPr>
      <w:r>
        <w:rPr/>
        <w:t>自本附加险合同生效日或最后复效日（以较迟者为准）起</w:t>
      </w:r>
      <w:r>
        <w:rPr>
          <w:rFonts w:ascii="Times New Roman" w:eastAsia="Times New Roman"/>
        </w:rPr>
        <w:t>180</w:t>
      </w:r>
      <w:r>
        <w:rPr/>
        <w:t>天后，被保险人首次</w:t>
      </w:r>
      <w:r>
        <w:rPr>
          <w:b/>
        </w:rPr>
        <w:t>发病</w:t>
      </w:r>
      <w:r>
        <w:rPr>
          <w:b/>
          <w:position w:val="11"/>
          <w:sz w:val="11"/>
        </w:rPr>
        <w:t>4</w:t>
      </w:r>
      <w:r>
        <w:rPr/>
        <w:t>并经</w:t>
      </w:r>
      <w:r>
        <w:rPr>
          <w:b/>
        </w:rPr>
        <w:t>医院</w:t>
      </w:r>
      <w:r>
        <w:rPr>
          <w:b/>
          <w:position w:val="11"/>
          <w:sz w:val="11"/>
        </w:rPr>
        <w:t>5</w:t>
      </w:r>
      <w:r>
        <w:rPr/>
        <w:t>确诊首</w:t>
      </w:r>
      <w:r>
        <w:rPr>
          <w:w w:val="95"/>
        </w:rPr>
        <w:t>次患一项或多项本条款附表一所定义的早期治疗保险金疾病（但因遭受</w:t>
      </w:r>
      <w:r>
        <w:rPr>
          <w:b/>
          <w:w w:val="95"/>
        </w:rPr>
        <w:t>意外伤害事故</w:t>
      </w:r>
      <w:r>
        <w:rPr>
          <w:b/>
          <w:w w:val="95"/>
          <w:position w:val="11"/>
          <w:sz w:val="11"/>
        </w:rPr>
        <w:t>6</w:t>
      </w:r>
      <w:r>
        <w:rPr>
          <w:w w:val="95"/>
        </w:rPr>
        <w:t>导致的不受此180天限</w:t>
      </w:r>
    </w:p>
    <w:p>
      <w:pPr>
        <w:pStyle w:val="BodyText"/>
        <w:spacing w:before="7"/>
        <w:ind w:left="0"/>
        <w:rPr>
          <w:sz w:val="10"/>
        </w:rPr>
      </w:pPr>
      <w:r>
        <w:rPr/>
        <w:pict>
          <v:line style="position:absolute;mso-position-horizontal-relative:page;mso-position-vertical-relative:paragraph;z-index:1048;mso-wrap-distance-left:0;mso-wrap-distance-right:0" from="53.880001pt,9.167031pt" to="197.880001pt,9.167031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3"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治疗或护理的病症，但不包括本附加险合同生效或恢复效力前的任何疾病或症状。</w:t>
      </w:r>
    </w:p>
    <w:p>
      <w:pPr>
        <w:spacing w:line="234" w:lineRule="exact" w:before="0"/>
        <w:ind w:left="117"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line="237" w:lineRule="auto" w:before="1"/>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footerReference w:type="default" r:id="rId6"/>
          <w:pgSz w:w="11910" w:h="16840"/>
          <w:pgMar w:footer="1668" w:header="0" w:top="1380" w:bottom="1860" w:left="960" w:right="760"/>
          <w:pgNumType w:start="2"/>
        </w:sectPr>
      </w:pPr>
    </w:p>
    <w:p>
      <w:pPr>
        <w:pStyle w:val="BodyText"/>
        <w:spacing w:line="273" w:lineRule="auto" w:before="5"/>
        <w:ind w:left="117" w:right="138"/>
        <w:jc w:val="both"/>
      </w:pPr>
      <w:r>
        <w:rPr/>
        <w:t>制</w:t>
      </w:r>
      <w:r>
        <w:rPr>
          <w:spacing w:val="-23"/>
        </w:rPr>
        <w:t>），</w:t>
      </w:r>
      <w:r>
        <w:rPr/>
        <w:t>且自确诊日起生存满30</w:t>
      </w:r>
      <w:r>
        <w:rPr>
          <w:spacing w:val="-5"/>
        </w:rPr>
        <w:t>天，我们按被保险人确诊时本附加险合同基本保险金额的</w:t>
      </w:r>
      <w:r>
        <w:rPr/>
        <w:t>10%给付早期治疗保险金，本项责任终止。给付早期治疗保险金后，主险合同及本附加险合同的基本保险金额并不随之减少相应给付额度。</w:t>
      </w:r>
    </w:p>
    <w:p>
      <w:pPr>
        <w:pStyle w:val="BodyText"/>
        <w:spacing w:line="264" w:lineRule="auto" w:before="7"/>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天内（含第180天），被保险人经医院确诊患一项或多项本条款附表一中列明的早期治疗保险金疾病（但因遭受意外伤害事故导致的除外），我们无息返还本附加险合同已交保险费，本附加险合同效力终止。</w:t>
      </w:r>
    </w:p>
    <w:p>
      <w:pPr>
        <w:pStyle w:val="BodyText"/>
        <w:spacing w:before="10"/>
        <w:ind w:left="0"/>
        <w:rPr>
          <w:sz w:val="27"/>
        </w:rPr>
      </w:pPr>
    </w:p>
    <w:p>
      <w:pPr>
        <w:pStyle w:val="BodyText"/>
        <w:spacing w:before="0"/>
        <w:ind w:left="117"/>
      </w:pPr>
      <w:r>
        <w:rPr/>
        <w:t>（</w:t>
      </w:r>
      <w:r>
        <w:rPr>
          <w:rFonts w:ascii="Times New Roman" w:eastAsia="Times New Roman"/>
        </w:rPr>
        <w:t>2</w:t>
      </w:r>
      <w:r>
        <w:rPr/>
        <w:t>）重大疾病保险金</w:t>
      </w:r>
    </w:p>
    <w:p>
      <w:pPr>
        <w:pStyle w:val="BodyText"/>
        <w:spacing w:line="261" w:lineRule="auto" w:before="0"/>
        <w:ind w:left="117" w:right="13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患一项或多项本条款附表一所定义的重大疾病</w:t>
      </w:r>
      <w:r>
        <w:rPr/>
        <w:t>（但因遭受意外伤害事故导致的不受此</w:t>
      </w:r>
      <w:r>
        <w:rPr>
          <w:rFonts w:ascii="Times New Roman" w:eastAsia="Times New Roman"/>
        </w:rPr>
        <w:t>180</w:t>
      </w:r>
      <w:r>
        <w:rPr/>
        <w:t>天限制</w:t>
      </w:r>
      <w:r>
        <w:rPr>
          <w:spacing w:val="-23"/>
        </w:rPr>
        <w:t>），</w:t>
      </w:r>
      <w:r>
        <w:rPr/>
        <w:t>且自确诊日起生存满30天，我们按被保险人确诊时本附加险合同的基本保险金额给付重大疾病保险金，本附加险合同效力终止。</w:t>
      </w:r>
    </w:p>
    <w:p>
      <w:pPr>
        <w:pStyle w:val="BodyText"/>
        <w:spacing w:line="264" w:lineRule="auto" w:before="18"/>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天内（含第180天），被保险人经医院确诊患一项或多项本条款附表一所定义的重大疾病（但因遭受意外伤害事故导致的除外），我们无息返还本附加险合同已交保险费，本附加险合同效力终止。</w:t>
      </w:r>
    </w:p>
    <w:p>
      <w:pPr>
        <w:pStyle w:val="BodyText"/>
        <w:spacing w:before="10"/>
        <w:ind w:left="0"/>
        <w:rPr>
          <w:sz w:val="25"/>
        </w:rPr>
      </w:pPr>
    </w:p>
    <w:p>
      <w:pPr>
        <w:pStyle w:val="BodyText"/>
        <w:spacing w:before="0"/>
        <w:ind w:left="537"/>
      </w:pPr>
      <w:r>
        <w:rPr/>
        <w:t>被保险人在本附加险合同生效日时已满 </w:t>
      </w:r>
      <w:r>
        <w:rPr>
          <w:rFonts w:ascii="Times New Roman" w:eastAsia="Times New Roman"/>
        </w:rPr>
        <w:t>18  </w:t>
      </w:r>
      <w:r>
        <w:rPr/>
        <w:t>周岁的，如果被保险人在本附加险合同生效日或最后复效日</w:t>
      </w:r>
    </w:p>
    <w:p>
      <w:pPr>
        <w:pStyle w:val="BodyText"/>
        <w:spacing w:line="247" w:lineRule="auto" w:before="8"/>
        <w:ind w:left="117" w:right="67"/>
      </w:pPr>
      <w:r>
        <w:rPr/>
        <w:t>（以较迟者为准）起 </w:t>
      </w:r>
      <w:r>
        <w:rPr>
          <w:rFonts w:ascii="Times New Roman" w:eastAsia="Times New Roman"/>
        </w:rPr>
        <w:t>180 </w:t>
      </w:r>
      <w:r>
        <w:rPr/>
        <w:t>天内（含第 </w:t>
      </w:r>
      <w:r>
        <w:rPr>
          <w:rFonts w:ascii="Times New Roman" w:eastAsia="Times New Roman"/>
        </w:rPr>
        <w:t>180 </w:t>
      </w:r>
      <w:r>
        <w:rPr/>
        <w:t>天）因疾病身故，我们无息退还本附加险合同的已交保险费，本附加险合同效力终止。</w:t>
      </w:r>
    </w:p>
    <w:p>
      <w:pPr>
        <w:pStyle w:val="BodyText"/>
        <w:spacing w:line="247" w:lineRule="auto" w:before="18"/>
        <w:ind w:left="117" w:right="137" w:firstLine="420"/>
        <w:jc w:val="both"/>
      </w:pPr>
      <w:r>
        <w:rPr>
          <w:spacing w:val="-4"/>
        </w:rPr>
        <w:t>被保险人在本附加险合同生效日时未满 </w:t>
      </w:r>
      <w:r>
        <w:rPr>
          <w:rFonts w:ascii="Times New Roman" w:eastAsia="Times New Roman"/>
        </w:rPr>
        <w:t>18 </w:t>
      </w:r>
      <w:r>
        <w:rPr>
          <w:spacing w:val="-14"/>
        </w:rPr>
        <w:t>周岁的，如果被保险人在年满 </w:t>
      </w:r>
      <w:r>
        <w:rPr>
          <w:rFonts w:ascii="Times New Roman" w:eastAsia="Times New Roman"/>
        </w:rPr>
        <w:t>18 </w:t>
      </w:r>
      <w:r>
        <w:rPr>
          <w:spacing w:val="-8"/>
        </w:rPr>
        <w:t>周岁的首个保险单周年日</w:t>
      </w:r>
      <w:r>
        <w:rPr/>
        <w:t>（不含）前身故，我们无息退还本附加险合同的已交保险费，本附加险合同效力终止。</w:t>
      </w:r>
    </w:p>
    <w:p>
      <w:pPr>
        <w:pStyle w:val="BodyText"/>
        <w:spacing w:before="3"/>
        <w:ind w:left="0"/>
        <w:rPr>
          <w:sz w:val="25"/>
        </w:rPr>
      </w:pPr>
    </w:p>
    <w:p>
      <w:pPr>
        <w:pStyle w:val="Heading1"/>
        <w:numPr>
          <w:ilvl w:val="1"/>
          <w:numId w:val="2"/>
        </w:numPr>
        <w:tabs>
          <w:tab w:pos="592" w:val="left" w:leader="none"/>
        </w:tabs>
        <w:spacing w:line="291" w:lineRule="exact" w:before="0" w:after="0"/>
        <w:ind w:left="591" w:right="0" w:hanging="474"/>
        <w:jc w:val="both"/>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8"/>
        <w:ind w:left="117"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both"/>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both"/>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spacing w:before="21"/>
        <w:ind w:left="117"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11</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pStyle w:val="BodyText"/>
        <w:spacing w:before="12"/>
        <w:ind w:left="0"/>
        <w:rPr>
          <w:b/>
          <w:sz w:val="14"/>
        </w:rPr>
      </w:pPr>
      <w:r>
        <w:rPr/>
        <w:pict>
          <v:line style="position:absolute;mso-position-horizontal-relative:page;mso-position-vertical-relative:paragraph;z-index:1072;mso-wrap-distance-left:0;mso-wrap-distance-right:0" from="53.880001pt,12.046597pt" to="197.880001pt,12.046597pt" stroked="true" strokeweight=".54001pt" strokecolor="#000000">
            <v:stroke dashstyle="solid"/>
            <w10:wrap type="topAndBottom"/>
          </v:line>
        </w:pict>
      </w:r>
    </w:p>
    <w:p>
      <w:pPr>
        <w:spacing w:before="56"/>
        <w:ind w:left="117" w:right="0" w:firstLine="0"/>
        <w:jc w:val="both"/>
        <w:rPr>
          <w:rFonts w:ascii="楷体" w:eastAsia="楷体" w:hint="eastAsia"/>
          <w:sz w:val="18"/>
        </w:rPr>
      </w:pPr>
      <w:r>
        <w:rPr>
          <w:rFonts w:ascii="Times New Roman" w:eastAsia="Times New Roman"/>
          <w:w w:val="95"/>
          <w:position w:val="10"/>
          <w:sz w:val="14"/>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0"/>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4" w:lineRule="exact" w:before="35"/>
        <w:ind w:left="117"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4" w:lineRule="exact" w:before="0"/>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before="25"/>
        <w:ind w:left="117" w:right="0" w:firstLine="0"/>
        <w:jc w:val="both"/>
        <w:rPr>
          <w:rFonts w:ascii="楷体" w:eastAsia="楷体" w:hint="eastAsia"/>
          <w:sz w:val="18"/>
        </w:rPr>
      </w:pPr>
      <w:r>
        <w:rPr>
          <w:rFonts w:ascii="Times New Roman" w:eastAsia="Times New Roman"/>
          <w:w w:val="95"/>
          <w:position w:val="10"/>
          <w:sz w:val="14"/>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0"/>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before="35"/>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17" w:right="10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after="0" w:line="237" w:lineRule="auto"/>
        <w:jc w:val="both"/>
        <w:rPr>
          <w:rFonts w:ascii="楷体" w:eastAsia="楷体" w:hint="eastAsia"/>
          <w:sz w:val="18"/>
        </w:rPr>
        <w:sectPr>
          <w:pgSz w:w="11910" w:h="16840"/>
          <w:pgMar w:header="0" w:footer="1668" w:top="1380" w:bottom="1880" w:left="960" w:right="780"/>
        </w:sectPr>
      </w:pPr>
    </w:p>
    <w:p>
      <w:pPr>
        <w:pStyle w:val="Heading1"/>
        <w:spacing w:before="25"/>
        <w:ind w:left="117" w:firstLine="0"/>
      </w:pPr>
      <w:r>
        <w:rPr>
          <w:w w:val="95"/>
        </w:rPr>
        <w:t>（</w:t>
      </w:r>
      <w:r>
        <w:rPr>
          <w:rFonts w:ascii="Times New Roman" w:eastAsia="Times New Roman"/>
          <w:w w:val="95"/>
        </w:rPr>
        <w:t>6</w:t>
      </w:r>
      <w:r>
        <w:rPr>
          <w:w w:val="95"/>
        </w:rPr>
        <w:t>）战争、军事冲突、暴乱或武装叛乱；</w:t>
      </w:r>
    </w:p>
    <w:p>
      <w:pPr>
        <w:spacing w:before="20"/>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spacing w:line="261" w:lineRule="auto" w:before="30"/>
        <w:ind w:left="117" w:right="217" w:firstLine="412"/>
        <w:jc w:val="left"/>
        <w:rPr>
          <w:b/>
          <w:sz w:val="21"/>
        </w:rPr>
      </w:pPr>
      <w:r>
        <w:rPr>
          <w:b/>
          <w:sz w:val="21"/>
        </w:rPr>
        <w:t>发生上述第１项情形导致保险事故的，本附加险合同效力终止，我们向具有受益权的受益人退还本附加</w:t>
      </w:r>
      <w:r>
        <w:rPr>
          <w:b/>
          <w:w w:val="95"/>
          <w:sz w:val="21"/>
        </w:rPr>
        <w:t>险合同的现金价值</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w:t>
      </w:r>
    </w:p>
    <w:p>
      <w:pPr>
        <w:spacing w:line="263" w:lineRule="exact" w:before="0"/>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0"/>
      <w:bookmarkEnd w:id="10"/>
      <w:r>
        <w:rPr>
          <w:w w:val="95"/>
        </w:rPr>
        <w:t>如何申请领取保险金</w:t>
      </w:r>
    </w:p>
    <w:p>
      <w:pPr>
        <w:pStyle w:val="BodyText"/>
        <w:spacing w:before="10"/>
        <w:ind w:left="0"/>
        <w:rPr>
          <w:b/>
          <w:sz w:val="20"/>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3" w:id="11"/>
      <w:bookmarkEnd w:id="11"/>
      <w:r>
        <w:rPr>
          <w:w w:val="95"/>
        </w:rPr>
        <w:t>受益人</w:t>
      </w:r>
    </w:p>
    <w:p>
      <w:pPr>
        <w:pStyle w:val="BodyText"/>
        <w:spacing w:before="0"/>
        <w:ind w:left="537"/>
      </w:pPr>
      <w:r>
        <w:rPr/>
        <w:t>如无特别约定，本附加险合同保险金的受益人为被保险人本人。</w:t>
      </w:r>
    </w:p>
    <w:p>
      <w:pPr>
        <w:pStyle w:val="BodyText"/>
        <w:spacing w:before="9"/>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2" w:id="12"/>
      <w:bookmarkEnd w:id="12"/>
      <w:r>
        <w:rPr>
          <w:w w:val="95"/>
        </w:rPr>
        <w:t>保险金申请</w:t>
      </w:r>
    </w:p>
    <w:p>
      <w:pPr>
        <w:pStyle w:val="BodyText"/>
        <w:spacing w:before="9"/>
        <w:ind w:left="537"/>
      </w:pPr>
      <w:r>
        <w:rPr/>
        <w:t>在申请重大疾病保险金或早期治疗保险金时，申请人须填写保险金给付申请书，并提供下列证明和资料：</w:t>
      </w:r>
    </w:p>
    <w:p>
      <w:pPr>
        <w:pStyle w:val="BodyText"/>
        <w:spacing w:before="24"/>
        <w:ind w:left="117"/>
      </w:pPr>
      <w:r>
        <w:rPr/>
        <w:t>（</w:t>
      </w:r>
      <w:r>
        <w:rPr>
          <w:rFonts w:ascii="Times New Roman" w:eastAsia="Times New Roman"/>
        </w:rPr>
        <w:t>1</w:t>
      </w:r>
      <w:r>
        <w:rPr/>
        <w:t>）保险合同或其他保险凭证；</w:t>
      </w:r>
    </w:p>
    <w:p>
      <w:pPr>
        <w:spacing w:before="8"/>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BodyText"/>
        <w:spacing w:before="8"/>
        <w:ind w:left="117"/>
      </w:pPr>
      <w:r>
        <w:rPr/>
        <w:t>（</w:t>
      </w:r>
      <w:r>
        <w:rPr>
          <w:rFonts w:ascii="Times New Roman" w:eastAsia="Times New Roman"/>
        </w:rPr>
        <w:t>3</w:t>
      </w:r>
      <w:r>
        <w:rPr/>
        <w:t>）医院出具的附有被保险人病理、血液及其他科学方法检验报告等诊断证明文件；</w:t>
      </w:r>
    </w:p>
    <w:p>
      <w:pPr>
        <w:pStyle w:val="BodyText"/>
        <w:spacing w:before="8"/>
        <w:ind w:left="117"/>
      </w:pPr>
      <w:r>
        <w:rPr/>
        <w:t>（</w:t>
      </w:r>
      <w:r>
        <w:rPr>
          <w:rFonts w:ascii="Times New Roman" w:eastAsia="Times New Roman"/>
        </w:rPr>
        <w:t>4</w:t>
      </w:r>
      <w:r>
        <w:rPr/>
        <w:t>）所能提供的与确认保险事故的性质、原因等有关的其他证明和资料。</w:t>
      </w:r>
    </w:p>
    <w:p>
      <w:pPr>
        <w:pStyle w:val="BodyText"/>
        <w:spacing w:before="8"/>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1" w:id="13"/>
      <w:bookmarkEnd w:id="13"/>
      <w:r>
        <w:rPr>
          <w:w w:val="95"/>
        </w:rPr>
        <w:t>诉讼时效</w:t>
      </w:r>
    </w:p>
    <w:p>
      <w:pPr>
        <w:pStyle w:val="BodyText"/>
        <w:spacing w:before="9"/>
        <w:ind w:left="388" w:right="108"/>
        <w:jc w:val="center"/>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0" w:id="14"/>
      <w:bookmarkEnd w:id="14"/>
      <w:r>
        <w:rPr>
          <w:w w:val="95"/>
        </w:rPr>
        <w:t>如何交纳保险费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9" w:id="15"/>
      <w:bookmarkEnd w:id="15"/>
      <w:r>
        <w:rPr>
          <w:w w:val="95"/>
        </w:rPr>
        <w:t>保险费的交纳</w:t>
      </w:r>
    </w:p>
    <w:p>
      <w:pPr>
        <w:pStyle w:val="BodyText"/>
        <w:spacing w:line="261" w:lineRule="auto" w:before="9"/>
        <w:ind w:left="553" w:right="1514" w:hanging="16"/>
      </w:pPr>
      <w:r>
        <w:rPr/>
        <w:t>本附加险合同保险费的交费期间和交费方式由您和我们约定，并在保险单或批注上列明。您在交纳了首期保险费后，应在保险费约定支付日交纳其余各期的保险费。</w:t>
      </w:r>
    </w:p>
    <w:p>
      <w:pPr>
        <w:pStyle w:val="BodyText"/>
        <w:spacing w:line="261" w:lineRule="auto" w:before="6"/>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pPr>
      <w:r>
        <w:rPr/>
        <w:t>我们进行保险费率调整后，您须按调整后的保险费率交纳续期保险费，保险费率调整前您已经交纳的保险费不受影响。</w:t>
      </w:r>
    </w:p>
    <w:p>
      <w:pPr>
        <w:pStyle w:val="BodyText"/>
        <w:spacing w:before="5"/>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8" w:id="16"/>
      <w:bookmarkEnd w:id="16"/>
      <w:r>
        <w:rPr>
          <w:w w:val="95"/>
        </w:rPr>
        <w:t>合同效力的中止与恢复</w:t>
      </w:r>
    </w:p>
    <w:p>
      <w:pPr>
        <w:pStyle w:val="BodyText"/>
        <w:spacing w:before="6"/>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pStyle w:val="BodyText"/>
        <w:spacing w:before="8"/>
        <w:ind w:left="537"/>
      </w:pPr>
      <w:r>
        <w:rPr/>
        <w:t>在本附加险合同效力中止期间，我们不承担保险责任。</w:t>
      </w:r>
    </w:p>
    <w:p>
      <w:pPr>
        <w:pStyle w:val="BodyText"/>
        <w:spacing w:before="1"/>
        <w:ind w:left="0"/>
        <w:rPr>
          <w:sz w:val="14"/>
        </w:rPr>
      </w:pPr>
      <w:r>
        <w:rPr/>
        <w:pict>
          <v:line style="position:absolute;mso-position-horizontal-relative:page;mso-position-vertical-relative:paragraph;z-index:1096;mso-wrap-distance-left:0;mso-wrap-distance-right:0" from="53.880001pt,11.481167pt" to="197.880001pt,11.481167pt" stroked="true" strokeweight=".54001pt" strokecolor="#000000">
            <v:stroke dashstyle="solid"/>
            <w10:wrap type="topAndBottom"/>
          </v:line>
        </w:pict>
      </w:r>
    </w:p>
    <w:p>
      <w:pPr>
        <w:spacing w:before="23"/>
        <w:ind w:left="117" w:right="0" w:firstLine="0"/>
        <w:jc w:val="left"/>
        <w:rPr>
          <w:rFonts w:ascii="楷体" w:eastAsia="楷体" w:hint="eastAsia"/>
          <w:sz w:val="18"/>
        </w:rPr>
      </w:pPr>
      <w:r>
        <w:rPr>
          <w:rFonts w:ascii="Times New Roman" w:eastAsia="Times New Roman"/>
          <w:position w:val="10"/>
          <w:sz w:val="14"/>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4"/>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5"/>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0" w:lineRule="exact" w:before="0"/>
        <w:ind w:left="117" w:right="0" w:firstLine="0"/>
        <w:jc w:val="left"/>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left"/>
        <w:rPr>
          <w:rFonts w:ascii="楷体" w:eastAsia="楷体" w:hint="eastAsia"/>
          <w:sz w:val="18"/>
        </w:rPr>
      </w:pPr>
      <w:r>
        <w:rPr>
          <w:rFonts w:ascii="楷体" w:eastAsia="楷体" w:hint="eastAsia"/>
          <w:sz w:val="18"/>
        </w:rPr>
        <w:t>证、士兵证等证件。</w:t>
      </w:r>
    </w:p>
    <w:p>
      <w:pPr>
        <w:spacing w:after="0" w:line="235" w:lineRule="exact"/>
        <w:jc w:val="left"/>
        <w:rPr>
          <w:rFonts w:ascii="楷体" w:eastAsia="楷体" w:hint="eastAsia"/>
          <w:sz w:val="18"/>
        </w:rPr>
        <w:sectPr>
          <w:pgSz w:w="11910" w:h="16840"/>
          <w:pgMar w:header="0" w:footer="1668" w:top="1360" w:bottom="1880" w:left="960" w:right="700"/>
        </w:sectPr>
      </w:pPr>
    </w:p>
    <w:p>
      <w:pPr>
        <w:pStyle w:val="Heading1"/>
        <w:numPr>
          <w:ilvl w:val="1"/>
          <w:numId w:val="2"/>
        </w:numPr>
        <w:tabs>
          <w:tab w:pos="591" w:val="left" w:leader="none"/>
          <w:tab w:pos="592" w:val="left" w:leader="none"/>
        </w:tabs>
        <w:spacing w:line="291" w:lineRule="exact" w:before="95" w:after="0"/>
        <w:ind w:left="591" w:right="0" w:hanging="474"/>
        <w:jc w:val="left"/>
      </w:pPr>
      <w:bookmarkStart w:name="_TOC_250006" w:id="18"/>
      <w:bookmarkEnd w:id="18"/>
      <w:r>
        <w:rPr>
          <w:w w:val="95"/>
        </w:rPr>
        <w:t>合同效力的恢复</w:t>
      </w:r>
    </w:p>
    <w:p>
      <w:pPr>
        <w:pStyle w:val="BodyText"/>
        <w:spacing w:line="264" w:lineRule="auto" w:before="0"/>
        <w:ind w:left="117" w:right="218" w:firstLine="368"/>
        <w:jc w:val="both"/>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56" w:lineRule="auto" w:before="16"/>
        <w:ind w:left="117" w:right="218" w:firstLine="368"/>
        <w:jc w:val="both"/>
      </w:pPr>
      <w:r>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ind w:left="0"/>
        <w:rPr>
          <w:sz w:val="25"/>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9"/>
        <w:ind w:left="117" w:right="111"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7" w:right="219" w:firstLine="420"/>
        <w:jc w:val="both"/>
      </w:pPr>
      <w:r>
        <w:rPr>
          <w:spacing w:val="-4"/>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219" w:firstLine="420"/>
        <w:jc w:val="both"/>
      </w:pPr>
      <w:r>
        <w:rPr>
          <w:spacing w:val="-4"/>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1"/>
      <w:bookmarkEnd w:id="21"/>
      <w:r>
        <w:rPr>
          <w:w w:val="95"/>
        </w:rPr>
        <w:t>扣除款项</w:t>
      </w:r>
    </w:p>
    <w:p>
      <w:pPr>
        <w:pStyle w:val="BodyText"/>
        <w:spacing w:line="261" w:lineRule="auto" w:before="8"/>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0"/>
        <w:ind w:left="0"/>
        <w:rPr>
          <w:sz w:val="20"/>
        </w:rPr>
      </w:pPr>
    </w:p>
    <w:p>
      <w:pPr>
        <w:pStyle w:val="BodyText"/>
        <w:spacing w:before="3"/>
        <w:ind w:left="0"/>
        <w:rPr>
          <w:sz w:val="26"/>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2"/>
      <w:bookmarkEnd w:id="22"/>
      <w:r>
        <w:rPr>
          <w:w w:val="95"/>
        </w:rPr>
        <w:t>职业或工种变更</w:t>
      </w:r>
    </w:p>
    <w:p>
      <w:pPr>
        <w:pStyle w:val="BodyText"/>
        <w:spacing w:line="261" w:lineRule="auto" w:before="8"/>
        <w:ind w:left="117" w:right="220" w:firstLine="420"/>
        <w:jc w:val="both"/>
      </w:pPr>
      <w:r>
        <w:rPr>
          <w:spacing w:val="-8"/>
        </w:rPr>
        <w:t>被保险人变更职业或工种时，您或被保险人应于被保险人变更职业或工种之日起 </w:t>
      </w:r>
      <w:r>
        <w:rPr/>
        <w:t>10</w:t>
      </w:r>
      <w:r>
        <w:rPr>
          <w:spacing w:val="-9"/>
        </w:rPr>
        <w:t> 日内以书面形式通知</w:t>
      </w:r>
      <w:r>
        <w:rPr>
          <w:spacing w:val="-1"/>
        </w:rPr>
        <w:t>我们。若职业或工种的变更导致续期保险费的调整，请您按调整后的保险费交付以后各期保险费。</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1" w:id="23"/>
      <w:bookmarkEnd w:id="23"/>
      <w:r>
        <w:rPr>
          <w:w w:val="95"/>
        </w:rPr>
        <w:t>与主险合同效力的关系</w:t>
      </w:r>
    </w:p>
    <w:p>
      <w:pPr>
        <w:pStyle w:val="BodyText"/>
        <w:spacing w:before="8"/>
        <w:ind w:left="537"/>
      </w:pPr>
      <w:r>
        <w:rPr/>
        <w:t>除本附加险合同另有约定外，</w:t>
      </w:r>
    </w:p>
    <w:p>
      <w:pPr>
        <w:pStyle w:val="BodyText"/>
        <w:spacing w:before="24"/>
        <w:ind w:left="117"/>
      </w:pPr>
      <w:r>
        <w:rPr/>
        <w:t>（1）主险合同效力中止时，本附加险合同效力同时中止；</w:t>
      </w:r>
    </w:p>
    <w:p>
      <w:pPr>
        <w:pStyle w:val="BodyText"/>
        <w:spacing w:before="24"/>
        <w:ind w:left="117"/>
      </w:pPr>
      <w:r>
        <w:rPr/>
        <w:t>（2）主险合同效力终止时，本附加险合同效力同时终止。</w:t>
      </w:r>
    </w:p>
    <w:p>
      <w:pPr>
        <w:pStyle w:val="BodyText"/>
        <w:spacing w:before="0"/>
        <w:ind w:left="0"/>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4"/>
      <w:bookmarkEnd w:id="24"/>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）宽限期</w:t>
      </w:r>
    </w:p>
    <w:p>
      <w:pPr>
        <w:pStyle w:val="BodyText"/>
        <w:spacing w:line="264" w:lineRule="exact" w:before="0"/>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77" w:lineRule="exact" w:before="0"/>
        <w:ind w:left="117"/>
      </w:pPr>
      <w:r>
        <w:rPr/>
        <w:t>（</w:t>
      </w:r>
      <w:r>
        <w:rPr>
          <w:rFonts w:ascii="Times New Roman" w:eastAsia="Times New Roman"/>
        </w:rPr>
        <w:t>7</w:t>
      </w:r>
      <w:r>
        <w:rPr/>
        <w:t>）明确说明与如实告知</w:t>
      </w:r>
    </w:p>
    <w:p>
      <w:pPr>
        <w:spacing w:after="0" w:line="277" w:lineRule="exact"/>
        <w:sectPr>
          <w:pgSz w:w="11910" w:h="16840"/>
          <w:pgMar w:header="0" w:footer="1668" w:top="1600" w:bottom="1860" w:left="960" w:right="700"/>
        </w:sectPr>
      </w:pPr>
    </w:p>
    <w:p>
      <w:pPr>
        <w:pStyle w:val="BodyText"/>
        <w:spacing w:line="277" w:lineRule="exact" w:before="25"/>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64" w:lineRule="exact" w:before="0"/>
        <w:ind w:left="117"/>
      </w:pPr>
      <w:r>
        <w:rPr/>
        <w:t>（</w:t>
      </w:r>
      <w:r>
        <w:rPr>
          <w:rFonts w:ascii="Times New Roman" w:eastAsia="Times New Roman"/>
        </w:rPr>
        <w:t>11</w:t>
      </w:r>
      <w:r>
        <w:rPr/>
        <w:t>）争议处理</w:t>
      </w:r>
    </w:p>
    <w:p>
      <w:pPr>
        <w:pStyle w:val="BodyText"/>
        <w:spacing w:line="261" w:lineRule="exact" w:before="0"/>
        <w:ind w:left="521" w:right="2658"/>
        <w:jc w:val="center"/>
      </w:pPr>
      <w:r>
        <w:rPr/>
        <w:t>若主险合同与本附加险合同的条款相抵触的，以本附加险合同的条款为准。</w:t>
      </w:r>
    </w:p>
    <w:p>
      <w:pPr>
        <w:pStyle w:val="BodyText"/>
        <w:spacing w:before="3"/>
        <w:ind w:left="0"/>
        <w:rPr>
          <w:sz w:val="25"/>
        </w:rPr>
      </w:pPr>
    </w:p>
    <w:p>
      <w:pPr>
        <w:pStyle w:val="Heading1"/>
        <w:spacing w:line="254" w:lineRule="auto" w:before="1"/>
        <w:ind w:left="225" w:right="4123" w:hanging="108"/>
      </w:pPr>
      <w:r>
        <w:rPr/>
        <w:t>附表一：重大疾病名称及定义和早期治疗保险金疾病名称及定义</w:t>
      </w:r>
      <w:r>
        <w:rPr>
          <w:w w:val="95"/>
        </w:rPr>
        <w:t>重大疾病名称及定义：</w:t>
      </w:r>
    </w:p>
    <w:p>
      <w:pPr>
        <w:spacing w:line="273" w:lineRule="auto" w:before="24"/>
        <w:ind w:left="225" w:right="952"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16</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jc w:val="both"/>
      </w:pPr>
      <w:r>
        <w:rPr/>
        <w:t>足下列至少三项条件：</w:t>
      </w:r>
    </w:p>
    <w:p>
      <w:pPr>
        <w:pStyle w:val="BodyText"/>
        <w:spacing w:before="37"/>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line="256" w:lineRule="auto"/>
        <w:ind w:right="84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jc w:val="both"/>
      </w:pPr>
      <w:r>
        <w:rPr/>
        <w:t>天后，仍遗留下列一种或一种以上障碍：</w:t>
      </w:r>
    </w:p>
    <w:p>
      <w:pPr>
        <w:spacing w:before="36"/>
        <w:ind w:left="3002"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w:t>
      </w:r>
    </w:p>
    <w:p>
      <w:pPr>
        <w:pStyle w:val="Heading1"/>
        <w:spacing w:before="21"/>
        <w:ind w:left="3002" w:firstLine="0"/>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18</w:t>
      </w:r>
      <w:r>
        <w:rPr>
          <w:rFonts w:ascii="Times New Roman" w:eastAsia="Times New Roman"/>
          <w:w w:val="95"/>
          <w:vertAlign w:val="baseline"/>
        </w:rPr>
      </w:r>
      <w:r>
        <w:rPr>
          <w:b w:val="0"/>
          <w:w w:val="95"/>
          <w:vertAlign w:val="baseline"/>
        </w:rPr>
        <w:t>；</w:t>
      </w:r>
    </w:p>
    <w:p>
      <w:pPr>
        <w:spacing w:before="21"/>
        <w:ind w:left="3002" w:right="0" w:firstLine="0"/>
        <w:jc w:val="both"/>
        <w:rPr>
          <w:rFonts w:ascii="Times New Roman" w:eastAsia="Times New Roman"/>
          <w:b/>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六项基本日常生活活动</w:t>
      </w:r>
      <w:r>
        <w:rPr>
          <w:rFonts w:ascii="Times New Roman" w:eastAsia="Times New Roman"/>
          <w:b/>
          <w:w w:val="95"/>
          <w:sz w:val="21"/>
          <w:vertAlign w:val="superscript"/>
        </w:rPr>
        <w:t>19</w:t>
      </w:r>
      <w:r>
        <w:rPr>
          <w:rFonts w:ascii="Times New Roman" w:eastAsia="Times New Roman"/>
          <w:b/>
          <w:w w:val="95"/>
          <w:sz w:val="21"/>
          <w:vertAlign w:val="baseline"/>
        </w:rPr>
      </w:r>
    </w:p>
    <w:p>
      <w:pPr>
        <w:pStyle w:val="BodyText"/>
        <w:spacing w:before="6"/>
        <w:ind w:left="0"/>
        <w:rPr>
          <w:rFonts w:ascii="Times New Roman"/>
          <w:b/>
          <w:sz w:val="20"/>
        </w:rPr>
      </w:pPr>
      <w:r>
        <w:rPr/>
        <w:pict>
          <v:line style="position:absolute;mso-position-horizontal-relative:page;mso-position-vertical-relative:paragraph;z-index:1120;mso-wrap-distance-left:0;mso-wrap-distance-right:0" from="53.880001pt,14.057862pt" to="197.880001pt,14.057862pt" stroked="true" strokeweight=".53999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before="0"/>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line="232" w:lineRule="exact" w:before="1"/>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4"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2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jc w:val="left"/>
        <w:rPr>
          <w:rFonts w:ascii="楷体" w:eastAsia="楷体" w:hint="eastAsia"/>
          <w:sz w:val="18"/>
        </w:rPr>
        <w:sectPr>
          <w:pgSz w:w="11910" w:h="16840"/>
          <w:pgMar w:header="0" w:footer="1668" w:top="1340" w:bottom="1880" w:left="960" w:right="800"/>
        </w:sectPr>
      </w:pPr>
    </w:p>
    <w:p>
      <w:pPr>
        <w:pStyle w:val="BodyText"/>
        <w:spacing w:before="5"/>
      </w:pPr>
      <w:r>
        <w:rPr/>
        <w:t>中的三项或三项以上。</w:t>
      </w:r>
    </w:p>
    <w:p>
      <w:pPr>
        <w:pStyle w:val="ListParagraph"/>
        <w:numPr>
          <w:ilvl w:val="0"/>
          <w:numId w:val="3"/>
        </w:numPr>
        <w:tabs>
          <w:tab w:pos="394" w:val="left" w:leader="none"/>
        </w:tabs>
        <w:spacing w:line="240" w:lineRule="auto" w:before="44"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68" w:top="1380" w:bottom="1880" w:left="960" w:right="820"/>
        </w:sectPr>
      </w:pPr>
    </w:p>
    <w:p>
      <w:pPr>
        <w:pStyle w:val="BodyText"/>
        <w:spacing w:before="20"/>
        <w:ind w:left="117"/>
      </w:pPr>
      <w:r>
        <w:rPr/>
        <w:t>细胞移植术</w:t>
      </w:r>
    </w:p>
    <w:p>
      <w:pPr>
        <w:pStyle w:val="BodyText"/>
        <w:spacing w:before="20"/>
        <w:ind w:left="117"/>
      </w:pPr>
      <w:r>
        <w:rPr/>
        <w:br w:type="column"/>
      </w:r>
      <w:r>
        <w:rPr/>
        <w:t>心脏或肺脏的异体移植手术。</w:t>
      </w:r>
    </w:p>
    <w:p>
      <w:pPr>
        <w:pStyle w:val="BodyText"/>
        <w:spacing w:line="273" w:lineRule="auto" w:before="36"/>
        <w:ind w:left="117" w:right="82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960" w:right="820"/>
          <w:cols w:num="2" w:equalWidth="0">
            <w:col w:w="1168" w:space="1717"/>
            <w:col w:w="724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520" w:bottom="280" w:left="960" w:right="82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24"/>
      </w:pPr>
      <w:r>
        <w:rPr/>
        <w:t>冠状动脉支架植入术、心导管球囊扩张术、激光射频技术及其他非开胸的介入手术、腔镜手术不在保障范围内。</w:t>
      </w:r>
    </w:p>
    <w:p>
      <w:pPr>
        <w:spacing w:after="0" w:line="273" w:lineRule="auto"/>
        <w:sectPr>
          <w:type w:val="continuous"/>
          <w:pgSz w:w="11910" w:h="16840"/>
          <w:pgMar w:top="520" w:bottom="280" w:left="960" w:right="820"/>
          <w:cols w:num="2" w:equalWidth="0">
            <w:col w:w="1798" w:space="1087"/>
            <w:col w:w="724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520" w:bottom="280" w:left="960" w:right="82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520" w:bottom="280" w:left="960" w:right="820"/>
          <w:cols w:num="2" w:equalWidth="0">
            <w:col w:w="1798" w:space="1087"/>
            <w:col w:w="7245"/>
          </w:cols>
        </w:sectPr>
      </w:pPr>
    </w:p>
    <w:p>
      <w:pPr>
        <w:pStyle w:val="ListParagraph"/>
        <w:numPr>
          <w:ilvl w:val="0"/>
          <w:numId w:val="3"/>
        </w:numPr>
        <w:tabs>
          <w:tab w:pos="382" w:val="left" w:leader="none"/>
          <w:tab w:pos="2823" w:val="left" w:leader="none"/>
        </w:tabs>
        <w:spacing w:line="256" w:lineRule="auto" w:before="11" w:after="0"/>
        <w:ind w:left="3002" w:right="82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82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56" w:lineRule="auto"/>
        <w:ind w:right="197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ind w:right="82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822"/>
      </w:pPr>
      <w:r>
        <w:rPr/>
        <w:t>（</w:t>
      </w:r>
      <w:r>
        <w:rPr>
          <w:rFonts w:ascii="Times New Roman" w:eastAsia="Times New Roman"/>
        </w:rPr>
        <w:t>3</w:t>
      </w:r>
      <w:r>
        <w:rPr/>
        <w:t>）自主生活能力完全丧失，无法独立完成六项基本日常生活活动中的三项或三项以上。</w:t>
      </w:r>
    </w:p>
    <w:p>
      <w:pPr>
        <w:pStyle w:val="BodyText"/>
        <w:spacing w:before="1"/>
        <w:ind w:left="0"/>
        <w:rPr>
          <w:sz w:val="15"/>
        </w:rPr>
      </w:pPr>
      <w:r>
        <w:rPr/>
        <w:pict>
          <v:line style="position:absolute;mso-position-horizontal-relative:page;mso-position-vertical-relative:paragraph;z-index:1144;mso-wrap-distance-left:0;mso-wrap-distance-right:0" from="53.880001pt,12.132574pt" to="549.180001pt,12.132574pt" stroked="true" strokeweight=".53998pt" strokecolor="#000000">
            <v:stroke dashstyle="solid"/>
            <w10:wrap type="topAndBottom"/>
          </v:line>
        </w:pict>
      </w:r>
    </w:p>
    <w:p>
      <w:pPr>
        <w:spacing w:line="241" w:lineRule="exact" w:before="3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6"/>
        <w:ind w:left="117" w:right="10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520" w:bottom="280" w:left="960" w:right="820"/>
        </w:sectPr>
      </w:pPr>
    </w:p>
    <w:p>
      <w:pPr>
        <w:pStyle w:val="ListParagraph"/>
        <w:numPr>
          <w:ilvl w:val="0"/>
          <w:numId w:val="3"/>
        </w:numPr>
        <w:tabs>
          <w:tab w:pos="487" w:val="left" w:leader="none"/>
          <w:tab w:pos="2823" w:val="left" w:leader="none"/>
        </w:tabs>
        <w:spacing w:line="240" w:lineRule="auto" w:before="15"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pPr>
      <w:r>
        <w:rPr/>
        <w:t>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right="9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pPr>
      <w:r>
        <w:rPr/>
        <w:t>神经官能症和精神疾病不在保障范围内。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right="19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pPr>
      <w:r>
        <w:rPr/>
        <w:t>等。须满足下列全部条件：</w:t>
      </w:r>
    </w:p>
    <w:p>
      <w:pPr>
        <w:pStyle w:val="BodyText"/>
        <w:spacing w:before="37"/>
      </w:pPr>
      <w:r>
        <w:rPr/>
        <w:t>（</w:t>
      </w:r>
      <w:r>
        <w:rPr>
          <w:rFonts w:ascii="Times New Roman" w:eastAsia="Times New Roman"/>
        </w:rPr>
        <w:t>1</w:t>
      </w:r>
      <w:r>
        <w:rPr/>
        <w:t>）药物治疗无法控制病情；</w:t>
      </w:r>
    </w:p>
    <w:p>
      <w:pPr>
        <w:pStyle w:val="BodyText"/>
      </w:pPr>
      <w:r>
        <w:rPr/>
        <w:t>（</w:t>
      </w:r>
      <w:r>
        <w:rPr>
          <w:rFonts w:ascii="Times New Roman" w:eastAsia="Times New Roman"/>
        </w:rPr>
        <w:t>2</w:t>
      </w:r>
      <w:r>
        <w:rPr/>
        <w:t>）自主生活能力完全丧失，无法独立完成六项基本日常生活活动</w:t>
      </w:r>
    </w:p>
    <w:p>
      <w:pPr>
        <w:pStyle w:val="BodyText"/>
        <w:spacing w:before="3"/>
        <w:ind w:left="0"/>
        <w:rPr>
          <w:sz w:val="28"/>
        </w:rPr>
      </w:pPr>
      <w:r>
        <w:rPr/>
        <w:pict>
          <v:line style="position:absolute;mso-position-horizontal-relative:page;mso-position-vertical-relative:paragraph;z-index:1168;mso-wrap-distance-left:0;mso-wrap-distance-right:0" from="53.880001pt,20.727211pt" to="197.880001pt,20.727211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20</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668" w:top="1360" w:bottom="1860" w:left="960" w:right="1440"/>
        </w:sectPr>
      </w:pPr>
    </w:p>
    <w:p>
      <w:pPr>
        <w:pStyle w:val="BodyText"/>
        <w:spacing w:before="5"/>
        <w:jc w:val="both"/>
      </w:pPr>
      <w:r>
        <w:rPr/>
        <w:t>中的三项或三项以上。</w:t>
      </w:r>
    </w:p>
    <w:p>
      <w:pPr>
        <w:pStyle w:val="BodyText"/>
        <w:spacing w:before="36"/>
        <w:jc w:val="both"/>
      </w:pPr>
      <w:r>
        <w:rPr/>
        <w:t>继发性帕金森综合征不在保障范围内。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0"/>
        <w:jc w:val="both"/>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7"/>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spacing w:before="20"/>
        <w:jc w:val="both"/>
      </w:pPr>
      <w:r>
        <w:rPr/>
        <w:t>小板减少。须满足下列全部条件：</w:t>
      </w:r>
    </w:p>
    <w:p>
      <w:pPr>
        <w:pStyle w:val="BodyText"/>
        <w:spacing w:before="36"/>
        <w:jc w:val="both"/>
      </w:pPr>
      <w:r>
        <w:rPr/>
        <w:t>（</w:t>
      </w:r>
      <w:r>
        <w:rPr>
          <w:rFonts w:ascii="Times New Roman" w:eastAsia="Times New Roman"/>
        </w:rPr>
        <w:t>1</w:t>
      </w:r>
      <w:r>
        <w:rPr/>
        <w:t>）骨髓穿刺检查或骨髓活检结果支持诊断；</w:t>
      </w:r>
    </w:p>
    <w:p>
      <w:pPr>
        <w:pStyle w:val="BodyText"/>
        <w:jc w:val="both"/>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04"/>
        <w:jc w:val="center"/>
      </w:pPr>
      <w:r>
        <w:rPr/>
        <w:t>② 网织红细胞＜</w:t>
      </w:r>
      <w:r>
        <w:rPr>
          <w:rFonts w:ascii="Times New Roman" w:hAnsi="Times New Roman" w:eastAsia="Times New Roman"/>
        </w:rPr>
        <w:t>1%</w:t>
      </w:r>
      <w:r>
        <w:rPr/>
        <w:t>；</w:t>
      </w:r>
    </w:p>
    <w:p>
      <w:pPr>
        <w:pStyle w:val="BodyText"/>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6"/>
        <w:ind w:left="117"/>
      </w:pPr>
      <w:r>
        <w:rPr/>
        <w:t>（26-39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jc w:val="both"/>
      </w:pPr>
      <w:r>
        <w:rPr/>
        <w:t>科医师确认并符合下列所有条件：</w:t>
      </w:r>
    </w:p>
    <w:p>
      <w:pPr>
        <w:pStyle w:val="BodyText"/>
        <w:spacing w:before="36"/>
        <w:jc w:val="both"/>
      </w:pPr>
      <w:r>
        <w:rPr/>
        <w:t>①  休息时出现呼吸困难；</w:t>
      </w:r>
    </w:p>
    <w:p>
      <w:pPr>
        <w:pStyle w:val="BodyText"/>
        <w:spacing w:before="36"/>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jc w:val="both"/>
      </w:pPr>
      <w:r>
        <w:rPr>
          <w:rFonts w:ascii="Times New Roman" w:eastAsia="Times New Roman"/>
        </w:rPr>
        <w:t>(4)   </w:t>
      </w:r>
      <w:r>
        <w:rPr/>
        <w:t>因缺氧必须接受持续的输氧治疗。</w:t>
      </w:r>
    </w:p>
    <w:p>
      <w:pPr>
        <w:pStyle w:val="ListParagraph"/>
        <w:numPr>
          <w:ilvl w:val="0"/>
          <w:numId w:val="3"/>
        </w:numPr>
        <w:tabs>
          <w:tab w:pos="486" w:val="left" w:leader="none"/>
          <w:tab w:pos="2823" w:val="left" w:leader="none"/>
        </w:tabs>
        <w:spacing w:line="240" w:lineRule="auto" w:before="21" w:after="0"/>
        <w:ind w:left="485" w:right="0" w:hanging="368"/>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spacing w:after="0" w:line="273" w:lineRule="auto"/>
        <w:sectPr>
          <w:pgSz w:w="11910" w:h="16840"/>
          <w:pgMar w:header="0" w:footer="1668" w:top="1380" w:bottom="1920" w:left="960" w:right="1520"/>
        </w:sectPr>
      </w:pPr>
    </w:p>
    <w:p>
      <w:pPr>
        <w:pStyle w:val="BodyText"/>
        <w:spacing w:line="256" w:lineRule="auto" w:before="25"/>
        <w:ind w:right="20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right="20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205"/>
      </w:pPr>
      <w:r>
        <w:rPr/>
        <w:t>无关的骨骼肌对称地进行性无力和萎缩，其诊断需同时符合以下条件：</w:t>
      </w:r>
    </w:p>
    <w:p>
      <w:pPr>
        <w:pStyle w:val="ListParagraph"/>
        <w:numPr>
          <w:ilvl w:val="1"/>
          <w:numId w:val="3"/>
        </w:numPr>
        <w:tabs>
          <w:tab w:pos="3423" w:val="left" w:leader="none"/>
        </w:tabs>
        <w:spacing w:line="240" w:lineRule="auto" w:before="8"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7" w:after="0"/>
        <w:ind w:left="3422" w:right="20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9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7"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68" w:top="1360" w:bottom="1920" w:left="960" w:right="1440"/>
        </w:sectPr>
      </w:pPr>
    </w:p>
    <w:p>
      <w:pPr>
        <w:pStyle w:val="BodyText"/>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1"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7" w:after="0"/>
        <w:ind w:left="537" w:right="19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8" w:after="0"/>
        <w:ind w:left="537" w:right="0" w:hanging="420"/>
        <w:jc w:val="left"/>
        <w:rPr>
          <w:sz w:val="21"/>
        </w:rPr>
      </w:pPr>
      <w:r>
        <w:rPr>
          <w:sz w:val="21"/>
        </w:rPr>
        <w:t>受感染的被保险人不是血友病患者。</w:t>
      </w:r>
    </w:p>
    <w:p>
      <w:pPr>
        <w:pStyle w:val="BodyText"/>
        <w:spacing w:line="273" w:lineRule="auto" w:before="37"/>
        <w:ind w:left="117" w:right="202"/>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17" w:right="20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60" w:right="1440"/>
          <w:cols w:num="2" w:equalWidth="0">
            <w:col w:w="1961" w:space="923"/>
            <w:col w:w="6626"/>
          </w:cols>
        </w:sectPr>
      </w:pP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6"/>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73" w:lineRule="auto"/>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w:t>
      </w:r>
    </w:p>
    <w:p>
      <w:pPr>
        <w:spacing w:after="0" w:line="273" w:lineRule="auto"/>
        <w:jc w:val="both"/>
        <w:sectPr>
          <w:type w:val="continuous"/>
          <w:pgSz w:w="11910" w:h="16840"/>
          <w:pgMar w:top="520" w:bottom="280" w:left="960" w:right="1440"/>
        </w:sectPr>
      </w:pPr>
    </w:p>
    <w:p>
      <w:pPr>
        <w:pStyle w:val="BodyText"/>
        <w:spacing w:before="5"/>
      </w:pPr>
      <w:r>
        <w:rPr/>
        <w:t>且必须有神经科专科医生的医学诊断证明的情况下才能得到理赔。</w:t>
      </w:r>
    </w:p>
    <w:p>
      <w:pPr>
        <w:pStyle w:val="ListParagraph"/>
        <w:numPr>
          <w:ilvl w:val="0"/>
          <w:numId w:val="3"/>
        </w:numPr>
        <w:tabs>
          <w:tab w:pos="487" w:val="left" w:leader="none"/>
          <w:tab w:pos="2823" w:val="left" w:leader="none"/>
        </w:tabs>
        <w:spacing w:line="240" w:lineRule="auto" w:before="47" w:after="0"/>
        <w:ind w:left="486" w:right="0" w:hanging="369"/>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ind w:right="204"/>
      </w:pPr>
      <w:r>
        <w:rPr/>
        <w:t>全身骨骼肌（特别是眼外肌）极易疲劳。疾病可以累及呼吸肌、上肢或下肢的近端肌群或全身肌肉，必须满足下列全部条件：</w:t>
      </w:r>
    </w:p>
    <w:p>
      <w:pPr>
        <w:pStyle w:val="BodyText"/>
        <w:spacing w:before="8"/>
      </w:pPr>
      <w:r>
        <w:rPr/>
        <w:t>（</w:t>
      </w:r>
      <w:r>
        <w:rPr>
          <w:rFonts w:ascii="Times New Roman" w:eastAsia="Times New Roman"/>
        </w:rPr>
        <w:t>1</w:t>
      </w:r>
      <w:r>
        <w:rPr/>
        <w:t>）经药物治疗和胸腺切除治疗一年以上仍无法控制病情；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right="204"/>
      </w:pPr>
      <w:r>
        <w:rPr/>
        <w:t>在短时间内急剧恶化，必须立刻进行手术及清创术。最后的诊断必须由微生物或病理学专家进行相关检查后证实。</w:t>
      </w:r>
    </w:p>
    <w:p>
      <w:pPr>
        <w:pStyle w:val="BodyText"/>
        <w:spacing w:before="3"/>
        <w:ind w:left="0"/>
        <w:rPr>
          <w:sz w:val="24"/>
        </w:rPr>
      </w:pPr>
    </w:p>
    <w:p>
      <w:pPr>
        <w:pStyle w:val="Heading1"/>
        <w:ind w:left="117"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5"/>
        </w:numPr>
        <w:tabs>
          <w:tab w:pos="490" w:val="left" w:leader="none"/>
          <w:tab w:pos="2931" w:val="left" w:leader="none"/>
        </w:tabs>
        <w:spacing w:line="240" w:lineRule="auto" w:before="15" w:after="0"/>
        <w:ind w:left="489" w:right="0" w:hanging="264"/>
        <w:jc w:val="left"/>
        <w:rPr>
          <w:sz w:val="21"/>
        </w:rPr>
      </w:pPr>
      <w:r>
        <w:rPr>
          <w:sz w:val="21"/>
        </w:rPr>
        <w:t>早期恶性病变</w:t>
        <w:tab/>
      </w:r>
      <w:r>
        <w:rPr>
          <w:spacing w:val="-32"/>
          <w:sz w:val="21"/>
        </w:rPr>
        <w:t>：</w:t>
      </w:r>
      <w:r>
        <w:rPr>
          <w:sz w:val="21"/>
        </w:rPr>
        <w:t>对于经组织病理学检查确诊并且己经接受了针对性治疗的下列</w:t>
      </w:r>
      <w:r>
        <w:rPr>
          <w:spacing w:val="2"/>
          <w:sz w:val="21"/>
        </w:rPr>
        <w:t>类</w:t>
      </w:r>
      <w:r>
        <w:rPr>
          <w:sz w:val="21"/>
        </w:rPr>
        <w:t>型</w:t>
      </w:r>
    </w:p>
    <w:p>
      <w:pPr>
        <w:pStyle w:val="BodyText"/>
        <w:spacing w:before="20"/>
        <w:ind w:left="3110"/>
      </w:pPr>
      <w:r>
        <w:rPr/>
        <w:t>的恶性肿瘤，将按约定给付早期治疗保险金：</w:t>
      </w:r>
    </w:p>
    <w:p>
      <w:pPr>
        <w:pStyle w:val="BodyText"/>
        <w:spacing w:before="36"/>
        <w:ind w:left="3110"/>
      </w:pPr>
      <w:r>
        <w:rPr/>
        <w:t>（</w:t>
      </w:r>
      <w:r>
        <w:rPr>
          <w:rFonts w:ascii="Times New Roman" w:eastAsia="Times New Roman"/>
        </w:rPr>
        <w:t>1</w:t>
      </w:r>
      <w:r>
        <w:rPr/>
        <w:t>）原位癌；</w:t>
      </w:r>
    </w:p>
    <w:p>
      <w:pPr>
        <w:pStyle w:val="BodyText"/>
        <w:ind w:left="311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110"/>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11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11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5"/>
        <w:ind w:left="0"/>
        <w:rPr>
          <w:sz w:val="25"/>
        </w:rPr>
      </w:pPr>
    </w:p>
    <w:p>
      <w:pPr>
        <w:pStyle w:val="ListParagraph"/>
        <w:numPr>
          <w:ilvl w:val="0"/>
          <w:numId w:val="5"/>
        </w:numPr>
        <w:tabs>
          <w:tab w:pos="490" w:val="left" w:leader="none"/>
          <w:tab w:pos="2931" w:val="left" w:leader="none"/>
        </w:tabs>
        <w:spacing w:line="240" w:lineRule="auto" w:before="1" w:after="0"/>
        <w:ind w:left="489" w:right="0" w:hanging="264"/>
        <w:jc w:val="left"/>
        <w:rPr>
          <w:sz w:val="21"/>
        </w:rPr>
      </w:pPr>
      <w:r>
        <w:rPr>
          <w:sz w:val="21"/>
        </w:rPr>
        <w:t>不典型急性心肌梗塞</w:t>
        <w:tab/>
      </w:r>
      <w:r>
        <w:rPr>
          <w:spacing w:val="-32"/>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ind w:left="3110" w:right="59"/>
      </w:pPr>
      <w:r>
        <w:rPr/>
        <w:t>到重大疾病提前给付保险金的标准，但已满足下列至少两项条件时， 将按约定给付早期治疗保险金：</w:t>
      </w:r>
    </w:p>
    <w:p>
      <w:pPr>
        <w:spacing w:after="0" w:line="273" w:lineRule="auto"/>
        <w:sectPr>
          <w:pgSz w:w="11910" w:h="16840"/>
          <w:pgMar w:header="0" w:footer="1668" w:top="1380" w:bottom="1920" w:left="960" w:right="1440"/>
        </w:sectPr>
      </w:pPr>
    </w:p>
    <w:p>
      <w:pPr>
        <w:pStyle w:val="BodyText"/>
        <w:spacing w:before="25"/>
        <w:ind w:left="2990"/>
      </w:pPr>
      <w:r>
        <w:rPr/>
        <w:t>（</w:t>
      </w:r>
      <w:r>
        <w:rPr>
          <w:rFonts w:ascii="Times New Roman" w:eastAsia="Times New Roman"/>
        </w:rPr>
        <w:t>1</w:t>
      </w:r>
      <w:r>
        <w:rPr/>
        <w:t>）典型临床表现，例如急性胸痛等；</w:t>
      </w:r>
    </w:p>
    <w:p>
      <w:pPr>
        <w:pStyle w:val="BodyText"/>
        <w:spacing w:before="20"/>
        <w:ind w:left="2990"/>
      </w:pPr>
      <w:r>
        <w:rPr/>
        <w:t>（</w:t>
      </w:r>
      <w:r>
        <w:rPr>
          <w:rFonts w:ascii="Times New Roman" w:eastAsia="Times New Roman"/>
        </w:rPr>
        <w:t>2</w:t>
      </w:r>
      <w:r>
        <w:rPr/>
        <w:t>）新近的心电图改变提示急性心肌梗塞；</w:t>
      </w:r>
    </w:p>
    <w:p>
      <w:pPr>
        <w:pStyle w:val="BodyText"/>
        <w:spacing w:line="256" w:lineRule="auto" w:before="20"/>
        <w:ind w:left="2990" w:right="84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0" w:right="844"/>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3"/>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1668" w:top="1360" w:bottom="1920" w:left="1080" w:right="800"/>
        </w:sectPr>
      </w:pPr>
    </w:p>
    <w:p>
      <w:pPr>
        <w:pStyle w:val="BodyText"/>
        <w:ind w:left="105"/>
      </w:pPr>
      <w:r>
        <w:rPr/>
        <w:t>病的介入性治疗</w:t>
      </w:r>
    </w:p>
    <w:p>
      <w:pPr>
        <w:pStyle w:val="BodyText"/>
        <w:spacing w:line="273" w:lineRule="auto"/>
        <w:ind w:left="105" w:right="699"/>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520" w:bottom="280" w:left="1080" w:right="800"/>
          <w:cols w:num="2" w:equalWidth="0">
            <w:col w:w="1576" w:space="1309"/>
            <w:col w:w="7145"/>
          </w:cols>
        </w:sectPr>
      </w:pPr>
    </w:p>
    <w:p>
      <w:pPr>
        <w:pStyle w:val="BodyText"/>
        <w:spacing w:before="2"/>
        <w:ind w:left="0"/>
      </w:pPr>
    </w:p>
    <w:p>
      <w:pPr>
        <w:pStyle w:val="ListParagraph"/>
        <w:numPr>
          <w:ilvl w:val="0"/>
          <w:numId w:val="5"/>
        </w:numPr>
        <w:tabs>
          <w:tab w:pos="370" w:val="left" w:leader="none"/>
          <w:tab w:pos="2811" w:val="left" w:leader="none"/>
        </w:tabs>
        <w:spacing w:line="240" w:lineRule="auto" w:before="42" w:after="0"/>
        <w:ind w:left="369" w:right="0" w:hanging="264"/>
        <w:jc w:val="left"/>
        <w:rPr>
          <w:sz w:val="21"/>
        </w:rPr>
      </w:pPr>
      <w:r>
        <w:rPr>
          <w:sz w:val="21"/>
        </w:rPr>
        <w:t>轻度脑中风后遗症</w:t>
        <w:tab/>
      </w:r>
      <w:r>
        <w:rPr>
          <w:spacing w:val="-32"/>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before="20"/>
        <w:ind w:left="2990" w:right="844"/>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心脏瓣膜微创手术</w:t>
        <w:tab/>
      </w:r>
      <w:r>
        <w:rPr>
          <w:spacing w:val="-32"/>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ind w:left="2990" w:right="847"/>
        <w:jc w:val="both"/>
      </w:pPr>
      <w:r>
        <w:rPr/>
        <w:t>内镜手术或经皮血管穿刺导管介入手术来进行心脏瓣膜置换或修复，将按约定给付早期治疗保险金。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1" w:val="left" w:leader="none"/>
        </w:tabs>
        <w:spacing w:line="240" w:lineRule="auto" w:before="1" w:after="0"/>
        <w:ind w:left="369" w:right="0" w:hanging="264"/>
        <w:jc w:val="left"/>
        <w:rPr>
          <w:sz w:val="21"/>
        </w:rPr>
      </w:pPr>
      <w:r>
        <w:rPr>
          <w:sz w:val="21"/>
        </w:rPr>
        <w:t>脑垂体</w:t>
      </w:r>
      <w:r>
        <w:rPr>
          <w:spacing w:val="-2"/>
          <w:sz w:val="21"/>
        </w:rPr>
        <w:t>肿</w:t>
      </w:r>
      <w:r>
        <w:rPr>
          <w:sz w:val="21"/>
        </w:rPr>
        <w:t>瘤</w:t>
        <w:tab/>
      </w:r>
      <w:r>
        <w:rPr>
          <w:spacing w:val="-32"/>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0" w:right="845"/>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5"/>
        <w:ind w:left="2990"/>
        <w:jc w:val="both"/>
      </w:pPr>
      <w:r>
        <w:rPr/>
        <w:t>（</w:t>
      </w:r>
      <w:r>
        <w:rPr>
          <w:rFonts w:ascii="Times New Roman" w:eastAsia="Times New Roman"/>
        </w:rPr>
        <w:t>1</w:t>
      </w:r>
      <w:r>
        <w:rPr/>
        <w:t>）实际实施了开颅进行的脑垂体肿瘤完全切除或部分切除手术；</w:t>
      </w:r>
    </w:p>
    <w:p>
      <w:pPr>
        <w:pStyle w:val="BodyText"/>
        <w:spacing w:before="20"/>
        <w:ind w:left="2990"/>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ind w:left="0" w:right="117" w:firstLine="0"/>
        <w:jc w:val="right"/>
      </w:pPr>
      <w:r>
        <w:rPr>
          <w:w w:val="95"/>
        </w:rPr>
        <w:t>〈本页内容结束〉</w:t>
      </w:r>
    </w:p>
    <w:sectPr>
      <w:type w:val="continuous"/>
      <w:pgSz w:w="11910" w:h="16840"/>
      <w:pgMar w:top="52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type id="_x0000_t202" o:spt="202" coordsize="21600,21600" path="m,l,21600r21600,l21600,xe">
          <v:stroke joinstyle="miter"/>
          <v:path gradientshapeok="t" o:connecttype="rect"/>
        </v:shapetype>
        <v:shape style="position:absolute;margin-left:262.279999pt;margin-top:744.999695pt;width:78.5pt;height:12pt;mso-position-horizontal-relative:page;mso-position-vertical-relative:page;z-index:-140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2"/>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91" w:hanging="264"/>
      </w:pPr>
      <w:rPr>
        <w:rFonts w:hint="default"/>
      </w:rPr>
    </w:lvl>
    <w:lvl w:ilvl="3">
      <w:start w:val="0"/>
      <w:numFmt w:val="bullet"/>
      <w:lvlText w:val="•"/>
      <w:lvlJc w:val="left"/>
      <w:pPr>
        <w:ind w:left="4943" w:hanging="264"/>
      </w:pPr>
      <w:rPr>
        <w:rFonts w:hint="default"/>
      </w:rPr>
    </w:lvl>
    <w:lvl w:ilvl="4">
      <w:start w:val="0"/>
      <w:numFmt w:val="bullet"/>
      <w:lvlText w:val="•"/>
      <w:lvlJc w:val="left"/>
      <w:pPr>
        <w:ind w:left="5594" w:hanging="264"/>
      </w:pPr>
      <w:rPr>
        <w:rFonts w:hint="default"/>
      </w:rPr>
    </w:lvl>
    <w:lvl w:ilvl="5">
      <w:start w:val="0"/>
      <w:numFmt w:val="bullet"/>
      <w:lvlText w:val="•"/>
      <w:lvlJc w:val="left"/>
      <w:pPr>
        <w:ind w:left="6246" w:hanging="264"/>
      </w:pPr>
      <w:rPr>
        <w:rFonts w:hint="default"/>
      </w:rPr>
    </w:lvl>
    <w:lvl w:ilvl="6">
      <w:start w:val="0"/>
      <w:numFmt w:val="bullet"/>
      <w:lvlText w:val="•"/>
      <w:lvlJc w:val="left"/>
      <w:pPr>
        <w:ind w:left="6898" w:hanging="264"/>
      </w:pPr>
      <w:rPr>
        <w:rFonts w:hint="default"/>
      </w:rPr>
    </w:lvl>
    <w:lvl w:ilvl="7">
      <w:start w:val="0"/>
      <w:numFmt w:val="bullet"/>
      <w:lvlText w:val="•"/>
      <w:lvlJc w:val="left"/>
      <w:pPr>
        <w:ind w:left="7549" w:hanging="264"/>
      </w:pPr>
      <w:rPr>
        <w:rFonts w:hint="default"/>
      </w:rPr>
    </w:lvl>
    <w:lvl w:ilvl="8">
      <w:start w:val="0"/>
      <w:numFmt w:val="bullet"/>
      <w:lvlText w:val="•"/>
      <w:lvlJc w:val="left"/>
      <w:pPr>
        <w:ind w:left="8201"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47" w:hanging="420"/>
      </w:pPr>
      <w:rPr>
        <w:rFonts w:hint="default"/>
      </w:rPr>
    </w:lvl>
    <w:lvl w:ilvl="2">
      <w:start w:val="0"/>
      <w:numFmt w:val="bullet"/>
      <w:lvlText w:val="•"/>
      <w:lvlJc w:val="left"/>
      <w:pPr>
        <w:ind w:left="175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971" w:hanging="420"/>
      </w:pPr>
      <w:rPr>
        <w:rFonts w:hint="default"/>
      </w:rPr>
    </w:lvl>
    <w:lvl w:ilvl="5">
      <w:start w:val="0"/>
      <w:numFmt w:val="bullet"/>
      <w:lvlText w:val="•"/>
      <w:lvlJc w:val="left"/>
      <w:pPr>
        <w:ind w:left="3579" w:hanging="420"/>
      </w:pPr>
      <w:rPr>
        <w:rFonts w:hint="default"/>
      </w:rPr>
    </w:lvl>
    <w:lvl w:ilvl="6">
      <w:start w:val="0"/>
      <w:numFmt w:val="bullet"/>
      <w:lvlText w:val="•"/>
      <w:lvlJc w:val="left"/>
      <w:pPr>
        <w:ind w:left="4187" w:hanging="420"/>
      </w:pPr>
      <w:rPr>
        <w:rFonts w:hint="default"/>
      </w:rPr>
    </w:lvl>
    <w:lvl w:ilvl="7">
      <w:start w:val="0"/>
      <w:numFmt w:val="bullet"/>
      <w:lvlText w:val="•"/>
      <w:lvlJc w:val="left"/>
      <w:pPr>
        <w:ind w:left="4795" w:hanging="420"/>
      </w:pPr>
      <w:rPr>
        <w:rFonts w:hint="default"/>
      </w:rPr>
    </w:lvl>
    <w:lvl w:ilvl="8">
      <w:start w:val="0"/>
      <w:numFmt w:val="bullet"/>
      <w:lvlText w:val="•"/>
      <w:lvlJc w:val="left"/>
      <w:pPr>
        <w:ind w:left="5403"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spacing w:val="-1"/>
        <w:w w:val="100"/>
      </w:rPr>
    </w:lvl>
    <w:lvl w:ilvl="2">
      <w:start w:val="0"/>
      <w:numFmt w:val="bullet"/>
      <w:lvlText w:val="•"/>
      <w:lvlJc w:val="left"/>
      <w:pPr>
        <w:ind w:left="3460" w:hanging="420"/>
      </w:pPr>
      <w:rPr>
        <w:rFonts w:hint="default"/>
      </w:rPr>
    </w:lvl>
    <w:lvl w:ilvl="3">
      <w:start w:val="0"/>
      <w:numFmt w:val="bullet"/>
      <w:lvlText w:val="•"/>
      <w:lvlJc w:val="left"/>
      <w:pPr>
        <w:ind w:left="3520" w:hanging="420"/>
      </w:pPr>
      <w:rPr>
        <w:rFonts w:hint="default"/>
      </w:rPr>
    </w:lvl>
    <w:lvl w:ilvl="4">
      <w:start w:val="0"/>
      <w:numFmt w:val="bullet"/>
      <w:lvlText w:val="•"/>
      <w:lvlJc w:val="left"/>
      <w:pPr>
        <w:ind w:left="4363" w:hanging="420"/>
      </w:pPr>
      <w:rPr>
        <w:rFonts w:hint="default"/>
      </w:rPr>
    </w:lvl>
    <w:lvl w:ilvl="5">
      <w:start w:val="0"/>
      <w:numFmt w:val="bullet"/>
      <w:lvlText w:val="•"/>
      <w:lvlJc w:val="left"/>
      <w:pPr>
        <w:ind w:left="5206" w:hanging="420"/>
      </w:pPr>
      <w:rPr>
        <w:rFonts w:hint="default"/>
      </w:rPr>
    </w:lvl>
    <w:lvl w:ilvl="6">
      <w:start w:val="0"/>
      <w:numFmt w:val="bullet"/>
      <w:lvlText w:val="•"/>
      <w:lvlJc w:val="left"/>
      <w:pPr>
        <w:ind w:left="6050"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737"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4" w:hanging="474"/>
      </w:pPr>
      <w:rPr>
        <w:rFonts w:hint="default"/>
      </w:rPr>
    </w:lvl>
    <w:lvl w:ilvl="3">
      <w:start w:val="0"/>
      <w:numFmt w:val="bullet"/>
      <w:lvlText w:val="•"/>
      <w:lvlJc w:val="left"/>
      <w:pPr>
        <w:ind w:left="2729" w:hanging="474"/>
      </w:pPr>
      <w:rPr>
        <w:rFonts w:hint="default"/>
      </w:rPr>
    </w:lvl>
    <w:lvl w:ilvl="4">
      <w:start w:val="0"/>
      <w:numFmt w:val="bullet"/>
      <w:lvlText w:val="•"/>
      <w:lvlJc w:val="left"/>
      <w:pPr>
        <w:ind w:left="3794" w:hanging="474"/>
      </w:pPr>
      <w:rPr>
        <w:rFonts w:hint="default"/>
      </w:rPr>
    </w:lvl>
    <w:lvl w:ilvl="5">
      <w:start w:val="0"/>
      <w:numFmt w:val="bullet"/>
      <w:lvlText w:val="•"/>
      <w:lvlJc w:val="left"/>
      <w:pPr>
        <w:ind w:left="4859" w:hanging="474"/>
      </w:pPr>
      <w:rPr>
        <w:rFonts w:hint="default"/>
      </w:rPr>
    </w:lvl>
    <w:lvl w:ilvl="6">
      <w:start w:val="0"/>
      <w:numFmt w:val="bullet"/>
      <w:lvlText w:val="•"/>
      <w:lvlJc w:val="left"/>
      <w:pPr>
        <w:ind w:left="5924" w:hanging="474"/>
      </w:pPr>
      <w:rPr>
        <w:rFonts w:hint="default"/>
      </w:rPr>
    </w:lvl>
    <w:lvl w:ilvl="7">
      <w:start w:val="0"/>
      <w:numFmt w:val="bullet"/>
      <w:lvlText w:val="•"/>
      <w:lvlJc w:val="left"/>
      <w:pPr>
        <w:ind w:left="6989" w:hanging="474"/>
      </w:pPr>
      <w:rPr>
        <w:rFonts w:hint="default"/>
      </w:rPr>
    </w:lvl>
    <w:lvl w:ilvl="8">
      <w:start w:val="0"/>
      <w:numFmt w:val="bullet"/>
      <w:lvlText w:val="•"/>
      <w:lvlJc w:val="left"/>
      <w:pPr>
        <w:ind w:left="8054"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&lt;4D6963726F736F667420576F7264202D20323031322D3130312D32B8BDBCFE3132A3BAD0D2B8A3B8BDBCD3B2C6B8BBC8CBC9FAD6D8B4F3BCB2B2A1B1A3CFD5CCF5BFEE3230313030323033&gt;</dc:title>
  <dcterms:created xsi:type="dcterms:W3CDTF">2018-10-20T00:19:15Z</dcterms:created>
  <dcterms:modified xsi:type="dcterms:W3CDTF">2018-10-20T00:19:15Z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