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168"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30592" from="63.720001pt,2.726647pt" to="543.000001pt,2.726647pt" stroked="true" strokeweight=".72pt" strokecolor="#000000">
            <v:stroke dashstyle="solid"/>
            <w10:wrap type="none"/>
          </v:line>
        </w:pict>
      </w:r>
      <w:r>
        <w:rPr>
          <w:sz w:val="30"/>
        </w:rPr>
        <w:t>附件</w:t>
      </w:r>
      <w:r>
        <w:rPr>
          <w:spacing w:val="-76"/>
          <w:sz w:val="30"/>
        </w:rPr>
        <w:t> </w:t>
      </w:r>
      <w:r>
        <w:rPr>
          <w:sz w:val="30"/>
        </w:rPr>
        <w:t>2-2：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民生保险[2009]疾病保险098号</w:t>
      </w:r>
    </w:p>
    <w:p>
      <w:pPr>
        <w:spacing w:after="0"/>
        <w:jc w:val="left"/>
        <w:rPr>
          <w:sz w:val="16"/>
        </w:rPr>
        <w:sectPr>
          <w:headerReference w:type="default" r:id="rId5"/>
          <w:footerReference w:type="default" r:id="rId6"/>
          <w:type w:val="continuous"/>
          <w:pgSz w:w="11910" w:h="16840"/>
          <w:pgMar w:header="857" w:footer="981" w:top="1040" w:bottom="1180" w:left="960" w:right="920"/>
          <w:pgNumType w:start="1"/>
          <w:cols w:num="2" w:equalWidth="0">
            <w:col w:w="5931" w:space="1510"/>
            <w:col w:w="2589"/>
          </w:cols>
        </w:sectPr>
      </w:pPr>
    </w:p>
    <w:p>
      <w:pPr>
        <w:pStyle w:val="BodyText"/>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6268364</wp:posOffset>
            </wp:positionH>
            <wp:positionV relativeFrom="paragraph">
              <wp:posOffset>-486905</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2.472992pt;margin-top:12.816962pt;width:80pt;height:9.3pt;mso-position-horizontal-relative:page;mso-position-vertical-relative:paragraph;z-index:-30520"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rPr>
          <w:b/>
          <w:sz w:val="20"/>
        </w:rPr>
      </w:pPr>
    </w:p>
    <w:p>
      <w:pPr>
        <w:pStyle w:val="BodyText"/>
        <w:spacing w:before="8"/>
        <w:rPr>
          <w:b/>
          <w:sz w:val="15"/>
        </w:rPr>
      </w:pPr>
    </w:p>
    <w:p>
      <w:pPr>
        <w:pStyle w:val="Heading1"/>
        <w:tabs>
          <w:tab w:pos="1382" w:val="left" w:leader="none"/>
        </w:tabs>
        <w:spacing w:line="683" w:lineRule="exact"/>
        <w:ind w:left="371"/>
      </w:pPr>
      <w:r>
        <w:rPr/>
        <w:drawing>
          <wp:anchor distT="0" distB="0" distL="0" distR="0" allowOverlap="1" layoutInCell="1" locked="0" behindDoc="1" simplePos="0" relativeHeight="268404887">
            <wp:simplePos x="0" y="0"/>
            <wp:positionH relativeFrom="page">
              <wp:posOffset>684058</wp:posOffset>
            </wp:positionH>
            <wp:positionV relativeFrom="paragraph">
              <wp:posOffset>-72559</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39"/>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5"/>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20"/>
        </w:sectPr>
      </w:pPr>
    </w:p>
    <w:p>
      <w:pPr>
        <w:pStyle w:val="Heading1"/>
        <w:spacing w:before="133"/>
        <w:ind w:left="1040"/>
      </w:pPr>
      <w:r>
        <w:rPr>
          <w:w w:val="95"/>
        </w:rPr>
        <w:t>1.您与我们的合同</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合同构成</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合同成立与生效</w:t>
      </w:r>
    </w:p>
    <w:p>
      <w:pPr>
        <w:pStyle w:val="ListParagraph"/>
        <w:numPr>
          <w:ilvl w:val="1"/>
          <w:numId w:val="2"/>
        </w:numPr>
        <w:tabs>
          <w:tab w:pos="1671" w:val="left" w:leader="none"/>
        </w:tabs>
        <w:spacing w:line="240" w:lineRule="auto" w:before="37" w:after="0"/>
        <w:ind w:left="1670" w:right="0" w:hanging="420"/>
        <w:jc w:val="left"/>
        <w:rPr>
          <w:sz w:val="21"/>
        </w:rPr>
      </w:pPr>
      <w:r>
        <w:rPr>
          <w:sz w:val="21"/>
        </w:rPr>
        <w:t>犹豫期</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保险期间</w:t>
      </w:r>
    </w:p>
    <w:p>
      <w:pPr>
        <w:pStyle w:val="BodyText"/>
        <w:spacing w:before="8"/>
        <w:rPr>
          <w:sz w:val="26"/>
        </w:rPr>
      </w:pPr>
    </w:p>
    <w:p>
      <w:pPr>
        <w:spacing w:before="0"/>
        <w:ind w:left="1040" w:right="0" w:firstLine="0"/>
        <w:jc w:val="left"/>
        <w:rPr>
          <w:b/>
          <w:sz w:val="21"/>
        </w:rPr>
      </w:pPr>
      <w:r>
        <w:rPr>
          <w:b/>
          <w:w w:val="95"/>
          <w:sz w:val="21"/>
        </w:rPr>
        <w:t>2.我们提供的保障</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保险金额</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保险责任</w:t>
      </w:r>
    </w:p>
    <w:p>
      <w:pPr>
        <w:pStyle w:val="ListParagraph"/>
        <w:numPr>
          <w:ilvl w:val="1"/>
          <w:numId w:val="3"/>
        </w:numPr>
        <w:tabs>
          <w:tab w:pos="1671" w:val="left" w:leader="none"/>
        </w:tabs>
        <w:spacing w:line="240" w:lineRule="auto" w:before="37" w:after="0"/>
        <w:ind w:left="1670" w:right="0" w:hanging="420"/>
        <w:jc w:val="left"/>
        <w:rPr>
          <w:sz w:val="21"/>
        </w:rPr>
      </w:pPr>
      <w:r>
        <w:rPr>
          <w:spacing w:val="-1"/>
          <w:sz w:val="21"/>
        </w:rPr>
        <w:t>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受益人的指定和变更</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保险金的申请</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欠款的扣除</w:t>
      </w:r>
    </w:p>
    <w:p>
      <w:pPr>
        <w:pStyle w:val="ListParagraph"/>
        <w:numPr>
          <w:ilvl w:val="1"/>
          <w:numId w:val="4"/>
        </w:numPr>
        <w:tabs>
          <w:tab w:pos="1671" w:val="left" w:leader="none"/>
        </w:tabs>
        <w:spacing w:line="240" w:lineRule="auto" w:before="35" w:after="0"/>
        <w:ind w:left="1670" w:right="0" w:hanging="420"/>
        <w:jc w:val="left"/>
        <w:rPr>
          <w:sz w:val="21"/>
        </w:rPr>
      </w:pPr>
      <w:r>
        <w:rPr>
          <w:spacing w:val="-1"/>
          <w:sz w:val="21"/>
        </w:rPr>
        <w:t>诉讼时效</w:t>
      </w:r>
    </w:p>
    <w:p>
      <w:pPr>
        <w:spacing w:before="118"/>
        <w:ind w:left="299" w:right="0" w:firstLine="0"/>
        <w:jc w:val="left"/>
        <w:rPr>
          <w:b/>
          <w:sz w:val="21"/>
        </w:rPr>
      </w:pPr>
      <w:r>
        <w:rPr/>
        <w:br w:type="column"/>
      </w:r>
      <w:r>
        <w:rPr>
          <w:b/>
          <w:w w:val="95"/>
          <w:sz w:val="21"/>
        </w:rPr>
        <w:t>4.如何交付保险费</w:t>
      </w:r>
    </w:p>
    <w:p>
      <w:pPr>
        <w:spacing w:before="37"/>
        <w:ind w:left="509" w:right="0" w:firstLine="0"/>
        <w:jc w:val="left"/>
        <w:rPr>
          <w:sz w:val="21"/>
        </w:rPr>
      </w:pPr>
      <w:r>
        <w:rPr>
          <w:sz w:val="21"/>
        </w:rPr>
        <w:t>4.1 保险费的交付</w:t>
      </w:r>
    </w:p>
    <w:p>
      <w:pPr>
        <w:pStyle w:val="BodyText"/>
        <w:spacing w:before="8"/>
        <w:rPr>
          <w:sz w:val="26"/>
        </w:rPr>
      </w:pPr>
    </w:p>
    <w:p>
      <w:pPr>
        <w:spacing w:before="0"/>
        <w:ind w:left="299" w:right="0" w:firstLine="0"/>
        <w:jc w:val="left"/>
        <w:rPr>
          <w:b/>
          <w:sz w:val="21"/>
        </w:rPr>
      </w:pPr>
      <w:r>
        <w:rPr>
          <w:b/>
          <w:w w:val="95"/>
          <w:sz w:val="21"/>
        </w:rPr>
        <w:t>5.现金价值权益</w:t>
      </w:r>
    </w:p>
    <w:p>
      <w:pPr>
        <w:pStyle w:val="ListParagraph"/>
        <w:numPr>
          <w:ilvl w:val="1"/>
          <w:numId w:val="5"/>
        </w:numPr>
        <w:tabs>
          <w:tab w:pos="932" w:val="left" w:leader="none"/>
        </w:tabs>
        <w:spacing w:line="240" w:lineRule="auto" w:before="36" w:after="0"/>
        <w:ind w:left="931" w:right="0" w:hanging="420"/>
        <w:jc w:val="left"/>
        <w:rPr>
          <w:sz w:val="21"/>
        </w:rPr>
      </w:pPr>
      <w:r>
        <w:rPr>
          <w:spacing w:val="-1"/>
          <w:sz w:val="21"/>
        </w:rPr>
        <w:t>现金价值</w:t>
      </w:r>
    </w:p>
    <w:p>
      <w:pPr>
        <w:pStyle w:val="ListParagraph"/>
        <w:numPr>
          <w:ilvl w:val="1"/>
          <w:numId w:val="5"/>
        </w:numPr>
        <w:tabs>
          <w:tab w:pos="930" w:val="left" w:leader="none"/>
        </w:tabs>
        <w:spacing w:line="240" w:lineRule="auto" w:before="36" w:after="0"/>
        <w:ind w:left="929" w:right="0" w:hanging="420"/>
        <w:jc w:val="left"/>
        <w:rPr>
          <w:sz w:val="21"/>
        </w:rPr>
      </w:pPr>
      <w:r>
        <w:rPr>
          <w:spacing w:val="-1"/>
          <w:sz w:val="21"/>
        </w:rPr>
        <w:t>自动垫交</w:t>
      </w:r>
    </w:p>
    <w:p>
      <w:pPr>
        <w:pStyle w:val="ListParagraph"/>
        <w:numPr>
          <w:ilvl w:val="1"/>
          <w:numId w:val="5"/>
        </w:numPr>
        <w:tabs>
          <w:tab w:pos="931" w:val="left" w:leader="none"/>
        </w:tabs>
        <w:spacing w:line="240" w:lineRule="auto" w:before="36" w:after="0"/>
        <w:ind w:left="930" w:right="0" w:hanging="420"/>
        <w:jc w:val="left"/>
        <w:rPr>
          <w:sz w:val="21"/>
        </w:rPr>
      </w:pPr>
      <w:r>
        <w:rPr>
          <w:spacing w:val="-1"/>
          <w:sz w:val="21"/>
        </w:rPr>
        <w:t>保险单借款</w:t>
      </w:r>
    </w:p>
    <w:p>
      <w:pPr>
        <w:pStyle w:val="BodyText"/>
        <w:spacing w:before="8"/>
        <w:rPr>
          <w:sz w:val="26"/>
        </w:rPr>
      </w:pPr>
    </w:p>
    <w:p>
      <w:pPr>
        <w:spacing w:before="0"/>
        <w:ind w:left="299" w:right="0" w:firstLine="0"/>
        <w:jc w:val="left"/>
        <w:rPr>
          <w:b/>
          <w:sz w:val="21"/>
        </w:rPr>
      </w:pPr>
      <w:r>
        <w:rPr>
          <w:b/>
          <w:w w:val="95"/>
          <w:sz w:val="21"/>
        </w:rPr>
        <w:t>6.如何解除保险合同</w:t>
      </w:r>
    </w:p>
    <w:p>
      <w:pPr>
        <w:spacing w:line="273" w:lineRule="auto" w:before="37"/>
        <w:ind w:left="929" w:right="6" w:hanging="419"/>
        <w:jc w:val="left"/>
        <w:rPr>
          <w:sz w:val="21"/>
        </w:rPr>
      </w:pPr>
      <w:r>
        <w:rPr>
          <w:sz w:val="21"/>
        </w:rPr>
        <w:t>6.1 您解除合同的手续及风险</w:t>
      </w:r>
    </w:p>
    <w:p>
      <w:pPr>
        <w:spacing w:before="73"/>
        <w:ind w:left="743" w:right="0" w:firstLine="0"/>
        <w:jc w:val="left"/>
        <w:rPr>
          <w:b/>
          <w:sz w:val="21"/>
        </w:rPr>
      </w:pPr>
      <w:r>
        <w:rPr/>
        <w:br w:type="column"/>
      </w:r>
      <w:r>
        <w:rPr>
          <w:b/>
          <w:w w:val="95"/>
          <w:sz w:val="21"/>
        </w:rPr>
        <w:t>7.其他需要您关注的事项</w:t>
      </w:r>
    </w:p>
    <w:p>
      <w:pPr>
        <w:spacing w:before="36"/>
        <w:ind w:left="953" w:right="0" w:firstLine="0"/>
        <w:jc w:val="left"/>
        <w:rPr>
          <w:sz w:val="21"/>
        </w:rPr>
      </w:pPr>
      <w:r>
        <w:rPr>
          <w:sz w:val="21"/>
        </w:rPr>
        <w:t>7.1 投保范围</w:t>
      </w:r>
    </w:p>
    <w:p>
      <w:pPr>
        <w:pStyle w:val="BodyText"/>
        <w:spacing w:before="8"/>
        <w:rPr>
          <w:sz w:val="26"/>
        </w:rPr>
      </w:pPr>
    </w:p>
    <w:p>
      <w:pPr>
        <w:spacing w:before="0"/>
        <w:ind w:left="743" w:right="0" w:firstLine="0"/>
        <w:jc w:val="left"/>
        <w:rPr>
          <w:b/>
          <w:sz w:val="21"/>
        </w:rPr>
      </w:pPr>
      <w:r>
        <w:rPr>
          <w:b/>
          <w:sz w:val="21"/>
        </w:rPr>
        <w:t>8.释义</w:t>
      </w:r>
    </w:p>
    <w:p>
      <w:pPr>
        <w:pStyle w:val="ListParagraph"/>
        <w:numPr>
          <w:ilvl w:val="1"/>
          <w:numId w:val="6"/>
        </w:numPr>
        <w:tabs>
          <w:tab w:pos="1375" w:val="left" w:leader="none"/>
        </w:tabs>
        <w:spacing w:line="240" w:lineRule="auto" w:before="37" w:after="0"/>
        <w:ind w:left="1374" w:right="0" w:hanging="420"/>
        <w:jc w:val="left"/>
        <w:rPr>
          <w:sz w:val="21"/>
        </w:rPr>
      </w:pPr>
      <w:r>
        <w:rPr>
          <w:spacing w:val="-1"/>
          <w:sz w:val="21"/>
        </w:rPr>
        <w:t>有效身份证件</w:t>
      </w:r>
    </w:p>
    <w:p>
      <w:pPr>
        <w:pStyle w:val="ListParagraph"/>
        <w:numPr>
          <w:ilvl w:val="1"/>
          <w:numId w:val="6"/>
        </w:numPr>
        <w:tabs>
          <w:tab w:pos="1375" w:val="left" w:leader="none"/>
        </w:tabs>
        <w:spacing w:line="240" w:lineRule="auto" w:before="37" w:after="0"/>
        <w:ind w:left="1374" w:right="0" w:hanging="421"/>
        <w:jc w:val="left"/>
        <w:rPr>
          <w:sz w:val="21"/>
        </w:rPr>
      </w:pPr>
      <w:r>
        <w:rPr>
          <w:sz w:val="21"/>
        </w:rPr>
        <w:t>发病</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指定或认可的医疗机构</w:t>
      </w:r>
    </w:p>
    <w:p>
      <w:pPr>
        <w:pStyle w:val="ListParagraph"/>
        <w:numPr>
          <w:ilvl w:val="1"/>
          <w:numId w:val="6"/>
        </w:numPr>
        <w:tabs>
          <w:tab w:pos="1375" w:val="left" w:leader="none"/>
        </w:tabs>
        <w:spacing w:line="240" w:lineRule="auto" w:before="37" w:after="0"/>
        <w:ind w:left="1374" w:right="0" w:hanging="421"/>
        <w:jc w:val="left"/>
        <w:rPr>
          <w:sz w:val="21"/>
        </w:rPr>
      </w:pPr>
      <w:r>
        <w:rPr>
          <w:sz w:val="21"/>
        </w:rPr>
        <w:t>毒品</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酒后驾驶</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无合法有效驾驶证驾驶</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无有效行驶证</w:t>
      </w:r>
    </w:p>
    <w:p>
      <w:pPr>
        <w:pStyle w:val="ListParagraph"/>
        <w:numPr>
          <w:ilvl w:val="1"/>
          <w:numId w:val="6"/>
        </w:numPr>
        <w:tabs>
          <w:tab w:pos="1369" w:val="left" w:leader="none"/>
        </w:tabs>
        <w:spacing w:line="240" w:lineRule="auto" w:before="37" w:after="0"/>
        <w:ind w:left="1368" w:right="0" w:hanging="421"/>
        <w:jc w:val="left"/>
        <w:rPr>
          <w:sz w:val="21"/>
        </w:rPr>
      </w:pPr>
      <w:r>
        <w:rPr>
          <w:sz w:val="21"/>
        </w:rPr>
        <w:t>艾滋病</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艾滋病病毒</w:t>
      </w:r>
    </w:p>
    <w:p>
      <w:pPr>
        <w:pStyle w:val="ListParagraph"/>
        <w:numPr>
          <w:ilvl w:val="1"/>
          <w:numId w:val="6"/>
        </w:numPr>
        <w:tabs>
          <w:tab w:pos="1479" w:val="left" w:leader="none"/>
        </w:tabs>
        <w:spacing w:line="240" w:lineRule="auto" w:before="37" w:after="0"/>
        <w:ind w:left="1478" w:right="0" w:hanging="525"/>
        <w:jc w:val="left"/>
        <w:rPr>
          <w:sz w:val="21"/>
        </w:rPr>
      </w:pPr>
      <w:r>
        <w:rPr>
          <w:spacing w:val="-1"/>
          <w:sz w:val="21"/>
        </w:rPr>
        <w:t>现金价值净额</w:t>
      </w:r>
    </w:p>
    <w:p>
      <w:pPr>
        <w:pStyle w:val="ListParagraph"/>
        <w:numPr>
          <w:ilvl w:val="1"/>
          <w:numId w:val="6"/>
        </w:numPr>
        <w:tabs>
          <w:tab w:pos="1479" w:val="left" w:leader="none"/>
        </w:tabs>
        <w:spacing w:line="240" w:lineRule="auto" w:before="37" w:after="0"/>
        <w:ind w:left="1478" w:right="0" w:hanging="525"/>
        <w:jc w:val="left"/>
        <w:rPr>
          <w:sz w:val="21"/>
        </w:rPr>
      </w:pPr>
      <w:r>
        <w:rPr>
          <w:sz w:val="21"/>
        </w:rPr>
        <w:t>利息</w:t>
      </w:r>
    </w:p>
    <w:p>
      <w:pPr>
        <w:pStyle w:val="ListParagraph"/>
        <w:numPr>
          <w:ilvl w:val="1"/>
          <w:numId w:val="6"/>
        </w:numPr>
        <w:tabs>
          <w:tab w:pos="1479" w:val="left" w:leader="none"/>
        </w:tabs>
        <w:spacing w:line="240" w:lineRule="auto" w:before="37" w:after="0"/>
        <w:ind w:left="1478" w:right="0" w:hanging="525"/>
        <w:jc w:val="left"/>
        <w:rPr>
          <w:sz w:val="21"/>
        </w:rPr>
      </w:pPr>
      <w:r>
        <w:rPr>
          <w:spacing w:val="-1"/>
          <w:sz w:val="21"/>
        </w:rPr>
        <w:t>现金价值</w:t>
      </w:r>
    </w:p>
    <w:p>
      <w:pPr>
        <w:spacing w:after="0" w:line="240" w:lineRule="auto"/>
        <w:jc w:val="left"/>
        <w:rPr>
          <w:sz w:val="21"/>
        </w:rPr>
        <w:sectPr>
          <w:type w:val="continuous"/>
          <w:pgSz w:w="11910" w:h="16840"/>
          <w:pgMar w:top="1040" w:bottom="1180" w:left="960" w:right="920"/>
          <w:cols w:num="3" w:equalWidth="0">
            <w:col w:w="3561" w:space="40"/>
            <w:col w:w="2200" w:space="39"/>
            <w:col w:w="4190"/>
          </w:cols>
        </w:sectPr>
      </w:pPr>
    </w:p>
    <w:p>
      <w:pPr>
        <w:pStyle w:val="BodyText"/>
        <w:spacing w:before="1"/>
        <w:rPr>
          <w:rFonts w:ascii="Times New Roman"/>
          <w:sz w:val="4"/>
        </w:rPr>
      </w:pPr>
    </w:p>
    <w:p>
      <w:pPr>
        <w:pStyle w:val="BodyText"/>
        <w:spacing w:line="20" w:lineRule="exact"/>
        <w:ind w:left="1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5"/>
        <w:rPr>
          <w:rFonts w:ascii="Times New Roman"/>
          <w:sz w:val="20"/>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440"/>
        <w:gridCol w:w="7875"/>
      </w:tblGrid>
      <w:tr>
        <w:trPr>
          <w:trHeight w:val="1015"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280" w:lineRule="exact"/>
              <w:ind w:left="646" w:right="2914"/>
              <w:jc w:val="center"/>
              <w:rPr>
                <w:b/>
                <w:sz w:val="28"/>
              </w:rPr>
            </w:pPr>
            <w:r>
              <w:rPr>
                <w:b/>
                <w:w w:val="95"/>
                <w:sz w:val="28"/>
              </w:rPr>
              <w:t>民生人寿保险股份有限公司</w:t>
            </w:r>
          </w:p>
          <w:p>
            <w:pPr>
              <w:pStyle w:val="TableParagraph"/>
              <w:spacing w:before="4"/>
              <w:rPr>
                <w:rFonts w:ascii="Times New Roman"/>
                <w:sz w:val="22"/>
              </w:rPr>
            </w:pPr>
          </w:p>
          <w:p>
            <w:pPr>
              <w:pStyle w:val="TableParagraph"/>
              <w:ind w:left="647" w:right="2914"/>
              <w:jc w:val="center"/>
              <w:rPr>
                <w:b/>
                <w:sz w:val="28"/>
              </w:rPr>
            </w:pPr>
            <w:r>
              <w:rPr>
                <w:b/>
                <w:w w:val="95"/>
                <w:sz w:val="28"/>
              </w:rPr>
              <w:t>附加幸福宝贝少儿重大疾病保险条款</w:t>
            </w:r>
          </w:p>
        </w:tc>
      </w:tr>
      <w:tr>
        <w:trPr>
          <w:trHeight w:val="1221" w:hRule="atLeast"/>
        </w:trPr>
        <w:tc>
          <w:tcPr>
            <w:tcW w:w="9943" w:type="dxa"/>
            <w:gridSpan w:val="3"/>
          </w:tcPr>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18"/>
              </w:rPr>
            </w:pPr>
          </w:p>
          <w:p>
            <w:pPr>
              <w:pStyle w:val="TableParagraph"/>
              <w:ind w:left="107"/>
              <w:rPr>
                <w:sz w:val="21"/>
              </w:rPr>
            </w:pPr>
            <w:r>
              <w:rPr>
                <w:spacing w:val="-23"/>
                <w:sz w:val="21"/>
              </w:rPr>
              <w:t>在本条款中，“您”指投保人，“我们”、“本公司”均指民生人寿保险股份有限公司</w:t>
            </w:r>
          </w:p>
        </w:tc>
      </w:tr>
      <w:tr>
        <w:trPr>
          <w:trHeight w:val="799" w:hRule="atLeast"/>
        </w:trPr>
        <w:tc>
          <w:tcPr>
            <w:tcW w:w="628" w:type="dxa"/>
            <w:tcBorders>
              <w:bottom w:val="single" w:sz="4" w:space="0" w:color="000000"/>
            </w:tcBorders>
          </w:tcPr>
          <w:p>
            <w:pPr>
              <w:pStyle w:val="TableParagraph"/>
              <w:spacing w:before="59"/>
              <w:ind w:left="107"/>
              <w:rPr>
                <w:rFonts w:ascii="Yu Gothic"/>
                <w:b/>
                <w:sz w:val="40"/>
              </w:rPr>
            </w:pPr>
            <w:r>
              <w:rPr>
                <w:rFonts w:ascii="Yu Gothic"/>
                <w:b/>
                <w:w w:val="155"/>
                <w:sz w:val="40"/>
              </w:rPr>
              <w:t>0</w:t>
            </w:r>
          </w:p>
        </w:tc>
        <w:tc>
          <w:tcPr>
            <w:tcW w:w="9315" w:type="dxa"/>
            <w:gridSpan w:val="2"/>
            <w:tcBorders>
              <w:bottom w:val="single" w:sz="4" w:space="0" w:color="000000"/>
            </w:tcBorders>
          </w:tcPr>
          <w:p>
            <w:pPr>
              <w:pStyle w:val="TableParagraph"/>
              <w:spacing w:before="4"/>
              <w:rPr>
                <w:rFonts w:ascii="Times New Roman"/>
                <w:sz w:val="25"/>
              </w:rPr>
            </w:pPr>
          </w:p>
          <w:p>
            <w:pPr>
              <w:pStyle w:val="TableParagraph"/>
              <w:ind w:left="162"/>
              <w:rPr>
                <w:b/>
                <w:sz w:val="24"/>
              </w:rPr>
            </w:pPr>
            <w:r>
              <w:rPr>
                <w:b/>
                <w:w w:val="95"/>
                <w:sz w:val="24"/>
              </w:rPr>
              <w:t>您与我们的合同</w:t>
            </w:r>
          </w:p>
        </w:tc>
      </w:tr>
      <w:tr>
        <w:trPr>
          <w:trHeight w:val="1153" w:hRule="atLeast"/>
        </w:trPr>
        <w:tc>
          <w:tcPr>
            <w:tcW w:w="628" w:type="dxa"/>
            <w:tcBorders>
              <w:top w:val="single" w:sz="4" w:space="0" w:color="000000"/>
            </w:tcBorders>
          </w:tcPr>
          <w:p>
            <w:pPr>
              <w:pStyle w:val="TableParagraph"/>
              <w:spacing w:before="6"/>
              <w:rPr>
                <w:rFonts w:ascii="Times New Roman"/>
                <w:sz w:val="17"/>
              </w:rPr>
            </w:pPr>
          </w:p>
          <w:p>
            <w:pPr>
              <w:pStyle w:val="TableParagraph"/>
              <w:ind w:left="107"/>
              <w:rPr>
                <w:b/>
                <w:sz w:val="21"/>
              </w:rPr>
            </w:pPr>
            <w:r>
              <w:rPr>
                <w:b/>
                <w:sz w:val="21"/>
              </w:rPr>
              <w:t>1.1</w:t>
            </w:r>
          </w:p>
        </w:tc>
        <w:tc>
          <w:tcPr>
            <w:tcW w:w="1440"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w w:val="95"/>
                <w:sz w:val="21"/>
              </w:rPr>
              <w:t>合同构成</w:t>
            </w:r>
          </w:p>
        </w:tc>
        <w:tc>
          <w:tcPr>
            <w:tcW w:w="7875" w:type="dxa"/>
            <w:tcBorders>
              <w:top w:val="single" w:sz="4" w:space="0" w:color="000000"/>
            </w:tcBorders>
          </w:tcPr>
          <w:p>
            <w:pPr>
              <w:pStyle w:val="TableParagraph"/>
              <w:spacing w:line="310" w:lineRule="atLeast" w:before="153"/>
              <w:ind w:left="430" w:right="152"/>
              <w:jc w:val="both"/>
              <w:rPr>
                <w:sz w:val="18"/>
              </w:rPr>
            </w:pPr>
            <w:r>
              <w:rPr>
                <w:sz w:val="18"/>
              </w:rPr>
              <w:t>本附加保险合同（</w:t>
            </w:r>
            <w:r>
              <w:rPr>
                <w:spacing w:val="-9"/>
                <w:sz w:val="18"/>
              </w:rPr>
              <w:t>以下简称“本附加合同”</w:t>
            </w:r>
            <w:r>
              <w:rPr>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tc>
      </w:tr>
      <w:tr>
        <w:trPr>
          <w:trHeight w:val="417"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10"/>
              <w:ind w:left="430"/>
              <w:rPr>
                <w:sz w:val="18"/>
              </w:rPr>
            </w:pPr>
            <w:r>
              <w:rPr>
                <w:sz w:val="18"/>
              </w:rPr>
              <w:t>除本附加合同另有约定外，其他未尽事宜以主险合同条款为准。</w:t>
            </w:r>
          </w:p>
        </w:tc>
      </w:tr>
      <w:tr>
        <w:trPr>
          <w:trHeight w:val="752" w:hRule="atLeast"/>
        </w:trPr>
        <w:tc>
          <w:tcPr>
            <w:tcW w:w="9943" w:type="dxa"/>
            <w:gridSpan w:val="3"/>
          </w:tcPr>
          <w:p>
            <w:pPr>
              <w:pStyle w:val="TableParagraph"/>
              <w:tabs>
                <w:tab w:pos="790" w:val="left" w:leader="none"/>
                <w:tab w:pos="2498" w:val="left" w:leader="none"/>
              </w:tabs>
              <w:spacing w:before="106"/>
              <w:ind w:left="107"/>
              <w:rPr>
                <w:sz w:val="18"/>
              </w:rPr>
            </w:pPr>
            <w:r>
              <w:rPr>
                <w:b/>
                <w:sz w:val="21"/>
              </w:rPr>
              <w:t>1.2</w:t>
              <w:tab/>
              <w:t>合同成立与生效</w:t>
              <w:tab/>
            </w:r>
            <w:r>
              <w:rPr>
                <w:position w:val="1"/>
                <w:sz w:val="18"/>
              </w:rPr>
              <w:t>自您提出保险申请，本公司同意承保，本附加合同成立。合同成立日期在保险单上载明。</w:t>
            </w:r>
          </w:p>
          <w:p>
            <w:pPr>
              <w:pStyle w:val="TableParagraph"/>
              <w:spacing w:before="62"/>
              <w:ind w:left="2498"/>
              <w:rPr>
                <w:sz w:val="18"/>
              </w:rPr>
            </w:pPr>
            <w:r>
              <w:rPr>
                <w:sz w:val="18"/>
              </w:rPr>
              <w:t>本附加合同自本公司同意承保、收取首期保险费并签发保险单开始生效，具体生效日以保险单</w:t>
            </w:r>
          </w:p>
        </w:tc>
      </w:tr>
      <w:tr>
        <w:trPr>
          <w:trHeight w:val="929"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3"/>
              <w:ind w:left="430"/>
              <w:rPr>
                <w:sz w:val="18"/>
              </w:rPr>
            </w:pPr>
            <w:r>
              <w:rPr>
                <w:sz w:val="18"/>
              </w:rPr>
              <w:t>载明的日期为准。我们自生效日零时起开始承担本附加合同约定的保险责任。</w:t>
            </w:r>
          </w:p>
          <w:p>
            <w:pPr>
              <w:pStyle w:val="TableParagraph"/>
              <w:spacing w:line="310" w:lineRule="atLeast" w:before="1"/>
              <w:ind w:left="430" w:right="41"/>
              <w:rPr>
                <w:sz w:val="18"/>
              </w:rPr>
            </w:pPr>
            <w:r>
              <w:rPr>
                <w:sz w:val="18"/>
              </w:rPr>
              <w:t>本附加合同的生效日以后每年的对应日是保险单周年日。保险单年度、保险单月份、保险费到期日和保险单满期日均以该日期计算。</w:t>
            </w:r>
          </w:p>
        </w:tc>
      </w:tr>
      <w:tr>
        <w:trPr>
          <w:trHeight w:val="417"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before="10"/>
              <w:ind w:left="430"/>
              <w:rPr>
                <w:sz w:val="18"/>
              </w:rPr>
            </w:pPr>
            <w:r>
              <w:rPr>
                <w:sz w:val="18"/>
              </w:rPr>
              <w:t>如果当月无对应的同一天，则以该月最后一日为对应日。</w:t>
            </w:r>
          </w:p>
        </w:tc>
      </w:tr>
      <w:tr>
        <w:trPr>
          <w:trHeight w:val="1057" w:hRule="atLeast"/>
        </w:trPr>
        <w:tc>
          <w:tcPr>
            <w:tcW w:w="628" w:type="dxa"/>
          </w:tcPr>
          <w:p>
            <w:pPr>
              <w:pStyle w:val="TableParagraph"/>
              <w:spacing w:before="106"/>
              <w:ind w:left="108"/>
              <w:rPr>
                <w:b/>
                <w:sz w:val="21"/>
              </w:rPr>
            </w:pPr>
            <w:r>
              <w:rPr>
                <w:b/>
                <w:sz w:val="21"/>
              </w:rPr>
              <w:t>1.3</w:t>
            </w:r>
          </w:p>
        </w:tc>
        <w:tc>
          <w:tcPr>
            <w:tcW w:w="1440" w:type="dxa"/>
          </w:tcPr>
          <w:p>
            <w:pPr>
              <w:pStyle w:val="TableParagraph"/>
              <w:spacing w:before="106"/>
              <w:ind w:left="162"/>
              <w:rPr>
                <w:b/>
                <w:sz w:val="21"/>
              </w:rPr>
            </w:pPr>
            <w:r>
              <w:rPr>
                <w:b/>
                <w:w w:val="95"/>
                <w:sz w:val="21"/>
              </w:rPr>
              <w:t>犹豫期</w:t>
            </w:r>
          </w:p>
        </w:tc>
        <w:tc>
          <w:tcPr>
            <w:tcW w:w="7875" w:type="dxa"/>
          </w:tcPr>
          <w:p>
            <w:pPr>
              <w:pStyle w:val="TableParagraph"/>
              <w:spacing w:line="310" w:lineRule="atLeast" w:before="57"/>
              <w:ind w:left="430" w:right="98"/>
              <w:jc w:val="both"/>
              <w:rPr>
                <w:sz w:val="18"/>
              </w:rPr>
            </w:pPr>
            <w:r>
              <w:rPr>
                <w:spacing w:val="-3"/>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tc>
      </w:tr>
      <w:tr>
        <w:trPr>
          <w:trHeight w:val="1041"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6" w:lineRule="auto" w:before="10"/>
              <w:ind w:left="430" w:right="98"/>
              <w:jc w:val="both"/>
              <w:rPr>
                <w:sz w:val="18"/>
              </w:rPr>
            </w:pPr>
            <w:r>
              <w:rPr>
                <w:spacing w:val="-6"/>
                <w:sz w:val="18"/>
              </w:rPr>
              <w:t>解除合同时，您需要填写书面申请书，并提供您的合同及</w:t>
            </w:r>
            <w:r>
              <w:rPr>
                <w:b/>
                <w:spacing w:val="-5"/>
                <w:w w:val="99"/>
                <w:sz w:val="18"/>
              </w:rPr>
              <w:t>有效身份证件</w:t>
            </w:r>
            <w:r>
              <w:rPr>
                <w:sz w:val="18"/>
              </w:rPr>
              <w:t>（</w:t>
            </w:r>
            <w:r>
              <w:rPr>
                <w:spacing w:val="-23"/>
                <w:sz w:val="18"/>
              </w:rPr>
              <w:t>见 </w:t>
            </w:r>
            <w:r>
              <w:rPr>
                <w:sz w:val="18"/>
              </w:rPr>
              <w:t>8.1</w:t>
            </w:r>
            <w:r>
              <w:rPr>
                <w:spacing w:val="-90"/>
                <w:sz w:val="18"/>
              </w:rPr>
              <w:t>）</w:t>
            </w:r>
            <w:r>
              <w:rPr>
                <w:spacing w:val="-5"/>
                <w:sz w:val="18"/>
              </w:rPr>
              <w:t>。自您书面申</w:t>
            </w:r>
            <w:r>
              <w:rPr>
                <w:spacing w:val="-8"/>
                <w:sz w:val="18"/>
              </w:rPr>
              <w:t>请解除本附加合同之日起，本附加合同效力即行终止，对合同解除前发生的保险事故，我们不承担给付保险金的责任。</w:t>
            </w:r>
          </w:p>
        </w:tc>
      </w:tr>
      <w:tr>
        <w:trPr>
          <w:trHeight w:val="582" w:hRule="atLeast"/>
        </w:trPr>
        <w:tc>
          <w:tcPr>
            <w:tcW w:w="628" w:type="dxa"/>
          </w:tcPr>
          <w:p>
            <w:pPr>
              <w:pStyle w:val="TableParagraph"/>
              <w:spacing w:before="107"/>
              <w:ind w:left="107"/>
              <w:rPr>
                <w:b/>
                <w:sz w:val="21"/>
              </w:rPr>
            </w:pPr>
            <w:r>
              <w:rPr>
                <w:b/>
                <w:sz w:val="21"/>
              </w:rPr>
              <w:t>1.4</w:t>
            </w:r>
          </w:p>
        </w:tc>
        <w:tc>
          <w:tcPr>
            <w:tcW w:w="1440" w:type="dxa"/>
          </w:tcPr>
          <w:p>
            <w:pPr>
              <w:pStyle w:val="TableParagraph"/>
              <w:spacing w:before="107"/>
              <w:ind w:left="162"/>
              <w:rPr>
                <w:b/>
                <w:sz w:val="21"/>
              </w:rPr>
            </w:pPr>
            <w:r>
              <w:rPr>
                <w:b/>
                <w:sz w:val="21"/>
              </w:rPr>
              <w:t>保险期间</w:t>
            </w:r>
          </w:p>
        </w:tc>
        <w:tc>
          <w:tcPr>
            <w:tcW w:w="7875" w:type="dxa"/>
          </w:tcPr>
          <w:p>
            <w:pPr>
              <w:pStyle w:val="TableParagraph"/>
              <w:spacing w:before="132"/>
              <w:ind w:left="430"/>
              <w:rPr>
                <w:sz w:val="18"/>
              </w:rPr>
            </w:pPr>
            <w:r>
              <w:rPr>
                <w:sz w:val="18"/>
              </w:rPr>
              <w:t>至被保险人年满二十二周岁、二十五周岁的保险单周年日。</w:t>
            </w:r>
          </w:p>
        </w:tc>
      </w:tr>
      <w:tr>
        <w:trPr>
          <w:trHeight w:val="723" w:hRule="atLeast"/>
        </w:trPr>
        <w:tc>
          <w:tcPr>
            <w:tcW w:w="628" w:type="dxa"/>
            <w:tcBorders>
              <w:bottom w:val="single" w:sz="4" w:space="0" w:color="000000"/>
            </w:tcBorders>
          </w:tcPr>
          <w:p>
            <w:pPr>
              <w:pStyle w:val="TableParagraph"/>
              <w:spacing w:line="657" w:lineRule="exact"/>
              <w:ind w:left="107"/>
              <w:rPr>
                <w:rFonts w:ascii="Yu Gothic"/>
                <w:b/>
                <w:sz w:val="40"/>
              </w:rPr>
            </w:pPr>
            <w:r>
              <w:rPr>
                <w:rFonts w:ascii="Yu Gothic"/>
                <w:b/>
                <w:w w:val="155"/>
                <w:sz w:val="40"/>
              </w:rPr>
              <w:t>4</w:t>
            </w:r>
          </w:p>
        </w:tc>
        <w:tc>
          <w:tcPr>
            <w:tcW w:w="9315" w:type="dxa"/>
            <w:gridSpan w:val="2"/>
            <w:tcBorders>
              <w:bottom w:val="single" w:sz="4" w:space="0" w:color="000000"/>
            </w:tcBorders>
          </w:tcPr>
          <w:p>
            <w:pPr>
              <w:pStyle w:val="TableParagraph"/>
              <w:spacing w:before="9"/>
              <w:rPr>
                <w:rFonts w:ascii="Times New Roman"/>
                <w:sz w:val="18"/>
              </w:rPr>
            </w:pPr>
          </w:p>
          <w:p>
            <w:pPr>
              <w:pStyle w:val="TableParagraph"/>
              <w:ind w:left="162"/>
              <w:rPr>
                <w:b/>
                <w:sz w:val="24"/>
              </w:rPr>
            </w:pPr>
            <w:r>
              <w:rPr>
                <w:b/>
                <w:w w:val="95"/>
                <w:sz w:val="24"/>
              </w:rPr>
              <w:t>我们提供的保障</w:t>
            </w:r>
          </w:p>
        </w:tc>
      </w:tr>
      <w:tr>
        <w:trPr>
          <w:trHeight w:val="641" w:hRule="atLeast"/>
        </w:trPr>
        <w:tc>
          <w:tcPr>
            <w:tcW w:w="628" w:type="dxa"/>
            <w:tcBorders>
              <w:top w:val="single" w:sz="4" w:space="0" w:color="000000"/>
            </w:tcBorders>
          </w:tcPr>
          <w:p>
            <w:pPr>
              <w:pStyle w:val="TableParagraph"/>
              <w:spacing w:before="6"/>
              <w:rPr>
                <w:rFonts w:ascii="Times New Roman"/>
                <w:sz w:val="17"/>
              </w:rPr>
            </w:pPr>
          </w:p>
          <w:p>
            <w:pPr>
              <w:pStyle w:val="TableParagraph"/>
              <w:ind w:left="107"/>
              <w:rPr>
                <w:b/>
                <w:sz w:val="21"/>
              </w:rPr>
            </w:pPr>
            <w:r>
              <w:rPr>
                <w:b/>
                <w:sz w:val="21"/>
              </w:rPr>
              <w:t>2.1</w:t>
            </w:r>
          </w:p>
        </w:tc>
        <w:tc>
          <w:tcPr>
            <w:tcW w:w="1440" w:type="dxa"/>
            <w:tcBorders>
              <w:top w:val="single" w:sz="4" w:space="0" w:color="000000"/>
            </w:tcBorders>
          </w:tcPr>
          <w:p>
            <w:pPr>
              <w:pStyle w:val="TableParagraph"/>
              <w:spacing w:before="6"/>
              <w:rPr>
                <w:rFonts w:ascii="Times New Roman"/>
                <w:sz w:val="17"/>
              </w:rPr>
            </w:pPr>
          </w:p>
          <w:p>
            <w:pPr>
              <w:pStyle w:val="TableParagraph"/>
              <w:ind w:left="162"/>
              <w:rPr>
                <w:b/>
                <w:sz w:val="21"/>
              </w:rPr>
            </w:pPr>
            <w:r>
              <w:rPr>
                <w:b/>
                <w:w w:val="95"/>
                <w:sz w:val="21"/>
              </w:rPr>
              <w:t>保险金额</w:t>
            </w:r>
          </w:p>
        </w:tc>
        <w:tc>
          <w:tcPr>
            <w:tcW w:w="7875" w:type="dxa"/>
            <w:tcBorders>
              <w:top w:val="single" w:sz="4" w:space="0" w:color="000000"/>
            </w:tcBorders>
          </w:tcPr>
          <w:p>
            <w:pPr>
              <w:pStyle w:val="TableParagraph"/>
              <w:spacing w:before="9"/>
              <w:rPr>
                <w:rFonts w:ascii="Times New Roman"/>
                <w:sz w:val="19"/>
              </w:rPr>
            </w:pPr>
          </w:p>
          <w:p>
            <w:pPr>
              <w:pStyle w:val="TableParagraph"/>
              <w:ind w:left="430"/>
              <w:rPr>
                <w:sz w:val="18"/>
              </w:rPr>
            </w:pPr>
            <w:r>
              <w:rPr>
                <w:sz w:val="18"/>
              </w:rPr>
              <w:t>本附加合同保险金额由您和本公司约定，并在保险单上载明。</w:t>
            </w:r>
          </w:p>
        </w:tc>
      </w:tr>
      <w:tr>
        <w:trPr>
          <w:trHeight w:val="548" w:hRule="atLeast"/>
        </w:trPr>
        <w:tc>
          <w:tcPr>
            <w:tcW w:w="628" w:type="dxa"/>
          </w:tcPr>
          <w:p>
            <w:pPr>
              <w:pStyle w:val="TableParagraph"/>
              <w:spacing w:before="99"/>
              <w:ind w:left="107"/>
              <w:rPr>
                <w:b/>
                <w:sz w:val="21"/>
              </w:rPr>
            </w:pPr>
            <w:r>
              <w:rPr>
                <w:b/>
                <w:sz w:val="21"/>
              </w:rPr>
              <w:t>2.2</w:t>
            </w:r>
          </w:p>
        </w:tc>
        <w:tc>
          <w:tcPr>
            <w:tcW w:w="1440" w:type="dxa"/>
          </w:tcPr>
          <w:p>
            <w:pPr>
              <w:pStyle w:val="TableParagraph"/>
              <w:spacing w:before="99"/>
              <w:ind w:left="162"/>
              <w:rPr>
                <w:b/>
                <w:sz w:val="21"/>
              </w:rPr>
            </w:pPr>
            <w:r>
              <w:rPr>
                <w:b/>
                <w:w w:val="95"/>
                <w:sz w:val="21"/>
              </w:rPr>
              <w:t>保险责任</w:t>
            </w:r>
          </w:p>
        </w:tc>
        <w:tc>
          <w:tcPr>
            <w:tcW w:w="7875" w:type="dxa"/>
          </w:tcPr>
          <w:p>
            <w:pPr>
              <w:pStyle w:val="TableParagraph"/>
              <w:spacing w:before="125"/>
              <w:ind w:left="430"/>
              <w:rPr>
                <w:sz w:val="18"/>
              </w:rPr>
            </w:pPr>
            <w:r>
              <w:rPr>
                <w:sz w:val="18"/>
              </w:rPr>
              <w:t>在本附加合同有效期内，本公司按下列规定承担保险责任：</w:t>
            </w:r>
          </w:p>
        </w:tc>
      </w:tr>
      <w:tr>
        <w:trPr>
          <w:trHeight w:val="1043" w:hRule="atLeast"/>
        </w:trPr>
        <w:tc>
          <w:tcPr>
            <w:tcW w:w="628" w:type="dxa"/>
          </w:tcPr>
          <w:p>
            <w:pPr>
              <w:pStyle w:val="TableParagraph"/>
              <w:rPr>
                <w:rFonts w:ascii="Times New Roman"/>
                <w:sz w:val="18"/>
              </w:rPr>
            </w:pPr>
          </w:p>
        </w:tc>
        <w:tc>
          <w:tcPr>
            <w:tcW w:w="1440" w:type="dxa"/>
          </w:tcPr>
          <w:p>
            <w:pPr>
              <w:pStyle w:val="TableParagraph"/>
              <w:spacing w:before="92"/>
              <w:ind w:left="162"/>
              <w:rPr>
                <w:b/>
                <w:sz w:val="21"/>
              </w:rPr>
            </w:pPr>
            <w:r>
              <w:rPr>
                <w:b/>
                <w:w w:val="95"/>
                <w:sz w:val="21"/>
              </w:rPr>
              <w:t>重大疾病保险</w:t>
            </w:r>
          </w:p>
        </w:tc>
        <w:tc>
          <w:tcPr>
            <w:tcW w:w="7875" w:type="dxa"/>
          </w:tcPr>
          <w:p>
            <w:pPr>
              <w:pStyle w:val="TableParagraph"/>
              <w:tabs>
                <w:tab w:pos="430" w:val="left" w:leader="none"/>
              </w:tabs>
              <w:spacing w:line="295" w:lineRule="auto" w:before="92"/>
              <w:ind w:left="430" w:right="102" w:hanging="443"/>
              <w:rPr>
                <w:sz w:val="18"/>
              </w:rPr>
            </w:pPr>
            <w:r>
              <w:rPr>
                <w:b/>
                <w:sz w:val="21"/>
              </w:rPr>
              <w:t>金</w:t>
              <w:tab/>
            </w:r>
            <w:r>
              <w:rPr>
                <w:position w:val="1"/>
                <w:sz w:val="18"/>
              </w:rPr>
              <w:t>被保险人于本附加合同生效（或复效）之日起一年内（包括一年）首次</w:t>
            </w:r>
            <w:r>
              <w:rPr>
                <w:b/>
                <w:position w:val="1"/>
                <w:sz w:val="18"/>
              </w:rPr>
              <w:t>发病</w:t>
            </w:r>
            <w:r>
              <w:rPr>
                <w:position w:val="1"/>
                <w:sz w:val="18"/>
              </w:rPr>
              <w:t>（见</w:t>
            </w:r>
            <w:r>
              <w:rPr>
                <w:spacing w:val="-46"/>
                <w:position w:val="1"/>
                <w:sz w:val="18"/>
              </w:rPr>
              <w:t> </w:t>
            </w:r>
            <w:r>
              <w:rPr>
                <w:position w:val="1"/>
                <w:sz w:val="18"/>
              </w:rPr>
              <w:t>8.2）并经本</w:t>
            </w:r>
            <w:r>
              <w:rPr>
                <w:sz w:val="18"/>
              </w:rPr>
              <w:t>公司</w:t>
            </w:r>
            <w:r>
              <w:rPr>
                <w:b/>
                <w:sz w:val="18"/>
              </w:rPr>
              <w:t>指定或认可的医疗机构</w:t>
            </w:r>
            <w:r>
              <w:rPr>
                <w:sz w:val="18"/>
              </w:rPr>
              <w:t>（见</w:t>
            </w:r>
            <w:r>
              <w:rPr>
                <w:spacing w:val="-53"/>
                <w:sz w:val="18"/>
              </w:rPr>
              <w:t> </w:t>
            </w:r>
            <w:r>
              <w:rPr>
                <w:sz w:val="18"/>
              </w:rPr>
              <w:t>8.3）确诊初次患有本附加合同附表一中约定的一项或多项重</w:t>
            </w:r>
          </w:p>
          <w:p>
            <w:pPr>
              <w:pStyle w:val="TableParagraph"/>
              <w:spacing w:before="34"/>
              <w:ind w:left="430"/>
              <w:rPr>
                <w:sz w:val="18"/>
              </w:rPr>
            </w:pPr>
            <w:r>
              <w:rPr>
                <w:sz w:val="18"/>
              </w:rPr>
              <w:t>大疾病，本公司无息返还本附加合同所交保险费，本附加合同效力终止。</w:t>
            </w:r>
          </w:p>
        </w:tc>
      </w:tr>
      <w:tr>
        <w:trPr>
          <w:trHeight w:val="1041" w:hRule="atLeast"/>
        </w:trPr>
        <w:tc>
          <w:tcPr>
            <w:tcW w:w="628" w:type="dxa"/>
          </w:tcPr>
          <w:p>
            <w:pPr>
              <w:pStyle w:val="TableParagraph"/>
              <w:rPr>
                <w:rFonts w:ascii="Times New Roman"/>
                <w:sz w:val="18"/>
              </w:rPr>
            </w:pPr>
          </w:p>
        </w:tc>
        <w:tc>
          <w:tcPr>
            <w:tcW w:w="1440" w:type="dxa"/>
          </w:tcPr>
          <w:p>
            <w:pPr>
              <w:pStyle w:val="TableParagraph"/>
              <w:rPr>
                <w:rFonts w:ascii="Times New Roman"/>
                <w:sz w:val="18"/>
              </w:rPr>
            </w:pPr>
          </w:p>
        </w:tc>
        <w:tc>
          <w:tcPr>
            <w:tcW w:w="7875" w:type="dxa"/>
          </w:tcPr>
          <w:p>
            <w:pPr>
              <w:pStyle w:val="TableParagraph"/>
              <w:spacing w:line="316" w:lineRule="auto" w:before="10"/>
              <w:ind w:left="430" w:right="99"/>
              <w:jc w:val="both"/>
              <w:rPr>
                <w:sz w:val="18"/>
              </w:rPr>
            </w:pPr>
            <w:r>
              <w:rPr>
                <w:spacing w:val="-2"/>
                <w:sz w:val="18"/>
              </w:rPr>
              <w:t>被保险人于本附加合同生效</w:t>
            </w:r>
            <w:r>
              <w:rPr>
                <w:sz w:val="18"/>
              </w:rPr>
              <w:t>（或复效</w:t>
            </w:r>
            <w:r>
              <w:rPr>
                <w:spacing w:val="-18"/>
                <w:sz w:val="18"/>
              </w:rPr>
              <w:t>）</w:t>
            </w:r>
            <w:r>
              <w:rPr>
                <w:sz w:val="18"/>
              </w:rPr>
              <w:t>之日起一年后至满期首次发病并经本公司指定或认可的</w:t>
            </w:r>
            <w:r>
              <w:rPr>
                <w:spacing w:val="-2"/>
                <w:sz w:val="18"/>
              </w:rPr>
              <w:t>医疗机构确诊初次患有本附加合同附表一中约定的一项或多项重大疾病，本公司按照本附加合同约定的保险金额给付重大疾病保险金，本附加合同效力终止。</w:t>
            </w:r>
          </w:p>
        </w:tc>
      </w:tr>
      <w:tr>
        <w:trPr>
          <w:trHeight w:val="381" w:hRule="atLeast"/>
        </w:trPr>
        <w:tc>
          <w:tcPr>
            <w:tcW w:w="9943" w:type="dxa"/>
            <w:gridSpan w:val="3"/>
          </w:tcPr>
          <w:p>
            <w:pPr>
              <w:pStyle w:val="TableParagraph"/>
              <w:tabs>
                <w:tab w:pos="790" w:val="left" w:leader="none"/>
                <w:tab w:pos="2498" w:val="left" w:leader="none"/>
              </w:tabs>
              <w:spacing w:line="255" w:lineRule="exact" w:before="106"/>
              <w:ind w:left="107"/>
              <w:rPr>
                <w:sz w:val="18"/>
              </w:rPr>
            </w:pPr>
            <w:r>
              <w:rPr>
                <w:b/>
                <w:sz w:val="21"/>
              </w:rPr>
              <w:t>2.3</w:t>
              <w:tab/>
              <w:t>责任免除</w:t>
              <w:tab/>
            </w:r>
            <w:r>
              <w:rPr>
                <w:position w:val="1"/>
                <w:sz w:val="18"/>
              </w:rPr>
              <w:t>被保险人因下列情形之一导致患本附加合同约定的重大疾病的，本公司不承担保险责任：</w:t>
            </w:r>
          </w:p>
        </w:tc>
      </w:tr>
    </w:tbl>
    <w:p>
      <w:pPr>
        <w:spacing w:after="0" w:line="255" w:lineRule="exact"/>
        <w:rPr>
          <w:sz w:val="18"/>
        </w:rPr>
        <w:sectPr>
          <w:pgSz w:w="11910" w:h="16840"/>
          <w:pgMar w:header="857" w:footer="981" w:top="1040" w:bottom="1180" w:left="1080" w:right="660"/>
        </w:sectPr>
      </w:pPr>
    </w:p>
    <w:p>
      <w:pPr>
        <w:pStyle w:val="BodyText"/>
        <w:rPr>
          <w:rFonts w:ascii="Times New Roman"/>
          <w:sz w:val="20"/>
        </w:rPr>
      </w:pPr>
      <w:r>
        <w:rPr/>
        <w:pict>
          <v:shape style="position:absolute;margin-left:59.82pt;margin-top:55.259998pt;width:497.1pt;height:691.7pt;mso-position-horizontal-relative:page;mso-position-vertical-relative:page;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45"/>
                    <w:gridCol w:w="7771"/>
                  </w:tblGrid>
                  <w:tr>
                    <w:trPr>
                      <w:trHeight w:val="3262" w:hRule="atLeast"/>
                    </w:trPr>
                    <w:tc>
                      <w:tcPr>
                        <w:tcW w:w="628" w:type="dxa"/>
                        <w:tcBorders>
                          <w:top w:val="single" w:sz="6" w:space="0" w:color="000000"/>
                        </w:tcBorders>
                      </w:tcPr>
                      <w:p>
                        <w:pPr>
                          <w:pStyle w:val="TableParagraph"/>
                          <w:rPr>
                            <w:rFonts w:ascii="Times New Roman"/>
                            <w:sz w:val="18"/>
                          </w:rPr>
                        </w:pPr>
                      </w:p>
                    </w:tc>
                    <w:tc>
                      <w:tcPr>
                        <w:tcW w:w="1545" w:type="dxa"/>
                        <w:tcBorders>
                          <w:top w:val="single" w:sz="6" w:space="0" w:color="000000"/>
                        </w:tcBorders>
                      </w:tcPr>
                      <w:p>
                        <w:pPr>
                          <w:pStyle w:val="TableParagraph"/>
                          <w:rPr>
                            <w:rFonts w:ascii="Times New Roman"/>
                            <w:sz w:val="18"/>
                          </w:rPr>
                        </w:pPr>
                      </w:p>
                    </w:tc>
                    <w:tc>
                      <w:tcPr>
                        <w:tcW w:w="7771" w:type="dxa"/>
                        <w:tcBorders>
                          <w:top w:val="single" w:sz="6" w:space="0" w:color="000000"/>
                        </w:tcBorders>
                      </w:tcPr>
                      <w:p>
                        <w:pPr>
                          <w:pStyle w:val="TableParagraph"/>
                          <w:spacing w:before="8"/>
                          <w:rPr>
                            <w:sz w:val="23"/>
                          </w:rPr>
                        </w:pPr>
                      </w:p>
                      <w:p>
                        <w:pPr>
                          <w:pStyle w:val="TableParagraph"/>
                          <w:ind w:left="325"/>
                          <w:rPr>
                            <w:b/>
                            <w:sz w:val="18"/>
                          </w:rPr>
                        </w:pPr>
                        <w:r>
                          <w:rPr>
                            <w:b/>
                            <w:sz w:val="18"/>
                          </w:rPr>
                          <w:t>1、 投保人对被保险人的故意杀害、故意伤害；</w:t>
                        </w:r>
                      </w:p>
                      <w:p>
                        <w:pPr>
                          <w:pStyle w:val="TableParagraph"/>
                          <w:spacing w:before="76"/>
                          <w:ind w:left="325"/>
                          <w:rPr>
                            <w:b/>
                            <w:sz w:val="18"/>
                          </w:rPr>
                        </w:pPr>
                        <w:r>
                          <w:rPr>
                            <w:b/>
                            <w:sz w:val="18"/>
                          </w:rPr>
                          <w:t>2、 被保险人故意犯罪或者抗拒依法采取的刑事强制措施；</w:t>
                        </w:r>
                      </w:p>
                      <w:p>
                        <w:pPr>
                          <w:pStyle w:val="TableParagraph"/>
                          <w:spacing w:before="76"/>
                          <w:ind w:left="325"/>
                          <w:rPr>
                            <w:b/>
                            <w:sz w:val="18"/>
                          </w:rPr>
                        </w:pPr>
                        <w:r>
                          <w:rPr>
                            <w:b/>
                            <w:sz w:val="18"/>
                          </w:rPr>
                          <w:t>3、 被保险人故意自伤；</w:t>
                        </w:r>
                      </w:p>
                      <w:p>
                        <w:pPr>
                          <w:pStyle w:val="TableParagraph"/>
                          <w:spacing w:before="76"/>
                          <w:ind w:left="325"/>
                          <w:rPr>
                            <w:b/>
                            <w:sz w:val="18"/>
                          </w:rPr>
                        </w:pPr>
                        <w:r>
                          <w:rPr>
                            <w:b/>
                            <w:sz w:val="18"/>
                          </w:rPr>
                          <w:t>4、 被保险人在本附加合同成立之日起二年内或最后复效日起二年内自杀；</w:t>
                        </w:r>
                      </w:p>
                      <w:p>
                        <w:pPr>
                          <w:pStyle w:val="TableParagraph"/>
                          <w:spacing w:before="76"/>
                          <w:ind w:left="325"/>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pStyle w:val="TableParagraph"/>
                          <w:spacing w:before="76"/>
                          <w:ind w:left="325"/>
                          <w:rPr>
                            <w:sz w:val="18"/>
                          </w:rPr>
                        </w:pPr>
                        <w:r>
                          <w:rPr>
                            <w:b/>
                            <w:spacing w:val="0"/>
                            <w:w w:val="99"/>
                            <w:sz w:val="18"/>
                          </w:rPr>
                          <w:t>6</w:t>
                        </w:r>
                        <w:r>
                          <w:rPr>
                            <w:b/>
                            <w:w w:val="99"/>
                            <w:sz w:val="18"/>
                          </w:rPr>
                          <w:t>、</w:t>
                        </w:r>
                        <w:r>
                          <w:rPr>
                            <w:b/>
                            <w:spacing w:val="35"/>
                            <w:sz w:val="18"/>
                          </w:rPr>
                          <w:t> </w:t>
                        </w:r>
                        <w:r>
                          <w:rPr>
                            <w:b/>
                            <w:spacing w:val="-4"/>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4"/>
                            <w:w w:val="99"/>
                            <w:sz w:val="18"/>
                          </w:rPr>
                          <w:t>或驾驶无有效行驶证</w:t>
                        </w:r>
                        <w:r>
                          <w:rPr>
                            <w:sz w:val="18"/>
                          </w:rPr>
                          <w:t>（见</w:t>
                        </w:r>
                      </w:p>
                      <w:p>
                        <w:pPr>
                          <w:pStyle w:val="TableParagraph"/>
                          <w:spacing w:before="76"/>
                          <w:ind w:left="722"/>
                          <w:rPr>
                            <w:b/>
                            <w:sz w:val="18"/>
                          </w:rPr>
                        </w:pPr>
                        <w:r>
                          <w:rPr>
                            <w:w w:val="95"/>
                            <w:sz w:val="18"/>
                          </w:rPr>
                          <w:t>8.7）</w:t>
                        </w:r>
                        <w:r>
                          <w:rPr>
                            <w:b/>
                            <w:w w:val="95"/>
                            <w:sz w:val="18"/>
                          </w:rPr>
                          <w:t>的机动车；</w:t>
                        </w:r>
                      </w:p>
                      <w:p>
                        <w:pPr>
                          <w:pStyle w:val="TableParagraph"/>
                          <w:spacing w:before="76"/>
                          <w:ind w:left="325"/>
                          <w:rPr>
                            <w:sz w:val="18"/>
                          </w:rPr>
                        </w:pPr>
                        <w:r>
                          <w:rPr>
                            <w:b/>
                            <w:spacing w:val="0"/>
                            <w:w w:val="99"/>
                            <w:sz w:val="18"/>
                          </w:rPr>
                          <w:t>7</w:t>
                        </w:r>
                        <w:r>
                          <w:rPr>
                            <w:b/>
                            <w:w w:val="99"/>
                            <w:sz w:val="18"/>
                          </w:rPr>
                          <w:t>、</w:t>
                        </w:r>
                        <w:r>
                          <w:rPr>
                            <w:b/>
                            <w:spacing w:val="35"/>
                            <w:sz w:val="18"/>
                          </w:rPr>
                          <w:t> </w:t>
                        </w:r>
                        <w:r>
                          <w:rPr>
                            <w:b/>
                            <w:spacing w:val="-3"/>
                            <w:w w:val="99"/>
                            <w:sz w:val="18"/>
                          </w:rPr>
                          <w:t>被保险人在本附加合同生效日起二年内患艾滋病</w:t>
                        </w:r>
                        <w:r>
                          <w:rPr>
                            <w:b/>
                            <w:spacing w:val="0"/>
                            <w:w w:val="99"/>
                            <w:sz w:val="18"/>
                          </w:rPr>
                          <w:t>（</w:t>
                        </w:r>
                        <w:r>
                          <w:rPr>
                            <w:spacing w:val="-23"/>
                            <w:sz w:val="18"/>
                          </w:rPr>
                          <w:t>见 </w:t>
                        </w:r>
                        <w:r>
                          <w:rPr>
                            <w:sz w:val="18"/>
                          </w:rPr>
                          <w:t>8.8</w:t>
                        </w:r>
                        <w:r>
                          <w:rPr>
                            <w:b/>
                            <w:spacing w:val="-125"/>
                            <w:w w:val="99"/>
                            <w:sz w:val="18"/>
                          </w:rPr>
                          <w:t>）</w:t>
                        </w:r>
                        <w:r>
                          <w:rPr>
                            <w:b/>
                            <w:w w:val="99"/>
                            <w:sz w:val="18"/>
                          </w:rPr>
                          <w:t>（</w:t>
                        </w:r>
                        <w:r>
                          <w:rPr>
                            <w:b/>
                            <w:spacing w:val="0"/>
                            <w:w w:val="99"/>
                            <w:sz w:val="18"/>
                          </w:rPr>
                          <w:t>A</w:t>
                        </w:r>
                        <w:r>
                          <w:rPr>
                            <w:b/>
                            <w:w w:val="99"/>
                            <w:sz w:val="18"/>
                          </w:rPr>
                          <w:t>I</w:t>
                        </w:r>
                        <w:r>
                          <w:rPr>
                            <w:b/>
                            <w:spacing w:val="0"/>
                            <w:w w:val="99"/>
                            <w:sz w:val="18"/>
                          </w:rPr>
                          <w:t>D</w:t>
                        </w:r>
                        <w:r>
                          <w:rPr>
                            <w:b/>
                            <w:w w:val="99"/>
                            <w:sz w:val="18"/>
                          </w:rPr>
                          <w:t>S</w:t>
                        </w:r>
                        <w:r>
                          <w:rPr>
                            <w:b/>
                            <w:spacing w:val="-35"/>
                            <w:w w:val="99"/>
                            <w:sz w:val="18"/>
                          </w:rPr>
                          <w:t>）</w:t>
                        </w:r>
                        <w:r>
                          <w:rPr>
                            <w:b/>
                            <w:spacing w:val="-5"/>
                            <w:w w:val="99"/>
                            <w:sz w:val="18"/>
                          </w:rPr>
                          <w:t>或感染艾滋病病毒</w:t>
                        </w:r>
                        <w:r>
                          <w:rPr>
                            <w:b/>
                            <w:spacing w:val="1"/>
                            <w:w w:val="99"/>
                            <w:sz w:val="18"/>
                          </w:rPr>
                          <w:t>（</w:t>
                        </w:r>
                        <w:r>
                          <w:rPr>
                            <w:sz w:val="18"/>
                          </w:rPr>
                          <w:t>见</w:t>
                        </w:r>
                      </w:p>
                      <w:p>
                        <w:pPr>
                          <w:pStyle w:val="TableParagraph"/>
                          <w:spacing w:before="76"/>
                          <w:ind w:left="722"/>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90"/>
                            <w:w w:val="99"/>
                            <w:sz w:val="18"/>
                          </w:rPr>
                          <w:t>）</w:t>
                        </w:r>
                        <w:r>
                          <w:rPr>
                            <w:b/>
                            <w:w w:val="99"/>
                            <w:sz w:val="18"/>
                          </w:rPr>
                          <w:t>；</w:t>
                        </w:r>
                      </w:p>
                    </w:tc>
                  </w:tr>
                  <w:tr>
                    <w:trPr>
                      <w:trHeight w:val="468"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9"/>
                          <w:rPr>
                            <w:sz w:val="12"/>
                          </w:rPr>
                        </w:pPr>
                      </w:p>
                      <w:p>
                        <w:pPr>
                          <w:pStyle w:val="TableParagraph"/>
                          <w:ind w:left="325"/>
                          <w:rPr>
                            <w:b/>
                            <w:sz w:val="18"/>
                          </w:rPr>
                        </w:pPr>
                        <w:r>
                          <w:rPr>
                            <w:b/>
                            <w:sz w:val="18"/>
                          </w:rPr>
                          <w:t>9、 核爆炸、核辐射或核污染；</w:t>
                        </w:r>
                      </w:p>
                    </w:tc>
                  </w:tr>
                  <w:tr>
                    <w:trPr>
                      <w:trHeight w:val="754"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line="316" w:lineRule="auto" w:before="10"/>
                          <w:ind w:left="325" w:right="100"/>
                          <w:rPr>
                            <w:sz w:val="18"/>
                          </w:rPr>
                        </w:pPr>
                        <w:r>
                          <w:rPr>
                            <w:spacing w:val="-2"/>
                            <w:sz w:val="18"/>
                          </w:rPr>
                          <w:t>因上述情形之一导致被保险人患本附加合同约定的重大疾病的，本公司向您或其他权利人退还本附加合同的</w:t>
                        </w:r>
                        <w:r>
                          <w:rPr>
                            <w:b/>
                            <w:spacing w:val="-1"/>
                            <w:w w:val="99"/>
                            <w:sz w:val="18"/>
                          </w:rPr>
                          <w:t>现金价值净额</w:t>
                        </w:r>
                        <w:r>
                          <w:rPr>
                            <w:sz w:val="18"/>
                          </w:rPr>
                          <w:t>（</w:t>
                        </w:r>
                        <w:r>
                          <w:rPr>
                            <w:spacing w:val="-23"/>
                            <w:sz w:val="18"/>
                          </w:rPr>
                          <w:t>见 </w:t>
                        </w:r>
                        <w:r>
                          <w:rPr>
                            <w:sz w:val="18"/>
                          </w:rPr>
                          <w:t>8.10</w:t>
                        </w:r>
                        <w:r>
                          <w:rPr>
                            <w:spacing w:val="-90"/>
                            <w:sz w:val="18"/>
                          </w:rPr>
                          <w:t>）</w:t>
                        </w:r>
                        <w:r>
                          <w:rPr>
                            <w:sz w:val="18"/>
                          </w:rPr>
                          <w:t>，本附加合同终止。</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b/>
                            <w:sz w:val="40"/>
                          </w:rPr>
                        </w:pPr>
                        <w:r>
                          <w:rPr>
                            <w:rFonts w:ascii="Yu Gothic"/>
                            <w:b/>
                            <w:w w:val="116"/>
                            <w:sz w:val="40"/>
                          </w:rPr>
                          <w:t>O</w:t>
                        </w:r>
                      </w:p>
                    </w:tc>
                    <w:tc>
                      <w:tcPr>
                        <w:tcW w:w="9316" w:type="dxa"/>
                        <w:gridSpan w:val="2"/>
                        <w:tcBorders>
                          <w:bottom w:val="single" w:sz="4" w:space="0" w:color="000000"/>
                        </w:tcBorders>
                      </w:tcPr>
                      <w:p>
                        <w:pPr>
                          <w:pStyle w:val="TableParagraph"/>
                          <w:spacing w:before="212"/>
                          <w:ind w:left="162"/>
                          <w:rPr>
                            <w:b/>
                            <w:sz w:val="24"/>
                          </w:rPr>
                        </w:pPr>
                        <w:r>
                          <w:rPr>
                            <w:b/>
                            <w:w w:val="95"/>
                            <w:sz w:val="24"/>
                          </w:rPr>
                          <w:t>如何申请领取保险金</w:t>
                        </w:r>
                      </w:p>
                    </w:tc>
                  </w:tr>
                  <w:tr>
                    <w:trPr>
                      <w:trHeight w:val="527"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3.1</w:t>
                        </w:r>
                      </w:p>
                    </w:tc>
                    <w:tc>
                      <w:tcPr>
                        <w:tcW w:w="1545"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受益人的指定</w:t>
                        </w:r>
                      </w:p>
                    </w:tc>
                    <w:tc>
                      <w:tcPr>
                        <w:tcW w:w="7771" w:type="dxa"/>
                        <w:tcBorders>
                          <w:top w:val="single" w:sz="4" w:space="0" w:color="000000"/>
                        </w:tcBorders>
                      </w:tcPr>
                      <w:p>
                        <w:pPr>
                          <w:pStyle w:val="TableParagraph"/>
                          <w:spacing w:before="5"/>
                          <w:rPr>
                            <w:sz w:val="17"/>
                          </w:rPr>
                        </w:pPr>
                      </w:p>
                      <w:p>
                        <w:pPr>
                          <w:pStyle w:val="TableParagraph"/>
                          <w:ind w:left="325"/>
                          <w:rPr>
                            <w:sz w:val="18"/>
                          </w:rPr>
                        </w:pPr>
                        <w:r>
                          <w:rPr>
                            <w:sz w:val="18"/>
                          </w:rPr>
                          <w:t>本附加合同的受益人为被保险人本人。</w:t>
                        </w:r>
                      </w:p>
                    </w:tc>
                  </w:tr>
                  <w:tr>
                    <w:trPr>
                      <w:trHeight w:val="425" w:hRule="atLeast"/>
                    </w:trPr>
                    <w:tc>
                      <w:tcPr>
                        <w:tcW w:w="628" w:type="dxa"/>
                      </w:tcPr>
                      <w:p>
                        <w:pPr>
                          <w:pStyle w:val="TableParagraph"/>
                          <w:rPr>
                            <w:rFonts w:ascii="Times New Roman"/>
                            <w:sz w:val="18"/>
                          </w:rPr>
                        </w:pPr>
                      </w:p>
                    </w:tc>
                    <w:tc>
                      <w:tcPr>
                        <w:tcW w:w="1545" w:type="dxa"/>
                      </w:tcPr>
                      <w:p>
                        <w:pPr>
                          <w:pStyle w:val="TableParagraph"/>
                          <w:spacing w:line="261" w:lineRule="exact"/>
                          <w:ind w:left="162"/>
                          <w:rPr>
                            <w:b/>
                            <w:sz w:val="21"/>
                          </w:rPr>
                        </w:pPr>
                        <w:r>
                          <w:rPr>
                            <w:b/>
                            <w:sz w:val="21"/>
                          </w:rPr>
                          <w:t>和变更</w:t>
                        </w:r>
                      </w:p>
                    </w:tc>
                    <w:tc>
                      <w:tcPr>
                        <w:tcW w:w="7771" w:type="dxa"/>
                      </w:tcPr>
                      <w:p>
                        <w:pPr>
                          <w:pStyle w:val="TableParagraph"/>
                          <w:rPr>
                            <w:rFonts w:ascii="Times New Roman"/>
                            <w:sz w:val="18"/>
                          </w:rPr>
                        </w:pPr>
                      </w:p>
                    </w:tc>
                  </w:tr>
                  <w:tr>
                    <w:trPr>
                      <w:trHeight w:val="1518" w:hRule="atLeast"/>
                    </w:trPr>
                    <w:tc>
                      <w:tcPr>
                        <w:tcW w:w="9944" w:type="dxa"/>
                        <w:gridSpan w:val="3"/>
                      </w:tcPr>
                      <w:p>
                        <w:pPr>
                          <w:pStyle w:val="TableParagraph"/>
                          <w:numPr>
                            <w:ilvl w:val="1"/>
                            <w:numId w:val="7"/>
                          </w:numPr>
                          <w:tabs>
                            <w:tab w:pos="790" w:val="left" w:leader="none"/>
                            <w:tab w:pos="791" w:val="left" w:leader="none"/>
                            <w:tab w:pos="2498" w:val="left" w:leader="none"/>
                          </w:tabs>
                          <w:spacing w:line="240" w:lineRule="auto" w:before="99" w:after="0"/>
                          <w:ind w:left="790" w:right="0" w:hanging="682"/>
                          <w:jc w:val="left"/>
                          <w:rPr>
                            <w:sz w:val="18"/>
                          </w:rPr>
                        </w:pPr>
                        <w:r>
                          <w:rPr>
                            <w:b/>
                            <w:sz w:val="21"/>
                          </w:rPr>
                          <w:t>保险金的申请</w:t>
                          <w:tab/>
                        </w:r>
                        <w:r>
                          <w:rPr>
                            <w:position w:val="1"/>
                            <w:sz w:val="18"/>
                          </w:rPr>
                          <w:t>1、重大疾病保险金</w:t>
                        </w:r>
                      </w:p>
                      <w:p>
                        <w:pPr>
                          <w:pStyle w:val="TableParagraph"/>
                          <w:spacing w:line="316" w:lineRule="auto" w:before="62"/>
                          <w:ind w:left="2498" w:right="42"/>
                          <w:rPr>
                            <w:sz w:val="18"/>
                          </w:rPr>
                        </w:pPr>
                        <w:r>
                          <w:rPr>
                            <w:sz w:val="18"/>
                          </w:rPr>
                          <w:t>重大疾病保险金受益人申请领取重大疾病保险金时，须填写保险金给付申请书，并提供下列证明材料：</w:t>
                        </w:r>
                      </w:p>
                      <w:p>
                        <w:pPr>
                          <w:pStyle w:val="TableParagraph"/>
                          <w:numPr>
                            <w:ilvl w:val="2"/>
                            <w:numId w:val="7"/>
                          </w:numPr>
                          <w:tabs>
                            <w:tab w:pos="2839" w:val="left" w:leader="none"/>
                          </w:tabs>
                          <w:spacing w:line="240" w:lineRule="auto" w:before="19" w:after="0"/>
                          <w:ind w:left="2838" w:right="0" w:hanging="340"/>
                          <w:jc w:val="left"/>
                          <w:rPr>
                            <w:sz w:val="18"/>
                          </w:rPr>
                        </w:pPr>
                        <w:r>
                          <w:rPr>
                            <w:sz w:val="18"/>
                          </w:rPr>
                          <w:t>保险合同；</w:t>
                        </w:r>
                      </w:p>
                    </w:tc>
                  </w:tr>
                  <w:tr>
                    <w:trPr>
                      <w:trHeight w:val="779"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line="310" w:lineRule="atLeast" w:before="92"/>
                          <w:ind w:left="665" w:right="100" w:hanging="340"/>
                          <w:rPr>
                            <w:sz w:val="18"/>
                          </w:rPr>
                        </w:pPr>
                        <w:r>
                          <w:rPr>
                            <w:sz w:val="18"/>
                          </w:rPr>
                          <w:t>(3)</w:t>
                        </w:r>
                        <w:r>
                          <w:rPr>
                            <w:spacing w:val="-6"/>
                            <w:sz w:val="18"/>
                          </w:rPr>
                          <w:t> 本公司指定或认可的医疗机构出具的附有病理检验、血液检验及其它与确诊疾病必须的科学方法检验报告的疾病诊断证明书；</w:t>
                        </w:r>
                      </w:p>
                    </w:tc>
                  </w:tr>
                  <w:tr>
                    <w:trPr>
                      <w:trHeight w:val="425"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0"/>
                          <w:ind w:left="325"/>
                          <w:rPr>
                            <w:sz w:val="18"/>
                          </w:rPr>
                        </w:pPr>
                        <w:r>
                          <w:rPr>
                            <w:sz w:val="18"/>
                          </w:rPr>
                          <w:t>(4) 所能提供的与确认保险事故的性质、原因等有关的其它证明文件和资料。</w:t>
                        </w:r>
                      </w:p>
                    </w:tc>
                  </w:tr>
                  <w:tr>
                    <w:trPr>
                      <w:trHeight w:val="538"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24"/>
                          <w:ind w:left="325"/>
                          <w:rPr>
                            <w:sz w:val="18"/>
                          </w:rPr>
                        </w:pPr>
                        <w:r>
                          <w:rPr>
                            <w:sz w:val="18"/>
                          </w:rPr>
                          <w:t>以上证明和资料不完整的，本公司将及时一次性通知申请人补充提供有关证明和资料。</w:t>
                        </w:r>
                      </w:p>
                    </w:tc>
                  </w:tr>
                  <w:tr>
                    <w:trPr>
                      <w:trHeight w:val="531"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124"/>
                          <w:ind w:left="325"/>
                          <w:rPr>
                            <w:sz w:val="18"/>
                          </w:rPr>
                        </w:pPr>
                        <w:r>
                          <w:rPr>
                            <w:sz w:val="18"/>
                          </w:rPr>
                          <w:t>2、如委托他人代为申领，还应提供授权委托书及受托人的有效身份证件。</w:t>
                        </w:r>
                      </w:p>
                    </w:tc>
                  </w:tr>
                  <w:tr>
                    <w:trPr>
                      <w:trHeight w:val="851" w:hRule="atLeast"/>
                    </w:trPr>
                    <w:tc>
                      <w:tcPr>
                        <w:tcW w:w="628" w:type="dxa"/>
                      </w:tcPr>
                      <w:p>
                        <w:pPr>
                          <w:pStyle w:val="TableParagraph"/>
                          <w:spacing w:before="107"/>
                          <w:ind w:left="107"/>
                          <w:rPr>
                            <w:b/>
                            <w:sz w:val="21"/>
                          </w:rPr>
                        </w:pPr>
                        <w:r>
                          <w:rPr>
                            <w:b/>
                            <w:sz w:val="21"/>
                          </w:rPr>
                          <w:t>3.3</w:t>
                        </w:r>
                      </w:p>
                    </w:tc>
                    <w:tc>
                      <w:tcPr>
                        <w:tcW w:w="1545" w:type="dxa"/>
                      </w:tcPr>
                      <w:p>
                        <w:pPr>
                          <w:pStyle w:val="TableParagraph"/>
                          <w:spacing w:before="107"/>
                          <w:ind w:left="162"/>
                          <w:rPr>
                            <w:b/>
                            <w:sz w:val="21"/>
                          </w:rPr>
                        </w:pPr>
                        <w:r>
                          <w:rPr>
                            <w:b/>
                            <w:w w:val="95"/>
                            <w:sz w:val="21"/>
                          </w:rPr>
                          <w:t>欠款的扣除</w:t>
                        </w:r>
                      </w:p>
                    </w:tc>
                    <w:tc>
                      <w:tcPr>
                        <w:tcW w:w="7771" w:type="dxa"/>
                      </w:tcPr>
                      <w:p>
                        <w:pPr>
                          <w:pStyle w:val="TableParagraph"/>
                          <w:spacing w:line="316" w:lineRule="auto" w:before="132"/>
                          <w:ind w:left="325" w:right="101"/>
                          <w:rPr>
                            <w:sz w:val="18"/>
                          </w:rPr>
                        </w:pPr>
                        <w:r>
                          <w:rPr>
                            <w:spacing w:val="-4"/>
                            <w:sz w:val="18"/>
                          </w:rPr>
                          <w:t>本公司给付各项保险金、返还现金价值或保险费时，如本附加合同有借款、欠交保险费，则本公司扣除未清偿的借款及应付</w:t>
                        </w:r>
                        <w:r>
                          <w:rPr>
                            <w:b/>
                            <w:spacing w:val="0"/>
                            <w:w w:val="99"/>
                            <w:sz w:val="18"/>
                          </w:rPr>
                          <w:t>利息</w:t>
                        </w:r>
                        <w:r>
                          <w:rPr>
                            <w:sz w:val="18"/>
                          </w:rPr>
                          <w:t>（</w:t>
                        </w:r>
                        <w:r>
                          <w:rPr>
                            <w:spacing w:val="-23"/>
                            <w:sz w:val="18"/>
                          </w:rPr>
                          <w:t>见 </w:t>
                        </w:r>
                        <w:r>
                          <w:rPr>
                            <w:sz w:val="18"/>
                          </w:rPr>
                          <w:t>8.11</w:t>
                        </w:r>
                        <w:r>
                          <w:rPr>
                            <w:spacing w:val="-90"/>
                            <w:sz w:val="18"/>
                          </w:rPr>
                          <w:t>）</w:t>
                        </w:r>
                        <w:r>
                          <w:rPr>
                            <w:sz w:val="18"/>
                          </w:rPr>
                          <w:t>、欠交的保险费后给付。</w:t>
                        </w:r>
                      </w:p>
                    </w:tc>
                  </w:tr>
                  <w:tr>
                    <w:trPr>
                      <w:trHeight w:val="876" w:hRule="atLeast"/>
                    </w:trPr>
                    <w:tc>
                      <w:tcPr>
                        <w:tcW w:w="628" w:type="dxa"/>
                      </w:tcPr>
                      <w:p>
                        <w:pPr>
                          <w:pStyle w:val="TableParagraph"/>
                          <w:spacing w:before="106"/>
                          <w:ind w:left="107"/>
                          <w:rPr>
                            <w:b/>
                            <w:sz w:val="21"/>
                          </w:rPr>
                        </w:pPr>
                        <w:r>
                          <w:rPr>
                            <w:b/>
                            <w:sz w:val="21"/>
                          </w:rPr>
                          <w:t>3.4</w:t>
                        </w:r>
                      </w:p>
                    </w:tc>
                    <w:tc>
                      <w:tcPr>
                        <w:tcW w:w="1545" w:type="dxa"/>
                      </w:tcPr>
                      <w:p>
                        <w:pPr>
                          <w:pStyle w:val="TableParagraph"/>
                          <w:spacing w:before="106"/>
                          <w:ind w:left="162"/>
                          <w:rPr>
                            <w:b/>
                            <w:sz w:val="21"/>
                          </w:rPr>
                        </w:pPr>
                        <w:r>
                          <w:rPr>
                            <w:b/>
                            <w:sz w:val="21"/>
                          </w:rPr>
                          <w:t>诉讼时效</w:t>
                        </w:r>
                      </w:p>
                    </w:tc>
                    <w:tc>
                      <w:tcPr>
                        <w:tcW w:w="7771" w:type="dxa"/>
                      </w:tcPr>
                      <w:p>
                        <w:pPr>
                          <w:pStyle w:val="TableParagraph"/>
                          <w:spacing w:line="316" w:lineRule="auto" w:before="132"/>
                          <w:ind w:left="325" w:right="42"/>
                          <w:rPr>
                            <w:sz w:val="18"/>
                          </w:rPr>
                        </w:pPr>
                        <w:r>
                          <w:rPr>
                            <w:sz w:val="18"/>
                          </w:rPr>
                          <w:t>本附加合同的受益人向本公司请求给付保险金的诉讼时效期间为二年，自其知道或者应当知道保险事故发生之日起计算。</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214"/>
                            <w:sz w:val="40"/>
                          </w:rPr>
                          <w:t>º</w:t>
                        </w:r>
                      </w:p>
                    </w:tc>
                    <w:tc>
                      <w:tcPr>
                        <w:tcW w:w="9316" w:type="dxa"/>
                        <w:gridSpan w:val="2"/>
                        <w:tcBorders>
                          <w:bottom w:val="single" w:sz="4" w:space="0" w:color="000000"/>
                        </w:tcBorders>
                      </w:tcPr>
                      <w:p>
                        <w:pPr>
                          <w:pStyle w:val="TableParagraph"/>
                          <w:spacing w:before="212"/>
                          <w:ind w:left="162"/>
                          <w:rPr>
                            <w:b/>
                            <w:sz w:val="24"/>
                          </w:rPr>
                        </w:pPr>
                        <w:r>
                          <w:rPr>
                            <w:b/>
                            <w:sz w:val="24"/>
                          </w:rPr>
                          <w:t>如何交付保险费</w:t>
                        </w:r>
                      </w:p>
                    </w:tc>
                  </w:tr>
                  <w:tr>
                    <w:trPr>
                      <w:trHeight w:val="536" w:hRule="atLeast"/>
                    </w:trPr>
                    <w:tc>
                      <w:tcPr>
                        <w:tcW w:w="9944" w:type="dxa"/>
                        <w:gridSpan w:val="3"/>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4.1</w:t>
                          <w:tab/>
                          <w:t>保险费的交付</w:t>
                          <w:tab/>
                        </w:r>
                        <w:r>
                          <w:rPr>
                            <w:position w:val="1"/>
                            <w:sz w:val="18"/>
                          </w:rPr>
                          <w:t>保险费详见费率表，您可以选择一次交清或分期交付本附加合同的保险费。</w:t>
                        </w:r>
                      </w:p>
                    </w:tc>
                  </w:tr>
                  <w:tr>
                    <w:trPr>
                      <w:trHeight w:val="617" w:hRule="atLeast"/>
                    </w:trPr>
                    <w:tc>
                      <w:tcPr>
                        <w:tcW w:w="628" w:type="dxa"/>
                      </w:tcPr>
                      <w:p>
                        <w:pPr>
                          <w:pStyle w:val="TableParagraph"/>
                          <w:rPr>
                            <w:rFonts w:ascii="Times New Roman"/>
                            <w:sz w:val="18"/>
                          </w:rPr>
                        </w:pPr>
                      </w:p>
                    </w:tc>
                    <w:tc>
                      <w:tcPr>
                        <w:tcW w:w="1545" w:type="dxa"/>
                      </w:tcPr>
                      <w:p>
                        <w:pPr>
                          <w:pStyle w:val="TableParagraph"/>
                          <w:rPr>
                            <w:rFonts w:ascii="Times New Roman"/>
                            <w:sz w:val="18"/>
                          </w:rPr>
                        </w:pPr>
                      </w:p>
                    </w:tc>
                    <w:tc>
                      <w:tcPr>
                        <w:tcW w:w="7771" w:type="dxa"/>
                      </w:tcPr>
                      <w:p>
                        <w:pPr>
                          <w:pStyle w:val="TableParagraph"/>
                          <w:spacing w:before="3"/>
                          <w:ind w:left="325"/>
                          <w:rPr>
                            <w:sz w:val="18"/>
                          </w:rPr>
                        </w:pPr>
                        <w:r>
                          <w:rPr>
                            <w:sz w:val="18"/>
                          </w:rPr>
                          <w:t>本附加合同采用分期交付方式时，保险费交费期间为五年、交至被保险人年满十二周岁、十五</w:t>
                        </w:r>
                      </w:p>
                      <w:p>
                        <w:pPr>
                          <w:pStyle w:val="TableParagraph"/>
                          <w:spacing w:before="76"/>
                          <w:ind w:left="325"/>
                          <w:rPr>
                            <w:sz w:val="18"/>
                          </w:rPr>
                        </w:pPr>
                        <w:r>
                          <w:rPr>
                            <w:sz w:val="18"/>
                          </w:rPr>
                          <w:t>周岁、十八周岁的保险单周年日。</w:t>
                        </w:r>
                      </w:p>
                    </w:tc>
                  </w:tr>
                  <w:tr>
                    <w:trPr>
                      <w:trHeight w:val="246" w:hRule="atLeast"/>
                    </w:trPr>
                    <w:tc>
                      <w:tcPr>
                        <w:tcW w:w="628" w:type="dxa"/>
                      </w:tcPr>
                      <w:p>
                        <w:pPr>
                          <w:pStyle w:val="TableParagraph"/>
                          <w:rPr>
                            <w:rFonts w:ascii="Times New Roman"/>
                            <w:sz w:val="16"/>
                          </w:rPr>
                        </w:pPr>
                      </w:p>
                    </w:tc>
                    <w:tc>
                      <w:tcPr>
                        <w:tcW w:w="1545" w:type="dxa"/>
                      </w:tcPr>
                      <w:p>
                        <w:pPr>
                          <w:pStyle w:val="TableParagraph"/>
                          <w:rPr>
                            <w:rFonts w:ascii="Times New Roman"/>
                            <w:sz w:val="16"/>
                          </w:rPr>
                        </w:pPr>
                      </w:p>
                    </w:tc>
                    <w:tc>
                      <w:tcPr>
                        <w:tcW w:w="7771" w:type="dxa"/>
                      </w:tcPr>
                      <w:p>
                        <w:pPr>
                          <w:pStyle w:val="TableParagraph"/>
                          <w:spacing w:line="216" w:lineRule="exact" w:before="10"/>
                          <w:ind w:left="325"/>
                          <w:rPr>
                            <w:sz w:val="18"/>
                          </w:rPr>
                        </w:pPr>
                        <w:r>
                          <w:rPr>
                            <w:sz w:val="18"/>
                          </w:rPr>
                          <w:t>分期交费方式包括年交、半年交、季交、月交四种。</w:t>
                        </w:r>
                      </w:p>
                    </w:tc>
                  </w:tr>
                </w:tbl>
                <w:p>
                  <w:pPr>
                    <w:pStyle w:val="BodyText"/>
                  </w:pP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p>
      <w:pPr>
        <w:spacing w:before="1"/>
        <w:ind w:left="2614" w:right="0" w:firstLine="0"/>
        <w:jc w:val="left"/>
        <w:rPr>
          <w:b/>
          <w:sz w:val="18"/>
        </w:rPr>
      </w:pPr>
      <w:r>
        <w:rPr>
          <w:b/>
          <w:sz w:val="18"/>
        </w:rPr>
        <w:t>8、 战争、军事冲突、暴乱或武装叛乱；</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4"/>
        </w:rPr>
      </w:pPr>
    </w:p>
    <w:p>
      <w:pPr>
        <w:pStyle w:val="BodyText"/>
        <w:ind w:left="2614"/>
      </w:pPr>
      <w:r>
        <w:rPr/>
        <w:t>(2) 受益人的有效身份证件；</w:t>
      </w:r>
    </w:p>
    <w:p>
      <w:pPr>
        <w:spacing w:after="0"/>
        <w:sectPr>
          <w:pgSz w:w="11910" w:h="16840"/>
          <w:pgMar w:header="857" w:footer="981" w:top="1040" w:bottom="1180" w:left="1080" w:right="660"/>
        </w:sectPr>
      </w:pPr>
    </w:p>
    <w:p>
      <w:pPr>
        <w:pStyle w:val="BodyText"/>
        <w:rPr>
          <w:sz w:val="20"/>
        </w:rPr>
      </w:pPr>
      <w:r>
        <w:rPr/>
        <w:pict>
          <v:shape style="position:absolute;margin-left:59.82pt;margin-top:55.259998pt;width:497.1pt;height:710.2pt;mso-position-horizontal-relative:page;mso-position-vertical-relative:page;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64"/>
                    <w:gridCol w:w="7550"/>
                  </w:tblGrid>
                  <w:tr>
                    <w:trPr>
                      <w:trHeight w:val="922" w:hRule="atLeast"/>
                    </w:trPr>
                    <w:tc>
                      <w:tcPr>
                        <w:tcW w:w="628" w:type="dxa"/>
                        <w:tcBorders>
                          <w:top w:val="single" w:sz="6" w:space="0" w:color="000000"/>
                          <w:bottom w:val="single" w:sz="4" w:space="0" w:color="000000"/>
                        </w:tcBorders>
                      </w:tcPr>
                      <w:p>
                        <w:pPr>
                          <w:pStyle w:val="TableParagraph"/>
                          <w:spacing w:before="182"/>
                          <w:ind w:left="107"/>
                          <w:rPr>
                            <w:rFonts w:ascii="Yu Gothic"/>
                            <w:b/>
                            <w:sz w:val="40"/>
                          </w:rPr>
                        </w:pPr>
                        <w:r>
                          <w:rPr>
                            <w:rFonts w:ascii="Yu Gothic"/>
                            <w:b/>
                            <w:w w:val="155"/>
                            <w:sz w:val="40"/>
                          </w:rPr>
                          <w:t>6</w:t>
                        </w:r>
                      </w:p>
                    </w:tc>
                    <w:tc>
                      <w:tcPr>
                        <w:tcW w:w="1764" w:type="dxa"/>
                        <w:tcBorders>
                          <w:top w:val="single" w:sz="6" w:space="0" w:color="000000"/>
                          <w:bottom w:val="single" w:sz="4" w:space="0" w:color="000000"/>
                        </w:tcBorders>
                      </w:tcPr>
                      <w:p>
                        <w:pPr>
                          <w:pStyle w:val="TableParagraph"/>
                          <w:spacing w:before="9"/>
                          <w:rPr>
                            <w:sz w:val="31"/>
                          </w:rPr>
                        </w:pPr>
                      </w:p>
                      <w:p>
                        <w:pPr>
                          <w:pStyle w:val="TableParagraph"/>
                          <w:ind w:left="162"/>
                          <w:rPr>
                            <w:b/>
                            <w:sz w:val="24"/>
                          </w:rPr>
                        </w:pPr>
                        <w:r>
                          <w:rPr>
                            <w:b/>
                            <w:w w:val="95"/>
                            <w:sz w:val="24"/>
                          </w:rPr>
                          <w:t>现金价值权益</w:t>
                        </w:r>
                      </w:p>
                    </w:tc>
                    <w:tc>
                      <w:tcPr>
                        <w:tcW w:w="7550" w:type="dxa"/>
                        <w:tcBorders>
                          <w:top w:val="single" w:sz="6" w:space="0" w:color="000000"/>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5.1</w:t>
                        </w:r>
                      </w:p>
                    </w:tc>
                    <w:tc>
                      <w:tcPr>
                        <w:tcW w:w="1764" w:type="dxa"/>
                        <w:tcBorders>
                          <w:top w:val="single" w:sz="4" w:space="0" w:color="000000"/>
                        </w:tcBorders>
                      </w:tcPr>
                      <w:p>
                        <w:pPr>
                          <w:pStyle w:val="TableParagraph"/>
                          <w:spacing w:before="5"/>
                          <w:rPr>
                            <w:sz w:val="15"/>
                          </w:rPr>
                        </w:pPr>
                      </w:p>
                      <w:p>
                        <w:pPr>
                          <w:pStyle w:val="TableParagraph"/>
                          <w:spacing w:before="1"/>
                          <w:ind w:left="162"/>
                          <w:rPr>
                            <w:b/>
                            <w:sz w:val="21"/>
                          </w:rPr>
                        </w:pPr>
                        <w:r>
                          <w:rPr>
                            <w:b/>
                            <w:sz w:val="21"/>
                          </w:rPr>
                          <w:t>现金价值</w:t>
                        </w:r>
                      </w:p>
                    </w:tc>
                    <w:tc>
                      <w:tcPr>
                        <w:tcW w:w="7550" w:type="dxa"/>
                        <w:tcBorders>
                          <w:top w:val="single" w:sz="4" w:space="0" w:color="000000"/>
                        </w:tcBorders>
                      </w:tcPr>
                      <w:p>
                        <w:pPr>
                          <w:pStyle w:val="TableParagraph"/>
                          <w:spacing w:before="5"/>
                          <w:rPr>
                            <w:sz w:val="17"/>
                          </w:rPr>
                        </w:pPr>
                      </w:p>
                      <w:p>
                        <w:pPr>
                          <w:pStyle w:val="TableParagraph"/>
                          <w:spacing w:line="316" w:lineRule="auto"/>
                          <w:ind w:left="106" w:right="98"/>
                          <w:rPr>
                            <w:sz w:val="18"/>
                          </w:rPr>
                        </w:pPr>
                        <w:r>
                          <w:rPr>
                            <w:sz w:val="18"/>
                          </w:rPr>
                          <w:t>本附加合同保单年度末的</w:t>
                        </w:r>
                        <w:r>
                          <w:rPr>
                            <w:b/>
                            <w:spacing w:val="-6"/>
                            <w:sz w:val="18"/>
                          </w:rPr>
                          <w:t>现金价值</w:t>
                        </w:r>
                        <w:r>
                          <w:rPr>
                            <w:sz w:val="18"/>
                          </w:rPr>
                          <w:t>（</w:t>
                        </w:r>
                        <w:r>
                          <w:rPr>
                            <w:spacing w:val="-22"/>
                            <w:sz w:val="18"/>
                          </w:rPr>
                          <w:t>见 </w:t>
                        </w:r>
                        <w:r>
                          <w:rPr>
                            <w:spacing w:val="-5"/>
                            <w:sz w:val="18"/>
                          </w:rPr>
                          <w:t>8.12）</w:t>
                        </w:r>
                        <w:r>
                          <w:rPr>
                            <w:spacing w:val="-4"/>
                            <w:sz w:val="18"/>
                          </w:rPr>
                          <w:t>会在保险单上载明，保单年度内的现金价值，您可以向本公司咨询。</w:t>
                        </w:r>
                      </w:p>
                    </w:tc>
                  </w:tr>
                  <w:tr>
                    <w:trPr>
                      <w:trHeight w:val="850" w:hRule="atLeast"/>
                    </w:trPr>
                    <w:tc>
                      <w:tcPr>
                        <w:tcW w:w="628" w:type="dxa"/>
                      </w:tcPr>
                      <w:p>
                        <w:pPr>
                          <w:pStyle w:val="TableParagraph"/>
                          <w:spacing w:before="106"/>
                          <w:ind w:left="107"/>
                          <w:rPr>
                            <w:b/>
                            <w:sz w:val="21"/>
                          </w:rPr>
                        </w:pPr>
                        <w:r>
                          <w:rPr>
                            <w:b/>
                            <w:sz w:val="21"/>
                          </w:rPr>
                          <w:t>5.2</w:t>
                        </w:r>
                      </w:p>
                    </w:tc>
                    <w:tc>
                      <w:tcPr>
                        <w:tcW w:w="1764" w:type="dxa"/>
                      </w:tcPr>
                      <w:p>
                        <w:pPr>
                          <w:pStyle w:val="TableParagraph"/>
                          <w:spacing w:before="106"/>
                          <w:ind w:left="161"/>
                          <w:rPr>
                            <w:b/>
                            <w:sz w:val="21"/>
                          </w:rPr>
                        </w:pPr>
                        <w:r>
                          <w:rPr>
                            <w:b/>
                            <w:w w:val="95"/>
                            <w:sz w:val="21"/>
                          </w:rPr>
                          <w:t>自动垫交</w:t>
                        </w:r>
                      </w:p>
                    </w:tc>
                    <w:tc>
                      <w:tcPr>
                        <w:tcW w:w="7550" w:type="dxa"/>
                      </w:tcPr>
                      <w:p>
                        <w:pPr>
                          <w:pStyle w:val="TableParagraph"/>
                          <w:spacing w:line="316" w:lineRule="auto" w:before="132"/>
                          <w:ind w:left="106" w:right="40"/>
                          <w:rPr>
                            <w:sz w:val="18"/>
                          </w:rPr>
                        </w:pPr>
                        <w:r>
                          <w:rPr>
                            <w:sz w:val="18"/>
                          </w:rPr>
                          <w:t>主险合同进行保费自动垫交时，本附加合同应同时进行保费自动垫交。本附加合同不能单独进行保费自动垫交。</w:t>
                        </w:r>
                      </w:p>
                    </w:tc>
                  </w:tr>
                  <w:tr>
                    <w:trPr>
                      <w:trHeight w:val="876" w:hRule="atLeast"/>
                    </w:trPr>
                    <w:tc>
                      <w:tcPr>
                        <w:tcW w:w="628" w:type="dxa"/>
                      </w:tcPr>
                      <w:p>
                        <w:pPr>
                          <w:pStyle w:val="TableParagraph"/>
                          <w:spacing w:before="106"/>
                          <w:ind w:left="107"/>
                          <w:rPr>
                            <w:b/>
                            <w:sz w:val="21"/>
                          </w:rPr>
                        </w:pPr>
                        <w:r>
                          <w:rPr>
                            <w:b/>
                            <w:sz w:val="21"/>
                          </w:rPr>
                          <w:t>5.3</w:t>
                        </w:r>
                      </w:p>
                    </w:tc>
                    <w:tc>
                      <w:tcPr>
                        <w:tcW w:w="1764" w:type="dxa"/>
                      </w:tcPr>
                      <w:p>
                        <w:pPr>
                          <w:pStyle w:val="TableParagraph"/>
                          <w:spacing w:before="106"/>
                          <w:ind w:left="162"/>
                          <w:rPr>
                            <w:b/>
                            <w:sz w:val="21"/>
                          </w:rPr>
                        </w:pPr>
                        <w:r>
                          <w:rPr>
                            <w:b/>
                            <w:w w:val="95"/>
                            <w:sz w:val="21"/>
                          </w:rPr>
                          <w:t>保险单借款</w:t>
                        </w:r>
                      </w:p>
                    </w:tc>
                    <w:tc>
                      <w:tcPr>
                        <w:tcW w:w="7550" w:type="dxa"/>
                      </w:tcPr>
                      <w:p>
                        <w:pPr>
                          <w:pStyle w:val="TableParagraph"/>
                          <w:spacing w:line="316" w:lineRule="auto" w:before="132"/>
                          <w:ind w:left="106" w:right="40"/>
                          <w:rPr>
                            <w:sz w:val="18"/>
                          </w:rPr>
                        </w:pPr>
                        <w:r>
                          <w:rPr>
                            <w:sz w:val="18"/>
                          </w:rPr>
                          <w:t>您对主险合同申请保单借款时，本附加合同应同时进行保单借款，借款比例和利息计算方式与主险一致。您不能单独对本附加合同进行保单借款。</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89"/>
                            <w:sz w:val="40"/>
                          </w:rPr>
                          <w:t>◉</w:t>
                        </w:r>
                      </w:p>
                    </w:tc>
                    <w:tc>
                      <w:tcPr>
                        <w:tcW w:w="9314" w:type="dxa"/>
                        <w:gridSpan w:val="2"/>
                        <w:tcBorders>
                          <w:bottom w:val="single" w:sz="4" w:space="0" w:color="000000"/>
                        </w:tcBorders>
                      </w:tcPr>
                      <w:p>
                        <w:pPr>
                          <w:pStyle w:val="TableParagraph"/>
                          <w:spacing w:before="212"/>
                          <w:ind w:left="162"/>
                          <w:rPr>
                            <w:b/>
                            <w:sz w:val="24"/>
                          </w:rPr>
                        </w:pPr>
                        <w:r>
                          <w:rPr>
                            <w:b/>
                            <w:w w:val="95"/>
                            <w:sz w:val="24"/>
                          </w:rPr>
                          <w:t>如何解除保险合同</w:t>
                        </w:r>
                      </w:p>
                    </w:tc>
                  </w:tr>
                  <w:tr>
                    <w:trPr>
                      <w:trHeight w:val="1933" w:hRule="atLeast"/>
                    </w:trPr>
                    <w:tc>
                      <w:tcPr>
                        <w:tcW w:w="9942" w:type="dxa"/>
                        <w:gridSpan w:val="3"/>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6.1</w:t>
                          <w:tab/>
                          <w:t>您解除合同的手</w:t>
                          <w:tab/>
                        </w:r>
                        <w:r>
                          <w:rPr>
                            <w:position w:val="1"/>
                            <w:sz w:val="18"/>
                          </w:rPr>
                          <w:t>您在犹豫期后</w:t>
                        </w:r>
                        <w:r>
                          <w:rPr>
                            <w:spacing w:val="-64"/>
                            <w:position w:val="1"/>
                            <w:sz w:val="18"/>
                          </w:rPr>
                          <w:t>，</w:t>
                        </w:r>
                        <w:r>
                          <w:rPr>
                            <w:position w:val="1"/>
                            <w:sz w:val="18"/>
                          </w:rPr>
                          <w:t>可以书面通知我们要求解除本附加合同</w:t>
                        </w:r>
                        <w:r>
                          <w:rPr>
                            <w:spacing w:val="-64"/>
                            <w:position w:val="1"/>
                            <w:sz w:val="18"/>
                          </w:rPr>
                          <w:t>，</w:t>
                        </w:r>
                        <w:r>
                          <w:rPr>
                            <w:position w:val="1"/>
                            <w:sz w:val="18"/>
                          </w:rPr>
                          <w:t>自本公司收到合同解除申请书之日起，</w:t>
                        </w:r>
                      </w:p>
                      <w:p>
                        <w:pPr>
                          <w:pStyle w:val="TableParagraph"/>
                          <w:tabs>
                            <w:tab w:pos="2498" w:val="left" w:leader="none"/>
                          </w:tabs>
                          <w:spacing w:before="37"/>
                          <w:ind w:left="790"/>
                          <w:rPr>
                            <w:sz w:val="18"/>
                          </w:rPr>
                        </w:pPr>
                        <w:r>
                          <w:rPr>
                            <w:b/>
                            <w:sz w:val="21"/>
                          </w:rPr>
                          <w:t>续及风险</w:t>
                          <w:tab/>
                        </w:r>
                        <w:r>
                          <w:rPr>
                            <w:position w:val="1"/>
                            <w:sz w:val="18"/>
                          </w:rPr>
                          <w:t>本附加合同效力即行终止。</w:t>
                        </w:r>
                      </w:p>
                      <w:p>
                        <w:pPr>
                          <w:pStyle w:val="TableParagraph"/>
                          <w:spacing w:before="62"/>
                          <w:ind w:left="2498"/>
                          <w:rPr>
                            <w:sz w:val="18"/>
                          </w:rPr>
                        </w:pPr>
                        <w:r>
                          <w:rPr>
                            <w:sz w:val="18"/>
                          </w:rPr>
                          <w:t>您解除本附加合同时，应填写合同解除申请书，并提供下列证明和资料：</w:t>
                        </w:r>
                      </w:p>
                      <w:p>
                        <w:pPr>
                          <w:pStyle w:val="TableParagraph"/>
                          <w:spacing w:before="76"/>
                          <w:ind w:left="2498"/>
                          <w:rPr>
                            <w:sz w:val="18"/>
                          </w:rPr>
                        </w:pPr>
                        <w:r>
                          <w:rPr>
                            <w:sz w:val="18"/>
                          </w:rPr>
                          <w:t>1、 保险合同；</w:t>
                        </w:r>
                      </w:p>
                      <w:p>
                        <w:pPr>
                          <w:pStyle w:val="TableParagraph"/>
                          <w:spacing w:before="76"/>
                          <w:ind w:left="2498"/>
                          <w:rPr>
                            <w:sz w:val="18"/>
                          </w:rPr>
                        </w:pPr>
                        <w:r>
                          <w:rPr>
                            <w:sz w:val="18"/>
                          </w:rPr>
                          <w:t>2、 您的有效身份证件。</w:t>
                        </w:r>
                      </w:p>
                    </w:tc>
                  </w:tr>
                  <w:tr>
                    <w:trPr>
                      <w:trHeight w:val="467"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9"/>
                          <w:rPr>
                            <w:sz w:val="12"/>
                          </w:rPr>
                        </w:pPr>
                      </w:p>
                      <w:p>
                        <w:pPr>
                          <w:pStyle w:val="TableParagraph"/>
                          <w:ind w:left="106"/>
                          <w:rPr>
                            <w:sz w:val="18"/>
                          </w:rPr>
                        </w:pPr>
                        <w:r>
                          <w:rPr>
                            <w:sz w:val="18"/>
                          </w:rPr>
                          <w:t>您在犹豫期后解除合同会遭受一定损失。</w:t>
                        </w:r>
                      </w:p>
                    </w:tc>
                  </w:tr>
                  <w:tr>
                    <w:trPr>
                      <w:trHeight w:val="443"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10"/>
                          <w:ind w:left="106"/>
                          <w:rPr>
                            <w:sz w:val="18"/>
                          </w:rPr>
                        </w:pPr>
                        <w:r>
                          <w:rPr>
                            <w:sz w:val="18"/>
                          </w:rPr>
                          <w:t>解除合同后，受益人不能对合同解除前发生的保险事故申请给付保险金。</w:t>
                        </w:r>
                      </w:p>
                    </w:tc>
                  </w:tr>
                  <w:tr>
                    <w:trPr>
                      <w:trHeight w:val="720" w:hRule="atLeast"/>
                    </w:trPr>
                    <w:tc>
                      <w:tcPr>
                        <w:tcW w:w="628" w:type="dxa"/>
                        <w:tcBorders>
                          <w:bottom w:val="single" w:sz="4" w:space="0" w:color="000000"/>
                        </w:tcBorders>
                      </w:tcPr>
                      <w:p>
                        <w:pPr>
                          <w:pStyle w:val="TableParagraph"/>
                          <w:spacing w:line="654" w:lineRule="exact"/>
                          <w:ind w:left="107"/>
                          <w:rPr>
                            <w:rFonts w:ascii="Yu Gothic"/>
                            <w:b/>
                            <w:sz w:val="40"/>
                          </w:rPr>
                        </w:pPr>
                        <w:r>
                          <w:rPr>
                            <w:rFonts w:ascii="Yu Gothic"/>
                            <w:b/>
                            <w:w w:val="155"/>
                            <w:sz w:val="40"/>
                          </w:rPr>
                          <w:t>0</w:t>
                        </w:r>
                      </w:p>
                    </w:tc>
                    <w:tc>
                      <w:tcPr>
                        <w:tcW w:w="9314" w:type="dxa"/>
                        <w:gridSpan w:val="2"/>
                        <w:tcBorders>
                          <w:bottom w:val="single" w:sz="4" w:space="0" w:color="000000"/>
                        </w:tcBorders>
                      </w:tcPr>
                      <w:p>
                        <w:pPr>
                          <w:pStyle w:val="TableParagraph"/>
                          <w:spacing w:before="213"/>
                          <w:ind w:left="162"/>
                          <w:rPr>
                            <w:b/>
                            <w:sz w:val="24"/>
                          </w:rPr>
                        </w:pPr>
                        <w:r>
                          <w:rPr>
                            <w:b/>
                            <w:sz w:val="24"/>
                          </w:rPr>
                          <w:t>其他需要您关注的事项</w:t>
                        </w:r>
                      </w:p>
                    </w:tc>
                  </w:tr>
                  <w:tr>
                    <w:trPr>
                      <w:trHeight w:val="848" w:hRule="atLeast"/>
                    </w:trPr>
                    <w:tc>
                      <w:tcPr>
                        <w:tcW w:w="9942" w:type="dxa"/>
                        <w:gridSpan w:val="3"/>
                        <w:tcBorders>
                          <w:top w:val="single" w:sz="4" w:space="0" w:color="000000"/>
                        </w:tcBorders>
                      </w:tcPr>
                      <w:p>
                        <w:pPr>
                          <w:pStyle w:val="TableParagraph"/>
                          <w:spacing w:before="5"/>
                          <w:rPr>
                            <w:sz w:val="15"/>
                          </w:rPr>
                        </w:pPr>
                      </w:p>
                      <w:p>
                        <w:pPr>
                          <w:pStyle w:val="TableParagraph"/>
                          <w:tabs>
                            <w:tab w:pos="790" w:val="left" w:leader="none"/>
                            <w:tab w:pos="2498" w:val="left" w:leader="none"/>
                          </w:tabs>
                          <w:spacing w:before="1"/>
                          <w:ind w:left="107"/>
                          <w:rPr>
                            <w:sz w:val="18"/>
                          </w:rPr>
                        </w:pPr>
                        <w:r>
                          <w:rPr>
                            <w:b/>
                            <w:sz w:val="21"/>
                          </w:rPr>
                          <w:t>7.1</w:t>
                          <w:tab/>
                          <w:t>投保范围</w:t>
                          <w:tab/>
                        </w:r>
                        <w:r>
                          <w:rPr>
                            <w:position w:val="1"/>
                            <w:sz w:val="18"/>
                          </w:rPr>
                          <w:t>1、被保险人条件：</w:t>
                        </w:r>
                      </w:p>
                      <w:p>
                        <w:pPr>
                          <w:pStyle w:val="TableParagraph"/>
                          <w:spacing w:before="62"/>
                          <w:ind w:left="2498"/>
                          <w:rPr>
                            <w:sz w:val="18"/>
                          </w:rPr>
                        </w:pPr>
                        <w:r>
                          <w:rPr>
                            <w:sz w:val="18"/>
                          </w:rPr>
                          <w:t>凡投保时出生满二十八天至十七周岁（含十七周岁</w:t>
                        </w:r>
                        <w:r>
                          <w:rPr>
                            <w:spacing w:val="-90"/>
                            <w:sz w:val="18"/>
                          </w:rPr>
                          <w:t>）</w:t>
                        </w:r>
                        <w:r>
                          <w:rPr>
                            <w:sz w:val="18"/>
                          </w:rPr>
                          <w:t>，身体健康，能正常工作或学习的人，均</w:t>
                        </w:r>
                      </w:p>
                    </w:tc>
                  </w:tr>
                  <w:tr>
                    <w:trPr>
                      <w:trHeight w:val="617"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before="3"/>
                          <w:ind w:left="106"/>
                          <w:rPr>
                            <w:sz w:val="18"/>
                          </w:rPr>
                        </w:pPr>
                        <w:r>
                          <w:rPr>
                            <w:sz w:val="18"/>
                          </w:rPr>
                          <w:t>可作为本保险的被保险人。</w:t>
                        </w:r>
                      </w:p>
                      <w:p>
                        <w:pPr>
                          <w:pStyle w:val="TableParagraph"/>
                          <w:spacing w:before="76"/>
                          <w:ind w:left="106"/>
                          <w:rPr>
                            <w:sz w:val="18"/>
                          </w:rPr>
                        </w:pPr>
                        <w:r>
                          <w:rPr>
                            <w:sz w:val="18"/>
                          </w:rPr>
                          <w:t>2、投保人条件：</w:t>
                        </w:r>
                      </w:p>
                    </w:tc>
                  </w:tr>
                  <w:tr>
                    <w:trPr>
                      <w:trHeight w:val="754" w:hRule="atLeast"/>
                    </w:trPr>
                    <w:tc>
                      <w:tcPr>
                        <w:tcW w:w="628" w:type="dxa"/>
                      </w:tcPr>
                      <w:p>
                        <w:pPr>
                          <w:pStyle w:val="TableParagraph"/>
                          <w:rPr>
                            <w:rFonts w:ascii="Times New Roman"/>
                            <w:sz w:val="18"/>
                          </w:rPr>
                        </w:pPr>
                      </w:p>
                    </w:tc>
                    <w:tc>
                      <w:tcPr>
                        <w:tcW w:w="1764" w:type="dxa"/>
                      </w:tcPr>
                      <w:p>
                        <w:pPr>
                          <w:pStyle w:val="TableParagraph"/>
                          <w:rPr>
                            <w:rFonts w:ascii="Times New Roman"/>
                            <w:sz w:val="18"/>
                          </w:rPr>
                        </w:pPr>
                      </w:p>
                    </w:tc>
                    <w:tc>
                      <w:tcPr>
                        <w:tcW w:w="7550" w:type="dxa"/>
                      </w:tcPr>
                      <w:p>
                        <w:pPr>
                          <w:pStyle w:val="TableParagraph"/>
                          <w:spacing w:line="316" w:lineRule="auto" w:before="10"/>
                          <w:ind w:left="106" w:right="61"/>
                          <w:rPr>
                            <w:sz w:val="18"/>
                          </w:rPr>
                        </w:pPr>
                        <w:r>
                          <w:rPr>
                            <w:sz w:val="18"/>
                          </w:rPr>
                          <w:t>凡订立本附加合同时年满十八周岁，具有完全民事行为能力且对被保险人具有保险利益的人， 均可作为本保险的投保人。</w:t>
                        </w:r>
                      </w:p>
                    </w:tc>
                  </w:tr>
                  <w:tr>
                    <w:trPr>
                      <w:trHeight w:val="719" w:hRule="atLeast"/>
                    </w:trPr>
                    <w:tc>
                      <w:tcPr>
                        <w:tcW w:w="628" w:type="dxa"/>
                        <w:tcBorders>
                          <w:bottom w:val="single" w:sz="4" w:space="0" w:color="000000"/>
                        </w:tcBorders>
                      </w:tcPr>
                      <w:p>
                        <w:pPr>
                          <w:pStyle w:val="TableParagraph"/>
                          <w:spacing w:line="653" w:lineRule="exact"/>
                          <w:ind w:left="107"/>
                          <w:rPr>
                            <w:rFonts w:ascii="Yu Gothic" w:hAnsi="Yu Gothic"/>
                            <w:b/>
                            <w:sz w:val="40"/>
                          </w:rPr>
                        </w:pPr>
                        <w:r>
                          <w:rPr>
                            <w:rFonts w:ascii="Yu Gothic" w:hAnsi="Yu Gothic"/>
                            <w:b/>
                            <w:w w:val="151"/>
                            <w:sz w:val="40"/>
                          </w:rPr>
                          <w:t>®</w:t>
                        </w:r>
                      </w:p>
                    </w:tc>
                    <w:tc>
                      <w:tcPr>
                        <w:tcW w:w="1764" w:type="dxa"/>
                        <w:tcBorders>
                          <w:bottom w:val="single" w:sz="4" w:space="0" w:color="000000"/>
                        </w:tcBorders>
                      </w:tcPr>
                      <w:p>
                        <w:pPr>
                          <w:pStyle w:val="TableParagraph"/>
                          <w:spacing w:before="212"/>
                          <w:ind w:left="162"/>
                          <w:rPr>
                            <w:b/>
                            <w:sz w:val="24"/>
                          </w:rPr>
                        </w:pPr>
                        <w:r>
                          <w:rPr>
                            <w:b/>
                            <w:sz w:val="24"/>
                          </w:rPr>
                          <w:t>释义</w:t>
                        </w:r>
                      </w:p>
                    </w:tc>
                    <w:tc>
                      <w:tcPr>
                        <w:tcW w:w="7550" w:type="dxa"/>
                        <w:tcBorders>
                          <w:bottom w:val="single" w:sz="4" w:space="0" w:color="000000"/>
                        </w:tcBorders>
                      </w:tcPr>
                      <w:p>
                        <w:pPr>
                          <w:pStyle w:val="TableParagraph"/>
                          <w:rPr>
                            <w:rFonts w:ascii="Times New Roman"/>
                            <w:sz w:val="18"/>
                          </w:rPr>
                        </w:pPr>
                      </w:p>
                    </w:tc>
                  </w:tr>
                  <w:tr>
                    <w:trPr>
                      <w:trHeight w:val="946" w:hRule="atLeast"/>
                    </w:trPr>
                    <w:tc>
                      <w:tcPr>
                        <w:tcW w:w="628"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8.1</w:t>
                        </w:r>
                      </w:p>
                    </w:tc>
                    <w:tc>
                      <w:tcPr>
                        <w:tcW w:w="1764" w:type="dxa"/>
                        <w:tcBorders>
                          <w:top w:val="single" w:sz="4" w:space="0" w:color="000000"/>
                        </w:tcBorders>
                      </w:tcPr>
                      <w:p>
                        <w:pPr>
                          <w:pStyle w:val="TableParagraph"/>
                          <w:spacing w:before="5"/>
                          <w:rPr>
                            <w:sz w:val="15"/>
                          </w:rPr>
                        </w:pPr>
                      </w:p>
                      <w:p>
                        <w:pPr>
                          <w:pStyle w:val="TableParagraph"/>
                          <w:spacing w:before="1"/>
                          <w:ind w:left="162"/>
                          <w:rPr>
                            <w:b/>
                            <w:sz w:val="21"/>
                          </w:rPr>
                        </w:pPr>
                        <w:r>
                          <w:rPr>
                            <w:b/>
                            <w:w w:val="95"/>
                            <w:sz w:val="21"/>
                          </w:rPr>
                          <w:t>有效身份证件</w:t>
                        </w:r>
                      </w:p>
                    </w:tc>
                    <w:tc>
                      <w:tcPr>
                        <w:tcW w:w="7550" w:type="dxa"/>
                        <w:tcBorders>
                          <w:top w:val="single" w:sz="4" w:space="0" w:color="000000"/>
                        </w:tcBorders>
                      </w:tcPr>
                      <w:p>
                        <w:pPr>
                          <w:pStyle w:val="TableParagraph"/>
                          <w:spacing w:before="5"/>
                          <w:rPr>
                            <w:sz w:val="17"/>
                          </w:rPr>
                        </w:pPr>
                      </w:p>
                      <w:p>
                        <w:pPr>
                          <w:pStyle w:val="TableParagraph"/>
                          <w:spacing w:line="316" w:lineRule="auto"/>
                          <w:ind w:left="106" w:right="57"/>
                          <w:rPr>
                            <w:sz w:val="18"/>
                          </w:rPr>
                        </w:pPr>
                        <w:r>
                          <w:rPr>
                            <w:sz w:val="18"/>
                          </w:rPr>
                          <w:t>指由政府主管部门规定的证明其身份的证件，如：居民身份证、按规定可使用的有效护照、军官证、警官证、士兵证、户口簿等证件。</w:t>
                        </w:r>
                      </w:p>
                    </w:tc>
                  </w:tr>
                  <w:tr>
                    <w:trPr>
                      <w:trHeight w:val="850" w:hRule="atLeast"/>
                    </w:trPr>
                    <w:tc>
                      <w:tcPr>
                        <w:tcW w:w="628" w:type="dxa"/>
                      </w:tcPr>
                      <w:p>
                        <w:pPr>
                          <w:pStyle w:val="TableParagraph"/>
                          <w:spacing w:before="106"/>
                          <w:ind w:left="107"/>
                          <w:rPr>
                            <w:b/>
                            <w:sz w:val="21"/>
                          </w:rPr>
                        </w:pPr>
                        <w:r>
                          <w:rPr>
                            <w:b/>
                            <w:sz w:val="21"/>
                          </w:rPr>
                          <w:t>8.2</w:t>
                        </w:r>
                      </w:p>
                    </w:tc>
                    <w:tc>
                      <w:tcPr>
                        <w:tcW w:w="1764" w:type="dxa"/>
                      </w:tcPr>
                      <w:p>
                        <w:pPr>
                          <w:pStyle w:val="TableParagraph"/>
                          <w:spacing w:before="106"/>
                          <w:ind w:left="162"/>
                          <w:rPr>
                            <w:b/>
                            <w:sz w:val="21"/>
                          </w:rPr>
                        </w:pPr>
                        <w:r>
                          <w:rPr>
                            <w:b/>
                            <w:sz w:val="21"/>
                          </w:rPr>
                          <w:t>发病</w:t>
                        </w:r>
                      </w:p>
                    </w:tc>
                    <w:tc>
                      <w:tcPr>
                        <w:tcW w:w="7550" w:type="dxa"/>
                      </w:tcPr>
                      <w:p>
                        <w:pPr>
                          <w:pStyle w:val="TableParagraph"/>
                          <w:spacing w:line="316" w:lineRule="auto" w:before="132"/>
                          <w:ind w:left="106" w:right="40"/>
                          <w:rPr>
                            <w:sz w:val="18"/>
                          </w:rPr>
                        </w:pPr>
                        <w:r>
                          <w:rPr>
                            <w:sz w:val="18"/>
                          </w:rPr>
                          <w:t>指被保险人出现本附加合同附表一所约定的重大疾病的前兆或异常的身体状况，或已经出现足以使一般人士引起注意并寻求诊断、治疗或护理的病症。</w:t>
                        </w:r>
                      </w:p>
                    </w:tc>
                  </w:tr>
                  <w:tr>
                    <w:trPr>
                      <w:trHeight w:val="858" w:hRule="atLeast"/>
                    </w:trPr>
                    <w:tc>
                      <w:tcPr>
                        <w:tcW w:w="628" w:type="dxa"/>
                      </w:tcPr>
                      <w:p>
                        <w:pPr>
                          <w:pStyle w:val="TableParagraph"/>
                          <w:spacing w:before="106"/>
                          <w:ind w:left="107"/>
                          <w:rPr>
                            <w:b/>
                            <w:sz w:val="21"/>
                          </w:rPr>
                        </w:pPr>
                        <w:r>
                          <w:rPr>
                            <w:b/>
                            <w:sz w:val="21"/>
                          </w:rPr>
                          <w:t>8.3</w:t>
                        </w:r>
                      </w:p>
                    </w:tc>
                    <w:tc>
                      <w:tcPr>
                        <w:tcW w:w="1764" w:type="dxa"/>
                      </w:tcPr>
                      <w:p>
                        <w:pPr>
                          <w:pStyle w:val="TableParagraph"/>
                          <w:spacing w:line="273" w:lineRule="auto" w:before="106"/>
                          <w:ind w:left="162" w:right="105"/>
                          <w:rPr>
                            <w:b/>
                            <w:sz w:val="21"/>
                          </w:rPr>
                        </w:pPr>
                        <w:r>
                          <w:rPr>
                            <w:b/>
                            <w:sz w:val="21"/>
                          </w:rPr>
                          <w:t>指定或认可的医疗机构</w:t>
                        </w:r>
                      </w:p>
                    </w:tc>
                    <w:tc>
                      <w:tcPr>
                        <w:tcW w:w="7550" w:type="dxa"/>
                      </w:tcPr>
                      <w:p>
                        <w:pPr>
                          <w:pStyle w:val="TableParagraph"/>
                          <w:spacing w:line="316" w:lineRule="auto" w:before="132"/>
                          <w:ind w:left="106" w:right="59"/>
                          <w:rPr>
                            <w:sz w:val="18"/>
                          </w:rPr>
                        </w:pPr>
                        <w:r>
                          <w:rPr>
                            <w:sz w:val="18"/>
                          </w:rPr>
                          <w:t>指中华人民共和国境内(港澳台地区除外)，投保地所在省、市、自治区范围内的卫生行政部门认可的二级甲等以上非营利性医疗机构。</w:t>
                        </w:r>
                      </w:p>
                    </w:tc>
                  </w:tr>
                  <w:tr>
                    <w:trPr>
                      <w:trHeight w:val="673" w:hRule="atLeast"/>
                    </w:trPr>
                    <w:tc>
                      <w:tcPr>
                        <w:tcW w:w="628" w:type="dxa"/>
                      </w:tcPr>
                      <w:p>
                        <w:pPr>
                          <w:pStyle w:val="TableParagraph"/>
                          <w:spacing w:before="100"/>
                          <w:ind w:left="107"/>
                          <w:rPr>
                            <w:b/>
                            <w:sz w:val="21"/>
                          </w:rPr>
                        </w:pPr>
                        <w:r>
                          <w:rPr>
                            <w:b/>
                            <w:sz w:val="21"/>
                          </w:rPr>
                          <w:t>8.4</w:t>
                        </w:r>
                      </w:p>
                    </w:tc>
                    <w:tc>
                      <w:tcPr>
                        <w:tcW w:w="1764" w:type="dxa"/>
                      </w:tcPr>
                      <w:p>
                        <w:pPr>
                          <w:pStyle w:val="TableParagraph"/>
                          <w:spacing w:before="100"/>
                          <w:ind w:left="162"/>
                          <w:rPr>
                            <w:b/>
                            <w:sz w:val="21"/>
                          </w:rPr>
                        </w:pPr>
                        <w:r>
                          <w:rPr>
                            <w:b/>
                            <w:sz w:val="21"/>
                          </w:rPr>
                          <w:t>毒品</w:t>
                        </w:r>
                      </w:p>
                    </w:tc>
                    <w:tc>
                      <w:tcPr>
                        <w:tcW w:w="7550" w:type="dxa"/>
                      </w:tcPr>
                      <w:p>
                        <w:pPr>
                          <w:pStyle w:val="TableParagraph"/>
                          <w:spacing w:line="310" w:lineRule="atLeast" w:before="51"/>
                          <w:ind w:left="106" w:right="98"/>
                          <w:rPr>
                            <w:sz w:val="18"/>
                          </w:rPr>
                        </w:pPr>
                        <w:r>
                          <w:rPr>
                            <w:sz w:val="18"/>
                          </w:rPr>
                          <w:t>指中华人民共和国刑法规定的鸦片、海洛因、甲基苯丙胺（冰毒</w:t>
                        </w:r>
                        <w:r>
                          <w:rPr>
                            <w:spacing w:val="-90"/>
                            <w:sz w:val="18"/>
                          </w:rPr>
                          <w:t>）</w:t>
                        </w:r>
                        <w:r>
                          <w:rPr>
                            <w:sz w:val="18"/>
                          </w:rPr>
                          <w:t>、吗啡、大麻、可卡因以及</w:t>
                        </w:r>
                        <w:r>
                          <w:rPr>
                            <w:spacing w:val="-2"/>
                            <w:sz w:val="18"/>
                          </w:rPr>
                          <w:t>国家规定管制的其他能够使人形成瘾癖的麻醉药品和精神药品，但不包括由医生开具并遵医嘱</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spacing w:before="45"/>
        <w:ind w:left="2614"/>
      </w:pPr>
      <w:r>
        <w:rPr/>
        <w:t>本公司自收到上述证明和材料之日起三十日内，返还本附加合同的现金价值净额。</w:t>
      </w:r>
    </w:p>
    <w:p>
      <w:pPr>
        <w:spacing w:after="0"/>
        <w:sectPr>
          <w:pgSz w:w="11910" w:h="16840"/>
          <w:pgMar w:header="857" w:footer="981" w:top="1040" w:bottom="1180" w:left="1080" w:right="660"/>
        </w:sectPr>
      </w:pPr>
    </w:p>
    <w:p>
      <w:pPr>
        <w:pStyle w:val="BodyText"/>
        <w:spacing w:before="7"/>
        <w:rPr>
          <w:sz w:val="3"/>
        </w:rPr>
      </w:pPr>
    </w:p>
    <w:p>
      <w:pPr>
        <w:pStyle w:val="BodyText"/>
        <w:spacing w:line="20" w:lineRule="exact"/>
        <w:ind w:left="26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19"/>
        </w:rPr>
      </w:pPr>
    </w:p>
    <w:p>
      <w:pPr>
        <w:pStyle w:val="BodyText"/>
        <w:spacing w:before="44"/>
        <w:ind w:left="2694"/>
      </w:pPr>
      <w:r>
        <w:rPr/>
        <w:pict>
          <v:shape style="position:absolute;margin-left:55.219799pt;margin-top:31.108692pt;width:506.75pt;height:370.05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9"/>
                    <w:gridCol w:w="7766"/>
                  </w:tblGrid>
                  <w:tr>
                    <w:trPr>
                      <w:trHeight w:val="991" w:hRule="atLeast"/>
                    </w:trPr>
                    <w:tc>
                      <w:tcPr>
                        <w:tcW w:w="2369" w:type="dxa"/>
                      </w:tcPr>
                      <w:p>
                        <w:pPr>
                          <w:pStyle w:val="TableParagraph"/>
                          <w:tabs>
                            <w:tab w:pos="882" w:val="left" w:leader="none"/>
                          </w:tabs>
                          <w:spacing w:line="210" w:lineRule="exact"/>
                          <w:ind w:left="200"/>
                          <w:rPr>
                            <w:b/>
                            <w:sz w:val="21"/>
                          </w:rPr>
                        </w:pPr>
                        <w:r>
                          <w:rPr>
                            <w:b/>
                            <w:sz w:val="21"/>
                          </w:rPr>
                          <w:t>8.5</w:t>
                          <w:tab/>
                          <w:t>酒后驾驶</w:t>
                        </w:r>
                      </w:p>
                    </w:tc>
                    <w:tc>
                      <w:tcPr>
                        <w:tcW w:w="7766" w:type="dxa"/>
                      </w:tcPr>
                      <w:p>
                        <w:pPr>
                          <w:pStyle w:val="TableParagraph"/>
                          <w:spacing w:line="196" w:lineRule="exact"/>
                          <w:ind w:left="221"/>
                          <w:rPr>
                            <w:sz w:val="18"/>
                          </w:rPr>
                        </w:pPr>
                        <w:r>
                          <w:rPr>
                            <w:sz w:val="18"/>
                          </w:rPr>
                          <w:t>指经检测或鉴定，发生事故时车辆驾驶人员每百毫升血液中的酒精含量或呼气酒精含量达到或</w:t>
                        </w:r>
                      </w:p>
                      <w:p>
                        <w:pPr>
                          <w:pStyle w:val="TableParagraph"/>
                          <w:spacing w:line="316" w:lineRule="auto" w:before="76"/>
                          <w:ind w:left="221" w:right="158"/>
                          <w:rPr>
                            <w:sz w:val="18"/>
                          </w:rPr>
                        </w:pPr>
                        <w:r>
                          <w:rPr>
                            <w:sz w:val="18"/>
                          </w:rPr>
                          <w:t>超过一定的标准，公安机关交通管理部门依据《道路交通安全法》的规定认定为饮酒后驾驶或醉酒后驾驶。</w:t>
                        </w:r>
                      </w:p>
                    </w:tc>
                  </w:tr>
                  <w:tr>
                    <w:trPr>
                      <w:trHeight w:val="908" w:hRule="atLeast"/>
                    </w:trPr>
                    <w:tc>
                      <w:tcPr>
                        <w:tcW w:w="10135" w:type="dxa"/>
                        <w:gridSpan w:val="2"/>
                      </w:tcPr>
                      <w:p>
                        <w:pPr>
                          <w:pStyle w:val="TableParagraph"/>
                          <w:tabs>
                            <w:tab w:pos="882" w:val="left" w:leader="none"/>
                            <w:tab w:pos="2590" w:val="left" w:leader="none"/>
                          </w:tabs>
                          <w:spacing w:before="106"/>
                          <w:ind w:left="200"/>
                          <w:rPr>
                            <w:sz w:val="18"/>
                          </w:rPr>
                        </w:pPr>
                        <w:r>
                          <w:rPr>
                            <w:b/>
                            <w:sz w:val="21"/>
                          </w:rPr>
                          <w:t>8.6</w:t>
                          <w:tab/>
                          <w:t>无合法有效驾驶</w:t>
                          <w:tab/>
                        </w:r>
                        <w:r>
                          <w:rPr>
                            <w:position w:val="1"/>
                            <w:sz w:val="18"/>
                          </w:rPr>
                          <w:t>指下列情形之一：</w:t>
                        </w:r>
                      </w:p>
                      <w:p>
                        <w:pPr>
                          <w:pStyle w:val="TableParagraph"/>
                          <w:tabs>
                            <w:tab w:pos="2590" w:val="left" w:leader="none"/>
                          </w:tabs>
                          <w:spacing w:before="36"/>
                          <w:ind w:left="882"/>
                          <w:rPr>
                            <w:sz w:val="18"/>
                          </w:rPr>
                        </w:pPr>
                        <w:r>
                          <w:rPr>
                            <w:b/>
                            <w:sz w:val="21"/>
                          </w:rPr>
                          <w:t>证驾驶</w:t>
                          <w:tab/>
                        </w:r>
                        <w:r>
                          <w:rPr>
                            <w:position w:val="1"/>
                            <w:sz w:val="18"/>
                          </w:rPr>
                          <w:t>(1)</w:t>
                        </w:r>
                        <w:r>
                          <w:rPr>
                            <w:spacing w:val="6"/>
                            <w:position w:val="1"/>
                            <w:sz w:val="18"/>
                          </w:rPr>
                          <w:t> </w:t>
                        </w:r>
                        <w:r>
                          <w:rPr>
                            <w:position w:val="1"/>
                            <w:sz w:val="18"/>
                          </w:rPr>
                          <w:t>没有取得驾驶资格；</w:t>
                        </w:r>
                      </w:p>
                    </w:tc>
                  </w:tr>
                  <w:tr>
                    <w:trPr>
                      <w:trHeight w:val="461" w:hRule="atLeast"/>
                    </w:trPr>
                    <w:tc>
                      <w:tcPr>
                        <w:tcW w:w="2369" w:type="dxa"/>
                      </w:tcPr>
                      <w:p>
                        <w:pPr>
                          <w:pStyle w:val="TableParagraph"/>
                          <w:rPr>
                            <w:rFonts w:ascii="Times New Roman"/>
                            <w:sz w:val="18"/>
                          </w:rPr>
                        </w:pPr>
                      </w:p>
                    </w:tc>
                    <w:tc>
                      <w:tcPr>
                        <w:tcW w:w="7766" w:type="dxa"/>
                      </w:tcPr>
                      <w:p>
                        <w:pPr>
                          <w:pStyle w:val="TableParagraph"/>
                          <w:spacing w:before="159"/>
                          <w:ind w:left="221"/>
                          <w:rPr>
                            <w:sz w:val="18"/>
                          </w:rPr>
                        </w:pPr>
                        <w:r>
                          <w:rPr>
                            <w:sz w:val="18"/>
                          </w:rPr>
                          <w:t>(3) 持审验不合格的驾驶证驾驶；</w:t>
                        </w:r>
                      </w:p>
                    </w:tc>
                  </w:tr>
                  <w:tr>
                    <w:trPr>
                      <w:trHeight w:val="417" w:hRule="atLeast"/>
                    </w:trPr>
                    <w:tc>
                      <w:tcPr>
                        <w:tcW w:w="2369" w:type="dxa"/>
                      </w:tcPr>
                      <w:p>
                        <w:pPr>
                          <w:pStyle w:val="TableParagraph"/>
                          <w:rPr>
                            <w:rFonts w:ascii="Times New Roman"/>
                            <w:sz w:val="18"/>
                          </w:rPr>
                        </w:pPr>
                      </w:p>
                    </w:tc>
                    <w:tc>
                      <w:tcPr>
                        <w:tcW w:w="7766" w:type="dxa"/>
                      </w:tcPr>
                      <w:p>
                        <w:pPr>
                          <w:pStyle w:val="TableParagraph"/>
                          <w:spacing w:before="10"/>
                          <w:ind w:left="221"/>
                          <w:rPr>
                            <w:sz w:val="18"/>
                          </w:rPr>
                        </w:pPr>
                        <w:r>
                          <w:rPr>
                            <w:sz w:val="18"/>
                          </w:rPr>
                          <w:t>(4) 持学习驾驶证学习驾车时，无教练员随车指导，或不按指定时间、路线学习驾车。</w:t>
                        </w:r>
                      </w:p>
                    </w:tc>
                  </w:tr>
                  <w:tr>
                    <w:trPr>
                      <w:trHeight w:val="440" w:hRule="atLeast"/>
                    </w:trPr>
                    <w:tc>
                      <w:tcPr>
                        <w:tcW w:w="2369" w:type="dxa"/>
                      </w:tcPr>
                      <w:p>
                        <w:pPr>
                          <w:pStyle w:val="TableParagraph"/>
                          <w:tabs>
                            <w:tab w:pos="882" w:val="left" w:leader="none"/>
                          </w:tabs>
                          <w:spacing w:before="106"/>
                          <w:ind w:left="200"/>
                          <w:rPr>
                            <w:b/>
                            <w:sz w:val="21"/>
                          </w:rPr>
                        </w:pPr>
                        <w:r>
                          <w:rPr>
                            <w:b/>
                            <w:sz w:val="21"/>
                          </w:rPr>
                          <w:t>8.7</w:t>
                          <w:tab/>
                        </w:r>
                        <w:r>
                          <w:rPr>
                            <w:b/>
                            <w:w w:val="95"/>
                            <w:sz w:val="21"/>
                          </w:rPr>
                          <w:t>无有效行驶证</w:t>
                        </w:r>
                      </w:p>
                    </w:tc>
                    <w:tc>
                      <w:tcPr>
                        <w:tcW w:w="7766" w:type="dxa"/>
                      </w:tcPr>
                      <w:p>
                        <w:pPr>
                          <w:pStyle w:val="TableParagraph"/>
                          <w:spacing w:before="132"/>
                          <w:ind w:left="221"/>
                          <w:rPr>
                            <w:sz w:val="18"/>
                          </w:rPr>
                        </w:pPr>
                        <w:r>
                          <w:rPr>
                            <w:sz w:val="18"/>
                          </w:rPr>
                          <w:t>指下列情形之一：</w:t>
                        </w:r>
                      </w:p>
                    </w:tc>
                  </w:tr>
                  <w:tr>
                    <w:trPr>
                      <w:trHeight w:val="305" w:hRule="atLeast"/>
                    </w:trPr>
                    <w:tc>
                      <w:tcPr>
                        <w:tcW w:w="2369" w:type="dxa"/>
                      </w:tcPr>
                      <w:p>
                        <w:pPr>
                          <w:pStyle w:val="TableParagraph"/>
                          <w:rPr>
                            <w:rFonts w:ascii="Times New Roman"/>
                            <w:sz w:val="18"/>
                          </w:rPr>
                        </w:pPr>
                      </w:p>
                    </w:tc>
                    <w:tc>
                      <w:tcPr>
                        <w:tcW w:w="7766" w:type="dxa"/>
                      </w:tcPr>
                      <w:p>
                        <w:pPr>
                          <w:pStyle w:val="TableParagraph"/>
                          <w:spacing w:before="3"/>
                          <w:ind w:left="221"/>
                          <w:rPr>
                            <w:sz w:val="18"/>
                          </w:rPr>
                        </w:pPr>
                        <w:r>
                          <w:rPr>
                            <w:sz w:val="18"/>
                          </w:rPr>
                          <w:t>(1) 机动车被依法注销登记的；</w:t>
                        </w:r>
                      </w:p>
                    </w:tc>
                  </w:tr>
                  <w:tr>
                    <w:trPr>
                      <w:trHeight w:val="417" w:hRule="atLeast"/>
                    </w:trPr>
                    <w:tc>
                      <w:tcPr>
                        <w:tcW w:w="2369" w:type="dxa"/>
                      </w:tcPr>
                      <w:p>
                        <w:pPr>
                          <w:pStyle w:val="TableParagraph"/>
                          <w:rPr>
                            <w:rFonts w:ascii="Times New Roman"/>
                            <w:sz w:val="18"/>
                          </w:rPr>
                        </w:pPr>
                      </w:p>
                    </w:tc>
                    <w:tc>
                      <w:tcPr>
                        <w:tcW w:w="7766" w:type="dxa"/>
                      </w:tcPr>
                      <w:p>
                        <w:pPr>
                          <w:pStyle w:val="TableParagraph"/>
                          <w:spacing w:before="10"/>
                          <w:ind w:left="221"/>
                          <w:rPr>
                            <w:sz w:val="18"/>
                          </w:rPr>
                        </w:pPr>
                        <w:r>
                          <w:rPr>
                            <w:sz w:val="18"/>
                          </w:rPr>
                          <w:t>(2) 未依法按时进行或通过机动车安全技术检验。</w:t>
                        </w:r>
                      </w:p>
                    </w:tc>
                  </w:tr>
                  <w:tr>
                    <w:trPr>
                      <w:trHeight w:val="545" w:hRule="atLeast"/>
                    </w:trPr>
                    <w:tc>
                      <w:tcPr>
                        <w:tcW w:w="2369" w:type="dxa"/>
                      </w:tcPr>
                      <w:p>
                        <w:pPr>
                          <w:pStyle w:val="TableParagraph"/>
                          <w:tabs>
                            <w:tab w:pos="882" w:val="left" w:leader="none"/>
                          </w:tabs>
                          <w:spacing w:before="106"/>
                          <w:ind w:left="200"/>
                          <w:rPr>
                            <w:b/>
                            <w:sz w:val="21"/>
                          </w:rPr>
                        </w:pPr>
                        <w:r>
                          <w:rPr>
                            <w:b/>
                            <w:sz w:val="21"/>
                          </w:rPr>
                          <w:t>8.8</w:t>
                          <w:tab/>
                          <w:t>艾滋病</w:t>
                        </w:r>
                      </w:p>
                    </w:tc>
                    <w:tc>
                      <w:tcPr>
                        <w:tcW w:w="7766" w:type="dxa"/>
                      </w:tcPr>
                      <w:p>
                        <w:pPr>
                          <w:pStyle w:val="TableParagraph"/>
                          <w:spacing w:before="132"/>
                          <w:ind w:left="221"/>
                          <w:rPr>
                            <w:sz w:val="18"/>
                          </w:rPr>
                        </w:pPr>
                        <w:r>
                          <w:rPr>
                            <w:sz w:val="18"/>
                          </w:rPr>
                          <w:t>获得性免疫力缺乏综合征（AIDS）的简称。</w:t>
                        </w:r>
                      </w:p>
                    </w:tc>
                  </w:tr>
                  <w:tr>
                    <w:trPr>
                      <w:trHeight w:val="1156" w:hRule="atLeast"/>
                    </w:trPr>
                    <w:tc>
                      <w:tcPr>
                        <w:tcW w:w="2369" w:type="dxa"/>
                      </w:tcPr>
                      <w:p>
                        <w:pPr>
                          <w:pStyle w:val="TableParagraph"/>
                          <w:tabs>
                            <w:tab w:pos="882" w:val="left" w:leader="none"/>
                          </w:tabs>
                          <w:spacing w:before="99"/>
                          <w:ind w:left="200"/>
                          <w:rPr>
                            <w:b/>
                            <w:sz w:val="21"/>
                          </w:rPr>
                        </w:pPr>
                        <w:r>
                          <w:rPr>
                            <w:b/>
                            <w:sz w:val="21"/>
                          </w:rPr>
                          <w:t>8.9</w:t>
                          <w:tab/>
                        </w:r>
                        <w:r>
                          <w:rPr>
                            <w:b/>
                            <w:w w:val="95"/>
                            <w:sz w:val="21"/>
                          </w:rPr>
                          <w:t>艾滋病病毒</w:t>
                        </w:r>
                      </w:p>
                    </w:tc>
                    <w:tc>
                      <w:tcPr>
                        <w:tcW w:w="7766" w:type="dxa"/>
                      </w:tcPr>
                      <w:p>
                        <w:pPr>
                          <w:pStyle w:val="TableParagraph"/>
                          <w:spacing w:line="316" w:lineRule="auto" w:before="125"/>
                          <w:ind w:left="221" w:right="198"/>
                          <w:jc w:val="both"/>
                          <w:rPr>
                            <w:sz w:val="18"/>
                          </w:rPr>
                        </w:pPr>
                        <w:r>
                          <w:rPr>
                            <w:sz w:val="18"/>
                          </w:rPr>
                          <w:t>获得性免疫力缺乏综合征病毒（HIV）的简称。获得性免疫力缺乏综合征的定义应按世界卫生</w:t>
                        </w:r>
                        <w:r>
                          <w:rPr>
                            <w:spacing w:val="-3"/>
                            <w:sz w:val="18"/>
                          </w:rPr>
                          <w:t>组织制定的定义为准，如在血液样本中发现获得性免疫力缺乏综合征病毒或其抗体，则可认定为感染艾滋病或艾滋病病毒。</w:t>
                        </w:r>
                      </w:p>
                    </w:tc>
                  </w:tr>
                  <w:tr>
                    <w:trPr>
                      <w:trHeight w:val="546" w:hRule="atLeast"/>
                    </w:trPr>
                    <w:tc>
                      <w:tcPr>
                        <w:tcW w:w="2369" w:type="dxa"/>
                      </w:tcPr>
                      <w:p>
                        <w:pPr>
                          <w:pStyle w:val="TableParagraph"/>
                          <w:tabs>
                            <w:tab w:pos="882" w:val="left" w:leader="none"/>
                          </w:tabs>
                          <w:spacing w:before="107"/>
                          <w:ind w:left="200"/>
                          <w:rPr>
                            <w:b/>
                            <w:sz w:val="21"/>
                          </w:rPr>
                        </w:pPr>
                        <w:r>
                          <w:rPr>
                            <w:b/>
                            <w:sz w:val="21"/>
                          </w:rPr>
                          <w:t>8.10</w:t>
                          <w:tab/>
                        </w:r>
                        <w:r>
                          <w:rPr>
                            <w:b/>
                            <w:w w:val="95"/>
                            <w:sz w:val="21"/>
                          </w:rPr>
                          <w:t>现金价值净额</w:t>
                        </w:r>
                      </w:p>
                    </w:tc>
                    <w:tc>
                      <w:tcPr>
                        <w:tcW w:w="7766" w:type="dxa"/>
                      </w:tcPr>
                      <w:p>
                        <w:pPr>
                          <w:pStyle w:val="TableParagraph"/>
                          <w:spacing w:before="132"/>
                          <w:ind w:left="221"/>
                          <w:rPr>
                            <w:sz w:val="18"/>
                          </w:rPr>
                        </w:pPr>
                        <w:r>
                          <w:rPr>
                            <w:sz w:val="18"/>
                          </w:rPr>
                          <w:t>本附加合同现金价值扣除保险单借款和垫交保险费及上述款项应付利息后的余额。</w:t>
                        </w:r>
                      </w:p>
                    </w:tc>
                  </w:tr>
                  <w:tr>
                    <w:trPr>
                      <w:trHeight w:val="538" w:hRule="atLeast"/>
                    </w:trPr>
                    <w:tc>
                      <w:tcPr>
                        <w:tcW w:w="2369" w:type="dxa"/>
                      </w:tcPr>
                      <w:p>
                        <w:pPr>
                          <w:pStyle w:val="TableParagraph"/>
                          <w:tabs>
                            <w:tab w:pos="883" w:val="left" w:leader="none"/>
                          </w:tabs>
                          <w:spacing w:before="99"/>
                          <w:ind w:left="200"/>
                          <w:rPr>
                            <w:b/>
                            <w:sz w:val="21"/>
                          </w:rPr>
                        </w:pPr>
                        <w:r>
                          <w:rPr>
                            <w:b/>
                            <w:sz w:val="21"/>
                          </w:rPr>
                          <w:t>8.11</w:t>
                          <w:tab/>
                        </w:r>
                        <w:r>
                          <w:rPr>
                            <w:b/>
                            <w:w w:val="95"/>
                            <w:sz w:val="21"/>
                          </w:rPr>
                          <w:t>利息</w:t>
                        </w:r>
                      </w:p>
                    </w:tc>
                    <w:tc>
                      <w:tcPr>
                        <w:tcW w:w="7766" w:type="dxa"/>
                      </w:tcPr>
                      <w:p>
                        <w:pPr>
                          <w:pStyle w:val="TableParagraph"/>
                          <w:spacing w:before="125"/>
                          <w:ind w:left="221"/>
                          <w:rPr>
                            <w:sz w:val="18"/>
                          </w:rPr>
                        </w:pPr>
                        <w:r>
                          <w:rPr>
                            <w:sz w:val="18"/>
                          </w:rPr>
                          <w:t>除本附加合同另有约定外,本附加合同中提到的利息一律按年复利方式计算。</w:t>
                        </w:r>
                      </w:p>
                    </w:tc>
                  </w:tr>
                  <w:tr>
                    <w:trPr>
                      <w:trHeight w:val="672" w:hRule="atLeast"/>
                    </w:trPr>
                    <w:tc>
                      <w:tcPr>
                        <w:tcW w:w="2369" w:type="dxa"/>
                      </w:tcPr>
                      <w:p>
                        <w:pPr>
                          <w:pStyle w:val="TableParagraph"/>
                          <w:tabs>
                            <w:tab w:pos="882" w:val="left" w:leader="none"/>
                          </w:tabs>
                          <w:spacing w:before="99"/>
                          <w:ind w:left="200"/>
                          <w:rPr>
                            <w:b/>
                            <w:sz w:val="21"/>
                          </w:rPr>
                        </w:pPr>
                        <w:r>
                          <w:rPr>
                            <w:b/>
                            <w:sz w:val="21"/>
                          </w:rPr>
                          <w:t>8.12</w:t>
                          <w:tab/>
                          <w:t>现金价值</w:t>
                        </w:r>
                      </w:p>
                    </w:tc>
                    <w:tc>
                      <w:tcPr>
                        <w:tcW w:w="7766" w:type="dxa"/>
                      </w:tcPr>
                      <w:p>
                        <w:pPr>
                          <w:pStyle w:val="TableParagraph"/>
                          <w:spacing w:line="310" w:lineRule="atLeast" w:before="50"/>
                          <w:ind w:left="221" w:right="158"/>
                          <w:rPr>
                            <w:sz w:val="18"/>
                          </w:rPr>
                        </w:pPr>
                        <w:r>
                          <w:rPr>
                            <w:sz w:val="18"/>
                          </w:rPr>
                          <w:t>指保险单所具有的价值，通常体现为解除合同时，根据精算原理计算的，由本公司退还的那部分金额。</w:t>
                        </w:r>
                      </w:p>
                    </w:tc>
                  </w:tr>
                </w:tbl>
                <w:p>
                  <w:pPr>
                    <w:pStyle w:val="BodyText"/>
                  </w:pPr>
                </w:p>
              </w:txbxContent>
            </v:textbox>
            <w10:wrap type="none"/>
          </v:shape>
        </w:pict>
      </w:r>
      <w:r>
        <w:rPr/>
        <w:t>使用的用于治疗疾病但含有毒品成分的处方药品。</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pStyle w:val="BodyText"/>
        <w:ind w:left="2694"/>
      </w:pPr>
      <w:r>
        <w:rPr/>
        <w:t>(2) 驾驶与驾驶证准驾车型不相符合的车辆；</w:t>
      </w:r>
    </w:p>
    <w:p>
      <w:pPr>
        <w:spacing w:after="0"/>
        <w:sectPr>
          <w:pgSz w:w="11910" w:h="16840"/>
          <w:pgMar w:header="857" w:footer="981" w:top="1040" w:bottom="1180" w:left="1000" w:right="560"/>
        </w:sectPr>
      </w:pPr>
    </w:p>
    <w:p>
      <w:pPr>
        <w:pStyle w:val="BodyText"/>
        <w:rPr>
          <w:sz w:val="20"/>
        </w:rPr>
      </w:pPr>
      <w:r>
        <w:rPr/>
        <w:pict>
          <v:shape style="position:absolute;margin-left:49.279999pt;margin-top:55.259998pt;width:508.2pt;height:715.3pt;mso-position-horizontal-relative:page;mso-position-vertical-relative:page;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7643"/>
                  </w:tblGrid>
                  <w:tr>
                    <w:trPr>
                      <w:trHeight w:val="750" w:hRule="atLeast"/>
                    </w:trPr>
                    <w:tc>
                      <w:tcPr>
                        <w:tcW w:w="2520" w:type="dxa"/>
                        <w:tcBorders>
                          <w:top w:val="single" w:sz="6" w:space="0" w:color="000000"/>
                        </w:tcBorders>
                      </w:tcPr>
                      <w:p>
                        <w:pPr>
                          <w:pStyle w:val="TableParagraph"/>
                          <w:rPr>
                            <w:rFonts w:ascii="Times New Roman"/>
                            <w:sz w:val="16"/>
                          </w:rPr>
                        </w:pPr>
                      </w:p>
                    </w:tc>
                    <w:tc>
                      <w:tcPr>
                        <w:tcW w:w="7643" w:type="dxa"/>
                        <w:tcBorders>
                          <w:top w:val="single" w:sz="6" w:space="0" w:color="000000"/>
                        </w:tcBorders>
                      </w:tcPr>
                      <w:p>
                        <w:pPr>
                          <w:pStyle w:val="TableParagraph"/>
                          <w:spacing w:before="8"/>
                          <w:rPr>
                            <w:sz w:val="23"/>
                          </w:rPr>
                        </w:pPr>
                      </w:p>
                      <w:p>
                        <w:pPr>
                          <w:pStyle w:val="TableParagraph"/>
                          <w:ind w:left="1868"/>
                          <w:rPr>
                            <w:b/>
                            <w:sz w:val="18"/>
                          </w:rPr>
                        </w:pPr>
                        <w:r>
                          <w:rPr>
                            <w:b/>
                            <w:w w:val="95"/>
                            <w:sz w:val="18"/>
                          </w:rPr>
                          <w:t>附表一：重大疾病说明</w:t>
                        </w:r>
                      </w:p>
                    </w:tc>
                  </w:tr>
                  <w:tr>
                    <w:trPr>
                      <w:trHeight w:val="3351" w:hRule="atLeast"/>
                    </w:trPr>
                    <w:tc>
                      <w:tcPr>
                        <w:tcW w:w="10163" w:type="dxa"/>
                        <w:gridSpan w:val="2"/>
                      </w:tcPr>
                      <w:p>
                        <w:pPr>
                          <w:pStyle w:val="TableParagraph"/>
                          <w:spacing w:before="151"/>
                          <w:ind w:left="318"/>
                          <w:rPr>
                            <w:b/>
                            <w:sz w:val="18"/>
                          </w:rPr>
                        </w:pPr>
                        <w:r>
                          <w:rPr>
                            <w:b/>
                            <w:w w:val="95"/>
                            <w:sz w:val="18"/>
                          </w:rPr>
                          <w:t>重大疾病：指下列疾病或手术之一</w:t>
                        </w:r>
                      </w:p>
                      <w:p>
                        <w:pPr>
                          <w:pStyle w:val="TableParagraph"/>
                          <w:spacing w:before="4"/>
                          <w:rPr>
                            <w:sz w:val="26"/>
                          </w:rPr>
                        </w:pPr>
                      </w:p>
                      <w:p>
                        <w:pPr>
                          <w:pStyle w:val="TableParagraph"/>
                          <w:ind w:left="318"/>
                          <w:rPr>
                            <w:b/>
                            <w:i/>
                            <w:sz w:val="19"/>
                          </w:rPr>
                        </w:pPr>
                        <w:r>
                          <w:rPr>
                            <w:b/>
                            <w:i/>
                            <w:w w:val="95"/>
                            <w:sz w:val="19"/>
                          </w:rPr>
                          <w:t>被保险人发生符合下列 20 种疾病定义所述条件的重大疾病，须由专科医生（注 1）明确诊断。</w:t>
                        </w:r>
                      </w:p>
                      <w:p>
                        <w:pPr>
                          <w:pStyle w:val="TableParagraph"/>
                          <w:rPr>
                            <w:sz w:val="18"/>
                          </w:rPr>
                        </w:pPr>
                      </w:p>
                      <w:p>
                        <w:pPr>
                          <w:pStyle w:val="TableParagraph"/>
                          <w:tabs>
                            <w:tab w:pos="2617" w:val="left" w:leader="none"/>
                          </w:tabs>
                          <w:spacing w:line="316" w:lineRule="auto" w:before="118"/>
                          <w:ind w:left="2618" w:right="198" w:hanging="2419"/>
                          <w:jc w:val="both"/>
                          <w:rPr>
                            <w:sz w:val="18"/>
                          </w:rPr>
                        </w:pPr>
                        <w:r>
                          <w:rPr>
                            <w:b/>
                            <w:sz w:val="18"/>
                          </w:rPr>
                          <w:t>1. </w:t>
                        </w:r>
                        <w:r>
                          <w:rPr>
                            <w:b/>
                            <w:spacing w:val="55"/>
                            <w:sz w:val="18"/>
                          </w:rPr>
                          <w:t> </w:t>
                        </w: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TableParagraph"/>
                          <w:spacing w:before="18"/>
                          <w:ind w:left="2618"/>
                          <w:rPr>
                            <w:sz w:val="18"/>
                          </w:rPr>
                        </w:pPr>
                        <w:r>
                          <w:rPr>
                            <w:sz w:val="18"/>
                          </w:rPr>
                          <w:t>下列疾病不在保障范围内：</w:t>
                        </w:r>
                      </w:p>
                      <w:p>
                        <w:pPr>
                          <w:pStyle w:val="TableParagraph"/>
                          <w:spacing w:before="76"/>
                          <w:ind w:left="2618"/>
                          <w:rPr>
                            <w:sz w:val="18"/>
                          </w:rPr>
                        </w:pPr>
                        <w:r>
                          <w:rPr>
                            <w:sz w:val="18"/>
                          </w:rPr>
                          <w:t>（1）原位癌；</w:t>
                        </w:r>
                      </w:p>
                      <w:p>
                        <w:pPr>
                          <w:pStyle w:val="TableParagraph"/>
                          <w:spacing w:before="76"/>
                          <w:ind w:left="2618"/>
                          <w:rPr>
                            <w:sz w:val="18"/>
                          </w:rPr>
                        </w:pPr>
                        <w:r>
                          <w:rPr>
                            <w:sz w:val="18"/>
                          </w:rPr>
                          <w:t>（2）相当于Binet 分期方案A 期程度的慢性淋巴细胞白血病；</w:t>
                        </w:r>
                      </w:p>
                    </w:tc>
                  </w:tr>
                  <w:tr>
                    <w:trPr>
                      <w:trHeight w:val="467" w:hRule="atLeast"/>
                    </w:trPr>
                    <w:tc>
                      <w:tcPr>
                        <w:tcW w:w="2520" w:type="dxa"/>
                      </w:tcPr>
                      <w:p>
                        <w:pPr>
                          <w:pStyle w:val="TableParagraph"/>
                          <w:rPr>
                            <w:rFonts w:ascii="Times New Roman"/>
                            <w:sz w:val="16"/>
                          </w:rPr>
                        </w:pPr>
                      </w:p>
                    </w:tc>
                    <w:tc>
                      <w:tcPr>
                        <w:tcW w:w="7643" w:type="dxa"/>
                      </w:tcPr>
                      <w:p>
                        <w:pPr>
                          <w:pStyle w:val="TableParagraph"/>
                          <w:spacing w:before="9"/>
                          <w:rPr>
                            <w:sz w:val="12"/>
                          </w:rPr>
                        </w:pPr>
                      </w:p>
                      <w:p>
                        <w:pPr>
                          <w:pStyle w:val="TableParagraph"/>
                          <w:ind w:left="98"/>
                          <w:rPr>
                            <w:sz w:val="18"/>
                          </w:rPr>
                        </w:pPr>
                        <w:r>
                          <w:rPr>
                            <w:sz w:val="18"/>
                          </w:rPr>
                          <w:t>（4）皮肤癌（不包括恶性黑色素瘤及已发生转移的皮肤癌</w:t>
                        </w:r>
                        <w:r>
                          <w:rPr>
                            <w:spacing w:val="-90"/>
                            <w:sz w:val="18"/>
                          </w:rPr>
                          <w:t>）</w:t>
                        </w:r>
                        <w:r>
                          <w:rPr>
                            <w:sz w:val="18"/>
                          </w:rPr>
                          <w:t>；</w:t>
                        </w:r>
                      </w:p>
                    </w:tc>
                  </w:tr>
                  <w:tr>
                    <w:trPr>
                      <w:trHeight w:val="425" w:hRule="atLeast"/>
                    </w:trPr>
                    <w:tc>
                      <w:tcPr>
                        <w:tcW w:w="2520" w:type="dxa"/>
                      </w:tcPr>
                      <w:p>
                        <w:pPr>
                          <w:pStyle w:val="TableParagraph"/>
                          <w:rPr>
                            <w:rFonts w:ascii="Times New Roman"/>
                            <w:sz w:val="16"/>
                          </w:rPr>
                        </w:pPr>
                      </w:p>
                    </w:tc>
                    <w:tc>
                      <w:tcPr>
                        <w:tcW w:w="7643" w:type="dxa"/>
                      </w:tcPr>
                      <w:p>
                        <w:pPr>
                          <w:pStyle w:val="TableParagraph"/>
                          <w:spacing w:before="10"/>
                          <w:ind w:left="98"/>
                          <w:rPr>
                            <w:sz w:val="18"/>
                          </w:rPr>
                        </w:pPr>
                        <w:r>
                          <w:rPr>
                            <w:position w:val="1"/>
                            <w:sz w:val="18"/>
                          </w:rPr>
                          <w:t>（5）TNM分期为T</w:t>
                        </w:r>
                        <w:r>
                          <w:rPr>
                            <w:sz w:val="9"/>
                          </w:rPr>
                          <w:t>1</w:t>
                        </w:r>
                        <w:r>
                          <w:rPr>
                            <w:position w:val="1"/>
                            <w:sz w:val="18"/>
                          </w:rPr>
                          <w:t>N</w:t>
                        </w:r>
                        <w:r>
                          <w:rPr>
                            <w:sz w:val="9"/>
                          </w:rPr>
                          <w:t>0</w:t>
                        </w:r>
                        <w:r>
                          <w:rPr>
                            <w:position w:val="1"/>
                            <w:sz w:val="18"/>
                          </w:rPr>
                          <w:t>M</w:t>
                        </w:r>
                        <w:r>
                          <w:rPr>
                            <w:sz w:val="9"/>
                          </w:rPr>
                          <w:t>0</w:t>
                        </w:r>
                        <w:r>
                          <w:rPr>
                            <w:position w:val="1"/>
                            <w:sz w:val="18"/>
                          </w:rPr>
                          <w:t>期或更轻分期的前列腺癌。</w:t>
                        </w:r>
                      </w:p>
                    </w:tc>
                  </w:tr>
                  <w:tr>
                    <w:trPr>
                      <w:trHeight w:val="1162" w:hRule="atLeast"/>
                    </w:trPr>
                    <w:tc>
                      <w:tcPr>
                        <w:tcW w:w="2520" w:type="dxa"/>
                      </w:tcPr>
                      <w:p>
                        <w:pPr>
                          <w:pStyle w:val="TableParagraph"/>
                          <w:tabs>
                            <w:tab w:pos="620" w:val="left" w:leader="none"/>
                          </w:tabs>
                          <w:spacing w:line="316" w:lineRule="auto" w:before="124"/>
                          <w:ind w:left="620" w:right="95" w:hanging="421"/>
                          <w:rPr>
                            <w:b/>
                            <w:sz w:val="18"/>
                          </w:rPr>
                        </w:pPr>
                        <w:r>
                          <w:rPr>
                            <w:b/>
                            <w:sz w:val="18"/>
                          </w:rPr>
                          <w:t>2.</w:t>
                          <w:tab/>
                        </w:r>
                        <w:r>
                          <w:rPr>
                            <w:b/>
                            <w:spacing w:val="18"/>
                            <w:w w:val="95"/>
                            <w:sz w:val="18"/>
                          </w:rPr>
                          <w:t>严重原发性肺动脉高 </w:t>
                        </w:r>
                        <w:r>
                          <w:rPr>
                            <w:b/>
                            <w:sz w:val="18"/>
                          </w:rPr>
                          <w:t>压</w:t>
                        </w:r>
                      </w:p>
                    </w:tc>
                    <w:tc>
                      <w:tcPr>
                        <w:tcW w:w="7643" w:type="dxa"/>
                      </w:tcPr>
                      <w:p>
                        <w:pPr>
                          <w:pStyle w:val="TableParagraph"/>
                          <w:spacing w:before="124"/>
                          <w:ind w:left="98"/>
                          <w:rPr>
                            <w:b/>
                            <w:sz w:val="18"/>
                          </w:rPr>
                        </w:pPr>
                        <w:r>
                          <w:rPr>
                            <w:sz w:val="18"/>
                          </w:rPr>
                          <w:t>指不明原因的肺动脉压力持续性增高，进行性发展而导致的慢性疾病，已经造成</w:t>
                        </w:r>
                        <w:r>
                          <w:rPr>
                            <w:b/>
                            <w:sz w:val="18"/>
                          </w:rPr>
                          <w:t>永久不可逆</w:t>
                        </w:r>
                      </w:p>
                      <w:p>
                        <w:pPr>
                          <w:pStyle w:val="TableParagraph"/>
                          <w:spacing w:line="316" w:lineRule="auto" w:before="76"/>
                          <w:ind w:left="98" w:right="199"/>
                          <w:rPr>
                            <w:sz w:val="18"/>
                          </w:rPr>
                        </w:pPr>
                        <w:r>
                          <w:rPr>
                            <w:sz w:val="18"/>
                          </w:rPr>
                          <w:t>（</w:t>
                        </w:r>
                        <w:r>
                          <w:rPr>
                            <w:spacing w:val="-23"/>
                            <w:sz w:val="18"/>
                          </w:rPr>
                          <w:t>注 </w:t>
                        </w:r>
                        <w:r>
                          <w:rPr>
                            <w:spacing w:val="-14"/>
                            <w:sz w:val="18"/>
                          </w:rPr>
                          <w:t>2）</w:t>
                        </w:r>
                        <w:r>
                          <w:rPr>
                            <w:spacing w:val="-5"/>
                            <w:sz w:val="18"/>
                          </w:rPr>
                          <w:t>性的体力活动能力受限，达到美国纽约心脏病学会心功能状态分级 </w:t>
                        </w:r>
                        <w:r>
                          <w:rPr>
                            <w:sz w:val="18"/>
                          </w:rPr>
                          <w:t>IV</w:t>
                        </w:r>
                        <w:r>
                          <w:rPr>
                            <w:spacing w:val="-11"/>
                            <w:sz w:val="18"/>
                          </w:rPr>
                          <w:t> 级，且静息状态</w:t>
                        </w:r>
                        <w:r>
                          <w:rPr>
                            <w:spacing w:val="-15"/>
                            <w:sz w:val="18"/>
                          </w:rPr>
                          <w:t>下肺动脉平均压超过 </w:t>
                        </w:r>
                        <w:r>
                          <w:rPr>
                            <w:sz w:val="18"/>
                          </w:rPr>
                          <w:t>30mmHg。</w:t>
                        </w:r>
                      </w:p>
                    </w:tc>
                  </w:tr>
                  <w:tr>
                    <w:trPr>
                      <w:trHeight w:val="581" w:hRule="atLeast"/>
                    </w:trPr>
                    <w:tc>
                      <w:tcPr>
                        <w:tcW w:w="10163" w:type="dxa"/>
                        <w:gridSpan w:val="2"/>
                      </w:tcPr>
                      <w:p>
                        <w:pPr>
                          <w:pStyle w:val="TableParagraph"/>
                          <w:tabs>
                            <w:tab w:pos="620" w:val="left" w:leader="none"/>
                            <w:tab w:pos="2617" w:val="left" w:leader="none"/>
                          </w:tabs>
                          <w:spacing w:before="124"/>
                          <w:ind w:left="200"/>
                          <w:rPr>
                            <w:sz w:val="18"/>
                          </w:rPr>
                        </w:pPr>
                        <w:r>
                          <w:rPr>
                            <w:b/>
                            <w:sz w:val="18"/>
                          </w:rPr>
                          <w:t>3.</w:t>
                          <w:tab/>
                          <w:t>肾髓质囊性病</w:t>
                          <w:tab/>
                        </w:r>
                        <w:r>
                          <w:rPr>
                            <w:sz w:val="18"/>
                          </w:rPr>
                          <w:t>肾髓质囊性病的诊断必须同时符合下列要求：</w:t>
                        </w:r>
                      </w:p>
                    </w:tc>
                  </w:tr>
                  <w:tr>
                    <w:trPr>
                      <w:trHeight w:val="467" w:hRule="atLeast"/>
                    </w:trPr>
                    <w:tc>
                      <w:tcPr>
                        <w:tcW w:w="2520" w:type="dxa"/>
                      </w:tcPr>
                      <w:p>
                        <w:pPr>
                          <w:pStyle w:val="TableParagraph"/>
                          <w:rPr>
                            <w:rFonts w:ascii="Times New Roman"/>
                            <w:sz w:val="16"/>
                          </w:rPr>
                        </w:pPr>
                      </w:p>
                    </w:tc>
                    <w:tc>
                      <w:tcPr>
                        <w:tcW w:w="7643" w:type="dxa"/>
                      </w:tcPr>
                      <w:p>
                        <w:pPr>
                          <w:pStyle w:val="TableParagraph"/>
                          <w:spacing w:before="9"/>
                          <w:rPr>
                            <w:sz w:val="12"/>
                          </w:rPr>
                        </w:pPr>
                      </w:p>
                      <w:p>
                        <w:pPr>
                          <w:pStyle w:val="TableParagraph"/>
                          <w:ind w:left="98"/>
                          <w:rPr>
                            <w:sz w:val="18"/>
                          </w:rPr>
                        </w:pPr>
                        <w:r>
                          <w:rPr>
                            <w:sz w:val="18"/>
                          </w:rPr>
                          <w:t>（2）贫血、多尿及肾功能衰竭等临床表现；</w:t>
                        </w:r>
                      </w:p>
                    </w:tc>
                  </w:tr>
                  <w:tr>
                    <w:trPr>
                      <w:trHeight w:val="425" w:hRule="atLeast"/>
                    </w:trPr>
                    <w:tc>
                      <w:tcPr>
                        <w:tcW w:w="2520" w:type="dxa"/>
                      </w:tcPr>
                      <w:p>
                        <w:pPr>
                          <w:pStyle w:val="TableParagraph"/>
                          <w:rPr>
                            <w:rFonts w:ascii="Times New Roman"/>
                            <w:sz w:val="16"/>
                          </w:rPr>
                        </w:pPr>
                      </w:p>
                    </w:tc>
                    <w:tc>
                      <w:tcPr>
                        <w:tcW w:w="7643" w:type="dxa"/>
                      </w:tcPr>
                      <w:p>
                        <w:pPr>
                          <w:pStyle w:val="TableParagraph"/>
                          <w:spacing w:before="10"/>
                          <w:ind w:left="98"/>
                          <w:rPr>
                            <w:sz w:val="18"/>
                          </w:rPr>
                        </w:pPr>
                        <w:r>
                          <w:rPr>
                            <w:sz w:val="18"/>
                          </w:rPr>
                          <w:t>（3）诊断须由肾组织活检确定。</w:t>
                        </w:r>
                      </w:p>
                    </w:tc>
                  </w:tr>
                  <w:tr>
                    <w:trPr>
                      <w:trHeight w:val="1517" w:hRule="atLeast"/>
                    </w:trPr>
                    <w:tc>
                      <w:tcPr>
                        <w:tcW w:w="10163" w:type="dxa"/>
                        <w:gridSpan w:val="2"/>
                      </w:tcPr>
                      <w:p>
                        <w:pPr>
                          <w:pStyle w:val="TableParagraph"/>
                          <w:numPr>
                            <w:ilvl w:val="0"/>
                            <w:numId w:val="8"/>
                          </w:numPr>
                          <w:tabs>
                            <w:tab w:pos="620" w:val="left" w:leader="none"/>
                            <w:tab w:pos="621" w:val="left" w:leader="none"/>
                            <w:tab w:pos="2617" w:val="left" w:leader="none"/>
                          </w:tabs>
                          <w:spacing w:line="316" w:lineRule="auto" w:before="124" w:after="0"/>
                          <w:ind w:left="2618" w:right="198" w:hanging="2418"/>
                          <w:jc w:val="left"/>
                          <w:rPr>
                            <w:sz w:val="18"/>
                          </w:rPr>
                        </w:pPr>
                        <w:r>
                          <w:rPr>
                            <w:b/>
                            <w:sz w:val="18"/>
                          </w:rPr>
                          <w:t>重型再生障碍性贫血</w:t>
                          <w:tab/>
                        </w:r>
                        <w:r>
                          <w:rPr>
                            <w:sz w:val="18"/>
                          </w:rPr>
                          <w:t>指因骨髓造血功能慢性持续性衰竭导致的贫血</w:t>
                        </w:r>
                        <w:r>
                          <w:rPr>
                            <w:spacing w:val="-18"/>
                            <w:sz w:val="18"/>
                          </w:rPr>
                          <w:t>、</w:t>
                        </w:r>
                        <w:r>
                          <w:rPr>
                            <w:sz w:val="18"/>
                          </w:rPr>
                          <w:t>中性粒细胞减少及血小板减少</w:t>
                        </w:r>
                        <w:r>
                          <w:rPr>
                            <w:spacing w:val="-18"/>
                            <w:sz w:val="18"/>
                          </w:rPr>
                          <w:t>，</w:t>
                        </w:r>
                        <w:r>
                          <w:rPr>
                            <w:sz w:val="18"/>
                          </w:rPr>
                          <w:t>须满足以下全部条件：</w:t>
                        </w:r>
                      </w:p>
                      <w:p>
                        <w:pPr>
                          <w:pStyle w:val="TableParagraph"/>
                          <w:numPr>
                            <w:ilvl w:val="1"/>
                            <w:numId w:val="8"/>
                          </w:numPr>
                          <w:tabs>
                            <w:tab w:pos="2979" w:val="left" w:leader="none"/>
                          </w:tabs>
                          <w:spacing w:line="240" w:lineRule="auto" w:before="19" w:after="0"/>
                          <w:ind w:left="2978" w:right="0" w:hanging="360"/>
                          <w:jc w:val="left"/>
                          <w:rPr>
                            <w:sz w:val="18"/>
                          </w:rPr>
                        </w:pPr>
                        <w:r>
                          <w:rPr>
                            <w:sz w:val="18"/>
                          </w:rPr>
                          <w:t>骨髓穿刺检查或骨髓活检结果支持诊断；</w:t>
                        </w:r>
                      </w:p>
                      <w:p>
                        <w:pPr>
                          <w:pStyle w:val="TableParagraph"/>
                          <w:numPr>
                            <w:ilvl w:val="1"/>
                            <w:numId w:val="8"/>
                          </w:numPr>
                          <w:tabs>
                            <w:tab w:pos="2979" w:val="left" w:leader="none"/>
                          </w:tabs>
                          <w:spacing w:line="240" w:lineRule="auto" w:before="76" w:after="0"/>
                          <w:ind w:left="2978" w:right="0" w:hanging="360"/>
                          <w:jc w:val="left"/>
                          <w:rPr>
                            <w:sz w:val="18"/>
                          </w:rPr>
                        </w:pPr>
                        <w:r>
                          <w:rPr>
                            <w:sz w:val="18"/>
                          </w:rPr>
                          <w:t>外周血象必须具备以下三项条件：</w:t>
                        </w:r>
                      </w:p>
                    </w:tc>
                  </w:tr>
                  <w:tr>
                    <w:trPr>
                      <w:trHeight w:val="461" w:hRule="atLeast"/>
                    </w:trPr>
                    <w:tc>
                      <w:tcPr>
                        <w:tcW w:w="2520" w:type="dxa"/>
                      </w:tcPr>
                      <w:p>
                        <w:pPr>
                          <w:pStyle w:val="TableParagraph"/>
                          <w:rPr>
                            <w:rFonts w:ascii="Times New Roman"/>
                            <w:sz w:val="16"/>
                          </w:rPr>
                        </w:pPr>
                      </w:p>
                    </w:tc>
                    <w:tc>
                      <w:tcPr>
                        <w:tcW w:w="7643" w:type="dxa"/>
                      </w:tcPr>
                      <w:p>
                        <w:pPr>
                          <w:pStyle w:val="TableParagraph"/>
                          <w:spacing w:before="9"/>
                          <w:rPr>
                            <w:sz w:val="12"/>
                          </w:rPr>
                        </w:pPr>
                      </w:p>
                      <w:p>
                        <w:pPr>
                          <w:pStyle w:val="TableParagraph"/>
                          <w:ind w:left="548"/>
                          <w:rPr>
                            <w:sz w:val="18"/>
                          </w:rPr>
                        </w:pPr>
                        <w:r>
                          <w:rPr>
                            <w:sz w:val="18"/>
                          </w:rPr>
                          <w:t>② 网织红细胞＜1%；</w:t>
                        </w:r>
                      </w:p>
                    </w:tc>
                  </w:tr>
                  <w:tr>
                    <w:trPr>
                      <w:trHeight w:val="431" w:hRule="atLeast"/>
                    </w:trPr>
                    <w:tc>
                      <w:tcPr>
                        <w:tcW w:w="2520" w:type="dxa"/>
                      </w:tcPr>
                      <w:p>
                        <w:pPr>
                          <w:pStyle w:val="TableParagraph"/>
                          <w:rPr>
                            <w:rFonts w:ascii="Times New Roman"/>
                            <w:sz w:val="16"/>
                          </w:rPr>
                        </w:pPr>
                      </w:p>
                    </w:tc>
                    <w:tc>
                      <w:tcPr>
                        <w:tcW w:w="7643" w:type="dxa"/>
                      </w:tcPr>
                      <w:p>
                        <w:pPr>
                          <w:pStyle w:val="TableParagraph"/>
                          <w:spacing w:before="16"/>
                          <w:ind w:left="548"/>
                          <w:rPr>
                            <w:sz w:val="18"/>
                          </w:rPr>
                        </w:pPr>
                        <w:r>
                          <w:rPr>
                            <w:sz w:val="18"/>
                          </w:rPr>
                          <w:t>③ 血小板绝对值≤20×10</w:t>
                        </w:r>
                        <w:r>
                          <w:rPr>
                            <w:b/>
                            <w:position w:val="9"/>
                            <w:sz w:val="9"/>
                          </w:rPr>
                          <w:t>9</w:t>
                        </w:r>
                        <w:r>
                          <w:rPr>
                            <w:sz w:val="18"/>
                          </w:rPr>
                          <w:t>/L。</w:t>
                        </w:r>
                      </w:p>
                    </w:tc>
                  </w:tr>
                  <w:tr>
                    <w:trPr>
                      <w:trHeight w:val="850" w:hRule="atLeast"/>
                    </w:trPr>
                    <w:tc>
                      <w:tcPr>
                        <w:tcW w:w="2520" w:type="dxa"/>
                      </w:tcPr>
                      <w:p>
                        <w:pPr>
                          <w:pStyle w:val="TableParagraph"/>
                          <w:tabs>
                            <w:tab w:pos="620" w:val="left" w:leader="none"/>
                          </w:tabs>
                          <w:spacing w:before="124"/>
                          <w:ind w:left="200"/>
                          <w:rPr>
                            <w:b/>
                            <w:sz w:val="18"/>
                          </w:rPr>
                        </w:pPr>
                        <w:r>
                          <w:rPr>
                            <w:b/>
                            <w:sz w:val="18"/>
                          </w:rPr>
                          <w:t>5.</w:t>
                          <w:tab/>
                        </w:r>
                        <w:r>
                          <w:rPr>
                            <w:b/>
                            <w:w w:val="95"/>
                            <w:sz w:val="18"/>
                          </w:rPr>
                          <w:t>严重Ⅲ度烧伤</w:t>
                        </w:r>
                      </w:p>
                    </w:tc>
                    <w:tc>
                      <w:tcPr>
                        <w:tcW w:w="7643" w:type="dxa"/>
                      </w:tcPr>
                      <w:p>
                        <w:pPr>
                          <w:pStyle w:val="TableParagraph"/>
                          <w:spacing w:line="316" w:lineRule="auto" w:before="124"/>
                          <w:ind w:left="98" w:right="200"/>
                          <w:rPr>
                            <w:sz w:val="18"/>
                          </w:rPr>
                        </w:pPr>
                        <w:r>
                          <w:rPr>
                            <w:spacing w:val="-10"/>
                            <w:sz w:val="18"/>
                          </w:rPr>
                          <w:t>指烧伤程度为Ⅲ度，且Ⅲ度烧伤面积达到全身体表面积的 </w:t>
                        </w:r>
                        <w:r>
                          <w:rPr>
                            <w:sz w:val="18"/>
                          </w:rPr>
                          <w:t>20％</w:t>
                        </w:r>
                        <w:r>
                          <w:rPr>
                            <w:spacing w:val="-23"/>
                            <w:sz w:val="18"/>
                          </w:rPr>
                          <w:t>或 </w:t>
                        </w:r>
                        <w:r>
                          <w:rPr>
                            <w:sz w:val="18"/>
                          </w:rPr>
                          <w:t>20％</w:t>
                        </w:r>
                        <w:r>
                          <w:rPr>
                            <w:spacing w:val="-8"/>
                            <w:sz w:val="18"/>
                          </w:rPr>
                          <w:t>以上。体表面积根据《中国新九分法》计算。</w:t>
                        </w:r>
                      </w:p>
                    </w:tc>
                  </w:tr>
                  <w:tr>
                    <w:trPr>
                      <w:trHeight w:val="737" w:hRule="atLeast"/>
                    </w:trPr>
                    <w:tc>
                      <w:tcPr>
                        <w:tcW w:w="2520" w:type="dxa"/>
                      </w:tcPr>
                      <w:p>
                        <w:pPr>
                          <w:pStyle w:val="TableParagraph"/>
                          <w:tabs>
                            <w:tab w:pos="620" w:val="left" w:leader="none"/>
                          </w:tabs>
                          <w:spacing w:line="310" w:lineRule="atLeast" w:before="49"/>
                          <w:ind w:left="620" w:right="95" w:hanging="421"/>
                          <w:rPr>
                            <w:b/>
                            <w:sz w:val="18"/>
                          </w:rPr>
                        </w:pPr>
                        <w:r>
                          <w:rPr>
                            <w:b/>
                            <w:sz w:val="18"/>
                          </w:rPr>
                          <w:t>6.</w:t>
                          <w:tab/>
                        </w:r>
                        <w:r>
                          <w:rPr>
                            <w:b/>
                            <w:spacing w:val="18"/>
                            <w:w w:val="95"/>
                            <w:sz w:val="18"/>
                          </w:rPr>
                          <w:t>重大器官移植术或造 </w:t>
                        </w:r>
                        <w:r>
                          <w:rPr>
                            <w:b/>
                            <w:w w:val="95"/>
                            <w:sz w:val="18"/>
                          </w:rPr>
                          <w:t>血干细胞移植术</w:t>
                        </w:r>
                      </w:p>
                    </w:tc>
                    <w:tc>
                      <w:tcPr>
                        <w:tcW w:w="7643" w:type="dxa"/>
                      </w:tcPr>
                      <w:p>
                        <w:pPr>
                          <w:pStyle w:val="TableParagraph"/>
                          <w:spacing w:line="310" w:lineRule="atLeast" w:before="49"/>
                          <w:ind w:left="98" w:right="200"/>
                          <w:rPr>
                            <w:sz w:val="18"/>
                          </w:rPr>
                        </w:pPr>
                        <w:r>
                          <w:rPr>
                            <w:spacing w:val="-5"/>
                            <w:sz w:val="18"/>
                          </w:rPr>
                          <w:t>重大器官移植术，指因相应器官功能衰竭，已经实施了肾脏、肝脏、心脏或肺脏的异体移植手术。</w:t>
                        </w:r>
                      </w:p>
                    </w:tc>
                  </w:tr>
                  <w:tr>
                    <w:trPr>
                      <w:trHeight w:val="737" w:hRule="atLeast"/>
                    </w:trPr>
                    <w:tc>
                      <w:tcPr>
                        <w:tcW w:w="2520" w:type="dxa"/>
                      </w:tcPr>
                      <w:p>
                        <w:pPr>
                          <w:pStyle w:val="TableParagraph"/>
                          <w:rPr>
                            <w:rFonts w:ascii="Times New Roman"/>
                            <w:sz w:val="16"/>
                          </w:rPr>
                        </w:pPr>
                      </w:p>
                    </w:tc>
                    <w:tc>
                      <w:tcPr>
                        <w:tcW w:w="7643" w:type="dxa"/>
                      </w:tcPr>
                      <w:p>
                        <w:pPr>
                          <w:pStyle w:val="TableParagraph"/>
                          <w:spacing w:line="316" w:lineRule="auto" w:before="10"/>
                          <w:ind w:left="98" w:right="148"/>
                          <w:rPr>
                            <w:sz w:val="18"/>
                          </w:rPr>
                        </w:pPr>
                        <w:r>
                          <w:rPr>
                            <w:sz w:val="18"/>
                          </w:rPr>
                          <w:t>造血干细胞移植术，指因造血功能损害或造血系统恶性肿瘤，已经实施了造血干细胞（包括骨髓造血干细胞、外周血造血干细胞和脐血造血干细胞）的异体移植手术。</w:t>
                        </w:r>
                      </w:p>
                    </w:tc>
                  </w:tr>
                  <w:tr>
                    <w:trPr>
                      <w:trHeight w:val="1205" w:hRule="atLeast"/>
                    </w:trPr>
                    <w:tc>
                      <w:tcPr>
                        <w:tcW w:w="10163" w:type="dxa"/>
                        <w:gridSpan w:val="2"/>
                      </w:tcPr>
                      <w:p>
                        <w:pPr>
                          <w:pStyle w:val="TableParagraph"/>
                          <w:tabs>
                            <w:tab w:pos="2617" w:val="left" w:leader="none"/>
                          </w:tabs>
                          <w:spacing w:line="316" w:lineRule="auto" w:before="124"/>
                          <w:ind w:left="2618" w:right="199" w:hanging="2419"/>
                          <w:jc w:val="both"/>
                          <w:rPr>
                            <w:sz w:val="18"/>
                          </w:rPr>
                        </w:pPr>
                        <w:r>
                          <w:rPr>
                            <w:b/>
                            <w:sz w:val="18"/>
                          </w:rPr>
                          <w:t>7. </w:t>
                        </w:r>
                        <w:r>
                          <w:rPr>
                            <w:b/>
                            <w:spacing w:val="55"/>
                            <w:sz w:val="18"/>
                          </w:rPr>
                          <w:t> </w:t>
                        </w: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tc>
                  </w:tr>
                  <w:tr>
                    <w:trPr>
                      <w:trHeight w:val="468" w:hRule="atLeast"/>
                    </w:trPr>
                    <w:tc>
                      <w:tcPr>
                        <w:tcW w:w="2520" w:type="dxa"/>
                      </w:tcPr>
                      <w:p>
                        <w:pPr>
                          <w:pStyle w:val="TableParagraph"/>
                          <w:rPr>
                            <w:rFonts w:ascii="Times New Roman"/>
                            <w:sz w:val="16"/>
                          </w:rPr>
                        </w:pPr>
                      </w:p>
                    </w:tc>
                    <w:tc>
                      <w:tcPr>
                        <w:tcW w:w="7643" w:type="dxa"/>
                      </w:tcPr>
                      <w:p>
                        <w:pPr>
                          <w:pStyle w:val="TableParagraph"/>
                          <w:spacing w:before="9"/>
                          <w:rPr>
                            <w:sz w:val="12"/>
                          </w:rPr>
                        </w:pPr>
                      </w:p>
                      <w:p>
                        <w:pPr>
                          <w:pStyle w:val="TableParagraph"/>
                          <w:ind w:left="98"/>
                          <w:rPr>
                            <w:sz w:val="18"/>
                          </w:rPr>
                        </w:pPr>
                        <w:r>
                          <w:rPr>
                            <w:sz w:val="18"/>
                          </w:rPr>
                          <w:t>（2）语言能力或</w:t>
                        </w:r>
                        <w:r>
                          <w:rPr>
                            <w:b/>
                            <w:spacing w:val="-1"/>
                            <w:w w:val="99"/>
                            <w:sz w:val="18"/>
                          </w:rPr>
                          <w:t>咀嚼吞咽能力完全丧失</w:t>
                        </w:r>
                        <w:r>
                          <w:rPr>
                            <w:spacing w:val="-2"/>
                            <w:sz w:val="18"/>
                          </w:rPr>
                          <w:t>（</w:t>
                        </w:r>
                        <w:r>
                          <w:rPr>
                            <w:spacing w:val="-23"/>
                            <w:sz w:val="18"/>
                          </w:rPr>
                          <w:t>注 </w:t>
                        </w:r>
                        <w:r>
                          <w:rPr>
                            <w:sz w:val="18"/>
                          </w:rPr>
                          <w:t>4</w:t>
                        </w:r>
                        <w:r>
                          <w:rPr>
                            <w:spacing w:val="-90"/>
                            <w:sz w:val="18"/>
                          </w:rPr>
                          <w:t>）</w:t>
                        </w:r>
                        <w:r>
                          <w:rPr>
                            <w:sz w:val="18"/>
                          </w:rPr>
                          <w:t>；</w:t>
                        </w:r>
                      </w:p>
                    </w:tc>
                  </w:tr>
                  <w:tr>
                    <w:trPr>
                      <w:trHeight w:val="245" w:hRule="atLeast"/>
                    </w:trPr>
                    <w:tc>
                      <w:tcPr>
                        <w:tcW w:w="2520" w:type="dxa"/>
                      </w:tcPr>
                      <w:p>
                        <w:pPr>
                          <w:pStyle w:val="TableParagraph"/>
                          <w:rPr>
                            <w:rFonts w:ascii="Times New Roman"/>
                            <w:sz w:val="16"/>
                          </w:rPr>
                        </w:pPr>
                      </w:p>
                    </w:tc>
                    <w:tc>
                      <w:tcPr>
                        <w:tcW w:w="7643" w:type="dxa"/>
                      </w:tcPr>
                      <w:p>
                        <w:pPr>
                          <w:pStyle w:val="TableParagraph"/>
                          <w:spacing w:line="216" w:lineRule="exact" w:before="10"/>
                          <w:ind w:left="98"/>
                          <w:rPr>
                            <w:sz w:val="18"/>
                          </w:rPr>
                        </w:pPr>
                        <w:r>
                          <w:rPr>
                            <w:sz w:val="18"/>
                          </w:rPr>
                          <w:t>（3）自主生活能力完全丧失，无法独立完成</w:t>
                        </w:r>
                        <w:r>
                          <w:rPr>
                            <w:b/>
                            <w:sz w:val="18"/>
                          </w:rPr>
                          <w:t>六项基本日常生活活动</w:t>
                        </w:r>
                        <w:r>
                          <w:rPr>
                            <w:sz w:val="18"/>
                          </w:rPr>
                          <w:t>（注 5）中的三项或三项以</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BodyText"/>
        <w:spacing w:before="44"/>
        <w:ind w:left="2723"/>
      </w:pPr>
      <w:r>
        <w:rPr/>
        <w:t>（3）相当于Ann Arbor 分期方案I 期程度的何杰金氏病；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1"/>
        </w:rPr>
      </w:pPr>
    </w:p>
    <w:p>
      <w:pPr>
        <w:pStyle w:val="BodyText"/>
        <w:ind w:left="2723"/>
      </w:pPr>
      <w:r>
        <w:rPr/>
        <w:t>（1）肾髓质有囊肿、肾小管萎缩及间质纤维化等病理改变；</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2"/>
        </w:rPr>
      </w:pPr>
    </w:p>
    <w:p>
      <w:pPr>
        <w:pStyle w:val="BodyText"/>
        <w:ind w:left="3157" w:right="4176"/>
        <w:jc w:val="center"/>
      </w:pPr>
      <w:r>
        <w:rPr/>
        <w:t>① 中性粒细胞绝对值≤0.5×10</w:t>
      </w:r>
      <w:r>
        <w:rPr>
          <w:b/>
          <w:position w:val="9"/>
          <w:sz w:val="9"/>
        </w:rPr>
        <w:t>9</w:t>
      </w:r>
      <w:r>
        <w:rPr/>
        <w:t>/L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4"/>
        </w:rPr>
      </w:pPr>
    </w:p>
    <w:p>
      <w:pPr>
        <w:spacing w:before="0"/>
        <w:ind w:left="2723" w:right="0" w:firstLine="0"/>
        <w:jc w:val="left"/>
        <w:rPr>
          <w:sz w:val="18"/>
        </w:rPr>
      </w:pPr>
      <w:r>
        <w:rPr>
          <w:sz w:val="18"/>
        </w:rPr>
        <w:t>（1）一肢或一肢以上</w:t>
      </w:r>
      <w:r>
        <w:rPr>
          <w:b/>
          <w:spacing w:val="-1"/>
          <w:w w:val="99"/>
          <w:sz w:val="18"/>
        </w:rPr>
        <w:t>肢体机能完全丧失</w:t>
      </w:r>
      <w:r>
        <w:rPr>
          <w:spacing w:val="-2"/>
          <w:sz w:val="18"/>
        </w:rPr>
        <w:t>（</w:t>
      </w:r>
      <w:r>
        <w:rPr>
          <w:spacing w:val="-23"/>
          <w:sz w:val="18"/>
        </w:rPr>
        <w:t>注 </w:t>
      </w:r>
      <w:r>
        <w:rPr>
          <w:sz w:val="18"/>
        </w:rPr>
        <w:t>3</w:t>
      </w:r>
      <w:r>
        <w:rPr>
          <w:spacing w:val="-90"/>
          <w:sz w:val="18"/>
        </w:rPr>
        <w:t>）</w:t>
      </w:r>
      <w:r>
        <w:rPr>
          <w:sz w:val="18"/>
        </w:rPr>
        <w:t>；</w:t>
      </w:r>
    </w:p>
    <w:p>
      <w:pPr>
        <w:spacing w:after="0"/>
        <w:jc w:val="left"/>
        <w:rPr>
          <w:sz w:val="18"/>
        </w:rPr>
        <w:sectPr>
          <w:pgSz w:w="11910" w:h="16840"/>
          <w:pgMar w:header="857" w:footer="981" w:top="1040" w:bottom="1180" w:left="880" w:right="640"/>
        </w:sectPr>
      </w:pPr>
    </w:p>
    <w:p>
      <w:pPr>
        <w:pStyle w:val="BodyText"/>
        <w:spacing w:before="7"/>
        <w:rPr>
          <w:sz w:val="3"/>
        </w:rPr>
      </w:pPr>
      <w:r>
        <w:rPr/>
        <w:pict>
          <v:shape style="position:absolute;margin-left:49.279999pt;margin-top:101.164627pt;width:512.65pt;height:657.15pt;mso-position-horizontal-relative:page;mso-position-vertical-relative:page;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7732"/>
                  </w:tblGrid>
                  <w:tr>
                    <w:trPr>
                      <w:trHeight w:val="1025" w:hRule="atLeast"/>
                    </w:trPr>
                    <w:tc>
                      <w:tcPr>
                        <w:tcW w:w="10252" w:type="dxa"/>
                        <w:gridSpan w:val="2"/>
                      </w:tcPr>
                      <w:p>
                        <w:pPr>
                          <w:pStyle w:val="TableParagraph"/>
                          <w:numPr>
                            <w:ilvl w:val="0"/>
                            <w:numId w:val="9"/>
                          </w:numPr>
                          <w:tabs>
                            <w:tab w:pos="620" w:val="left" w:leader="none"/>
                            <w:tab w:pos="621" w:val="left" w:leader="none"/>
                            <w:tab w:pos="2617" w:val="left" w:leader="none"/>
                          </w:tabs>
                          <w:spacing w:line="180" w:lineRule="exact" w:before="0" w:after="0"/>
                          <w:ind w:left="620" w:right="0" w:hanging="420"/>
                          <w:jc w:val="left"/>
                          <w:rPr>
                            <w:sz w:val="18"/>
                          </w:rPr>
                        </w:pPr>
                        <w:r>
                          <w:rPr>
                            <w:b/>
                            <w:spacing w:val="20"/>
                            <w:sz w:val="18"/>
                          </w:rPr>
                          <w:t>急性或亚急</w:t>
                        </w:r>
                        <w:r>
                          <w:rPr>
                            <w:b/>
                            <w:spacing w:val="17"/>
                            <w:sz w:val="18"/>
                          </w:rPr>
                          <w:t>性</w:t>
                        </w:r>
                        <w:r>
                          <w:rPr>
                            <w:b/>
                            <w:spacing w:val="20"/>
                            <w:sz w:val="18"/>
                          </w:rPr>
                          <w:t>重症</w:t>
                        </w:r>
                        <w:r>
                          <w:rPr>
                            <w:b/>
                            <w:sz w:val="18"/>
                          </w:rPr>
                          <w:t>肝</w:t>
                          <w:tab/>
                        </w:r>
                        <w:r>
                          <w:rPr>
                            <w:sz w:val="18"/>
                          </w:rPr>
                          <w:t>指因肝炎病毒感染引起肝脏组织弥漫性坏死</w:t>
                        </w:r>
                        <w:r>
                          <w:rPr>
                            <w:spacing w:val="-18"/>
                            <w:sz w:val="18"/>
                          </w:rPr>
                          <w:t>，</w:t>
                        </w:r>
                        <w:r>
                          <w:rPr>
                            <w:sz w:val="18"/>
                          </w:rPr>
                          <w:t>导致急性肝功能衰竭</w:t>
                        </w:r>
                        <w:r>
                          <w:rPr>
                            <w:spacing w:val="-18"/>
                            <w:sz w:val="18"/>
                          </w:rPr>
                          <w:t>，</w:t>
                        </w:r>
                        <w:r>
                          <w:rPr>
                            <w:sz w:val="18"/>
                          </w:rPr>
                          <w:t>且经血清学或病毒学检查</w:t>
                        </w:r>
                      </w:p>
                      <w:p>
                        <w:pPr>
                          <w:pStyle w:val="TableParagraph"/>
                          <w:tabs>
                            <w:tab w:pos="2617" w:val="left" w:leader="none"/>
                          </w:tabs>
                          <w:spacing w:before="76"/>
                          <w:ind w:left="620"/>
                          <w:rPr>
                            <w:sz w:val="18"/>
                          </w:rPr>
                        </w:pPr>
                        <w:r>
                          <w:rPr>
                            <w:b/>
                            <w:sz w:val="18"/>
                          </w:rPr>
                          <w:t>炎</w:t>
                          <w:tab/>
                        </w:r>
                        <w:r>
                          <w:rPr>
                            <w:sz w:val="18"/>
                          </w:rPr>
                          <w:t>证实，并须满足下列全部条件：</w:t>
                        </w:r>
                      </w:p>
                      <w:p>
                        <w:pPr>
                          <w:pStyle w:val="TableParagraph"/>
                          <w:numPr>
                            <w:ilvl w:val="1"/>
                            <w:numId w:val="9"/>
                          </w:numPr>
                          <w:tabs>
                            <w:tab w:pos="2979" w:val="left" w:leader="none"/>
                          </w:tabs>
                          <w:spacing w:line="240" w:lineRule="auto" w:before="76" w:after="0"/>
                          <w:ind w:left="2978" w:right="0" w:hanging="360"/>
                          <w:jc w:val="left"/>
                          <w:rPr>
                            <w:sz w:val="18"/>
                          </w:rPr>
                        </w:pPr>
                        <w:r>
                          <w:rPr>
                            <w:sz w:val="18"/>
                          </w:rPr>
                          <w:t>重度黄疸或黄疸迅速加重；</w:t>
                        </w:r>
                      </w:p>
                    </w:tc>
                  </w:tr>
                  <w:tr>
                    <w:trPr>
                      <w:trHeight w:val="467" w:hRule="atLeast"/>
                    </w:trPr>
                    <w:tc>
                      <w:tcPr>
                        <w:tcW w:w="2520" w:type="dxa"/>
                      </w:tcPr>
                      <w:p>
                        <w:pPr>
                          <w:pStyle w:val="TableParagraph"/>
                          <w:rPr>
                            <w:rFonts w:ascii="Times New Roman"/>
                            <w:sz w:val="18"/>
                          </w:rPr>
                        </w:pPr>
                      </w:p>
                    </w:tc>
                    <w:tc>
                      <w:tcPr>
                        <w:tcW w:w="7732" w:type="dxa"/>
                      </w:tcPr>
                      <w:p>
                        <w:pPr>
                          <w:pStyle w:val="TableParagraph"/>
                          <w:spacing w:before="9"/>
                          <w:rPr>
                            <w:sz w:val="12"/>
                          </w:rPr>
                        </w:pPr>
                      </w:p>
                      <w:p>
                        <w:pPr>
                          <w:pStyle w:val="TableParagraph"/>
                          <w:ind w:left="98"/>
                          <w:rPr>
                            <w:sz w:val="18"/>
                          </w:rPr>
                        </w:pPr>
                        <w:r>
                          <w:rPr>
                            <w:sz w:val="18"/>
                          </w:rPr>
                          <w:t>(3) B 超或其他影像学检查显示肝脏体积急速萎缩；</w:t>
                        </w:r>
                      </w:p>
                    </w:tc>
                  </w:tr>
                  <w:tr>
                    <w:trPr>
                      <w:trHeight w:val="425" w:hRule="atLeast"/>
                    </w:trPr>
                    <w:tc>
                      <w:tcPr>
                        <w:tcW w:w="2520" w:type="dxa"/>
                      </w:tcPr>
                      <w:p>
                        <w:pPr>
                          <w:pStyle w:val="TableParagraph"/>
                          <w:rPr>
                            <w:rFonts w:ascii="Times New Roman"/>
                            <w:sz w:val="18"/>
                          </w:rPr>
                        </w:pPr>
                      </w:p>
                    </w:tc>
                    <w:tc>
                      <w:tcPr>
                        <w:tcW w:w="7732" w:type="dxa"/>
                      </w:tcPr>
                      <w:p>
                        <w:pPr>
                          <w:pStyle w:val="TableParagraph"/>
                          <w:spacing w:before="10"/>
                          <w:ind w:left="98"/>
                          <w:rPr>
                            <w:sz w:val="18"/>
                          </w:rPr>
                        </w:pPr>
                        <w:r>
                          <w:rPr>
                            <w:sz w:val="18"/>
                          </w:rPr>
                          <w:t>(4) 肝功能指标进行性恶化。</w:t>
                        </w:r>
                      </w:p>
                    </w:tc>
                  </w:tr>
                  <w:tr>
                    <w:trPr>
                      <w:trHeight w:val="1162" w:hRule="atLeast"/>
                    </w:trPr>
                    <w:tc>
                      <w:tcPr>
                        <w:tcW w:w="2520" w:type="dxa"/>
                      </w:tcPr>
                      <w:p>
                        <w:pPr>
                          <w:pStyle w:val="TableParagraph"/>
                          <w:tabs>
                            <w:tab w:pos="620" w:val="left" w:leader="none"/>
                          </w:tabs>
                          <w:spacing w:before="124"/>
                          <w:ind w:left="200"/>
                          <w:rPr>
                            <w:b/>
                            <w:sz w:val="18"/>
                          </w:rPr>
                        </w:pPr>
                        <w:r>
                          <w:rPr>
                            <w:b/>
                            <w:sz w:val="18"/>
                          </w:rPr>
                          <w:t>9.</w:t>
                          <w:tab/>
                          <w:t>瘫痪</w:t>
                        </w:r>
                      </w:p>
                    </w:tc>
                    <w:tc>
                      <w:tcPr>
                        <w:tcW w:w="7732" w:type="dxa"/>
                      </w:tcPr>
                      <w:p>
                        <w:pPr>
                          <w:pStyle w:val="TableParagraph"/>
                          <w:spacing w:line="316" w:lineRule="auto" w:before="124"/>
                          <w:ind w:left="98" w:right="287"/>
                          <w:jc w:val="both"/>
                          <w:rPr>
                            <w:sz w:val="18"/>
                          </w:rPr>
                        </w:pPr>
                        <w:r>
                          <w:rPr>
                            <w:spacing w:val="-2"/>
                            <w:sz w:val="18"/>
                          </w:rPr>
                          <w:t>指因疾病或意外伤害导致两肢或两肢以上肢体机能永久完全丧失。肢体机能永久完全丧失，指</w:t>
                        </w:r>
                        <w:r>
                          <w:rPr>
                            <w:spacing w:val="-11"/>
                            <w:sz w:val="18"/>
                          </w:rPr>
                          <w:t>疾病确诊 </w:t>
                        </w:r>
                        <w:r>
                          <w:rPr>
                            <w:sz w:val="18"/>
                          </w:rPr>
                          <w:t>180</w:t>
                        </w:r>
                        <w:r>
                          <w:rPr>
                            <w:spacing w:val="-11"/>
                            <w:sz w:val="18"/>
                          </w:rPr>
                          <w:t> 天后或意外伤害发生 </w:t>
                        </w:r>
                        <w:r>
                          <w:rPr>
                            <w:sz w:val="18"/>
                          </w:rPr>
                          <w:t>180</w:t>
                        </w:r>
                        <w:r>
                          <w:rPr>
                            <w:spacing w:val="-10"/>
                            <w:sz w:val="18"/>
                          </w:rPr>
                          <w:t> 天后，每肢三大关节中的两大关节仍然完全僵硬，或不能随意识活动。</w:t>
                        </w:r>
                      </w:p>
                    </w:tc>
                  </w:tr>
                  <w:tr>
                    <w:trPr>
                      <w:trHeight w:val="850" w:hRule="atLeast"/>
                    </w:trPr>
                    <w:tc>
                      <w:tcPr>
                        <w:tcW w:w="2520" w:type="dxa"/>
                      </w:tcPr>
                      <w:p>
                        <w:pPr>
                          <w:pStyle w:val="TableParagraph"/>
                          <w:spacing w:before="124"/>
                          <w:ind w:left="200"/>
                          <w:rPr>
                            <w:b/>
                            <w:sz w:val="18"/>
                          </w:rPr>
                        </w:pPr>
                        <w:r>
                          <w:rPr>
                            <w:b/>
                            <w:sz w:val="18"/>
                          </w:rPr>
                          <w:t>10. 多个肢体缺失</w:t>
                        </w:r>
                      </w:p>
                    </w:tc>
                    <w:tc>
                      <w:tcPr>
                        <w:tcW w:w="7732" w:type="dxa"/>
                      </w:tcPr>
                      <w:p>
                        <w:pPr>
                          <w:pStyle w:val="TableParagraph"/>
                          <w:spacing w:line="316" w:lineRule="auto" w:before="124"/>
                          <w:ind w:left="97" w:right="231"/>
                          <w:rPr>
                            <w:sz w:val="18"/>
                          </w:rPr>
                        </w:pPr>
                        <w:r>
                          <w:rPr>
                            <w:sz w:val="18"/>
                          </w:rPr>
                          <w:t>指因疾病或意外伤害导致两个或两个以上肢体自腕关节或踝关节近端（靠近躯干端）以上完全性断离。</w:t>
                        </w:r>
                      </w:p>
                    </w:tc>
                  </w:tr>
                  <w:tr>
                    <w:trPr>
                      <w:trHeight w:val="850" w:hRule="atLeast"/>
                    </w:trPr>
                    <w:tc>
                      <w:tcPr>
                        <w:tcW w:w="2520" w:type="dxa"/>
                      </w:tcPr>
                      <w:p>
                        <w:pPr>
                          <w:pStyle w:val="TableParagraph"/>
                          <w:spacing w:before="124"/>
                          <w:ind w:left="200"/>
                          <w:rPr>
                            <w:b/>
                            <w:sz w:val="18"/>
                          </w:rPr>
                        </w:pPr>
                        <w:r>
                          <w:rPr>
                            <w:b/>
                            <w:sz w:val="18"/>
                          </w:rPr>
                          <w:t>11. 终末期肾病</w:t>
                        </w:r>
                      </w:p>
                    </w:tc>
                    <w:tc>
                      <w:tcPr>
                        <w:tcW w:w="7732" w:type="dxa"/>
                      </w:tcPr>
                      <w:p>
                        <w:pPr>
                          <w:pStyle w:val="TableParagraph"/>
                          <w:spacing w:line="316" w:lineRule="auto" w:before="124"/>
                          <w:ind w:left="97" w:right="341"/>
                          <w:rPr>
                            <w:sz w:val="18"/>
                          </w:rPr>
                        </w:pPr>
                        <w:r>
                          <w:rPr>
                            <w:spacing w:val="-2"/>
                            <w:sz w:val="18"/>
                          </w:rPr>
                          <w:t>指双肾功能慢性不可逆性衰竭，达到尿毒症期，经诊断后已经进行了至少 </w:t>
                        </w:r>
                        <w:r>
                          <w:rPr>
                            <w:sz w:val="18"/>
                          </w:rPr>
                          <w:t>90</w:t>
                        </w:r>
                        <w:r>
                          <w:rPr>
                            <w:spacing w:val="-7"/>
                            <w:sz w:val="18"/>
                          </w:rPr>
                          <w:t> 天的规律性透析治疗或实施了肾脏移植手术。</w:t>
                        </w:r>
                      </w:p>
                    </w:tc>
                  </w:tr>
                  <w:tr>
                    <w:trPr>
                      <w:trHeight w:val="851" w:hRule="atLeast"/>
                    </w:trPr>
                    <w:tc>
                      <w:tcPr>
                        <w:tcW w:w="2520" w:type="dxa"/>
                      </w:tcPr>
                      <w:p>
                        <w:pPr>
                          <w:pStyle w:val="TableParagraph"/>
                          <w:spacing w:before="124"/>
                          <w:ind w:left="200"/>
                          <w:rPr>
                            <w:b/>
                            <w:sz w:val="18"/>
                          </w:rPr>
                        </w:pPr>
                        <w:r>
                          <w:rPr>
                            <w:b/>
                            <w:sz w:val="18"/>
                          </w:rPr>
                          <w:t>12. 植物人状态</w:t>
                        </w:r>
                      </w:p>
                    </w:tc>
                    <w:tc>
                      <w:tcPr>
                        <w:tcW w:w="7732" w:type="dxa"/>
                      </w:tcPr>
                      <w:p>
                        <w:pPr>
                          <w:pStyle w:val="TableParagraph"/>
                          <w:spacing w:line="316" w:lineRule="auto" w:before="124"/>
                          <w:ind w:left="97" w:right="297"/>
                          <w:rPr>
                            <w:sz w:val="18"/>
                          </w:rPr>
                        </w:pPr>
                        <w:r>
                          <w:rPr>
                            <w:sz w:val="18"/>
                          </w:rPr>
                          <w:t>指经神经科医生确诊，CT、MRI</w:t>
                        </w:r>
                        <w:r>
                          <w:rPr>
                            <w:spacing w:val="-7"/>
                            <w:sz w:val="18"/>
                          </w:rPr>
                          <w:t> 等证实大脑皮质全面坏死。患者临床表现意识完全丧失，但脑干功能仍保持完好，且此情况持续一个月或一个月以上。</w:t>
                        </w:r>
                      </w:p>
                    </w:tc>
                  </w:tr>
                  <w:tr>
                    <w:trPr>
                      <w:trHeight w:val="737" w:hRule="atLeast"/>
                    </w:trPr>
                    <w:tc>
                      <w:tcPr>
                        <w:tcW w:w="2520" w:type="dxa"/>
                      </w:tcPr>
                      <w:p>
                        <w:pPr>
                          <w:pStyle w:val="TableParagraph"/>
                          <w:spacing w:before="124"/>
                          <w:ind w:left="200"/>
                          <w:rPr>
                            <w:b/>
                            <w:sz w:val="18"/>
                          </w:rPr>
                        </w:pPr>
                        <w:r>
                          <w:rPr>
                            <w:b/>
                            <w:sz w:val="18"/>
                          </w:rPr>
                          <w:t>13. 主动脉手术</w:t>
                        </w:r>
                      </w:p>
                    </w:tc>
                    <w:tc>
                      <w:tcPr>
                        <w:tcW w:w="7732" w:type="dxa"/>
                      </w:tcPr>
                      <w:p>
                        <w:pPr>
                          <w:pStyle w:val="TableParagraph"/>
                          <w:spacing w:line="310" w:lineRule="atLeast" w:before="50"/>
                          <w:ind w:left="97" w:right="197"/>
                          <w:rPr>
                            <w:sz w:val="18"/>
                          </w:rPr>
                        </w:pPr>
                        <w:r>
                          <w:rPr>
                            <w:spacing w:val="-9"/>
                            <w:sz w:val="18"/>
                          </w:rPr>
                          <w:t>指为治疗主动脉疾病，实际实施了开胸或开腹进行的切除、置换、修补病损主动脉血管的手术。主动脉指胸主动脉和腹主动脉，不包括胸主动脉和腹主动脉的分支血管。</w:t>
                        </w:r>
                      </w:p>
                    </w:tc>
                  </w:tr>
                  <w:tr>
                    <w:trPr>
                      <w:trHeight w:val="425" w:hRule="atLeast"/>
                    </w:trPr>
                    <w:tc>
                      <w:tcPr>
                        <w:tcW w:w="2520" w:type="dxa"/>
                      </w:tcPr>
                      <w:p>
                        <w:pPr>
                          <w:pStyle w:val="TableParagraph"/>
                          <w:rPr>
                            <w:rFonts w:ascii="Times New Roman"/>
                            <w:sz w:val="18"/>
                          </w:rPr>
                        </w:pPr>
                      </w:p>
                    </w:tc>
                    <w:tc>
                      <w:tcPr>
                        <w:tcW w:w="7732" w:type="dxa"/>
                      </w:tcPr>
                      <w:p>
                        <w:pPr>
                          <w:pStyle w:val="TableParagraph"/>
                          <w:spacing w:before="10"/>
                          <w:ind w:left="97"/>
                          <w:rPr>
                            <w:sz w:val="18"/>
                          </w:rPr>
                        </w:pPr>
                        <w:r>
                          <w:rPr>
                            <w:sz w:val="18"/>
                          </w:rPr>
                          <w:t>动脉内血管成形术不在保障范围内。</w:t>
                        </w:r>
                      </w:p>
                    </w:tc>
                  </w:tr>
                  <w:tr>
                    <w:trPr>
                      <w:trHeight w:val="1162" w:hRule="atLeast"/>
                    </w:trPr>
                    <w:tc>
                      <w:tcPr>
                        <w:tcW w:w="2520" w:type="dxa"/>
                      </w:tcPr>
                      <w:p>
                        <w:pPr>
                          <w:pStyle w:val="TableParagraph"/>
                          <w:spacing w:before="124"/>
                          <w:ind w:left="200"/>
                          <w:rPr>
                            <w:b/>
                            <w:sz w:val="18"/>
                          </w:rPr>
                        </w:pPr>
                        <w:r>
                          <w:rPr>
                            <w:b/>
                            <w:sz w:val="18"/>
                          </w:rPr>
                          <w:t>14. 进行性脊肌萎缩症</w:t>
                        </w:r>
                      </w:p>
                    </w:tc>
                    <w:tc>
                      <w:tcPr>
                        <w:tcW w:w="7732" w:type="dxa"/>
                      </w:tcPr>
                      <w:p>
                        <w:pPr>
                          <w:pStyle w:val="TableParagraph"/>
                          <w:spacing w:line="316" w:lineRule="auto" w:before="124"/>
                          <w:ind w:left="97" w:right="287"/>
                          <w:jc w:val="both"/>
                          <w:rPr>
                            <w:sz w:val="18"/>
                          </w:rPr>
                        </w:pPr>
                        <w:r>
                          <w:rPr>
                            <w:spacing w:val="-2"/>
                            <w:sz w:val="18"/>
                          </w:rPr>
                          <w:t>是指累及脊髓前角细胞和脑干运动神经核的退行性病变，伴随肌肉无力和延髓机能障碍。诊断</w:t>
                        </w:r>
                        <w:r>
                          <w:rPr>
                            <w:spacing w:val="-6"/>
                            <w:sz w:val="18"/>
                          </w:rPr>
                          <w:t>必须经肌电图及肌肉活组织病理检查结果确定，且须满足确诊 </w:t>
                        </w:r>
                        <w:r>
                          <w:rPr>
                            <w:sz w:val="18"/>
                          </w:rPr>
                          <w:t>180</w:t>
                        </w:r>
                        <w:r>
                          <w:rPr>
                            <w:spacing w:val="-7"/>
                            <w:sz w:val="18"/>
                          </w:rPr>
                          <w:t> 天后自主生活能力仍然完全丧失，无法独立完成六项基本日常生活活动中的三项或三项以上的条件。</w:t>
                        </w:r>
                      </w:p>
                    </w:tc>
                  </w:tr>
                  <w:tr>
                    <w:trPr>
                      <w:trHeight w:val="1786" w:hRule="atLeast"/>
                    </w:trPr>
                    <w:tc>
                      <w:tcPr>
                        <w:tcW w:w="2520" w:type="dxa"/>
                      </w:tcPr>
                      <w:p>
                        <w:pPr>
                          <w:pStyle w:val="TableParagraph"/>
                          <w:spacing w:line="316" w:lineRule="auto" w:before="124"/>
                          <w:ind w:left="619" w:right="95" w:hanging="420"/>
                          <w:rPr>
                            <w:b/>
                            <w:sz w:val="18"/>
                          </w:rPr>
                        </w:pPr>
                        <w:r>
                          <w:rPr>
                            <w:b/>
                            <w:sz w:val="18"/>
                          </w:rPr>
                          <w:t>15. 全身型幼年类风湿性关节炎（Still 病）</w:t>
                        </w:r>
                      </w:p>
                    </w:tc>
                    <w:tc>
                      <w:tcPr>
                        <w:tcW w:w="7732" w:type="dxa"/>
                      </w:tcPr>
                      <w:p>
                        <w:pPr>
                          <w:pStyle w:val="TableParagraph"/>
                          <w:spacing w:line="316" w:lineRule="auto" w:before="124"/>
                          <w:ind w:left="97" w:right="287"/>
                          <w:jc w:val="both"/>
                          <w:rPr>
                            <w:sz w:val="18"/>
                          </w:rPr>
                        </w:pPr>
                        <w:r>
                          <w:rPr>
                            <w:spacing w:val="-5"/>
                            <w:sz w:val="18"/>
                          </w:rPr>
                          <w:t>是指小儿及青少年时期的一种全身结缔组织病。可表现为驰张热、皮疹、关节炎、脾肿大、淋</w:t>
                        </w:r>
                        <w:r>
                          <w:rPr>
                            <w:spacing w:val="-8"/>
                            <w:sz w:val="18"/>
                          </w:rPr>
                          <w:t>巴结肿大、浆膜炎、体重减轻、中性粒细胞增多等，全身症状可以先于关节炎出现。本病须经</w:t>
                        </w:r>
                        <w:r>
                          <w:rPr>
                            <w:spacing w:val="-11"/>
                            <w:sz w:val="18"/>
                          </w:rPr>
                          <w:t>本公司认可的儿科类风湿病专家出具医学诊断证明，保障仅限于症状持续 </w:t>
                        </w:r>
                        <w:r>
                          <w:rPr>
                            <w:sz w:val="18"/>
                          </w:rPr>
                          <w:t>6</w:t>
                        </w:r>
                        <w:r>
                          <w:rPr>
                            <w:spacing w:val="-9"/>
                            <w:sz w:val="18"/>
                          </w:rPr>
                          <w:t> 个月以上，并因病</w:t>
                        </w:r>
                        <w:r>
                          <w:rPr>
                            <w:spacing w:val="-10"/>
                            <w:sz w:val="18"/>
                          </w:rPr>
                          <w:t>情严重在医生的建议下已接受以治疗为目的的膝或髋关节的置换手术。其他类型的幼年类风湿性关节炎除外。</w:t>
                        </w:r>
                      </w:p>
                    </w:tc>
                  </w:tr>
                  <w:tr>
                    <w:trPr>
                      <w:trHeight w:val="1517" w:hRule="atLeast"/>
                    </w:trPr>
                    <w:tc>
                      <w:tcPr>
                        <w:tcW w:w="10252" w:type="dxa"/>
                        <w:gridSpan w:val="2"/>
                      </w:tcPr>
                      <w:p>
                        <w:pPr>
                          <w:pStyle w:val="TableParagraph"/>
                          <w:tabs>
                            <w:tab w:pos="2617" w:val="left" w:leader="none"/>
                          </w:tabs>
                          <w:spacing w:line="316" w:lineRule="auto" w:before="124"/>
                          <w:ind w:left="2617" w:right="287" w:hanging="2418"/>
                          <w:jc w:val="both"/>
                          <w:rPr>
                            <w:sz w:val="18"/>
                          </w:rPr>
                        </w:pPr>
                        <w:r>
                          <w:rPr>
                            <w:b/>
                            <w:sz w:val="18"/>
                          </w:rPr>
                          <w:t>16.</w:t>
                        </w:r>
                        <w:r>
                          <w:rPr>
                            <w:b/>
                            <w:spacing w:val="55"/>
                            <w:sz w:val="18"/>
                          </w:rPr>
                          <w:t> </w:t>
                        </w:r>
                        <w:r>
                          <w:rPr>
                            <w:b/>
                            <w:sz w:val="18"/>
                          </w:rPr>
                          <w:t>成骨不全症</w:t>
                          <w:tab/>
                        </w:r>
                        <w:r>
                          <w:rPr>
                            <w:sz w:val="18"/>
                          </w:rPr>
                          <w:t>亦称脆骨综合症</w:t>
                        </w:r>
                        <w:r>
                          <w:rPr>
                            <w:spacing w:val="-18"/>
                            <w:sz w:val="18"/>
                          </w:rPr>
                          <w:t>，</w:t>
                        </w:r>
                        <w:r>
                          <w:rPr>
                            <w:sz w:val="18"/>
                          </w:rPr>
                          <w:t>是指一种由基因异常导致的以全身骨骼极度易碎为特征的胶原病</w:t>
                        </w:r>
                        <w:r>
                          <w:rPr>
                            <w:spacing w:val="-18"/>
                            <w:sz w:val="18"/>
                          </w:rPr>
                          <w:t>。</w:t>
                        </w:r>
                        <w:r>
                          <w:rPr>
                            <w:sz w:val="18"/>
                          </w:rPr>
                          <w:t>本病需经本公司认可的儿科专科医生确诊</w:t>
                        </w:r>
                        <w:r>
                          <w:rPr>
                            <w:spacing w:val="-36"/>
                            <w:sz w:val="18"/>
                          </w:rPr>
                          <w:t>，</w:t>
                        </w:r>
                        <w:r>
                          <w:rPr>
                            <w:sz w:val="18"/>
                          </w:rPr>
                          <w:t>并须提供</w:t>
                        </w:r>
                        <w:r>
                          <w:rPr>
                            <w:spacing w:val="-46"/>
                            <w:sz w:val="18"/>
                          </w:rPr>
                          <w:t> </w:t>
                        </w:r>
                        <w:r>
                          <w:rPr>
                            <w:sz w:val="18"/>
                          </w:rPr>
                          <w:t>6</w:t>
                        </w:r>
                        <w:r>
                          <w:rPr>
                            <w:spacing w:val="-46"/>
                            <w:sz w:val="18"/>
                          </w:rPr>
                          <w:t> </w:t>
                        </w:r>
                        <w:r>
                          <w:rPr>
                            <w:sz w:val="18"/>
                          </w:rPr>
                          <w:t>个月以上的相关病历记录证明疾病同时符合下列标准：</w:t>
                        </w:r>
                      </w:p>
                      <w:p>
                        <w:pPr>
                          <w:pStyle w:val="TableParagraph"/>
                          <w:spacing w:before="19"/>
                          <w:ind w:left="2617"/>
                          <w:rPr>
                            <w:sz w:val="18"/>
                          </w:rPr>
                        </w:pPr>
                        <w:r>
                          <w:rPr>
                            <w:sz w:val="18"/>
                          </w:rPr>
                          <w:t>（1）生长发育受限；</w:t>
                        </w:r>
                      </w:p>
                    </w:tc>
                  </w:tr>
                  <w:tr>
                    <w:trPr>
                      <w:trHeight w:val="467" w:hRule="atLeast"/>
                    </w:trPr>
                    <w:tc>
                      <w:tcPr>
                        <w:tcW w:w="2520" w:type="dxa"/>
                      </w:tcPr>
                      <w:p>
                        <w:pPr>
                          <w:pStyle w:val="TableParagraph"/>
                          <w:rPr>
                            <w:rFonts w:ascii="Times New Roman"/>
                            <w:sz w:val="18"/>
                          </w:rPr>
                        </w:pPr>
                      </w:p>
                    </w:tc>
                    <w:tc>
                      <w:tcPr>
                        <w:tcW w:w="7732" w:type="dxa"/>
                      </w:tcPr>
                      <w:p>
                        <w:pPr>
                          <w:pStyle w:val="TableParagraph"/>
                          <w:spacing w:before="9"/>
                          <w:rPr>
                            <w:sz w:val="12"/>
                          </w:rPr>
                        </w:pPr>
                      </w:p>
                      <w:p>
                        <w:pPr>
                          <w:pStyle w:val="TableParagraph"/>
                          <w:ind w:left="97"/>
                          <w:rPr>
                            <w:sz w:val="18"/>
                          </w:rPr>
                        </w:pPr>
                        <w:r>
                          <w:rPr>
                            <w:sz w:val="18"/>
                          </w:rPr>
                          <w:t>（3）X 光检查提示有进行性脊柱后侧凸；</w:t>
                        </w:r>
                      </w:p>
                    </w:tc>
                  </w:tr>
                  <w:tr>
                    <w:trPr>
                      <w:trHeight w:val="425" w:hRule="atLeast"/>
                    </w:trPr>
                    <w:tc>
                      <w:tcPr>
                        <w:tcW w:w="2520" w:type="dxa"/>
                      </w:tcPr>
                      <w:p>
                        <w:pPr>
                          <w:pStyle w:val="TableParagraph"/>
                          <w:rPr>
                            <w:rFonts w:ascii="Times New Roman"/>
                            <w:sz w:val="18"/>
                          </w:rPr>
                        </w:pPr>
                      </w:p>
                    </w:tc>
                    <w:tc>
                      <w:tcPr>
                        <w:tcW w:w="7732" w:type="dxa"/>
                      </w:tcPr>
                      <w:p>
                        <w:pPr>
                          <w:pStyle w:val="TableParagraph"/>
                          <w:spacing w:before="10"/>
                          <w:ind w:left="97"/>
                          <w:rPr>
                            <w:sz w:val="18"/>
                          </w:rPr>
                        </w:pPr>
                        <w:r>
                          <w:rPr>
                            <w:sz w:val="18"/>
                          </w:rPr>
                          <w:t>（4）听力损害。</w:t>
                        </w:r>
                      </w:p>
                    </w:tc>
                  </w:tr>
                  <w:tr>
                    <w:trPr>
                      <w:trHeight w:val="983" w:hRule="atLeast"/>
                    </w:trPr>
                    <w:tc>
                      <w:tcPr>
                        <w:tcW w:w="2520" w:type="dxa"/>
                      </w:tcPr>
                      <w:p>
                        <w:pPr>
                          <w:pStyle w:val="TableParagraph"/>
                          <w:spacing w:before="124"/>
                          <w:ind w:left="200"/>
                          <w:rPr>
                            <w:b/>
                            <w:sz w:val="18"/>
                          </w:rPr>
                        </w:pPr>
                        <w:r>
                          <w:rPr>
                            <w:b/>
                            <w:sz w:val="18"/>
                          </w:rPr>
                          <w:t>17. 川崎病</w:t>
                        </w:r>
                      </w:p>
                    </w:tc>
                    <w:tc>
                      <w:tcPr>
                        <w:tcW w:w="7732" w:type="dxa"/>
                      </w:tcPr>
                      <w:p>
                        <w:pPr>
                          <w:pStyle w:val="TableParagraph"/>
                          <w:spacing w:line="310" w:lineRule="atLeast" w:before="49"/>
                          <w:ind w:left="97" w:right="288"/>
                          <w:jc w:val="both"/>
                          <w:rPr>
                            <w:sz w:val="18"/>
                          </w:rPr>
                        </w:pPr>
                        <w:r>
                          <w:rPr>
                            <w:spacing w:val="-3"/>
                            <w:sz w:val="18"/>
                          </w:rPr>
                          <w:t>是指一种以损伤冠状动脉血管为主，可同时合并其他大血管损害的系统性血管炎。其特点是贫</w:t>
                        </w:r>
                        <w:r>
                          <w:rPr>
                            <w:spacing w:val="-6"/>
                            <w:sz w:val="18"/>
                          </w:rPr>
                          <w:t>血、白细胞计数及红细胞沉降率升高、或出现血小板增多症。只有经过血管造影或超声心动图</w:t>
                        </w:r>
                        <w:r>
                          <w:rPr>
                            <w:spacing w:val="-10"/>
                            <w:sz w:val="18"/>
                          </w:rPr>
                          <w:t>检查证实，自发病起 </w:t>
                        </w:r>
                        <w:r>
                          <w:rPr>
                            <w:sz w:val="18"/>
                          </w:rPr>
                          <w:t>180</w:t>
                        </w:r>
                        <w:r>
                          <w:rPr>
                            <w:spacing w:val="-7"/>
                            <w:sz w:val="18"/>
                          </w:rPr>
                          <w:t> 天后仍存在明显的冠状动脉瘤的情况，才能得到理赔。</w:t>
                        </w:r>
                      </w:p>
                    </w:tc>
                  </w:tr>
                </w:tbl>
                <w:p>
                  <w:pPr>
                    <w:pStyle w:val="BodyText"/>
                  </w:pPr>
                </w:p>
              </w:txbxContent>
            </v:textbox>
            <w10:wrap type="none"/>
          </v:shape>
        </w:pict>
      </w:r>
    </w:p>
    <w:p>
      <w:pPr>
        <w:pStyle w:val="BodyText"/>
        <w:spacing w:line="20" w:lineRule="exact"/>
        <w:ind w:left="386"/>
        <w:rPr>
          <w:sz w:val="2"/>
        </w:rPr>
      </w:pPr>
      <w:r>
        <w:rPr>
          <w:rFonts w:ascii="Times New Roman"/>
          <w:spacing w:val="5"/>
          <w:sz w:val="2"/>
        </w:rPr>
        <w:t> </w:t>
      </w:r>
      <w:r>
        <w:rPr>
          <w:spacing w:val="5"/>
          <w:sz w:val="2"/>
        </w:rPr>
        <w:pict>
          <v:group style="width:479.3pt;height:.75pt;mso-position-horizontal-relative:char;mso-position-vertical-relative:line" coordorigin="0,0" coordsize="9586,15">
            <v:line style="position:absolute" from="0,7" to="9586,7" stroked="true" strokeweight=".72pt" strokecolor="#000000">
              <v:stroke dashstyle="solid"/>
            </v:line>
          </v:group>
        </w:pict>
      </w:r>
      <w:r>
        <w:rPr>
          <w:spacing w:val="5"/>
          <w:sz w:val="2"/>
        </w:rPr>
      </w:r>
    </w:p>
    <w:p>
      <w:pPr>
        <w:pStyle w:val="BodyText"/>
        <w:spacing w:before="12"/>
        <w:rPr>
          <w:sz w:val="19"/>
        </w:rPr>
      </w:pPr>
    </w:p>
    <w:p>
      <w:pPr>
        <w:pStyle w:val="BodyText"/>
        <w:spacing w:before="44"/>
        <w:ind w:left="2723"/>
      </w:pPr>
      <w:r>
        <w:rPr/>
        <w:t>上。</w:t>
      </w:r>
    </w:p>
    <w:p>
      <w:pPr>
        <w:pStyle w:val="BodyText"/>
      </w:pPr>
    </w:p>
    <w:p>
      <w:pPr>
        <w:pStyle w:val="BodyText"/>
      </w:pPr>
    </w:p>
    <w:p>
      <w:pPr>
        <w:pStyle w:val="BodyText"/>
      </w:pPr>
    </w:p>
    <w:p>
      <w:pPr>
        <w:pStyle w:val="BodyText"/>
      </w:pPr>
    </w:p>
    <w:p>
      <w:pPr>
        <w:pStyle w:val="BodyText"/>
        <w:spacing w:before="8"/>
        <w:rPr>
          <w:sz w:val="22"/>
        </w:rPr>
      </w:pPr>
    </w:p>
    <w:p>
      <w:pPr>
        <w:pStyle w:val="BodyText"/>
        <w:ind w:left="2723"/>
      </w:pPr>
      <w:r>
        <w:rPr/>
        <w:t>(2) 肝性脑病；</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6"/>
        </w:rPr>
      </w:pPr>
    </w:p>
    <w:p>
      <w:pPr>
        <w:pStyle w:val="BodyText"/>
        <w:spacing w:before="1"/>
        <w:ind w:left="2723"/>
      </w:pPr>
      <w:r>
        <w:rPr/>
        <w:t>（2）反复多发性病理性骨折；</w:t>
      </w:r>
    </w:p>
    <w:p>
      <w:pPr>
        <w:spacing w:after="0"/>
        <w:sectPr>
          <w:pgSz w:w="11910" w:h="16840"/>
          <w:pgMar w:header="857" w:footer="981" w:top="1040" w:bottom="1180" w:left="880" w:right="5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BodyText"/>
        <w:spacing w:before="45"/>
        <w:ind w:left="2723"/>
      </w:pPr>
      <w:r>
        <w:rPr/>
        <w:pict>
          <v:shape style="position:absolute;margin-left:49.279999pt;margin-top:-60.736706pt;width:508.15pt;height:253.45pt;mso-position-horizontal-relative:page;mso-position-vertical-relative:paragraph;z-index:1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8182"/>
                  </w:tblGrid>
                  <w:tr>
                    <w:trPr>
                      <w:trHeight w:val="1398" w:hRule="atLeast"/>
                    </w:trPr>
                    <w:tc>
                      <w:tcPr>
                        <w:tcW w:w="10162" w:type="dxa"/>
                        <w:gridSpan w:val="2"/>
                      </w:tcPr>
                      <w:p>
                        <w:pPr>
                          <w:pStyle w:val="TableParagraph"/>
                          <w:spacing w:before="2"/>
                          <w:rPr>
                            <w:sz w:val="24"/>
                          </w:rPr>
                        </w:pPr>
                      </w:p>
                      <w:p>
                        <w:pPr>
                          <w:pStyle w:val="TableParagraph"/>
                          <w:tabs>
                            <w:tab w:pos="2617" w:val="left" w:leader="none"/>
                          </w:tabs>
                          <w:spacing w:line="316" w:lineRule="auto"/>
                          <w:ind w:left="2617" w:right="197" w:hanging="2418"/>
                          <w:jc w:val="both"/>
                          <w:rPr>
                            <w:sz w:val="18"/>
                          </w:rPr>
                        </w:pPr>
                        <w:r>
                          <w:rPr>
                            <w:b/>
                            <w:sz w:val="18"/>
                          </w:rPr>
                          <w:t>18.</w:t>
                        </w:r>
                        <w:r>
                          <w:rPr>
                            <w:b/>
                            <w:spacing w:val="55"/>
                            <w:sz w:val="18"/>
                          </w:rPr>
                          <w:t> </w:t>
                        </w: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tc>
                  </w:tr>
                  <w:tr>
                    <w:trPr>
                      <w:trHeight w:val="468" w:hRule="atLeast"/>
                    </w:trPr>
                    <w:tc>
                      <w:tcPr>
                        <w:tcW w:w="1980" w:type="dxa"/>
                      </w:tcPr>
                      <w:p>
                        <w:pPr>
                          <w:pStyle w:val="TableParagraph"/>
                          <w:rPr>
                            <w:rFonts w:ascii="Times New Roman"/>
                            <w:sz w:val="18"/>
                          </w:rPr>
                        </w:pPr>
                      </w:p>
                    </w:tc>
                    <w:tc>
                      <w:tcPr>
                        <w:tcW w:w="8182" w:type="dxa"/>
                      </w:tcPr>
                      <w:p>
                        <w:pPr>
                          <w:pStyle w:val="TableParagraph"/>
                          <w:spacing w:before="9"/>
                          <w:rPr>
                            <w:sz w:val="12"/>
                          </w:rPr>
                        </w:pPr>
                      </w:p>
                      <w:p>
                        <w:pPr>
                          <w:pStyle w:val="TableParagraph"/>
                          <w:ind w:left="637"/>
                          <w:rPr>
                            <w:sz w:val="18"/>
                          </w:rPr>
                        </w:pPr>
                        <w:r>
                          <w:rPr>
                            <w:sz w:val="18"/>
                          </w:rPr>
                          <w:t>（2） 实际实施了对脑肿瘤进行的放射治疗。</w:t>
                        </w:r>
                      </w:p>
                    </w:tc>
                  </w:tr>
                  <w:tr>
                    <w:trPr>
                      <w:trHeight w:val="425" w:hRule="atLeast"/>
                    </w:trPr>
                    <w:tc>
                      <w:tcPr>
                        <w:tcW w:w="1980" w:type="dxa"/>
                      </w:tcPr>
                      <w:p>
                        <w:pPr>
                          <w:pStyle w:val="TableParagraph"/>
                          <w:rPr>
                            <w:rFonts w:ascii="Times New Roman"/>
                            <w:sz w:val="18"/>
                          </w:rPr>
                        </w:pPr>
                      </w:p>
                    </w:tc>
                    <w:tc>
                      <w:tcPr>
                        <w:tcW w:w="8182" w:type="dxa"/>
                      </w:tcPr>
                      <w:p>
                        <w:pPr>
                          <w:pStyle w:val="TableParagraph"/>
                          <w:spacing w:before="10"/>
                          <w:ind w:left="637"/>
                          <w:rPr>
                            <w:sz w:val="18"/>
                          </w:rPr>
                        </w:pPr>
                        <w:r>
                          <w:rPr>
                            <w:sz w:val="18"/>
                          </w:rPr>
                          <w:t>脑垂体瘤、脑囊肿、脑血管性疾病不在保障范围内。</w:t>
                        </w:r>
                      </w:p>
                    </w:tc>
                  </w:tr>
                  <w:tr>
                    <w:trPr>
                      <w:trHeight w:val="1162" w:hRule="atLeast"/>
                    </w:trPr>
                    <w:tc>
                      <w:tcPr>
                        <w:tcW w:w="1980" w:type="dxa"/>
                      </w:tcPr>
                      <w:p>
                        <w:pPr>
                          <w:pStyle w:val="TableParagraph"/>
                          <w:spacing w:before="124"/>
                          <w:ind w:left="200"/>
                          <w:rPr>
                            <w:b/>
                            <w:sz w:val="18"/>
                          </w:rPr>
                        </w:pPr>
                        <w:r>
                          <w:rPr>
                            <w:b/>
                            <w:sz w:val="18"/>
                          </w:rPr>
                          <w:t>19. 双耳失聪</w:t>
                        </w:r>
                      </w:p>
                    </w:tc>
                    <w:tc>
                      <w:tcPr>
                        <w:tcW w:w="8182" w:type="dxa"/>
                      </w:tcPr>
                      <w:p>
                        <w:pPr>
                          <w:pStyle w:val="TableParagraph"/>
                          <w:spacing w:before="124"/>
                          <w:ind w:left="637"/>
                          <w:rPr>
                            <w:sz w:val="18"/>
                          </w:rPr>
                        </w:pPr>
                        <w:r>
                          <w:rPr>
                            <w:spacing w:val="-2"/>
                            <w:sz w:val="18"/>
                          </w:rPr>
                          <w:t>指因疾病或意外伤害导致双耳听力永久不可逆性丧失，在 </w:t>
                        </w:r>
                        <w:r>
                          <w:rPr>
                            <w:sz w:val="18"/>
                          </w:rPr>
                          <w:t>500</w:t>
                        </w:r>
                        <w:r>
                          <w:rPr>
                            <w:spacing w:val="-12"/>
                            <w:sz w:val="18"/>
                          </w:rPr>
                          <w:t> 赫兹、</w:t>
                        </w:r>
                        <w:r>
                          <w:rPr>
                            <w:sz w:val="18"/>
                          </w:rPr>
                          <w:t>1000</w:t>
                        </w:r>
                        <w:r>
                          <w:rPr>
                            <w:spacing w:val="-19"/>
                            <w:sz w:val="18"/>
                          </w:rPr>
                          <w:t> 赫兹和 </w:t>
                        </w:r>
                        <w:r>
                          <w:rPr>
                            <w:sz w:val="18"/>
                          </w:rPr>
                          <w:t>2000</w:t>
                        </w:r>
                        <w:r>
                          <w:rPr>
                            <w:spacing w:val="-12"/>
                            <w:sz w:val="18"/>
                          </w:rPr>
                          <w:t> 赫兹语</w:t>
                        </w:r>
                      </w:p>
                      <w:p>
                        <w:pPr>
                          <w:pStyle w:val="TableParagraph"/>
                          <w:spacing w:line="316" w:lineRule="auto" w:before="76"/>
                          <w:ind w:left="637" w:right="252"/>
                          <w:rPr>
                            <w:sz w:val="18"/>
                          </w:rPr>
                        </w:pPr>
                        <w:r>
                          <w:rPr>
                            <w:spacing w:val="-4"/>
                            <w:sz w:val="18"/>
                          </w:rPr>
                          <w:t>音频率下，平均听阈大于 </w:t>
                        </w:r>
                        <w:r>
                          <w:rPr>
                            <w:sz w:val="18"/>
                          </w:rPr>
                          <w:t>90</w:t>
                        </w:r>
                        <w:r>
                          <w:rPr>
                            <w:spacing w:val="-7"/>
                            <w:sz w:val="18"/>
                          </w:rPr>
                          <w:t> 分贝，且经纯音听力测试、声导抗检测或听觉诱发电位检测等证实。</w:t>
                        </w:r>
                      </w:p>
                    </w:tc>
                  </w:tr>
                  <w:tr>
                    <w:trPr>
                      <w:trHeight w:val="893" w:hRule="atLeast"/>
                    </w:trPr>
                    <w:tc>
                      <w:tcPr>
                        <w:tcW w:w="10162" w:type="dxa"/>
                        <w:gridSpan w:val="2"/>
                      </w:tcPr>
                      <w:p>
                        <w:pPr>
                          <w:pStyle w:val="TableParagraph"/>
                          <w:tabs>
                            <w:tab w:pos="2617" w:val="left" w:leader="none"/>
                          </w:tabs>
                          <w:spacing w:line="316" w:lineRule="auto" w:before="124"/>
                          <w:ind w:left="2617" w:right="342" w:hanging="2418"/>
                          <w:rPr>
                            <w:sz w:val="18"/>
                          </w:rPr>
                        </w:pPr>
                        <w:r>
                          <w:rPr>
                            <w:b/>
                            <w:sz w:val="18"/>
                          </w:rPr>
                          <w:t>20.</w:t>
                        </w:r>
                        <w:r>
                          <w:rPr>
                            <w:b/>
                            <w:spacing w:val="55"/>
                            <w:sz w:val="18"/>
                          </w:rPr>
                          <w:t> </w:t>
                        </w:r>
                        <w:r>
                          <w:rPr>
                            <w:b/>
                            <w:sz w:val="18"/>
                          </w:rPr>
                          <w:t>双目失明</w:t>
                          <w:tab/>
                        </w:r>
                        <w:r>
                          <w:rPr>
                            <w:sz w:val="18"/>
                          </w:rPr>
                          <w:t>指因疾病或意外伤害导致双眼视力永久不可逆性丧失，双眼中较好眼须满足下列至少一项条件：</w:t>
                        </w:r>
                      </w:p>
                    </w:tc>
                  </w:tr>
                  <w:tr>
                    <w:trPr>
                      <w:trHeight w:val="468" w:hRule="atLeast"/>
                    </w:trPr>
                    <w:tc>
                      <w:tcPr>
                        <w:tcW w:w="1980" w:type="dxa"/>
                      </w:tcPr>
                      <w:p>
                        <w:pPr>
                          <w:pStyle w:val="TableParagraph"/>
                          <w:rPr>
                            <w:rFonts w:ascii="Times New Roman"/>
                            <w:sz w:val="18"/>
                          </w:rPr>
                        </w:pPr>
                      </w:p>
                    </w:tc>
                    <w:tc>
                      <w:tcPr>
                        <w:tcW w:w="8182" w:type="dxa"/>
                      </w:tcPr>
                      <w:p>
                        <w:pPr>
                          <w:pStyle w:val="TableParagraph"/>
                          <w:spacing w:before="9"/>
                          <w:rPr>
                            <w:sz w:val="12"/>
                          </w:rPr>
                        </w:pPr>
                      </w:p>
                      <w:p>
                        <w:pPr>
                          <w:pStyle w:val="TableParagraph"/>
                          <w:ind w:left="637"/>
                          <w:rPr>
                            <w:sz w:val="18"/>
                          </w:rPr>
                        </w:pPr>
                        <w:r>
                          <w:rPr>
                            <w:sz w:val="18"/>
                          </w:rPr>
                          <w:t>（2）</w:t>
                        </w:r>
                        <w:r>
                          <w:rPr>
                            <w:spacing w:val="-6"/>
                            <w:sz w:val="18"/>
                          </w:rPr>
                          <w:t> 矫正视力低于 </w:t>
                        </w:r>
                        <w:r>
                          <w:rPr>
                            <w:sz w:val="18"/>
                          </w:rPr>
                          <w:t>0.02（采用国际标准视力表，如果使用其它视力表应进行换算</w:t>
                        </w:r>
                        <w:r>
                          <w:rPr>
                            <w:spacing w:val="-90"/>
                            <w:sz w:val="18"/>
                          </w:rPr>
                          <w:t>）</w:t>
                        </w:r>
                        <w:r>
                          <w:rPr>
                            <w:sz w:val="18"/>
                          </w:rPr>
                          <w:t>；</w:t>
                        </w:r>
                      </w:p>
                    </w:tc>
                  </w:tr>
                  <w:tr>
                    <w:trPr>
                      <w:trHeight w:val="245" w:hRule="atLeast"/>
                    </w:trPr>
                    <w:tc>
                      <w:tcPr>
                        <w:tcW w:w="1980" w:type="dxa"/>
                      </w:tcPr>
                      <w:p>
                        <w:pPr>
                          <w:pStyle w:val="TableParagraph"/>
                          <w:rPr>
                            <w:rFonts w:ascii="Times New Roman"/>
                            <w:sz w:val="16"/>
                          </w:rPr>
                        </w:pPr>
                      </w:p>
                    </w:tc>
                    <w:tc>
                      <w:tcPr>
                        <w:tcW w:w="8182" w:type="dxa"/>
                      </w:tcPr>
                      <w:p>
                        <w:pPr>
                          <w:pStyle w:val="TableParagraph"/>
                          <w:spacing w:line="216" w:lineRule="exact" w:before="10"/>
                          <w:ind w:left="637"/>
                          <w:rPr>
                            <w:sz w:val="18"/>
                          </w:rPr>
                        </w:pPr>
                        <w:r>
                          <w:rPr>
                            <w:sz w:val="18"/>
                          </w:rPr>
                          <w:t>（3） 视野半径小于 5 度。</w:t>
                        </w:r>
                      </w:p>
                    </w:tc>
                  </w:tr>
                </w:tbl>
                <w:p>
                  <w:pPr>
                    <w:pStyle w:val="BodyText"/>
                  </w:pPr>
                </w:p>
              </w:txbxContent>
            </v:textbox>
            <w10:wrap type="none"/>
          </v:shape>
        </w:pict>
      </w:r>
      <w:r>
        <w:rPr/>
        <w:t>（1）实际实施了开颅进行的脑肿瘤完全切除或部分切除的手术；</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2"/>
        <w:ind w:left="2723"/>
      </w:pPr>
      <w:r>
        <w:rPr/>
        <w:t>（1） 眼球缺失或摘除；</w:t>
      </w:r>
    </w:p>
    <w:p>
      <w:pPr>
        <w:pStyle w:val="BodyText"/>
      </w:pPr>
    </w:p>
    <w:p>
      <w:pPr>
        <w:pStyle w:val="BodyText"/>
      </w:pPr>
    </w:p>
    <w:p>
      <w:pPr>
        <w:pStyle w:val="BodyText"/>
      </w:pPr>
    </w:p>
    <w:p>
      <w:pPr>
        <w:pStyle w:val="BodyText"/>
      </w:pPr>
    </w:p>
    <w:p>
      <w:pPr>
        <w:pStyle w:val="BodyText"/>
        <w:spacing w:before="8"/>
        <w:rPr>
          <w:sz w:val="22"/>
        </w:rPr>
      </w:pPr>
    </w:p>
    <w:p>
      <w:pPr>
        <w:pStyle w:val="BodyText"/>
        <w:ind w:left="424"/>
      </w:pPr>
      <w:r>
        <w:rPr/>
        <w:t>注：</w:t>
      </w:r>
    </w:p>
    <w:p>
      <w:pPr>
        <w:pStyle w:val="ListParagraph"/>
        <w:numPr>
          <w:ilvl w:val="0"/>
          <w:numId w:val="10"/>
        </w:numPr>
        <w:tabs>
          <w:tab w:pos="844" w:val="left" w:leader="none"/>
          <w:tab w:pos="845" w:val="left" w:leader="none"/>
        </w:tabs>
        <w:spacing w:line="240" w:lineRule="auto" w:before="76" w:after="0"/>
        <w:ind w:left="844" w:right="0" w:hanging="420"/>
        <w:jc w:val="left"/>
        <w:rPr>
          <w:sz w:val="18"/>
        </w:rPr>
      </w:pPr>
      <w:r>
        <w:rPr>
          <w:sz w:val="18"/>
        </w:rPr>
        <w:t>专科医生</w:t>
      </w:r>
    </w:p>
    <w:p>
      <w:pPr>
        <w:pStyle w:val="BodyText"/>
        <w:spacing w:before="76"/>
        <w:ind w:left="424"/>
      </w:pPr>
      <w:r>
        <w:rPr/>
        <w:t>专科医生应当同时满足以下四项资格条件：</w:t>
      </w:r>
    </w:p>
    <w:p>
      <w:pPr>
        <w:pStyle w:val="ListParagraph"/>
        <w:numPr>
          <w:ilvl w:val="0"/>
          <w:numId w:val="11"/>
        </w:numPr>
        <w:tabs>
          <w:tab w:pos="845" w:val="left" w:leader="none"/>
        </w:tabs>
        <w:spacing w:line="240" w:lineRule="auto" w:before="76" w:after="0"/>
        <w:ind w:left="844" w:right="0" w:hanging="420"/>
        <w:jc w:val="left"/>
        <w:rPr>
          <w:sz w:val="18"/>
        </w:rPr>
      </w:pPr>
      <w:r>
        <w:rPr>
          <w:spacing w:val="-5"/>
          <w:sz w:val="18"/>
        </w:rPr>
        <w:t>具有有效的中华人民共和国《医师资格证书》；</w:t>
      </w:r>
    </w:p>
    <w:p>
      <w:pPr>
        <w:pStyle w:val="ListParagraph"/>
        <w:numPr>
          <w:ilvl w:val="0"/>
          <w:numId w:val="11"/>
        </w:numPr>
        <w:tabs>
          <w:tab w:pos="845" w:val="left" w:leader="none"/>
        </w:tabs>
        <w:spacing w:line="240" w:lineRule="auto" w:before="76" w:after="0"/>
        <w:ind w:left="844" w:right="0" w:hanging="420"/>
        <w:jc w:val="left"/>
        <w:rPr>
          <w:sz w:val="18"/>
        </w:rPr>
      </w:pPr>
      <w:r>
        <w:rPr>
          <w:spacing w:val="-5"/>
          <w:sz w:val="18"/>
        </w:rPr>
        <w:t>具有有效的中华人民共和国《医师执业证书》，并按期到相关部门登记注册；</w:t>
      </w:r>
    </w:p>
    <w:p>
      <w:pPr>
        <w:pStyle w:val="ListParagraph"/>
        <w:numPr>
          <w:ilvl w:val="0"/>
          <w:numId w:val="11"/>
        </w:numPr>
        <w:tabs>
          <w:tab w:pos="845" w:val="left" w:leader="none"/>
        </w:tabs>
        <w:spacing w:line="240" w:lineRule="auto" w:before="76" w:after="0"/>
        <w:ind w:left="844" w:right="0" w:hanging="420"/>
        <w:jc w:val="left"/>
        <w:rPr>
          <w:sz w:val="18"/>
        </w:rPr>
      </w:pPr>
      <w:r>
        <w:rPr>
          <w:spacing w:val="-3"/>
          <w:sz w:val="18"/>
        </w:rPr>
        <w:t>具有有效的中华人民共和国主治医师或主治医师以上职称的《医师职称证书》；</w:t>
      </w:r>
    </w:p>
    <w:p>
      <w:pPr>
        <w:pStyle w:val="ListParagraph"/>
        <w:numPr>
          <w:ilvl w:val="0"/>
          <w:numId w:val="11"/>
        </w:numPr>
        <w:tabs>
          <w:tab w:pos="845" w:val="left" w:leader="none"/>
        </w:tabs>
        <w:spacing w:line="240" w:lineRule="auto" w:before="76" w:after="0"/>
        <w:ind w:left="844" w:right="0" w:hanging="420"/>
        <w:jc w:val="left"/>
        <w:rPr>
          <w:sz w:val="18"/>
        </w:rPr>
      </w:pPr>
      <w:r>
        <w:rPr>
          <w:sz w:val="18"/>
        </w:rPr>
        <w:t>在二级或二级以上医院的相应科室从事临床工作三年以上。</w:t>
      </w:r>
    </w:p>
    <w:p>
      <w:pPr>
        <w:pStyle w:val="ListParagraph"/>
        <w:numPr>
          <w:ilvl w:val="0"/>
          <w:numId w:val="10"/>
        </w:numPr>
        <w:tabs>
          <w:tab w:pos="844" w:val="left" w:leader="none"/>
          <w:tab w:pos="845" w:val="left" w:leader="none"/>
        </w:tabs>
        <w:spacing w:line="240" w:lineRule="auto" w:before="76" w:after="0"/>
        <w:ind w:left="844" w:right="0" w:hanging="420"/>
        <w:jc w:val="left"/>
        <w:rPr>
          <w:sz w:val="18"/>
        </w:rPr>
      </w:pPr>
      <w:r>
        <w:rPr>
          <w:sz w:val="18"/>
        </w:rPr>
        <w:t>永久不可逆</w:t>
      </w:r>
    </w:p>
    <w:p>
      <w:pPr>
        <w:pStyle w:val="BodyText"/>
        <w:spacing w:before="76"/>
        <w:ind w:left="424"/>
      </w:pPr>
      <w:r>
        <w:rPr/>
        <w:t>指自疾病确诊或意外伤害发生之日起，经过积极治疗 180 天后，仍无法通过现有医疗手段恢复。</w:t>
      </w:r>
    </w:p>
    <w:p>
      <w:pPr>
        <w:pStyle w:val="ListParagraph"/>
        <w:numPr>
          <w:ilvl w:val="0"/>
          <w:numId w:val="10"/>
        </w:numPr>
        <w:tabs>
          <w:tab w:pos="844" w:val="left" w:leader="none"/>
          <w:tab w:pos="845" w:val="left" w:leader="none"/>
        </w:tabs>
        <w:spacing w:line="240" w:lineRule="auto" w:before="76" w:after="0"/>
        <w:ind w:left="844" w:right="0" w:hanging="420"/>
        <w:jc w:val="left"/>
        <w:rPr>
          <w:sz w:val="18"/>
        </w:rPr>
      </w:pPr>
      <w:r>
        <w:rPr>
          <w:sz w:val="18"/>
        </w:rPr>
        <w:t>肢体机能完全丧失</w:t>
      </w:r>
    </w:p>
    <w:p>
      <w:pPr>
        <w:pStyle w:val="BodyText"/>
        <w:spacing w:before="76"/>
        <w:ind w:left="424"/>
      </w:pPr>
      <w:r>
        <w:rPr/>
        <w:t>指肢体的三大关节中的两大关节僵硬，或不能随意识活动。肢体是指包括肩关节的整个上肢或包括髋关节的整个下肢。</w:t>
      </w:r>
    </w:p>
    <w:p>
      <w:pPr>
        <w:pStyle w:val="ListParagraph"/>
        <w:numPr>
          <w:ilvl w:val="0"/>
          <w:numId w:val="10"/>
        </w:numPr>
        <w:tabs>
          <w:tab w:pos="844" w:val="left" w:leader="none"/>
          <w:tab w:pos="845" w:val="left" w:leader="none"/>
        </w:tabs>
        <w:spacing w:line="240" w:lineRule="auto" w:before="76" w:after="0"/>
        <w:ind w:left="844" w:right="0" w:hanging="420"/>
        <w:jc w:val="left"/>
        <w:rPr>
          <w:sz w:val="18"/>
        </w:rPr>
      </w:pPr>
      <w:r>
        <w:rPr>
          <w:sz w:val="18"/>
        </w:rPr>
        <w:t>咀嚼吞咽能力完全丧失</w:t>
      </w:r>
    </w:p>
    <w:p>
      <w:pPr>
        <w:pStyle w:val="BodyText"/>
        <w:spacing w:before="76"/>
        <w:ind w:left="424"/>
      </w:pPr>
      <w:r>
        <w:rPr/>
        <w:t>指因牙齿以外的原因导致器质障碍或机能障碍，以致不能作咀嚼吞咽运动，除流质食物外不能摄取或吞咽的状态。</w:t>
      </w:r>
    </w:p>
    <w:p>
      <w:pPr>
        <w:pStyle w:val="ListParagraph"/>
        <w:numPr>
          <w:ilvl w:val="0"/>
          <w:numId w:val="10"/>
        </w:numPr>
        <w:tabs>
          <w:tab w:pos="844" w:val="left" w:leader="none"/>
          <w:tab w:pos="845" w:val="left" w:leader="none"/>
        </w:tabs>
        <w:spacing w:line="240" w:lineRule="auto" w:before="76" w:after="0"/>
        <w:ind w:left="844" w:right="0" w:hanging="420"/>
        <w:jc w:val="left"/>
        <w:rPr>
          <w:sz w:val="18"/>
        </w:rPr>
      </w:pPr>
      <w:r>
        <w:rPr>
          <w:sz w:val="18"/>
        </w:rPr>
        <w:t>六项基本日常生活活动</w:t>
      </w:r>
    </w:p>
    <w:p>
      <w:pPr>
        <w:pStyle w:val="ListParagraph"/>
        <w:numPr>
          <w:ilvl w:val="0"/>
          <w:numId w:val="12"/>
        </w:numPr>
        <w:tabs>
          <w:tab w:pos="845" w:val="left" w:leader="none"/>
        </w:tabs>
        <w:spacing w:line="240" w:lineRule="auto" w:before="76" w:after="0"/>
        <w:ind w:left="844" w:right="0" w:hanging="420"/>
        <w:jc w:val="left"/>
        <w:rPr>
          <w:sz w:val="18"/>
        </w:rPr>
      </w:pPr>
      <w:r>
        <w:rPr>
          <w:sz w:val="18"/>
        </w:rPr>
        <w:t>穿衣：自己能够穿衣及脱衣；</w:t>
      </w:r>
    </w:p>
    <w:p>
      <w:pPr>
        <w:pStyle w:val="ListParagraph"/>
        <w:numPr>
          <w:ilvl w:val="0"/>
          <w:numId w:val="12"/>
        </w:numPr>
        <w:tabs>
          <w:tab w:pos="845" w:val="left" w:leader="none"/>
        </w:tabs>
        <w:spacing w:line="240" w:lineRule="auto" w:before="76" w:after="0"/>
        <w:ind w:left="844" w:right="0" w:hanging="420"/>
        <w:jc w:val="left"/>
        <w:rPr>
          <w:sz w:val="18"/>
        </w:rPr>
      </w:pPr>
      <w:r>
        <w:rPr>
          <w:sz w:val="18"/>
        </w:rPr>
        <w:t>移动：自己从一个房间到另一个房间；</w:t>
      </w:r>
    </w:p>
    <w:p>
      <w:pPr>
        <w:pStyle w:val="ListParagraph"/>
        <w:numPr>
          <w:ilvl w:val="0"/>
          <w:numId w:val="12"/>
        </w:numPr>
        <w:tabs>
          <w:tab w:pos="845" w:val="left" w:leader="none"/>
        </w:tabs>
        <w:spacing w:line="240" w:lineRule="auto" w:before="76" w:after="0"/>
        <w:ind w:left="844" w:right="0" w:hanging="420"/>
        <w:jc w:val="left"/>
        <w:rPr>
          <w:sz w:val="18"/>
        </w:rPr>
      </w:pPr>
      <w:r>
        <w:rPr>
          <w:sz w:val="18"/>
        </w:rPr>
        <w:t>行动：自己上下床或上下轮椅；</w:t>
      </w:r>
    </w:p>
    <w:p>
      <w:pPr>
        <w:pStyle w:val="ListParagraph"/>
        <w:numPr>
          <w:ilvl w:val="0"/>
          <w:numId w:val="12"/>
        </w:numPr>
        <w:tabs>
          <w:tab w:pos="845" w:val="left" w:leader="none"/>
        </w:tabs>
        <w:spacing w:line="240" w:lineRule="auto" w:before="76" w:after="0"/>
        <w:ind w:left="844" w:right="0" w:hanging="420"/>
        <w:jc w:val="left"/>
        <w:rPr>
          <w:sz w:val="18"/>
        </w:rPr>
      </w:pPr>
      <w:r>
        <w:rPr>
          <w:sz w:val="18"/>
        </w:rPr>
        <w:t>如厕：自己控制进行大小便；</w:t>
      </w:r>
    </w:p>
    <w:p>
      <w:pPr>
        <w:pStyle w:val="ListParagraph"/>
        <w:numPr>
          <w:ilvl w:val="0"/>
          <w:numId w:val="12"/>
        </w:numPr>
        <w:tabs>
          <w:tab w:pos="845" w:val="left" w:leader="none"/>
        </w:tabs>
        <w:spacing w:line="240" w:lineRule="auto" w:before="76" w:after="0"/>
        <w:ind w:left="844" w:right="0" w:hanging="420"/>
        <w:jc w:val="left"/>
        <w:rPr>
          <w:sz w:val="18"/>
        </w:rPr>
      </w:pPr>
      <w:r>
        <w:rPr>
          <w:sz w:val="18"/>
        </w:rPr>
        <w:t>进食：自己从已准备好的碗或碟中取食物放入口中；</w:t>
      </w:r>
    </w:p>
    <w:p>
      <w:pPr>
        <w:pStyle w:val="ListParagraph"/>
        <w:numPr>
          <w:ilvl w:val="0"/>
          <w:numId w:val="12"/>
        </w:numPr>
        <w:tabs>
          <w:tab w:pos="845" w:val="left" w:leader="none"/>
        </w:tabs>
        <w:spacing w:line="240" w:lineRule="auto" w:before="76" w:after="0"/>
        <w:ind w:left="844" w:right="0" w:hanging="420"/>
        <w:jc w:val="left"/>
        <w:rPr>
          <w:sz w:val="18"/>
        </w:rPr>
      </w:pPr>
      <w:r>
        <w:rPr>
          <w:sz w:val="18"/>
        </w:rPr>
        <w:t>洗澡：自己进行淋浴或盆浴。</w:t>
      </w:r>
    </w:p>
    <w:sectPr>
      <w:pgSz w:w="11910" w:h="16840"/>
      <w:pgMar w:header="857" w:footer="981" w:top="1040" w:bottom="1180" w:left="8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Yu Gothic">
    <w:altName w:val="Yu Gothic"/>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6997pt;margin-top:781.956604pt;width:28.95pt;height:12pt;mso-position-horizontal-relative:page;mso-position-vertical-relative:page;z-index:-30544"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30592" type="#_x0000_t202" filled="false" stroked="false">
          <v:textbox inset="0,0,0,0">
            <w:txbxContent>
              <w:p>
                <w:pPr>
                  <w:pStyle w:val="BodyText"/>
                  <w:spacing w:line="200" w:lineRule="exact"/>
                  <w:ind w:left="20"/>
                </w:pPr>
                <w:r>
                  <w:rPr/>
                  <w:t>民生附加幸福宝贝少儿重大疾病保险条款</w:t>
                </w:r>
              </w:p>
            </w:txbxContent>
          </v:textbox>
          <w10:wrap type="none"/>
        </v:shape>
      </w:pict>
    </w:r>
    <w:r>
      <w:rPr/>
      <w:pict>
        <v:shape style="position:absolute;margin-left:424.220001pt;margin-top:42.865326pt;width:110pt;height:11pt;mso-position-horizontal-relative:page;mso-position-vertical-relative:page;z-index:-3056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44" w:hanging="420"/>
        <w:jc w:val="left"/>
      </w:pPr>
      <w:rPr>
        <w:rFonts w:hint="default" w:ascii="宋体" w:hAnsi="宋体" w:eastAsia="宋体" w:cs="宋体"/>
        <w:spacing w:val="-31"/>
        <w:w w:val="100"/>
        <w:sz w:val="18"/>
        <w:szCs w:val="18"/>
      </w:rPr>
    </w:lvl>
    <w:lvl w:ilvl="1">
      <w:start w:val="0"/>
      <w:numFmt w:val="bullet"/>
      <w:lvlText w:val="•"/>
      <w:lvlJc w:val="left"/>
      <w:pPr>
        <w:ind w:left="1794" w:hanging="420"/>
      </w:pPr>
      <w:rPr>
        <w:rFonts w:hint="default"/>
      </w:rPr>
    </w:lvl>
    <w:lvl w:ilvl="2">
      <w:start w:val="0"/>
      <w:numFmt w:val="bullet"/>
      <w:lvlText w:val="•"/>
      <w:lvlJc w:val="left"/>
      <w:pPr>
        <w:ind w:left="2748" w:hanging="420"/>
      </w:pPr>
      <w:rPr>
        <w:rFonts w:hint="default"/>
      </w:rPr>
    </w:lvl>
    <w:lvl w:ilvl="3">
      <w:start w:val="0"/>
      <w:numFmt w:val="bullet"/>
      <w:lvlText w:val="•"/>
      <w:lvlJc w:val="left"/>
      <w:pPr>
        <w:ind w:left="3703" w:hanging="420"/>
      </w:pPr>
      <w:rPr>
        <w:rFonts w:hint="default"/>
      </w:rPr>
    </w:lvl>
    <w:lvl w:ilvl="4">
      <w:start w:val="0"/>
      <w:numFmt w:val="bullet"/>
      <w:lvlText w:val="•"/>
      <w:lvlJc w:val="left"/>
      <w:pPr>
        <w:ind w:left="4657" w:hanging="420"/>
      </w:pPr>
      <w:rPr>
        <w:rFonts w:hint="default"/>
      </w:rPr>
    </w:lvl>
    <w:lvl w:ilvl="5">
      <w:start w:val="0"/>
      <w:numFmt w:val="bullet"/>
      <w:lvlText w:val="•"/>
      <w:lvlJc w:val="left"/>
      <w:pPr>
        <w:ind w:left="5612" w:hanging="420"/>
      </w:pPr>
      <w:rPr>
        <w:rFonts w:hint="default"/>
      </w:rPr>
    </w:lvl>
    <w:lvl w:ilvl="6">
      <w:start w:val="0"/>
      <w:numFmt w:val="bullet"/>
      <w:lvlText w:val="•"/>
      <w:lvlJc w:val="left"/>
      <w:pPr>
        <w:ind w:left="6566" w:hanging="420"/>
      </w:pPr>
      <w:rPr>
        <w:rFonts w:hint="default"/>
      </w:rPr>
    </w:lvl>
    <w:lvl w:ilvl="7">
      <w:start w:val="0"/>
      <w:numFmt w:val="bullet"/>
      <w:lvlText w:val="•"/>
      <w:lvlJc w:val="left"/>
      <w:pPr>
        <w:ind w:left="7521" w:hanging="420"/>
      </w:pPr>
      <w:rPr>
        <w:rFonts w:hint="default"/>
      </w:rPr>
    </w:lvl>
    <w:lvl w:ilvl="8">
      <w:start w:val="0"/>
      <w:numFmt w:val="bullet"/>
      <w:lvlText w:val="•"/>
      <w:lvlJc w:val="left"/>
      <w:pPr>
        <w:ind w:left="8475" w:hanging="420"/>
      </w:pPr>
      <w:rPr>
        <w:rFonts w:hint="default"/>
      </w:rPr>
    </w:lvl>
  </w:abstractNum>
  <w:abstractNum w:abstractNumId="10">
    <w:multiLevelType w:val="hybridMultilevel"/>
    <w:lvl w:ilvl="0">
      <w:start w:val="1"/>
      <w:numFmt w:val="decimal"/>
      <w:lvlText w:val="(%1)"/>
      <w:lvlJc w:val="left"/>
      <w:pPr>
        <w:ind w:left="844" w:hanging="420"/>
        <w:jc w:val="left"/>
      </w:pPr>
      <w:rPr>
        <w:rFonts w:hint="default" w:ascii="宋体" w:hAnsi="宋体" w:eastAsia="宋体" w:cs="宋体"/>
        <w:spacing w:val="-90"/>
        <w:w w:val="100"/>
        <w:sz w:val="18"/>
        <w:szCs w:val="18"/>
      </w:rPr>
    </w:lvl>
    <w:lvl w:ilvl="1">
      <w:start w:val="0"/>
      <w:numFmt w:val="bullet"/>
      <w:lvlText w:val="•"/>
      <w:lvlJc w:val="left"/>
      <w:pPr>
        <w:ind w:left="1794" w:hanging="420"/>
      </w:pPr>
      <w:rPr>
        <w:rFonts w:hint="default"/>
      </w:rPr>
    </w:lvl>
    <w:lvl w:ilvl="2">
      <w:start w:val="0"/>
      <w:numFmt w:val="bullet"/>
      <w:lvlText w:val="•"/>
      <w:lvlJc w:val="left"/>
      <w:pPr>
        <w:ind w:left="2748" w:hanging="420"/>
      </w:pPr>
      <w:rPr>
        <w:rFonts w:hint="default"/>
      </w:rPr>
    </w:lvl>
    <w:lvl w:ilvl="3">
      <w:start w:val="0"/>
      <w:numFmt w:val="bullet"/>
      <w:lvlText w:val="•"/>
      <w:lvlJc w:val="left"/>
      <w:pPr>
        <w:ind w:left="3703" w:hanging="420"/>
      </w:pPr>
      <w:rPr>
        <w:rFonts w:hint="default"/>
      </w:rPr>
    </w:lvl>
    <w:lvl w:ilvl="4">
      <w:start w:val="0"/>
      <w:numFmt w:val="bullet"/>
      <w:lvlText w:val="•"/>
      <w:lvlJc w:val="left"/>
      <w:pPr>
        <w:ind w:left="4657" w:hanging="420"/>
      </w:pPr>
      <w:rPr>
        <w:rFonts w:hint="default"/>
      </w:rPr>
    </w:lvl>
    <w:lvl w:ilvl="5">
      <w:start w:val="0"/>
      <w:numFmt w:val="bullet"/>
      <w:lvlText w:val="•"/>
      <w:lvlJc w:val="left"/>
      <w:pPr>
        <w:ind w:left="5612" w:hanging="420"/>
      </w:pPr>
      <w:rPr>
        <w:rFonts w:hint="default"/>
      </w:rPr>
    </w:lvl>
    <w:lvl w:ilvl="6">
      <w:start w:val="0"/>
      <w:numFmt w:val="bullet"/>
      <w:lvlText w:val="•"/>
      <w:lvlJc w:val="left"/>
      <w:pPr>
        <w:ind w:left="6566" w:hanging="420"/>
      </w:pPr>
      <w:rPr>
        <w:rFonts w:hint="default"/>
      </w:rPr>
    </w:lvl>
    <w:lvl w:ilvl="7">
      <w:start w:val="0"/>
      <w:numFmt w:val="bullet"/>
      <w:lvlText w:val="•"/>
      <w:lvlJc w:val="left"/>
      <w:pPr>
        <w:ind w:left="7521" w:hanging="420"/>
      </w:pPr>
      <w:rPr>
        <w:rFonts w:hint="default"/>
      </w:rPr>
    </w:lvl>
    <w:lvl w:ilvl="8">
      <w:start w:val="0"/>
      <w:numFmt w:val="bullet"/>
      <w:lvlText w:val="•"/>
      <w:lvlJc w:val="left"/>
      <w:pPr>
        <w:ind w:left="8475" w:hanging="420"/>
      </w:pPr>
      <w:rPr>
        <w:rFonts w:hint="default"/>
      </w:rPr>
    </w:lvl>
  </w:abstractNum>
  <w:abstractNum w:abstractNumId="9">
    <w:multiLevelType w:val="hybridMultilevel"/>
    <w:lvl w:ilvl="0">
      <w:start w:val="1"/>
      <w:numFmt w:val="decimal"/>
      <w:lvlText w:val="%1"/>
      <w:lvlJc w:val="left"/>
      <w:pPr>
        <w:ind w:left="844" w:hanging="420"/>
        <w:jc w:val="left"/>
      </w:pPr>
      <w:rPr>
        <w:rFonts w:hint="default" w:ascii="宋体" w:hAnsi="宋体" w:eastAsia="宋体" w:cs="宋体"/>
        <w:w w:val="100"/>
        <w:sz w:val="18"/>
        <w:szCs w:val="18"/>
      </w:rPr>
    </w:lvl>
    <w:lvl w:ilvl="1">
      <w:start w:val="0"/>
      <w:numFmt w:val="bullet"/>
      <w:lvlText w:val="•"/>
      <w:lvlJc w:val="left"/>
      <w:pPr>
        <w:ind w:left="1794" w:hanging="420"/>
      </w:pPr>
      <w:rPr>
        <w:rFonts w:hint="default"/>
      </w:rPr>
    </w:lvl>
    <w:lvl w:ilvl="2">
      <w:start w:val="0"/>
      <w:numFmt w:val="bullet"/>
      <w:lvlText w:val="•"/>
      <w:lvlJc w:val="left"/>
      <w:pPr>
        <w:ind w:left="2748" w:hanging="420"/>
      </w:pPr>
      <w:rPr>
        <w:rFonts w:hint="default"/>
      </w:rPr>
    </w:lvl>
    <w:lvl w:ilvl="3">
      <w:start w:val="0"/>
      <w:numFmt w:val="bullet"/>
      <w:lvlText w:val="•"/>
      <w:lvlJc w:val="left"/>
      <w:pPr>
        <w:ind w:left="3703" w:hanging="420"/>
      </w:pPr>
      <w:rPr>
        <w:rFonts w:hint="default"/>
      </w:rPr>
    </w:lvl>
    <w:lvl w:ilvl="4">
      <w:start w:val="0"/>
      <w:numFmt w:val="bullet"/>
      <w:lvlText w:val="•"/>
      <w:lvlJc w:val="left"/>
      <w:pPr>
        <w:ind w:left="4657" w:hanging="420"/>
      </w:pPr>
      <w:rPr>
        <w:rFonts w:hint="default"/>
      </w:rPr>
    </w:lvl>
    <w:lvl w:ilvl="5">
      <w:start w:val="0"/>
      <w:numFmt w:val="bullet"/>
      <w:lvlText w:val="•"/>
      <w:lvlJc w:val="left"/>
      <w:pPr>
        <w:ind w:left="5612" w:hanging="420"/>
      </w:pPr>
      <w:rPr>
        <w:rFonts w:hint="default"/>
      </w:rPr>
    </w:lvl>
    <w:lvl w:ilvl="6">
      <w:start w:val="0"/>
      <w:numFmt w:val="bullet"/>
      <w:lvlText w:val="•"/>
      <w:lvlJc w:val="left"/>
      <w:pPr>
        <w:ind w:left="6566" w:hanging="420"/>
      </w:pPr>
      <w:rPr>
        <w:rFonts w:hint="default"/>
      </w:rPr>
    </w:lvl>
    <w:lvl w:ilvl="7">
      <w:start w:val="0"/>
      <w:numFmt w:val="bullet"/>
      <w:lvlText w:val="•"/>
      <w:lvlJc w:val="left"/>
      <w:pPr>
        <w:ind w:left="7521" w:hanging="420"/>
      </w:pPr>
      <w:rPr>
        <w:rFonts w:hint="default"/>
      </w:rPr>
    </w:lvl>
    <w:lvl w:ilvl="8">
      <w:start w:val="0"/>
      <w:numFmt w:val="bullet"/>
      <w:lvlText w:val="•"/>
      <w:lvlJc w:val="left"/>
      <w:pPr>
        <w:ind w:left="8475" w:hanging="420"/>
      </w:pPr>
      <w:rPr>
        <w:rFonts w:hint="default"/>
      </w:rPr>
    </w:lvl>
  </w:abstractNum>
  <w:abstractNum w:abstractNumId="8">
    <w:multiLevelType w:val="hybridMultilevel"/>
    <w:lvl w:ilvl="0">
      <w:start w:val="8"/>
      <w:numFmt w:val="decimal"/>
      <w:lvlText w:val="%1."/>
      <w:lvlJc w:val="left"/>
      <w:pPr>
        <w:ind w:left="620"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88" w:hanging="360"/>
      </w:pPr>
      <w:rPr>
        <w:rFonts w:hint="default"/>
      </w:rPr>
    </w:lvl>
    <w:lvl w:ilvl="3">
      <w:start w:val="0"/>
      <w:numFmt w:val="bullet"/>
      <w:lvlText w:val="•"/>
      <w:lvlJc w:val="left"/>
      <w:pPr>
        <w:ind w:left="4596" w:hanging="360"/>
      </w:pPr>
      <w:rPr>
        <w:rFonts w:hint="default"/>
      </w:rPr>
    </w:lvl>
    <w:lvl w:ilvl="4">
      <w:start w:val="0"/>
      <w:numFmt w:val="bullet"/>
      <w:lvlText w:val="•"/>
      <w:lvlJc w:val="left"/>
      <w:pPr>
        <w:ind w:left="5404" w:hanging="360"/>
      </w:pPr>
      <w:rPr>
        <w:rFonts w:hint="default"/>
      </w:rPr>
    </w:lvl>
    <w:lvl w:ilvl="5">
      <w:start w:val="0"/>
      <w:numFmt w:val="bullet"/>
      <w:lvlText w:val="•"/>
      <w:lvlJc w:val="left"/>
      <w:pPr>
        <w:ind w:left="6212" w:hanging="360"/>
      </w:pPr>
      <w:rPr>
        <w:rFonts w:hint="default"/>
      </w:rPr>
    </w:lvl>
    <w:lvl w:ilvl="6">
      <w:start w:val="0"/>
      <w:numFmt w:val="bullet"/>
      <w:lvlText w:val="•"/>
      <w:lvlJc w:val="left"/>
      <w:pPr>
        <w:ind w:left="7020" w:hanging="360"/>
      </w:pPr>
      <w:rPr>
        <w:rFonts w:hint="default"/>
      </w:rPr>
    </w:lvl>
    <w:lvl w:ilvl="7">
      <w:start w:val="0"/>
      <w:numFmt w:val="bullet"/>
      <w:lvlText w:val="•"/>
      <w:lvlJc w:val="left"/>
      <w:pPr>
        <w:ind w:left="7828" w:hanging="360"/>
      </w:pPr>
      <w:rPr>
        <w:rFonts w:hint="default"/>
      </w:rPr>
    </w:lvl>
    <w:lvl w:ilvl="8">
      <w:start w:val="0"/>
      <w:numFmt w:val="bullet"/>
      <w:lvlText w:val="•"/>
      <w:lvlJc w:val="left"/>
      <w:pPr>
        <w:ind w:left="8636" w:hanging="360"/>
      </w:pPr>
      <w:rPr>
        <w:rFonts w:hint="default"/>
      </w:rPr>
    </w:lvl>
  </w:abstractNum>
  <w:abstractNum w:abstractNumId="7">
    <w:multiLevelType w:val="hybridMultilevel"/>
    <w:lvl w:ilvl="0">
      <w:start w:val="4"/>
      <w:numFmt w:val="decimal"/>
      <w:lvlText w:val="%1."/>
      <w:lvlJc w:val="left"/>
      <w:pPr>
        <w:ind w:left="2618" w:hanging="421"/>
        <w:jc w:val="left"/>
      </w:pPr>
      <w:rPr>
        <w:rFonts w:hint="default" w:ascii="宋体" w:hAnsi="宋体" w:eastAsia="宋体" w:cs="宋体"/>
        <w:b/>
        <w:bCs/>
        <w:spacing w:val="0"/>
        <w:w w:val="99"/>
        <w:sz w:val="18"/>
        <w:szCs w:val="18"/>
      </w:rPr>
    </w:lvl>
    <w:lvl w:ilvl="1">
      <w:start w:val="1"/>
      <w:numFmt w:val="decimal"/>
      <w:lvlText w:val="(%2)"/>
      <w:lvlJc w:val="left"/>
      <w:pPr>
        <w:ind w:left="2978" w:hanging="360"/>
        <w:jc w:val="left"/>
      </w:pPr>
      <w:rPr>
        <w:rFonts w:hint="default" w:ascii="宋体" w:hAnsi="宋体" w:eastAsia="宋体" w:cs="宋体"/>
        <w:w w:val="100"/>
        <w:sz w:val="18"/>
        <w:szCs w:val="18"/>
      </w:rPr>
    </w:lvl>
    <w:lvl w:ilvl="2">
      <w:start w:val="0"/>
      <w:numFmt w:val="bullet"/>
      <w:lvlText w:val="•"/>
      <w:lvlJc w:val="left"/>
      <w:pPr>
        <w:ind w:left="3778" w:hanging="360"/>
      </w:pPr>
      <w:rPr>
        <w:rFonts w:hint="default"/>
      </w:rPr>
    </w:lvl>
    <w:lvl w:ilvl="3">
      <w:start w:val="0"/>
      <w:numFmt w:val="bullet"/>
      <w:lvlText w:val="•"/>
      <w:lvlJc w:val="left"/>
      <w:pPr>
        <w:ind w:left="4576" w:hanging="360"/>
      </w:pPr>
      <w:rPr>
        <w:rFonts w:hint="default"/>
      </w:rPr>
    </w:lvl>
    <w:lvl w:ilvl="4">
      <w:start w:val="0"/>
      <w:numFmt w:val="bullet"/>
      <w:lvlText w:val="•"/>
      <w:lvlJc w:val="left"/>
      <w:pPr>
        <w:ind w:left="5374" w:hanging="360"/>
      </w:pPr>
      <w:rPr>
        <w:rFonts w:hint="default"/>
      </w:rPr>
    </w:lvl>
    <w:lvl w:ilvl="5">
      <w:start w:val="0"/>
      <w:numFmt w:val="bullet"/>
      <w:lvlText w:val="•"/>
      <w:lvlJc w:val="left"/>
      <w:pPr>
        <w:ind w:left="6172" w:hanging="360"/>
      </w:pPr>
      <w:rPr>
        <w:rFonts w:hint="default"/>
      </w:rPr>
    </w:lvl>
    <w:lvl w:ilvl="6">
      <w:start w:val="0"/>
      <w:numFmt w:val="bullet"/>
      <w:lvlText w:val="•"/>
      <w:lvlJc w:val="left"/>
      <w:pPr>
        <w:ind w:left="6970" w:hanging="360"/>
      </w:pPr>
      <w:rPr>
        <w:rFonts w:hint="default"/>
      </w:rPr>
    </w:lvl>
    <w:lvl w:ilvl="7">
      <w:start w:val="0"/>
      <w:numFmt w:val="bullet"/>
      <w:lvlText w:val="•"/>
      <w:lvlJc w:val="left"/>
      <w:pPr>
        <w:ind w:left="7768" w:hanging="360"/>
      </w:pPr>
      <w:rPr>
        <w:rFonts w:hint="default"/>
      </w:rPr>
    </w:lvl>
    <w:lvl w:ilvl="8">
      <w:start w:val="0"/>
      <w:numFmt w:val="bullet"/>
      <w:lvlText w:val="•"/>
      <w:lvlJc w:val="left"/>
      <w:pPr>
        <w:ind w:left="8566" w:hanging="360"/>
      </w:pPr>
      <w:rPr>
        <w:rFonts w:hint="default"/>
      </w:rPr>
    </w:lvl>
  </w:abstractNum>
  <w:abstractNum w:abstractNumId="6">
    <w:multiLevelType w:val="hybridMultilevel"/>
    <w:lvl w:ilvl="0">
      <w:start w:val="3"/>
      <w:numFmt w:val="decimal"/>
      <w:lvlText w:val="%1"/>
      <w:lvlJc w:val="left"/>
      <w:pPr>
        <w:ind w:left="790" w:hanging="683"/>
        <w:jc w:val="left"/>
      </w:pPr>
      <w:rPr>
        <w:rFonts w:hint="default"/>
      </w:rPr>
    </w:lvl>
    <w:lvl w:ilvl="1">
      <w:start w:val="2"/>
      <w:numFmt w:val="decimal"/>
      <w:lvlText w:val="%1.%2"/>
      <w:lvlJc w:val="left"/>
      <w:pPr>
        <w:ind w:left="790" w:hanging="683"/>
        <w:jc w:val="left"/>
      </w:pPr>
      <w:rPr>
        <w:rFonts w:hint="default" w:ascii="宋体" w:hAnsi="宋体" w:eastAsia="宋体" w:cs="宋体"/>
        <w:b/>
        <w:bCs/>
        <w:w w:val="99"/>
        <w:sz w:val="21"/>
        <w:szCs w:val="21"/>
      </w:rPr>
    </w:lvl>
    <w:lvl w:ilvl="2">
      <w:start w:val="1"/>
      <w:numFmt w:val="decimal"/>
      <w:lvlText w:val="(%3)"/>
      <w:lvlJc w:val="left"/>
      <w:pPr>
        <w:ind w:left="2838" w:hanging="340"/>
        <w:jc w:val="left"/>
      </w:pPr>
      <w:rPr>
        <w:rFonts w:hint="default" w:ascii="宋体" w:hAnsi="宋体" w:eastAsia="宋体" w:cs="宋体"/>
        <w:w w:val="100"/>
        <w:sz w:val="18"/>
        <w:szCs w:val="18"/>
      </w:rPr>
    </w:lvl>
    <w:lvl w:ilvl="3">
      <w:start w:val="0"/>
      <w:numFmt w:val="bullet"/>
      <w:lvlText w:val="•"/>
      <w:lvlJc w:val="left"/>
      <w:pPr>
        <w:ind w:left="4418" w:hanging="340"/>
      </w:pPr>
      <w:rPr>
        <w:rFonts w:hint="default"/>
      </w:rPr>
    </w:lvl>
    <w:lvl w:ilvl="4">
      <w:start w:val="0"/>
      <w:numFmt w:val="bullet"/>
      <w:lvlText w:val="•"/>
      <w:lvlJc w:val="left"/>
      <w:pPr>
        <w:ind w:left="5208" w:hanging="340"/>
      </w:pPr>
      <w:rPr>
        <w:rFonts w:hint="default"/>
      </w:rPr>
    </w:lvl>
    <w:lvl w:ilvl="5">
      <w:start w:val="0"/>
      <w:numFmt w:val="bullet"/>
      <w:lvlText w:val="•"/>
      <w:lvlJc w:val="left"/>
      <w:pPr>
        <w:ind w:left="5997" w:hanging="340"/>
      </w:pPr>
      <w:rPr>
        <w:rFonts w:hint="default"/>
      </w:rPr>
    </w:lvl>
    <w:lvl w:ilvl="6">
      <w:start w:val="0"/>
      <w:numFmt w:val="bullet"/>
      <w:lvlText w:val="•"/>
      <w:lvlJc w:val="left"/>
      <w:pPr>
        <w:ind w:left="6786" w:hanging="340"/>
      </w:pPr>
      <w:rPr>
        <w:rFonts w:hint="default"/>
      </w:rPr>
    </w:lvl>
    <w:lvl w:ilvl="7">
      <w:start w:val="0"/>
      <w:numFmt w:val="bullet"/>
      <w:lvlText w:val="•"/>
      <w:lvlJc w:val="left"/>
      <w:pPr>
        <w:ind w:left="7576" w:hanging="340"/>
      </w:pPr>
      <w:rPr>
        <w:rFonts w:hint="default"/>
      </w:rPr>
    </w:lvl>
    <w:lvl w:ilvl="8">
      <w:start w:val="0"/>
      <w:numFmt w:val="bullet"/>
      <w:lvlText w:val="•"/>
      <w:lvlJc w:val="left"/>
      <w:pPr>
        <w:ind w:left="8365" w:hanging="340"/>
      </w:pPr>
      <w:rPr>
        <w:rFonts w:hint="default"/>
      </w:rPr>
    </w:lvl>
  </w:abstractNum>
  <w:abstractNum w:abstractNumId="5">
    <w:multiLevelType w:val="hybridMultilevel"/>
    <w:lvl w:ilvl="0">
      <w:start w:val="8"/>
      <w:numFmt w:val="decimal"/>
      <w:lvlText w:val="%1"/>
      <w:lvlJc w:val="left"/>
      <w:pPr>
        <w:ind w:left="1374" w:hanging="421"/>
        <w:jc w:val="left"/>
      </w:pPr>
      <w:rPr>
        <w:rFonts w:hint="default"/>
      </w:rPr>
    </w:lvl>
    <w:lvl w:ilvl="1">
      <w:start w:val="1"/>
      <w:numFmt w:val="decimal"/>
      <w:lvlText w:val="%1.%2"/>
      <w:lvlJc w:val="left"/>
      <w:pPr>
        <w:ind w:left="1374" w:hanging="421"/>
        <w:jc w:val="left"/>
      </w:pPr>
      <w:rPr>
        <w:rFonts w:hint="default" w:ascii="宋体" w:hAnsi="宋体" w:eastAsia="宋体" w:cs="宋体"/>
        <w:spacing w:val="-2"/>
        <w:w w:val="100"/>
        <w:sz w:val="21"/>
        <w:szCs w:val="21"/>
      </w:rPr>
    </w:lvl>
    <w:lvl w:ilvl="2">
      <w:start w:val="0"/>
      <w:numFmt w:val="bullet"/>
      <w:lvlText w:val="•"/>
      <w:lvlJc w:val="left"/>
      <w:pPr>
        <w:ind w:left="3096" w:hanging="421"/>
      </w:pPr>
      <w:rPr>
        <w:rFonts w:hint="default"/>
      </w:rPr>
    </w:lvl>
    <w:lvl w:ilvl="3">
      <w:start w:val="0"/>
      <w:numFmt w:val="bullet"/>
      <w:lvlText w:val="•"/>
      <w:lvlJc w:val="left"/>
      <w:pPr>
        <w:ind w:left="3232" w:hanging="421"/>
      </w:pPr>
      <w:rPr>
        <w:rFonts w:hint="default"/>
      </w:rPr>
    </w:lvl>
    <w:lvl w:ilvl="4">
      <w:start w:val="0"/>
      <w:numFmt w:val="bullet"/>
      <w:lvlText w:val="•"/>
      <w:lvlJc w:val="left"/>
      <w:pPr>
        <w:ind w:left="3368" w:hanging="421"/>
      </w:pPr>
      <w:rPr>
        <w:rFonts w:hint="default"/>
      </w:rPr>
    </w:lvl>
    <w:lvl w:ilvl="5">
      <w:start w:val="0"/>
      <w:numFmt w:val="bullet"/>
      <w:lvlText w:val="•"/>
      <w:lvlJc w:val="left"/>
      <w:pPr>
        <w:ind w:left="3504" w:hanging="421"/>
      </w:pPr>
      <w:rPr>
        <w:rFonts w:hint="default"/>
      </w:rPr>
    </w:lvl>
    <w:lvl w:ilvl="6">
      <w:start w:val="0"/>
      <w:numFmt w:val="bullet"/>
      <w:lvlText w:val="•"/>
      <w:lvlJc w:val="left"/>
      <w:pPr>
        <w:ind w:left="3640" w:hanging="421"/>
      </w:pPr>
      <w:rPr>
        <w:rFonts w:hint="default"/>
      </w:rPr>
    </w:lvl>
    <w:lvl w:ilvl="7">
      <w:start w:val="0"/>
      <w:numFmt w:val="bullet"/>
      <w:lvlText w:val="•"/>
      <w:lvlJc w:val="left"/>
      <w:pPr>
        <w:ind w:left="3776" w:hanging="421"/>
      </w:pPr>
      <w:rPr>
        <w:rFonts w:hint="default"/>
      </w:rPr>
    </w:lvl>
    <w:lvl w:ilvl="8">
      <w:start w:val="0"/>
      <w:numFmt w:val="bullet"/>
      <w:lvlText w:val="•"/>
      <w:lvlJc w:val="left"/>
      <w:pPr>
        <w:ind w:left="3912" w:hanging="421"/>
      </w:pPr>
      <w:rPr>
        <w:rFonts w:hint="default"/>
      </w:rPr>
    </w:lvl>
  </w:abstractNum>
  <w:abstractNum w:abstractNumId="4">
    <w:multiLevelType w:val="hybridMultilevel"/>
    <w:lvl w:ilvl="0">
      <w:start w:val="5"/>
      <w:numFmt w:val="decimal"/>
      <w:lvlText w:val="%1"/>
      <w:lvlJc w:val="left"/>
      <w:pPr>
        <w:ind w:left="931" w:hanging="421"/>
        <w:jc w:val="left"/>
      </w:pPr>
      <w:rPr>
        <w:rFonts w:hint="default"/>
      </w:rPr>
    </w:lvl>
    <w:lvl w:ilvl="1">
      <w:start w:val="1"/>
      <w:numFmt w:val="decimal"/>
      <w:lvlText w:val="%1.%2"/>
      <w:lvlJc w:val="left"/>
      <w:pPr>
        <w:ind w:left="931" w:hanging="421"/>
        <w:jc w:val="left"/>
      </w:pPr>
      <w:rPr>
        <w:rFonts w:hint="default" w:ascii="宋体" w:hAnsi="宋体" w:eastAsia="宋体" w:cs="宋体"/>
        <w:spacing w:val="-2"/>
        <w:w w:val="100"/>
        <w:sz w:val="21"/>
        <w:szCs w:val="21"/>
      </w:rPr>
    </w:lvl>
    <w:lvl w:ilvl="2">
      <w:start w:val="0"/>
      <w:numFmt w:val="bullet"/>
      <w:lvlText w:val="•"/>
      <w:lvlJc w:val="left"/>
      <w:pPr>
        <w:ind w:left="1191" w:hanging="421"/>
      </w:pPr>
      <w:rPr>
        <w:rFonts w:hint="default"/>
      </w:rPr>
    </w:lvl>
    <w:lvl w:ilvl="3">
      <w:start w:val="0"/>
      <w:numFmt w:val="bullet"/>
      <w:lvlText w:val="•"/>
      <w:lvlJc w:val="left"/>
      <w:pPr>
        <w:ind w:left="1317" w:hanging="421"/>
      </w:pPr>
      <w:rPr>
        <w:rFonts w:hint="default"/>
      </w:rPr>
    </w:lvl>
    <w:lvl w:ilvl="4">
      <w:start w:val="0"/>
      <w:numFmt w:val="bullet"/>
      <w:lvlText w:val="•"/>
      <w:lvlJc w:val="left"/>
      <w:pPr>
        <w:ind w:left="1443" w:hanging="421"/>
      </w:pPr>
      <w:rPr>
        <w:rFonts w:hint="default"/>
      </w:rPr>
    </w:lvl>
    <w:lvl w:ilvl="5">
      <w:start w:val="0"/>
      <w:numFmt w:val="bullet"/>
      <w:lvlText w:val="•"/>
      <w:lvlJc w:val="left"/>
      <w:pPr>
        <w:ind w:left="1569" w:hanging="421"/>
      </w:pPr>
      <w:rPr>
        <w:rFonts w:hint="default"/>
      </w:rPr>
    </w:lvl>
    <w:lvl w:ilvl="6">
      <w:start w:val="0"/>
      <w:numFmt w:val="bullet"/>
      <w:lvlText w:val="•"/>
      <w:lvlJc w:val="left"/>
      <w:pPr>
        <w:ind w:left="1695" w:hanging="421"/>
      </w:pPr>
      <w:rPr>
        <w:rFonts w:hint="default"/>
      </w:rPr>
    </w:lvl>
    <w:lvl w:ilvl="7">
      <w:start w:val="0"/>
      <w:numFmt w:val="bullet"/>
      <w:lvlText w:val="•"/>
      <w:lvlJc w:val="left"/>
      <w:pPr>
        <w:ind w:left="1821" w:hanging="421"/>
      </w:pPr>
      <w:rPr>
        <w:rFonts w:hint="default"/>
      </w:rPr>
    </w:lvl>
    <w:lvl w:ilvl="8">
      <w:start w:val="0"/>
      <w:numFmt w:val="bullet"/>
      <w:lvlText w:val="•"/>
      <w:lvlJc w:val="left"/>
      <w:pPr>
        <w:ind w:left="1947" w:hanging="421"/>
      </w:pPr>
      <w:rPr>
        <w:rFonts w:hint="default"/>
      </w:rPr>
    </w:lvl>
  </w:abstractNum>
  <w:abstractNum w:abstractNumId="3">
    <w:multiLevelType w:val="hybridMultilevel"/>
    <w:lvl w:ilvl="0">
      <w:start w:val="3"/>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2">
    <w:multiLevelType w:val="hybridMultilevel"/>
    <w:lvl w:ilvl="0">
      <w:start w:val="2"/>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1">
    <w:multiLevelType w:val="hybridMultilevel"/>
    <w:lvl w:ilvl="0">
      <w:start w:val="1"/>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783"/>
      <w:outlineLvl w:val="1"/>
    </w:pPr>
    <w:rPr>
      <w:rFonts w:ascii="宋体" w:hAnsi="宋体" w:eastAsia="宋体" w:cs="宋体"/>
      <w:b/>
      <w:bCs/>
      <w:sz w:val="21"/>
      <w:szCs w:val="21"/>
    </w:rPr>
  </w:style>
  <w:style w:styleId="ListParagraph" w:type="paragraph">
    <w:name w:val="List Paragraph"/>
    <w:basedOn w:val="Normal"/>
    <w:uiPriority w:val="1"/>
    <w:qFormat/>
    <w:pPr>
      <w:spacing w:before="37"/>
      <w:ind w:left="844"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2018-10-20T02:33:46Z</dcterms:created>
  <dcterms:modified xsi:type="dcterms:W3CDTF">2018-10-20T02:33:46Z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2009-12-30T00:00:00Z</vt:filetime>
  </property>
  <property fmtid="{D5CDD505-2E9C-101B-9397-08002B2CF9AE}" pid="3" name="Creator">
    <vt:lpwstr>Acrobat PDFMaker 7.0 for Word</vt:lpwstr>
  </property>
  <property fmtid="{D5CDD505-2E9C-101B-9397-08002B2CF9AE}" pid="4" name="LastSaved">
    <vt:filetime>2018-10-19T00:00:00Z</vt:filetime>
  </property>
</Properties>
</file>