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84" w:val="left" w:leader="none"/>
        </w:tabs>
        <w:spacing w:before="314"/>
        <w:ind w:left="164" w:right="0" w:firstLine="0"/>
        <w:jc w:val="left"/>
        <w:rPr>
          <w:rFonts w:ascii="微软雅黑" w:eastAsia="微软雅黑" w:hint="eastAsia"/>
          <w:b/>
          <w:sz w:val="32"/>
        </w:rPr>
      </w:pPr>
      <w:r>
        <w:rPr>
          <w:sz w:val="32"/>
        </w:rPr>
        <w:t>附件</w:t>
      </w:r>
      <w:r>
        <w:rPr>
          <w:spacing w:val="-82"/>
          <w:sz w:val="32"/>
        </w:rPr>
        <w:t> </w:t>
      </w:r>
      <w:r>
        <w:rPr>
          <w:sz w:val="32"/>
        </w:rPr>
        <w:t>2-3：</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37"/>
        <w:ind w:left="164" w:right="0" w:firstLine="0"/>
        <w:jc w:val="left"/>
        <w:rPr>
          <w:sz w:val="16"/>
        </w:rPr>
      </w:pPr>
      <w:r>
        <w:rPr/>
        <w:br w:type="column"/>
      </w:r>
      <w:r>
        <w:rPr>
          <w:w w:val="95"/>
          <w:sz w:val="16"/>
        </w:rPr>
        <w:t>民生保险[2009]疾病保险007号</w:t>
      </w:r>
    </w:p>
    <w:p>
      <w:pPr>
        <w:spacing w:after="0"/>
        <w:jc w:val="left"/>
        <w:rPr>
          <w:sz w:val="16"/>
        </w:rPr>
        <w:sectPr>
          <w:headerReference w:type="default" r:id="rId5"/>
          <w:footerReference w:type="default" r:id="rId6"/>
          <w:type w:val="continuous"/>
          <w:pgSz w:w="11910" w:h="16840"/>
          <w:pgMar w:header="857" w:footer="981" w:top="1040" w:bottom="1180" w:left="1140" w:right="920"/>
          <w:pgNumType w:start="1"/>
          <w:cols w:num="2" w:equalWidth="0">
            <w:col w:w="5849" w:space="1548"/>
            <w:col w:w="2453"/>
          </w:cols>
        </w:sectPr>
      </w:pPr>
    </w:p>
    <w:p>
      <w:pPr>
        <w:pStyle w:val="BodyText"/>
        <w:rPr>
          <w:sz w:val="12"/>
        </w:rPr>
      </w:pPr>
    </w:p>
    <w:p>
      <w:pPr>
        <w:spacing w:before="35"/>
        <w:ind w:left="1660" w:right="0" w:firstLine="0"/>
        <w:jc w:val="left"/>
        <w:rPr>
          <w:b/>
          <w:sz w:val="21"/>
        </w:rPr>
      </w:pPr>
      <w:r>
        <w:rPr/>
        <w:drawing>
          <wp:anchor distT="0" distB="0" distL="0" distR="0" allowOverlap="1" layoutInCell="1" locked="0" behindDoc="0" simplePos="0" relativeHeight="1072">
            <wp:simplePos x="0" y="0"/>
            <wp:positionH relativeFrom="page">
              <wp:posOffset>6225384</wp:posOffset>
            </wp:positionH>
            <wp:positionV relativeFrom="paragraph">
              <wp:posOffset>-461163</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57.929993pt;margin-top:14.841963pt;width:80pt;height:9.3pt;mso-position-horizontal-relative:page;mso-position-vertical-relative:paragraph;z-index:-25456"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8"/>
        <w:rPr>
          <w:b/>
          <w:sz w:val="15"/>
        </w:rPr>
      </w:pPr>
    </w:p>
    <w:p>
      <w:pPr>
        <w:pStyle w:val="Heading1"/>
        <w:tabs>
          <w:tab w:pos="1382" w:val="left" w:leader="none"/>
        </w:tabs>
        <w:spacing w:line="683" w:lineRule="exact"/>
        <w:ind w:left="371"/>
      </w:pPr>
      <w:r>
        <w:rPr/>
        <w:drawing>
          <wp:anchor distT="0" distB="0" distL="0" distR="0" allowOverlap="1" layoutInCell="1" locked="0" behindDoc="1" simplePos="0" relativeHeight="268409951">
            <wp:simplePos x="0" y="0"/>
            <wp:positionH relativeFrom="page">
              <wp:posOffset>798358</wp:posOffset>
            </wp:positionH>
            <wp:positionV relativeFrom="paragraph">
              <wp:posOffset>-72559</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2"/>
        <w:rPr>
          <w:b/>
          <w:sz w:val="8"/>
        </w:rPr>
      </w:pPr>
    </w:p>
    <w:p>
      <w:pPr>
        <w:spacing w:after="0"/>
        <w:rPr>
          <w:sz w:val="8"/>
        </w:rPr>
        <w:sectPr>
          <w:type w:val="continuous"/>
          <w:pgSz w:w="11910" w:h="16840"/>
          <w:pgMar w:top="1040" w:bottom="1180" w:left="1140" w:right="920"/>
        </w:sectPr>
      </w:pPr>
    </w:p>
    <w:p>
      <w:pPr>
        <w:pStyle w:val="Heading1"/>
        <w:spacing w:before="126"/>
        <w:ind w:left="1197"/>
      </w:pPr>
      <w:r>
        <w:rPr/>
        <w:pict>
          <v:line style="position:absolute;mso-position-horizontal-relative:page;mso-position-vertical-relative:page;z-index:-25528" from="63.720001pt,55.619999pt" to="543.000001pt,55.619999pt" stroked="true" strokeweight=".72pt" strokecolor="#000000">
            <v:stroke dashstyle="solid"/>
            <w10:wrap type="none"/>
          </v:line>
        </w:pict>
      </w:r>
      <w:r>
        <w:rPr>
          <w:w w:val="95"/>
        </w:rPr>
        <w:t>1.您与我们的合同</w:t>
      </w:r>
    </w:p>
    <w:p>
      <w:pPr>
        <w:pStyle w:val="ListParagraph"/>
        <w:numPr>
          <w:ilvl w:val="1"/>
          <w:numId w:val="2"/>
        </w:numPr>
        <w:tabs>
          <w:tab w:pos="1829" w:val="left" w:leader="none"/>
        </w:tabs>
        <w:spacing w:line="240" w:lineRule="auto" w:before="36" w:after="0"/>
        <w:ind w:left="1828" w:right="0" w:hanging="421"/>
        <w:jc w:val="left"/>
        <w:rPr>
          <w:sz w:val="21"/>
        </w:rPr>
      </w:pPr>
      <w:r>
        <w:rPr>
          <w:spacing w:val="-1"/>
          <w:sz w:val="21"/>
        </w:rPr>
        <w:t>合同构成</w:t>
      </w:r>
    </w:p>
    <w:p>
      <w:pPr>
        <w:pStyle w:val="ListParagraph"/>
        <w:numPr>
          <w:ilvl w:val="1"/>
          <w:numId w:val="2"/>
        </w:numPr>
        <w:tabs>
          <w:tab w:pos="1829" w:val="left" w:leader="none"/>
        </w:tabs>
        <w:spacing w:line="240" w:lineRule="auto" w:before="36" w:after="0"/>
        <w:ind w:left="1828" w:right="0" w:hanging="421"/>
        <w:jc w:val="left"/>
        <w:rPr>
          <w:sz w:val="21"/>
        </w:rPr>
      </w:pPr>
      <w:r>
        <w:rPr>
          <w:spacing w:val="-1"/>
          <w:sz w:val="21"/>
        </w:rPr>
        <w:t>合同成立与生效</w:t>
      </w:r>
    </w:p>
    <w:p>
      <w:pPr>
        <w:pStyle w:val="ListParagraph"/>
        <w:numPr>
          <w:ilvl w:val="1"/>
          <w:numId w:val="2"/>
        </w:numPr>
        <w:tabs>
          <w:tab w:pos="1828" w:val="left" w:leader="none"/>
        </w:tabs>
        <w:spacing w:line="240" w:lineRule="auto" w:before="36" w:after="0"/>
        <w:ind w:left="1827" w:right="0" w:hanging="420"/>
        <w:jc w:val="left"/>
        <w:rPr>
          <w:sz w:val="21"/>
        </w:rPr>
      </w:pPr>
      <w:r>
        <w:rPr>
          <w:sz w:val="21"/>
        </w:rPr>
        <w:t>犹豫期</w:t>
      </w:r>
    </w:p>
    <w:p>
      <w:pPr>
        <w:pStyle w:val="ListParagraph"/>
        <w:numPr>
          <w:ilvl w:val="1"/>
          <w:numId w:val="2"/>
        </w:numPr>
        <w:tabs>
          <w:tab w:pos="1829" w:val="left" w:leader="none"/>
        </w:tabs>
        <w:spacing w:line="240" w:lineRule="auto" w:before="36" w:after="0"/>
        <w:ind w:left="1828" w:right="0" w:hanging="421"/>
        <w:jc w:val="left"/>
        <w:rPr>
          <w:sz w:val="21"/>
        </w:rPr>
      </w:pPr>
      <w:r>
        <w:rPr>
          <w:spacing w:val="-1"/>
          <w:sz w:val="21"/>
        </w:rPr>
        <w:t>保险期间</w:t>
      </w:r>
    </w:p>
    <w:p>
      <w:pPr>
        <w:pStyle w:val="BodyText"/>
        <w:spacing w:before="8"/>
        <w:rPr>
          <w:sz w:val="26"/>
        </w:rPr>
      </w:pPr>
    </w:p>
    <w:p>
      <w:pPr>
        <w:pStyle w:val="Heading1"/>
        <w:ind w:left="1197"/>
      </w:pPr>
      <w:r>
        <w:rPr>
          <w:w w:val="95"/>
        </w:rPr>
        <w:t>2.我们提供的保障</w:t>
      </w:r>
    </w:p>
    <w:p>
      <w:pPr>
        <w:pStyle w:val="ListParagraph"/>
        <w:numPr>
          <w:ilvl w:val="1"/>
          <w:numId w:val="3"/>
        </w:numPr>
        <w:tabs>
          <w:tab w:pos="1829" w:val="left" w:leader="none"/>
        </w:tabs>
        <w:spacing w:line="240" w:lineRule="auto" w:before="37" w:after="0"/>
        <w:ind w:left="1828" w:right="0" w:hanging="421"/>
        <w:jc w:val="left"/>
        <w:rPr>
          <w:sz w:val="21"/>
        </w:rPr>
      </w:pPr>
      <w:r>
        <w:rPr>
          <w:spacing w:val="-1"/>
          <w:sz w:val="21"/>
        </w:rPr>
        <w:t>保险金额</w:t>
      </w:r>
    </w:p>
    <w:p>
      <w:pPr>
        <w:pStyle w:val="ListParagraph"/>
        <w:numPr>
          <w:ilvl w:val="1"/>
          <w:numId w:val="3"/>
        </w:numPr>
        <w:tabs>
          <w:tab w:pos="1829" w:val="left" w:leader="none"/>
        </w:tabs>
        <w:spacing w:line="240" w:lineRule="auto" w:before="37" w:after="0"/>
        <w:ind w:left="1828" w:right="0" w:hanging="421"/>
        <w:jc w:val="left"/>
        <w:rPr>
          <w:sz w:val="21"/>
        </w:rPr>
      </w:pPr>
      <w:r>
        <w:rPr>
          <w:spacing w:val="-1"/>
          <w:sz w:val="21"/>
        </w:rPr>
        <w:t>保险责任</w:t>
      </w:r>
    </w:p>
    <w:p>
      <w:pPr>
        <w:pStyle w:val="ListParagraph"/>
        <w:numPr>
          <w:ilvl w:val="1"/>
          <w:numId w:val="3"/>
        </w:numPr>
        <w:tabs>
          <w:tab w:pos="1829" w:val="left" w:leader="none"/>
        </w:tabs>
        <w:spacing w:line="240" w:lineRule="auto" w:before="37" w:after="0"/>
        <w:ind w:left="1828" w:right="0" w:hanging="421"/>
        <w:jc w:val="left"/>
        <w:rPr>
          <w:sz w:val="21"/>
        </w:rPr>
      </w:pPr>
      <w:r>
        <w:rPr>
          <w:spacing w:val="-1"/>
          <w:sz w:val="21"/>
        </w:rPr>
        <w:t>责任免除</w:t>
      </w:r>
    </w:p>
    <w:p>
      <w:pPr>
        <w:pStyle w:val="BodyText"/>
        <w:spacing w:before="8"/>
        <w:rPr>
          <w:sz w:val="26"/>
        </w:rPr>
      </w:pPr>
    </w:p>
    <w:p>
      <w:pPr>
        <w:pStyle w:val="Heading1"/>
        <w:ind w:left="1197"/>
      </w:pPr>
      <w:r>
        <w:rPr>
          <w:w w:val="95"/>
        </w:rPr>
        <w:t>3.如何申请豁免保险费</w:t>
      </w:r>
    </w:p>
    <w:p>
      <w:pPr>
        <w:pStyle w:val="ListParagraph"/>
        <w:numPr>
          <w:ilvl w:val="1"/>
          <w:numId w:val="4"/>
        </w:numPr>
        <w:tabs>
          <w:tab w:pos="1829" w:val="left" w:leader="none"/>
        </w:tabs>
        <w:spacing w:line="240" w:lineRule="auto" w:before="36" w:after="0"/>
        <w:ind w:left="1828" w:right="0" w:hanging="421"/>
        <w:jc w:val="left"/>
        <w:rPr>
          <w:sz w:val="21"/>
        </w:rPr>
      </w:pPr>
      <w:r>
        <w:rPr>
          <w:spacing w:val="-1"/>
          <w:sz w:val="21"/>
        </w:rPr>
        <w:t>豁免保险费申请</w:t>
      </w:r>
    </w:p>
    <w:p>
      <w:pPr>
        <w:pStyle w:val="ListParagraph"/>
        <w:numPr>
          <w:ilvl w:val="1"/>
          <w:numId w:val="4"/>
        </w:numPr>
        <w:tabs>
          <w:tab w:pos="1829" w:val="left" w:leader="none"/>
        </w:tabs>
        <w:spacing w:line="240" w:lineRule="auto" w:before="36" w:after="0"/>
        <w:ind w:left="1828" w:right="0" w:hanging="421"/>
        <w:jc w:val="left"/>
        <w:rPr>
          <w:sz w:val="21"/>
        </w:rPr>
      </w:pPr>
      <w:r>
        <w:rPr>
          <w:spacing w:val="-1"/>
          <w:sz w:val="21"/>
        </w:rPr>
        <w:t>未还款项</w:t>
      </w:r>
    </w:p>
    <w:p>
      <w:pPr>
        <w:pStyle w:val="ListParagraph"/>
        <w:numPr>
          <w:ilvl w:val="1"/>
          <w:numId w:val="4"/>
        </w:numPr>
        <w:tabs>
          <w:tab w:pos="1829" w:val="left" w:leader="none"/>
        </w:tabs>
        <w:spacing w:line="240" w:lineRule="auto" w:before="36" w:after="0"/>
        <w:ind w:left="1828" w:right="0" w:hanging="421"/>
        <w:jc w:val="left"/>
        <w:rPr>
          <w:sz w:val="21"/>
        </w:rPr>
      </w:pPr>
      <w:r>
        <w:rPr>
          <w:spacing w:val="-1"/>
          <w:sz w:val="21"/>
        </w:rPr>
        <w:t>诉讼时效</w:t>
      </w:r>
    </w:p>
    <w:p>
      <w:pPr>
        <w:pStyle w:val="Heading1"/>
        <w:spacing w:before="71"/>
        <w:ind w:left="502"/>
      </w:pPr>
      <w:r>
        <w:rPr>
          <w:b w:val="0"/>
        </w:rPr>
        <w:br w:type="column"/>
      </w:r>
      <w:r>
        <w:rPr>
          <w:w w:val="95"/>
        </w:rPr>
        <w:t>4.如何交付保险费</w:t>
      </w:r>
    </w:p>
    <w:p>
      <w:pPr>
        <w:pStyle w:val="ListParagraph"/>
        <w:numPr>
          <w:ilvl w:val="1"/>
          <w:numId w:val="5"/>
        </w:numPr>
        <w:tabs>
          <w:tab w:pos="1134" w:val="left" w:leader="none"/>
        </w:tabs>
        <w:spacing w:line="240" w:lineRule="auto" w:before="37" w:after="0"/>
        <w:ind w:left="1132" w:right="0" w:hanging="420"/>
        <w:jc w:val="left"/>
        <w:rPr>
          <w:sz w:val="21"/>
        </w:rPr>
      </w:pPr>
      <w:r>
        <w:rPr>
          <w:spacing w:val="-1"/>
          <w:sz w:val="21"/>
        </w:rPr>
        <w:t>保险费的交付</w:t>
      </w:r>
    </w:p>
    <w:p>
      <w:pPr>
        <w:pStyle w:val="ListParagraph"/>
        <w:numPr>
          <w:ilvl w:val="1"/>
          <w:numId w:val="5"/>
        </w:numPr>
        <w:tabs>
          <w:tab w:pos="1134" w:val="left" w:leader="none"/>
        </w:tabs>
        <w:spacing w:line="273" w:lineRule="auto" w:before="37" w:after="0"/>
        <w:ind w:left="1132" w:right="600" w:hanging="420"/>
        <w:jc w:val="left"/>
        <w:rPr>
          <w:sz w:val="21"/>
        </w:rPr>
      </w:pPr>
      <w:r>
        <w:rPr>
          <w:sz w:val="21"/>
        </w:rPr>
        <w:t>续期保险费的交付、宽限期</w:t>
      </w:r>
    </w:p>
    <w:p>
      <w:pPr>
        <w:pStyle w:val="BodyText"/>
        <w:spacing w:before="5"/>
        <w:rPr>
          <w:sz w:val="24"/>
        </w:rPr>
      </w:pPr>
    </w:p>
    <w:p>
      <w:pPr>
        <w:pStyle w:val="Heading1"/>
        <w:ind w:left="502"/>
      </w:pPr>
      <w:r>
        <w:rPr>
          <w:w w:val="95"/>
        </w:rPr>
        <w:t>5.现金价值权益</w:t>
      </w:r>
    </w:p>
    <w:p>
      <w:pPr>
        <w:pStyle w:val="ListParagraph"/>
        <w:numPr>
          <w:ilvl w:val="1"/>
          <w:numId w:val="6"/>
        </w:numPr>
        <w:tabs>
          <w:tab w:pos="1135" w:val="left" w:leader="none"/>
        </w:tabs>
        <w:spacing w:line="240" w:lineRule="auto" w:before="37" w:after="0"/>
        <w:ind w:left="1134" w:right="0" w:hanging="421"/>
        <w:jc w:val="left"/>
        <w:rPr>
          <w:sz w:val="21"/>
        </w:rPr>
      </w:pPr>
      <w:r>
        <w:rPr>
          <w:spacing w:val="-1"/>
          <w:sz w:val="21"/>
        </w:rPr>
        <w:t>现金价值</w:t>
      </w:r>
    </w:p>
    <w:p>
      <w:pPr>
        <w:pStyle w:val="ListParagraph"/>
        <w:numPr>
          <w:ilvl w:val="1"/>
          <w:numId w:val="6"/>
        </w:numPr>
        <w:tabs>
          <w:tab w:pos="1133" w:val="left" w:leader="none"/>
        </w:tabs>
        <w:spacing w:line="240" w:lineRule="auto" w:before="37" w:after="0"/>
        <w:ind w:left="1132" w:right="0" w:hanging="420"/>
        <w:jc w:val="left"/>
        <w:rPr>
          <w:sz w:val="21"/>
        </w:rPr>
      </w:pPr>
      <w:r>
        <w:rPr>
          <w:spacing w:val="-1"/>
          <w:sz w:val="21"/>
        </w:rPr>
        <w:t>自动垫交</w:t>
      </w:r>
    </w:p>
    <w:p>
      <w:pPr>
        <w:pStyle w:val="ListParagraph"/>
        <w:numPr>
          <w:ilvl w:val="1"/>
          <w:numId w:val="6"/>
        </w:numPr>
        <w:tabs>
          <w:tab w:pos="1134" w:val="left" w:leader="none"/>
        </w:tabs>
        <w:spacing w:line="240" w:lineRule="auto" w:before="37" w:after="0"/>
        <w:ind w:left="1133" w:right="0" w:hanging="420"/>
        <w:jc w:val="left"/>
        <w:rPr>
          <w:sz w:val="21"/>
        </w:rPr>
      </w:pPr>
      <w:r>
        <w:rPr>
          <w:spacing w:val="-1"/>
          <w:sz w:val="21"/>
        </w:rPr>
        <w:t>保险单借款</w:t>
      </w:r>
    </w:p>
    <w:p>
      <w:pPr>
        <w:pStyle w:val="BodyText"/>
        <w:spacing w:before="8"/>
        <w:rPr>
          <w:sz w:val="26"/>
        </w:rPr>
      </w:pPr>
    </w:p>
    <w:p>
      <w:pPr>
        <w:pStyle w:val="Heading1"/>
        <w:ind w:left="502"/>
      </w:pPr>
      <w:r>
        <w:rPr>
          <w:w w:val="95"/>
        </w:rPr>
        <w:t>6.如何解除保险合同</w:t>
      </w:r>
    </w:p>
    <w:p>
      <w:pPr>
        <w:spacing w:line="273" w:lineRule="auto" w:before="36"/>
        <w:ind w:left="1118" w:right="0" w:hanging="405"/>
        <w:jc w:val="left"/>
        <w:rPr>
          <w:sz w:val="21"/>
        </w:rPr>
      </w:pPr>
      <w:r>
        <w:rPr>
          <w:sz w:val="21"/>
        </w:rPr>
        <w:t>6.1</w:t>
      </w:r>
      <w:r>
        <w:rPr>
          <w:spacing w:val="-6"/>
          <w:sz w:val="21"/>
        </w:rPr>
        <w:t> 您解除合同的手续及风险</w:t>
      </w:r>
    </w:p>
    <w:p>
      <w:pPr>
        <w:pStyle w:val="Heading1"/>
        <w:spacing w:before="35"/>
        <w:ind w:left="227"/>
      </w:pPr>
      <w:r>
        <w:rPr>
          <w:b w:val="0"/>
        </w:rPr>
        <w:br w:type="column"/>
      </w:r>
      <w:r>
        <w:rPr>
          <w:w w:val="95"/>
        </w:rPr>
        <w:t>7.其他需要您关注的事项</w:t>
      </w:r>
    </w:p>
    <w:p>
      <w:pPr>
        <w:pStyle w:val="ListParagraph"/>
        <w:numPr>
          <w:ilvl w:val="1"/>
          <w:numId w:val="7"/>
        </w:numPr>
        <w:tabs>
          <w:tab w:pos="858" w:val="left" w:leader="none"/>
        </w:tabs>
        <w:spacing w:line="240" w:lineRule="auto" w:before="36" w:after="0"/>
        <w:ind w:left="857" w:right="0" w:hanging="420"/>
        <w:jc w:val="left"/>
        <w:rPr>
          <w:sz w:val="21"/>
        </w:rPr>
      </w:pPr>
      <w:r>
        <w:rPr>
          <w:spacing w:val="-1"/>
          <w:sz w:val="21"/>
        </w:rPr>
        <w:t>投保范围</w:t>
      </w:r>
    </w:p>
    <w:p>
      <w:pPr>
        <w:pStyle w:val="ListParagraph"/>
        <w:numPr>
          <w:ilvl w:val="1"/>
          <w:numId w:val="7"/>
        </w:numPr>
        <w:tabs>
          <w:tab w:pos="858" w:val="left" w:leader="none"/>
        </w:tabs>
        <w:spacing w:line="240" w:lineRule="auto" w:before="36" w:after="0"/>
        <w:ind w:left="857" w:right="0" w:hanging="420"/>
        <w:jc w:val="left"/>
        <w:rPr>
          <w:sz w:val="21"/>
        </w:rPr>
      </w:pPr>
      <w:r>
        <w:rPr>
          <w:spacing w:val="-1"/>
          <w:sz w:val="21"/>
        </w:rPr>
        <w:t>合同内容变更</w:t>
      </w:r>
    </w:p>
    <w:p>
      <w:pPr>
        <w:pStyle w:val="BodyText"/>
        <w:spacing w:before="8"/>
        <w:rPr>
          <w:sz w:val="26"/>
        </w:rPr>
      </w:pPr>
    </w:p>
    <w:p>
      <w:pPr>
        <w:pStyle w:val="Heading1"/>
        <w:ind w:left="227"/>
      </w:pPr>
      <w:r>
        <w:rPr>
          <w:w w:val="95"/>
        </w:rPr>
        <w:t>8.释义</w:t>
      </w:r>
    </w:p>
    <w:p>
      <w:pPr>
        <w:pStyle w:val="ListParagraph"/>
        <w:numPr>
          <w:ilvl w:val="1"/>
          <w:numId w:val="8"/>
        </w:numPr>
        <w:tabs>
          <w:tab w:pos="859" w:val="left" w:leader="none"/>
        </w:tabs>
        <w:spacing w:line="240" w:lineRule="auto" w:before="37" w:after="0"/>
        <w:ind w:left="858" w:right="0" w:hanging="421"/>
        <w:jc w:val="left"/>
        <w:rPr>
          <w:sz w:val="21"/>
        </w:rPr>
      </w:pPr>
      <w:r>
        <w:rPr>
          <w:spacing w:val="-1"/>
          <w:sz w:val="21"/>
        </w:rPr>
        <w:t>有效身份证件</w:t>
      </w:r>
    </w:p>
    <w:p>
      <w:pPr>
        <w:pStyle w:val="ListParagraph"/>
        <w:numPr>
          <w:ilvl w:val="1"/>
          <w:numId w:val="8"/>
        </w:numPr>
        <w:tabs>
          <w:tab w:pos="858" w:val="left" w:leader="none"/>
        </w:tabs>
        <w:spacing w:line="240" w:lineRule="auto" w:before="37" w:after="0"/>
        <w:ind w:left="857" w:right="0" w:hanging="420"/>
        <w:jc w:val="left"/>
        <w:rPr>
          <w:sz w:val="21"/>
        </w:rPr>
      </w:pPr>
      <w:r>
        <w:rPr>
          <w:sz w:val="21"/>
        </w:rPr>
        <w:t>发病</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指定或认可的医疗机构</w:t>
      </w:r>
    </w:p>
    <w:p>
      <w:pPr>
        <w:pStyle w:val="ListParagraph"/>
        <w:numPr>
          <w:ilvl w:val="1"/>
          <w:numId w:val="8"/>
        </w:numPr>
        <w:tabs>
          <w:tab w:pos="859" w:val="left" w:leader="none"/>
        </w:tabs>
        <w:spacing w:line="240" w:lineRule="auto" w:before="37" w:after="0"/>
        <w:ind w:left="858" w:right="0" w:hanging="421"/>
        <w:jc w:val="left"/>
        <w:rPr>
          <w:sz w:val="21"/>
        </w:rPr>
      </w:pPr>
      <w:r>
        <w:rPr>
          <w:sz w:val="21"/>
        </w:rPr>
        <w:t>毒品</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酒后驾驶</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无合法有效驾驶证驾驶</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无有效行驶证</w:t>
      </w:r>
    </w:p>
    <w:p>
      <w:pPr>
        <w:pStyle w:val="ListParagraph"/>
        <w:numPr>
          <w:ilvl w:val="1"/>
          <w:numId w:val="8"/>
        </w:numPr>
        <w:tabs>
          <w:tab w:pos="858" w:val="left" w:leader="none"/>
        </w:tabs>
        <w:spacing w:line="240" w:lineRule="auto" w:before="37" w:after="0"/>
        <w:ind w:left="857" w:right="0" w:hanging="420"/>
        <w:jc w:val="left"/>
        <w:rPr>
          <w:sz w:val="21"/>
        </w:rPr>
      </w:pPr>
      <w:r>
        <w:rPr>
          <w:sz w:val="21"/>
        </w:rPr>
        <w:t>艾滋病</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艾滋病病毒</w:t>
      </w:r>
    </w:p>
    <w:p>
      <w:pPr>
        <w:pStyle w:val="ListParagraph"/>
        <w:numPr>
          <w:ilvl w:val="1"/>
          <w:numId w:val="8"/>
        </w:numPr>
        <w:tabs>
          <w:tab w:pos="963" w:val="left" w:leader="none"/>
        </w:tabs>
        <w:spacing w:line="240" w:lineRule="auto" w:before="37" w:after="0"/>
        <w:ind w:left="962" w:right="0" w:hanging="525"/>
        <w:jc w:val="left"/>
        <w:rPr>
          <w:sz w:val="21"/>
        </w:rPr>
      </w:pPr>
      <w:r>
        <w:rPr>
          <w:spacing w:val="-1"/>
          <w:sz w:val="21"/>
        </w:rPr>
        <w:t>现金价值净额</w:t>
      </w:r>
    </w:p>
    <w:p>
      <w:pPr>
        <w:pStyle w:val="ListParagraph"/>
        <w:numPr>
          <w:ilvl w:val="1"/>
          <w:numId w:val="8"/>
        </w:numPr>
        <w:tabs>
          <w:tab w:pos="963" w:val="left" w:leader="none"/>
        </w:tabs>
        <w:spacing w:line="240" w:lineRule="auto" w:before="37" w:after="0"/>
        <w:ind w:left="962" w:right="0" w:hanging="525"/>
        <w:jc w:val="left"/>
        <w:rPr>
          <w:sz w:val="21"/>
        </w:rPr>
      </w:pPr>
      <w:r>
        <w:rPr>
          <w:sz w:val="21"/>
        </w:rPr>
        <w:t>利息</w:t>
      </w:r>
    </w:p>
    <w:p>
      <w:pPr>
        <w:pStyle w:val="ListParagraph"/>
        <w:numPr>
          <w:ilvl w:val="1"/>
          <w:numId w:val="8"/>
        </w:numPr>
        <w:tabs>
          <w:tab w:pos="962" w:val="left" w:leader="none"/>
        </w:tabs>
        <w:spacing w:line="240" w:lineRule="auto" w:before="37" w:after="0"/>
        <w:ind w:left="961" w:right="0" w:hanging="524"/>
        <w:jc w:val="left"/>
        <w:rPr>
          <w:sz w:val="21"/>
        </w:rPr>
      </w:pPr>
      <w:r>
        <w:rPr>
          <w:spacing w:val="-1"/>
          <w:sz w:val="21"/>
        </w:rPr>
        <w:t>现金价值</w:t>
      </w:r>
    </w:p>
    <w:p>
      <w:pPr>
        <w:spacing w:after="0" w:line="240" w:lineRule="auto"/>
        <w:jc w:val="left"/>
        <w:rPr>
          <w:sz w:val="21"/>
        </w:rPr>
        <w:sectPr>
          <w:type w:val="continuous"/>
          <w:pgSz w:w="11910" w:h="16840"/>
          <w:pgMar w:top="1040" w:bottom="1180" w:left="1140" w:right="920"/>
          <w:cols w:num="3" w:equalWidth="0">
            <w:col w:w="3306" w:space="40"/>
            <w:col w:w="2996" w:space="39"/>
            <w:col w:w="3469"/>
          </w:cols>
        </w:sectPr>
      </w:pPr>
    </w:p>
    <w:p>
      <w:pPr>
        <w:pStyle w:val="BodyText"/>
        <w:spacing w:before="3"/>
        <w:rPr>
          <w:sz w:val="28"/>
        </w:rPr>
      </w:pPr>
    </w:p>
    <w:p>
      <w:pPr>
        <w:spacing w:before="14"/>
        <w:ind w:left="3300" w:right="0" w:firstLine="0"/>
        <w:jc w:val="left"/>
        <w:rPr>
          <w:b/>
          <w:sz w:val="28"/>
        </w:rPr>
      </w:pPr>
      <w:r>
        <w:rPr>
          <w:b/>
          <w:w w:val="95"/>
          <w:sz w:val="28"/>
        </w:rPr>
        <w:t>民生人寿保险股份有限公司</w:t>
      </w:r>
    </w:p>
    <w:p>
      <w:pPr>
        <w:pStyle w:val="BodyText"/>
        <w:spacing w:before="4"/>
        <w:rPr>
          <w:b/>
          <w:sz w:val="2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333"/>
      </w:tblGrid>
      <w:tr>
        <w:trPr>
          <w:trHeight w:val="586" w:hRule="atLeast"/>
        </w:trPr>
        <w:tc>
          <w:tcPr>
            <w:tcW w:w="609" w:type="dxa"/>
          </w:tcPr>
          <w:p>
            <w:pPr>
              <w:pStyle w:val="TableParagraph"/>
              <w:rPr>
                <w:rFonts w:ascii="Times New Roman"/>
                <w:sz w:val="18"/>
              </w:rPr>
            </w:pPr>
          </w:p>
        </w:tc>
        <w:tc>
          <w:tcPr>
            <w:tcW w:w="9333" w:type="dxa"/>
          </w:tcPr>
          <w:p>
            <w:pPr>
              <w:pStyle w:val="TableParagraph"/>
              <w:spacing w:line="280" w:lineRule="exact"/>
              <w:ind w:left="2153"/>
              <w:rPr>
                <w:b/>
                <w:sz w:val="28"/>
              </w:rPr>
            </w:pPr>
            <w:r>
              <w:rPr>
                <w:b/>
                <w:w w:val="95"/>
                <w:sz w:val="28"/>
              </w:rPr>
              <w:t>附加豁免保险费重大疾病保险条款</w:t>
            </w:r>
          </w:p>
        </w:tc>
      </w:tr>
      <w:tr>
        <w:trPr>
          <w:trHeight w:val="837" w:hRule="atLeast"/>
        </w:trPr>
        <w:tc>
          <w:tcPr>
            <w:tcW w:w="9942" w:type="dxa"/>
            <w:gridSpan w:val="2"/>
          </w:tcPr>
          <w:p>
            <w:pPr>
              <w:pStyle w:val="TableParagraph"/>
              <w:spacing w:before="6"/>
              <w:rPr>
                <w:b/>
                <w:sz w:val="18"/>
              </w:rPr>
            </w:pPr>
          </w:p>
          <w:p>
            <w:pPr>
              <w:pStyle w:val="TableParagraph"/>
              <w:ind w:left="107"/>
              <w:rPr>
                <w:sz w:val="21"/>
              </w:rPr>
            </w:pPr>
            <w:r>
              <w:rPr>
                <w:spacing w:val="-23"/>
                <w:sz w:val="21"/>
              </w:rPr>
              <w:t>在本条款中，“您”指投保人，“我们”、“本公司”均指民生人寿保险股份有限公司</w:t>
            </w:r>
          </w:p>
        </w:tc>
      </w:tr>
      <w:tr>
        <w:trPr>
          <w:trHeight w:val="754" w:hRule="atLeast"/>
        </w:trPr>
        <w:tc>
          <w:tcPr>
            <w:tcW w:w="609" w:type="dxa"/>
            <w:tcBorders>
              <w:bottom w:val="single" w:sz="4" w:space="0" w:color="000000"/>
            </w:tcBorders>
          </w:tcPr>
          <w:p>
            <w:pPr>
              <w:pStyle w:val="TableParagraph"/>
              <w:spacing w:before="14"/>
              <w:ind w:left="107"/>
              <w:rPr>
                <w:rFonts w:ascii="Yu Gothic"/>
                <w:b/>
                <w:sz w:val="40"/>
              </w:rPr>
            </w:pPr>
            <w:r>
              <w:rPr>
                <w:rFonts w:ascii="Yu Gothic"/>
                <w:b/>
                <w:w w:val="155"/>
                <w:sz w:val="40"/>
              </w:rPr>
              <w:t>0</w:t>
            </w:r>
          </w:p>
        </w:tc>
        <w:tc>
          <w:tcPr>
            <w:tcW w:w="9333" w:type="dxa"/>
            <w:tcBorders>
              <w:bottom w:val="single" w:sz="4" w:space="0" w:color="000000"/>
            </w:tcBorders>
          </w:tcPr>
          <w:p>
            <w:pPr>
              <w:pStyle w:val="TableParagraph"/>
              <w:spacing w:before="11"/>
              <w:rPr>
                <w:b/>
                <w:sz w:val="18"/>
              </w:rPr>
            </w:pPr>
          </w:p>
          <w:p>
            <w:pPr>
              <w:pStyle w:val="TableParagraph"/>
              <w:ind w:left="181"/>
              <w:rPr>
                <w:b/>
                <w:sz w:val="24"/>
              </w:rPr>
            </w:pPr>
            <w:r>
              <w:rPr>
                <w:b/>
                <w:w w:val="95"/>
                <w:sz w:val="24"/>
              </w:rPr>
              <w:t>您与我们的合同</w:t>
            </w:r>
          </w:p>
        </w:tc>
      </w:tr>
      <w:tr>
        <w:trPr>
          <w:trHeight w:val="848" w:hRule="atLeast"/>
        </w:trPr>
        <w:tc>
          <w:tcPr>
            <w:tcW w:w="9942" w:type="dxa"/>
            <w:gridSpan w:val="2"/>
            <w:tcBorders>
              <w:top w:val="single" w:sz="4" w:space="0" w:color="000000"/>
            </w:tcBorders>
          </w:tcPr>
          <w:p>
            <w:pPr>
              <w:pStyle w:val="TableParagraph"/>
              <w:spacing w:before="5"/>
              <w:rPr>
                <w:b/>
                <w:sz w:val="15"/>
              </w:rPr>
            </w:pPr>
          </w:p>
          <w:p>
            <w:pPr>
              <w:pStyle w:val="TableParagraph"/>
              <w:tabs>
                <w:tab w:pos="790" w:val="left" w:leader="none"/>
                <w:tab w:pos="2498" w:val="left" w:leader="none"/>
              </w:tabs>
              <w:spacing w:line="295" w:lineRule="auto" w:before="1"/>
              <w:ind w:left="2498" w:right="151" w:hanging="2391"/>
              <w:rPr>
                <w:sz w:val="18"/>
              </w:rPr>
            </w:pPr>
            <w:r>
              <w:rPr>
                <w:b/>
                <w:w w:val="99"/>
                <w:sz w:val="21"/>
              </w:rPr>
              <w:t>1.1</w:t>
            </w:r>
            <w:r>
              <w:rPr>
                <w:b/>
                <w:sz w:val="21"/>
              </w:rPr>
              <w:tab/>
            </w:r>
            <w:r>
              <w:rPr>
                <w:b/>
                <w:w w:val="99"/>
                <w:sz w:val="21"/>
              </w:rPr>
              <w:t>合同构成</w:t>
            </w:r>
            <w:r>
              <w:rPr>
                <w:b/>
                <w:sz w:val="21"/>
              </w:rPr>
              <w:tab/>
            </w:r>
            <w:r>
              <w:rPr>
                <w:position w:val="1"/>
                <w:sz w:val="18"/>
              </w:rPr>
              <w:t>本附加保险合同（以下简称“本附加合同</w:t>
            </w:r>
            <w:r>
              <w:rPr>
                <w:spacing w:val="-90"/>
                <w:position w:val="1"/>
                <w:sz w:val="18"/>
              </w:rPr>
              <w:t>”</w:t>
            </w:r>
            <w:r>
              <w:rPr>
                <w:position w:val="1"/>
                <w:sz w:val="18"/>
              </w:rPr>
              <w:t>）附加于本公司规定的主保险合同（以下简称“主</w:t>
            </w:r>
            <w:r>
              <w:rPr>
                <w:sz w:val="18"/>
              </w:rPr>
              <w:t>险合同</w:t>
            </w:r>
            <w:r>
              <w:rPr>
                <w:spacing w:val="-90"/>
                <w:sz w:val="18"/>
              </w:rPr>
              <w:t>”</w:t>
            </w:r>
            <w:r>
              <w:rPr>
                <w:sz w:val="18"/>
              </w:rPr>
              <w:t>）上。主险合同所附条款、投保单及与本附加合同有关的其他投保文件、合法有效的</w:t>
            </w:r>
          </w:p>
        </w:tc>
      </w:tr>
      <w:tr>
        <w:trPr>
          <w:trHeight w:val="722" w:hRule="atLeast"/>
        </w:trPr>
        <w:tc>
          <w:tcPr>
            <w:tcW w:w="609" w:type="dxa"/>
          </w:tcPr>
          <w:p>
            <w:pPr>
              <w:pStyle w:val="TableParagraph"/>
              <w:rPr>
                <w:rFonts w:ascii="Times New Roman"/>
                <w:sz w:val="18"/>
              </w:rPr>
            </w:pPr>
          </w:p>
        </w:tc>
        <w:tc>
          <w:tcPr>
            <w:tcW w:w="9333" w:type="dxa"/>
          </w:tcPr>
          <w:p>
            <w:pPr>
              <w:pStyle w:val="TableParagraph"/>
              <w:spacing w:line="319" w:lineRule="auto" w:before="3"/>
              <w:ind w:left="1889" w:right="781"/>
              <w:rPr>
                <w:sz w:val="18"/>
              </w:rPr>
            </w:pPr>
            <w:r>
              <w:rPr>
                <w:sz w:val="18"/>
              </w:rPr>
              <w:t>声明、批注和其他书面协议，凡与本附加合同相关者，均为本附加合同的构成部分。除本附加合同另有约定外，其他未尽事宜以主险合同为准。</w:t>
            </w:r>
          </w:p>
        </w:tc>
      </w:tr>
      <w:tr>
        <w:trPr>
          <w:trHeight w:val="1369" w:hRule="atLeast"/>
        </w:trPr>
        <w:tc>
          <w:tcPr>
            <w:tcW w:w="609" w:type="dxa"/>
          </w:tcPr>
          <w:p>
            <w:pPr>
              <w:pStyle w:val="TableParagraph"/>
              <w:spacing w:before="106"/>
              <w:ind w:left="107"/>
              <w:rPr>
                <w:b/>
                <w:sz w:val="21"/>
              </w:rPr>
            </w:pPr>
            <w:r>
              <w:rPr>
                <w:b/>
                <w:sz w:val="21"/>
              </w:rPr>
              <w:t>1.2</w:t>
            </w:r>
          </w:p>
        </w:tc>
        <w:tc>
          <w:tcPr>
            <w:tcW w:w="9333" w:type="dxa"/>
          </w:tcPr>
          <w:p>
            <w:pPr>
              <w:pStyle w:val="TableParagraph"/>
              <w:tabs>
                <w:tab w:pos="1889" w:val="left" w:leader="none"/>
              </w:tabs>
              <w:spacing w:before="106"/>
              <w:ind w:left="181"/>
              <w:rPr>
                <w:sz w:val="18"/>
              </w:rPr>
            </w:pPr>
            <w:r>
              <w:rPr>
                <w:b/>
                <w:sz w:val="21"/>
              </w:rPr>
              <w:t>合同成立与生效</w:t>
              <w:tab/>
            </w:r>
            <w:r>
              <w:rPr>
                <w:position w:val="1"/>
                <w:sz w:val="18"/>
              </w:rPr>
              <w:t>自您提出保险申请，本公司同意承保，本附加合同成立。合同成立日期在保险单上载明。</w:t>
            </w:r>
          </w:p>
          <w:p>
            <w:pPr>
              <w:pStyle w:val="TableParagraph"/>
              <w:spacing w:line="316" w:lineRule="auto" w:before="62"/>
              <w:ind w:left="1889" w:right="40"/>
              <w:rPr>
                <w:sz w:val="18"/>
              </w:rPr>
            </w:pPr>
            <w:r>
              <w:rPr>
                <w:sz w:val="18"/>
              </w:rPr>
              <w:t>本附加合同自本公司同意承保、收取首期保险费并签发保险单开始生效，具体生效日以保险单载明的日期为准。我们自生效日零时起开始承担本附加合同约定的保险责任。</w:t>
            </w:r>
          </w:p>
          <w:p>
            <w:pPr>
              <w:pStyle w:val="TableParagraph"/>
              <w:spacing w:before="18"/>
              <w:ind w:left="1889"/>
              <w:rPr>
                <w:sz w:val="18"/>
              </w:rPr>
            </w:pPr>
            <w:r>
              <w:rPr>
                <w:sz w:val="18"/>
              </w:rPr>
              <w:t>本附加合同生效日以后每年的对应日是保险单周年日。保险单年度、保险单月份、保险费到期</w:t>
            </w:r>
          </w:p>
        </w:tc>
      </w:tr>
      <w:tr>
        <w:trPr>
          <w:trHeight w:val="729" w:hRule="atLeast"/>
        </w:trPr>
        <w:tc>
          <w:tcPr>
            <w:tcW w:w="609" w:type="dxa"/>
          </w:tcPr>
          <w:p>
            <w:pPr>
              <w:pStyle w:val="TableParagraph"/>
              <w:rPr>
                <w:rFonts w:ascii="Times New Roman"/>
                <w:sz w:val="18"/>
              </w:rPr>
            </w:pPr>
          </w:p>
        </w:tc>
        <w:tc>
          <w:tcPr>
            <w:tcW w:w="9333" w:type="dxa"/>
          </w:tcPr>
          <w:p>
            <w:pPr>
              <w:pStyle w:val="TableParagraph"/>
              <w:spacing w:before="10"/>
              <w:ind w:left="1889"/>
              <w:rPr>
                <w:sz w:val="18"/>
              </w:rPr>
            </w:pPr>
            <w:r>
              <w:rPr>
                <w:sz w:val="18"/>
              </w:rPr>
              <w:t>日和保险单满期日均以该日期计算。</w:t>
            </w:r>
          </w:p>
          <w:p>
            <w:pPr>
              <w:pStyle w:val="TableParagraph"/>
              <w:spacing w:before="76"/>
              <w:ind w:left="1889"/>
              <w:rPr>
                <w:sz w:val="18"/>
              </w:rPr>
            </w:pPr>
            <w:r>
              <w:rPr>
                <w:sz w:val="18"/>
              </w:rPr>
              <w:t>如果当月无对应的同一天，则以该月最后一日作为对应日。</w:t>
            </w:r>
          </w:p>
        </w:tc>
      </w:tr>
      <w:tr>
        <w:trPr>
          <w:trHeight w:val="752" w:hRule="atLeast"/>
        </w:trPr>
        <w:tc>
          <w:tcPr>
            <w:tcW w:w="609" w:type="dxa"/>
          </w:tcPr>
          <w:p>
            <w:pPr>
              <w:pStyle w:val="TableParagraph"/>
              <w:spacing w:before="106"/>
              <w:ind w:left="107"/>
              <w:rPr>
                <w:b/>
                <w:sz w:val="21"/>
              </w:rPr>
            </w:pPr>
            <w:r>
              <w:rPr>
                <w:b/>
                <w:sz w:val="21"/>
              </w:rPr>
              <w:t>1.3</w:t>
            </w:r>
          </w:p>
        </w:tc>
        <w:tc>
          <w:tcPr>
            <w:tcW w:w="9333" w:type="dxa"/>
          </w:tcPr>
          <w:p>
            <w:pPr>
              <w:pStyle w:val="TableParagraph"/>
              <w:tabs>
                <w:tab w:pos="1889" w:val="left" w:leader="none"/>
              </w:tabs>
              <w:spacing w:line="295" w:lineRule="auto" w:before="106"/>
              <w:ind w:left="1889" w:right="97" w:hanging="1708"/>
              <w:rPr>
                <w:sz w:val="18"/>
              </w:rPr>
            </w:pPr>
            <w:r>
              <w:rPr>
                <w:b/>
                <w:sz w:val="21"/>
              </w:rPr>
              <w:t>犹豫期</w:t>
              <w:tab/>
            </w:r>
            <w:r>
              <w:rPr>
                <w:position w:val="1"/>
                <w:sz w:val="18"/>
              </w:rPr>
              <w:t>自您签收本附加合同次日起</w:t>
            </w:r>
            <w:r>
              <w:rPr>
                <w:spacing w:val="-13"/>
                <w:position w:val="1"/>
                <w:sz w:val="18"/>
              </w:rPr>
              <w:t>，</w:t>
            </w:r>
            <w:r>
              <w:rPr>
                <w:position w:val="1"/>
                <w:sz w:val="18"/>
              </w:rPr>
              <w:t>有十天的犹豫期</w:t>
            </w:r>
            <w:r>
              <w:rPr>
                <w:spacing w:val="-13"/>
                <w:position w:val="1"/>
                <w:sz w:val="18"/>
              </w:rPr>
              <w:t>，</w:t>
            </w:r>
            <w:r>
              <w:rPr>
                <w:position w:val="1"/>
                <w:sz w:val="18"/>
              </w:rPr>
              <w:t>在此期间请您认真审视本附加合同</w:t>
            </w:r>
            <w:r>
              <w:rPr>
                <w:spacing w:val="-13"/>
                <w:position w:val="1"/>
                <w:sz w:val="18"/>
              </w:rPr>
              <w:t>，</w:t>
            </w:r>
            <w:r>
              <w:rPr>
                <w:position w:val="1"/>
                <w:sz w:val="18"/>
              </w:rPr>
              <w:t>如果您认</w:t>
            </w:r>
            <w:r>
              <w:rPr>
                <w:sz w:val="18"/>
              </w:rPr>
              <w:t>为本附加合同与您的需求不相符</w:t>
            </w:r>
            <w:r>
              <w:rPr>
                <w:spacing w:val="-18"/>
                <w:sz w:val="18"/>
              </w:rPr>
              <w:t>，</w:t>
            </w:r>
            <w:r>
              <w:rPr>
                <w:sz w:val="18"/>
              </w:rPr>
              <w:t>您可以在此期间提出解除本附加合同</w:t>
            </w:r>
            <w:r>
              <w:rPr>
                <w:spacing w:val="-18"/>
                <w:sz w:val="18"/>
              </w:rPr>
              <w:t>，</w:t>
            </w:r>
            <w:r>
              <w:rPr>
                <w:sz w:val="18"/>
              </w:rPr>
              <w:t>我们将会无息退还您</w:t>
            </w:r>
          </w:p>
        </w:tc>
      </w:tr>
      <w:tr>
        <w:trPr>
          <w:trHeight w:val="1346" w:hRule="atLeast"/>
        </w:trPr>
        <w:tc>
          <w:tcPr>
            <w:tcW w:w="609" w:type="dxa"/>
          </w:tcPr>
          <w:p>
            <w:pPr>
              <w:pStyle w:val="TableParagraph"/>
              <w:rPr>
                <w:rFonts w:ascii="Times New Roman"/>
                <w:sz w:val="18"/>
              </w:rPr>
            </w:pPr>
          </w:p>
        </w:tc>
        <w:tc>
          <w:tcPr>
            <w:tcW w:w="9333" w:type="dxa"/>
          </w:tcPr>
          <w:p>
            <w:pPr>
              <w:pStyle w:val="TableParagraph"/>
              <w:spacing w:before="3"/>
              <w:ind w:left="1889"/>
              <w:rPr>
                <w:sz w:val="18"/>
              </w:rPr>
            </w:pPr>
            <w:r>
              <w:rPr>
                <w:sz w:val="18"/>
              </w:rPr>
              <w:t>所交的全部保险费。</w:t>
            </w:r>
          </w:p>
          <w:p>
            <w:pPr>
              <w:pStyle w:val="TableParagraph"/>
              <w:spacing w:line="316" w:lineRule="auto" w:before="76"/>
              <w:ind w:left="1889" w:right="97"/>
              <w:jc w:val="both"/>
              <w:rPr>
                <w:sz w:val="18"/>
              </w:rPr>
            </w:pPr>
            <w:r>
              <w:rPr>
                <w:spacing w:val="-6"/>
                <w:sz w:val="18"/>
              </w:rPr>
              <w:t>解除合同时，您需要填写书面申请书，并提供您的合同及</w:t>
            </w:r>
            <w:r>
              <w:rPr>
                <w:b/>
                <w:spacing w:val="-5"/>
                <w:w w:val="99"/>
                <w:sz w:val="18"/>
              </w:rPr>
              <w:t>有效身份证件</w:t>
            </w:r>
            <w:r>
              <w:rPr>
                <w:sz w:val="18"/>
              </w:rPr>
              <w:t>（</w:t>
            </w:r>
            <w:r>
              <w:rPr>
                <w:spacing w:val="-23"/>
                <w:sz w:val="18"/>
              </w:rPr>
              <w:t>见 </w:t>
            </w:r>
            <w:r>
              <w:rPr>
                <w:sz w:val="18"/>
              </w:rPr>
              <w:t>8.1</w:t>
            </w:r>
            <w:r>
              <w:rPr>
                <w:spacing w:val="-90"/>
                <w:sz w:val="18"/>
              </w:rPr>
              <w:t>）</w:t>
            </w:r>
            <w:r>
              <w:rPr>
                <w:spacing w:val="-5"/>
                <w:sz w:val="18"/>
              </w:rPr>
              <w:t>。自您书面申</w:t>
            </w:r>
            <w:r>
              <w:rPr>
                <w:spacing w:val="-8"/>
                <w:sz w:val="18"/>
              </w:rPr>
              <w:t>请解除合同之日起，本附加合同效力即行终止，对合同解除前发生的保险事故，我们不承担豁免保险费的责任。</w:t>
            </w:r>
          </w:p>
        </w:tc>
      </w:tr>
      <w:tr>
        <w:trPr>
          <w:trHeight w:val="441" w:hRule="atLeast"/>
        </w:trPr>
        <w:tc>
          <w:tcPr>
            <w:tcW w:w="9942" w:type="dxa"/>
            <w:gridSpan w:val="2"/>
          </w:tcPr>
          <w:p>
            <w:pPr>
              <w:pStyle w:val="TableParagraph"/>
              <w:tabs>
                <w:tab w:pos="790" w:val="left" w:leader="none"/>
                <w:tab w:pos="2498" w:val="left" w:leader="none"/>
              </w:tabs>
              <w:spacing w:before="107"/>
              <w:ind w:left="107"/>
              <w:rPr>
                <w:sz w:val="18"/>
              </w:rPr>
            </w:pPr>
            <w:r>
              <w:rPr>
                <w:b/>
                <w:sz w:val="21"/>
              </w:rPr>
              <w:t>1.4</w:t>
              <w:tab/>
              <w:t>保险期间</w:t>
              <w:tab/>
            </w:r>
            <w:r>
              <w:rPr>
                <w:position w:val="1"/>
                <w:sz w:val="18"/>
              </w:rPr>
              <w:t>本附加合同可附加于主险合同或保险期间超过一年的附加险合同。</w:t>
            </w:r>
          </w:p>
        </w:tc>
      </w:tr>
      <w:tr>
        <w:trPr>
          <w:trHeight w:val="792" w:hRule="atLeast"/>
        </w:trPr>
        <w:tc>
          <w:tcPr>
            <w:tcW w:w="609" w:type="dxa"/>
          </w:tcPr>
          <w:p>
            <w:pPr>
              <w:pStyle w:val="TableParagraph"/>
              <w:rPr>
                <w:rFonts w:ascii="Times New Roman"/>
                <w:sz w:val="18"/>
              </w:rPr>
            </w:pPr>
          </w:p>
        </w:tc>
        <w:tc>
          <w:tcPr>
            <w:tcW w:w="9333" w:type="dxa"/>
          </w:tcPr>
          <w:p>
            <w:pPr>
              <w:pStyle w:val="TableParagraph"/>
              <w:spacing w:line="316" w:lineRule="auto" w:before="3"/>
              <w:ind w:left="1889" w:right="241"/>
              <w:rPr>
                <w:sz w:val="18"/>
              </w:rPr>
            </w:pPr>
            <w:r>
              <w:rPr>
                <w:sz w:val="18"/>
              </w:rPr>
              <w:t>本附加合同的保险期间自本附加合同生效日起至主险合同或附加险合同最后一期保险费的约定交费日止。</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4</w:t>
            </w:r>
          </w:p>
        </w:tc>
        <w:tc>
          <w:tcPr>
            <w:tcW w:w="9333" w:type="dxa"/>
            <w:tcBorders>
              <w:bottom w:val="single" w:sz="4" w:space="0" w:color="000000"/>
            </w:tcBorders>
          </w:tcPr>
          <w:p>
            <w:pPr>
              <w:pStyle w:val="TableParagraph"/>
              <w:spacing w:before="167"/>
              <w:ind w:left="181"/>
              <w:rPr>
                <w:b/>
                <w:sz w:val="24"/>
              </w:rPr>
            </w:pPr>
            <w:r>
              <w:rPr>
                <w:b/>
                <w:w w:val="95"/>
                <w:sz w:val="24"/>
              </w:rPr>
              <w:t>我们提供的保障</w:t>
            </w:r>
          </w:p>
        </w:tc>
      </w:tr>
      <w:tr>
        <w:trPr>
          <w:trHeight w:val="536" w:hRule="atLeast"/>
        </w:trPr>
        <w:tc>
          <w:tcPr>
            <w:tcW w:w="9942" w:type="dxa"/>
            <w:gridSpan w:val="2"/>
            <w:tcBorders>
              <w:top w:val="single" w:sz="4" w:space="0" w:color="000000"/>
            </w:tcBorders>
          </w:tcPr>
          <w:p>
            <w:pPr>
              <w:pStyle w:val="TableParagraph"/>
              <w:spacing w:before="5"/>
              <w:rPr>
                <w:b/>
                <w:sz w:val="15"/>
              </w:rPr>
            </w:pPr>
          </w:p>
          <w:p>
            <w:pPr>
              <w:pStyle w:val="TableParagraph"/>
              <w:tabs>
                <w:tab w:pos="790" w:val="left" w:leader="none"/>
                <w:tab w:pos="2498" w:val="left" w:leader="none"/>
              </w:tabs>
              <w:spacing w:before="1"/>
              <w:ind w:left="107"/>
              <w:rPr>
                <w:sz w:val="18"/>
              </w:rPr>
            </w:pPr>
            <w:r>
              <w:rPr>
                <w:b/>
                <w:sz w:val="21"/>
              </w:rPr>
              <w:t>2.1</w:t>
              <w:tab/>
              <w:t>保险金额</w:t>
              <w:tab/>
            </w:r>
            <w:r>
              <w:rPr>
                <w:position w:val="1"/>
                <w:sz w:val="18"/>
              </w:rPr>
              <w:t>本附加合同的保险金额由您和本公司约定，并在保险单上载明。</w:t>
            </w:r>
          </w:p>
        </w:tc>
      </w:tr>
      <w:tr>
        <w:trPr>
          <w:trHeight w:val="410" w:hRule="atLeast"/>
        </w:trPr>
        <w:tc>
          <w:tcPr>
            <w:tcW w:w="609" w:type="dxa"/>
          </w:tcPr>
          <w:p>
            <w:pPr>
              <w:pStyle w:val="TableParagraph"/>
              <w:rPr>
                <w:rFonts w:ascii="Times New Roman"/>
                <w:sz w:val="18"/>
              </w:rPr>
            </w:pPr>
          </w:p>
        </w:tc>
        <w:tc>
          <w:tcPr>
            <w:tcW w:w="9333" w:type="dxa"/>
          </w:tcPr>
          <w:p>
            <w:pPr>
              <w:pStyle w:val="TableParagraph"/>
              <w:spacing w:before="3"/>
              <w:ind w:left="1889"/>
              <w:rPr>
                <w:sz w:val="18"/>
              </w:rPr>
            </w:pPr>
            <w:r>
              <w:rPr>
                <w:sz w:val="18"/>
              </w:rPr>
              <w:t>所豁免保险费的金额不包含保险期间不超过一年的附加险的保险费。</w:t>
            </w:r>
          </w:p>
        </w:tc>
      </w:tr>
      <w:tr>
        <w:trPr>
          <w:trHeight w:val="546" w:hRule="atLeast"/>
        </w:trPr>
        <w:tc>
          <w:tcPr>
            <w:tcW w:w="609" w:type="dxa"/>
          </w:tcPr>
          <w:p>
            <w:pPr>
              <w:pStyle w:val="TableParagraph"/>
              <w:spacing w:before="106"/>
              <w:ind w:left="108"/>
              <w:rPr>
                <w:b/>
                <w:sz w:val="21"/>
              </w:rPr>
            </w:pPr>
            <w:r>
              <w:rPr>
                <w:b/>
                <w:sz w:val="21"/>
              </w:rPr>
              <w:t>2.2</w:t>
            </w:r>
          </w:p>
        </w:tc>
        <w:tc>
          <w:tcPr>
            <w:tcW w:w="9333" w:type="dxa"/>
          </w:tcPr>
          <w:p>
            <w:pPr>
              <w:pStyle w:val="TableParagraph"/>
              <w:tabs>
                <w:tab w:pos="1889" w:val="left" w:leader="none"/>
              </w:tabs>
              <w:spacing w:before="106"/>
              <w:ind w:left="180"/>
              <w:rPr>
                <w:sz w:val="18"/>
              </w:rPr>
            </w:pPr>
            <w:r>
              <w:rPr>
                <w:b/>
                <w:sz w:val="21"/>
              </w:rPr>
              <w:t>保险责任</w:t>
              <w:tab/>
            </w:r>
            <w:r>
              <w:rPr>
                <w:position w:val="1"/>
                <w:sz w:val="18"/>
              </w:rPr>
              <w:t>在本附加合同有效期内，本公司按下列规定承担保险责任：</w:t>
            </w:r>
          </w:p>
        </w:tc>
      </w:tr>
      <w:tr>
        <w:trPr>
          <w:trHeight w:val="1921" w:hRule="atLeast"/>
        </w:trPr>
        <w:tc>
          <w:tcPr>
            <w:tcW w:w="609" w:type="dxa"/>
          </w:tcPr>
          <w:p>
            <w:pPr>
              <w:pStyle w:val="TableParagraph"/>
              <w:rPr>
                <w:rFonts w:ascii="Times New Roman"/>
                <w:sz w:val="18"/>
              </w:rPr>
            </w:pPr>
          </w:p>
        </w:tc>
        <w:tc>
          <w:tcPr>
            <w:tcW w:w="9333" w:type="dxa"/>
          </w:tcPr>
          <w:p>
            <w:pPr>
              <w:pStyle w:val="TableParagraph"/>
              <w:tabs>
                <w:tab w:pos="1889" w:val="left" w:leader="none"/>
              </w:tabs>
              <w:spacing w:before="100"/>
              <w:ind w:left="181"/>
              <w:rPr>
                <w:sz w:val="18"/>
              </w:rPr>
            </w:pPr>
            <w:r>
              <w:rPr>
                <w:b/>
                <w:sz w:val="21"/>
              </w:rPr>
              <w:t>重大疾病</w:t>
              <w:tab/>
            </w:r>
            <w:r>
              <w:rPr>
                <w:position w:val="1"/>
                <w:sz w:val="18"/>
              </w:rPr>
              <w:t>被保险人于本附加合同生效（或复效）之日起一年内（包括一年）首次</w:t>
            </w:r>
            <w:r>
              <w:rPr>
                <w:b/>
                <w:position w:val="1"/>
                <w:sz w:val="18"/>
              </w:rPr>
              <w:t>发病</w:t>
            </w:r>
            <w:r>
              <w:rPr>
                <w:position w:val="1"/>
                <w:sz w:val="18"/>
              </w:rPr>
              <w:t>（见</w:t>
            </w:r>
            <w:r>
              <w:rPr>
                <w:spacing w:val="-46"/>
                <w:position w:val="1"/>
                <w:sz w:val="18"/>
              </w:rPr>
              <w:t> </w:t>
            </w:r>
            <w:r>
              <w:rPr>
                <w:position w:val="1"/>
                <w:sz w:val="18"/>
              </w:rPr>
              <w:t>8.2）并经本</w:t>
            </w:r>
          </w:p>
          <w:p>
            <w:pPr>
              <w:pStyle w:val="TableParagraph"/>
              <w:tabs>
                <w:tab w:pos="1889" w:val="left" w:leader="none"/>
              </w:tabs>
              <w:spacing w:line="295" w:lineRule="auto" w:before="36"/>
              <w:ind w:left="1889" w:right="101" w:hanging="1708"/>
              <w:rPr>
                <w:sz w:val="18"/>
              </w:rPr>
            </w:pPr>
            <w:r>
              <w:rPr>
                <w:b/>
                <w:sz w:val="21"/>
              </w:rPr>
              <w:t>豁免保险费</w:t>
              <w:tab/>
            </w:r>
            <w:r>
              <w:rPr>
                <w:position w:val="1"/>
                <w:sz w:val="18"/>
              </w:rPr>
              <w:t>公司</w:t>
            </w:r>
            <w:r>
              <w:rPr>
                <w:b/>
                <w:position w:val="1"/>
                <w:sz w:val="18"/>
              </w:rPr>
              <w:t>指定或认可的医疗机构</w:t>
            </w:r>
            <w:r>
              <w:rPr>
                <w:position w:val="1"/>
                <w:sz w:val="18"/>
              </w:rPr>
              <w:t>（见</w:t>
            </w:r>
            <w:r>
              <w:rPr>
                <w:spacing w:val="-53"/>
                <w:position w:val="1"/>
                <w:sz w:val="18"/>
              </w:rPr>
              <w:t> </w:t>
            </w:r>
            <w:r>
              <w:rPr>
                <w:position w:val="1"/>
                <w:sz w:val="18"/>
              </w:rPr>
              <w:t>8.3）确诊初次患有本附加合同附表一中约定的一项或多项重</w:t>
            </w:r>
            <w:r>
              <w:rPr>
                <w:sz w:val="18"/>
              </w:rPr>
              <w:t>大疾病，本公司无息返还本附加合同所交保险费，本附加合同效力终止。</w:t>
            </w:r>
          </w:p>
          <w:p>
            <w:pPr>
              <w:pStyle w:val="TableParagraph"/>
              <w:spacing w:line="316" w:lineRule="auto" w:before="34"/>
              <w:ind w:left="1889" w:right="40"/>
              <w:rPr>
                <w:sz w:val="18"/>
              </w:rPr>
            </w:pPr>
            <w:r>
              <w:rPr>
                <w:sz w:val="18"/>
              </w:rPr>
              <w:t>被保险人于本附加合同生效（或复效）之日起一年后首次发病并经本公司指定或认可的医疗机构确诊初次患有本附加合同附表一中约定的一项或多项重大疾病，自被保险人确诊患有本附加</w:t>
            </w:r>
          </w:p>
          <w:p>
            <w:pPr>
              <w:pStyle w:val="TableParagraph"/>
              <w:spacing w:line="216" w:lineRule="exact" w:before="18"/>
              <w:ind w:left="1889"/>
              <w:rPr>
                <w:sz w:val="18"/>
              </w:rPr>
            </w:pPr>
            <w:r>
              <w:rPr>
                <w:sz w:val="18"/>
              </w:rPr>
              <w:t>合同附表一中约定的一项或多项重大疾病之日起，本公司免予收取豁免期间内的本附加合同及</w:t>
            </w:r>
          </w:p>
        </w:tc>
      </w:tr>
    </w:tbl>
    <w:p>
      <w:pPr>
        <w:spacing w:after="0" w:line="216" w:lineRule="exact"/>
        <w:rPr>
          <w:sz w:val="18"/>
        </w:rPr>
        <w:sectPr>
          <w:headerReference w:type="default" r:id="rId9"/>
          <w:pgSz w:w="11910" w:h="16840"/>
          <w:pgMar w:header="877" w:footer="981" w:top="1100" w:bottom="1180" w:left="1080" w:right="660"/>
        </w:sectPr>
      </w:pPr>
    </w:p>
    <w:p>
      <w:pPr>
        <w:pStyle w:val="BodyText"/>
        <w:spacing w:before="3"/>
        <w:rPr>
          <w:b/>
          <w:sz w:val="20"/>
        </w:rPr>
      </w:pPr>
      <w:r>
        <w:rPr/>
        <w:pict>
          <v:shape style="position:absolute;margin-left:59.82pt;margin-top:89.824623pt;width:497.1pt;height:684.8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334"/>
                  </w:tblGrid>
                  <w:tr>
                    <w:trPr>
                      <w:trHeight w:val="401" w:hRule="atLeast"/>
                    </w:trPr>
                    <w:tc>
                      <w:tcPr>
                        <w:tcW w:w="609" w:type="dxa"/>
                      </w:tcPr>
                      <w:p>
                        <w:pPr>
                          <w:pStyle w:val="TableParagraph"/>
                          <w:rPr>
                            <w:rFonts w:ascii="Times New Roman"/>
                            <w:sz w:val="18"/>
                          </w:rPr>
                        </w:pPr>
                      </w:p>
                    </w:tc>
                    <w:tc>
                      <w:tcPr>
                        <w:tcW w:w="9334" w:type="dxa"/>
                      </w:tcPr>
                      <w:p>
                        <w:pPr>
                          <w:pStyle w:val="TableParagraph"/>
                          <w:spacing w:line="180" w:lineRule="exact"/>
                          <w:ind w:left="1889"/>
                          <w:rPr>
                            <w:sz w:val="18"/>
                          </w:rPr>
                        </w:pPr>
                        <w:r>
                          <w:rPr>
                            <w:sz w:val="18"/>
                          </w:rPr>
                          <w:t>豁免期间至下列任何一种情形发生之日止：</w:t>
                        </w:r>
                      </w:p>
                    </w:tc>
                  </w:tr>
                  <w:tr>
                    <w:trPr>
                      <w:trHeight w:val="573" w:hRule="atLeast"/>
                    </w:trPr>
                    <w:tc>
                      <w:tcPr>
                        <w:tcW w:w="609" w:type="dxa"/>
                      </w:tcPr>
                      <w:p>
                        <w:pPr>
                          <w:pStyle w:val="TableParagraph"/>
                          <w:rPr>
                            <w:rFonts w:ascii="Times New Roman"/>
                            <w:sz w:val="18"/>
                          </w:rPr>
                        </w:pPr>
                      </w:p>
                    </w:tc>
                    <w:tc>
                      <w:tcPr>
                        <w:tcW w:w="9334" w:type="dxa"/>
                      </w:tcPr>
                      <w:p>
                        <w:pPr>
                          <w:pStyle w:val="TableParagraph"/>
                          <w:spacing w:before="9"/>
                          <w:rPr>
                            <w:b/>
                            <w:sz w:val="12"/>
                          </w:rPr>
                        </w:pPr>
                      </w:p>
                      <w:p>
                        <w:pPr>
                          <w:pStyle w:val="TableParagraph"/>
                          <w:ind w:left="1889"/>
                          <w:rPr>
                            <w:sz w:val="18"/>
                          </w:rPr>
                        </w:pPr>
                        <w:r>
                          <w:rPr>
                            <w:sz w:val="18"/>
                          </w:rPr>
                          <w:t>(2) 本附加合同保险期满。</w:t>
                        </w:r>
                      </w:p>
                    </w:tc>
                  </w:tr>
                  <w:tr>
                    <w:trPr>
                      <w:trHeight w:val="3709" w:hRule="atLeast"/>
                    </w:trPr>
                    <w:tc>
                      <w:tcPr>
                        <w:tcW w:w="9943" w:type="dxa"/>
                        <w:gridSpan w:val="2"/>
                      </w:tcPr>
                      <w:p>
                        <w:pPr>
                          <w:pStyle w:val="TableParagraph"/>
                          <w:tabs>
                            <w:tab w:pos="790" w:val="left" w:leader="none"/>
                            <w:tab w:pos="2498" w:val="left" w:leader="none"/>
                          </w:tabs>
                          <w:spacing w:before="106"/>
                          <w:ind w:left="107"/>
                          <w:rPr>
                            <w:sz w:val="18"/>
                          </w:rPr>
                        </w:pPr>
                        <w:r>
                          <w:rPr>
                            <w:b/>
                            <w:sz w:val="21"/>
                          </w:rPr>
                          <w:t>2.3</w:t>
                          <w:tab/>
                          <w:t>责任免除</w:t>
                          <w:tab/>
                        </w:r>
                        <w:r>
                          <w:rPr>
                            <w:position w:val="1"/>
                            <w:sz w:val="18"/>
                          </w:rPr>
                          <w:t>被保险人因下列情形之一患本附加合同约定的重大疾病的，本公司不承担保险责任：</w:t>
                        </w:r>
                      </w:p>
                      <w:p>
                        <w:pPr>
                          <w:pStyle w:val="TableParagraph"/>
                          <w:spacing w:before="62"/>
                          <w:ind w:left="2498"/>
                          <w:rPr>
                            <w:b/>
                            <w:sz w:val="18"/>
                          </w:rPr>
                        </w:pPr>
                        <w:r>
                          <w:rPr>
                            <w:sz w:val="18"/>
                          </w:rPr>
                          <w:t>1、 </w:t>
                        </w:r>
                        <w:r>
                          <w:rPr>
                            <w:b/>
                            <w:sz w:val="18"/>
                          </w:rPr>
                          <w:t>投保人对被保险人的故意杀害、故意伤害；</w:t>
                        </w:r>
                      </w:p>
                      <w:p>
                        <w:pPr>
                          <w:pStyle w:val="TableParagraph"/>
                          <w:spacing w:before="76"/>
                          <w:ind w:left="2498"/>
                          <w:rPr>
                            <w:b/>
                            <w:sz w:val="18"/>
                          </w:rPr>
                        </w:pPr>
                        <w:r>
                          <w:rPr>
                            <w:sz w:val="18"/>
                          </w:rPr>
                          <w:t>2、 </w:t>
                        </w:r>
                        <w:r>
                          <w:rPr>
                            <w:b/>
                            <w:sz w:val="18"/>
                          </w:rPr>
                          <w:t>被保险人故意犯罪或者抗拒依法采取的刑事强制措施；</w:t>
                        </w:r>
                      </w:p>
                      <w:p>
                        <w:pPr>
                          <w:pStyle w:val="TableParagraph"/>
                          <w:spacing w:before="76"/>
                          <w:ind w:left="2498"/>
                          <w:rPr>
                            <w:b/>
                            <w:sz w:val="18"/>
                          </w:rPr>
                        </w:pPr>
                        <w:r>
                          <w:rPr>
                            <w:sz w:val="18"/>
                          </w:rPr>
                          <w:t>3、 </w:t>
                        </w:r>
                        <w:r>
                          <w:rPr>
                            <w:b/>
                            <w:sz w:val="18"/>
                          </w:rPr>
                          <w:t>被保险人故意自伤；</w:t>
                        </w:r>
                      </w:p>
                      <w:p>
                        <w:pPr>
                          <w:pStyle w:val="TableParagraph"/>
                          <w:spacing w:before="76"/>
                          <w:ind w:left="2498"/>
                          <w:rPr>
                            <w:b/>
                            <w:sz w:val="18"/>
                          </w:rPr>
                        </w:pPr>
                        <w:r>
                          <w:rPr>
                            <w:sz w:val="18"/>
                          </w:rPr>
                          <w:t>4、 </w:t>
                        </w:r>
                        <w:r>
                          <w:rPr>
                            <w:b/>
                            <w:sz w:val="18"/>
                          </w:rPr>
                          <w:t>被保险人在本附加合同成立之日起二年内或最后复效日起二年内自杀；</w:t>
                        </w:r>
                      </w:p>
                      <w:p>
                        <w:pPr>
                          <w:pStyle w:val="TableParagraph"/>
                          <w:spacing w:before="76"/>
                          <w:ind w:left="2498"/>
                          <w:rPr>
                            <w:b/>
                            <w:sz w:val="18"/>
                          </w:rPr>
                        </w:pPr>
                        <w:r>
                          <w:rPr>
                            <w:sz w:val="18"/>
                          </w:rPr>
                          <w:t>5</w:t>
                        </w:r>
                        <w:r>
                          <w:rPr>
                            <w:spacing w:val="1"/>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2498"/>
                          <w:rPr>
                            <w:sz w:val="18"/>
                          </w:rPr>
                        </w:pPr>
                        <w:r>
                          <w:rPr>
                            <w:sz w:val="18"/>
                          </w:rPr>
                          <w:t>6</w:t>
                        </w:r>
                        <w:r>
                          <w:rPr>
                            <w:spacing w:val="1"/>
                            <w:sz w:val="18"/>
                          </w:rPr>
                          <w:t>、 </w:t>
                        </w:r>
                        <w:r>
                          <w:rPr>
                            <w:b/>
                            <w:spacing w:val="-3"/>
                            <w:w w:val="99"/>
                            <w:sz w:val="18"/>
                          </w:rPr>
                          <w:t>被保险人酒后驾驶</w:t>
                        </w:r>
                        <w:r>
                          <w:rPr>
                            <w:sz w:val="18"/>
                          </w:rPr>
                          <w:t>（</w:t>
                        </w:r>
                        <w:r>
                          <w:rPr>
                            <w:spacing w:val="-23"/>
                            <w:sz w:val="18"/>
                          </w:rPr>
                          <w:t>见 </w:t>
                        </w:r>
                        <w:r>
                          <w:rPr>
                            <w:sz w:val="18"/>
                          </w:rPr>
                          <w:t>8.5</w:t>
                        </w:r>
                        <w:r>
                          <w:rPr>
                            <w:spacing w:val="-90"/>
                            <w:sz w:val="18"/>
                          </w:rPr>
                          <w:t>）</w:t>
                        </w:r>
                        <w:r>
                          <w:rPr>
                            <w:b/>
                            <w:spacing w:val="-5"/>
                            <w:w w:val="99"/>
                            <w:sz w:val="18"/>
                          </w:rPr>
                          <w:t>、无合法有效驾驶证驾驶</w:t>
                        </w:r>
                        <w:r>
                          <w:rPr>
                            <w:spacing w:val="-2"/>
                            <w:sz w:val="18"/>
                          </w:rPr>
                          <w:t>（</w:t>
                        </w:r>
                        <w:r>
                          <w:rPr>
                            <w:spacing w:val="-23"/>
                            <w:sz w:val="18"/>
                          </w:rPr>
                          <w:t>见 </w:t>
                        </w:r>
                        <w:r>
                          <w:rPr>
                            <w:sz w:val="18"/>
                          </w:rPr>
                          <w:t>8.6</w:t>
                        </w:r>
                        <w:r>
                          <w:rPr>
                            <w:spacing w:val="-14"/>
                            <w:sz w:val="18"/>
                          </w:rPr>
                          <w:t>）</w:t>
                        </w:r>
                        <w:r>
                          <w:rPr>
                            <w:b/>
                            <w:spacing w:val="-3"/>
                            <w:w w:val="99"/>
                            <w:sz w:val="18"/>
                          </w:rPr>
                          <w:t>或驾驶无有效行驶证</w:t>
                        </w:r>
                        <w:r>
                          <w:rPr>
                            <w:spacing w:val="0"/>
                            <w:sz w:val="18"/>
                          </w:rPr>
                          <w:t>（见</w:t>
                        </w:r>
                      </w:p>
                      <w:p>
                        <w:pPr>
                          <w:pStyle w:val="TableParagraph"/>
                          <w:spacing w:before="76"/>
                          <w:ind w:left="2867"/>
                          <w:rPr>
                            <w:b/>
                            <w:sz w:val="18"/>
                          </w:rPr>
                        </w:pPr>
                        <w:r>
                          <w:rPr>
                            <w:w w:val="95"/>
                            <w:sz w:val="18"/>
                          </w:rPr>
                          <w:t>8.7）</w:t>
                        </w:r>
                        <w:r>
                          <w:rPr>
                            <w:b/>
                            <w:w w:val="95"/>
                            <w:sz w:val="18"/>
                          </w:rPr>
                          <w:t>的机动车；</w:t>
                        </w:r>
                      </w:p>
                      <w:p>
                        <w:pPr>
                          <w:pStyle w:val="TableParagraph"/>
                          <w:spacing w:before="76"/>
                          <w:ind w:left="2498"/>
                          <w:rPr>
                            <w:sz w:val="18"/>
                          </w:rPr>
                        </w:pPr>
                        <w:r>
                          <w:rPr>
                            <w:sz w:val="18"/>
                          </w:rPr>
                          <w:t>7</w:t>
                        </w:r>
                        <w:r>
                          <w:rPr>
                            <w:spacing w:val="1"/>
                            <w:sz w:val="18"/>
                          </w:rPr>
                          <w:t>、 </w:t>
                        </w:r>
                        <w:r>
                          <w:rPr>
                            <w:b/>
                            <w:spacing w:val="-3"/>
                            <w:w w:val="99"/>
                            <w:sz w:val="18"/>
                          </w:rPr>
                          <w:t>被保险人在本附加合同生效日起二年内患艾滋病</w:t>
                        </w:r>
                        <w:r>
                          <w:rPr>
                            <w:sz w:val="18"/>
                          </w:rPr>
                          <w:t>（</w:t>
                        </w:r>
                        <w:r>
                          <w:rPr>
                            <w:spacing w:val="-23"/>
                            <w:sz w:val="18"/>
                          </w:rPr>
                          <w:t>见 </w:t>
                        </w:r>
                        <w:r>
                          <w:rPr>
                            <w:sz w:val="18"/>
                          </w:rPr>
                          <w:t>8.</w:t>
                        </w:r>
                        <w:r>
                          <w:rPr>
                            <w:spacing w:val="-2"/>
                            <w:sz w:val="18"/>
                          </w:rPr>
                          <w:t>8</w:t>
                        </w:r>
                        <w:r>
                          <w:rPr>
                            <w:spacing w:val="-119"/>
                            <w:sz w:val="18"/>
                          </w:rPr>
                          <w:t>）</w:t>
                        </w:r>
                        <w:r>
                          <w:rPr>
                            <w:b/>
                            <w:spacing w:val="0"/>
                            <w:w w:val="99"/>
                            <w:sz w:val="18"/>
                          </w:rPr>
                          <w:t>（A</w:t>
                        </w:r>
                        <w:r>
                          <w:rPr>
                            <w:b/>
                            <w:spacing w:val="-1"/>
                            <w:w w:val="99"/>
                            <w:sz w:val="18"/>
                          </w:rPr>
                          <w:t>I</w:t>
                        </w:r>
                        <w:r>
                          <w:rPr>
                            <w:b/>
                            <w:spacing w:val="0"/>
                            <w:w w:val="99"/>
                            <w:sz w:val="18"/>
                          </w:rPr>
                          <w:t>D</w:t>
                        </w:r>
                        <w:r>
                          <w:rPr>
                            <w:b/>
                            <w:spacing w:val="-1"/>
                            <w:w w:val="99"/>
                            <w:sz w:val="18"/>
                          </w:rPr>
                          <w:t>S</w:t>
                        </w:r>
                        <w:r>
                          <w:rPr>
                            <w:b/>
                            <w:spacing w:val="-28"/>
                            <w:w w:val="99"/>
                            <w:sz w:val="18"/>
                          </w:rPr>
                          <w:t>）</w:t>
                        </w:r>
                        <w:r>
                          <w:rPr>
                            <w:b/>
                            <w:spacing w:val="-5"/>
                            <w:w w:val="99"/>
                            <w:sz w:val="18"/>
                          </w:rPr>
                          <w:t>或感染艾滋病病毒</w:t>
                        </w:r>
                        <w:r>
                          <w:rPr>
                            <w:spacing w:val="0"/>
                            <w:sz w:val="18"/>
                          </w:rPr>
                          <w:t>（见</w:t>
                        </w:r>
                      </w:p>
                      <w:p>
                        <w:pPr>
                          <w:pStyle w:val="TableParagraph"/>
                          <w:spacing w:before="76"/>
                          <w:ind w:left="2866"/>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90"/>
                            <w:w w:val="99"/>
                            <w:sz w:val="18"/>
                          </w:rPr>
                          <w:t>）</w:t>
                        </w:r>
                        <w:r>
                          <w:rPr>
                            <w:b/>
                            <w:w w:val="99"/>
                            <w:sz w:val="18"/>
                          </w:rPr>
                          <w:t>；</w:t>
                        </w:r>
                      </w:p>
                      <w:p>
                        <w:pPr>
                          <w:pStyle w:val="TableParagraph"/>
                          <w:spacing w:before="76"/>
                          <w:ind w:left="2498"/>
                          <w:rPr>
                            <w:b/>
                            <w:sz w:val="18"/>
                          </w:rPr>
                        </w:pPr>
                        <w:r>
                          <w:rPr>
                            <w:sz w:val="18"/>
                          </w:rPr>
                          <w:t>8、 </w:t>
                        </w:r>
                        <w:r>
                          <w:rPr>
                            <w:b/>
                            <w:sz w:val="18"/>
                          </w:rPr>
                          <w:t>战争、军事冲突、暴乱或武装叛乱；</w:t>
                        </w:r>
                      </w:p>
                    </w:tc>
                  </w:tr>
                  <w:tr>
                    <w:trPr>
                      <w:trHeight w:val="955" w:hRule="atLeast"/>
                    </w:trPr>
                    <w:tc>
                      <w:tcPr>
                        <w:tcW w:w="609" w:type="dxa"/>
                      </w:tcPr>
                      <w:p>
                        <w:pPr>
                          <w:pStyle w:val="TableParagraph"/>
                          <w:rPr>
                            <w:rFonts w:ascii="Times New Roman"/>
                            <w:sz w:val="18"/>
                          </w:rPr>
                        </w:pPr>
                      </w:p>
                    </w:tc>
                    <w:tc>
                      <w:tcPr>
                        <w:tcW w:w="9334" w:type="dxa"/>
                      </w:tcPr>
                      <w:p>
                        <w:pPr>
                          <w:pStyle w:val="TableParagraph"/>
                          <w:spacing w:before="9"/>
                          <w:rPr>
                            <w:b/>
                            <w:sz w:val="12"/>
                          </w:rPr>
                        </w:pPr>
                      </w:p>
                      <w:p>
                        <w:pPr>
                          <w:pStyle w:val="TableParagraph"/>
                          <w:spacing w:line="316" w:lineRule="auto"/>
                          <w:ind w:left="1889" w:right="99"/>
                          <w:rPr>
                            <w:sz w:val="18"/>
                          </w:rPr>
                        </w:pPr>
                        <w:r>
                          <w:rPr>
                            <w:spacing w:val="-2"/>
                            <w:sz w:val="18"/>
                          </w:rPr>
                          <w:t>因上述情形之一导致被保险人患本附加合同约定的重大疾病的，本公司向您或其他权利人退还本附加合同的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16"/>
                            <w:sz w:val="40"/>
                          </w:rPr>
                          <w:t>O</w:t>
                        </w:r>
                      </w:p>
                    </w:tc>
                    <w:tc>
                      <w:tcPr>
                        <w:tcW w:w="9334" w:type="dxa"/>
                        <w:tcBorders>
                          <w:bottom w:val="single" w:sz="4" w:space="0" w:color="000000"/>
                        </w:tcBorders>
                      </w:tcPr>
                      <w:p>
                        <w:pPr>
                          <w:pStyle w:val="TableParagraph"/>
                          <w:spacing w:before="168"/>
                          <w:ind w:left="181"/>
                          <w:rPr>
                            <w:b/>
                            <w:sz w:val="24"/>
                          </w:rPr>
                        </w:pPr>
                        <w:r>
                          <w:rPr>
                            <w:b/>
                            <w:w w:val="95"/>
                            <w:sz w:val="24"/>
                          </w:rPr>
                          <w:t>如何申请豁免保险费</w:t>
                        </w:r>
                      </w:p>
                    </w:tc>
                  </w:tr>
                  <w:tr>
                    <w:trPr>
                      <w:trHeight w:val="2089" w:hRule="atLeast"/>
                    </w:trPr>
                    <w:tc>
                      <w:tcPr>
                        <w:tcW w:w="609" w:type="dxa"/>
                        <w:tcBorders>
                          <w:top w:val="single" w:sz="4" w:space="0" w:color="000000"/>
                        </w:tcBorders>
                      </w:tcPr>
                      <w:p>
                        <w:pPr>
                          <w:pStyle w:val="TableParagraph"/>
                          <w:spacing w:before="5"/>
                          <w:rPr>
                            <w:b/>
                            <w:sz w:val="15"/>
                          </w:rPr>
                        </w:pPr>
                      </w:p>
                      <w:p>
                        <w:pPr>
                          <w:pStyle w:val="TableParagraph"/>
                          <w:spacing w:before="1"/>
                          <w:ind w:left="107"/>
                          <w:rPr>
                            <w:b/>
                            <w:sz w:val="21"/>
                          </w:rPr>
                        </w:pPr>
                        <w:r>
                          <w:rPr>
                            <w:b/>
                            <w:sz w:val="21"/>
                          </w:rPr>
                          <w:t>3.1</w:t>
                        </w:r>
                      </w:p>
                    </w:tc>
                    <w:tc>
                      <w:tcPr>
                        <w:tcW w:w="9334" w:type="dxa"/>
                        <w:tcBorders>
                          <w:top w:val="single" w:sz="4" w:space="0" w:color="000000"/>
                        </w:tcBorders>
                      </w:tcPr>
                      <w:p>
                        <w:pPr>
                          <w:pStyle w:val="TableParagraph"/>
                          <w:spacing w:before="5"/>
                          <w:rPr>
                            <w:b/>
                            <w:sz w:val="15"/>
                          </w:rPr>
                        </w:pPr>
                      </w:p>
                      <w:p>
                        <w:pPr>
                          <w:pStyle w:val="TableParagraph"/>
                          <w:tabs>
                            <w:tab w:pos="1889" w:val="left" w:leader="none"/>
                          </w:tabs>
                          <w:spacing w:before="1"/>
                          <w:ind w:left="181"/>
                          <w:rPr>
                            <w:sz w:val="18"/>
                          </w:rPr>
                        </w:pPr>
                        <w:r>
                          <w:rPr>
                            <w:b/>
                            <w:sz w:val="21"/>
                          </w:rPr>
                          <w:t>豁免保险费申请</w:t>
                          <w:tab/>
                        </w:r>
                        <w:r>
                          <w:rPr>
                            <w:position w:val="1"/>
                            <w:sz w:val="18"/>
                          </w:rPr>
                          <w:t>1、豁免保险费</w:t>
                        </w:r>
                      </w:p>
                      <w:p>
                        <w:pPr>
                          <w:pStyle w:val="TableParagraph"/>
                          <w:spacing w:line="316" w:lineRule="auto" w:before="62"/>
                          <w:ind w:left="1889" w:right="98"/>
                          <w:rPr>
                            <w:sz w:val="18"/>
                          </w:rPr>
                        </w:pPr>
                        <w:r>
                          <w:rPr>
                            <w:spacing w:val="-6"/>
                            <w:sz w:val="18"/>
                          </w:rPr>
                          <w:t>您、被保险人或主险合同受益人申请豁免保险费时，须填写豁免保险费申请书，并提供下列证明材料：</w:t>
                        </w:r>
                      </w:p>
                      <w:p>
                        <w:pPr>
                          <w:pStyle w:val="TableParagraph"/>
                          <w:numPr>
                            <w:ilvl w:val="0"/>
                            <w:numId w:val="9"/>
                          </w:numPr>
                          <w:tabs>
                            <w:tab w:pos="2230" w:val="left" w:leader="none"/>
                          </w:tabs>
                          <w:spacing w:line="240" w:lineRule="auto" w:before="18" w:after="0"/>
                          <w:ind w:left="2229" w:right="0" w:hanging="340"/>
                          <w:jc w:val="left"/>
                          <w:rPr>
                            <w:sz w:val="18"/>
                          </w:rPr>
                        </w:pPr>
                        <w:r>
                          <w:rPr>
                            <w:sz w:val="18"/>
                          </w:rPr>
                          <w:t>保险合同；</w:t>
                        </w:r>
                      </w:p>
                      <w:p>
                        <w:pPr>
                          <w:pStyle w:val="TableParagraph"/>
                          <w:numPr>
                            <w:ilvl w:val="0"/>
                            <w:numId w:val="9"/>
                          </w:numPr>
                          <w:tabs>
                            <w:tab w:pos="2230" w:val="left" w:leader="none"/>
                          </w:tabs>
                          <w:spacing w:line="240" w:lineRule="auto" w:before="76" w:after="0"/>
                          <w:ind w:left="2229" w:right="0" w:hanging="340"/>
                          <w:jc w:val="left"/>
                          <w:rPr>
                            <w:sz w:val="18"/>
                          </w:rPr>
                        </w:pPr>
                        <w:r>
                          <w:rPr>
                            <w:sz w:val="18"/>
                          </w:rPr>
                          <w:t>申请人的有效身份证件；</w:t>
                        </w:r>
                      </w:p>
                      <w:p>
                        <w:pPr>
                          <w:pStyle w:val="TableParagraph"/>
                          <w:numPr>
                            <w:ilvl w:val="0"/>
                            <w:numId w:val="9"/>
                          </w:numPr>
                          <w:tabs>
                            <w:tab w:pos="2230" w:val="left" w:leader="none"/>
                          </w:tabs>
                          <w:spacing w:line="240" w:lineRule="auto" w:before="76" w:after="0"/>
                          <w:ind w:left="2229" w:right="0" w:hanging="340"/>
                          <w:jc w:val="left"/>
                          <w:rPr>
                            <w:sz w:val="18"/>
                          </w:rPr>
                        </w:pPr>
                        <w:r>
                          <w:rPr>
                            <w:spacing w:val="-1"/>
                            <w:sz w:val="18"/>
                          </w:rPr>
                          <w:t>本公司指定或认可的医疗机构出具的附有病理检验、血液检验及其它与确诊疾病必须的科</w:t>
                        </w:r>
                      </w:p>
                    </w:tc>
                  </w:tr>
                  <w:tr>
                    <w:trPr>
                      <w:trHeight w:val="737" w:hRule="atLeast"/>
                    </w:trPr>
                    <w:tc>
                      <w:tcPr>
                        <w:tcW w:w="609" w:type="dxa"/>
                      </w:tcPr>
                      <w:p>
                        <w:pPr>
                          <w:pStyle w:val="TableParagraph"/>
                          <w:rPr>
                            <w:rFonts w:ascii="Times New Roman"/>
                            <w:sz w:val="18"/>
                          </w:rPr>
                        </w:pPr>
                      </w:p>
                    </w:tc>
                    <w:tc>
                      <w:tcPr>
                        <w:tcW w:w="9334" w:type="dxa"/>
                      </w:tcPr>
                      <w:p>
                        <w:pPr>
                          <w:pStyle w:val="TableParagraph"/>
                          <w:spacing w:before="10"/>
                          <w:ind w:left="2229"/>
                          <w:rPr>
                            <w:sz w:val="18"/>
                          </w:rPr>
                        </w:pPr>
                        <w:r>
                          <w:rPr>
                            <w:sz w:val="18"/>
                          </w:rPr>
                          <w:t>学方法检验报告的疾病诊断证明书；</w:t>
                        </w:r>
                      </w:p>
                      <w:p>
                        <w:pPr>
                          <w:pStyle w:val="TableParagraph"/>
                          <w:spacing w:before="76"/>
                          <w:ind w:left="1889"/>
                          <w:rPr>
                            <w:sz w:val="18"/>
                          </w:rPr>
                        </w:pPr>
                        <w:r>
                          <w:rPr>
                            <w:sz w:val="18"/>
                          </w:rPr>
                          <w:t>(4) 所能提供的与确认保险事故的性质、原因等有关的其它证明文件和资料。</w:t>
                        </w:r>
                      </w:p>
                    </w:tc>
                  </w:tr>
                  <w:tr>
                    <w:trPr>
                      <w:trHeight w:val="538" w:hRule="atLeast"/>
                    </w:trPr>
                    <w:tc>
                      <w:tcPr>
                        <w:tcW w:w="609" w:type="dxa"/>
                      </w:tcPr>
                      <w:p>
                        <w:pPr>
                          <w:pStyle w:val="TableParagraph"/>
                          <w:rPr>
                            <w:rFonts w:ascii="Times New Roman"/>
                            <w:sz w:val="18"/>
                          </w:rPr>
                        </w:pPr>
                      </w:p>
                    </w:tc>
                    <w:tc>
                      <w:tcPr>
                        <w:tcW w:w="9334" w:type="dxa"/>
                      </w:tcPr>
                      <w:p>
                        <w:pPr>
                          <w:pStyle w:val="TableParagraph"/>
                          <w:spacing w:before="124"/>
                          <w:ind w:left="1889"/>
                          <w:rPr>
                            <w:sz w:val="18"/>
                          </w:rPr>
                        </w:pPr>
                        <w:r>
                          <w:rPr>
                            <w:sz w:val="18"/>
                          </w:rPr>
                          <w:t>以上证明和资料不完整的，本公司将及时一次性通知申请人补充提供有关证明和资料。</w:t>
                        </w:r>
                      </w:p>
                    </w:tc>
                  </w:tr>
                  <w:tr>
                    <w:trPr>
                      <w:trHeight w:val="531" w:hRule="atLeast"/>
                    </w:trPr>
                    <w:tc>
                      <w:tcPr>
                        <w:tcW w:w="609" w:type="dxa"/>
                      </w:tcPr>
                      <w:p>
                        <w:pPr>
                          <w:pStyle w:val="TableParagraph"/>
                          <w:rPr>
                            <w:rFonts w:ascii="Times New Roman"/>
                            <w:sz w:val="18"/>
                          </w:rPr>
                        </w:pPr>
                      </w:p>
                    </w:tc>
                    <w:tc>
                      <w:tcPr>
                        <w:tcW w:w="9334" w:type="dxa"/>
                      </w:tcPr>
                      <w:p>
                        <w:pPr>
                          <w:pStyle w:val="TableParagraph"/>
                          <w:spacing w:before="124"/>
                          <w:ind w:left="1889"/>
                          <w:rPr>
                            <w:sz w:val="18"/>
                          </w:rPr>
                        </w:pPr>
                        <w:r>
                          <w:rPr>
                            <w:sz w:val="18"/>
                          </w:rPr>
                          <w:t>2、如委托他人代为申请，还应提供授权委托书及受托人的有效身份证件。</w:t>
                        </w:r>
                      </w:p>
                    </w:tc>
                  </w:tr>
                  <w:tr>
                    <w:trPr>
                      <w:trHeight w:val="851" w:hRule="atLeast"/>
                    </w:trPr>
                    <w:tc>
                      <w:tcPr>
                        <w:tcW w:w="609" w:type="dxa"/>
                      </w:tcPr>
                      <w:p>
                        <w:pPr>
                          <w:pStyle w:val="TableParagraph"/>
                          <w:spacing w:before="107"/>
                          <w:ind w:left="107"/>
                          <w:rPr>
                            <w:b/>
                            <w:sz w:val="21"/>
                          </w:rPr>
                        </w:pPr>
                        <w:r>
                          <w:rPr>
                            <w:b/>
                            <w:sz w:val="21"/>
                          </w:rPr>
                          <w:t>3.2</w:t>
                        </w:r>
                      </w:p>
                    </w:tc>
                    <w:tc>
                      <w:tcPr>
                        <w:tcW w:w="9334" w:type="dxa"/>
                      </w:tcPr>
                      <w:p>
                        <w:pPr>
                          <w:pStyle w:val="TableParagraph"/>
                          <w:tabs>
                            <w:tab w:pos="1889" w:val="left" w:leader="none"/>
                          </w:tabs>
                          <w:spacing w:line="295" w:lineRule="auto" w:before="107"/>
                          <w:ind w:left="1889" w:right="98" w:hanging="1708"/>
                          <w:rPr>
                            <w:sz w:val="18"/>
                          </w:rPr>
                        </w:pPr>
                        <w:r>
                          <w:rPr>
                            <w:b/>
                            <w:sz w:val="21"/>
                          </w:rPr>
                          <w:t>未还款项</w:t>
                          <w:tab/>
                        </w:r>
                        <w:r>
                          <w:rPr>
                            <w:position w:val="1"/>
                            <w:sz w:val="18"/>
                          </w:rPr>
                          <w:t>本公司豁免保险费时</w:t>
                        </w:r>
                        <w:r>
                          <w:rPr>
                            <w:spacing w:val="-13"/>
                            <w:position w:val="1"/>
                            <w:sz w:val="18"/>
                          </w:rPr>
                          <w:t>，</w:t>
                        </w:r>
                        <w:r>
                          <w:rPr>
                            <w:position w:val="1"/>
                            <w:sz w:val="18"/>
                          </w:rPr>
                          <w:t>如果被豁免保费的保险合同有借款</w:t>
                        </w:r>
                        <w:r>
                          <w:rPr>
                            <w:spacing w:val="-13"/>
                            <w:position w:val="1"/>
                            <w:sz w:val="18"/>
                          </w:rPr>
                          <w:t>、</w:t>
                        </w:r>
                        <w:r>
                          <w:rPr>
                            <w:position w:val="1"/>
                            <w:sz w:val="18"/>
                          </w:rPr>
                          <w:t>欠交保险费</w:t>
                        </w:r>
                        <w:r>
                          <w:rPr>
                            <w:spacing w:val="-13"/>
                            <w:position w:val="1"/>
                            <w:sz w:val="18"/>
                          </w:rPr>
                          <w:t>，</w:t>
                        </w:r>
                        <w:r>
                          <w:rPr>
                            <w:position w:val="1"/>
                            <w:sz w:val="18"/>
                          </w:rPr>
                          <w:t>您应当先补交未清偿</w:t>
                        </w:r>
                        <w:r>
                          <w:rPr>
                            <w:sz w:val="18"/>
                          </w:rPr>
                          <w:t>的保险单借款及应付</w:t>
                        </w:r>
                        <w:r>
                          <w:rPr>
                            <w:b/>
                            <w:spacing w:val="0"/>
                            <w:w w:val="99"/>
                            <w:sz w:val="18"/>
                          </w:rPr>
                          <w:t>利息</w:t>
                        </w:r>
                        <w:r>
                          <w:rPr>
                            <w:spacing w:val="-2"/>
                            <w:sz w:val="18"/>
                          </w:rPr>
                          <w:t>（</w:t>
                        </w:r>
                        <w:r>
                          <w:rPr>
                            <w:sz w:val="18"/>
                          </w:rPr>
                          <w:t>见</w:t>
                        </w:r>
                        <w:r>
                          <w:rPr>
                            <w:spacing w:val="-46"/>
                            <w:sz w:val="18"/>
                          </w:rPr>
                          <w:t> </w:t>
                        </w:r>
                        <w:r>
                          <w:rPr>
                            <w:sz w:val="18"/>
                          </w:rPr>
                          <w:t>8.11</w:t>
                        </w:r>
                        <w:r>
                          <w:rPr>
                            <w:spacing w:val="-90"/>
                            <w:sz w:val="18"/>
                          </w:rPr>
                          <w:t>）</w:t>
                        </w:r>
                        <w:r>
                          <w:rPr>
                            <w:sz w:val="18"/>
                          </w:rPr>
                          <w:t>、欠交保险费。</w:t>
                        </w:r>
                      </w:p>
                    </w:tc>
                  </w:tr>
                  <w:tr>
                    <w:trPr>
                      <w:trHeight w:val="921" w:hRule="atLeast"/>
                    </w:trPr>
                    <w:tc>
                      <w:tcPr>
                        <w:tcW w:w="609" w:type="dxa"/>
                      </w:tcPr>
                      <w:p>
                        <w:pPr>
                          <w:pStyle w:val="TableParagraph"/>
                          <w:spacing w:before="106"/>
                          <w:ind w:left="107"/>
                          <w:rPr>
                            <w:b/>
                            <w:sz w:val="21"/>
                          </w:rPr>
                        </w:pPr>
                        <w:r>
                          <w:rPr>
                            <w:b/>
                            <w:sz w:val="21"/>
                          </w:rPr>
                          <w:t>3.3</w:t>
                        </w:r>
                      </w:p>
                    </w:tc>
                    <w:tc>
                      <w:tcPr>
                        <w:tcW w:w="9334" w:type="dxa"/>
                      </w:tcPr>
                      <w:p>
                        <w:pPr>
                          <w:pStyle w:val="TableParagraph"/>
                          <w:tabs>
                            <w:tab w:pos="1889" w:val="left" w:leader="none"/>
                          </w:tabs>
                          <w:spacing w:line="295" w:lineRule="auto" w:before="106"/>
                          <w:ind w:left="1889" w:right="99" w:hanging="1708"/>
                          <w:rPr>
                            <w:sz w:val="18"/>
                          </w:rPr>
                        </w:pPr>
                        <w:r>
                          <w:rPr>
                            <w:b/>
                            <w:sz w:val="21"/>
                          </w:rPr>
                          <w:t>诉讼时效</w:t>
                          <w:tab/>
                        </w:r>
                        <w:r>
                          <w:rPr>
                            <w:position w:val="1"/>
                            <w:sz w:val="18"/>
                          </w:rPr>
                          <w:t>本附加合同的申请人向本公司请求豁免保险费的诉讼时效期间为二年</w:t>
                        </w:r>
                        <w:r>
                          <w:rPr>
                            <w:spacing w:val="-38"/>
                            <w:position w:val="1"/>
                            <w:sz w:val="18"/>
                          </w:rPr>
                          <w:t>，</w:t>
                        </w:r>
                        <w:r>
                          <w:rPr>
                            <w:position w:val="1"/>
                            <w:sz w:val="18"/>
                          </w:rPr>
                          <w:t>自其知道或者应当知道</w:t>
                        </w:r>
                        <w:r>
                          <w:rPr>
                            <w:sz w:val="18"/>
                          </w:rPr>
                          <w:t>保险事故发生之日起计算。</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hAnsi="Yu Gothic"/>
                            <w:b/>
                            <w:sz w:val="40"/>
                          </w:rPr>
                        </w:pPr>
                        <w:r>
                          <w:rPr>
                            <w:rFonts w:ascii="Yu Gothic" w:hAnsi="Yu Gothic"/>
                            <w:b/>
                            <w:w w:val="214"/>
                            <w:sz w:val="40"/>
                          </w:rPr>
                          <w:t>º</w:t>
                        </w:r>
                      </w:p>
                    </w:tc>
                    <w:tc>
                      <w:tcPr>
                        <w:tcW w:w="9334" w:type="dxa"/>
                        <w:tcBorders>
                          <w:bottom w:val="single" w:sz="4" w:space="0" w:color="000000"/>
                        </w:tcBorders>
                      </w:tcPr>
                      <w:p>
                        <w:pPr>
                          <w:pStyle w:val="TableParagraph"/>
                          <w:spacing w:before="167"/>
                          <w:ind w:left="181"/>
                          <w:rPr>
                            <w:b/>
                            <w:sz w:val="24"/>
                          </w:rPr>
                        </w:pPr>
                        <w:r>
                          <w:rPr>
                            <w:b/>
                            <w:sz w:val="24"/>
                          </w:rPr>
                          <w:t>如何交付保险费</w:t>
                        </w:r>
                      </w:p>
                    </w:tc>
                  </w:tr>
                  <w:tr>
                    <w:trPr>
                      <w:trHeight w:val="641" w:hRule="atLeast"/>
                    </w:trPr>
                    <w:tc>
                      <w:tcPr>
                        <w:tcW w:w="609" w:type="dxa"/>
                        <w:tcBorders>
                          <w:top w:val="single" w:sz="4" w:space="0" w:color="000000"/>
                        </w:tcBorders>
                      </w:tcPr>
                      <w:p>
                        <w:pPr>
                          <w:pStyle w:val="TableParagraph"/>
                          <w:spacing w:before="5"/>
                          <w:rPr>
                            <w:b/>
                            <w:sz w:val="15"/>
                          </w:rPr>
                        </w:pPr>
                      </w:p>
                      <w:p>
                        <w:pPr>
                          <w:pStyle w:val="TableParagraph"/>
                          <w:spacing w:before="1"/>
                          <w:ind w:left="107"/>
                          <w:rPr>
                            <w:b/>
                            <w:sz w:val="21"/>
                          </w:rPr>
                        </w:pPr>
                        <w:r>
                          <w:rPr>
                            <w:b/>
                            <w:sz w:val="21"/>
                          </w:rPr>
                          <w:t>4.1</w:t>
                        </w:r>
                      </w:p>
                    </w:tc>
                    <w:tc>
                      <w:tcPr>
                        <w:tcW w:w="9334" w:type="dxa"/>
                        <w:tcBorders>
                          <w:top w:val="single" w:sz="4" w:space="0" w:color="000000"/>
                        </w:tcBorders>
                      </w:tcPr>
                      <w:p>
                        <w:pPr>
                          <w:pStyle w:val="TableParagraph"/>
                          <w:spacing w:before="5"/>
                          <w:rPr>
                            <w:b/>
                            <w:sz w:val="15"/>
                          </w:rPr>
                        </w:pPr>
                      </w:p>
                      <w:p>
                        <w:pPr>
                          <w:pStyle w:val="TableParagraph"/>
                          <w:tabs>
                            <w:tab w:pos="1889" w:val="left" w:leader="none"/>
                          </w:tabs>
                          <w:spacing w:before="1"/>
                          <w:ind w:left="181"/>
                          <w:rPr>
                            <w:sz w:val="18"/>
                          </w:rPr>
                        </w:pPr>
                        <w:r>
                          <w:rPr>
                            <w:b/>
                            <w:sz w:val="21"/>
                          </w:rPr>
                          <w:t>保险费的交付</w:t>
                          <w:tab/>
                        </w:r>
                        <w:r>
                          <w:rPr>
                            <w:position w:val="1"/>
                            <w:sz w:val="18"/>
                          </w:rPr>
                          <w:t>保险费详见费率表，本附加合同的交费期间与保险期间一致。</w:t>
                        </w:r>
                      </w:p>
                    </w:tc>
                  </w:tr>
                  <w:tr>
                    <w:trPr>
                      <w:trHeight w:val="374" w:hRule="atLeast"/>
                    </w:trPr>
                    <w:tc>
                      <w:tcPr>
                        <w:tcW w:w="609" w:type="dxa"/>
                      </w:tcPr>
                      <w:p>
                        <w:pPr>
                          <w:pStyle w:val="TableParagraph"/>
                          <w:spacing w:line="255" w:lineRule="exact" w:before="99"/>
                          <w:ind w:left="107"/>
                          <w:rPr>
                            <w:b/>
                            <w:sz w:val="21"/>
                          </w:rPr>
                        </w:pPr>
                        <w:r>
                          <w:rPr>
                            <w:b/>
                            <w:sz w:val="21"/>
                          </w:rPr>
                          <w:t>4.2</w:t>
                        </w:r>
                      </w:p>
                    </w:tc>
                    <w:tc>
                      <w:tcPr>
                        <w:tcW w:w="9334" w:type="dxa"/>
                      </w:tcPr>
                      <w:p>
                        <w:pPr>
                          <w:pStyle w:val="TableParagraph"/>
                          <w:tabs>
                            <w:tab w:pos="1889" w:val="left" w:leader="none"/>
                          </w:tabs>
                          <w:spacing w:line="255" w:lineRule="exact" w:before="99"/>
                          <w:ind w:left="181"/>
                          <w:rPr>
                            <w:sz w:val="18"/>
                          </w:rPr>
                        </w:pPr>
                        <w:r>
                          <w:rPr>
                            <w:b/>
                            <w:sz w:val="21"/>
                          </w:rPr>
                          <w:t>续期保险费的</w:t>
                          <w:tab/>
                        </w:r>
                        <w:r>
                          <w:rPr>
                            <w:position w:val="1"/>
                            <w:sz w:val="18"/>
                          </w:rPr>
                          <w:t>您在交付首期保险费后，应该按照本附加合同约定的交付方式和交费日期交付续期保险费。</w:t>
                        </w:r>
                      </w:p>
                    </w:tc>
                  </w:tr>
                </w:tbl>
                <w:p>
                  <w:pPr>
                    <w:pStyle w:val="BodyText"/>
                  </w:pPr>
                </w:p>
              </w:txbxContent>
            </v:textbox>
            <w10:wrap type="none"/>
          </v:shape>
        </w:pict>
      </w:r>
    </w:p>
    <w:p>
      <w:pPr>
        <w:pStyle w:val="BodyText"/>
        <w:spacing w:before="44"/>
        <w:ind w:left="2614"/>
      </w:pPr>
      <w:r>
        <w:rPr/>
        <w:t>被附加的保险合同的各期保险费。</w:t>
      </w:r>
    </w:p>
    <w:p>
      <w:pPr>
        <w:pStyle w:val="BodyText"/>
      </w:pPr>
    </w:p>
    <w:p>
      <w:pPr>
        <w:pStyle w:val="ListParagraph"/>
        <w:numPr>
          <w:ilvl w:val="2"/>
          <w:numId w:val="8"/>
        </w:numPr>
        <w:tabs>
          <w:tab w:pos="2975" w:val="left" w:leader="none"/>
        </w:tabs>
        <w:spacing w:line="240" w:lineRule="auto" w:before="152" w:after="0"/>
        <w:ind w:left="2974" w:right="0" w:hanging="360"/>
        <w:jc w:val="left"/>
        <w:rPr>
          <w:sz w:val="18"/>
        </w:rPr>
      </w:pPr>
      <w:r>
        <w:rPr>
          <w:sz w:val="18"/>
        </w:rPr>
        <w:t>主险合同被保险人身故；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p>
    <w:p>
      <w:pPr>
        <w:pStyle w:val="Heading2"/>
        <w:spacing w:before="0"/>
        <w:ind w:left="2614" w:firstLine="0"/>
      </w:pPr>
      <w:r>
        <w:rPr>
          <w:b w:val="0"/>
        </w:rPr>
        <w:t>9、 </w:t>
      </w:r>
      <w:r>
        <w:rPr/>
        <w:t>核爆炸、核辐射或核污染；</w:t>
      </w:r>
    </w:p>
    <w:p>
      <w:pPr>
        <w:spacing w:after="0"/>
        <w:sectPr>
          <w:pgSz w:w="11910" w:h="16840"/>
          <w:pgMar w:header="877" w:footer="981" w:top="1100" w:bottom="1180" w:left="1080" w:right="660"/>
        </w:sectPr>
      </w:pPr>
    </w:p>
    <w:p>
      <w:pPr>
        <w:pStyle w:val="BodyText"/>
        <w:rPr>
          <w:b/>
          <w:sz w:val="20"/>
        </w:rPr>
      </w:pPr>
      <w:r>
        <w:rPr/>
        <w:pict>
          <v:shape style="position:absolute;margin-left:59.82pt;margin-top:55.259998pt;width:497.1pt;height:706.8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333"/>
                  </w:tblGrid>
                  <w:tr>
                    <w:trPr>
                      <w:trHeight w:val="929" w:hRule="atLeast"/>
                    </w:trPr>
                    <w:tc>
                      <w:tcPr>
                        <w:tcW w:w="609" w:type="dxa"/>
                        <w:tcBorders>
                          <w:top w:val="single" w:sz="6" w:space="0" w:color="000000"/>
                        </w:tcBorders>
                      </w:tcPr>
                      <w:p>
                        <w:pPr>
                          <w:pStyle w:val="TableParagraph"/>
                          <w:rPr>
                            <w:rFonts w:ascii="Times New Roman"/>
                            <w:sz w:val="18"/>
                          </w:rPr>
                        </w:pPr>
                      </w:p>
                    </w:tc>
                    <w:tc>
                      <w:tcPr>
                        <w:tcW w:w="9333" w:type="dxa"/>
                        <w:tcBorders>
                          <w:top w:val="single" w:sz="6" w:space="0" w:color="000000"/>
                        </w:tcBorders>
                      </w:tcPr>
                      <w:p>
                        <w:pPr>
                          <w:pStyle w:val="TableParagraph"/>
                          <w:spacing w:before="8"/>
                          <w:rPr>
                            <w:sz w:val="21"/>
                          </w:rPr>
                        </w:pPr>
                      </w:p>
                      <w:p>
                        <w:pPr>
                          <w:pStyle w:val="TableParagraph"/>
                          <w:tabs>
                            <w:tab w:pos="1889" w:val="left" w:leader="none"/>
                          </w:tabs>
                          <w:spacing w:line="295" w:lineRule="auto" w:before="1"/>
                          <w:ind w:left="1889" w:right="97" w:hanging="1708"/>
                          <w:rPr>
                            <w:sz w:val="18"/>
                          </w:rPr>
                        </w:pPr>
                        <w:r>
                          <w:rPr>
                            <w:b/>
                            <w:sz w:val="21"/>
                          </w:rPr>
                          <w:t>交付、宽限期</w:t>
                          <w:tab/>
                        </w:r>
                        <w:r>
                          <w:rPr>
                            <w:position w:val="1"/>
                            <w:sz w:val="18"/>
                          </w:rPr>
                          <w:t>分期交付保险费的</w:t>
                        </w:r>
                        <w:r>
                          <w:rPr>
                            <w:spacing w:val="-13"/>
                            <w:position w:val="1"/>
                            <w:sz w:val="18"/>
                          </w:rPr>
                          <w:t>，</w:t>
                        </w:r>
                        <w:r>
                          <w:rPr>
                            <w:position w:val="1"/>
                            <w:sz w:val="18"/>
                          </w:rPr>
                          <w:t>您交付首期保险费后</w:t>
                        </w:r>
                        <w:r>
                          <w:rPr>
                            <w:spacing w:val="-13"/>
                            <w:position w:val="1"/>
                            <w:sz w:val="18"/>
                          </w:rPr>
                          <w:t>，</w:t>
                        </w:r>
                        <w:r>
                          <w:rPr>
                            <w:position w:val="1"/>
                            <w:sz w:val="18"/>
                          </w:rPr>
                          <w:t>除本附加合同另有约定外</w:t>
                        </w:r>
                        <w:r>
                          <w:rPr>
                            <w:spacing w:val="-13"/>
                            <w:position w:val="1"/>
                            <w:sz w:val="18"/>
                          </w:rPr>
                          <w:t>，</w:t>
                        </w:r>
                        <w:r>
                          <w:rPr>
                            <w:position w:val="1"/>
                            <w:sz w:val="18"/>
                          </w:rPr>
                          <w:t>如果您到期未交付保险</w:t>
                        </w:r>
                        <w:r>
                          <w:rPr>
                            <w:sz w:val="18"/>
                          </w:rPr>
                          <w:t>费</w:t>
                        </w:r>
                        <w:r>
                          <w:rPr>
                            <w:spacing w:val="-13"/>
                            <w:sz w:val="18"/>
                          </w:rPr>
                          <w:t>，</w:t>
                        </w:r>
                        <w:r>
                          <w:rPr>
                            <w:sz w:val="18"/>
                          </w:rPr>
                          <w:t>自保险费约定交付日的次日零时起六十日为宽限期</w:t>
                        </w:r>
                        <w:r>
                          <w:rPr>
                            <w:spacing w:val="-13"/>
                            <w:sz w:val="18"/>
                          </w:rPr>
                          <w:t>。</w:t>
                        </w:r>
                        <w:r>
                          <w:rPr>
                            <w:sz w:val="18"/>
                          </w:rPr>
                          <w:t>宽限期内发生的保险事故</w:t>
                        </w:r>
                        <w:r>
                          <w:rPr>
                            <w:spacing w:val="-13"/>
                            <w:sz w:val="18"/>
                          </w:rPr>
                          <w:t>，</w:t>
                        </w:r>
                        <w:r>
                          <w:rPr>
                            <w:sz w:val="18"/>
                          </w:rPr>
                          <w:t>我们仍会</w:t>
                        </w:r>
                      </w:p>
                    </w:tc>
                  </w:tr>
                  <w:tr>
                    <w:trPr>
                      <w:trHeight w:val="792" w:hRule="atLeast"/>
                    </w:trPr>
                    <w:tc>
                      <w:tcPr>
                        <w:tcW w:w="609" w:type="dxa"/>
                      </w:tcPr>
                      <w:p>
                        <w:pPr>
                          <w:pStyle w:val="TableParagraph"/>
                          <w:rPr>
                            <w:rFonts w:ascii="Times New Roman"/>
                            <w:sz w:val="18"/>
                          </w:rPr>
                        </w:pPr>
                      </w:p>
                    </w:tc>
                    <w:tc>
                      <w:tcPr>
                        <w:tcW w:w="9333" w:type="dxa"/>
                      </w:tcPr>
                      <w:p>
                        <w:pPr>
                          <w:pStyle w:val="TableParagraph"/>
                          <w:spacing w:before="3"/>
                          <w:ind w:left="1889"/>
                          <w:rPr>
                            <w:sz w:val="18"/>
                          </w:rPr>
                        </w:pPr>
                        <w:r>
                          <w:rPr>
                            <w:sz w:val="18"/>
                          </w:rPr>
                          <w:t>承担保险责任，但您应当先补交欠交的保险费。</w:t>
                        </w:r>
                      </w:p>
                      <w:p>
                        <w:pPr>
                          <w:pStyle w:val="TableParagraph"/>
                          <w:spacing w:before="76"/>
                          <w:ind w:left="1889"/>
                          <w:rPr>
                            <w:sz w:val="18"/>
                          </w:rPr>
                        </w:pPr>
                        <w:r>
                          <w:rPr>
                            <w:sz w:val="18"/>
                          </w:rPr>
                          <w:t>如果您宽限期结束之后仍未交付保险费，则本附加合同自宽限期满的次日零时起效力中止。</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6</w:t>
                        </w:r>
                      </w:p>
                    </w:tc>
                    <w:tc>
                      <w:tcPr>
                        <w:tcW w:w="9333" w:type="dxa"/>
                        <w:tcBorders>
                          <w:bottom w:val="single" w:sz="4" w:space="0" w:color="000000"/>
                        </w:tcBorders>
                      </w:tcPr>
                      <w:p>
                        <w:pPr>
                          <w:pStyle w:val="TableParagraph"/>
                          <w:spacing w:before="167"/>
                          <w:ind w:left="181"/>
                          <w:rPr>
                            <w:b/>
                            <w:sz w:val="24"/>
                          </w:rPr>
                        </w:pPr>
                        <w:r>
                          <w:rPr>
                            <w:b/>
                            <w:w w:val="95"/>
                            <w:sz w:val="24"/>
                          </w:rPr>
                          <w:t>现金价值权益</w:t>
                        </w:r>
                      </w:p>
                    </w:tc>
                  </w:tr>
                  <w:tr>
                    <w:trPr>
                      <w:trHeight w:val="692" w:hRule="atLeast"/>
                    </w:trPr>
                    <w:tc>
                      <w:tcPr>
                        <w:tcW w:w="9942" w:type="dxa"/>
                        <w:gridSpan w:val="2"/>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5.1</w:t>
                          <w:tab/>
                          <w:t>现金价值</w:t>
                          <w:tab/>
                        </w:r>
                        <w:r>
                          <w:rPr>
                            <w:position w:val="1"/>
                            <w:sz w:val="18"/>
                          </w:rPr>
                          <w:t>本附加合同保单年度末的</w:t>
                        </w:r>
                        <w:r>
                          <w:rPr>
                            <w:b/>
                            <w:position w:val="1"/>
                            <w:sz w:val="18"/>
                          </w:rPr>
                          <w:t>现金价</w:t>
                        </w:r>
                        <w:r>
                          <w:rPr>
                            <w:b/>
                            <w:spacing w:val="-21"/>
                            <w:position w:val="1"/>
                            <w:sz w:val="18"/>
                          </w:rPr>
                          <w:t>值</w:t>
                        </w:r>
                        <w:r>
                          <w:rPr>
                            <w:position w:val="1"/>
                            <w:sz w:val="18"/>
                          </w:rPr>
                          <w:t>（见</w:t>
                        </w:r>
                        <w:r>
                          <w:rPr>
                            <w:spacing w:val="-43"/>
                            <w:position w:val="1"/>
                            <w:sz w:val="18"/>
                          </w:rPr>
                          <w:t> </w:t>
                        </w:r>
                        <w:r>
                          <w:rPr>
                            <w:spacing w:val="-5"/>
                            <w:position w:val="1"/>
                            <w:sz w:val="18"/>
                          </w:rPr>
                          <w:t>8.12）</w:t>
                        </w:r>
                        <w:r>
                          <w:rPr>
                            <w:position w:val="1"/>
                            <w:sz w:val="18"/>
                          </w:rPr>
                          <w:t>会在保险单上载明</w:t>
                        </w:r>
                        <w:r>
                          <w:rPr>
                            <w:spacing w:val="-22"/>
                            <w:position w:val="1"/>
                            <w:sz w:val="18"/>
                          </w:rPr>
                          <w:t>。</w:t>
                        </w:r>
                        <w:r>
                          <w:rPr>
                            <w:position w:val="1"/>
                            <w:sz w:val="18"/>
                          </w:rPr>
                          <w:t>保单年度内的现金价值</w:t>
                        </w:r>
                        <w:r>
                          <w:rPr>
                            <w:spacing w:val="-22"/>
                            <w:position w:val="1"/>
                            <w:sz w:val="18"/>
                          </w:rPr>
                          <w:t>，</w:t>
                        </w:r>
                        <w:r>
                          <w:rPr>
                            <w:position w:val="1"/>
                            <w:sz w:val="18"/>
                          </w:rPr>
                          <w:t>您</w:t>
                        </w:r>
                      </w:p>
                    </w:tc>
                  </w:tr>
                  <w:tr>
                    <w:trPr>
                      <w:trHeight w:val="878" w:hRule="atLeast"/>
                    </w:trPr>
                    <w:tc>
                      <w:tcPr>
                        <w:tcW w:w="609" w:type="dxa"/>
                      </w:tcPr>
                      <w:p>
                        <w:pPr>
                          <w:pStyle w:val="TableParagraph"/>
                          <w:rPr>
                            <w:rFonts w:ascii="Times New Roman"/>
                            <w:sz w:val="18"/>
                          </w:rPr>
                        </w:pPr>
                      </w:p>
                    </w:tc>
                    <w:tc>
                      <w:tcPr>
                        <w:tcW w:w="9333" w:type="dxa"/>
                      </w:tcPr>
                      <w:p>
                        <w:pPr>
                          <w:pStyle w:val="TableParagraph"/>
                          <w:spacing w:line="316" w:lineRule="auto" w:before="159"/>
                          <w:ind w:left="1889" w:right="40"/>
                          <w:rPr>
                            <w:sz w:val="18"/>
                          </w:rPr>
                        </w:pPr>
                        <w:r>
                          <w:rPr>
                            <w:sz w:val="18"/>
                          </w:rPr>
                          <w:t>如果被保险人被确诊患有本附加合同附表一中约定的一项或多项重大疾病，且本公司已经开始履行豁免保险费责任，自本公司履行豁免保险费责任时刻起，本附加合同的现金价值为零。</w:t>
                        </w:r>
                      </w:p>
                    </w:tc>
                  </w:tr>
                  <w:tr>
                    <w:trPr>
                      <w:trHeight w:val="850" w:hRule="atLeast"/>
                    </w:trPr>
                    <w:tc>
                      <w:tcPr>
                        <w:tcW w:w="609" w:type="dxa"/>
                      </w:tcPr>
                      <w:p>
                        <w:pPr>
                          <w:pStyle w:val="TableParagraph"/>
                          <w:spacing w:before="106"/>
                          <w:ind w:left="107"/>
                          <w:rPr>
                            <w:b/>
                            <w:sz w:val="21"/>
                          </w:rPr>
                        </w:pPr>
                        <w:r>
                          <w:rPr>
                            <w:b/>
                            <w:sz w:val="21"/>
                          </w:rPr>
                          <w:t>5.2</w:t>
                        </w:r>
                      </w:p>
                    </w:tc>
                    <w:tc>
                      <w:tcPr>
                        <w:tcW w:w="9333" w:type="dxa"/>
                      </w:tcPr>
                      <w:p>
                        <w:pPr>
                          <w:pStyle w:val="TableParagraph"/>
                          <w:tabs>
                            <w:tab w:pos="1889" w:val="left" w:leader="none"/>
                          </w:tabs>
                          <w:spacing w:line="295" w:lineRule="auto" w:before="106"/>
                          <w:ind w:left="1889" w:right="97" w:hanging="1708"/>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tc>
                  </w:tr>
                  <w:tr>
                    <w:trPr>
                      <w:trHeight w:val="921" w:hRule="atLeast"/>
                    </w:trPr>
                    <w:tc>
                      <w:tcPr>
                        <w:tcW w:w="609" w:type="dxa"/>
                      </w:tcPr>
                      <w:p>
                        <w:pPr>
                          <w:pStyle w:val="TableParagraph"/>
                          <w:spacing w:before="106"/>
                          <w:ind w:left="107"/>
                          <w:rPr>
                            <w:b/>
                            <w:sz w:val="21"/>
                          </w:rPr>
                        </w:pPr>
                        <w:r>
                          <w:rPr>
                            <w:b/>
                            <w:sz w:val="21"/>
                          </w:rPr>
                          <w:t>5.3</w:t>
                        </w:r>
                      </w:p>
                    </w:tc>
                    <w:tc>
                      <w:tcPr>
                        <w:tcW w:w="9333" w:type="dxa"/>
                      </w:tcPr>
                      <w:p>
                        <w:pPr>
                          <w:pStyle w:val="TableParagraph"/>
                          <w:tabs>
                            <w:tab w:pos="1889" w:val="left" w:leader="none"/>
                          </w:tabs>
                          <w:spacing w:line="295" w:lineRule="auto" w:before="106"/>
                          <w:ind w:left="1889" w:right="97" w:hanging="1709"/>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hAnsi="Yu Gothic"/>
                            <w:b/>
                            <w:sz w:val="40"/>
                          </w:rPr>
                        </w:pPr>
                        <w:r>
                          <w:rPr>
                            <w:rFonts w:ascii="Yu Gothic" w:hAnsi="Yu Gothic"/>
                            <w:b/>
                            <w:w w:val="89"/>
                            <w:sz w:val="40"/>
                          </w:rPr>
                          <w:t>◉</w:t>
                        </w:r>
                      </w:p>
                    </w:tc>
                    <w:tc>
                      <w:tcPr>
                        <w:tcW w:w="9333" w:type="dxa"/>
                        <w:tcBorders>
                          <w:bottom w:val="single" w:sz="4" w:space="0" w:color="000000"/>
                        </w:tcBorders>
                      </w:tcPr>
                      <w:p>
                        <w:pPr>
                          <w:pStyle w:val="TableParagraph"/>
                          <w:spacing w:before="167"/>
                          <w:ind w:left="181"/>
                          <w:rPr>
                            <w:b/>
                            <w:sz w:val="24"/>
                          </w:rPr>
                        </w:pPr>
                        <w:r>
                          <w:rPr>
                            <w:b/>
                            <w:w w:val="95"/>
                            <w:sz w:val="24"/>
                          </w:rPr>
                          <w:t>如何解除保险合同</w:t>
                        </w:r>
                      </w:p>
                    </w:tc>
                  </w:tr>
                  <w:tr>
                    <w:trPr>
                      <w:trHeight w:val="2246" w:hRule="atLeast"/>
                    </w:trPr>
                    <w:tc>
                      <w:tcPr>
                        <w:tcW w:w="609" w:type="dxa"/>
                        <w:tcBorders>
                          <w:top w:val="single" w:sz="4" w:space="0" w:color="000000"/>
                        </w:tcBorders>
                      </w:tcPr>
                      <w:p>
                        <w:pPr>
                          <w:pStyle w:val="TableParagraph"/>
                          <w:spacing w:before="7"/>
                          <w:rPr>
                            <w:sz w:val="15"/>
                          </w:rPr>
                        </w:pPr>
                      </w:p>
                      <w:p>
                        <w:pPr>
                          <w:pStyle w:val="TableParagraph"/>
                          <w:ind w:left="107"/>
                          <w:rPr>
                            <w:b/>
                            <w:sz w:val="21"/>
                          </w:rPr>
                        </w:pPr>
                        <w:r>
                          <w:rPr>
                            <w:b/>
                            <w:sz w:val="21"/>
                          </w:rPr>
                          <w:t>6.1</w:t>
                        </w:r>
                      </w:p>
                    </w:tc>
                    <w:tc>
                      <w:tcPr>
                        <w:tcW w:w="9333" w:type="dxa"/>
                        <w:tcBorders>
                          <w:top w:val="single" w:sz="4" w:space="0" w:color="000000"/>
                        </w:tcBorders>
                      </w:tcPr>
                      <w:p>
                        <w:pPr>
                          <w:pStyle w:val="TableParagraph"/>
                          <w:spacing w:before="7"/>
                          <w:rPr>
                            <w:sz w:val="15"/>
                          </w:rPr>
                        </w:pPr>
                      </w:p>
                      <w:p>
                        <w:pPr>
                          <w:pStyle w:val="TableParagraph"/>
                          <w:tabs>
                            <w:tab w:pos="1889" w:val="left" w:leader="none"/>
                          </w:tabs>
                          <w:ind w:left="181"/>
                          <w:rPr>
                            <w:sz w:val="18"/>
                          </w:rPr>
                        </w:pPr>
                        <w:r>
                          <w:rPr>
                            <w:b/>
                            <w:sz w:val="21"/>
                          </w:rPr>
                          <w:t>您解除合同的手</w:t>
                          <w:tab/>
                        </w:r>
                        <w:r>
                          <w:rPr>
                            <w:position w:val="1"/>
                            <w:sz w:val="18"/>
                          </w:rPr>
                          <w:t>您在犹豫期后</w:t>
                        </w:r>
                        <w:r>
                          <w:rPr>
                            <w:spacing w:val="-64"/>
                            <w:position w:val="1"/>
                            <w:sz w:val="18"/>
                          </w:rPr>
                          <w:t>，</w:t>
                        </w:r>
                        <w:r>
                          <w:rPr>
                            <w:position w:val="1"/>
                            <w:sz w:val="18"/>
                          </w:rPr>
                          <w:t>可以书面通知我们要求解除本附加合同</w:t>
                        </w:r>
                        <w:r>
                          <w:rPr>
                            <w:spacing w:val="-64"/>
                            <w:position w:val="1"/>
                            <w:sz w:val="18"/>
                          </w:rPr>
                          <w:t>，</w:t>
                        </w:r>
                        <w:r>
                          <w:rPr>
                            <w:position w:val="1"/>
                            <w:sz w:val="18"/>
                          </w:rPr>
                          <w:t>自本公司收到合同解除申请书之日起，</w:t>
                        </w:r>
                      </w:p>
                      <w:p>
                        <w:pPr>
                          <w:pStyle w:val="TableParagraph"/>
                          <w:tabs>
                            <w:tab w:pos="1889" w:val="left" w:leader="none"/>
                          </w:tabs>
                          <w:spacing w:before="37"/>
                          <w:ind w:left="181"/>
                          <w:rPr>
                            <w:sz w:val="18"/>
                          </w:rPr>
                        </w:pPr>
                        <w:r>
                          <w:rPr>
                            <w:b/>
                            <w:sz w:val="21"/>
                          </w:rPr>
                          <w:t>续及风险</w:t>
                          <w:tab/>
                        </w:r>
                        <w:r>
                          <w:rPr>
                            <w:position w:val="1"/>
                            <w:sz w:val="18"/>
                          </w:rPr>
                          <w:t>本附加合同效力即行终止。</w:t>
                        </w:r>
                      </w:p>
                      <w:p>
                        <w:pPr>
                          <w:pStyle w:val="TableParagraph"/>
                          <w:spacing w:before="62"/>
                          <w:ind w:left="1889"/>
                          <w:rPr>
                            <w:sz w:val="18"/>
                          </w:rPr>
                        </w:pPr>
                        <w:r>
                          <w:rPr>
                            <w:sz w:val="18"/>
                          </w:rPr>
                          <w:t>您解除本附加合同时，应填写合同解除申请书，并提供下列证明和资料：</w:t>
                        </w:r>
                      </w:p>
                      <w:p>
                        <w:pPr>
                          <w:pStyle w:val="TableParagraph"/>
                          <w:spacing w:before="76"/>
                          <w:ind w:left="1889"/>
                          <w:rPr>
                            <w:sz w:val="18"/>
                          </w:rPr>
                        </w:pPr>
                        <w:r>
                          <w:rPr>
                            <w:sz w:val="18"/>
                          </w:rPr>
                          <w:t>1、 保险合同；</w:t>
                        </w:r>
                      </w:p>
                      <w:p>
                        <w:pPr>
                          <w:pStyle w:val="TableParagraph"/>
                          <w:spacing w:before="76"/>
                          <w:ind w:left="1889"/>
                          <w:rPr>
                            <w:sz w:val="18"/>
                          </w:rPr>
                        </w:pPr>
                        <w:r>
                          <w:rPr>
                            <w:sz w:val="18"/>
                          </w:rPr>
                          <w:t>2、 您的有效身份证件。</w:t>
                        </w:r>
                      </w:p>
                      <w:p>
                        <w:pPr>
                          <w:pStyle w:val="TableParagraph"/>
                          <w:spacing w:before="76"/>
                          <w:ind w:left="1889"/>
                          <w:rPr>
                            <w:sz w:val="18"/>
                          </w:rPr>
                        </w:pPr>
                        <w:r>
                          <w:rPr>
                            <w:sz w:val="18"/>
                          </w:rPr>
                          <w:t>本公司自收到上述证明和材料之日起三十日内，返还本附加合同的现金价值净额。</w:t>
                        </w:r>
                      </w:p>
                    </w:tc>
                  </w:tr>
                  <w:tr>
                    <w:trPr>
                      <w:trHeight w:val="955" w:hRule="atLeast"/>
                    </w:trPr>
                    <w:tc>
                      <w:tcPr>
                        <w:tcW w:w="609" w:type="dxa"/>
                      </w:tcPr>
                      <w:p>
                        <w:pPr>
                          <w:pStyle w:val="TableParagraph"/>
                          <w:rPr>
                            <w:rFonts w:ascii="Times New Roman"/>
                            <w:sz w:val="18"/>
                          </w:rPr>
                        </w:pPr>
                      </w:p>
                    </w:tc>
                    <w:tc>
                      <w:tcPr>
                        <w:tcW w:w="9333" w:type="dxa"/>
                      </w:tcPr>
                      <w:p>
                        <w:pPr>
                          <w:pStyle w:val="TableParagraph"/>
                          <w:spacing w:before="9"/>
                          <w:rPr>
                            <w:sz w:val="12"/>
                          </w:rPr>
                        </w:pPr>
                      </w:p>
                      <w:p>
                        <w:pPr>
                          <w:pStyle w:val="TableParagraph"/>
                          <w:spacing w:line="316" w:lineRule="auto"/>
                          <w:ind w:left="1889" w:right="97"/>
                          <w:rPr>
                            <w:sz w:val="18"/>
                          </w:rPr>
                        </w:pPr>
                        <w:r>
                          <w:rPr>
                            <w:spacing w:val="-5"/>
                            <w:sz w:val="18"/>
                          </w:rPr>
                          <w:t>解除合同后，您、被保险人或主险合同受益人不能对合同解除前发生的保险事故申请豁免保险费。</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b/>
                            <w:sz w:val="40"/>
                          </w:rPr>
                        </w:pPr>
                        <w:r>
                          <w:rPr>
                            <w:rFonts w:ascii="Yu Gothic"/>
                            <w:b/>
                            <w:w w:val="155"/>
                            <w:sz w:val="40"/>
                          </w:rPr>
                          <w:t>0</w:t>
                        </w:r>
                      </w:p>
                    </w:tc>
                    <w:tc>
                      <w:tcPr>
                        <w:tcW w:w="9333" w:type="dxa"/>
                        <w:tcBorders>
                          <w:bottom w:val="single" w:sz="4" w:space="0" w:color="000000"/>
                        </w:tcBorders>
                      </w:tcPr>
                      <w:p>
                        <w:pPr>
                          <w:pStyle w:val="TableParagraph"/>
                          <w:spacing w:before="168"/>
                          <w:ind w:left="181"/>
                          <w:rPr>
                            <w:b/>
                            <w:sz w:val="24"/>
                          </w:rPr>
                        </w:pPr>
                        <w:r>
                          <w:rPr>
                            <w:b/>
                            <w:sz w:val="24"/>
                          </w:rPr>
                          <w:t>其他需要您关注的事项</w:t>
                        </w:r>
                      </w:p>
                    </w:tc>
                  </w:tr>
                  <w:tr>
                    <w:trPr>
                      <w:trHeight w:val="530" w:hRule="atLeast"/>
                    </w:trPr>
                    <w:tc>
                      <w:tcPr>
                        <w:tcW w:w="9942" w:type="dxa"/>
                        <w:gridSpan w:val="2"/>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7.1</w:t>
                          <w:tab/>
                          <w:t>投保范围</w:t>
                          <w:tab/>
                        </w:r>
                        <w:r>
                          <w:rPr>
                            <w:position w:val="1"/>
                            <w:sz w:val="18"/>
                          </w:rPr>
                          <w:t>1、</w:t>
                        </w:r>
                        <w:r>
                          <w:rPr>
                            <w:spacing w:val="58"/>
                            <w:position w:val="1"/>
                            <w:sz w:val="18"/>
                          </w:rPr>
                          <w:t> </w:t>
                        </w:r>
                        <w:r>
                          <w:rPr>
                            <w:position w:val="1"/>
                            <w:sz w:val="18"/>
                          </w:rPr>
                          <w:t>被保险人条件：主险合同的被保险人作为本附加合同的被保险人。</w:t>
                        </w:r>
                      </w:p>
                    </w:tc>
                  </w:tr>
                  <w:tr>
                    <w:trPr>
                      <w:trHeight w:val="728" w:hRule="atLeast"/>
                    </w:trPr>
                    <w:tc>
                      <w:tcPr>
                        <w:tcW w:w="609" w:type="dxa"/>
                      </w:tcPr>
                      <w:p>
                        <w:pPr>
                          <w:pStyle w:val="TableParagraph"/>
                          <w:rPr>
                            <w:rFonts w:ascii="Times New Roman"/>
                            <w:sz w:val="18"/>
                          </w:rPr>
                        </w:pPr>
                      </w:p>
                    </w:tc>
                    <w:tc>
                      <w:tcPr>
                        <w:tcW w:w="9333" w:type="dxa"/>
                      </w:tcPr>
                      <w:p>
                        <w:pPr>
                          <w:pStyle w:val="TableParagraph"/>
                          <w:spacing w:line="290" w:lineRule="auto"/>
                          <w:ind w:left="1889" w:right="181" w:hanging="1"/>
                          <w:rPr>
                            <w:sz w:val="18"/>
                          </w:rPr>
                        </w:pPr>
                        <w:r>
                          <w:rPr>
                            <w:sz w:val="21"/>
                          </w:rPr>
                          <w:t>2、 </w:t>
                        </w:r>
                        <w:r>
                          <w:rPr>
                            <w:sz w:val="18"/>
                          </w:rPr>
                          <w:t>投保人条件：凡订立本附加合同时年满十八周岁，具有完全民事行为能力且对被保险人具有保险利益的人，均可作为本保险的投保人。</w:t>
                        </w:r>
                      </w:p>
                    </w:tc>
                  </w:tr>
                  <w:tr>
                    <w:trPr>
                      <w:trHeight w:val="752" w:hRule="atLeast"/>
                    </w:trPr>
                    <w:tc>
                      <w:tcPr>
                        <w:tcW w:w="9942" w:type="dxa"/>
                        <w:gridSpan w:val="2"/>
                      </w:tcPr>
                      <w:p>
                        <w:pPr>
                          <w:pStyle w:val="TableParagraph"/>
                          <w:tabs>
                            <w:tab w:pos="790" w:val="left" w:leader="none"/>
                            <w:tab w:pos="2498" w:val="left" w:leader="none"/>
                          </w:tabs>
                          <w:spacing w:line="295" w:lineRule="auto" w:before="106"/>
                          <w:ind w:left="2498" w:right="97" w:hanging="2391"/>
                          <w:rPr>
                            <w:sz w:val="18"/>
                          </w:rPr>
                        </w:pPr>
                        <w:r>
                          <w:rPr>
                            <w:b/>
                            <w:sz w:val="21"/>
                          </w:rPr>
                          <w:t>7.2</w:t>
                          <w:tab/>
                          <w:t>合同内容变更</w:t>
                          <w:tab/>
                        </w:r>
                        <w:r>
                          <w:rPr>
                            <w:position w:val="1"/>
                            <w:sz w:val="18"/>
                          </w:rPr>
                          <w:t>在本附加合同有效期内</w:t>
                        </w:r>
                        <w:r>
                          <w:rPr>
                            <w:spacing w:val="-13"/>
                            <w:position w:val="1"/>
                            <w:sz w:val="18"/>
                          </w:rPr>
                          <w:t>，</w:t>
                        </w:r>
                        <w:r>
                          <w:rPr>
                            <w:position w:val="1"/>
                            <w:sz w:val="18"/>
                          </w:rPr>
                          <w:t>经您与本公司协商一致</w:t>
                        </w:r>
                        <w:r>
                          <w:rPr>
                            <w:spacing w:val="-13"/>
                            <w:position w:val="1"/>
                            <w:sz w:val="18"/>
                          </w:rPr>
                          <w:t>，</w:t>
                        </w:r>
                        <w:r>
                          <w:rPr>
                            <w:position w:val="1"/>
                            <w:sz w:val="18"/>
                          </w:rPr>
                          <w:t>可以变更本附加合同有关内容</w:t>
                        </w:r>
                        <w:r>
                          <w:rPr>
                            <w:spacing w:val="-13"/>
                            <w:position w:val="1"/>
                            <w:sz w:val="18"/>
                          </w:rPr>
                          <w:t>，</w:t>
                        </w:r>
                        <w:r>
                          <w:rPr>
                            <w:position w:val="1"/>
                            <w:sz w:val="18"/>
                          </w:rPr>
                          <w:t>变更本附加</w:t>
                        </w:r>
                        <w:r>
                          <w:rPr>
                            <w:sz w:val="18"/>
                          </w:rPr>
                          <w:t>合同的</w:t>
                        </w:r>
                        <w:r>
                          <w:rPr>
                            <w:spacing w:val="-18"/>
                            <w:sz w:val="18"/>
                          </w:rPr>
                          <w:t>，</w:t>
                        </w:r>
                        <w:r>
                          <w:rPr>
                            <w:sz w:val="18"/>
                          </w:rPr>
                          <w:t>应当由我们在保险单或者其他保险凭证上批注或者附贴批单</w:t>
                        </w:r>
                        <w:r>
                          <w:rPr>
                            <w:spacing w:val="-18"/>
                            <w:sz w:val="18"/>
                          </w:rPr>
                          <w:t>，</w:t>
                        </w:r>
                        <w:r>
                          <w:rPr>
                            <w:sz w:val="18"/>
                          </w:rPr>
                          <w:t>或者由您和我们订立变</w:t>
                        </w:r>
                      </w:p>
                    </w:tc>
                  </w:tr>
                  <w:tr>
                    <w:trPr>
                      <w:trHeight w:val="1104" w:hRule="atLeast"/>
                    </w:trPr>
                    <w:tc>
                      <w:tcPr>
                        <w:tcW w:w="609" w:type="dxa"/>
                      </w:tcPr>
                      <w:p>
                        <w:pPr>
                          <w:pStyle w:val="TableParagraph"/>
                          <w:rPr>
                            <w:rFonts w:ascii="Times New Roman"/>
                            <w:sz w:val="18"/>
                          </w:rPr>
                        </w:pPr>
                      </w:p>
                    </w:tc>
                    <w:tc>
                      <w:tcPr>
                        <w:tcW w:w="9333" w:type="dxa"/>
                      </w:tcPr>
                      <w:p>
                        <w:pPr>
                          <w:pStyle w:val="TableParagraph"/>
                          <w:spacing w:before="3"/>
                          <w:ind w:left="1889"/>
                          <w:rPr>
                            <w:sz w:val="18"/>
                          </w:rPr>
                        </w:pPr>
                        <w:r>
                          <w:rPr>
                            <w:sz w:val="18"/>
                          </w:rPr>
                          <w:t>更的书面协议。</w:t>
                        </w:r>
                      </w:p>
                      <w:p>
                        <w:pPr>
                          <w:pStyle w:val="TableParagraph"/>
                          <w:spacing w:line="316" w:lineRule="auto" w:before="76"/>
                          <w:ind w:left="1889" w:right="61"/>
                          <w:rPr>
                            <w:sz w:val="18"/>
                          </w:rPr>
                        </w:pPr>
                        <w:r>
                          <w:rPr>
                            <w:sz w:val="18"/>
                          </w:rPr>
                          <w:t>对于已豁免保险费的主险合同或附加险合同，您不得变更主险合同及附加险合同的保险金额、交费年期等。</w:t>
                        </w:r>
                      </w:p>
                    </w:tc>
                  </w:tr>
                  <w:tr>
                    <w:trPr>
                      <w:trHeight w:val="674" w:hRule="atLeast"/>
                    </w:trPr>
                    <w:tc>
                      <w:tcPr>
                        <w:tcW w:w="609" w:type="dxa"/>
                        <w:tcBorders>
                          <w:bottom w:val="single" w:sz="4" w:space="0" w:color="000000"/>
                        </w:tcBorders>
                      </w:tcPr>
                      <w:p>
                        <w:pPr>
                          <w:pStyle w:val="TableParagraph"/>
                          <w:spacing w:line="608" w:lineRule="exact"/>
                          <w:ind w:left="107"/>
                          <w:rPr>
                            <w:rFonts w:ascii="Yu Gothic" w:hAnsi="Yu Gothic"/>
                            <w:b/>
                            <w:sz w:val="40"/>
                          </w:rPr>
                        </w:pPr>
                        <w:r>
                          <w:rPr>
                            <w:rFonts w:ascii="Yu Gothic" w:hAnsi="Yu Gothic"/>
                            <w:b/>
                            <w:w w:val="151"/>
                            <w:sz w:val="40"/>
                          </w:rPr>
                          <w:t>®</w:t>
                        </w:r>
                      </w:p>
                    </w:tc>
                    <w:tc>
                      <w:tcPr>
                        <w:tcW w:w="9333" w:type="dxa"/>
                        <w:tcBorders>
                          <w:bottom w:val="single" w:sz="4" w:space="0" w:color="000000"/>
                        </w:tcBorders>
                      </w:tcPr>
                      <w:p>
                        <w:pPr>
                          <w:pStyle w:val="TableParagraph"/>
                          <w:spacing w:before="167"/>
                          <w:ind w:left="181"/>
                          <w:rPr>
                            <w:b/>
                            <w:sz w:val="24"/>
                          </w:rPr>
                        </w:pPr>
                        <w:r>
                          <w:rPr>
                            <w:b/>
                            <w:sz w:val="24"/>
                          </w:rPr>
                          <w:t>释义</w:t>
                        </w:r>
                      </w:p>
                    </w:tc>
                  </w:tr>
                </w:tbl>
                <w:p>
                  <w:pPr>
                    <w:pStyle w:val="BodyText"/>
                  </w:pPr>
                </w:p>
              </w:txbxContent>
            </v:textbox>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p>
    <w:p>
      <w:pPr>
        <w:pStyle w:val="BodyText"/>
        <w:spacing w:before="44"/>
        <w:ind w:left="2614"/>
      </w:pPr>
      <w:r>
        <w:rPr/>
        <w:t>可以向本公司咨询。</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rPr>
          <w:sz w:val="12"/>
        </w:rPr>
      </w:pPr>
    </w:p>
    <w:p>
      <w:pPr>
        <w:pStyle w:val="BodyText"/>
        <w:ind w:left="2614"/>
      </w:pPr>
      <w:r>
        <w:rPr/>
        <w:t>您在犹豫期后解除合同会遭受一定损失。</w:t>
      </w:r>
    </w:p>
    <w:p>
      <w:pPr>
        <w:spacing w:after="0"/>
        <w:sectPr>
          <w:headerReference w:type="default" r:id="rId10"/>
          <w:pgSz w:w="11910" w:h="16840"/>
          <w:pgMar w:header="857" w:footer="981" w:top="1040" w:bottom="1180" w:left="1080" w:right="660"/>
        </w:sectPr>
      </w:pPr>
    </w:p>
    <w:p>
      <w:pPr>
        <w:pStyle w:val="BodyText"/>
        <w:rPr>
          <w:sz w:val="19"/>
        </w:rPr>
      </w:pPr>
    </w:p>
    <w:p>
      <w:pPr>
        <w:pStyle w:val="ListParagraph"/>
        <w:numPr>
          <w:ilvl w:val="1"/>
          <w:numId w:val="10"/>
        </w:numPr>
        <w:tabs>
          <w:tab w:pos="826" w:val="left" w:leader="none"/>
          <w:tab w:pos="827" w:val="left" w:leader="none"/>
          <w:tab w:pos="2534" w:val="left" w:leader="none"/>
        </w:tabs>
        <w:spacing w:line="295" w:lineRule="auto" w:before="35" w:after="0"/>
        <w:ind w:left="2534" w:right="1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7"/>
        <w:rPr>
          <w:sz w:val="24"/>
        </w:rPr>
      </w:pPr>
    </w:p>
    <w:p>
      <w:pPr>
        <w:pStyle w:val="ListParagraph"/>
        <w:numPr>
          <w:ilvl w:val="1"/>
          <w:numId w:val="10"/>
        </w:numPr>
        <w:tabs>
          <w:tab w:pos="826" w:val="left" w:leader="none"/>
          <w:tab w:pos="827" w:val="left" w:leader="none"/>
          <w:tab w:pos="2534" w:val="left" w:leader="none"/>
        </w:tabs>
        <w:spacing w:line="295" w:lineRule="auto" w:before="0" w:after="0"/>
        <w:ind w:left="2534" w:right="104" w:hanging="2390"/>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headerReference w:type="default" r:id="rId11"/>
          <w:pgSz w:w="11910" w:h="16840"/>
          <w:pgMar w:header="877" w:footer="981" w:top="1100" w:bottom="1180" w:left="1160" w:right="760"/>
        </w:sectPr>
      </w:pPr>
    </w:p>
    <w:p>
      <w:pPr>
        <w:pStyle w:val="Heading1"/>
        <w:numPr>
          <w:ilvl w:val="1"/>
          <w:numId w:val="10"/>
        </w:numPr>
        <w:tabs>
          <w:tab w:pos="827" w:val="left" w:leader="none"/>
          <w:tab w:pos="828" w:val="left" w:leader="none"/>
        </w:tabs>
        <w:spacing w:line="273" w:lineRule="auto" w:before="36" w:after="0"/>
        <w:ind w:left="827" w:right="0" w:hanging="683"/>
        <w:jc w:val="left"/>
      </w:pPr>
      <w:r>
        <w:rPr/>
        <w:t>指定或认可的医疗机构</w:t>
      </w:r>
    </w:p>
    <w:p>
      <w:pPr>
        <w:pStyle w:val="BodyText"/>
        <w:spacing w:line="316" w:lineRule="auto" w:before="61"/>
        <w:ind w:left="144" w:right="70"/>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160" w:right="760"/>
          <w:cols w:num="2" w:equalWidth="0">
            <w:col w:w="2322" w:space="69"/>
            <w:col w:w="7599"/>
          </w:cols>
        </w:sectPr>
      </w:pPr>
    </w:p>
    <w:p>
      <w:pPr>
        <w:pStyle w:val="BodyText"/>
        <w:spacing w:before="1"/>
        <w:rPr>
          <w:sz w:val="14"/>
        </w:rPr>
      </w:pPr>
    </w:p>
    <w:p>
      <w:pPr>
        <w:pStyle w:val="ListParagraph"/>
        <w:numPr>
          <w:ilvl w:val="1"/>
          <w:numId w:val="10"/>
        </w:numPr>
        <w:tabs>
          <w:tab w:pos="827" w:val="left" w:leader="none"/>
          <w:tab w:pos="2534" w:val="left" w:leader="none"/>
        </w:tabs>
        <w:spacing w:line="304" w:lineRule="auto" w:before="35" w:after="0"/>
        <w:ind w:left="2534" w:right="104" w:hanging="2390"/>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0"/>
        </w:numPr>
        <w:tabs>
          <w:tab w:pos="828" w:val="left" w:leader="none"/>
        </w:tabs>
        <w:spacing w:line="304" w:lineRule="auto" w:before="0" w:after="0"/>
        <w:ind w:left="2534" w:right="103" w:hanging="2390"/>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0"/>
        <w:rPr>
          <w:sz w:val="14"/>
        </w:rPr>
      </w:pPr>
    </w:p>
    <w:p>
      <w:pPr>
        <w:spacing w:after="0"/>
        <w:rPr>
          <w:sz w:val="14"/>
        </w:rPr>
        <w:sectPr>
          <w:type w:val="continuous"/>
          <w:pgSz w:w="11910" w:h="16840"/>
          <w:pgMar w:top="1040" w:bottom="1180" w:left="1160" w:right="760"/>
        </w:sectPr>
      </w:pPr>
    </w:p>
    <w:p>
      <w:pPr>
        <w:pStyle w:val="Heading1"/>
        <w:numPr>
          <w:ilvl w:val="1"/>
          <w:numId w:val="10"/>
        </w:numPr>
        <w:tabs>
          <w:tab w:pos="827" w:val="left" w:leader="none"/>
          <w:tab w:pos="828" w:val="left" w:leader="none"/>
        </w:tabs>
        <w:spacing w:line="273" w:lineRule="auto" w:before="36" w:after="0"/>
        <w:ind w:left="827" w:right="0" w:hanging="683"/>
        <w:jc w:val="left"/>
      </w:pPr>
      <w:r>
        <w:rPr/>
        <w:t>无合法有效驾驶证驾驶</w:t>
      </w:r>
    </w:p>
    <w:p>
      <w:pPr>
        <w:pStyle w:val="BodyText"/>
        <w:spacing w:before="61"/>
        <w:ind w:left="144"/>
      </w:pPr>
      <w:r>
        <w:rPr/>
        <w:br w:type="column"/>
      </w:r>
      <w:r>
        <w:rPr/>
        <w:t>指下列情形之一：</w:t>
      </w:r>
    </w:p>
    <w:p>
      <w:pPr>
        <w:pStyle w:val="ListParagraph"/>
        <w:numPr>
          <w:ilvl w:val="0"/>
          <w:numId w:val="11"/>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11"/>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11"/>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11"/>
        </w:numPr>
        <w:tabs>
          <w:tab w:pos="542" w:val="left" w:leader="none"/>
        </w:tabs>
        <w:spacing w:line="240" w:lineRule="auto" w:before="76" w:after="0"/>
        <w:ind w:left="541" w:right="0" w:hanging="397"/>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160" w:right="760"/>
          <w:cols w:num="2" w:equalWidth="0">
            <w:col w:w="2322" w:space="69"/>
            <w:col w:w="7599"/>
          </w:cols>
        </w:sectPr>
      </w:pPr>
    </w:p>
    <w:p>
      <w:pPr>
        <w:pStyle w:val="BodyText"/>
        <w:spacing w:before="6"/>
      </w:pPr>
    </w:p>
    <w:p>
      <w:pPr>
        <w:pStyle w:val="ListParagraph"/>
        <w:numPr>
          <w:ilvl w:val="1"/>
          <w:numId w:val="10"/>
        </w:numPr>
        <w:tabs>
          <w:tab w:pos="826" w:val="left" w:leader="none"/>
          <w:tab w:pos="827" w:val="left" w:leader="none"/>
          <w:tab w:pos="2534" w:val="left" w:leader="none"/>
        </w:tabs>
        <w:spacing w:line="240" w:lineRule="auto" w:before="36" w:after="0"/>
        <w:ind w:left="2534" w:right="0" w:hanging="2390"/>
        <w:jc w:val="left"/>
        <w:rPr>
          <w:sz w:val="18"/>
        </w:rPr>
      </w:pPr>
      <w:r>
        <w:rPr>
          <w:b/>
          <w:sz w:val="21"/>
        </w:rPr>
        <w:t>无有效行驶证</w:t>
        <w:tab/>
      </w:r>
      <w:r>
        <w:rPr>
          <w:position w:val="1"/>
          <w:sz w:val="18"/>
        </w:rPr>
        <w:t>指下列情形之一：</w:t>
      </w:r>
    </w:p>
    <w:p>
      <w:pPr>
        <w:pStyle w:val="ListParagraph"/>
        <w:numPr>
          <w:ilvl w:val="2"/>
          <w:numId w:val="10"/>
        </w:numPr>
        <w:tabs>
          <w:tab w:pos="2933" w:val="left" w:leader="none"/>
        </w:tabs>
        <w:spacing w:line="240" w:lineRule="auto" w:before="63" w:after="0"/>
        <w:ind w:left="2932" w:right="0" w:hanging="398"/>
        <w:jc w:val="left"/>
        <w:rPr>
          <w:sz w:val="18"/>
        </w:rPr>
      </w:pPr>
      <w:r>
        <w:rPr>
          <w:sz w:val="18"/>
        </w:rPr>
        <w:t>机动车被依法注销登记的；</w:t>
      </w:r>
    </w:p>
    <w:p>
      <w:pPr>
        <w:pStyle w:val="ListParagraph"/>
        <w:numPr>
          <w:ilvl w:val="2"/>
          <w:numId w:val="10"/>
        </w:numPr>
        <w:tabs>
          <w:tab w:pos="2933" w:val="left" w:leader="none"/>
        </w:tabs>
        <w:spacing w:line="240" w:lineRule="auto" w:before="76" w:after="0"/>
        <w:ind w:left="2932" w:right="0" w:hanging="398"/>
        <w:jc w:val="left"/>
        <w:rPr>
          <w:sz w:val="18"/>
        </w:rPr>
      </w:pPr>
      <w:r>
        <w:rPr>
          <w:sz w:val="18"/>
        </w:rPr>
        <w:t>未依法按时进行或通过机动车安全技术检验。</w:t>
      </w:r>
    </w:p>
    <w:p>
      <w:pPr>
        <w:pStyle w:val="BodyText"/>
        <w:spacing w:before="3"/>
        <w:rPr>
          <w:sz w:val="21"/>
        </w:rPr>
      </w:pPr>
    </w:p>
    <w:p>
      <w:pPr>
        <w:pStyle w:val="ListParagraph"/>
        <w:numPr>
          <w:ilvl w:val="1"/>
          <w:numId w:val="10"/>
        </w:numPr>
        <w:tabs>
          <w:tab w:pos="826" w:val="left" w:leader="none"/>
          <w:tab w:pos="828" w:val="left" w:leader="none"/>
          <w:tab w:pos="2534" w:val="left" w:leader="none"/>
        </w:tabs>
        <w:spacing w:line="240" w:lineRule="auto" w:before="0" w:after="0"/>
        <w:ind w:left="827" w:right="0" w:hanging="683"/>
        <w:jc w:val="left"/>
        <w:rPr>
          <w:sz w:val="18"/>
        </w:rPr>
      </w:pPr>
      <w:r>
        <w:rPr>
          <w:b/>
          <w:sz w:val="21"/>
        </w:rPr>
        <w:t>艾滋病</w:t>
        <w:tab/>
      </w:r>
      <w:r>
        <w:rPr>
          <w:position w:val="1"/>
          <w:sz w:val="18"/>
        </w:rPr>
        <w:t>获得性免疫力缺乏综合症（AIDS）的简称。</w:t>
      </w:r>
    </w:p>
    <w:p>
      <w:pPr>
        <w:pStyle w:val="BodyText"/>
        <w:spacing w:before="1"/>
        <w:rPr>
          <w:sz w:val="20"/>
        </w:rPr>
      </w:pPr>
    </w:p>
    <w:p>
      <w:pPr>
        <w:pStyle w:val="ListParagraph"/>
        <w:numPr>
          <w:ilvl w:val="1"/>
          <w:numId w:val="10"/>
        </w:numPr>
        <w:tabs>
          <w:tab w:pos="827" w:val="left" w:leader="none"/>
        </w:tabs>
        <w:spacing w:line="304" w:lineRule="auto" w:before="0" w:after="0"/>
        <w:ind w:left="2534" w:right="103" w:hanging="2390"/>
        <w:jc w:val="both"/>
        <w:rPr>
          <w:sz w:val="18"/>
        </w:rPr>
      </w:pPr>
      <w:r>
        <w:rPr>
          <w:b/>
          <w:spacing w:val="0"/>
          <w:sz w:val="21"/>
        </w:rPr>
        <w:t>艾滋病病毒     </w:t>
      </w:r>
      <w:r>
        <w:rPr>
          <w:position w:val="1"/>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10"/>
        </w:numPr>
        <w:tabs>
          <w:tab w:pos="827" w:val="left" w:leader="none"/>
          <w:tab w:pos="828" w:val="left" w:leader="none"/>
          <w:tab w:pos="2534" w:val="left" w:leader="none"/>
        </w:tabs>
        <w:spacing w:line="240" w:lineRule="auto" w:before="0" w:after="0"/>
        <w:ind w:left="827" w:right="0" w:hanging="683"/>
        <w:jc w:val="left"/>
        <w:rPr>
          <w:sz w:val="18"/>
        </w:rPr>
      </w:pPr>
      <w:r>
        <w:rPr>
          <w:b/>
          <w:sz w:val="21"/>
        </w:rPr>
        <w:t>现金价值净额</w:t>
        <w:tab/>
      </w:r>
      <w:r>
        <w:rPr>
          <w:position w:val="1"/>
          <w:sz w:val="18"/>
        </w:rPr>
        <w:t>本附加合同现金价值扣除保险单借款和垫交保险费及上述款项应付利息后的余额。</w:t>
      </w:r>
    </w:p>
    <w:p>
      <w:pPr>
        <w:pStyle w:val="BodyText"/>
        <w:spacing w:before="2"/>
        <w:rPr>
          <w:sz w:val="20"/>
        </w:rPr>
      </w:pPr>
    </w:p>
    <w:p>
      <w:pPr>
        <w:pStyle w:val="ListParagraph"/>
        <w:numPr>
          <w:ilvl w:val="1"/>
          <w:numId w:val="10"/>
        </w:numPr>
        <w:tabs>
          <w:tab w:pos="827" w:val="left" w:leader="none"/>
          <w:tab w:pos="828" w:val="left" w:leader="none"/>
          <w:tab w:pos="2534" w:val="left" w:leader="none"/>
        </w:tabs>
        <w:spacing w:line="240" w:lineRule="auto" w:before="0" w:after="0"/>
        <w:ind w:left="827" w:right="0" w:hanging="683"/>
        <w:jc w:val="left"/>
        <w:rPr>
          <w:sz w:val="18"/>
        </w:rPr>
      </w:pPr>
      <w:r>
        <w:rPr>
          <w:b/>
          <w:sz w:val="21"/>
        </w:rPr>
        <w:t>利息</w:t>
        <w:tab/>
      </w:r>
      <w:r>
        <w:rPr>
          <w:position w:val="1"/>
          <w:sz w:val="18"/>
        </w:rPr>
        <w:t>除本附加合同另有约定外,本附加合同中提到的利息一律按年复利方式计算。</w:t>
      </w:r>
    </w:p>
    <w:p>
      <w:pPr>
        <w:pStyle w:val="BodyText"/>
        <w:spacing w:before="3"/>
        <w:rPr>
          <w:sz w:val="22"/>
        </w:rPr>
      </w:pPr>
    </w:p>
    <w:p>
      <w:pPr>
        <w:pStyle w:val="ListParagraph"/>
        <w:numPr>
          <w:ilvl w:val="1"/>
          <w:numId w:val="10"/>
        </w:numPr>
        <w:tabs>
          <w:tab w:pos="827" w:val="left" w:leader="none"/>
          <w:tab w:pos="828" w:val="left" w:leader="none"/>
          <w:tab w:pos="2534" w:val="left" w:leader="none"/>
        </w:tabs>
        <w:spacing w:line="194" w:lineRule="auto" w:before="0" w:after="0"/>
        <w:ind w:left="2534" w:right="131" w:hanging="2390"/>
        <w:jc w:val="left"/>
        <w:rPr>
          <w:sz w:val="18"/>
        </w:rPr>
      </w:pPr>
      <w:r>
        <w:rPr>
          <w:b/>
          <w:position w:val="-4"/>
          <w:sz w:val="21"/>
        </w:rPr>
        <w:t>现金价值</w:t>
        <w:tab/>
      </w:r>
      <w:r>
        <w:rPr>
          <w:spacing w:val="-1"/>
          <w:sz w:val="18"/>
        </w:rPr>
        <w:t>指</w:t>
      </w:r>
      <w:r>
        <w:rPr>
          <w:sz w:val="18"/>
        </w:rPr>
        <w:t>保险单所具有的价值</w:t>
      </w:r>
      <w:r>
        <w:rPr>
          <w:spacing w:val="-22"/>
          <w:sz w:val="18"/>
        </w:rPr>
        <w:t>，</w:t>
      </w:r>
      <w:r>
        <w:rPr>
          <w:sz w:val="18"/>
        </w:rPr>
        <w:t>通常体现为解除合同时</w:t>
      </w:r>
      <w:r>
        <w:rPr>
          <w:spacing w:val="-22"/>
          <w:sz w:val="18"/>
        </w:rPr>
        <w:t>，</w:t>
      </w:r>
      <w:r>
        <w:rPr>
          <w:sz w:val="18"/>
        </w:rPr>
        <w:t>根据精算原理计算的</w:t>
      </w:r>
      <w:r>
        <w:rPr>
          <w:spacing w:val="-21"/>
          <w:sz w:val="18"/>
        </w:rPr>
        <w:t>，</w:t>
      </w:r>
      <w:r>
        <w:rPr>
          <w:sz w:val="18"/>
        </w:rPr>
        <w:t>由本公司退还的那部分金额。</w:t>
      </w:r>
    </w:p>
    <w:p>
      <w:pPr>
        <w:spacing w:after="0" w:line="194" w:lineRule="auto"/>
        <w:jc w:val="left"/>
        <w:rPr>
          <w:sz w:val="18"/>
        </w:rPr>
        <w:sectPr>
          <w:type w:val="continuous"/>
          <w:pgSz w:w="11910" w:h="16840"/>
          <w:pgMar w:top="1040" w:bottom="1180" w:left="1160" w:right="760"/>
        </w:sectPr>
      </w:pPr>
    </w:p>
    <w:p>
      <w:pPr>
        <w:pStyle w:val="BodyText"/>
        <w:rPr>
          <w:sz w:val="20"/>
        </w:rPr>
      </w:pPr>
      <w:r>
        <w:rPr/>
        <w:pict>
          <v:shape style="position:absolute;margin-left:49.279999pt;margin-top:119.465027pt;width:508.15pt;height:646.8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2"/>
                  </w:tblGrid>
                  <w:tr>
                    <w:trPr>
                      <w:trHeight w:val="380" w:hRule="atLeast"/>
                    </w:trPr>
                    <w:tc>
                      <w:tcPr>
                        <w:tcW w:w="10162" w:type="dxa"/>
                      </w:tcPr>
                      <w:p>
                        <w:pPr>
                          <w:pStyle w:val="TableParagraph"/>
                          <w:spacing w:line="180" w:lineRule="exact"/>
                          <w:ind w:left="318"/>
                          <w:rPr>
                            <w:b/>
                            <w:sz w:val="18"/>
                          </w:rPr>
                        </w:pPr>
                        <w:r>
                          <w:rPr>
                            <w:b/>
                            <w:w w:val="95"/>
                            <w:sz w:val="18"/>
                          </w:rPr>
                          <w:t>重大疾病：指下列疾病或手术之一</w:t>
                        </w:r>
                      </w:p>
                    </w:tc>
                  </w:tr>
                  <w:tr>
                    <w:trPr>
                      <w:trHeight w:val="3388" w:hRule="atLeast"/>
                    </w:trPr>
                    <w:tc>
                      <w:tcPr>
                        <w:tcW w:w="10162" w:type="dxa"/>
                      </w:tcPr>
                      <w:p>
                        <w:pPr>
                          <w:pStyle w:val="TableParagraph"/>
                          <w:spacing w:line="302" w:lineRule="auto" w:before="142"/>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3"/>
                          <w:rPr>
                            <w:sz w:val="23"/>
                          </w:rPr>
                        </w:pPr>
                      </w:p>
                      <w:p>
                        <w:pPr>
                          <w:pStyle w:val="TableParagraph"/>
                          <w:numPr>
                            <w:ilvl w:val="0"/>
                            <w:numId w:val="12"/>
                          </w:numPr>
                          <w:tabs>
                            <w:tab w:pos="598" w:val="left" w:leader="none"/>
                            <w:tab w:pos="2617" w:val="left" w:leader="none"/>
                          </w:tabs>
                          <w:spacing w:line="316" w:lineRule="auto" w:before="1" w:after="0"/>
                          <w:ind w:left="2618" w:right="19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9"/>
                          <w:ind w:left="2618"/>
                          <w:rPr>
                            <w:sz w:val="18"/>
                          </w:rPr>
                        </w:pPr>
                        <w:r>
                          <w:rPr>
                            <w:sz w:val="18"/>
                          </w:rPr>
                          <w:t>下列疾病不在保障范围内：</w:t>
                        </w:r>
                      </w:p>
                      <w:p>
                        <w:pPr>
                          <w:pStyle w:val="TableParagraph"/>
                          <w:numPr>
                            <w:ilvl w:val="1"/>
                            <w:numId w:val="12"/>
                          </w:numPr>
                          <w:tabs>
                            <w:tab w:pos="2979" w:val="left" w:leader="none"/>
                          </w:tabs>
                          <w:spacing w:line="240" w:lineRule="auto" w:before="76" w:after="0"/>
                          <w:ind w:left="2978" w:right="0" w:hanging="360"/>
                          <w:jc w:val="left"/>
                          <w:rPr>
                            <w:sz w:val="18"/>
                          </w:rPr>
                        </w:pPr>
                        <w:r>
                          <w:rPr>
                            <w:sz w:val="18"/>
                          </w:rPr>
                          <w:t>原位癌；</w:t>
                        </w:r>
                      </w:p>
                      <w:p>
                        <w:pPr>
                          <w:pStyle w:val="TableParagraph"/>
                          <w:numPr>
                            <w:ilvl w:val="1"/>
                            <w:numId w:val="12"/>
                          </w:numPr>
                          <w:tabs>
                            <w:tab w:pos="2979"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TableParagraph"/>
                          <w:numPr>
                            <w:ilvl w:val="1"/>
                            <w:numId w:val="12"/>
                          </w:numPr>
                          <w:tabs>
                            <w:tab w:pos="2979" w:val="left" w:leader="none"/>
                          </w:tabs>
                          <w:spacing w:line="240" w:lineRule="auto" w:before="76" w:after="0"/>
                          <w:ind w:left="2978"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tc>
                  </w:tr>
                  <w:tr>
                    <w:trPr>
                      <w:trHeight w:val="581" w:hRule="atLeast"/>
                    </w:trPr>
                    <w:tc>
                      <w:tcPr>
                        <w:tcW w:w="10162" w:type="dxa"/>
                      </w:tcPr>
                      <w:p>
                        <w:pPr>
                          <w:pStyle w:val="TableParagraph"/>
                          <w:spacing w:before="9"/>
                          <w:rPr>
                            <w:sz w:val="12"/>
                          </w:rPr>
                        </w:pPr>
                      </w:p>
                      <w:p>
                        <w:pPr>
                          <w:pStyle w:val="TableParagraph"/>
                          <w:ind w:left="2618"/>
                          <w:rPr>
                            <w:sz w:val="18"/>
                          </w:rPr>
                        </w:pPr>
                        <w:r>
                          <w:rPr>
                            <w:position w:val="1"/>
                            <w:sz w:val="18"/>
                          </w:rPr>
                          <w:t>(5) 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1205" w:hRule="atLeast"/>
                    </w:trPr>
                    <w:tc>
                      <w:tcPr>
                        <w:tcW w:w="10162" w:type="dxa"/>
                      </w:tcPr>
                      <w:p>
                        <w:pPr>
                          <w:pStyle w:val="TableParagraph"/>
                          <w:numPr>
                            <w:ilvl w:val="0"/>
                            <w:numId w:val="13"/>
                          </w:numPr>
                          <w:tabs>
                            <w:tab w:pos="597" w:val="left" w:leader="none"/>
                            <w:tab w:pos="598" w:val="left" w:leader="none"/>
                            <w:tab w:pos="2617" w:val="left" w:leader="none"/>
                          </w:tabs>
                          <w:spacing w:line="240" w:lineRule="auto" w:before="124" w:after="0"/>
                          <w:ind w:left="597" w:right="0" w:hanging="397"/>
                          <w:jc w:val="left"/>
                          <w:rPr>
                            <w:sz w:val="18"/>
                          </w:rPr>
                        </w:pPr>
                        <w:r>
                          <w:rPr>
                            <w:b/>
                            <w:sz w:val="18"/>
                          </w:rPr>
                          <w:t>急性心肌梗塞</w:t>
                          <w:tab/>
                        </w:r>
                        <w:r>
                          <w:rPr>
                            <w:sz w:val="18"/>
                          </w:rPr>
                          <w:t>指因冠状动脉阻塞导致的相应区域供血不足造成部分心肌坏死。须满足下列至少三项条件：</w:t>
                        </w:r>
                      </w:p>
                      <w:p>
                        <w:pPr>
                          <w:pStyle w:val="TableParagraph"/>
                          <w:numPr>
                            <w:ilvl w:val="1"/>
                            <w:numId w:val="13"/>
                          </w:numPr>
                          <w:tabs>
                            <w:tab w:pos="3016" w:val="left" w:leader="none"/>
                          </w:tabs>
                          <w:spacing w:line="240" w:lineRule="auto" w:before="76" w:after="0"/>
                          <w:ind w:left="3015" w:right="0" w:hanging="397"/>
                          <w:jc w:val="left"/>
                          <w:rPr>
                            <w:sz w:val="18"/>
                          </w:rPr>
                        </w:pPr>
                        <w:r>
                          <w:rPr>
                            <w:sz w:val="18"/>
                          </w:rPr>
                          <w:t>典型临床表现，例如急性胸痛等；</w:t>
                        </w:r>
                      </w:p>
                      <w:p>
                        <w:pPr>
                          <w:pStyle w:val="TableParagraph"/>
                          <w:numPr>
                            <w:ilvl w:val="1"/>
                            <w:numId w:val="13"/>
                          </w:numPr>
                          <w:tabs>
                            <w:tab w:pos="3016" w:val="left" w:leader="none"/>
                          </w:tabs>
                          <w:spacing w:line="240" w:lineRule="auto" w:before="76" w:after="0"/>
                          <w:ind w:left="3015" w:right="0" w:hanging="397"/>
                          <w:jc w:val="left"/>
                          <w:rPr>
                            <w:sz w:val="18"/>
                          </w:rPr>
                        </w:pPr>
                        <w:r>
                          <w:rPr>
                            <w:sz w:val="18"/>
                          </w:rPr>
                          <w:t>新近的心电图改变提示急性心肌梗塞；</w:t>
                        </w:r>
                      </w:p>
                    </w:tc>
                  </w:tr>
                  <w:tr>
                    <w:trPr>
                      <w:trHeight w:val="581" w:hRule="atLeast"/>
                    </w:trPr>
                    <w:tc>
                      <w:tcPr>
                        <w:tcW w:w="10162" w:type="dxa"/>
                      </w:tcPr>
                      <w:p>
                        <w:pPr>
                          <w:pStyle w:val="TableParagraph"/>
                          <w:spacing w:before="9"/>
                          <w:rPr>
                            <w:sz w:val="12"/>
                          </w:rPr>
                        </w:pPr>
                      </w:p>
                      <w:p>
                        <w:pPr>
                          <w:pStyle w:val="TableParagraph"/>
                          <w:ind w:left="2618"/>
                          <w:rPr>
                            <w:sz w:val="18"/>
                          </w:rPr>
                        </w:pPr>
                        <w:r>
                          <w:rPr>
                            <w:sz w:val="18"/>
                          </w:rPr>
                          <w:t>(4) 发病 90 天后，经检查证实左心室功能降低，如左心室射血分数低于 50%。</w:t>
                        </w:r>
                      </w:p>
                    </w:tc>
                  </w:tr>
                  <w:tr>
                    <w:trPr>
                      <w:trHeight w:val="1205" w:hRule="atLeast"/>
                    </w:trPr>
                    <w:tc>
                      <w:tcPr>
                        <w:tcW w:w="10162" w:type="dxa"/>
                      </w:tcPr>
                      <w:p>
                        <w:pPr>
                          <w:pStyle w:val="TableParagraph"/>
                          <w:numPr>
                            <w:ilvl w:val="0"/>
                            <w:numId w:val="14"/>
                          </w:numPr>
                          <w:tabs>
                            <w:tab w:pos="597" w:val="left" w:leader="none"/>
                            <w:tab w:pos="598" w:val="left" w:leader="none"/>
                            <w:tab w:pos="2617" w:val="left" w:leader="none"/>
                          </w:tabs>
                          <w:spacing w:line="316" w:lineRule="auto" w:before="124" w:after="0"/>
                          <w:ind w:left="2618" w:right="198" w:hanging="2418"/>
                          <w:jc w:val="left"/>
                          <w:rPr>
                            <w:sz w:val="18"/>
                          </w:rPr>
                        </w:pPr>
                        <w:r>
                          <w:rPr>
                            <w:b/>
                            <w:sz w:val="18"/>
                          </w:rPr>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TableParagraph"/>
                          <w:numPr>
                            <w:ilvl w:val="1"/>
                            <w:numId w:val="14"/>
                          </w:numPr>
                          <w:tabs>
                            <w:tab w:pos="2979" w:val="left" w:leader="none"/>
                          </w:tabs>
                          <w:spacing w:line="240" w:lineRule="auto" w:before="19" w:after="0"/>
                          <w:ind w:left="2978" w:right="0" w:hanging="360"/>
                          <w:jc w:val="left"/>
                          <w:rPr>
                            <w:sz w:val="18"/>
                          </w:rPr>
                        </w:pPr>
                        <w:r>
                          <w:rPr>
                            <w:sz w:val="18"/>
                          </w:rPr>
                          <w:t>一肢或一肢以上</w:t>
                        </w:r>
                        <w:r>
                          <w:rPr>
                            <w:b/>
                            <w:spacing w:val="-1"/>
                            <w:w w:val="99"/>
                            <w:sz w:val="18"/>
                          </w:rPr>
                          <w:t>肢体机能完全丧失</w:t>
                        </w:r>
                        <w:r>
                          <w:rPr>
                            <w:spacing w:val="-2"/>
                            <w:sz w:val="18"/>
                          </w:rPr>
                          <w:t>（</w:t>
                        </w:r>
                        <w:r>
                          <w:rPr>
                            <w:spacing w:val="-23"/>
                            <w:sz w:val="18"/>
                          </w:rPr>
                          <w:t>注 </w:t>
                        </w:r>
                        <w:r>
                          <w:rPr>
                            <w:sz w:val="18"/>
                          </w:rPr>
                          <w:t>2</w:t>
                        </w:r>
                        <w:r>
                          <w:rPr>
                            <w:spacing w:val="-90"/>
                            <w:sz w:val="18"/>
                          </w:rPr>
                          <w:t>）</w:t>
                        </w:r>
                        <w:r>
                          <w:rPr>
                            <w:sz w:val="18"/>
                          </w:rPr>
                          <w:t>；</w:t>
                        </w:r>
                      </w:p>
                    </w:tc>
                  </w:tr>
                  <w:tr>
                    <w:trPr>
                      <w:trHeight w:val="893" w:hRule="atLeast"/>
                    </w:trPr>
                    <w:tc>
                      <w:tcPr>
                        <w:tcW w:w="10162" w:type="dxa"/>
                      </w:tcPr>
                      <w:p>
                        <w:pPr>
                          <w:pStyle w:val="TableParagraph"/>
                          <w:spacing w:before="9"/>
                          <w:rPr>
                            <w:sz w:val="12"/>
                          </w:rPr>
                        </w:pPr>
                      </w:p>
                      <w:p>
                        <w:pPr>
                          <w:pStyle w:val="TableParagraph"/>
                          <w:spacing w:line="316" w:lineRule="auto"/>
                          <w:ind w:left="2978" w:right="138" w:hanging="360"/>
                          <w:rPr>
                            <w:sz w:val="18"/>
                          </w:rPr>
                        </w:pPr>
                        <w:r>
                          <w:rPr>
                            <w:sz w:val="18"/>
                          </w:rPr>
                          <w:t>(3) 自主生活能力完全丧失，无法独立完成</w:t>
                        </w:r>
                        <w:r>
                          <w:rPr>
                            <w:b/>
                            <w:sz w:val="18"/>
                          </w:rPr>
                          <w:t>六项基本日常生活活动</w:t>
                        </w:r>
                        <w:r>
                          <w:rPr>
                            <w:sz w:val="18"/>
                          </w:rPr>
                          <w:t>（注 5）中的三项或三项以上。</w:t>
                        </w:r>
                      </w:p>
                    </w:tc>
                  </w:tr>
                  <w:tr>
                    <w:trPr>
                      <w:trHeight w:val="737" w:hRule="atLeast"/>
                    </w:trPr>
                    <w:tc>
                      <w:tcPr>
                        <w:tcW w:w="10162" w:type="dxa"/>
                      </w:tcPr>
                      <w:p>
                        <w:pPr>
                          <w:pStyle w:val="TableParagraph"/>
                          <w:tabs>
                            <w:tab w:pos="597" w:val="left" w:leader="none"/>
                            <w:tab w:pos="2617" w:val="left" w:leader="none"/>
                          </w:tabs>
                          <w:spacing w:line="310" w:lineRule="atLeast" w:before="49"/>
                          <w:ind w:left="620" w:right="199" w:hanging="421"/>
                          <w:rPr>
                            <w:sz w:val="18"/>
                          </w:rPr>
                        </w:pPr>
                        <w:r>
                          <w:rPr>
                            <w:b/>
                            <w:sz w:val="18"/>
                          </w:rPr>
                          <w:t>4.</w:t>
                          <w:tab/>
                          <w:t>重</w:t>
                        </w:r>
                        <w:r>
                          <w:rPr>
                            <w:b/>
                            <w:spacing w:val="-39"/>
                            <w:sz w:val="18"/>
                          </w:rPr>
                          <w:t> </w:t>
                        </w:r>
                        <w:r>
                          <w:rPr>
                            <w:b/>
                            <w:spacing w:val="50"/>
                            <w:sz w:val="18"/>
                          </w:rPr>
                          <w:t>大器</w:t>
                        </w:r>
                        <w:r>
                          <w:rPr>
                            <w:b/>
                            <w:sz w:val="18"/>
                          </w:rPr>
                          <w:t>官</w:t>
                        </w:r>
                        <w:r>
                          <w:rPr>
                            <w:b/>
                            <w:spacing w:val="-39"/>
                            <w:sz w:val="18"/>
                          </w:rPr>
                          <w:t> </w:t>
                        </w:r>
                        <w:r>
                          <w:rPr>
                            <w:b/>
                            <w:spacing w:val="50"/>
                            <w:sz w:val="18"/>
                          </w:rPr>
                          <w:t>移</w:t>
                        </w:r>
                        <w:r>
                          <w:rPr>
                            <w:b/>
                            <w:sz w:val="18"/>
                          </w:rPr>
                          <w:t>植</w:t>
                        </w:r>
                        <w:r>
                          <w:rPr>
                            <w:b/>
                            <w:spacing w:val="-39"/>
                            <w:sz w:val="18"/>
                          </w:rPr>
                          <w:t> </w:t>
                        </w:r>
                        <w:r>
                          <w:rPr>
                            <w:b/>
                            <w:spacing w:val="50"/>
                            <w:sz w:val="18"/>
                          </w:rPr>
                          <w:t>术</w:t>
                        </w:r>
                        <w:r>
                          <w:rPr>
                            <w:b/>
                            <w:sz w:val="18"/>
                          </w:rPr>
                          <w:t>或</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w:t>
                        </w:r>
                        <w:r>
                          <w:rPr>
                            <w:b/>
                            <w:sz w:val="18"/>
                          </w:rPr>
                          <w:t>造血干细胞移植术</w:t>
                          <w:tab/>
                        </w:r>
                        <w:r>
                          <w:rPr>
                            <w:sz w:val="18"/>
                          </w:rPr>
                          <w:t>术。</w:t>
                        </w:r>
                      </w:p>
                    </w:tc>
                  </w:tr>
                  <w:tr>
                    <w:trPr>
                      <w:trHeight w:val="737" w:hRule="atLeast"/>
                    </w:trPr>
                    <w:tc>
                      <w:tcPr>
                        <w:tcW w:w="10162" w:type="dxa"/>
                      </w:tcPr>
                      <w:p>
                        <w:pPr>
                          <w:pStyle w:val="TableParagraph"/>
                          <w:spacing w:line="316" w:lineRule="auto" w:before="10"/>
                          <w:ind w:left="2618" w:right="147"/>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425" w:hRule="atLeast"/>
                    </w:trPr>
                    <w:tc>
                      <w:tcPr>
                        <w:tcW w:w="10162" w:type="dxa"/>
                      </w:tcPr>
                      <w:p>
                        <w:pPr>
                          <w:pStyle w:val="TableParagraph"/>
                          <w:tabs>
                            <w:tab w:pos="597" w:val="left" w:leader="none"/>
                            <w:tab w:pos="2617" w:val="left" w:leader="none"/>
                          </w:tabs>
                          <w:spacing w:before="124"/>
                          <w:ind w:left="200"/>
                          <w:rPr>
                            <w:sz w:val="18"/>
                          </w:rPr>
                        </w:pPr>
                        <w:r>
                          <w:rPr>
                            <w:b/>
                            <w:sz w:val="18"/>
                          </w:rPr>
                          <w:t>5.</w:t>
                          <w:tab/>
                          <w:t>冠状动脉搭桥术</w:t>
                          <w:tab/>
                        </w:r>
                        <w:r>
                          <w:rPr>
                            <w:sz w:val="18"/>
                          </w:rPr>
                          <w:t>指为治疗严重的冠心病，实际实施了开胸进行的冠状动脉血管旁路移植的手术。</w:t>
                        </w:r>
                      </w:p>
                    </w:tc>
                  </w:tr>
                  <w:tr>
                    <w:trPr>
                      <w:trHeight w:val="737" w:hRule="atLeast"/>
                    </w:trPr>
                    <w:tc>
                      <w:tcPr>
                        <w:tcW w:w="10162" w:type="dxa"/>
                      </w:tcPr>
                      <w:p>
                        <w:pPr>
                          <w:pStyle w:val="TableParagraph"/>
                          <w:spacing w:line="316" w:lineRule="auto" w:before="10"/>
                          <w:ind w:left="2618" w:right="157"/>
                          <w:rPr>
                            <w:sz w:val="18"/>
                          </w:rPr>
                        </w:pPr>
                        <w:r>
                          <w:rPr>
                            <w:sz w:val="18"/>
                          </w:rPr>
                          <w:t>冠状动脉支架植入术、心导管球囊扩张术、激光射频技术及其它非开胸的介入手术、腔镜手术不在保障范围内。</w:t>
                        </w:r>
                      </w:p>
                    </w:tc>
                  </w:tr>
                  <w:tr>
                    <w:trPr>
                      <w:trHeight w:val="851" w:hRule="atLeast"/>
                    </w:trPr>
                    <w:tc>
                      <w:tcPr>
                        <w:tcW w:w="10162" w:type="dxa"/>
                      </w:tcPr>
                      <w:p>
                        <w:pPr>
                          <w:pStyle w:val="TableParagraph"/>
                          <w:tabs>
                            <w:tab w:pos="597" w:val="left" w:leader="none"/>
                            <w:tab w:pos="2617" w:val="left" w:leader="none"/>
                          </w:tabs>
                          <w:spacing w:line="316" w:lineRule="auto" w:before="124"/>
                          <w:ind w:left="2618" w:right="251" w:hanging="2419"/>
                          <w:rPr>
                            <w:sz w:val="18"/>
                          </w:rPr>
                        </w:pPr>
                        <w:r>
                          <w:rPr>
                            <w:b/>
                            <w:sz w:val="18"/>
                          </w:rPr>
                          <w:t>6.</w:t>
                          <w:tab/>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tc>
                  </w:tr>
                  <w:tr>
                    <w:trPr>
                      <w:trHeight w:val="851" w:hRule="atLeast"/>
                    </w:trPr>
                    <w:tc>
                      <w:tcPr>
                        <w:tcW w:w="10162" w:type="dxa"/>
                      </w:tcPr>
                      <w:p>
                        <w:pPr>
                          <w:pStyle w:val="TableParagraph"/>
                          <w:tabs>
                            <w:tab w:pos="597" w:val="left" w:leader="none"/>
                            <w:tab w:pos="2617" w:val="left" w:leader="none"/>
                          </w:tabs>
                          <w:spacing w:line="316" w:lineRule="auto" w:before="124"/>
                          <w:ind w:left="2618" w:right="197" w:hanging="2419"/>
                          <w:rPr>
                            <w:sz w:val="18"/>
                          </w:rPr>
                        </w:pPr>
                        <w:r>
                          <w:rPr>
                            <w:b/>
                            <w:sz w:val="18"/>
                          </w:rPr>
                          <w:t>7.</w:t>
                          <w:tab/>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tc>
                  </w:tr>
                  <w:tr>
                    <w:trPr>
                      <w:trHeight w:val="359" w:hRule="atLeast"/>
                    </w:trPr>
                    <w:tc>
                      <w:tcPr>
                        <w:tcW w:w="10162" w:type="dxa"/>
                      </w:tcPr>
                      <w:p>
                        <w:pPr>
                          <w:pStyle w:val="TableParagraph"/>
                          <w:tabs>
                            <w:tab w:pos="597" w:val="left" w:leader="none"/>
                            <w:tab w:pos="2617" w:val="left" w:leader="none"/>
                          </w:tabs>
                          <w:spacing w:line="216" w:lineRule="exact" w:before="124"/>
                          <w:ind w:left="200"/>
                          <w:rPr>
                            <w:sz w:val="18"/>
                          </w:rPr>
                        </w:pPr>
                        <w:r>
                          <w:rPr>
                            <w:b/>
                            <w:sz w:val="18"/>
                          </w:rPr>
                          <w:t>8.</w:t>
                          <w:tab/>
                        </w:r>
                        <w:r>
                          <w:rPr>
                            <w:b/>
                            <w:spacing w:val="20"/>
                            <w:sz w:val="18"/>
                          </w:rPr>
                          <w:t>急</w:t>
                        </w:r>
                        <w:r>
                          <w:rPr>
                            <w:b/>
                            <w:spacing w:val="22"/>
                            <w:sz w:val="18"/>
                          </w:rPr>
                          <w:t>性</w:t>
                        </w:r>
                        <w:r>
                          <w:rPr>
                            <w:b/>
                            <w:spacing w:val="20"/>
                            <w:sz w:val="18"/>
                          </w:rPr>
                          <w:t>或亚急性重</w:t>
                        </w:r>
                        <w:r>
                          <w:rPr>
                            <w:b/>
                            <w:spacing w:val="22"/>
                            <w:sz w:val="18"/>
                          </w:rPr>
                          <w:t>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p>
                    </w:tc>
                  </w:tr>
                </w:tbl>
                <w:p>
                  <w:pPr>
                    <w:pStyle w:val="BodyText"/>
                  </w:pPr>
                </w:p>
              </w:txbxContent>
            </v:textbox>
            <w10:wrap type="none"/>
          </v:shape>
        </w:pict>
      </w:r>
    </w:p>
    <w:p>
      <w:pPr>
        <w:pStyle w:val="BodyText"/>
        <w:spacing w:before="1"/>
        <w:rPr>
          <w:sz w:val="24"/>
        </w:rPr>
      </w:pPr>
    </w:p>
    <w:p>
      <w:pPr>
        <w:pStyle w:val="Heading2"/>
        <w:spacing w:before="44"/>
        <w:ind w:left="4520" w:right="4112" w:firstLine="0"/>
        <w:jc w:val="center"/>
      </w:pPr>
      <w:r>
        <w:rPr>
          <w:w w:val="95"/>
        </w:rPr>
        <w:t>附表一：重大疾病说明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p>
    <w:p>
      <w:pPr>
        <w:pStyle w:val="BodyText"/>
        <w:spacing w:before="44"/>
        <w:ind w:left="2723"/>
      </w:pPr>
      <w:r>
        <w:rPr/>
        <w:t>(4) 皮肤癌（不包括恶性黑色素瘤及已发生转移的皮肤癌</w:t>
      </w:r>
      <w:r>
        <w:rPr>
          <w:spacing w:val="-90"/>
        </w:rPr>
        <w:t>）</w:t>
      </w:r>
      <w:r>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(3) 心肌酶或肌钙蛋白有诊断意义的升高，或呈符合急性心肌梗塞的动态性变化；</w:t>
      </w:r>
    </w:p>
    <w:p>
      <w:pPr>
        <w:pStyle w:val="BodyText"/>
      </w:pPr>
    </w:p>
    <w:p>
      <w:pPr>
        <w:pStyle w:val="BodyText"/>
      </w:pPr>
    </w:p>
    <w:p>
      <w:pPr>
        <w:pStyle w:val="BodyText"/>
      </w:pPr>
    </w:p>
    <w:p>
      <w:pPr>
        <w:pStyle w:val="BodyText"/>
      </w:pPr>
    </w:p>
    <w:p>
      <w:pPr>
        <w:pStyle w:val="BodyText"/>
      </w:pPr>
    </w:p>
    <w:p>
      <w:pPr>
        <w:pStyle w:val="BodyText"/>
      </w:pPr>
    </w:p>
    <w:p>
      <w:pPr>
        <w:spacing w:before="137"/>
        <w:ind w:left="2723" w:right="0" w:firstLine="0"/>
        <w:jc w:val="left"/>
        <w:rPr>
          <w:sz w:val="18"/>
        </w:rPr>
      </w:pPr>
      <w:r>
        <w:rPr>
          <w:sz w:val="18"/>
        </w:rPr>
        <w:t>(2) </w:t>
      </w:r>
      <w:r>
        <w:rPr>
          <w:b/>
          <w:spacing w:val="-1"/>
          <w:w w:val="99"/>
          <w:sz w:val="18"/>
        </w:rPr>
        <w:t>语言能力或咀嚼吞咽能力完全丧失</w:t>
      </w:r>
      <w:r>
        <w:rPr>
          <w:spacing w:val="-2"/>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spacing w:after="0"/>
        <w:jc w:val="left"/>
        <w:rPr>
          <w:sz w:val="18"/>
        </w:rPr>
        <w:sectPr>
          <w:pgSz w:w="11910" w:h="16840"/>
          <w:pgMar w:header="877" w:footer="981" w:top="1100" w:bottom="1180" w:left="880" w:right="640"/>
        </w:sectPr>
      </w:pPr>
    </w:p>
    <w:p>
      <w:pPr>
        <w:pStyle w:val="BodyText"/>
        <w:spacing w:before="3"/>
        <w:rPr>
          <w:sz w:val="20"/>
        </w:rPr>
      </w:pPr>
    </w:p>
    <w:p>
      <w:pPr>
        <w:pStyle w:val="BodyText"/>
        <w:tabs>
          <w:tab w:pos="2523" w:val="left" w:leader="none"/>
        </w:tabs>
        <w:spacing w:before="44"/>
        <w:ind w:left="525"/>
      </w:pPr>
      <w:r>
        <w:rPr>
          <w:b/>
        </w:rPr>
        <w:t>炎</w:t>
        <w:tab/>
      </w:r>
      <w:r>
        <w:rPr/>
        <w:t>证实，并须满足下列全部条件：</w:t>
      </w:r>
    </w:p>
    <w:p>
      <w:pPr>
        <w:pStyle w:val="ListParagraph"/>
        <w:numPr>
          <w:ilvl w:val="1"/>
          <w:numId w:val="11"/>
        </w:numPr>
        <w:tabs>
          <w:tab w:pos="2864" w:val="left" w:leader="none"/>
        </w:tabs>
        <w:spacing w:line="240" w:lineRule="auto" w:before="76" w:after="0"/>
        <w:ind w:left="2863" w:right="0" w:hanging="340"/>
        <w:jc w:val="left"/>
        <w:rPr>
          <w:sz w:val="18"/>
        </w:rPr>
      </w:pPr>
      <w:r>
        <w:rPr>
          <w:sz w:val="18"/>
        </w:rPr>
        <w:t>重度黄疸或黄疸迅速加重；</w:t>
      </w:r>
    </w:p>
    <w:p>
      <w:pPr>
        <w:pStyle w:val="ListParagraph"/>
        <w:numPr>
          <w:ilvl w:val="1"/>
          <w:numId w:val="11"/>
        </w:numPr>
        <w:tabs>
          <w:tab w:pos="2864" w:val="left" w:leader="none"/>
        </w:tabs>
        <w:spacing w:line="240" w:lineRule="auto" w:before="76" w:after="0"/>
        <w:ind w:left="2863" w:right="0" w:hanging="340"/>
        <w:jc w:val="left"/>
        <w:rPr>
          <w:sz w:val="18"/>
        </w:rPr>
      </w:pPr>
      <w:r>
        <w:rPr>
          <w:sz w:val="18"/>
        </w:rPr>
        <w:t>肝性脑病；</w:t>
      </w:r>
    </w:p>
    <w:p>
      <w:pPr>
        <w:pStyle w:val="ListParagraph"/>
        <w:numPr>
          <w:ilvl w:val="1"/>
          <w:numId w:val="11"/>
        </w:numPr>
        <w:tabs>
          <w:tab w:pos="2864" w:val="left" w:leader="none"/>
        </w:tabs>
        <w:spacing w:line="240" w:lineRule="auto" w:before="76" w:after="0"/>
        <w:ind w:left="2863" w:right="0" w:hanging="340"/>
        <w:jc w:val="left"/>
        <w:rPr>
          <w:sz w:val="18"/>
        </w:rPr>
      </w:pPr>
      <w:r>
        <w:rPr>
          <w:sz w:val="18"/>
        </w:rPr>
        <w:t>B</w:t>
      </w:r>
      <w:r>
        <w:rPr>
          <w:spacing w:val="-7"/>
          <w:sz w:val="18"/>
        </w:rPr>
        <w:t> 超或其他影像学检查显示肝脏体积急速萎缩；</w:t>
      </w:r>
    </w:p>
    <w:p>
      <w:pPr>
        <w:pStyle w:val="ListParagraph"/>
        <w:numPr>
          <w:ilvl w:val="1"/>
          <w:numId w:val="11"/>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1"/>
        <w:rPr>
          <w:sz w:val="23"/>
        </w:rPr>
      </w:pPr>
    </w:p>
    <w:p>
      <w:pPr>
        <w:pStyle w:val="ListParagraph"/>
        <w:numPr>
          <w:ilvl w:val="0"/>
          <w:numId w:val="15"/>
        </w:numPr>
        <w:tabs>
          <w:tab w:pos="503"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5"/>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5"/>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2"/>
        <w:numPr>
          <w:ilvl w:val="0"/>
          <w:numId w:val="15"/>
        </w:numPr>
        <w:tabs>
          <w:tab w:pos="503" w:val="left" w:leader="none"/>
        </w:tabs>
        <w:spacing w:line="316" w:lineRule="auto" w:before="45" w:after="0"/>
        <w:ind w:left="525" w:right="0" w:hanging="420"/>
        <w:jc w:val="left"/>
      </w:pPr>
      <w:r>
        <w:rPr>
          <w:spacing w:val="17"/>
        </w:rPr>
        <w:t>慢性肝功能衰竭失代偿期</w:t>
      </w:r>
    </w:p>
    <w:p>
      <w:pPr>
        <w:pStyle w:val="BodyText"/>
        <w:spacing w:before="45"/>
        <w:ind w:left="105"/>
      </w:pPr>
      <w:r>
        <w:rPr/>
        <w:br w:type="column"/>
      </w:r>
      <w:r>
        <w:rPr/>
        <w:t>指因慢性肝脏疾病导致肝功能衰竭。须满足下列全部条件：</w:t>
      </w:r>
    </w:p>
    <w:p>
      <w:pPr>
        <w:pStyle w:val="ListParagraph"/>
        <w:numPr>
          <w:ilvl w:val="0"/>
          <w:numId w:val="16"/>
        </w:numPr>
        <w:tabs>
          <w:tab w:pos="446" w:val="left" w:leader="none"/>
        </w:tabs>
        <w:spacing w:line="240" w:lineRule="auto" w:before="76" w:after="0"/>
        <w:ind w:left="105" w:right="0" w:firstLine="0"/>
        <w:jc w:val="left"/>
        <w:rPr>
          <w:sz w:val="18"/>
        </w:rPr>
      </w:pPr>
      <w:r>
        <w:rPr>
          <w:sz w:val="18"/>
        </w:rPr>
        <w:t>持续性黄疸；</w:t>
      </w:r>
    </w:p>
    <w:p>
      <w:pPr>
        <w:pStyle w:val="ListParagraph"/>
        <w:numPr>
          <w:ilvl w:val="0"/>
          <w:numId w:val="16"/>
        </w:numPr>
        <w:tabs>
          <w:tab w:pos="446" w:val="left" w:leader="none"/>
        </w:tabs>
        <w:spacing w:line="240" w:lineRule="auto" w:before="76" w:after="0"/>
        <w:ind w:left="105" w:right="0" w:firstLine="0"/>
        <w:jc w:val="left"/>
        <w:rPr>
          <w:sz w:val="18"/>
        </w:rPr>
      </w:pPr>
      <w:r>
        <w:rPr>
          <w:sz w:val="18"/>
        </w:rPr>
        <w:t>腹水；</w:t>
      </w:r>
    </w:p>
    <w:p>
      <w:pPr>
        <w:pStyle w:val="ListParagraph"/>
        <w:numPr>
          <w:ilvl w:val="0"/>
          <w:numId w:val="16"/>
        </w:numPr>
        <w:tabs>
          <w:tab w:pos="446" w:val="left" w:leader="none"/>
        </w:tabs>
        <w:spacing w:line="240" w:lineRule="auto" w:before="76" w:after="0"/>
        <w:ind w:left="105" w:right="0" w:firstLine="0"/>
        <w:jc w:val="left"/>
        <w:rPr>
          <w:sz w:val="18"/>
        </w:rPr>
      </w:pPr>
      <w:r>
        <w:rPr>
          <w:sz w:val="18"/>
        </w:rPr>
        <w:t>肝性脑病；</w:t>
      </w:r>
    </w:p>
    <w:p>
      <w:pPr>
        <w:pStyle w:val="ListParagraph"/>
        <w:numPr>
          <w:ilvl w:val="0"/>
          <w:numId w:val="16"/>
        </w:numPr>
        <w:tabs>
          <w:tab w:pos="44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08" w:space="110"/>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2"/>
        <w:numPr>
          <w:ilvl w:val="0"/>
          <w:numId w:val="15"/>
        </w:numPr>
        <w:tabs>
          <w:tab w:pos="503" w:val="left" w:leader="none"/>
        </w:tabs>
        <w:spacing w:line="316" w:lineRule="auto" w:before="45" w:after="0"/>
        <w:ind w:left="525" w:right="0" w:hanging="420"/>
        <w:jc w:val="left"/>
      </w:pPr>
      <w:r>
        <w:rPr>
          <w:spacing w:val="17"/>
        </w:rPr>
        <w:t>脑炎后遗症或脑膜炎后遗症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446" w:val="left" w:leader="none"/>
        </w:tabs>
        <w:spacing w:line="240" w:lineRule="auto" w:before="19" w:after="0"/>
        <w:ind w:left="445" w:right="0" w:hanging="340"/>
        <w:jc w:val="left"/>
        <w:rPr>
          <w:sz w:val="18"/>
        </w:rPr>
      </w:pPr>
      <w:r>
        <w:rPr>
          <w:sz w:val="18"/>
        </w:rPr>
        <w:t>一肢或一肢以上肢体机能完全丧失；</w:t>
      </w:r>
    </w:p>
    <w:p>
      <w:pPr>
        <w:pStyle w:val="ListParagraph"/>
        <w:numPr>
          <w:ilvl w:val="0"/>
          <w:numId w:val="17"/>
        </w:numPr>
        <w:tabs>
          <w:tab w:pos="446" w:val="left" w:leader="none"/>
        </w:tabs>
        <w:spacing w:line="240" w:lineRule="auto" w:before="76" w:after="0"/>
        <w:ind w:left="445" w:right="0" w:hanging="340"/>
        <w:jc w:val="left"/>
        <w:rPr>
          <w:sz w:val="18"/>
        </w:rPr>
      </w:pPr>
      <w:r>
        <w:rPr>
          <w:sz w:val="18"/>
        </w:rPr>
        <w:t>语言能力或咀嚼吞咽能力完全丧失；</w:t>
      </w:r>
    </w:p>
    <w:p>
      <w:pPr>
        <w:pStyle w:val="ListParagraph"/>
        <w:numPr>
          <w:ilvl w:val="0"/>
          <w:numId w:val="17"/>
        </w:numPr>
        <w:tabs>
          <w:tab w:pos="466" w:val="left" w:leader="none"/>
        </w:tabs>
        <w:spacing w:line="240" w:lineRule="auto" w:before="76"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08" w:space="110"/>
            <w:col w:w="7592"/>
          </w:cols>
        </w:sectPr>
      </w:pPr>
    </w:p>
    <w:p>
      <w:pPr>
        <w:pStyle w:val="BodyText"/>
        <w:spacing w:before="10"/>
        <w:rPr>
          <w:sz w:val="19"/>
        </w:rPr>
      </w:pPr>
    </w:p>
    <w:p>
      <w:pPr>
        <w:pStyle w:val="ListParagraph"/>
        <w:numPr>
          <w:ilvl w:val="0"/>
          <w:numId w:val="15"/>
        </w:numPr>
        <w:tabs>
          <w:tab w:pos="503" w:val="left" w:leader="none"/>
          <w:tab w:pos="2523" w:val="left" w:leader="none"/>
        </w:tabs>
        <w:spacing w:line="316" w:lineRule="auto" w:before="44"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3"/>
      </w:pPr>
      <w:r>
        <w:rPr/>
        <w:t>因酗酒或药物滥用导致的深度昏迷不在保障范围内。</w:t>
      </w:r>
    </w:p>
    <w:p>
      <w:pPr>
        <w:pStyle w:val="BodyText"/>
        <w:spacing w:before="2"/>
        <w:rPr>
          <w:sz w:val="23"/>
        </w:rPr>
      </w:pPr>
    </w:p>
    <w:p>
      <w:pPr>
        <w:pStyle w:val="ListParagraph"/>
        <w:numPr>
          <w:ilvl w:val="0"/>
          <w:numId w:val="15"/>
        </w:numPr>
        <w:tabs>
          <w:tab w:pos="503" w:val="left" w:leader="none"/>
          <w:tab w:pos="2523" w:val="left" w:leader="none"/>
        </w:tabs>
        <w:spacing w:line="316" w:lineRule="auto" w:before="0" w:after="0"/>
        <w:ind w:left="2523" w:right="134"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5"/>
        </w:numPr>
        <w:tabs>
          <w:tab w:pos="503"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5"/>
        </w:numPr>
        <w:tabs>
          <w:tab w:pos="2921" w:val="left" w:leader="none"/>
        </w:tabs>
        <w:spacing w:line="240" w:lineRule="auto" w:before="18" w:after="0"/>
        <w:ind w:left="2920" w:right="0" w:hanging="397"/>
        <w:jc w:val="left"/>
        <w:rPr>
          <w:sz w:val="18"/>
        </w:rPr>
      </w:pPr>
      <w:r>
        <w:rPr>
          <w:sz w:val="18"/>
        </w:rPr>
        <w:t>眼球缺失或摘除；</w:t>
      </w:r>
    </w:p>
    <w:p>
      <w:pPr>
        <w:pStyle w:val="ListParagraph"/>
        <w:numPr>
          <w:ilvl w:val="1"/>
          <w:numId w:val="15"/>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5"/>
        </w:numPr>
        <w:tabs>
          <w:tab w:pos="2884" w:val="left" w:leader="none"/>
        </w:tabs>
        <w:spacing w:line="240" w:lineRule="auto" w:before="76"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5"/>
        </w:numPr>
        <w:tabs>
          <w:tab w:pos="503"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5"/>
        </w:numPr>
        <w:tabs>
          <w:tab w:pos="503" w:val="left" w:leader="none"/>
          <w:tab w:pos="2523" w:val="left" w:leader="none"/>
        </w:tabs>
        <w:spacing w:line="240" w:lineRule="auto" w:before="0" w:after="0"/>
        <w:ind w:left="502" w:right="0" w:hanging="397"/>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5"/>
        </w:numPr>
        <w:tabs>
          <w:tab w:pos="503" w:val="left" w:leader="none"/>
          <w:tab w:pos="2523" w:val="left" w:leader="none"/>
        </w:tabs>
        <w:spacing w:line="240" w:lineRule="auto" w:before="0" w:after="0"/>
        <w:ind w:left="502" w:right="0" w:hanging="397"/>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3" w:right="194"/>
        <w:jc w:val="both"/>
      </w:pPr>
      <w:r>
        <w:rPr/>
        <w:t>行为异常和社交能力减退，其日常生活必须持续受到他人监护。须由头颅断层扫描（CT</w:t>
      </w:r>
      <w:r>
        <w:rPr>
          <w:spacing w:val="-90"/>
        </w:rPr>
        <w:t>）</w:t>
      </w:r>
      <w:r>
        <w:rPr/>
        <w:t>、核</w:t>
      </w:r>
      <w:r>
        <w:rPr>
          <w:spacing w:val="-3"/>
        </w:rPr>
        <w:t>磁共振检查</w:t>
      </w:r>
      <w:r>
        <w:rPr>
          <w:spacing w:val="-1"/>
        </w:rPr>
        <w:t>（MRI）或正电子发射断层扫描</w:t>
      </w:r>
      <w:r>
        <w:rPr/>
        <w:t>（PET）</w:t>
      </w:r>
      <w:r>
        <w:rPr>
          <w:spacing w:val="-1"/>
        </w:rPr>
        <w: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1"/>
        <w:rPr>
          <w:sz w:val="23"/>
        </w:rPr>
      </w:pPr>
    </w:p>
    <w:p>
      <w:pPr>
        <w:pStyle w:val="ListParagraph"/>
        <w:numPr>
          <w:ilvl w:val="0"/>
          <w:numId w:val="15"/>
        </w:numPr>
        <w:tabs>
          <w:tab w:pos="503" w:val="left" w:leader="none"/>
          <w:tab w:pos="2523" w:val="left" w:leader="none"/>
        </w:tabs>
        <w:spacing w:line="316" w:lineRule="auto" w:before="1"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5"/>
        </w:numPr>
        <w:tabs>
          <w:tab w:pos="2921" w:val="left" w:leader="none"/>
        </w:tabs>
        <w:spacing w:line="240" w:lineRule="auto" w:before="19" w:after="0"/>
        <w:ind w:left="2920" w:right="0" w:hanging="397"/>
        <w:jc w:val="both"/>
        <w:rPr>
          <w:sz w:val="18"/>
        </w:rPr>
      </w:pPr>
      <w:r>
        <w:rPr>
          <w:sz w:val="18"/>
        </w:rPr>
        <w:t>一肢或一肢以上肢体机能完全丧失；</w:t>
      </w:r>
    </w:p>
    <w:p>
      <w:pPr>
        <w:pStyle w:val="ListParagraph"/>
        <w:numPr>
          <w:ilvl w:val="1"/>
          <w:numId w:val="15"/>
        </w:numPr>
        <w:tabs>
          <w:tab w:pos="2921" w:val="left" w:leader="none"/>
        </w:tabs>
        <w:spacing w:line="240" w:lineRule="auto" w:before="76" w:after="0"/>
        <w:ind w:left="2920" w:right="0" w:hanging="397"/>
        <w:jc w:val="both"/>
        <w:rPr>
          <w:sz w:val="18"/>
        </w:rPr>
      </w:pPr>
      <w:r>
        <w:rPr>
          <w:sz w:val="18"/>
        </w:rPr>
        <w:t>语言能力或咀嚼吞咽能力完全丧失；</w:t>
      </w:r>
    </w:p>
    <w:p>
      <w:pPr>
        <w:pStyle w:val="ListParagraph"/>
        <w:numPr>
          <w:ilvl w:val="1"/>
          <w:numId w:val="15"/>
        </w:numPr>
        <w:tabs>
          <w:tab w:pos="2884" w:val="left" w:leader="none"/>
        </w:tabs>
        <w:spacing w:line="240" w:lineRule="auto" w:before="76" w:after="0"/>
        <w:ind w:left="2883" w:right="0" w:hanging="360"/>
        <w:jc w:val="both"/>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5"/>
        </w:numPr>
        <w:tabs>
          <w:tab w:pos="503" w:val="left" w:leader="none"/>
          <w:tab w:pos="2523" w:val="left" w:leader="none"/>
        </w:tabs>
        <w:spacing w:line="240" w:lineRule="auto" w:before="0" w:after="0"/>
        <w:ind w:left="502" w:right="0" w:hanging="397"/>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5"/>
        </w:numPr>
        <w:tabs>
          <w:tab w:pos="2921" w:val="left" w:leader="none"/>
        </w:tabs>
        <w:spacing w:line="240" w:lineRule="auto" w:before="76" w:after="0"/>
        <w:ind w:left="2523" w:right="0" w:firstLine="0"/>
        <w:jc w:val="both"/>
        <w:rPr>
          <w:sz w:val="18"/>
        </w:rPr>
      </w:pPr>
      <w:r>
        <w:rPr>
          <w:sz w:val="18"/>
        </w:rPr>
        <w:t>药物治疗无法控制病情；</w:t>
      </w:r>
    </w:p>
    <w:p>
      <w:pPr>
        <w:pStyle w:val="ListParagraph"/>
        <w:numPr>
          <w:ilvl w:val="1"/>
          <w:numId w:val="15"/>
        </w:numPr>
        <w:tabs>
          <w:tab w:pos="2921" w:val="left" w:leader="none"/>
        </w:tabs>
        <w:spacing w:line="316" w:lineRule="auto" w:before="76" w:after="0"/>
        <w:ind w:left="2523" w:right="481"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5"/>
        </w:numPr>
        <w:tabs>
          <w:tab w:pos="503" w:val="left" w:leader="none"/>
        </w:tabs>
        <w:spacing w:line="316" w:lineRule="auto" w:before="0" w:after="0"/>
        <w:ind w:left="2523" w:right="195" w:hanging="2418"/>
        <w:jc w:val="both"/>
        <w:rPr>
          <w:sz w:val="18"/>
        </w:rPr>
      </w:pPr>
      <w:r>
        <w:rPr>
          <w:b/>
          <w:spacing w:val="0"/>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footerReference w:type="default" r:id="rId12"/>
          <w:pgSz w:w="11910" w:h="16840"/>
          <w:pgMar w:footer="981" w:header="877" w:top="1100" w:bottom="1180" w:left="1080" w:right="760"/>
          <w:pgNumType w:start="8"/>
        </w:sectPr>
      </w:pPr>
    </w:p>
    <w:p>
      <w:pPr>
        <w:pStyle w:val="Heading2"/>
        <w:numPr>
          <w:ilvl w:val="0"/>
          <w:numId w:val="15"/>
        </w:numPr>
        <w:tabs>
          <w:tab w:pos="503" w:val="left" w:leader="none"/>
        </w:tabs>
        <w:spacing w:line="316" w:lineRule="auto" w:before="44" w:after="0"/>
        <w:ind w:left="525" w:right="0" w:hanging="420"/>
        <w:jc w:val="left"/>
      </w:pPr>
      <w:r>
        <w:rPr>
          <w:spacing w:val="17"/>
        </w:rPr>
        <w:t>严重原发性肺动脉高压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08" w:space="110"/>
            <w:col w:w="7652"/>
          </w:cols>
        </w:sectPr>
      </w:pPr>
    </w:p>
    <w:p>
      <w:pPr>
        <w:pStyle w:val="BodyText"/>
        <w:spacing w:before="4"/>
        <w:rPr>
          <w:sz w:val="15"/>
        </w:rPr>
      </w:pPr>
    </w:p>
    <w:p>
      <w:pPr>
        <w:pStyle w:val="ListParagraph"/>
        <w:numPr>
          <w:ilvl w:val="0"/>
          <w:numId w:val="15"/>
        </w:numPr>
        <w:tabs>
          <w:tab w:pos="503" w:val="left" w:leader="none"/>
        </w:tabs>
        <w:spacing w:line="316" w:lineRule="auto" w:before="45" w:after="0"/>
        <w:ind w:left="2523" w:right="194" w:hanging="2418"/>
        <w:jc w:val="both"/>
        <w:rPr>
          <w:sz w:val="18"/>
        </w:rPr>
      </w:pPr>
      <w:r>
        <w:rPr>
          <w:b/>
          <w:spacing w:val="1"/>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5"/>
        </w:numPr>
        <w:tabs>
          <w:tab w:pos="503" w:val="left" w:leader="none"/>
        </w:tabs>
        <w:spacing w:line="316" w:lineRule="auto" w:before="0" w:after="0"/>
        <w:ind w:left="2523" w:right="248" w:hanging="2418"/>
        <w:jc w:val="both"/>
        <w:rPr>
          <w:sz w:val="18"/>
        </w:rPr>
      </w:pPr>
      <w:r>
        <w:rPr>
          <w:b/>
          <w:spacing w:val="2"/>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1"/>
        <w:rPr>
          <w:sz w:val="23"/>
        </w:rPr>
      </w:pPr>
    </w:p>
    <w:p>
      <w:pPr>
        <w:pStyle w:val="ListParagraph"/>
        <w:numPr>
          <w:ilvl w:val="0"/>
          <w:numId w:val="15"/>
        </w:numPr>
        <w:tabs>
          <w:tab w:pos="503" w:val="left" w:leader="none"/>
        </w:tabs>
        <w:spacing w:line="316" w:lineRule="auto" w:before="1" w:after="0"/>
        <w:ind w:left="2523" w:right="194" w:hanging="2418"/>
        <w:jc w:val="both"/>
        <w:rPr>
          <w:sz w:val="18"/>
        </w:rPr>
      </w:pPr>
      <w:r>
        <w:rPr>
          <w:b/>
          <w:spacing w:val="1"/>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5"/>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5"/>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spacing w:before="76"/>
        <w:ind w:left="2973"/>
      </w:pPr>
      <w:r>
        <w:rPr/>
        <w:t>① 中性粒细胞绝对值≤0.5×10</w:t>
      </w:r>
      <w:r>
        <w:rPr>
          <w:b/>
          <w:position w:val="9"/>
          <w:sz w:val="9"/>
        </w:rPr>
        <w:t>9</w:t>
      </w:r>
      <w:r>
        <w:rPr/>
        <w:t>/L ；</w:t>
      </w:r>
    </w:p>
    <w:p>
      <w:pPr>
        <w:pStyle w:val="BodyText"/>
        <w:spacing w:before="76"/>
        <w:ind w:left="2973"/>
      </w:pPr>
      <w:r>
        <w:rPr/>
        <w:t>② 网织红细胞＜1%；</w:t>
      </w:r>
    </w:p>
    <w:p>
      <w:pPr>
        <w:pStyle w:val="BodyText"/>
        <w:spacing w:before="76"/>
        <w:ind w:left="2973"/>
      </w:pPr>
      <w:r>
        <w:rPr/>
        <w:t>③ 血小板绝对值≤20×10</w:t>
      </w:r>
      <w:r>
        <w:rPr>
          <w:b/>
          <w:position w:val="9"/>
          <w:sz w:val="9"/>
        </w:rPr>
        <w:t>9</w:t>
      </w:r>
      <w:r>
        <w:rPr/>
        <w:t>/L。</w:t>
      </w:r>
    </w:p>
    <w:p>
      <w:pPr>
        <w:pStyle w:val="BodyText"/>
        <w:spacing w:before="2"/>
        <w:rPr>
          <w:sz w:val="23"/>
        </w:rPr>
      </w:pPr>
    </w:p>
    <w:p>
      <w:pPr>
        <w:pStyle w:val="ListParagraph"/>
        <w:numPr>
          <w:ilvl w:val="0"/>
          <w:numId w:val="15"/>
        </w:numPr>
        <w:tabs>
          <w:tab w:pos="503"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5"/>
        </w:numPr>
        <w:tabs>
          <w:tab w:pos="503" w:val="left" w:leader="none"/>
          <w:tab w:pos="2523" w:val="left" w:leader="none"/>
        </w:tabs>
        <w:spacing w:line="316" w:lineRule="auto" w:before="0"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5"/>
        </w:numPr>
        <w:tabs>
          <w:tab w:pos="503" w:val="left" w:leader="none"/>
          <w:tab w:pos="2523" w:val="left" w:leader="none"/>
        </w:tabs>
        <w:spacing w:line="240" w:lineRule="auto" w:before="0" w:after="0"/>
        <w:ind w:left="502" w:right="0" w:hanging="397"/>
        <w:jc w:val="left"/>
        <w:rPr>
          <w:sz w:val="18"/>
        </w:rPr>
      </w:pPr>
      <w:r>
        <w:rPr>
          <w:b/>
          <w:sz w:val="18"/>
        </w:rPr>
        <w:t>系统性红斑狼疮</w:t>
        <w:tab/>
      </w:r>
      <w:r>
        <w:rPr>
          <w:sz w:val="18"/>
        </w:rPr>
        <w:t>是一种自身免疫性结缔组织病，于体内有大量致病性自身抗体和免疫复合物，造成组织损伤。</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r>
        <w:rPr/>
        <w:pict>
          <v:shape style="position:absolute;margin-left:49.278198pt;margin-top:89.824623pt;width:509.95pt;height:647.2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8"/>
                  </w:tblGrid>
                  <w:tr>
                    <w:trPr>
                      <w:trHeight w:val="4145" w:hRule="atLeast"/>
                    </w:trPr>
                    <w:tc>
                      <w:tcPr>
                        <w:tcW w:w="10198" w:type="dxa"/>
                      </w:tcPr>
                      <w:p>
                        <w:pPr>
                          <w:pStyle w:val="TableParagraph"/>
                          <w:numPr>
                            <w:ilvl w:val="0"/>
                            <w:numId w:val="18"/>
                          </w:numPr>
                          <w:tabs>
                            <w:tab w:pos="3038" w:val="left" w:leader="none"/>
                          </w:tabs>
                          <w:spacing w:line="180" w:lineRule="exact" w:before="0" w:after="0"/>
                          <w:ind w:left="3037" w:right="0" w:hanging="419"/>
                          <w:jc w:val="left"/>
                          <w:rPr>
                            <w:sz w:val="18"/>
                          </w:rPr>
                        </w:pPr>
                        <w:r>
                          <w:rPr>
                            <w:sz w:val="18"/>
                          </w:rPr>
                          <w:t>临床表现至少具备如下条件的四个：</w:t>
                        </w:r>
                      </w:p>
                      <w:p>
                        <w:pPr>
                          <w:pStyle w:val="TableParagraph"/>
                          <w:spacing w:before="76"/>
                          <w:ind w:left="3038"/>
                          <w:rPr>
                            <w:sz w:val="18"/>
                          </w:rPr>
                        </w:pPr>
                        <w:r>
                          <w:rPr>
                            <w:sz w:val="18"/>
                          </w:rPr>
                          <w:t>①  蝶形红斑或盘形红斑；</w:t>
                        </w:r>
                      </w:p>
                      <w:p>
                        <w:pPr>
                          <w:pStyle w:val="TableParagraph"/>
                          <w:spacing w:before="76"/>
                          <w:ind w:left="3038"/>
                          <w:rPr>
                            <w:sz w:val="18"/>
                          </w:rPr>
                        </w:pPr>
                        <w:r>
                          <w:rPr>
                            <w:sz w:val="18"/>
                          </w:rPr>
                          <w:t>②  光敏感；</w:t>
                        </w:r>
                      </w:p>
                      <w:p>
                        <w:pPr>
                          <w:pStyle w:val="TableParagraph"/>
                          <w:spacing w:before="76"/>
                          <w:ind w:left="3038"/>
                          <w:rPr>
                            <w:sz w:val="18"/>
                          </w:rPr>
                        </w:pPr>
                        <w:r>
                          <w:rPr>
                            <w:sz w:val="18"/>
                          </w:rPr>
                          <w:t>③  口腔溃疡；</w:t>
                        </w:r>
                      </w:p>
                      <w:p>
                        <w:pPr>
                          <w:pStyle w:val="TableParagraph"/>
                          <w:spacing w:before="76"/>
                          <w:ind w:left="3038"/>
                          <w:rPr>
                            <w:sz w:val="18"/>
                          </w:rPr>
                        </w:pPr>
                        <w:r>
                          <w:rPr>
                            <w:sz w:val="18"/>
                          </w:rPr>
                          <w:t>④  非畸形关节炎或关节痛；</w:t>
                        </w:r>
                      </w:p>
                      <w:p>
                        <w:pPr>
                          <w:pStyle w:val="TableParagraph"/>
                          <w:spacing w:before="76"/>
                          <w:ind w:left="3038"/>
                          <w:rPr>
                            <w:sz w:val="18"/>
                          </w:rPr>
                        </w:pPr>
                        <w:r>
                          <w:rPr>
                            <w:sz w:val="18"/>
                          </w:rPr>
                          <w:t>⑤  浆膜炎、胸膜炎或心包炎；</w:t>
                        </w:r>
                      </w:p>
                      <w:p>
                        <w:pPr>
                          <w:pStyle w:val="TableParagraph"/>
                          <w:spacing w:before="76"/>
                          <w:ind w:left="3038"/>
                          <w:rPr>
                            <w:sz w:val="18"/>
                          </w:rPr>
                        </w:pPr>
                        <w:r>
                          <w:rPr>
                            <w:sz w:val="18"/>
                          </w:rPr>
                          <w:t>⑥  神经系统损伤（抽搐或精神症状</w:t>
                        </w:r>
                        <w:r>
                          <w:rPr>
                            <w:spacing w:val="-90"/>
                            <w:sz w:val="18"/>
                          </w:rPr>
                          <w:t>）</w:t>
                        </w:r>
                        <w:r>
                          <w:rPr>
                            <w:sz w:val="18"/>
                          </w:rPr>
                          <w:t>；</w:t>
                        </w:r>
                      </w:p>
                      <w:p>
                        <w:pPr>
                          <w:pStyle w:val="TableParagraph"/>
                          <w:spacing w:before="76"/>
                          <w:ind w:left="3038"/>
                          <w:rPr>
                            <w:sz w:val="18"/>
                          </w:rPr>
                        </w:pPr>
                        <w:r>
                          <w:rPr>
                            <w:sz w:val="18"/>
                          </w:rPr>
                          <w:t>⑦  血象异常（WBC&lt;4000/μl</w:t>
                        </w:r>
                        <w:r>
                          <w:rPr>
                            <w:spacing w:val="-10"/>
                            <w:sz w:val="18"/>
                          </w:rPr>
                          <w:t> 或血小板</w:t>
                        </w:r>
                        <w:r>
                          <w:rPr>
                            <w:sz w:val="18"/>
                          </w:rPr>
                          <w:t>&lt;100000/μl</w:t>
                        </w:r>
                        <w:r>
                          <w:rPr>
                            <w:spacing w:val="-8"/>
                            <w:sz w:val="18"/>
                          </w:rPr>
                          <w:t> 或溶血性贫血</w:t>
                        </w:r>
                        <w:r>
                          <w:rPr>
                            <w:spacing w:val="-90"/>
                            <w:sz w:val="18"/>
                          </w:rPr>
                          <w:t>）</w:t>
                        </w:r>
                        <w:r>
                          <w:rPr>
                            <w:sz w:val="18"/>
                          </w:rPr>
                          <w:t>。</w:t>
                        </w:r>
                      </w:p>
                      <w:p>
                        <w:pPr>
                          <w:pStyle w:val="TableParagraph"/>
                          <w:numPr>
                            <w:ilvl w:val="0"/>
                            <w:numId w:val="18"/>
                          </w:numPr>
                          <w:tabs>
                            <w:tab w:pos="3038" w:val="left" w:leader="none"/>
                          </w:tabs>
                          <w:spacing w:line="240" w:lineRule="auto" w:before="76" w:after="0"/>
                          <w:ind w:left="3037" w:right="0" w:hanging="419"/>
                          <w:jc w:val="left"/>
                          <w:rPr>
                            <w:sz w:val="18"/>
                          </w:rPr>
                        </w:pPr>
                        <w:r>
                          <w:rPr>
                            <w:sz w:val="18"/>
                          </w:rPr>
                          <w:t>检测结果至少具备如下条件的两个：</w:t>
                        </w:r>
                      </w:p>
                      <w:p>
                        <w:pPr>
                          <w:pStyle w:val="TableParagraph"/>
                          <w:spacing w:before="76"/>
                          <w:ind w:left="3038"/>
                          <w:rPr>
                            <w:sz w:val="18"/>
                          </w:rPr>
                        </w:pPr>
                        <w:r>
                          <w:rPr>
                            <w:sz w:val="18"/>
                          </w:rPr>
                          <w:t>①  狼疮细胞或抗双链DNA 抗体阳性；</w:t>
                        </w:r>
                      </w:p>
                      <w:p>
                        <w:pPr>
                          <w:pStyle w:val="TableParagraph"/>
                          <w:spacing w:before="76"/>
                          <w:ind w:left="3038"/>
                          <w:rPr>
                            <w:sz w:val="18"/>
                          </w:rPr>
                        </w:pPr>
                        <w:r>
                          <w:rPr>
                            <w:sz w:val="18"/>
                          </w:rPr>
                          <w:t>②  抗Sm 抗体阳性；</w:t>
                        </w:r>
                      </w:p>
                      <w:p>
                        <w:pPr>
                          <w:pStyle w:val="TableParagraph"/>
                          <w:spacing w:before="76"/>
                          <w:ind w:left="3038"/>
                          <w:rPr>
                            <w:sz w:val="18"/>
                          </w:rPr>
                        </w:pPr>
                        <w:r>
                          <w:rPr>
                            <w:sz w:val="18"/>
                          </w:rPr>
                          <w:t>③  抗核抗体阳性；</w:t>
                        </w:r>
                      </w:p>
                      <w:p>
                        <w:pPr>
                          <w:pStyle w:val="TableParagraph"/>
                          <w:spacing w:before="76"/>
                          <w:ind w:left="3038"/>
                          <w:rPr>
                            <w:sz w:val="18"/>
                          </w:rPr>
                        </w:pPr>
                        <w:r>
                          <w:rPr>
                            <w:sz w:val="18"/>
                          </w:rPr>
                          <w:t>④  狼疮带试验阳性；</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狼疮肾炎致使肾功能减弱，血肌酐的清除率低于每分钟 30ml。</w:t>
                        </w:r>
                      </w:p>
                    </w:tc>
                  </w:tr>
                  <w:tr>
                    <w:trPr>
                      <w:trHeight w:val="1829" w:hRule="atLeast"/>
                    </w:trPr>
                    <w:tc>
                      <w:tcPr>
                        <w:tcW w:w="10198" w:type="dxa"/>
                      </w:tcPr>
                      <w:p>
                        <w:pPr>
                          <w:pStyle w:val="TableParagraph"/>
                          <w:numPr>
                            <w:ilvl w:val="0"/>
                            <w:numId w:val="19"/>
                          </w:numPr>
                          <w:tabs>
                            <w:tab w:pos="598" w:val="left" w:leader="none"/>
                            <w:tab w:pos="2617" w:val="left" w:leader="none"/>
                          </w:tabs>
                          <w:spacing w:line="316" w:lineRule="auto" w:before="124" w:after="0"/>
                          <w:ind w:left="2618" w:right="338" w:hanging="2418"/>
                          <w:jc w:val="both"/>
                          <w:rPr>
                            <w:sz w:val="18"/>
                          </w:rPr>
                        </w:pPr>
                        <w:r>
                          <w:rPr>
                            <w:b/>
                            <w:sz w:val="18"/>
                          </w:rPr>
                          <w:t>多发性硬化</w:t>
                          <w:tab/>
                        </w:r>
                        <w:r>
                          <w:rPr>
                            <w:sz w:val="18"/>
                          </w:rPr>
                          <w:t>指因中枢神经系统脱髓鞘而导致的不可逆的身体部位的功能障碍，需由神经科专家提供明确诊断</w:t>
                        </w:r>
                        <w:r>
                          <w:rPr>
                            <w:spacing w:val="-26"/>
                            <w:sz w:val="18"/>
                          </w:rPr>
                          <w:t>，</w:t>
                        </w:r>
                        <w:r>
                          <w:rPr>
                            <w:sz w:val="18"/>
                          </w:rPr>
                          <w:t>并有</w:t>
                        </w:r>
                        <w:r>
                          <w:rPr>
                            <w:spacing w:val="-46"/>
                            <w:sz w:val="18"/>
                          </w:rPr>
                          <w:t> </w:t>
                        </w:r>
                        <w:r>
                          <w:rPr>
                            <w:sz w:val="18"/>
                          </w:rPr>
                          <w:t>CT</w:t>
                        </w:r>
                        <w:r>
                          <w:rPr>
                            <w:spacing w:val="-45"/>
                            <w:sz w:val="18"/>
                          </w:rPr>
                          <w:t> </w:t>
                        </w:r>
                        <w:r>
                          <w:rPr>
                            <w:sz w:val="18"/>
                          </w:rPr>
                          <w:t>或核磁共振检查结果诊断报告</w:t>
                        </w:r>
                        <w:r>
                          <w:rPr>
                            <w:spacing w:val="-26"/>
                            <w:sz w:val="18"/>
                          </w:rPr>
                          <w:t>。</w:t>
                        </w:r>
                        <w:r>
                          <w:rPr>
                            <w:sz w:val="18"/>
                          </w:rPr>
                          <w:t>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TableParagraph"/>
                          <w:spacing w:before="19"/>
                          <w:ind w:left="2618"/>
                          <w:rPr>
                            <w:sz w:val="18"/>
                          </w:rPr>
                        </w:pPr>
                        <w:r>
                          <w:rPr>
                            <w:sz w:val="18"/>
                          </w:rPr>
                          <w:t>由神经科专家提供的明确诊断必须包含以下全部三项内容：</w:t>
                        </w:r>
                      </w:p>
                      <w:p>
                        <w:pPr>
                          <w:pStyle w:val="TableParagraph"/>
                          <w:numPr>
                            <w:ilvl w:val="1"/>
                            <w:numId w:val="19"/>
                          </w:numPr>
                          <w:tabs>
                            <w:tab w:pos="3038" w:val="left" w:leader="none"/>
                          </w:tabs>
                          <w:spacing w:line="240" w:lineRule="auto" w:before="76" w:after="0"/>
                          <w:ind w:left="3037" w:right="0" w:hanging="419"/>
                          <w:jc w:val="left"/>
                          <w:rPr>
                            <w:sz w:val="18"/>
                          </w:rPr>
                        </w:pPr>
                        <w:r>
                          <w:rPr>
                            <w:sz w:val="18"/>
                          </w:rPr>
                          <w:t>明确出现因视神经、脑干和脊髓损伤而导致的临床表现；</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有明确的上述症状及神经损伤反复恶化、减轻的病史纪录。</w:t>
                        </w:r>
                      </w:p>
                    </w:tc>
                  </w:tr>
                  <w:tr>
                    <w:trPr>
                      <w:trHeight w:val="1517" w:hRule="atLeast"/>
                    </w:trPr>
                    <w:tc>
                      <w:tcPr>
                        <w:tcW w:w="10198" w:type="dxa"/>
                      </w:tcPr>
                      <w:p>
                        <w:pPr>
                          <w:pStyle w:val="TableParagraph"/>
                          <w:numPr>
                            <w:ilvl w:val="0"/>
                            <w:numId w:val="20"/>
                          </w:numPr>
                          <w:tabs>
                            <w:tab w:pos="598" w:val="left" w:leader="none"/>
                            <w:tab w:pos="2617" w:val="left" w:leader="none"/>
                          </w:tabs>
                          <w:spacing w:line="240" w:lineRule="auto" w:before="124" w:after="0"/>
                          <w:ind w:left="597" w:right="0" w:hanging="397"/>
                          <w:jc w:val="left"/>
                          <w:rPr>
                            <w:sz w:val="18"/>
                          </w:rPr>
                        </w:pPr>
                        <w:r>
                          <w:rPr>
                            <w:b/>
                            <w:spacing w:val="20"/>
                            <w:sz w:val="18"/>
                          </w:rPr>
                          <w:t>胰</w:t>
                        </w:r>
                        <w:r>
                          <w:rPr>
                            <w:b/>
                            <w:spacing w:val="22"/>
                            <w:sz w:val="18"/>
                          </w:rPr>
                          <w:t>岛</w:t>
                        </w:r>
                        <w:r>
                          <w:rPr>
                            <w:b/>
                            <w:spacing w:val="20"/>
                            <w:sz w:val="18"/>
                          </w:rPr>
                          <w:t>素依赖型糖</w:t>
                        </w:r>
                        <w:r>
                          <w:rPr>
                            <w:b/>
                            <w:spacing w:val="22"/>
                            <w:sz w:val="18"/>
                          </w:rPr>
                          <w:t>尿</w:t>
                        </w:r>
                        <w:r>
                          <w:rPr>
                            <w:b/>
                            <w:sz w:val="18"/>
                          </w:rPr>
                          <w:t>病</w:t>
                          <w:tab/>
                        </w:r>
                        <w:r>
                          <w:rPr>
                            <w:sz w:val="18"/>
                          </w:rPr>
                          <w:t>胰岛素依赖型糖尿病是由于胰岛素分泌不足引起的慢性血糖升高</w:t>
                        </w:r>
                        <w:r>
                          <w:rPr>
                            <w:spacing w:val="-36"/>
                            <w:sz w:val="18"/>
                          </w:rPr>
                          <w:t>，</w:t>
                        </w:r>
                        <w:r>
                          <w:rPr>
                            <w:sz w:val="18"/>
                          </w:rPr>
                          <w:t>并需持续性地依赖外源性胰</w:t>
                        </w:r>
                      </w:p>
                      <w:p>
                        <w:pPr>
                          <w:pStyle w:val="TableParagraph"/>
                          <w:tabs>
                            <w:tab w:pos="2617" w:val="left" w:leader="none"/>
                          </w:tabs>
                          <w:spacing w:line="316" w:lineRule="auto" w:before="76"/>
                          <w:ind w:left="2618" w:right="233" w:hanging="1999"/>
                          <w:rPr>
                            <w:sz w:val="18"/>
                          </w:rPr>
                        </w:pPr>
                        <w:r>
                          <w:rPr>
                            <w:b/>
                            <w:sz w:val="18"/>
                          </w:rPr>
                          <w:t>（Ｉ型糖尿病）</w:t>
                          <w:tab/>
                        </w:r>
                        <w:r>
                          <w:rPr>
                            <w:sz w:val="18"/>
                          </w:rPr>
                          <w:t>岛素维持</w:t>
                        </w:r>
                        <w:r>
                          <w:rPr>
                            <w:spacing w:val="-46"/>
                            <w:sz w:val="18"/>
                          </w:rPr>
                          <w:t> </w:t>
                        </w:r>
                        <w:r>
                          <w:rPr>
                            <w:sz w:val="18"/>
                          </w:rPr>
                          <w:t>180</w:t>
                        </w:r>
                        <w:r>
                          <w:rPr>
                            <w:spacing w:val="-45"/>
                            <w:sz w:val="18"/>
                          </w:rPr>
                          <w:t> </w:t>
                        </w:r>
                        <w:r>
                          <w:rPr>
                            <w:sz w:val="18"/>
                          </w:rPr>
                          <w:t>天以上</w:t>
                        </w:r>
                        <w:r>
                          <w:rPr>
                            <w:spacing w:val="-36"/>
                            <w:sz w:val="18"/>
                          </w:rPr>
                          <w:t>，</w:t>
                        </w:r>
                        <w:r>
                          <w:rPr>
                            <w:sz w:val="18"/>
                          </w:rPr>
                          <w:t>须由本公司认可的有资格的内分泌医生确诊并在本合同保险责任有效期内，满足下述至少一个条件：</w:t>
                        </w:r>
                      </w:p>
                      <w:p>
                        <w:pPr>
                          <w:pStyle w:val="TableParagraph"/>
                          <w:numPr>
                            <w:ilvl w:val="1"/>
                            <w:numId w:val="20"/>
                          </w:numPr>
                          <w:tabs>
                            <w:tab w:pos="3038" w:val="left" w:leader="none"/>
                          </w:tabs>
                          <w:spacing w:line="240" w:lineRule="auto" w:before="18" w:after="0"/>
                          <w:ind w:left="3037" w:right="0" w:hanging="419"/>
                          <w:jc w:val="left"/>
                          <w:rPr>
                            <w:sz w:val="18"/>
                          </w:rPr>
                        </w:pPr>
                        <w:r>
                          <w:rPr>
                            <w:sz w:val="18"/>
                          </w:rPr>
                          <w:t>本公司认可的内分泌医生确诊已出现增殖性视网膜病变；</w:t>
                        </w:r>
                      </w:p>
                    </w:tc>
                  </w:tr>
                  <w:tr>
                    <w:trPr>
                      <w:trHeight w:val="581" w:hRule="atLeast"/>
                    </w:trPr>
                    <w:tc>
                      <w:tcPr>
                        <w:tcW w:w="10198" w:type="dxa"/>
                      </w:tcPr>
                      <w:p>
                        <w:pPr>
                          <w:pStyle w:val="TableParagraph"/>
                          <w:spacing w:before="9"/>
                          <w:rPr>
                            <w:sz w:val="12"/>
                          </w:rPr>
                        </w:pPr>
                      </w:p>
                      <w:p>
                        <w:pPr>
                          <w:pStyle w:val="TableParagraph"/>
                          <w:ind w:left="2618"/>
                          <w:rPr>
                            <w:sz w:val="18"/>
                          </w:rPr>
                        </w:pPr>
                        <w:r>
                          <w:rPr>
                            <w:sz w:val="18"/>
                          </w:rPr>
                          <w:t>(3) 因坏疽需切除一只或以上脚趾。</w:t>
                        </w:r>
                      </w:p>
                    </w:tc>
                  </w:tr>
                  <w:tr>
                    <w:trPr>
                      <w:trHeight w:val="1517" w:hRule="atLeast"/>
                    </w:trPr>
                    <w:tc>
                      <w:tcPr>
                        <w:tcW w:w="10198" w:type="dxa"/>
                      </w:tcPr>
                      <w:p>
                        <w:pPr>
                          <w:pStyle w:val="TableParagraph"/>
                          <w:spacing w:line="316" w:lineRule="auto" w:before="124"/>
                          <w:ind w:left="2617" w:right="234" w:hanging="2418"/>
                          <w:jc w:val="both"/>
                          <w:rPr>
                            <w:sz w:val="18"/>
                          </w:rPr>
                        </w:pPr>
                        <w:r>
                          <w:rPr>
                            <w:b/>
                            <w:sz w:val="18"/>
                          </w:rPr>
                          <w:t>30</w:t>
                        </w:r>
                        <w:r>
                          <w:rPr>
                            <w:b/>
                            <w:spacing w:val="0"/>
                            <w:sz w:val="18"/>
                          </w:rPr>
                          <w:t>. 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tc>
                  </w:tr>
                  <w:tr>
                    <w:trPr>
                      <w:trHeight w:val="893" w:hRule="atLeast"/>
                    </w:trPr>
                    <w:tc>
                      <w:tcPr>
                        <w:tcW w:w="10198" w:type="dxa"/>
                      </w:tcPr>
                      <w:p>
                        <w:pPr>
                          <w:pStyle w:val="TableParagraph"/>
                          <w:spacing w:before="9"/>
                          <w:rPr>
                            <w:sz w:val="12"/>
                          </w:rPr>
                        </w:pPr>
                      </w:p>
                      <w:p>
                        <w:pPr>
                          <w:pStyle w:val="TableParagraph"/>
                          <w:spacing w:line="316" w:lineRule="auto"/>
                          <w:ind w:left="2617" w:right="177"/>
                          <w:rPr>
                            <w:sz w:val="18"/>
                          </w:rPr>
                        </w:pPr>
                        <w:r>
                          <w:rPr>
                            <w:sz w:val="18"/>
                          </w:rPr>
                          <w:t>美国纽约心脏协会分类标准心功能四级是指有医院的医疗记录显示病人不能进行任何活动，休息时仍有心悸、呼吸困难等心力衰竭表现。</w:t>
                        </w:r>
                      </w:p>
                    </w:tc>
                  </w:tr>
                  <w:tr>
                    <w:trPr>
                      <w:trHeight w:val="1295" w:hRule="atLeast"/>
                    </w:trPr>
                    <w:tc>
                      <w:tcPr>
                        <w:tcW w:w="10198" w:type="dxa"/>
                      </w:tcPr>
                      <w:p>
                        <w:pPr>
                          <w:pStyle w:val="TableParagraph"/>
                          <w:numPr>
                            <w:ilvl w:val="0"/>
                            <w:numId w:val="21"/>
                          </w:numPr>
                          <w:tabs>
                            <w:tab w:pos="598" w:val="left" w:leader="none"/>
                            <w:tab w:pos="2617" w:val="left" w:leader="none"/>
                          </w:tabs>
                          <w:spacing w:line="316" w:lineRule="auto" w:before="124" w:after="0"/>
                          <w:ind w:left="2618" w:right="197"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TableParagraph"/>
                          <w:numPr>
                            <w:ilvl w:val="1"/>
                            <w:numId w:val="21"/>
                          </w:numPr>
                          <w:tabs>
                            <w:tab w:pos="3016" w:val="left" w:leader="none"/>
                          </w:tabs>
                          <w:spacing w:line="216" w:lineRule="exact" w:before="19" w:after="0"/>
                          <w:ind w:left="3015" w:right="0" w:hanging="397"/>
                          <w:jc w:val="left"/>
                          <w:rPr>
                            <w:sz w:val="18"/>
                          </w:rPr>
                        </w:pPr>
                        <w:r>
                          <w:rPr>
                            <w:sz w:val="18"/>
                          </w:rPr>
                          <w:t>经药物、胸腺手术治疗一年以上无法控制病情，丧失正常工作能力；</w:t>
                        </w:r>
                      </w:p>
                    </w:tc>
                  </w:tr>
                </w:tbl>
                <w:p>
                  <w:pPr>
                    <w:pStyle w:val="BodyText"/>
                  </w:pPr>
                </w:p>
              </w:txbxContent>
            </v:textbox>
            <w10:wrap type="none"/>
          </v:shape>
        </w:pict>
      </w:r>
    </w:p>
    <w:p>
      <w:pPr>
        <w:pStyle w:val="BodyText"/>
        <w:spacing w:before="44"/>
        <w:ind w:left="2723"/>
      </w:pPr>
      <w:r>
        <w:rPr/>
        <w:t>理赔须经本公司认可的专科医生确认并同时具备下列情况：</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ind w:left="3143"/>
      </w:pPr>
      <w:r>
        <w:rPr/>
        <w:t>⑤  C3 补体低于正常。</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BodyText"/>
        <w:ind w:left="2723"/>
      </w:pPr>
      <w:r>
        <w:rPr/>
        <w:t>(2) 散在的身体损害的多样性；</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(2) 须植入心脏起搏器治疗心脏病；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本病须经专科医师明确诊断。继发于全身性疾病或其它器官系统疾病造成的心肌病变除外。</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ListParagraph"/>
        <w:numPr>
          <w:ilvl w:val="0"/>
          <w:numId w:val="22"/>
        </w:numPr>
        <w:tabs>
          <w:tab w:pos="3121" w:val="left" w:leader="none"/>
        </w:tabs>
        <w:spacing w:line="316" w:lineRule="auto" w:before="0" w:after="0"/>
        <w:ind w:left="3120" w:right="333"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spacing w:after="0" w:line="316" w:lineRule="auto"/>
        <w:jc w:val="left"/>
        <w:rPr>
          <w:sz w:val="18"/>
        </w:rPr>
        <w:sectPr>
          <w:pgSz w:w="11910" w:h="16840"/>
          <w:pgMar w:header="877" w:footer="981" w:top="1100" w:bottom="1180" w:left="880" w:right="620"/>
        </w:sectPr>
      </w:pPr>
    </w:p>
    <w:p>
      <w:pPr>
        <w:pStyle w:val="BodyText"/>
        <w:spacing w:before="3"/>
        <w:rPr>
          <w:sz w:val="20"/>
        </w:rPr>
      </w:pPr>
    </w:p>
    <w:p>
      <w:pPr>
        <w:pStyle w:val="ListParagraph"/>
        <w:numPr>
          <w:ilvl w:val="0"/>
          <w:numId w:val="22"/>
        </w:numPr>
        <w:tabs>
          <w:tab w:pos="2921" w:val="left" w:leader="none"/>
        </w:tabs>
        <w:spacing w:line="240" w:lineRule="auto" w:before="44" w:after="0"/>
        <w:ind w:left="2920" w:right="0" w:hanging="397"/>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23"/>
        </w:numPr>
        <w:tabs>
          <w:tab w:pos="503" w:val="left" w:leader="none"/>
          <w:tab w:pos="2523" w:val="left" w:leader="none"/>
        </w:tabs>
        <w:spacing w:line="316" w:lineRule="auto" w:before="0" w:after="0"/>
        <w:ind w:left="2523" w:right="17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80" w:right="780"/>
        </w:sectPr>
      </w:pPr>
    </w:p>
    <w:p>
      <w:pPr>
        <w:pStyle w:val="Heading2"/>
        <w:numPr>
          <w:ilvl w:val="0"/>
          <w:numId w:val="23"/>
        </w:numPr>
        <w:tabs>
          <w:tab w:pos="503" w:val="left" w:leader="none"/>
        </w:tabs>
        <w:spacing w:line="316" w:lineRule="auto" w:before="45" w:after="0"/>
        <w:ind w:left="525" w:right="0" w:hanging="420"/>
        <w:jc w:val="left"/>
      </w:pPr>
      <w:r>
        <w:rPr/>
        <w:t>急性坏死性胰腺炎</w:t>
      </w:r>
    </w:p>
    <w:p>
      <w:pPr>
        <w:pStyle w:val="BodyText"/>
        <w:spacing w:line="292" w:lineRule="auto" w:before="45"/>
        <w:ind w:left="105" w:right="138"/>
        <w:rPr>
          <w:sz w:val="21"/>
        </w:rPr>
      </w:pPr>
      <w:r>
        <w:rPr/>
        <w:br w:type="column"/>
      </w:r>
      <w:r>
        <w:rPr/>
        <w:t>由本公司指定或认可的医师确诊为急性坏死性胰腺炎，并需进行手术治疗，以进行组织清除、病灶切除或胰腺切除。但因酒精中毒所致的急性坏死性胰腺炎除外</w:t>
      </w:r>
      <w:r>
        <w:rPr>
          <w:sz w:val="21"/>
        </w:rPr>
        <w:t>。</w:t>
      </w:r>
    </w:p>
    <w:p>
      <w:pPr>
        <w:spacing w:after="0" w:line="292" w:lineRule="auto"/>
        <w:rPr>
          <w:sz w:val="21"/>
        </w:rPr>
        <w:sectPr>
          <w:type w:val="continuous"/>
          <w:pgSz w:w="11910" w:h="16840"/>
          <w:pgMar w:top="1040" w:bottom="1180" w:left="1080" w:right="780"/>
          <w:cols w:num="2" w:equalWidth="0">
            <w:col w:w="1408" w:space="1010"/>
            <w:col w:w="7632"/>
          </w:cols>
        </w:sectPr>
      </w:pPr>
    </w:p>
    <w:p>
      <w:pPr>
        <w:pStyle w:val="BodyText"/>
        <w:spacing w:before="2"/>
        <w:rPr>
          <w:sz w:val="15"/>
        </w:rPr>
      </w:pPr>
    </w:p>
    <w:p>
      <w:pPr>
        <w:pStyle w:val="ListParagraph"/>
        <w:numPr>
          <w:ilvl w:val="0"/>
          <w:numId w:val="23"/>
        </w:numPr>
        <w:tabs>
          <w:tab w:pos="503" w:val="left" w:leader="none"/>
          <w:tab w:pos="2523" w:val="left" w:leader="none"/>
        </w:tabs>
        <w:spacing w:line="316" w:lineRule="auto" w:before="45" w:after="0"/>
        <w:ind w:left="2523" w:right="174"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23"/>
        </w:numPr>
        <w:tabs>
          <w:tab w:pos="2944" w:val="left" w:leader="none"/>
        </w:tabs>
        <w:spacing w:line="240" w:lineRule="auto" w:before="19" w:after="0"/>
        <w:ind w:left="2943" w:right="0" w:hanging="420"/>
        <w:jc w:val="left"/>
        <w:rPr>
          <w:sz w:val="18"/>
        </w:rPr>
      </w:pPr>
      <w:r>
        <w:rPr>
          <w:sz w:val="18"/>
        </w:rPr>
        <w:t>家族史中有其他成员患相同疾病；</w:t>
      </w:r>
    </w:p>
    <w:p>
      <w:pPr>
        <w:pStyle w:val="ListParagraph"/>
        <w:numPr>
          <w:ilvl w:val="1"/>
          <w:numId w:val="23"/>
        </w:numPr>
        <w:tabs>
          <w:tab w:pos="2944" w:val="left" w:leader="none"/>
        </w:tabs>
        <w:spacing w:line="240" w:lineRule="auto" w:before="76" w:after="0"/>
        <w:ind w:left="2943" w:right="0" w:hanging="420"/>
        <w:jc w:val="left"/>
        <w:rPr>
          <w:sz w:val="18"/>
        </w:rPr>
      </w:pPr>
      <w:r>
        <w:rPr>
          <w:sz w:val="18"/>
        </w:rPr>
        <w:t>临床表现包括：无感觉神经紊乱，正常脑脊液及轻微腱反射的减退；</w:t>
      </w:r>
    </w:p>
    <w:p>
      <w:pPr>
        <w:pStyle w:val="ListParagraph"/>
        <w:numPr>
          <w:ilvl w:val="1"/>
          <w:numId w:val="23"/>
        </w:numPr>
        <w:tabs>
          <w:tab w:pos="2944" w:val="left" w:leader="none"/>
        </w:tabs>
        <w:spacing w:line="240" w:lineRule="auto" w:before="76" w:after="0"/>
        <w:ind w:left="2943" w:right="0" w:hanging="420"/>
        <w:jc w:val="left"/>
        <w:rPr>
          <w:sz w:val="18"/>
        </w:rPr>
      </w:pPr>
      <w:r>
        <w:rPr>
          <w:sz w:val="18"/>
        </w:rPr>
        <w:t>典型的肌电图；</w:t>
      </w:r>
    </w:p>
    <w:p>
      <w:pPr>
        <w:pStyle w:val="ListParagraph"/>
        <w:numPr>
          <w:ilvl w:val="1"/>
          <w:numId w:val="23"/>
        </w:numPr>
        <w:tabs>
          <w:tab w:pos="2974" w:val="left" w:leader="none"/>
        </w:tabs>
        <w:spacing w:line="240" w:lineRule="auto" w:before="76" w:after="0"/>
        <w:ind w:left="2973" w:right="0" w:hanging="450"/>
        <w:jc w:val="left"/>
        <w:rPr>
          <w:sz w:val="18"/>
        </w:rPr>
      </w:pPr>
      <w:r>
        <w:rPr>
          <w:sz w:val="18"/>
        </w:rPr>
        <w:t>临床推测必须有肌肉或组织检查加以证实。</w:t>
      </w:r>
    </w:p>
    <w:p>
      <w:pPr>
        <w:pStyle w:val="BodyText"/>
        <w:spacing w:before="1"/>
        <w:rPr>
          <w:sz w:val="23"/>
        </w:rPr>
      </w:pPr>
    </w:p>
    <w:p>
      <w:pPr>
        <w:pStyle w:val="ListParagraph"/>
        <w:numPr>
          <w:ilvl w:val="0"/>
          <w:numId w:val="23"/>
        </w:numPr>
        <w:tabs>
          <w:tab w:pos="503" w:val="left" w:leader="none"/>
          <w:tab w:pos="2523" w:val="left" w:leader="none"/>
        </w:tabs>
        <w:spacing w:line="316" w:lineRule="auto" w:before="0" w:after="0"/>
        <w:ind w:left="2523" w:right="174"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ListParagraph"/>
        <w:numPr>
          <w:ilvl w:val="1"/>
          <w:numId w:val="23"/>
        </w:numPr>
        <w:tabs>
          <w:tab w:pos="2884" w:val="left" w:leader="none"/>
        </w:tabs>
        <w:spacing w:line="240" w:lineRule="auto" w:before="18" w:after="0"/>
        <w:ind w:left="2883"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23"/>
        </w:numPr>
        <w:tabs>
          <w:tab w:pos="2884" w:val="left" w:leader="none"/>
        </w:tabs>
        <w:spacing w:line="240" w:lineRule="auto" w:before="76" w:after="0"/>
        <w:ind w:left="2883" w:right="0" w:hanging="360"/>
        <w:jc w:val="left"/>
        <w:rPr>
          <w:sz w:val="18"/>
        </w:rPr>
      </w:pPr>
      <w:r>
        <w:rPr>
          <w:sz w:val="18"/>
        </w:rPr>
        <w:t>病人缺氧必须广泛而持续地进行输氧治疗；</w:t>
      </w:r>
    </w:p>
    <w:p>
      <w:pPr>
        <w:pStyle w:val="ListParagraph"/>
        <w:numPr>
          <w:ilvl w:val="1"/>
          <w:numId w:val="23"/>
        </w:numPr>
        <w:tabs>
          <w:tab w:pos="2884" w:val="left" w:leader="none"/>
        </w:tabs>
        <w:spacing w:line="240" w:lineRule="auto" w:before="76" w:after="0"/>
        <w:ind w:left="2883" w:right="0" w:hanging="360"/>
        <w:jc w:val="left"/>
        <w:rPr>
          <w:sz w:val="18"/>
        </w:rPr>
      </w:pPr>
      <w:r>
        <w:rPr>
          <w:spacing w:val="-4"/>
          <w:sz w:val="18"/>
        </w:rPr>
        <w:t>动脉血气分析氧分压低于 </w:t>
      </w:r>
      <w:r>
        <w:rPr>
          <w:sz w:val="18"/>
        </w:rPr>
        <w:t>55mmHg。</w:t>
      </w:r>
    </w:p>
    <w:p>
      <w:pPr>
        <w:pStyle w:val="BodyText"/>
        <w:spacing w:before="76"/>
        <w:ind w:left="2523"/>
      </w:pPr>
      <w:r>
        <w:rPr/>
        <w:t>理赔时必须提供以上各项中相应的医院证明文件或检查报告。</w:t>
      </w:r>
    </w:p>
    <w:p>
      <w:pPr>
        <w:pStyle w:val="BodyText"/>
        <w:spacing w:before="9"/>
        <w:rPr>
          <w:sz w:val="19"/>
        </w:rPr>
      </w:pPr>
    </w:p>
    <w:p>
      <w:pPr>
        <w:spacing w:after="0"/>
        <w:rPr>
          <w:sz w:val="19"/>
        </w:rPr>
        <w:sectPr>
          <w:type w:val="continuous"/>
          <w:pgSz w:w="11910" w:h="16840"/>
          <w:pgMar w:top="1040" w:bottom="1180" w:left="1080" w:right="780"/>
        </w:sectPr>
      </w:pPr>
    </w:p>
    <w:p>
      <w:pPr>
        <w:pStyle w:val="Heading2"/>
        <w:numPr>
          <w:ilvl w:val="0"/>
          <w:numId w:val="23"/>
        </w:numPr>
        <w:tabs>
          <w:tab w:pos="503" w:val="left" w:leader="none"/>
        </w:tabs>
        <w:spacing w:line="316" w:lineRule="auto" w:before="45" w:after="0"/>
        <w:ind w:left="525" w:right="0" w:hanging="420"/>
        <w:jc w:val="left"/>
      </w:pPr>
      <w:r>
        <w:rPr>
          <w:spacing w:val="17"/>
        </w:rPr>
        <w:t>经输血感染艾滋病病毒</w:t>
      </w:r>
    </w:p>
    <w:p>
      <w:pPr>
        <w:pStyle w:val="BodyText"/>
        <w:spacing w:before="45"/>
        <w:ind w:left="105"/>
      </w:pPr>
      <w:r>
        <w:rPr/>
        <w:br w:type="column"/>
      </w:r>
      <w:r>
        <w:rPr/>
        <w:t>因输血而被艾滋病病毒（HIV）感染或成为艾滋病患者（AIDS</w:t>
      </w:r>
      <w:r>
        <w:rPr>
          <w:spacing w:val="-90"/>
        </w:rPr>
        <w:t>）</w:t>
      </w:r>
      <w:r>
        <w:rPr/>
        <w:t>，需要满足下列所有条件：</w:t>
      </w:r>
    </w:p>
    <w:p>
      <w:pPr>
        <w:pStyle w:val="ListParagraph"/>
        <w:numPr>
          <w:ilvl w:val="0"/>
          <w:numId w:val="24"/>
        </w:numPr>
        <w:tabs>
          <w:tab w:pos="503" w:val="left" w:leader="none"/>
        </w:tabs>
        <w:spacing w:line="316" w:lineRule="auto" w:before="76" w:after="0"/>
        <w:ind w:left="502" w:right="281" w:hanging="397"/>
        <w:jc w:val="left"/>
        <w:rPr>
          <w:sz w:val="18"/>
        </w:rPr>
      </w:pPr>
      <w:r>
        <w:rPr>
          <w:sz w:val="18"/>
        </w:rPr>
        <w:t>感染是由于必要的医疗性输血引起的，且医疗性输血是在保单生效日后或复效日后发生的；</w:t>
      </w:r>
    </w:p>
    <w:p>
      <w:pPr>
        <w:pStyle w:val="ListParagraph"/>
        <w:numPr>
          <w:ilvl w:val="0"/>
          <w:numId w:val="24"/>
        </w:numPr>
        <w:tabs>
          <w:tab w:pos="503" w:val="left" w:leader="none"/>
        </w:tabs>
        <w:spacing w:line="240" w:lineRule="auto" w:before="19" w:after="0"/>
        <w:ind w:left="502" w:right="0" w:hanging="397"/>
        <w:jc w:val="left"/>
        <w:rPr>
          <w:sz w:val="18"/>
        </w:rPr>
      </w:pPr>
      <w:r>
        <w:rPr>
          <w:sz w:val="18"/>
        </w:rPr>
        <w:t>提供输血的医疗机构承认该项输血感染为医疗责任事故；</w:t>
      </w:r>
    </w:p>
    <w:p>
      <w:pPr>
        <w:pStyle w:val="ListParagraph"/>
        <w:numPr>
          <w:ilvl w:val="0"/>
          <w:numId w:val="24"/>
        </w:numPr>
        <w:tabs>
          <w:tab w:pos="503" w:val="left" w:leader="none"/>
        </w:tabs>
        <w:spacing w:line="240" w:lineRule="auto" w:before="76" w:after="0"/>
        <w:ind w:left="502" w:right="0" w:hanging="397"/>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80"/>
          <w:cols w:num="2" w:equalWidth="0">
            <w:col w:w="2308" w:space="110"/>
            <w:col w:w="7632"/>
          </w:cols>
        </w:sectPr>
      </w:pPr>
    </w:p>
    <w:p>
      <w:pPr>
        <w:pStyle w:val="BodyText"/>
        <w:spacing w:before="10"/>
        <w:rPr>
          <w:sz w:val="19"/>
        </w:rPr>
      </w:pPr>
    </w:p>
    <w:p>
      <w:pPr>
        <w:pStyle w:val="ListParagraph"/>
        <w:numPr>
          <w:ilvl w:val="0"/>
          <w:numId w:val="23"/>
        </w:numPr>
        <w:tabs>
          <w:tab w:pos="503" w:val="left" w:leader="none"/>
          <w:tab w:pos="2523" w:val="left" w:leader="none"/>
        </w:tabs>
        <w:spacing w:line="240" w:lineRule="auto" w:before="45" w:after="0"/>
        <w:ind w:left="2523" w:right="0" w:hanging="2418"/>
        <w:jc w:val="left"/>
        <w:rPr>
          <w:sz w:val="18"/>
        </w:rPr>
      </w:pPr>
      <w:r>
        <w:rPr>
          <w:b/>
          <w:sz w:val="18"/>
        </w:rPr>
        <w:t>严重类风湿性关节炎</w:t>
        <w:tab/>
      </w:r>
      <w:r>
        <w:rPr>
          <w:sz w:val="18"/>
        </w:rPr>
        <w:t>是指类风湿性关节炎患者符合以下三项标准的：</w:t>
      </w:r>
    </w:p>
    <w:p>
      <w:pPr>
        <w:pStyle w:val="ListParagraph"/>
        <w:numPr>
          <w:ilvl w:val="1"/>
          <w:numId w:val="23"/>
        </w:numPr>
        <w:tabs>
          <w:tab w:pos="2921" w:val="left" w:leader="none"/>
        </w:tabs>
        <w:spacing w:line="316" w:lineRule="auto" w:before="76" w:after="0"/>
        <w:ind w:left="2920" w:right="191" w:hanging="397"/>
        <w:jc w:val="left"/>
        <w:rPr>
          <w:sz w:val="18"/>
        </w:rPr>
      </w:pPr>
      <w:r>
        <w:rPr>
          <w:sz w:val="18"/>
        </w:rPr>
        <w:t>至少包括下列关节中的三组或以上有广泛受损和畸形改变:手指关节、腕关节、肘关节、膝关节、髋关节、踝关节、脊椎或脚趾关节；</w:t>
      </w:r>
    </w:p>
    <w:p>
      <w:pPr>
        <w:pStyle w:val="ListParagraph"/>
        <w:numPr>
          <w:ilvl w:val="1"/>
          <w:numId w:val="23"/>
        </w:numPr>
        <w:tabs>
          <w:tab w:pos="2921" w:val="left" w:leader="none"/>
        </w:tabs>
        <w:spacing w:line="316" w:lineRule="auto" w:before="18" w:after="0"/>
        <w:ind w:left="2920" w:right="112" w:hanging="397"/>
        <w:jc w:val="left"/>
        <w:rPr>
          <w:sz w:val="18"/>
        </w:rPr>
      </w:pPr>
      <w:r>
        <w:rPr>
          <w:spacing w:val="5"/>
          <w:sz w:val="18"/>
        </w:rPr>
        <w:t>手和腕的后前位</w:t>
      </w:r>
      <w:r>
        <w:rPr>
          <w:sz w:val="18"/>
        </w:rPr>
        <w:t>X</w:t>
      </w:r>
      <w:r>
        <w:rPr>
          <w:spacing w:val="-8"/>
          <w:sz w:val="18"/>
        </w:rPr>
        <w:t> 线拍片检查可见类风湿性关节炎的典型变化，包括骨质侵蚀或钙流失， 位于受累关节及其邻近部位尤其明显；</w:t>
      </w:r>
    </w:p>
    <w:p>
      <w:pPr>
        <w:pStyle w:val="ListParagraph"/>
        <w:numPr>
          <w:ilvl w:val="1"/>
          <w:numId w:val="23"/>
        </w:numPr>
        <w:tabs>
          <w:tab w:pos="2921" w:val="left" w:leader="none"/>
        </w:tabs>
        <w:spacing w:line="240" w:lineRule="auto" w:before="18" w:after="0"/>
        <w:ind w:left="2920" w:right="0" w:hanging="397"/>
        <w:jc w:val="left"/>
        <w:rPr>
          <w:sz w:val="18"/>
        </w:rPr>
      </w:pPr>
      <w:r>
        <w:rPr>
          <w:spacing w:val="-4"/>
          <w:sz w:val="18"/>
        </w:rPr>
        <w:t>关节的畸形改变至少持续 </w:t>
      </w:r>
      <w:r>
        <w:rPr>
          <w:sz w:val="18"/>
        </w:rPr>
        <w:t>6</w:t>
      </w:r>
      <w:r>
        <w:rPr>
          <w:spacing w:val="-12"/>
          <w:sz w:val="18"/>
        </w:rPr>
        <w:t> 个月。</w:t>
      </w:r>
    </w:p>
    <w:p>
      <w:pPr>
        <w:pStyle w:val="BodyText"/>
        <w:spacing w:line="316" w:lineRule="auto" w:before="76"/>
        <w:ind w:left="2523" w:right="133"/>
      </w:pPr>
      <w:r>
        <w:rPr/>
        <w:t>类风湿性关节炎系指以关节滑膜炎为特征的慢性全身性自身免疫性疾病，诊断必须符合国际认可的该疾病的诊断标准。</w:t>
      </w:r>
    </w:p>
    <w:p>
      <w:pPr>
        <w:pStyle w:val="BodyText"/>
        <w:spacing w:before="10"/>
      </w:pPr>
    </w:p>
    <w:p>
      <w:pPr>
        <w:pStyle w:val="ListParagraph"/>
        <w:numPr>
          <w:ilvl w:val="0"/>
          <w:numId w:val="23"/>
        </w:numPr>
        <w:tabs>
          <w:tab w:pos="503" w:val="left" w:leader="none"/>
          <w:tab w:pos="2523" w:val="left" w:leader="none"/>
        </w:tabs>
        <w:spacing w:line="240" w:lineRule="auto" w:before="0" w:after="0"/>
        <w:ind w:left="2523" w:right="0" w:hanging="2418"/>
        <w:jc w:val="left"/>
        <w:rPr>
          <w:sz w:val="18"/>
        </w:rPr>
      </w:pPr>
      <w:r>
        <w:rPr>
          <w:b/>
          <w:sz w:val="18"/>
        </w:rPr>
        <w:t>肾髓质囊性病</w:t>
        <w:tab/>
      </w:r>
      <w:r>
        <w:rPr>
          <w:sz w:val="18"/>
        </w:rPr>
        <w:t>肾髓质囊性病的诊断必须同时符合下列要求：</w:t>
      </w:r>
    </w:p>
    <w:p>
      <w:pPr>
        <w:pStyle w:val="ListParagraph"/>
        <w:numPr>
          <w:ilvl w:val="1"/>
          <w:numId w:val="23"/>
        </w:numPr>
        <w:tabs>
          <w:tab w:pos="2944" w:val="left" w:leader="none"/>
        </w:tabs>
        <w:spacing w:line="240" w:lineRule="auto" w:before="76" w:after="0"/>
        <w:ind w:left="2943" w:right="0" w:hanging="420"/>
        <w:jc w:val="left"/>
        <w:rPr>
          <w:sz w:val="18"/>
        </w:rPr>
      </w:pPr>
      <w:r>
        <w:rPr>
          <w:sz w:val="18"/>
        </w:rPr>
        <w:t>肾髓质有囊肿、肾小管萎缩及间质纤维化等病理改变；</w:t>
      </w:r>
    </w:p>
    <w:p>
      <w:pPr>
        <w:pStyle w:val="ListParagraph"/>
        <w:numPr>
          <w:ilvl w:val="1"/>
          <w:numId w:val="23"/>
        </w:numPr>
        <w:tabs>
          <w:tab w:pos="2944" w:val="left" w:leader="none"/>
        </w:tabs>
        <w:spacing w:line="240" w:lineRule="auto" w:before="76" w:after="0"/>
        <w:ind w:left="2943" w:right="0" w:hanging="420"/>
        <w:jc w:val="left"/>
        <w:rPr>
          <w:sz w:val="18"/>
        </w:rPr>
      </w:pPr>
      <w:r>
        <w:rPr>
          <w:sz w:val="18"/>
        </w:rPr>
        <w:t>贫血、多尿及肾功能衰竭等临床表现；</w:t>
      </w:r>
    </w:p>
    <w:p>
      <w:pPr>
        <w:pStyle w:val="ListParagraph"/>
        <w:numPr>
          <w:ilvl w:val="1"/>
          <w:numId w:val="23"/>
        </w:numPr>
        <w:tabs>
          <w:tab w:pos="2944" w:val="left" w:leader="none"/>
        </w:tabs>
        <w:spacing w:line="240" w:lineRule="auto" w:before="76" w:after="0"/>
        <w:ind w:left="2943" w:right="0" w:hanging="420"/>
        <w:jc w:val="left"/>
        <w:rPr>
          <w:sz w:val="18"/>
        </w:rPr>
      </w:pPr>
      <w:r>
        <w:rPr>
          <w:sz w:val="18"/>
        </w:rPr>
        <w:t>诊断须由肾组织活检确定。</w:t>
      </w:r>
    </w:p>
    <w:p>
      <w:pPr>
        <w:pStyle w:val="BodyText"/>
        <w:spacing w:before="1"/>
        <w:rPr>
          <w:sz w:val="23"/>
        </w:rPr>
      </w:pPr>
    </w:p>
    <w:p>
      <w:pPr>
        <w:pStyle w:val="ListParagraph"/>
        <w:numPr>
          <w:ilvl w:val="0"/>
          <w:numId w:val="23"/>
        </w:numPr>
        <w:tabs>
          <w:tab w:pos="503" w:val="left" w:leader="none"/>
        </w:tabs>
        <w:spacing w:line="316" w:lineRule="auto" w:before="1" w:after="0"/>
        <w:ind w:left="2523" w:right="173" w:hanging="2418"/>
        <w:jc w:val="both"/>
        <w:rPr>
          <w:sz w:val="18"/>
        </w:rPr>
      </w:pPr>
      <w:r>
        <w:rPr>
          <w:b/>
          <w:spacing w:val="0"/>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spacing w:after="0" w:line="316" w:lineRule="auto"/>
        <w:jc w:val="both"/>
        <w:rPr>
          <w:sz w:val="18"/>
        </w:rPr>
        <w:sectPr>
          <w:type w:val="continuous"/>
          <w:pgSz w:w="11910" w:h="16840"/>
          <w:pgMar w:top="1040" w:bottom="1180" w:left="1080" w:right="780"/>
        </w:sectPr>
      </w:pPr>
    </w:p>
    <w:p>
      <w:pPr>
        <w:pStyle w:val="BodyText"/>
        <w:spacing w:before="3"/>
        <w:rPr>
          <w:sz w:val="20"/>
        </w:rPr>
      </w:pPr>
    </w:p>
    <w:p>
      <w:pPr>
        <w:pStyle w:val="ListParagraph"/>
        <w:numPr>
          <w:ilvl w:val="0"/>
          <w:numId w:val="23"/>
        </w:numPr>
        <w:tabs>
          <w:tab w:pos="503" w:val="left" w:leader="none"/>
          <w:tab w:pos="2523" w:val="left" w:leader="none"/>
        </w:tabs>
        <w:spacing w:line="240" w:lineRule="auto" w:before="44" w:after="0"/>
        <w:ind w:left="2523" w:right="0" w:hanging="2418"/>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1"/>
        <w:rPr>
          <w:sz w:val="23"/>
        </w:rPr>
      </w:pPr>
    </w:p>
    <w:p>
      <w:pPr>
        <w:pStyle w:val="BodyText"/>
        <w:ind w:left="224"/>
      </w:pPr>
      <w:r>
        <w:rPr/>
        <w:t>注：</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spacing w:before="76"/>
        <w:ind w:left="644"/>
      </w:pPr>
      <w:r>
        <w:rPr/>
        <w:t>专科医生应当同时满足以下四项资格条件：</w:t>
      </w:r>
    </w:p>
    <w:p>
      <w:pPr>
        <w:pStyle w:val="ListParagraph"/>
        <w:numPr>
          <w:ilvl w:val="1"/>
          <w:numId w:val="25"/>
        </w:numPr>
        <w:tabs>
          <w:tab w:pos="1005" w:val="left" w:leader="none"/>
        </w:tabs>
        <w:spacing w:line="240" w:lineRule="auto" w:before="76" w:after="0"/>
        <w:ind w:left="1004" w:right="0" w:hanging="360"/>
        <w:jc w:val="left"/>
        <w:rPr>
          <w:sz w:val="18"/>
        </w:rPr>
      </w:pPr>
      <w:r>
        <w:rPr>
          <w:spacing w:val="-5"/>
          <w:sz w:val="18"/>
        </w:rPr>
        <w:t>具有有效的中华人民共和国《医师资格证书》；</w:t>
      </w:r>
    </w:p>
    <w:p>
      <w:pPr>
        <w:pStyle w:val="ListParagraph"/>
        <w:numPr>
          <w:ilvl w:val="1"/>
          <w:numId w:val="25"/>
        </w:numPr>
        <w:tabs>
          <w:tab w:pos="1005" w:val="left" w:leader="none"/>
        </w:tabs>
        <w:spacing w:line="240" w:lineRule="auto" w:before="76" w:after="0"/>
        <w:ind w:left="1004" w:right="0" w:hanging="360"/>
        <w:jc w:val="left"/>
        <w:rPr>
          <w:sz w:val="18"/>
        </w:rPr>
      </w:pPr>
      <w:r>
        <w:rPr>
          <w:spacing w:val="-5"/>
          <w:sz w:val="18"/>
        </w:rPr>
        <w:t>具有有效的中华人民共和国《医师执业证书》，并按期到相关部门登记注册；</w:t>
      </w:r>
    </w:p>
    <w:p>
      <w:pPr>
        <w:pStyle w:val="ListParagraph"/>
        <w:numPr>
          <w:ilvl w:val="1"/>
          <w:numId w:val="25"/>
        </w:numPr>
        <w:tabs>
          <w:tab w:pos="1005" w:val="left" w:leader="none"/>
        </w:tabs>
        <w:spacing w:line="240" w:lineRule="auto" w:before="76" w:after="0"/>
        <w:ind w:left="1004" w:right="0" w:hanging="360"/>
        <w:jc w:val="left"/>
        <w:rPr>
          <w:sz w:val="18"/>
        </w:rPr>
      </w:pPr>
      <w:r>
        <w:rPr>
          <w:spacing w:val="-3"/>
          <w:sz w:val="18"/>
        </w:rPr>
        <w:t>具有有效的中华人民共和国主治医师或主治医师以上职称的《医师职称证书》；</w:t>
      </w:r>
    </w:p>
    <w:p>
      <w:pPr>
        <w:pStyle w:val="ListParagraph"/>
        <w:numPr>
          <w:ilvl w:val="1"/>
          <w:numId w:val="25"/>
        </w:numPr>
        <w:tabs>
          <w:tab w:pos="1005" w:val="left" w:leader="none"/>
        </w:tabs>
        <w:spacing w:line="240" w:lineRule="auto" w:before="76" w:after="0"/>
        <w:ind w:left="1004" w:right="0" w:hanging="360"/>
        <w:jc w:val="left"/>
        <w:rPr>
          <w:sz w:val="18"/>
        </w:rPr>
      </w:pPr>
      <w:r>
        <w:rPr>
          <w:sz w:val="18"/>
        </w:rPr>
        <w:t>在二级或二级以上医院的相应科室从事临床工作三年以上。</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spacing w:before="76"/>
        <w:ind w:left="644"/>
      </w:pPr>
      <w:r>
        <w:rPr>
          <w:spacing w:val="-8"/>
        </w:rPr>
        <w:t>指肢体的三大关节中的两大关节僵硬，或不能随意识活动。肢体是指包括肩关节的整个上肢或包括髋关节的整个下肢。</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spacing w:before="76"/>
        <w:ind w:left="644"/>
      </w:pPr>
      <w:r>
        <w:rPr/>
        <w:t>指因牙齿以外的原因导致器质障碍或机能障碍，以致不能作咀嚼吞咽运动，除流质食物外不能摄取或吞咽的状态。</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before="76"/>
        <w:ind w:left="644" w:right="120"/>
      </w:pPr>
      <w:r>
        <w:rPr/>
        <w:t>指无法发出四种语音（包括口唇音、齿舌音、口盖音和喉头音）中的任何三种、或声带全部切除，或因大脑语言中枢受伤害而患失语症。</w:t>
      </w:r>
    </w:p>
    <w:p>
      <w:pPr>
        <w:pStyle w:val="ListParagraph"/>
        <w:numPr>
          <w:ilvl w:val="0"/>
          <w:numId w:val="25"/>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1"/>
          <w:numId w:val="25"/>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0"/>
          <w:numId w:val="25"/>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spacing w:before="76"/>
        <w:ind w:left="644"/>
      </w:pPr>
      <w:r>
        <w:rPr/>
        <w:t>指自疾病确诊或意外伤害发生之日起，经过积极治疗 180 天后，仍无法通过现有医疗手段恢复。</w:t>
      </w:r>
    </w:p>
    <w:sectPr>
      <w:pgSz w:w="11910" w:h="16840"/>
      <w:pgMar w:header="877" w:footer="981" w:top="1100" w:bottom="1180" w:left="10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6997pt;margin-top:781.956604pt;width:28.95pt;height:12pt;mso-position-horizontal-relative:page;mso-position-vertical-relative:page;z-index:-2548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25264"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55pt;height:11pt;mso-position-horizontal-relative:page;mso-position-vertical-relative:page;z-index:-25528" type="#_x0000_t202" filled="false" stroked="false">
          <v:textbox inset="0,0,0,0">
            <w:txbxContent>
              <w:p>
                <w:pPr>
                  <w:pStyle w:val="BodyText"/>
                  <w:spacing w:line="200" w:lineRule="exact"/>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2550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56" from="63.720001pt,55.619999pt" to="543.000001pt,55.619999pt" stroked="true" strokeweight=".72pt" strokecolor="#000000">
          <v:stroke dashstyle="solid"/>
          <w10:wrap type="none"/>
        </v:line>
      </w:pict>
    </w:r>
    <w:r>
      <w:rPr/>
      <w:pict>
        <v:shape style="position:absolute;margin-left:64.220001pt;margin-top:42.865326pt;width:155pt;height:11pt;mso-position-horizontal-relative:page;mso-position-vertical-relative:page;z-index:-25432" type="#_x0000_t202" filled="false" stroked="false">
          <v:textbox inset="0,0,0,0">
            <w:txbxContent>
              <w:p>
                <w:pPr>
                  <w:pStyle w:val="BodyText"/>
                  <w:spacing w:line="200" w:lineRule="exact"/>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2540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55pt;height:11pt;mso-position-horizontal-relative:page;mso-position-vertical-relative:page;z-index:-25384" type="#_x0000_t202" filled="false" stroked="false">
          <v:textbox inset="0,0,0,0">
            <w:txbxContent>
              <w:p>
                <w:pPr>
                  <w:pStyle w:val="BodyText"/>
                  <w:spacing w:line="200" w:lineRule="exact"/>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2536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6" from="63.720001pt,55.619999pt" to="543.000001pt,55.619999pt" stroked="true" strokeweight=".72pt" strokecolor="#000000">
          <v:stroke dashstyle="solid"/>
          <w10:wrap type="none"/>
        </v:line>
      </w:pict>
    </w:r>
    <w:r>
      <w:rPr/>
      <w:pict>
        <v:shape style="position:absolute;margin-left:64.220001pt;margin-top:42.865326pt;width:155pt;height:11pt;mso-position-horizontal-relative:page;mso-position-vertical-relative:page;z-index:-25312" type="#_x0000_t202" filled="false" stroked="false">
          <v:textbox inset="0,0,0,0">
            <w:txbxContent>
              <w:p>
                <w:pPr>
                  <w:pStyle w:val="BodyText"/>
                  <w:spacing w:line="200" w:lineRule="exact"/>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252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1"/>
      <w:numFmt w:val="decimal"/>
      <w:lvlText w:val="(%2)"/>
      <w:lvlJc w:val="left"/>
      <w:pPr>
        <w:ind w:left="1004" w:hanging="360"/>
        <w:jc w:val="left"/>
      </w:pPr>
      <w:rPr>
        <w:rFonts w:hint="default" w:ascii="宋体" w:hAnsi="宋体" w:eastAsia="宋体" w:cs="宋体"/>
        <w:spacing w:val="-90"/>
        <w:w w:val="100"/>
        <w:sz w:val="18"/>
        <w:szCs w:val="18"/>
      </w:rPr>
    </w:lvl>
    <w:lvl w:ilvl="2">
      <w:start w:val="0"/>
      <w:numFmt w:val="bullet"/>
      <w:lvlText w:val="•"/>
      <w:lvlJc w:val="left"/>
      <w:pPr>
        <w:ind w:left="1060" w:hanging="360"/>
      </w:pPr>
      <w:rPr>
        <w:rFonts w:hint="default"/>
      </w:rPr>
    </w:lvl>
    <w:lvl w:ilvl="3">
      <w:start w:val="0"/>
      <w:numFmt w:val="bullet"/>
      <w:lvlText w:val="•"/>
      <w:lvlJc w:val="left"/>
      <w:pPr>
        <w:ind w:left="2170" w:hanging="360"/>
      </w:pPr>
      <w:rPr>
        <w:rFonts w:hint="default"/>
      </w:rPr>
    </w:lvl>
    <w:lvl w:ilvl="4">
      <w:start w:val="0"/>
      <w:numFmt w:val="bullet"/>
      <w:lvlText w:val="•"/>
      <w:lvlJc w:val="left"/>
      <w:pPr>
        <w:ind w:left="3281" w:hanging="360"/>
      </w:pPr>
      <w:rPr>
        <w:rFonts w:hint="default"/>
      </w:rPr>
    </w:lvl>
    <w:lvl w:ilvl="5">
      <w:start w:val="0"/>
      <w:numFmt w:val="bullet"/>
      <w:lvlText w:val="•"/>
      <w:lvlJc w:val="left"/>
      <w:pPr>
        <w:ind w:left="4391" w:hanging="360"/>
      </w:pPr>
      <w:rPr>
        <w:rFonts w:hint="default"/>
      </w:rPr>
    </w:lvl>
    <w:lvl w:ilvl="6">
      <w:start w:val="0"/>
      <w:numFmt w:val="bullet"/>
      <w:lvlText w:val="•"/>
      <w:lvlJc w:val="left"/>
      <w:pPr>
        <w:ind w:left="5502"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723" w:hanging="360"/>
      </w:pPr>
      <w:rPr>
        <w:rFonts w:hint="default"/>
      </w:rPr>
    </w:lvl>
  </w:abstractNum>
  <w:abstractNum w:abstractNumId="23">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12" w:hanging="398"/>
      </w:pPr>
      <w:rPr>
        <w:rFonts w:hint="default"/>
      </w:rPr>
    </w:lvl>
    <w:lvl w:ilvl="2">
      <w:start w:val="0"/>
      <w:numFmt w:val="bullet"/>
      <w:lvlText w:val="•"/>
      <w:lvlJc w:val="left"/>
      <w:pPr>
        <w:ind w:left="1925" w:hanging="398"/>
      </w:pPr>
      <w:rPr>
        <w:rFonts w:hint="default"/>
      </w:rPr>
    </w:lvl>
    <w:lvl w:ilvl="3">
      <w:start w:val="0"/>
      <w:numFmt w:val="bullet"/>
      <w:lvlText w:val="•"/>
      <w:lvlJc w:val="left"/>
      <w:pPr>
        <w:ind w:left="2637" w:hanging="398"/>
      </w:pPr>
      <w:rPr>
        <w:rFonts w:hint="default"/>
      </w:rPr>
    </w:lvl>
    <w:lvl w:ilvl="4">
      <w:start w:val="0"/>
      <w:numFmt w:val="bullet"/>
      <w:lvlText w:val="•"/>
      <w:lvlJc w:val="left"/>
      <w:pPr>
        <w:ind w:left="3350" w:hanging="398"/>
      </w:pPr>
      <w:rPr>
        <w:rFonts w:hint="default"/>
      </w:rPr>
    </w:lvl>
    <w:lvl w:ilvl="5">
      <w:start w:val="0"/>
      <w:numFmt w:val="bullet"/>
      <w:lvlText w:val="•"/>
      <w:lvlJc w:val="left"/>
      <w:pPr>
        <w:ind w:left="4063" w:hanging="398"/>
      </w:pPr>
      <w:rPr>
        <w:rFonts w:hint="default"/>
      </w:rPr>
    </w:lvl>
    <w:lvl w:ilvl="6">
      <w:start w:val="0"/>
      <w:numFmt w:val="bullet"/>
      <w:lvlText w:val="•"/>
      <w:lvlJc w:val="left"/>
      <w:pPr>
        <w:ind w:left="4775" w:hanging="398"/>
      </w:pPr>
      <w:rPr>
        <w:rFonts w:hint="default"/>
      </w:rPr>
    </w:lvl>
    <w:lvl w:ilvl="7">
      <w:start w:val="0"/>
      <w:numFmt w:val="bullet"/>
      <w:lvlText w:val="•"/>
      <w:lvlJc w:val="left"/>
      <w:pPr>
        <w:ind w:left="5488" w:hanging="398"/>
      </w:pPr>
      <w:rPr>
        <w:rFonts w:hint="default"/>
      </w:rPr>
    </w:lvl>
    <w:lvl w:ilvl="8">
      <w:start w:val="0"/>
      <w:numFmt w:val="bullet"/>
      <w:lvlText w:val="•"/>
      <w:lvlJc w:val="left"/>
      <w:pPr>
        <w:ind w:left="6201" w:hanging="398"/>
      </w:pPr>
      <w:rPr>
        <w:rFonts w:hint="default"/>
      </w:rPr>
    </w:lvl>
  </w:abstractNum>
  <w:abstractNum w:abstractNumId="22">
    <w:multiLevelType w:val="hybridMultilevel"/>
    <w:lvl w:ilvl="0">
      <w:start w:val="32"/>
      <w:numFmt w:val="decimal"/>
      <w:lvlText w:val="%1."/>
      <w:lvlJc w:val="left"/>
      <w:pPr>
        <w:ind w:left="2523" w:hanging="398"/>
        <w:jc w:val="left"/>
      </w:pPr>
      <w:rPr>
        <w:rFonts w:hint="default" w:ascii="宋体" w:hAnsi="宋体" w:eastAsia="宋体" w:cs="宋体"/>
        <w:b/>
        <w:bCs/>
        <w:spacing w:val="0"/>
        <w:w w:val="99"/>
        <w:sz w:val="18"/>
        <w:szCs w:val="18"/>
      </w:rPr>
    </w:lvl>
    <w:lvl w:ilvl="1">
      <w:start w:val="1"/>
      <w:numFmt w:val="decimal"/>
      <w:lvlText w:val="(%2)"/>
      <w:lvlJc w:val="left"/>
      <w:pPr>
        <w:ind w:left="2943" w:hanging="420"/>
        <w:jc w:val="left"/>
      </w:pPr>
      <w:rPr>
        <w:rFonts w:hint="default" w:ascii="宋体" w:hAnsi="宋体" w:eastAsia="宋体" w:cs="宋体"/>
        <w:spacing w:val="-31"/>
        <w:w w:val="100"/>
        <w:sz w:val="18"/>
        <w:szCs w:val="18"/>
      </w:rPr>
    </w:lvl>
    <w:lvl w:ilvl="2">
      <w:start w:val="0"/>
      <w:numFmt w:val="bullet"/>
      <w:lvlText w:val="•"/>
      <w:lvlJc w:val="left"/>
      <w:pPr>
        <w:ind w:left="2920" w:hanging="420"/>
      </w:pPr>
      <w:rPr>
        <w:rFonts w:hint="default"/>
      </w:rPr>
    </w:lvl>
    <w:lvl w:ilvl="3">
      <w:start w:val="0"/>
      <w:numFmt w:val="bullet"/>
      <w:lvlText w:val="•"/>
      <w:lvlJc w:val="left"/>
      <w:pPr>
        <w:ind w:left="2940"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969" w:hanging="420"/>
      </w:pPr>
      <w:rPr>
        <w:rFonts w:hint="default"/>
      </w:rPr>
    </w:lvl>
    <w:lvl w:ilvl="6">
      <w:start w:val="0"/>
      <w:numFmt w:val="bullet"/>
      <w:lvlText w:val="•"/>
      <w:lvlJc w:val="left"/>
      <w:pPr>
        <w:ind w:left="5984" w:hanging="420"/>
      </w:pPr>
      <w:rPr>
        <w:rFonts w:hint="default"/>
      </w:rPr>
    </w:lvl>
    <w:lvl w:ilvl="7">
      <w:start w:val="0"/>
      <w:numFmt w:val="bullet"/>
      <w:lvlText w:val="•"/>
      <w:lvlJc w:val="left"/>
      <w:pPr>
        <w:ind w:left="6999" w:hanging="420"/>
      </w:pPr>
      <w:rPr>
        <w:rFonts w:hint="default"/>
      </w:rPr>
    </w:lvl>
    <w:lvl w:ilvl="8">
      <w:start w:val="0"/>
      <w:numFmt w:val="bullet"/>
      <w:lvlText w:val="•"/>
      <w:lvlJc w:val="left"/>
      <w:pPr>
        <w:ind w:left="8014" w:hanging="420"/>
      </w:pPr>
      <w:rPr>
        <w:rFonts w:hint="default"/>
      </w:rPr>
    </w:lvl>
  </w:abstractNum>
  <w:abstractNum w:abstractNumId="20">
    <w:multiLevelType w:val="hybridMultilevel"/>
    <w:lvl w:ilvl="0">
      <w:start w:val="31"/>
      <w:numFmt w:val="decimal"/>
      <w:lvlText w:val="%1."/>
      <w:lvlJc w:val="left"/>
      <w:pPr>
        <w:ind w:left="2618" w:hanging="398"/>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7" w:hanging="398"/>
      </w:pPr>
      <w:rPr>
        <w:rFonts w:hint="default"/>
      </w:rPr>
    </w:lvl>
    <w:lvl w:ilvl="3">
      <w:start w:val="0"/>
      <w:numFmt w:val="bullet"/>
      <w:lvlText w:val="•"/>
      <w:lvlJc w:val="left"/>
      <w:pPr>
        <w:ind w:left="4615" w:hanging="398"/>
      </w:pPr>
      <w:rPr>
        <w:rFonts w:hint="default"/>
      </w:rPr>
    </w:lvl>
    <w:lvl w:ilvl="4">
      <w:start w:val="0"/>
      <w:numFmt w:val="bullet"/>
      <w:lvlText w:val="•"/>
      <w:lvlJc w:val="left"/>
      <w:pPr>
        <w:ind w:left="5412" w:hanging="398"/>
      </w:pPr>
      <w:rPr>
        <w:rFonts w:hint="default"/>
      </w:rPr>
    </w:lvl>
    <w:lvl w:ilvl="5">
      <w:start w:val="0"/>
      <w:numFmt w:val="bullet"/>
      <w:lvlText w:val="•"/>
      <w:lvlJc w:val="left"/>
      <w:pPr>
        <w:ind w:left="6210" w:hanging="398"/>
      </w:pPr>
      <w:rPr>
        <w:rFonts w:hint="default"/>
      </w:rPr>
    </w:lvl>
    <w:lvl w:ilvl="6">
      <w:start w:val="0"/>
      <w:numFmt w:val="bullet"/>
      <w:lvlText w:val="•"/>
      <w:lvlJc w:val="left"/>
      <w:pPr>
        <w:ind w:left="7007" w:hanging="398"/>
      </w:pPr>
      <w:rPr>
        <w:rFonts w:hint="default"/>
      </w:rPr>
    </w:lvl>
    <w:lvl w:ilvl="7">
      <w:start w:val="0"/>
      <w:numFmt w:val="bullet"/>
      <w:lvlText w:val="•"/>
      <w:lvlJc w:val="left"/>
      <w:pPr>
        <w:ind w:left="7805" w:hanging="398"/>
      </w:pPr>
      <w:rPr>
        <w:rFonts w:hint="default"/>
      </w:rPr>
    </w:lvl>
    <w:lvl w:ilvl="8">
      <w:start w:val="0"/>
      <w:numFmt w:val="bullet"/>
      <w:lvlText w:val="•"/>
      <w:lvlJc w:val="left"/>
      <w:pPr>
        <w:ind w:left="8602" w:hanging="398"/>
      </w:pPr>
      <w:rPr>
        <w:rFonts w:hint="default"/>
      </w:rPr>
    </w:lvl>
  </w:abstractNum>
  <w:abstractNum w:abstractNumId="19">
    <w:multiLevelType w:val="hybridMultilevel"/>
    <w:lvl w:ilvl="0">
      <w:start w:val="29"/>
      <w:numFmt w:val="decimal"/>
      <w:lvlText w:val="%1."/>
      <w:lvlJc w:val="left"/>
      <w:pPr>
        <w:ind w:left="597" w:hanging="398"/>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8">
    <w:multiLevelType w:val="hybridMultilevel"/>
    <w:lvl w:ilvl="0">
      <w:start w:val="28"/>
      <w:numFmt w:val="decimal"/>
      <w:lvlText w:val="%1."/>
      <w:lvlJc w:val="left"/>
      <w:pPr>
        <w:ind w:left="2618" w:hanging="398"/>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7">
    <w:multiLevelType w:val="hybridMultilevel"/>
    <w:lvl w:ilvl="0">
      <w:start w:val="1"/>
      <w:numFmt w:val="decimal"/>
      <w:lvlText w:val="(%1)"/>
      <w:lvlJc w:val="left"/>
      <w:pPr>
        <w:ind w:left="3037" w:hanging="420"/>
        <w:jc w:val="left"/>
      </w:pPr>
      <w:rPr>
        <w:rFonts w:hint="default" w:ascii="宋体" w:hAnsi="宋体" w:eastAsia="宋体" w:cs="宋体"/>
        <w:spacing w:val="-31"/>
        <w:w w:val="100"/>
        <w:sz w:val="18"/>
        <w:szCs w:val="18"/>
      </w:rPr>
    </w:lvl>
    <w:lvl w:ilvl="1">
      <w:start w:val="0"/>
      <w:numFmt w:val="bullet"/>
      <w:lvlText w:val="•"/>
      <w:lvlJc w:val="left"/>
      <w:pPr>
        <w:ind w:left="3755" w:hanging="420"/>
      </w:pPr>
      <w:rPr>
        <w:rFonts w:hint="default"/>
      </w:rPr>
    </w:lvl>
    <w:lvl w:ilvl="2">
      <w:start w:val="0"/>
      <w:numFmt w:val="bullet"/>
      <w:lvlText w:val="•"/>
      <w:lvlJc w:val="left"/>
      <w:pPr>
        <w:ind w:left="4471" w:hanging="420"/>
      </w:pPr>
      <w:rPr>
        <w:rFonts w:hint="default"/>
      </w:rPr>
    </w:lvl>
    <w:lvl w:ilvl="3">
      <w:start w:val="0"/>
      <w:numFmt w:val="bullet"/>
      <w:lvlText w:val="•"/>
      <w:lvlJc w:val="left"/>
      <w:pPr>
        <w:ind w:left="5187" w:hanging="420"/>
      </w:pPr>
      <w:rPr>
        <w:rFonts w:hint="default"/>
      </w:rPr>
    </w:lvl>
    <w:lvl w:ilvl="4">
      <w:start w:val="0"/>
      <w:numFmt w:val="bullet"/>
      <w:lvlText w:val="•"/>
      <w:lvlJc w:val="left"/>
      <w:pPr>
        <w:ind w:left="5903" w:hanging="420"/>
      </w:pPr>
      <w:rPr>
        <w:rFonts w:hint="default"/>
      </w:rPr>
    </w:lvl>
    <w:lvl w:ilvl="5">
      <w:start w:val="0"/>
      <w:numFmt w:val="bullet"/>
      <w:lvlText w:val="•"/>
      <w:lvlJc w:val="left"/>
      <w:pPr>
        <w:ind w:left="6619" w:hanging="420"/>
      </w:pPr>
      <w:rPr>
        <w:rFonts w:hint="default"/>
      </w:rPr>
    </w:lvl>
    <w:lvl w:ilvl="6">
      <w:start w:val="0"/>
      <w:numFmt w:val="bullet"/>
      <w:lvlText w:val="•"/>
      <w:lvlJc w:val="left"/>
      <w:pPr>
        <w:ind w:left="7334"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766" w:hanging="420"/>
      </w:pPr>
      <w:rPr>
        <w:rFonts w:hint="default"/>
      </w:rPr>
    </w:lvl>
  </w:abstractNum>
  <w:abstractNum w:abstractNumId="21">
    <w:multiLevelType w:val="hybridMultilevel"/>
    <w:lvl w:ilvl="0">
      <w:start w:val="2"/>
      <w:numFmt w:val="decimal"/>
      <w:lvlText w:val="(%1)"/>
      <w:lvlJc w:val="left"/>
      <w:pPr>
        <w:ind w:left="3120" w:hanging="398"/>
        <w:jc w:val="right"/>
      </w:pPr>
      <w:rPr>
        <w:rFonts w:hint="default" w:ascii="宋体" w:hAnsi="宋体" w:eastAsia="宋体" w:cs="宋体"/>
        <w:w w:val="100"/>
        <w:sz w:val="18"/>
        <w:szCs w:val="18"/>
      </w:rPr>
    </w:lvl>
    <w:lvl w:ilvl="1">
      <w:start w:val="0"/>
      <w:numFmt w:val="bullet"/>
      <w:lvlText w:val="•"/>
      <w:lvlJc w:val="left"/>
      <w:pPr>
        <w:ind w:left="3848" w:hanging="398"/>
      </w:pPr>
      <w:rPr>
        <w:rFonts w:hint="default"/>
      </w:rPr>
    </w:lvl>
    <w:lvl w:ilvl="2">
      <w:start w:val="0"/>
      <w:numFmt w:val="bullet"/>
      <w:lvlText w:val="•"/>
      <w:lvlJc w:val="left"/>
      <w:pPr>
        <w:ind w:left="4576" w:hanging="398"/>
      </w:pPr>
      <w:rPr>
        <w:rFonts w:hint="default"/>
      </w:rPr>
    </w:lvl>
    <w:lvl w:ilvl="3">
      <w:start w:val="0"/>
      <w:numFmt w:val="bullet"/>
      <w:lvlText w:val="•"/>
      <w:lvlJc w:val="left"/>
      <w:pPr>
        <w:ind w:left="5305" w:hanging="398"/>
      </w:pPr>
      <w:rPr>
        <w:rFonts w:hint="default"/>
      </w:rPr>
    </w:lvl>
    <w:lvl w:ilvl="4">
      <w:start w:val="0"/>
      <w:numFmt w:val="bullet"/>
      <w:lvlText w:val="•"/>
      <w:lvlJc w:val="left"/>
      <w:pPr>
        <w:ind w:left="6033" w:hanging="398"/>
      </w:pPr>
      <w:rPr>
        <w:rFonts w:hint="default"/>
      </w:rPr>
    </w:lvl>
    <w:lvl w:ilvl="5">
      <w:start w:val="0"/>
      <w:numFmt w:val="bullet"/>
      <w:lvlText w:val="•"/>
      <w:lvlJc w:val="left"/>
      <w:pPr>
        <w:ind w:left="6762" w:hanging="398"/>
      </w:pPr>
      <w:rPr>
        <w:rFonts w:hint="default"/>
      </w:rPr>
    </w:lvl>
    <w:lvl w:ilvl="6">
      <w:start w:val="0"/>
      <w:numFmt w:val="bullet"/>
      <w:lvlText w:val="•"/>
      <w:lvlJc w:val="left"/>
      <w:pPr>
        <w:ind w:left="7490" w:hanging="398"/>
      </w:pPr>
      <w:rPr>
        <w:rFonts w:hint="default"/>
      </w:rPr>
    </w:lvl>
    <w:lvl w:ilvl="7">
      <w:start w:val="0"/>
      <w:numFmt w:val="bullet"/>
      <w:lvlText w:val="•"/>
      <w:lvlJc w:val="left"/>
      <w:pPr>
        <w:ind w:left="8219" w:hanging="398"/>
      </w:pPr>
      <w:rPr>
        <w:rFonts w:hint="default"/>
      </w:rPr>
    </w:lvl>
    <w:lvl w:ilvl="8">
      <w:start w:val="0"/>
      <w:numFmt w:val="bullet"/>
      <w:lvlText w:val="•"/>
      <w:lvlJc w:val="left"/>
      <w:pPr>
        <w:ind w:left="8947" w:hanging="398"/>
      </w:pPr>
      <w:rPr>
        <w:rFonts w:hint="default"/>
      </w:rPr>
    </w:lvl>
  </w:abstractNum>
  <w:abstractNum w:abstractNumId="16">
    <w:multiLevelType w:val="hybridMultilevel"/>
    <w:lvl w:ilvl="0">
      <w:start w:val="1"/>
      <w:numFmt w:val="decimal"/>
      <w:lvlText w:val="(%1)"/>
      <w:lvlJc w:val="left"/>
      <w:pPr>
        <w:ind w:left="445" w:hanging="340"/>
        <w:jc w:val="left"/>
      </w:pPr>
      <w:rPr>
        <w:rFonts w:hint="default" w:ascii="宋体" w:hAnsi="宋体" w:eastAsia="宋体" w:cs="宋体"/>
        <w:w w:val="100"/>
        <w:sz w:val="18"/>
        <w:szCs w:val="18"/>
      </w:rPr>
    </w:lvl>
    <w:lvl w:ilvl="1">
      <w:start w:val="0"/>
      <w:numFmt w:val="bullet"/>
      <w:lvlText w:val="•"/>
      <w:lvlJc w:val="left"/>
      <w:pPr>
        <w:ind w:left="3140" w:hanging="340"/>
      </w:pPr>
      <w:rPr>
        <w:rFonts w:hint="default"/>
      </w:rPr>
    </w:lvl>
    <w:lvl w:ilvl="2">
      <w:start w:val="0"/>
      <w:numFmt w:val="bullet"/>
      <w:lvlText w:val="•"/>
      <w:lvlJc w:val="left"/>
      <w:pPr>
        <w:ind w:left="3634" w:hanging="340"/>
      </w:pPr>
      <w:rPr>
        <w:rFonts w:hint="default"/>
      </w:rPr>
    </w:lvl>
    <w:lvl w:ilvl="3">
      <w:start w:val="0"/>
      <w:numFmt w:val="bullet"/>
      <w:lvlText w:val="•"/>
      <w:lvlJc w:val="left"/>
      <w:pPr>
        <w:ind w:left="4128" w:hanging="340"/>
      </w:pPr>
      <w:rPr>
        <w:rFonts w:hint="default"/>
      </w:rPr>
    </w:lvl>
    <w:lvl w:ilvl="4">
      <w:start w:val="0"/>
      <w:numFmt w:val="bullet"/>
      <w:lvlText w:val="•"/>
      <w:lvlJc w:val="left"/>
      <w:pPr>
        <w:ind w:left="4622" w:hanging="340"/>
      </w:pPr>
      <w:rPr>
        <w:rFonts w:hint="default"/>
      </w:rPr>
    </w:lvl>
    <w:lvl w:ilvl="5">
      <w:start w:val="0"/>
      <w:numFmt w:val="bullet"/>
      <w:lvlText w:val="•"/>
      <w:lvlJc w:val="left"/>
      <w:pPr>
        <w:ind w:left="5116" w:hanging="340"/>
      </w:pPr>
      <w:rPr>
        <w:rFonts w:hint="default"/>
      </w:rPr>
    </w:lvl>
    <w:lvl w:ilvl="6">
      <w:start w:val="0"/>
      <w:numFmt w:val="bullet"/>
      <w:lvlText w:val="•"/>
      <w:lvlJc w:val="left"/>
      <w:pPr>
        <w:ind w:left="5610" w:hanging="340"/>
      </w:pPr>
      <w:rPr>
        <w:rFonts w:hint="default"/>
      </w:rPr>
    </w:lvl>
    <w:lvl w:ilvl="7">
      <w:start w:val="0"/>
      <w:numFmt w:val="bullet"/>
      <w:lvlText w:val="•"/>
      <w:lvlJc w:val="left"/>
      <w:pPr>
        <w:ind w:left="6104" w:hanging="340"/>
      </w:pPr>
      <w:rPr>
        <w:rFonts w:hint="default"/>
      </w:rPr>
    </w:lvl>
    <w:lvl w:ilvl="8">
      <w:start w:val="0"/>
      <w:numFmt w:val="bullet"/>
      <w:lvlText w:val="•"/>
      <w:lvlJc w:val="left"/>
      <w:pPr>
        <w:ind w:left="6598" w:hanging="340"/>
      </w:pPr>
      <w:rPr>
        <w:rFonts w:hint="default"/>
      </w:rPr>
    </w:lvl>
  </w:abstractNum>
  <w:abstractNum w:abstractNumId="15">
    <w:multiLevelType w:val="hybridMultilevel"/>
    <w:lvl w:ilvl="0">
      <w:start w:val="1"/>
      <w:numFmt w:val="decimal"/>
      <w:lvlText w:val="(%1)"/>
      <w:lvlJc w:val="left"/>
      <w:pPr>
        <w:ind w:left="105"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4">
    <w:multiLevelType w:val="hybridMultilevel"/>
    <w:lvl w:ilvl="0">
      <w:start w:val="9"/>
      <w:numFmt w:val="decimal"/>
      <w:lvlText w:val="%1."/>
      <w:lvlJc w:val="left"/>
      <w:pPr>
        <w:ind w:left="2523" w:hanging="398"/>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3805" w:hanging="360"/>
      </w:pPr>
      <w:rPr>
        <w:rFonts w:hint="default"/>
      </w:rPr>
    </w:lvl>
    <w:lvl w:ilvl="4">
      <w:start w:val="0"/>
      <w:numFmt w:val="bullet"/>
      <w:lvlText w:val="•"/>
      <w:lvlJc w:val="left"/>
      <w:pPr>
        <w:ind w:left="4691" w:hanging="360"/>
      </w:pPr>
      <w:rPr>
        <w:rFonts w:hint="default"/>
      </w:rPr>
    </w:lvl>
    <w:lvl w:ilvl="5">
      <w:start w:val="0"/>
      <w:numFmt w:val="bullet"/>
      <w:lvlText w:val="•"/>
      <w:lvlJc w:val="left"/>
      <w:pPr>
        <w:ind w:left="5576" w:hanging="360"/>
      </w:pPr>
      <w:rPr>
        <w:rFonts w:hint="default"/>
      </w:rPr>
    </w:lvl>
    <w:lvl w:ilvl="6">
      <w:start w:val="0"/>
      <w:numFmt w:val="bullet"/>
      <w:lvlText w:val="•"/>
      <w:lvlJc w:val="left"/>
      <w:pPr>
        <w:ind w:left="6462" w:hanging="360"/>
      </w:pPr>
      <w:rPr>
        <w:rFonts w:hint="default"/>
      </w:rPr>
    </w:lvl>
    <w:lvl w:ilvl="7">
      <w:start w:val="0"/>
      <w:numFmt w:val="bullet"/>
      <w:lvlText w:val="•"/>
      <w:lvlJc w:val="left"/>
      <w:pPr>
        <w:ind w:left="7347" w:hanging="360"/>
      </w:pPr>
      <w:rPr>
        <w:rFonts w:hint="default"/>
      </w:rPr>
    </w:lvl>
    <w:lvl w:ilvl="8">
      <w:start w:val="0"/>
      <w:numFmt w:val="bullet"/>
      <w:lvlText w:val="•"/>
      <w:lvlJc w:val="left"/>
      <w:pPr>
        <w:ind w:left="8233" w:hanging="360"/>
      </w:pPr>
      <w:rPr>
        <w:rFonts w:hint="default"/>
      </w:rPr>
    </w:lvl>
  </w:abstractNum>
  <w:abstractNum w:abstractNumId="13">
    <w:multiLevelType w:val="hybridMultilevel"/>
    <w:lvl w:ilvl="0">
      <w:start w:val="3"/>
      <w:numFmt w:val="decimal"/>
      <w:lvlText w:val="%1."/>
      <w:lvlJc w:val="left"/>
      <w:pPr>
        <w:ind w:left="2618" w:hanging="398"/>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spacing w:val="-90"/>
        <w:w w:val="99"/>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12">
    <w:multiLevelType w:val="hybridMultilevel"/>
    <w:lvl w:ilvl="0">
      <w:start w:val="2"/>
      <w:numFmt w:val="decimal"/>
      <w:lvlText w:val="%1."/>
      <w:lvlJc w:val="left"/>
      <w:pPr>
        <w:ind w:left="597" w:hanging="398"/>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3" w:hanging="398"/>
      </w:pPr>
      <w:rPr>
        <w:rFonts w:hint="default"/>
      </w:rPr>
    </w:lvl>
    <w:lvl w:ilvl="3">
      <w:start w:val="0"/>
      <w:numFmt w:val="bullet"/>
      <w:lvlText w:val="•"/>
      <w:lvlJc w:val="left"/>
      <w:pPr>
        <w:ind w:left="4607" w:hanging="398"/>
      </w:pPr>
      <w:rPr>
        <w:rFonts w:hint="default"/>
      </w:rPr>
    </w:lvl>
    <w:lvl w:ilvl="4">
      <w:start w:val="0"/>
      <w:numFmt w:val="bullet"/>
      <w:lvlText w:val="•"/>
      <w:lvlJc w:val="left"/>
      <w:pPr>
        <w:ind w:left="5400" w:hanging="398"/>
      </w:pPr>
      <w:rPr>
        <w:rFonts w:hint="default"/>
      </w:rPr>
    </w:lvl>
    <w:lvl w:ilvl="5">
      <w:start w:val="0"/>
      <w:numFmt w:val="bullet"/>
      <w:lvlText w:val="•"/>
      <w:lvlJc w:val="left"/>
      <w:pPr>
        <w:ind w:left="6194" w:hanging="398"/>
      </w:pPr>
      <w:rPr>
        <w:rFonts w:hint="default"/>
      </w:rPr>
    </w:lvl>
    <w:lvl w:ilvl="6">
      <w:start w:val="0"/>
      <w:numFmt w:val="bullet"/>
      <w:lvlText w:val="•"/>
      <w:lvlJc w:val="left"/>
      <w:pPr>
        <w:ind w:left="6987" w:hanging="398"/>
      </w:pPr>
      <w:rPr>
        <w:rFonts w:hint="default"/>
      </w:rPr>
    </w:lvl>
    <w:lvl w:ilvl="7">
      <w:start w:val="0"/>
      <w:numFmt w:val="bullet"/>
      <w:lvlText w:val="•"/>
      <w:lvlJc w:val="left"/>
      <w:pPr>
        <w:ind w:left="7781" w:hanging="398"/>
      </w:pPr>
      <w:rPr>
        <w:rFonts w:hint="default"/>
      </w:rPr>
    </w:lvl>
    <w:lvl w:ilvl="8">
      <w:start w:val="0"/>
      <w:numFmt w:val="bullet"/>
      <w:lvlText w:val="•"/>
      <w:lvlJc w:val="left"/>
      <w:pPr>
        <w:ind w:left="8574" w:hanging="398"/>
      </w:pPr>
      <w:rPr>
        <w:rFonts w:hint="default"/>
      </w:rPr>
    </w:lvl>
  </w:abstractNum>
  <w:abstractNum w:abstractNumId="11">
    <w:multiLevelType w:val="hybridMultilevel"/>
    <w:lvl w:ilvl="0">
      <w:start w:val="1"/>
      <w:numFmt w:val="decimal"/>
      <w:lvlText w:val="%1."/>
      <w:lvlJc w:val="left"/>
      <w:pPr>
        <w:ind w:left="2618" w:hanging="398"/>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10">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1"/>
      <w:numFmt w:val="decimal"/>
      <w:lvlText w:val="(%2)"/>
      <w:lvlJc w:val="left"/>
      <w:pPr>
        <w:ind w:left="2863" w:hanging="340"/>
        <w:jc w:val="left"/>
      </w:pPr>
      <w:rPr>
        <w:rFonts w:hint="default" w:ascii="宋体" w:hAnsi="宋体" w:eastAsia="宋体" w:cs="宋体"/>
        <w:w w:val="100"/>
        <w:sz w:val="18"/>
        <w:szCs w:val="18"/>
      </w:rPr>
    </w:lvl>
    <w:lvl w:ilvl="2">
      <w:start w:val="0"/>
      <w:numFmt w:val="bullet"/>
      <w:lvlText w:val="•"/>
      <w:lvlJc w:val="left"/>
      <w:pPr>
        <w:ind w:left="3080" w:hanging="340"/>
      </w:pPr>
      <w:rPr>
        <w:rFonts w:hint="default"/>
      </w:rPr>
    </w:lvl>
    <w:lvl w:ilvl="3">
      <w:start w:val="0"/>
      <w:numFmt w:val="bullet"/>
      <w:lvlText w:val="•"/>
      <w:lvlJc w:val="left"/>
      <w:pPr>
        <w:ind w:left="3636" w:hanging="340"/>
      </w:pPr>
      <w:rPr>
        <w:rFonts w:hint="default"/>
      </w:rPr>
    </w:lvl>
    <w:lvl w:ilvl="4">
      <w:start w:val="0"/>
      <w:numFmt w:val="bullet"/>
      <w:lvlText w:val="•"/>
      <w:lvlJc w:val="left"/>
      <w:pPr>
        <w:ind w:left="4193" w:hanging="340"/>
      </w:pPr>
      <w:rPr>
        <w:rFonts w:hint="default"/>
      </w:rPr>
    </w:lvl>
    <w:lvl w:ilvl="5">
      <w:start w:val="0"/>
      <w:numFmt w:val="bullet"/>
      <w:lvlText w:val="•"/>
      <w:lvlJc w:val="left"/>
      <w:pPr>
        <w:ind w:left="4750" w:hanging="340"/>
      </w:pPr>
      <w:rPr>
        <w:rFonts w:hint="default"/>
      </w:rPr>
    </w:lvl>
    <w:lvl w:ilvl="6">
      <w:start w:val="0"/>
      <w:numFmt w:val="bullet"/>
      <w:lvlText w:val="•"/>
      <w:lvlJc w:val="left"/>
      <w:pPr>
        <w:ind w:left="5307" w:hanging="340"/>
      </w:pPr>
      <w:rPr>
        <w:rFonts w:hint="default"/>
      </w:rPr>
    </w:lvl>
    <w:lvl w:ilvl="7">
      <w:start w:val="0"/>
      <w:numFmt w:val="bullet"/>
      <w:lvlText w:val="•"/>
      <w:lvlJc w:val="left"/>
      <w:pPr>
        <w:ind w:left="5863" w:hanging="340"/>
      </w:pPr>
      <w:rPr>
        <w:rFonts w:hint="default"/>
      </w:rPr>
    </w:lvl>
    <w:lvl w:ilvl="8">
      <w:start w:val="0"/>
      <w:numFmt w:val="bullet"/>
      <w:lvlText w:val="•"/>
      <w:lvlJc w:val="left"/>
      <w:pPr>
        <w:ind w:left="6420" w:hanging="340"/>
      </w:pPr>
      <w:rPr>
        <w:rFonts w:hint="default"/>
      </w:rPr>
    </w:lvl>
  </w:abstractNum>
  <w:abstractNum w:abstractNumId="9">
    <w:multiLevelType w:val="hybridMultilevel"/>
    <w:lvl w:ilvl="0">
      <w:start w:val="8"/>
      <w:numFmt w:val="decimal"/>
      <w:lvlText w:val="%1"/>
      <w:lvlJc w:val="left"/>
      <w:pPr>
        <w:ind w:left="2534" w:hanging="683"/>
        <w:jc w:val="left"/>
      </w:pPr>
      <w:rPr>
        <w:rFonts w:hint="default"/>
      </w:rPr>
    </w:lvl>
    <w:lvl w:ilvl="1">
      <w:start w:val="1"/>
      <w:numFmt w:val="decimal"/>
      <w:lvlText w:val="%1.%2"/>
      <w:lvlJc w:val="left"/>
      <w:pPr>
        <w:ind w:left="2534" w:hanging="683"/>
        <w:jc w:val="left"/>
      </w:pPr>
      <w:rPr>
        <w:rFonts w:hint="default" w:ascii="宋体" w:hAnsi="宋体" w:eastAsia="宋体" w:cs="宋体"/>
        <w:b/>
        <w:bCs/>
        <w:w w:val="99"/>
        <w:sz w:val="21"/>
        <w:szCs w:val="21"/>
      </w:rPr>
    </w:lvl>
    <w:lvl w:ilvl="2">
      <w:start w:val="1"/>
      <w:numFmt w:val="decimal"/>
      <w:lvlText w:val="(%3)"/>
      <w:lvlJc w:val="left"/>
      <w:pPr>
        <w:ind w:left="2932" w:hanging="398"/>
        <w:jc w:val="left"/>
      </w:pPr>
      <w:rPr>
        <w:rFonts w:hint="default" w:ascii="宋体" w:hAnsi="宋体" w:eastAsia="宋体" w:cs="宋体"/>
        <w:w w:val="100"/>
        <w:sz w:val="18"/>
        <w:szCs w:val="18"/>
      </w:rPr>
    </w:lvl>
    <w:lvl w:ilvl="3">
      <w:start w:val="0"/>
      <w:numFmt w:val="bullet"/>
      <w:lvlText w:val="•"/>
      <w:lvlJc w:val="left"/>
      <w:pPr>
        <w:ind w:left="4505" w:hanging="398"/>
      </w:pPr>
      <w:rPr>
        <w:rFonts w:hint="default"/>
      </w:rPr>
    </w:lvl>
    <w:lvl w:ilvl="4">
      <w:start w:val="0"/>
      <w:numFmt w:val="bullet"/>
      <w:lvlText w:val="•"/>
      <w:lvlJc w:val="left"/>
      <w:pPr>
        <w:ind w:left="5288" w:hanging="398"/>
      </w:pPr>
      <w:rPr>
        <w:rFonts w:hint="default"/>
      </w:rPr>
    </w:lvl>
    <w:lvl w:ilvl="5">
      <w:start w:val="0"/>
      <w:numFmt w:val="bullet"/>
      <w:lvlText w:val="•"/>
      <w:lvlJc w:val="left"/>
      <w:pPr>
        <w:ind w:left="6070" w:hanging="398"/>
      </w:pPr>
      <w:rPr>
        <w:rFonts w:hint="default"/>
      </w:rPr>
    </w:lvl>
    <w:lvl w:ilvl="6">
      <w:start w:val="0"/>
      <w:numFmt w:val="bullet"/>
      <w:lvlText w:val="•"/>
      <w:lvlJc w:val="left"/>
      <w:pPr>
        <w:ind w:left="6853" w:hanging="398"/>
      </w:pPr>
      <w:rPr>
        <w:rFonts w:hint="default"/>
      </w:rPr>
    </w:lvl>
    <w:lvl w:ilvl="7">
      <w:start w:val="0"/>
      <w:numFmt w:val="bullet"/>
      <w:lvlText w:val="•"/>
      <w:lvlJc w:val="left"/>
      <w:pPr>
        <w:ind w:left="7636" w:hanging="398"/>
      </w:pPr>
      <w:rPr>
        <w:rFonts w:hint="default"/>
      </w:rPr>
    </w:lvl>
    <w:lvl w:ilvl="8">
      <w:start w:val="0"/>
      <w:numFmt w:val="bullet"/>
      <w:lvlText w:val="•"/>
      <w:lvlJc w:val="left"/>
      <w:pPr>
        <w:ind w:left="8418" w:hanging="398"/>
      </w:pPr>
      <w:rPr>
        <w:rFonts w:hint="default"/>
      </w:rPr>
    </w:lvl>
  </w:abstractNum>
  <w:abstractNum w:abstractNumId="8">
    <w:multiLevelType w:val="hybridMultilevel"/>
    <w:lvl w:ilvl="0">
      <w:start w:val="1"/>
      <w:numFmt w:val="decimal"/>
      <w:lvlText w:val="(%1)"/>
      <w:lvlJc w:val="left"/>
      <w:pPr>
        <w:ind w:left="2229" w:hanging="340"/>
        <w:jc w:val="left"/>
      </w:pPr>
      <w:rPr>
        <w:rFonts w:hint="default" w:ascii="宋体" w:hAnsi="宋体" w:eastAsia="宋体" w:cs="宋体"/>
        <w:w w:val="100"/>
        <w:sz w:val="18"/>
        <w:szCs w:val="18"/>
      </w:rPr>
    </w:lvl>
    <w:lvl w:ilvl="1">
      <w:start w:val="0"/>
      <w:numFmt w:val="bullet"/>
      <w:lvlText w:val="•"/>
      <w:lvlJc w:val="left"/>
      <w:pPr>
        <w:ind w:left="2931" w:hanging="340"/>
      </w:pPr>
      <w:rPr>
        <w:rFonts w:hint="default"/>
      </w:rPr>
    </w:lvl>
    <w:lvl w:ilvl="2">
      <w:start w:val="0"/>
      <w:numFmt w:val="bullet"/>
      <w:lvlText w:val="•"/>
      <w:lvlJc w:val="left"/>
      <w:pPr>
        <w:ind w:left="3642" w:hanging="340"/>
      </w:pPr>
      <w:rPr>
        <w:rFonts w:hint="default"/>
      </w:rPr>
    </w:lvl>
    <w:lvl w:ilvl="3">
      <w:start w:val="0"/>
      <w:numFmt w:val="bullet"/>
      <w:lvlText w:val="•"/>
      <w:lvlJc w:val="left"/>
      <w:pPr>
        <w:ind w:left="4354" w:hanging="340"/>
      </w:pPr>
      <w:rPr>
        <w:rFonts w:hint="default"/>
      </w:rPr>
    </w:lvl>
    <w:lvl w:ilvl="4">
      <w:start w:val="0"/>
      <w:numFmt w:val="bullet"/>
      <w:lvlText w:val="•"/>
      <w:lvlJc w:val="left"/>
      <w:pPr>
        <w:ind w:left="5065" w:hanging="340"/>
      </w:pPr>
      <w:rPr>
        <w:rFonts w:hint="default"/>
      </w:rPr>
    </w:lvl>
    <w:lvl w:ilvl="5">
      <w:start w:val="0"/>
      <w:numFmt w:val="bullet"/>
      <w:lvlText w:val="•"/>
      <w:lvlJc w:val="left"/>
      <w:pPr>
        <w:ind w:left="5777" w:hanging="340"/>
      </w:pPr>
      <w:rPr>
        <w:rFonts w:hint="default"/>
      </w:rPr>
    </w:lvl>
    <w:lvl w:ilvl="6">
      <w:start w:val="0"/>
      <w:numFmt w:val="bullet"/>
      <w:lvlText w:val="•"/>
      <w:lvlJc w:val="left"/>
      <w:pPr>
        <w:ind w:left="6488" w:hanging="340"/>
      </w:pPr>
      <w:rPr>
        <w:rFonts w:hint="default"/>
      </w:rPr>
    </w:lvl>
    <w:lvl w:ilvl="7">
      <w:start w:val="0"/>
      <w:numFmt w:val="bullet"/>
      <w:lvlText w:val="•"/>
      <w:lvlJc w:val="left"/>
      <w:pPr>
        <w:ind w:left="7199" w:hanging="340"/>
      </w:pPr>
      <w:rPr>
        <w:rFonts w:hint="default"/>
      </w:rPr>
    </w:lvl>
    <w:lvl w:ilvl="8">
      <w:start w:val="0"/>
      <w:numFmt w:val="bullet"/>
      <w:lvlText w:val="•"/>
      <w:lvlJc w:val="left"/>
      <w:pPr>
        <w:ind w:left="7911" w:hanging="340"/>
      </w:pPr>
      <w:rPr>
        <w:rFonts w:hint="default"/>
      </w:rPr>
    </w:lvl>
  </w:abstractNum>
  <w:abstractNum w:abstractNumId="7">
    <w:multiLevelType w:val="hybridMultilevel"/>
    <w:lvl w:ilvl="0">
      <w:start w:val="8"/>
      <w:numFmt w:val="decimal"/>
      <w:lvlText w:val="%1"/>
      <w:lvlJc w:val="left"/>
      <w:pPr>
        <w:ind w:left="858" w:hanging="421"/>
        <w:jc w:val="left"/>
      </w:pPr>
      <w:rPr>
        <w:rFonts w:hint="default"/>
      </w:rPr>
    </w:lvl>
    <w:lvl w:ilvl="1">
      <w:start w:val="1"/>
      <w:numFmt w:val="decimal"/>
      <w:lvlText w:val="%1.%2"/>
      <w:lvlJc w:val="left"/>
      <w:pPr>
        <w:ind w:left="858" w:hanging="421"/>
        <w:jc w:val="left"/>
      </w:pPr>
      <w:rPr>
        <w:rFonts w:hint="default" w:ascii="宋体" w:hAnsi="宋体" w:eastAsia="宋体" w:cs="宋体"/>
        <w:spacing w:val="-2"/>
        <w:w w:val="100"/>
        <w:sz w:val="21"/>
        <w:szCs w:val="21"/>
      </w:rPr>
    </w:lvl>
    <w:lvl w:ilvl="2">
      <w:start w:val="1"/>
      <w:numFmt w:val="decimal"/>
      <w:lvlText w:val="(%3)"/>
      <w:lvlJc w:val="left"/>
      <w:pPr>
        <w:ind w:left="2974" w:hanging="360"/>
        <w:jc w:val="left"/>
      </w:pPr>
      <w:rPr>
        <w:rFonts w:hint="default" w:ascii="宋体" w:hAnsi="宋体" w:eastAsia="宋体" w:cs="宋体"/>
        <w:w w:val="100"/>
        <w:sz w:val="18"/>
        <w:szCs w:val="18"/>
      </w:rPr>
    </w:lvl>
    <w:lvl w:ilvl="3">
      <w:start w:val="0"/>
      <w:numFmt w:val="bullet"/>
      <w:lvlText w:val="•"/>
      <w:lvlJc w:val="left"/>
      <w:pPr>
        <w:ind w:left="3087" w:hanging="360"/>
      </w:pPr>
      <w:rPr>
        <w:rFonts w:hint="default"/>
      </w:rPr>
    </w:lvl>
    <w:lvl w:ilvl="4">
      <w:start w:val="0"/>
      <w:numFmt w:val="bullet"/>
      <w:lvlText w:val="•"/>
      <w:lvlJc w:val="left"/>
      <w:pPr>
        <w:ind w:left="3141" w:hanging="360"/>
      </w:pPr>
      <w:rPr>
        <w:rFonts w:hint="default"/>
      </w:rPr>
    </w:lvl>
    <w:lvl w:ilvl="5">
      <w:start w:val="0"/>
      <w:numFmt w:val="bullet"/>
      <w:lvlText w:val="•"/>
      <w:lvlJc w:val="left"/>
      <w:pPr>
        <w:ind w:left="3194" w:hanging="360"/>
      </w:pPr>
      <w:rPr>
        <w:rFonts w:hint="default"/>
      </w:rPr>
    </w:lvl>
    <w:lvl w:ilvl="6">
      <w:start w:val="0"/>
      <w:numFmt w:val="bullet"/>
      <w:lvlText w:val="•"/>
      <w:lvlJc w:val="left"/>
      <w:pPr>
        <w:ind w:left="3248" w:hanging="360"/>
      </w:pPr>
      <w:rPr>
        <w:rFonts w:hint="default"/>
      </w:rPr>
    </w:lvl>
    <w:lvl w:ilvl="7">
      <w:start w:val="0"/>
      <w:numFmt w:val="bullet"/>
      <w:lvlText w:val="•"/>
      <w:lvlJc w:val="left"/>
      <w:pPr>
        <w:ind w:left="3302" w:hanging="360"/>
      </w:pPr>
      <w:rPr>
        <w:rFonts w:hint="default"/>
      </w:rPr>
    </w:lvl>
    <w:lvl w:ilvl="8">
      <w:start w:val="0"/>
      <w:numFmt w:val="bullet"/>
      <w:lvlText w:val="•"/>
      <w:lvlJc w:val="left"/>
      <w:pPr>
        <w:ind w:left="3355" w:hanging="360"/>
      </w:pPr>
      <w:rPr>
        <w:rFonts w:hint="default"/>
      </w:rPr>
    </w:lvl>
  </w:abstractNum>
  <w:abstractNum w:abstractNumId="6">
    <w:multiLevelType w:val="hybridMultilevel"/>
    <w:lvl w:ilvl="0">
      <w:start w:val="7"/>
      <w:numFmt w:val="decimal"/>
      <w:lvlText w:val="%1"/>
      <w:lvlJc w:val="left"/>
      <w:pPr>
        <w:ind w:left="857" w:hanging="421"/>
        <w:jc w:val="left"/>
      </w:pPr>
      <w:rPr>
        <w:rFonts w:hint="default"/>
      </w:rPr>
    </w:lvl>
    <w:lvl w:ilvl="1">
      <w:start w:val="1"/>
      <w:numFmt w:val="decimal"/>
      <w:lvlText w:val="%1.%2"/>
      <w:lvlJc w:val="left"/>
      <w:pPr>
        <w:ind w:left="857" w:hanging="421"/>
        <w:jc w:val="left"/>
      </w:pPr>
      <w:rPr>
        <w:rFonts w:hint="default" w:ascii="宋体" w:hAnsi="宋体" w:eastAsia="宋体" w:cs="宋体"/>
        <w:spacing w:val="-2"/>
        <w:w w:val="100"/>
        <w:sz w:val="21"/>
        <w:szCs w:val="21"/>
      </w:rPr>
    </w:lvl>
    <w:lvl w:ilvl="2">
      <w:start w:val="0"/>
      <w:numFmt w:val="bullet"/>
      <w:lvlText w:val="•"/>
      <w:lvlJc w:val="left"/>
      <w:pPr>
        <w:ind w:left="1380" w:hanging="421"/>
      </w:pPr>
      <w:rPr>
        <w:rFonts w:hint="default"/>
      </w:rPr>
    </w:lvl>
    <w:lvl w:ilvl="3">
      <w:start w:val="0"/>
      <w:numFmt w:val="bullet"/>
      <w:lvlText w:val="•"/>
      <w:lvlJc w:val="left"/>
      <w:pPr>
        <w:ind w:left="1640" w:hanging="421"/>
      </w:pPr>
      <w:rPr>
        <w:rFonts w:hint="default"/>
      </w:rPr>
    </w:lvl>
    <w:lvl w:ilvl="4">
      <w:start w:val="0"/>
      <w:numFmt w:val="bullet"/>
      <w:lvlText w:val="•"/>
      <w:lvlJc w:val="left"/>
      <w:pPr>
        <w:ind w:left="1901" w:hanging="421"/>
      </w:pPr>
      <w:rPr>
        <w:rFonts w:hint="default"/>
      </w:rPr>
    </w:lvl>
    <w:lvl w:ilvl="5">
      <w:start w:val="0"/>
      <w:numFmt w:val="bullet"/>
      <w:lvlText w:val="•"/>
      <w:lvlJc w:val="left"/>
      <w:pPr>
        <w:ind w:left="2161" w:hanging="421"/>
      </w:pPr>
      <w:rPr>
        <w:rFonts w:hint="default"/>
      </w:rPr>
    </w:lvl>
    <w:lvl w:ilvl="6">
      <w:start w:val="0"/>
      <w:numFmt w:val="bullet"/>
      <w:lvlText w:val="•"/>
      <w:lvlJc w:val="left"/>
      <w:pPr>
        <w:ind w:left="2421" w:hanging="421"/>
      </w:pPr>
      <w:rPr>
        <w:rFonts w:hint="default"/>
      </w:rPr>
    </w:lvl>
    <w:lvl w:ilvl="7">
      <w:start w:val="0"/>
      <w:numFmt w:val="bullet"/>
      <w:lvlText w:val="•"/>
      <w:lvlJc w:val="left"/>
      <w:pPr>
        <w:ind w:left="2682" w:hanging="421"/>
      </w:pPr>
      <w:rPr>
        <w:rFonts w:hint="default"/>
      </w:rPr>
    </w:lvl>
    <w:lvl w:ilvl="8">
      <w:start w:val="0"/>
      <w:numFmt w:val="bullet"/>
      <w:lvlText w:val="•"/>
      <w:lvlJc w:val="left"/>
      <w:pPr>
        <w:ind w:left="2942" w:hanging="421"/>
      </w:pPr>
      <w:rPr>
        <w:rFonts w:hint="default"/>
      </w:rPr>
    </w:lvl>
  </w:abstractNum>
  <w:abstractNum w:abstractNumId="5">
    <w:multiLevelType w:val="hybridMultilevel"/>
    <w:lvl w:ilvl="0">
      <w:start w:val="5"/>
      <w:numFmt w:val="decimal"/>
      <w:lvlText w:val="%1"/>
      <w:lvlJc w:val="left"/>
      <w:pPr>
        <w:ind w:left="1134" w:hanging="421"/>
        <w:jc w:val="left"/>
      </w:pPr>
      <w:rPr>
        <w:rFonts w:hint="default"/>
      </w:rPr>
    </w:lvl>
    <w:lvl w:ilvl="1">
      <w:start w:val="1"/>
      <w:numFmt w:val="decimal"/>
      <w:lvlText w:val="%1.%2"/>
      <w:lvlJc w:val="left"/>
      <w:pPr>
        <w:ind w:left="1134" w:hanging="421"/>
        <w:jc w:val="left"/>
      </w:pPr>
      <w:rPr>
        <w:rFonts w:hint="default" w:ascii="宋体" w:hAnsi="宋体" w:eastAsia="宋体" w:cs="宋体"/>
        <w:spacing w:val="-2"/>
        <w:w w:val="100"/>
        <w:sz w:val="21"/>
        <w:szCs w:val="21"/>
      </w:rPr>
    </w:lvl>
    <w:lvl w:ilvl="2">
      <w:start w:val="0"/>
      <w:numFmt w:val="bullet"/>
      <w:lvlText w:val="•"/>
      <w:lvlJc w:val="left"/>
      <w:pPr>
        <w:ind w:left="1511" w:hanging="421"/>
      </w:pPr>
      <w:rPr>
        <w:rFonts w:hint="default"/>
      </w:rPr>
    </w:lvl>
    <w:lvl w:ilvl="3">
      <w:start w:val="0"/>
      <w:numFmt w:val="bullet"/>
      <w:lvlText w:val="•"/>
      <w:lvlJc w:val="left"/>
      <w:pPr>
        <w:ind w:left="1696" w:hanging="421"/>
      </w:pPr>
      <w:rPr>
        <w:rFonts w:hint="default"/>
      </w:rPr>
    </w:lvl>
    <w:lvl w:ilvl="4">
      <w:start w:val="0"/>
      <w:numFmt w:val="bullet"/>
      <w:lvlText w:val="•"/>
      <w:lvlJc w:val="left"/>
      <w:pPr>
        <w:ind w:left="1882" w:hanging="421"/>
      </w:pPr>
      <w:rPr>
        <w:rFonts w:hint="default"/>
      </w:rPr>
    </w:lvl>
    <w:lvl w:ilvl="5">
      <w:start w:val="0"/>
      <w:numFmt w:val="bullet"/>
      <w:lvlText w:val="•"/>
      <w:lvlJc w:val="left"/>
      <w:pPr>
        <w:ind w:left="2067" w:hanging="421"/>
      </w:pPr>
      <w:rPr>
        <w:rFonts w:hint="default"/>
      </w:rPr>
    </w:lvl>
    <w:lvl w:ilvl="6">
      <w:start w:val="0"/>
      <w:numFmt w:val="bullet"/>
      <w:lvlText w:val="•"/>
      <w:lvlJc w:val="left"/>
      <w:pPr>
        <w:ind w:left="2253" w:hanging="421"/>
      </w:pPr>
      <w:rPr>
        <w:rFonts w:hint="default"/>
      </w:rPr>
    </w:lvl>
    <w:lvl w:ilvl="7">
      <w:start w:val="0"/>
      <w:numFmt w:val="bullet"/>
      <w:lvlText w:val="•"/>
      <w:lvlJc w:val="left"/>
      <w:pPr>
        <w:ind w:left="2438" w:hanging="421"/>
      </w:pPr>
      <w:rPr>
        <w:rFonts w:hint="default"/>
      </w:rPr>
    </w:lvl>
    <w:lvl w:ilvl="8">
      <w:start w:val="0"/>
      <w:numFmt w:val="bullet"/>
      <w:lvlText w:val="•"/>
      <w:lvlJc w:val="left"/>
      <w:pPr>
        <w:ind w:left="2624" w:hanging="421"/>
      </w:pPr>
      <w:rPr>
        <w:rFonts w:hint="default"/>
      </w:rPr>
    </w:lvl>
  </w:abstractNum>
  <w:abstractNum w:abstractNumId="4">
    <w:multiLevelType w:val="hybridMultilevel"/>
    <w:lvl w:ilvl="0">
      <w:start w:val="4"/>
      <w:numFmt w:val="decimal"/>
      <w:lvlText w:val="%1"/>
      <w:lvlJc w:val="left"/>
      <w:pPr>
        <w:ind w:left="1132" w:hanging="421"/>
        <w:jc w:val="left"/>
      </w:pPr>
      <w:rPr>
        <w:rFonts w:hint="default"/>
      </w:rPr>
    </w:lvl>
    <w:lvl w:ilvl="1">
      <w:start w:val="1"/>
      <w:numFmt w:val="decimal"/>
      <w:lvlText w:val="%1.%2"/>
      <w:lvlJc w:val="left"/>
      <w:pPr>
        <w:ind w:left="1132" w:hanging="421"/>
        <w:jc w:val="left"/>
      </w:pPr>
      <w:rPr>
        <w:rFonts w:hint="default" w:ascii="宋体" w:hAnsi="宋体" w:eastAsia="宋体" w:cs="宋体"/>
        <w:spacing w:val="-2"/>
        <w:w w:val="100"/>
        <w:sz w:val="21"/>
        <w:szCs w:val="21"/>
      </w:rPr>
    </w:lvl>
    <w:lvl w:ilvl="2">
      <w:start w:val="0"/>
      <w:numFmt w:val="bullet"/>
      <w:lvlText w:val="•"/>
      <w:lvlJc w:val="left"/>
      <w:pPr>
        <w:ind w:left="1511" w:hanging="421"/>
      </w:pPr>
      <w:rPr>
        <w:rFonts w:hint="default"/>
      </w:rPr>
    </w:lvl>
    <w:lvl w:ilvl="3">
      <w:start w:val="0"/>
      <w:numFmt w:val="bullet"/>
      <w:lvlText w:val="•"/>
      <w:lvlJc w:val="left"/>
      <w:pPr>
        <w:ind w:left="1696" w:hanging="421"/>
      </w:pPr>
      <w:rPr>
        <w:rFonts w:hint="default"/>
      </w:rPr>
    </w:lvl>
    <w:lvl w:ilvl="4">
      <w:start w:val="0"/>
      <w:numFmt w:val="bullet"/>
      <w:lvlText w:val="•"/>
      <w:lvlJc w:val="left"/>
      <w:pPr>
        <w:ind w:left="1882" w:hanging="421"/>
      </w:pPr>
      <w:rPr>
        <w:rFonts w:hint="default"/>
      </w:rPr>
    </w:lvl>
    <w:lvl w:ilvl="5">
      <w:start w:val="0"/>
      <w:numFmt w:val="bullet"/>
      <w:lvlText w:val="•"/>
      <w:lvlJc w:val="left"/>
      <w:pPr>
        <w:ind w:left="2067" w:hanging="421"/>
      </w:pPr>
      <w:rPr>
        <w:rFonts w:hint="default"/>
      </w:rPr>
    </w:lvl>
    <w:lvl w:ilvl="6">
      <w:start w:val="0"/>
      <w:numFmt w:val="bullet"/>
      <w:lvlText w:val="•"/>
      <w:lvlJc w:val="left"/>
      <w:pPr>
        <w:ind w:left="2253" w:hanging="421"/>
      </w:pPr>
      <w:rPr>
        <w:rFonts w:hint="default"/>
      </w:rPr>
    </w:lvl>
    <w:lvl w:ilvl="7">
      <w:start w:val="0"/>
      <w:numFmt w:val="bullet"/>
      <w:lvlText w:val="•"/>
      <w:lvlJc w:val="left"/>
      <w:pPr>
        <w:ind w:left="2438" w:hanging="421"/>
      </w:pPr>
      <w:rPr>
        <w:rFonts w:hint="default"/>
      </w:rPr>
    </w:lvl>
    <w:lvl w:ilvl="8">
      <w:start w:val="0"/>
      <w:numFmt w:val="bullet"/>
      <w:lvlText w:val="•"/>
      <w:lvlJc w:val="left"/>
      <w:pPr>
        <w:ind w:left="2624" w:hanging="421"/>
      </w:pPr>
      <w:rPr>
        <w:rFonts w:hint="default"/>
      </w:rPr>
    </w:lvl>
  </w:abstractNum>
  <w:abstractNum w:abstractNumId="3">
    <w:multiLevelType w:val="hybridMultilevel"/>
    <w:lvl w:ilvl="0">
      <w:start w:val="3"/>
      <w:numFmt w:val="decimal"/>
      <w:lvlText w:val="%1"/>
      <w:lvlJc w:val="left"/>
      <w:pPr>
        <w:ind w:left="1828" w:hanging="421"/>
        <w:jc w:val="left"/>
      </w:pPr>
      <w:rPr>
        <w:rFonts w:hint="default"/>
      </w:rPr>
    </w:lvl>
    <w:lvl w:ilvl="1">
      <w:start w:val="1"/>
      <w:numFmt w:val="decimal"/>
      <w:lvlText w:val="%1.%2"/>
      <w:lvlJc w:val="left"/>
      <w:pPr>
        <w:ind w:left="1828" w:hanging="421"/>
        <w:jc w:val="left"/>
      </w:pPr>
      <w:rPr>
        <w:rFonts w:hint="default" w:ascii="宋体" w:hAnsi="宋体" w:eastAsia="宋体" w:cs="宋体"/>
        <w:spacing w:val="-2"/>
        <w:w w:val="100"/>
        <w:sz w:val="21"/>
        <w:szCs w:val="21"/>
      </w:rPr>
    </w:lvl>
    <w:lvl w:ilvl="2">
      <w:start w:val="0"/>
      <w:numFmt w:val="bullet"/>
      <w:lvlText w:val="•"/>
      <w:lvlJc w:val="left"/>
      <w:pPr>
        <w:ind w:left="2117" w:hanging="421"/>
      </w:pPr>
      <w:rPr>
        <w:rFonts w:hint="default"/>
      </w:rPr>
    </w:lvl>
    <w:lvl w:ilvl="3">
      <w:start w:val="0"/>
      <w:numFmt w:val="bullet"/>
      <w:lvlText w:val="•"/>
      <w:lvlJc w:val="left"/>
      <w:pPr>
        <w:ind w:left="2265" w:hanging="421"/>
      </w:pPr>
      <w:rPr>
        <w:rFonts w:hint="default"/>
      </w:rPr>
    </w:lvl>
    <w:lvl w:ilvl="4">
      <w:start w:val="0"/>
      <w:numFmt w:val="bullet"/>
      <w:lvlText w:val="•"/>
      <w:lvlJc w:val="left"/>
      <w:pPr>
        <w:ind w:left="2414" w:hanging="421"/>
      </w:pPr>
      <w:rPr>
        <w:rFonts w:hint="default"/>
      </w:rPr>
    </w:lvl>
    <w:lvl w:ilvl="5">
      <w:start w:val="0"/>
      <w:numFmt w:val="bullet"/>
      <w:lvlText w:val="•"/>
      <w:lvlJc w:val="left"/>
      <w:pPr>
        <w:ind w:left="2562" w:hanging="421"/>
      </w:pPr>
      <w:rPr>
        <w:rFonts w:hint="default"/>
      </w:rPr>
    </w:lvl>
    <w:lvl w:ilvl="6">
      <w:start w:val="0"/>
      <w:numFmt w:val="bullet"/>
      <w:lvlText w:val="•"/>
      <w:lvlJc w:val="left"/>
      <w:pPr>
        <w:ind w:left="2711" w:hanging="421"/>
      </w:pPr>
      <w:rPr>
        <w:rFonts w:hint="default"/>
      </w:rPr>
    </w:lvl>
    <w:lvl w:ilvl="7">
      <w:start w:val="0"/>
      <w:numFmt w:val="bullet"/>
      <w:lvlText w:val="•"/>
      <w:lvlJc w:val="left"/>
      <w:pPr>
        <w:ind w:left="2860" w:hanging="421"/>
      </w:pPr>
      <w:rPr>
        <w:rFonts w:hint="default"/>
      </w:rPr>
    </w:lvl>
    <w:lvl w:ilvl="8">
      <w:start w:val="0"/>
      <w:numFmt w:val="bullet"/>
      <w:lvlText w:val="•"/>
      <w:lvlJc w:val="left"/>
      <w:pPr>
        <w:ind w:left="3008" w:hanging="421"/>
      </w:pPr>
      <w:rPr>
        <w:rFonts w:hint="default"/>
      </w:rPr>
    </w:lvl>
  </w:abstractNum>
  <w:abstractNum w:abstractNumId="2">
    <w:multiLevelType w:val="hybridMultilevel"/>
    <w:lvl w:ilvl="0">
      <w:start w:val="2"/>
      <w:numFmt w:val="decimal"/>
      <w:lvlText w:val="%1"/>
      <w:lvlJc w:val="left"/>
      <w:pPr>
        <w:ind w:left="1828" w:hanging="421"/>
        <w:jc w:val="left"/>
      </w:pPr>
      <w:rPr>
        <w:rFonts w:hint="default"/>
      </w:rPr>
    </w:lvl>
    <w:lvl w:ilvl="1">
      <w:start w:val="1"/>
      <w:numFmt w:val="decimal"/>
      <w:lvlText w:val="%1.%2"/>
      <w:lvlJc w:val="left"/>
      <w:pPr>
        <w:ind w:left="1828" w:hanging="421"/>
        <w:jc w:val="left"/>
      </w:pPr>
      <w:rPr>
        <w:rFonts w:hint="default" w:ascii="宋体" w:hAnsi="宋体" w:eastAsia="宋体" w:cs="宋体"/>
        <w:spacing w:val="-2"/>
        <w:w w:val="100"/>
        <w:sz w:val="21"/>
        <w:szCs w:val="21"/>
      </w:rPr>
    </w:lvl>
    <w:lvl w:ilvl="2">
      <w:start w:val="0"/>
      <w:numFmt w:val="bullet"/>
      <w:lvlText w:val="•"/>
      <w:lvlJc w:val="left"/>
      <w:pPr>
        <w:ind w:left="2117" w:hanging="421"/>
      </w:pPr>
      <w:rPr>
        <w:rFonts w:hint="default"/>
      </w:rPr>
    </w:lvl>
    <w:lvl w:ilvl="3">
      <w:start w:val="0"/>
      <w:numFmt w:val="bullet"/>
      <w:lvlText w:val="•"/>
      <w:lvlJc w:val="left"/>
      <w:pPr>
        <w:ind w:left="2265" w:hanging="421"/>
      </w:pPr>
      <w:rPr>
        <w:rFonts w:hint="default"/>
      </w:rPr>
    </w:lvl>
    <w:lvl w:ilvl="4">
      <w:start w:val="0"/>
      <w:numFmt w:val="bullet"/>
      <w:lvlText w:val="•"/>
      <w:lvlJc w:val="left"/>
      <w:pPr>
        <w:ind w:left="2414" w:hanging="421"/>
      </w:pPr>
      <w:rPr>
        <w:rFonts w:hint="default"/>
      </w:rPr>
    </w:lvl>
    <w:lvl w:ilvl="5">
      <w:start w:val="0"/>
      <w:numFmt w:val="bullet"/>
      <w:lvlText w:val="•"/>
      <w:lvlJc w:val="left"/>
      <w:pPr>
        <w:ind w:left="2562" w:hanging="421"/>
      </w:pPr>
      <w:rPr>
        <w:rFonts w:hint="default"/>
      </w:rPr>
    </w:lvl>
    <w:lvl w:ilvl="6">
      <w:start w:val="0"/>
      <w:numFmt w:val="bullet"/>
      <w:lvlText w:val="•"/>
      <w:lvlJc w:val="left"/>
      <w:pPr>
        <w:ind w:left="2711" w:hanging="421"/>
      </w:pPr>
      <w:rPr>
        <w:rFonts w:hint="default"/>
      </w:rPr>
    </w:lvl>
    <w:lvl w:ilvl="7">
      <w:start w:val="0"/>
      <w:numFmt w:val="bullet"/>
      <w:lvlText w:val="•"/>
      <w:lvlJc w:val="left"/>
      <w:pPr>
        <w:ind w:left="2860" w:hanging="421"/>
      </w:pPr>
      <w:rPr>
        <w:rFonts w:hint="default"/>
      </w:rPr>
    </w:lvl>
    <w:lvl w:ilvl="8">
      <w:start w:val="0"/>
      <w:numFmt w:val="bullet"/>
      <w:lvlText w:val="•"/>
      <w:lvlJc w:val="left"/>
      <w:pPr>
        <w:ind w:left="3008" w:hanging="421"/>
      </w:pPr>
      <w:rPr>
        <w:rFonts w:hint="default"/>
      </w:rPr>
    </w:lvl>
  </w:abstractNum>
  <w:abstractNum w:abstractNumId="1">
    <w:multiLevelType w:val="hybridMultilevel"/>
    <w:lvl w:ilvl="0">
      <w:start w:val="1"/>
      <w:numFmt w:val="decimal"/>
      <w:lvlText w:val="%1"/>
      <w:lvlJc w:val="left"/>
      <w:pPr>
        <w:ind w:left="1828" w:hanging="421"/>
        <w:jc w:val="left"/>
      </w:pPr>
      <w:rPr>
        <w:rFonts w:hint="default"/>
      </w:rPr>
    </w:lvl>
    <w:lvl w:ilvl="1">
      <w:start w:val="1"/>
      <w:numFmt w:val="decimal"/>
      <w:lvlText w:val="%1.%2"/>
      <w:lvlJc w:val="left"/>
      <w:pPr>
        <w:ind w:left="1828" w:hanging="421"/>
        <w:jc w:val="left"/>
      </w:pPr>
      <w:rPr>
        <w:rFonts w:hint="default" w:ascii="宋体" w:hAnsi="宋体" w:eastAsia="宋体" w:cs="宋体"/>
        <w:spacing w:val="-2"/>
        <w:w w:val="100"/>
        <w:sz w:val="21"/>
        <w:szCs w:val="21"/>
      </w:rPr>
    </w:lvl>
    <w:lvl w:ilvl="2">
      <w:start w:val="0"/>
      <w:numFmt w:val="bullet"/>
      <w:lvlText w:val="•"/>
      <w:lvlJc w:val="left"/>
      <w:pPr>
        <w:ind w:left="2117" w:hanging="421"/>
      </w:pPr>
      <w:rPr>
        <w:rFonts w:hint="default"/>
      </w:rPr>
    </w:lvl>
    <w:lvl w:ilvl="3">
      <w:start w:val="0"/>
      <w:numFmt w:val="bullet"/>
      <w:lvlText w:val="•"/>
      <w:lvlJc w:val="left"/>
      <w:pPr>
        <w:ind w:left="2265" w:hanging="421"/>
      </w:pPr>
      <w:rPr>
        <w:rFonts w:hint="default"/>
      </w:rPr>
    </w:lvl>
    <w:lvl w:ilvl="4">
      <w:start w:val="0"/>
      <w:numFmt w:val="bullet"/>
      <w:lvlText w:val="•"/>
      <w:lvlJc w:val="left"/>
      <w:pPr>
        <w:ind w:left="2414" w:hanging="421"/>
      </w:pPr>
      <w:rPr>
        <w:rFonts w:hint="default"/>
      </w:rPr>
    </w:lvl>
    <w:lvl w:ilvl="5">
      <w:start w:val="0"/>
      <w:numFmt w:val="bullet"/>
      <w:lvlText w:val="•"/>
      <w:lvlJc w:val="left"/>
      <w:pPr>
        <w:ind w:left="2562" w:hanging="421"/>
      </w:pPr>
      <w:rPr>
        <w:rFonts w:hint="default"/>
      </w:rPr>
    </w:lvl>
    <w:lvl w:ilvl="6">
      <w:start w:val="0"/>
      <w:numFmt w:val="bullet"/>
      <w:lvlText w:val="•"/>
      <w:lvlJc w:val="left"/>
      <w:pPr>
        <w:ind w:left="2711" w:hanging="421"/>
      </w:pPr>
      <w:rPr>
        <w:rFonts w:hint="default"/>
      </w:rPr>
    </w:lvl>
    <w:lvl w:ilvl="7">
      <w:start w:val="0"/>
      <w:numFmt w:val="bullet"/>
      <w:lvlText w:val="•"/>
      <w:lvlJc w:val="left"/>
      <w:pPr>
        <w:ind w:left="2860" w:hanging="421"/>
      </w:pPr>
      <w:rPr>
        <w:rFonts w:hint="default"/>
      </w:rPr>
    </w:lvl>
    <w:lvl w:ilvl="8">
      <w:start w:val="0"/>
      <w:numFmt w:val="bullet"/>
      <w:lvlText w:val="•"/>
      <w:lvlJc w:val="left"/>
      <w:pPr>
        <w:ind w:left="3008"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586" w:hanging="440"/>
      </w:pPr>
      <w:rPr>
        <w:rFonts w:hint="default"/>
      </w:rPr>
    </w:lvl>
    <w:lvl w:ilvl="2">
      <w:start w:val="0"/>
      <w:numFmt w:val="bullet"/>
      <w:lvlText w:val="•"/>
      <w:lvlJc w:val="left"/>
      <w:pPr>
        <w:ind w:left="3392" w:hanging="440"/>
      </w:pPr>
      <w:rPr>
        <w:rFonts w:hint="default"/>
      </w:rPr>
    </w:lvl>
    <w:lvl w:ilvl="3">
      <w:start w:val="0"/>
      <w:numFmt w:val="bullet"/>
      <w:lvlText w:val="•"/>
      <w:lvlJc w:val="left"/>
      <w:pPr>
        <w:ind w:left="4199" w:hanging="440"/>
      </w:pPr>
      <w:rPr>
        <w:rFonts w:hint="default"/>
      </w:rPr>
    </w:lvl>
    <w:lvl w:ilvl="4">
      <w:start w:val="0"/>
      <w:numFmt w:val="bullet"/>
      <w:lvlText w:val="•"/>
      <w:lvlJc w:val="left"/>
      <w:pPr>
        <w:ind w:left="5005" w:hanging="440"/>
      </w:pPr>
      <w:rPr>
        <w:rFonts w:hint="default"/>
      </w:rPr>
    </w:lvl>
    <w:lvl w:ilvl="5">
      <w:start w:val="0"/>
      <w:numFmt w:val="bullet"/>
      <w:lvlText w:val="•"/>
      <w:lvlJc w:val="left"/>
      <w:pPr>
        <w:ind w:left="5812" w:hanging="440"/>
      </w:pPr>
      <w:rPr>
        <w:rFonts w:hint="default"/>
      </w:rPr>
    </w:lvl>
    <w:lvl w:ilvl="6">
      <w:start w:val="0"/>
      <w:numFmt w:val="bullet"/>
      <w:lvlText w:val="•"/>
      <w:lvlJc w:val="left"/>
      <w:pPr>
        <w:ind w:left="6618" w:hanging="440"/>
      </w:pPr>
      <w:rPr>
        <w:rFonts w:hint="default"/>
      </w:rPr>
    </w:lvl>
    <w:lvl w:ilvl="7">
      <w:start w:val="0"/>
      <w:numFmt w:val="bullet"/>
      <w:lvlText w:val="•"/>
      <w:lvlJc w:val="left"/>
      <w:pPr>
        <w:ind w:left="7425" w:hanging="440"/>
      </w:pPr>
      <w:rPr>
        <w:rFonts w:hint="default"/>
      </w:rPr>
    </w:lvl>
    <w:lvl w:ilvl="8">
      <w:start w:val="0"/>
      <w:numFmt w:val="bullet"/>
      <w:lvlText w:val="•"/>
      <w:lvlJc w:val="left"/>
      <w:pPr>
        <w:ind w:left="8231" w:hanging="440"/>
      </w:pPr>
      <w:rPr>
        <w:rFonts w:hint="default"/>
      </w:rPr>
    </w:lvl>
  </w:abstractNum>
  <w:num w:numId="25">
    <w:abstractNumId w:val="24"/>
  </w:num>
  <w:num w:numId="24">
    <w:abstractNumId w:val="23"/>
  </w:num>
  <w:num w:numId="23">
    <w:abstractNumId w:val="22"/>
  </w:num>
  <w:num w:numId="21">
    <w:abstractNumId w:val="20"/>
  </w:num>
  <w:num w:numId="20">
    <w:abstractNumId w:val="19"/>
  </w:num>
  <w:num w:numId="19">
    <w:abstractNumId w:val="18"/>
  </w:num>
  <w:num w:numId="18">
    <w:abstractNumId w:val="17"/>
  </w:num>
  <w:num w:numId="22">
    <w:abstractNumId w:val="21"/>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783"/>
      <w:outlineLvl w:val="1"/>
    </w:pPr>
    <w:rPr>
      <w:rFonts w:ascii="宋体" w:hAnsi="宋体" w:eastAsia="宋体" w:cs="宋体"/>
      <w:b/>
      <w:bCs/>
      <w:sz w:val="21"/>
      <w:szCs w:val="21"/>
    </w:rPr>
  </w:style>
  <w:style w:styleId="Heading2" w:type="paragraph">
    <w:name w:val="Heading 2"/>
    <w:basedOn w:val="Normal"/>
    <w:uiPriority w:val="1"/>
    <w:qFormat/>
    <w:pPr>
      <w:spacing w:before="45"/>
      <w:ind w:left="525" w:hanging="420"/>
      <w:outlineLvl w:val="2"/>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2018-10-20T00:20:06Z</dcterms:created>
  <dcterms:modified xsi:type="dcterms:W3CDTF">2018-10-20T00:20:06Z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