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w w:val="95"/>
          <w:sz w:val="32"/>
        </w:rPr>
        <w:t>附加恒泰人Th提前给付重大疾病保险条款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77"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498" w:lineRule="exact" w:before="0"/>
        <w:ind w:left="106"/>
      </w:pPr>
      <w:r>
        <w:rPr>
          <w:rFonts w:ascii="Arial" w:hAnsi="Arial" w:eastAsia="Arial"/>
          <w:b w:val="0"/>
          <w:w w:val="150"/>
          <w:position w:val="-11"/>
          <w:sz w:val="52"/>
        </w:rPr>
        <w:t>¤</w:t>
        <w:tab/>
      </w:r>
      <w:r>
        <w:rPr>
          <w:w w:val="95"/>
        </w:rPr>
        <w:t>您拥有的重要权益</w:t>
      </w:r>
    </w:p>
    <w:p>
      <w:pPr>
        <w:spacing w:before="29"/>
        <w:ind w:left="52" w:right="52" w:firstLine="0"/>
        <w:jc w:val="center"/>
        <w:rPr>
          <w:sz w:val="15"/>
        </w:rPr>
      </w:pPr>
      <w:r>
        <w:rPr/>
        <w:br w:type="column"/>
      </w:r>
      <w:r>
        <w:rPr>
          <w:sz w:val="15"/>
        </w:rPr>
        <w:t>太平洋人寿[2013]疾病保险 030 号</w:t>
      </w:r>
    </w:p>
    <w:p>
      <w:pPr>
        <w:pStyle w:val="BodyText"/>
        <w:spacing w:before="10"/>
        <w:rPr>
          <w:sz w:val="9"/>
        </w:rPr>
      </w:pPr>
    </w:p>
    <w:p>
      <w:pPr>
        <w:pStyle w:val="BodyText"/>
        <w:spacing w:before="0"/>
        <w:ind w:left="64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73"/>
        <w:ind w:left="26" w:right="52"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90" w:space="1190"/>
            <w:col w:w="2470"/>
          </w:cols>
        </w:sectPr>
      </w:pPr>
    </w:p>
    <w:p>
      <w:pPr>
        <w:pStyle w:val="ListParagraph"/>
        <w:numPr>
          <w:ilvl w:val="0"/>
          <w:numId w:val="1"/>
        </w:numPr>
        <w:tabs>
          <w:tab w:pos="843" w:val="left" w:leader="none"/>
          <w:tab w:pos="844" w:val="left" w:leader="none"/>
          <w:tab w:pos="9393" w:val="right" w:leader="dot"/>
        </w:tabs>
        <w:spacing w:line="188" w:lineRule="exact" w:before="0" w:after="0"/>
        <w:ind w:left="843" w:right="0" w:hanging="452"/>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日（即犹豫期）内您若要求退保，我们仅扣除工本费</w:t>
        <w:tab/>
        <w:t>1.4</w:t>
      </w:r>
    </w:p>
    <w:p>
      <w:pPr>
        <w:pStyle w:val="ListParagraph"/>
        <w:numPr>
          <w:ilvl w:val="0"/>
          <w:numId w:val="1"/>
        </w:numPr>
        <w:tabs>
          <w:tab w:pos="843" w:val="left" w:leader="none"/>
          <w:tab w:pos="844" w:val="left" w:leader="none"/>
          <w:tab w:pos="9393" w:val="right" w:leader="dot"/>
        </w:tabs>
        <w:spacing w:line="240" w:lineRule="auto" w:before="85"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您有按本附加险合同的约定申请减保的权利…</w:t>
        <w:tab/>
        <w:t>5.1</w:t>
      </w:r>
    </w:p>
    <w:p>
      <w:pPr>
        <w:pStyle w:val="ListParagraph"/>
        <w:numPr>
          <w:ilvl w:val="0"/>
          <w:numId w:val="1"/>
        </w:numPr>
        <w:tabs>
          <w:tab w:pos="843" w:val="left" w:leader="none"/>
          <w:tab w:pos="844" w:val="left" w:leader="none"/>
          <w:tab w:pos="9393" w:val="right" w:leader="dot"/>
        </w:tabs>
        <w:spacing w:line="199" w:lineRule="exact" w:before="84" w:after="0"/>
        <w:ind w:left="843" w:right="0" w:hanging="452"/>
        <w:jc w:val="left"/>
        <w:rPr>
          <w:sz w:val="18"/>
        </w:rPr>
      </w:pPr>
      <w:r>
        <w:rPr>
          <w:sz w:val="18"/>
        </w:rPr>
        <w:t>您有退保的权利（须与主险合同一并退保）…</w:t>
        <w:tab/>
        <w:t>7.2</w:t>
      </w:r>
    </w:p>
    <w:p>
      <w:pPr>
        <w:pStyle w:val="Heading2"/>
        <w:tabs>
          <w:tab w:pos="836" w:val="left" w:leader="none"/>
        </w:tabs>
        <w:spacing w:line="50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347" w:val="right" w:leader="dot"/>
        </w:tabs>
        <w:spacing w:line="175" w:lineRule="exact" w:before="0" w:after="0"/>
        <w:ind w:left="843" w:right="0" w:hanging="452"/>
        <w:jc w:val="left"/>
        <w:rPr>
          <w:sz w:val="18"/>
        </w:rPr>
      </w:pPr>
      <w:r>
        <w:rPr>
          <w:sz w:val="18"/>
        </w:rPr>
        <w:t>180</w:t>
      </w:r>
      <w:r>
        <w:rPr>
          <w:spacing w:val="-46"/>
          <w:sz w:val="18"/>
        </w:rPr>
        <w:t> </w:t>
      </w:r>
      <w:r>
        <w:rPr>
          <w:sz w:val="18"/>
        </w:rPr>
        <w:t>日内我们承担的责任有所不同，请您注意…</w:t>
        <w:tab/>
        <w:t>2.3</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本附加险合同有比例给付的约定，请您注意…</w:t>
        <w:tab/>
        <w:t>2.3</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主险合同终止时，本附加险合同同时终止…</w:t>
        <w:tab/>
        <w:t>7.1</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退保会给您造成一定的损失，请您慎重决策…</w:t>
        <w:tab/>
        <w:t>7.2</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本附加险合同的某些事项适用主险合同条款，请您注意…</w:t>
        <w:tab/>
        <w:t>8.2</w:t>
      </w:r>
    </w:p>
    <w:p>
      <w:pPr>
        <w:pStyle w:val="ListParagraph"/>
        <w:numPr>
          <w:ilvl w:val="0"/>
          <w:numId w:val="1"/>
        </w:numPr>
        <w:tabs>
          <w:tab w:pos="843" w:val="left" w:leader="none"/>
          <w:tab w:pos="844" w:val="left" w:leader="none"/>
          <w:tab w:pos="9393" w:val="right" w:leader="dot"/>
        </w:tabs>
        <w:spacing w:line="199" w:lineRule="exact" w:before="83" w:after="0"/>
        <w:ind w:left="843" w:right="0" w:hanging="452"/>
        <w:jc w:val="left"/>
        <w:rPr>
          <w:sz w:val="18"/>
        </w:rPr>
      </w:pPr>
      <w:r>
        <w:rPr>
          <w:sz w:val="18"/>
        </w:rPr>
        <w:t>我们对一些重要术语进行了解释，并作了显著标识，请您注意</w:t>
        <w:tab/>
        <w:t>11</w:t>
      </w:r>
    </w:p>
    <w:p>
      <w:pPr>
        <w:pStyle w:val="Heading2"/>
        <w:tabs>
          <w:tab w:pos="836" w:val="left" w:leader="none"/>
        </w:tabs>
        <w:spacing w:line="423"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6" w:val="left" w:leader="none"/>
        </w:tabs>
        <w:spacing w:line="393" w:lineRule="exact" w:before="0"/>
        <w:ind w:left="106"/>
      </w:pPr>
      <w:r>
        <w:rPr/>
        <w:pict>
          <v:shapetype id="_x0000_t202" o:spt="202" coordsize="21600,21600" path="m,l,21600r21600,l21600,xe">
            <v:stroke joinstyle="miter"/>
            <v:path gradientshapeok="t" o:connecttype="rect"/>
          </v:shapetype>
          <v:shape style="position:absolute;margin-left:80.339996pt;margin-top:18.289261pt;width:117pt;height:11.8pt;mso-position-horizontal-relative:page;mso-position-vertical-relative:paragraph;z-index:-48880"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b w:val="0"/>
          <w:w w:val="150"/>
          <w:position w:val="-11"/>
          <w:sz w:val="52"/>
        </w:rPr>
        <w:t>¤</w:t>
        <w:tab/>
      </w:r>
      <w:r>
        <w:rPr>
          <w:w w:val="95"/>
        </w:rPr>
        <w:t>条款目录（不含三级目录）</w:t>
      </w:r>
    </w:p>
    <w:p>
      <w:pPr>
        <w:tabs>
          <w:tab w:pos="7024" w:val="left" w:leader="none"/>
        </w:tabs>
        <w:spacing w:line="180" w:lineRule="exact" w:before="0"/>
        <w:ind w:left="3746" w:right="0" w:firstLine="0"/>
        <w:jc w:val="left"/>
        <w:rPr>
          <w:rFonts w:ascii="黑体" w:eastAsia="黑体" w:hint="eastAsia"/>
          <w:sz w:val="18"/>
        </w:rPr>
      </w:pPr>
      <w:r>
        <w:rPr>
          <w:rFonts w:ascii="黑体" w:eastAsia="黑体" w:hint="eastAsia"/>
          <w:sz w:val="18"/>
        </w:rPr>
        <w:t>5.1 减保</w:t>
        <w:tab/>
        <w:t>11.3 意外伤害</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324"/>
        <w:gridCol w:w="2814"/>
      </w:tblGrid>
      <w:tr>
        <w:trPr>
          <w:trHeight w:val="250" w:hRule="atLeast"/>
        </w:trPr>
        <w:tc>
          <w:tcPr>
            <w:tcW w:w="2860" w:type="dxa"/>
          </w:tcPr>
          <w:p>
            <w:pPr>
              <w:pStyle w:val="TableParagraph"/>
              <w:spacing w:line="180" w:lineRule="exact"/>
              <w:ind w:left="50"/>
              <w:rPr>
                <w:rFonts w:ascii="黑体" w:eastAsia="黑体" w:hint="eastAsia"/>
                <w:sz w:val="18"/>
              </w:rPr>
            </w:pPr>
            <w:r>
              <w:rPr>
                <w:rFonts w:ascii="黑体" w:eastAsia="黑体" w:hint="eastAsia"/>
                <w:sz w:val="18"/>
              </w:rPr>
              <w:t>1.1 合同构成</w:t>
            </w:r>
          </w:p>
        </w:tc>
        <w:tc>
          <w:tcPr>
            <w:tcW w:w="3324" w:type="dxa"/>
          </w:tcPr>
          <w:p>
            <w:pPr>
              <w:pStyle w:val="TableParagraph"/>
              <w:tabs>
                <w:tab w:pos="2809" w:val="left" w:leader="none"/>
              </w:tabs>
              <w:spacing w:line="180" w:lineRule="exact"/>
              <w:ind w:left="469"/>
              <w:rPr>
                <w:rFonts w:ascii="黑体" w:eastAsia="黑体" w:hint="eastAsia"/>
                <w:sz w:val="18"/>
              </w:rPr>
            </w:pPr>
            <w:r>
              <w:rPr>
                <w:rFonts w:ascii="黑体" w:eastAsia="黑体" w:hint="eastAsia"/>
                <w:sz w:val="18"/>
                <w:shd w:fill="D9D9D9" w:color="auto" w:val="clear"/>
              </w:rPr>
              <w:t>6.保险费自动垫交</w:t>
              <w:tab/>
            </w:r>
          </w:p>
        </w:tc>
        <w:tc>
          <w:tcPr>
            <w:tcW w:w="2814" w:type="dxa"/>
          </w:tcPr>
          <w:p>
            <w:pPr>
              <w:pStyle w:val="TableParagraph"/>
              <w:spacing w:line="180" w:lineRule="exact"/>
              <w:ind w:left="423"/>
              <w:rPr>
                <w:rFonts w:ascii="黑体" w:eastAsia="黑体" w:hint="eastAsia"/>
                <w:sz w:val="18"/>
              </w:rPr>
            </w:pPr>
            <w:r>
              <w:rPr>
                <w:rFonts w:ascii="黑体" w:eastAsia="黑体" w:hint="eastAsia"/>
                <w:sz w:val="18"/>
              </w:rPr>
              <w:t>11.4 毒品</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1.2 合同成立与Th效</w:t>
            </w:r>
          </w:p>
        </w:tc>
        <w:tc>
          <w:tcPr>
            <w:tcW w:w="3324" w:type="dxa"/>
          </w:tcPr>
          <w:p>
            <w:pPr>
              <w:pStyle w:val="TableParagraph"/>
              <w:spacing w:before="14"/>
              <w:ind w:left="469"/>
              <w:rPr>
                <w:rFonts w:ascii="黑体" w:eastAsia="黑体" w:hint="eastAsia"/>
                <w:sz w:val="18"/>
              </w:rPr>
            </w:pPr>
            <w:r>
              <w:rPr>
                <w:rFonts w:ascii="黑体" w:eastAsia="黑体" w:hint="eastAsia"/>
                <w:sz w:val="18"/>
              </w:rPr>
              <w:t>6.1 保险费自动垫交</w:t>
            </w:r>
          </w:p>
        </w:tc>
        <w:tc>
          <w:tcPr>
            <w:tcW w:w="2814" w:type="dxa"/>
          </w:tcPr>
          <w:p>
            <w:pPr>
              <w:pStyle w:val="TableParagraph"/>
              <w:spacing w:before="14"/>
              <w:ind w:left="423"/>
              <w:rPr>
                <w:rFonts w:ascii="黑体" w:eastAsia="黑体" w:hint="eastAsia"/>
                <w:sz w:val="18"/>
              </w:rPr>
            </w:pPr>
            <w:r>
              <w:rPr>
                <w:rFonts w:ascii="黑体" w:eastAsia="黑体" w:hint="eastAsia"/>
                <w:sz w:val="18"/>
              </w:rPr>
              <w:t>11.5 酒后驾驶</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1.3 投保年龄</w:t>
            </w:r>
          </w:p>
        </w:tc>
        <w:tc>
          <w:tcPr>
            <w:tcW w:w="3324"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7.合同终止与解除</w:t>
              <w:tab/>
            </w:r>
          </w:p>
        </w:tc>
        <w:tc>
          <w:tcPr>
            <w:tcW w:w="2814" w:type="dxa"/>
          </w:tcPr>
          <w:p>
            <w:pPr>
              <w:pStyle w:val="TableParagraph"/>
              <w:spacing w:before="14"/>
              <w:ind w:left="423"/>
              <w:rPr>
                <w:rFonts w:ascii="黑体" w:eastAsia="黑体" w:hint="eastAsia"/>
                <w:sz w:val="18"/>
              </w:rPr>
            </w:pPr>
            <w:r>
              <w:rPr>
                <w:rFonts w:ascii="黑体" w:eastAsia="黑体" w:hint="eastAsia"/>
                <w:sz w:val="18"/>
              </w:rPr>
              <w:t>11.6 无合法有效驾驶证驾驶</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1.4 犹豫期</w:t>
            </w:r>
          </w:p>
        </w:tc>
        <w:tc>
          <w:tcPr>
            <w:tcW w:w="3324" w:type="dxa"/>
          </w:tcPr>
          <w:p>
            <w:pPr>
              <w:pStyle w:val="TableParagraph"/>
              <w:spacing w:before="14"/>
              <w:ind w:left="469"/>
              <w:rPr>
                <w:rFonts w:ascii="黑体" w:eastAsia="黑体" w:hint="eastAsia"/>
                <w:sz w:val="18"/>
              </w:rPr>
            </w:pPr>
            <w:r>
              <w:rPr>
                <w:rFonts w:ascii="黑体" w:eastAsia="黑体" w:hint="eastAsia"/>
                <w:sz w:val="18"/>
              </w:rPr>
              <w:t>7.1 合同终止</w:t>
            </w:r>
          </w:p>
        </w:tc>
        <w:tc>
          <w:tcPr>
            <w:tcW w:w="2814" w:type="dxa"/>
          </w:tcPr>
          <w:p>
            <w:pPr>
              <w:pStyle w:val="TableParagraph"/>
              <w:spacing w:before="14"/>
              <w:ind w:left="423"/>
              <w:rPr>
                <w:rFonts w:ascii="黑体" w:eastAsia="黑体" w:hint="eastAsia"/>
                <w:sz w:val="18"/>
              </w:rPr>
            </w:pPr>
            <w:r>
              <w:rPr>
                <w:rFonts w:ascii="黑体" w:eastAsia="黑体" w:hint="eastAsia"/>
                <w:sz w:val="18"/>
              </w:rPr>
              <w:t>11.7 无有效行驶证</w:t>
            </w:r>
          </w:p>
        </w:tc>
      </w:tr>
      <w:tr>
        <w:trPr>
          <w:trHeight w:val="319"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2.我们提供的保障</w:t>
              <w:tab/>
            </w:r>
          </w:p>
        </w:tc>
        <w:tc>
          <w:tcPr>
            <w:tcW w:w="3324" w:type="dxa"/>
          </w:tcPr>
          <w:p>
            <w:pPr>
              <w:pStyle w:val="TableParagraph"/>
              <w:spacing w:before="14"/>
              <w:ind w:left="469"/>
              <w:rPr>
                <w:rFonts w:ascii="黑体" w:eastAsia="黑体" w:hint="eastAsia"/>
                <w:sz w:val="18"/>
              </w:rPr>
            </w:pPr>
            <w:r>
              <w:rPr>
                <w:rFonts w:ascii="黑体" w:eastAsia="黑体" w:hint="eastAsia"/>
                <w:sz w:val="18"/>
              </w:rPr>
              <w:t>7.2 您解除合同的手续及风险</w:t>
            </w:r>
          </w:p>
        </w:tc>
        <w:tc>
          <w:tcPr>
            <w:tcW w:w="2814" w:type="dxa"/>
          </w:tcPr>
          <w:p>
            <w:pPr>
              <w:pStyle w:val="TableParagraph"/>
              <w:spacing w:before="14"/>
              <w:ind w:left="423"/>
              <w:rPr>
                <w:rFonts w:ascii="黑体" w:eastAsia="黑体" w:hint="eastAsia"/>
                <w:sz w:val="18"/>
              </w:rPr>
            </w:pPr>
            <w:r>
              <w:rPr>
                <w:rFonts w:ascii="黑体" w:eastAsia="黑体" w:hint="eastAsia"/>
                <w:sz w:val="18"/>
              </w:rPr>
              <w:t>11.8 机动车</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2.1 保险金额</w:t>
            </w:r>
          </w:p>
        </w:tc>
        <w:tc>
          <w:tcPr>
            <w:tcW w:w="3324"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8.其他需要关注的事项</w:t>
              <w:tab/>
            </w:r>
          </w:p>
        </w:tc>
        <w:tc>
          <w:tcPr>
            <w:tcW w:w="2814" w:type="dxa"/>
          </w:tcPr>
          <w:p>
            <w:pPr>
              <w:pStyle w:val="TableParagraph"/>
              <w:spacing w:before="14"/>
              <w:ind w:left="423"/>
              <w:rPr>
                <w:rFonts w:ascii="黑体" w:eastAsia="黑体" w:hint="eastAsia"/>
                <w:sz w:val="18"/>
              </w:rPr>
            </w:pPr>
            <w:r>
              <w:rPr>
                <w:rFonts w:ascii="黑体" w:eastAsia="黑体" w:hint="eastAsia"/>
                <w:sz w:val="18"/>
              </w:rPr>
              <w:t>11.9 感染艾滋病病毒或患艾</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2.2 保险期间</w:t>
            </w:r>
          </w:p>
        </w:tc>
        <w:tc>
          <w:tcPr>
            <w:tcW w:w="3324" w:type="dxa"/>
          </w:tcPr>
          <w:p>
            <w:pPr>
              <w:pStyle w:val="TableParagraph"/>
              <w:spacing w:before="14"/>
              <w:ind w:left="469"/>
              <w:rPr>
                <w:rFonts w:ascii="黑体" w:eastAsia="黑体" w:hint="eastAsia"/>
                <w:sz w:val="18"/>
              </w:rPr>
            </w:pPr>
            <w:r>
              <w:rPr>
                <w:rFonts w:ascii="黑体" w:eastAsia="黑体" w:hint="eastAsia"/>
                <w:sz w:val="18"/>
              </w:rPr>
              <w:t>8.1 合同终止的特殊处理</w:t>
            </w:r>
          </w:p>
        </w:tc>
        <w:tc>
          <w:tcPr>
            <w:tcW w:w="2814" w:type="dxa"/>
          </w:tcPr>
          <w:p>
            <w:pPr>
              <w:pStyle w:val="TableParagraph"/>
              <w:spacing w:before="14"/>
              <w:ind w:left="873"/>
              <w:rPr>
                <w:rFonts w:ascii="黑体" w:eastAsia="黑体" w:hint="eastAsia"/>
                <w:sz w:val="18"/>
              </w:rPr>
            </w:pPr>
            <w:r>
              <w:rPr>
                <w:rFonts w:ascii="黑体" w:eastAsia="黑体" w:hint="eastAsia"/>
                <w:sz w:val="18"/>
              </w:rPr>
              <w:t>滋病</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2.3 保险责任</w:t>
            </w:r>
          </w:p>
        </w:tc>
        <w:tc>
          <w:tcPr>
            <w:tcW w:w="3324" w:type="dxa"/>
          </w:tcPr>
          <w:p>
            <w:pPr>
              <w:pStyle w:val="TableParagraph"/>
              <w:spacing w:before="14"/>
              <w:ind w:left="469"/>
              <w:rPr>
                <w:rFonts w:ascii="黑体" w:eastAsia="黑体" w:hint="eastAsia"/>
                <w:sz w:val="18"/>
              </w:rPr>
            </w:pPr>
            <w:r>
              <w:rPr>
                <w:rFonts w:ascii="黑体" w:eastAsia="黑体" w:hint="eastAsia"/>
                <w:sz w:val="18"/>
              </w:rPr>
              <w:t>8.2 适用主险合同条款</w:t>
            </w:r>
          </w:p>
        </w:tc>
        <w:tc>
          <w:tcPr>
            <w:tcW w:w="2814" w:type="dxa"/>
          </w:tcPr>
          <w:p>
            <w:pPr>
              <w:pStyle w:val="TableParagraph"/>
              <w:spacing w:before="14"/>
              <w:ind w:left="423"/>
              <w:rPr>
                <w:rFonts w:ascii="黑体" w:eastAsia="黑体" w:hint="eastAsia"/>
                <w:sz w:val="18"/>
              </w:rPr>
            </w:pPr>
            <w:r>
              <w:rPr>
                <w:rFonts w:ascii="黑体" w:eastAsia="黑体" w:hint="eastAsia"/>
                <w:sz w:val="18"/>
              </w:rPr>
              <w:t>11.10 遗传性疾病</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2.4 责任免除</w:t>
            </w:r>
          </w:p>
        </w:tc>
        <w:tc>
          <w:tcPr>
            <w:tcW w:w="3324" w:type="dxa"/>
          </w:tcPr>
          <w:p>
            <w:pPr>
              <w:pStyle w:val="TableParagraph"/>
              <w:spacing w:before="14"/>
              <w:ind w:left="469"/>
              <w:rPr>
                <w:rFonts w:ascii="黑体" w:eastAsia="黑体" w:hint="eastAsia"/>
                <w:sz w:val="18"/>
              </w:rPr>
            </w:pPr>
            <w:r>
              <w:rPr>
                <w:rFonts w:ascii="黑体" w:eastAsia="黑体" w:hint="eastAsia"/>
                <w:sz w:val="18"/>
              </w:rPr>
              <w:t>8.3 年龄错误</w:t>
            </w:r>
          </w:p>
        </w:tc>
        <w:tc>
          <w:tcPr>
            <w:tcW w:w="2814" w:type="dxa"/>
          </w:tcPr>
          <w:p>
            <w:pPr>
              <w:pStyle w:val="TableParagraph"/>
              <w:spacing w:before="14"/>
              <w:ind w:left="423"/>
              <w:rPr>
                <w:rFonts w:ascii="黑体" w:eastAsia="黑体" w:hint="eastAsia"/>
                <w:sz w:val="18"/>
              </w:rPr>
            </w:pPr>
            <w:r>
              <w:rPr>
                <w:rFonts w:ascii="黑体" w:eastAsia="黑体" w:hint="eastAsia"/>
                <w:sz w:val="18"/>
              </w:rPr>
              <w:t>11.11 先天性畸形、变形或染</w:t>
            </w:r>
          </w:p>
        </w:tc>
      </w:tr>
      <w:tr>
        <w:trPr>
          <w:trHeight w:val="320"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3.保险金的申请</w:t>
              <w:tab/>
            </w:r>
          </w:p>
        </w:tc>
        <w:tc>
          <w:tcPr>
            <w:tcW w:w="3324"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9.重大疾病的定义</w:t>
              <w:tab/>
            </w:r>
          </w:p>
        </w:tc>
        <w:tc>
          <w:tcPr>
            <w:tcW w:w="2814" w:type="dxa"/>
          </w:tcPr>
          <w:p>
            <w:pPr>
              <w:pStyle w:val="TableParagraph"/>
              <w:spacing w:before="14"/>
              <w:ind w:left="766" w:right="930"/>
              <w:jc w:val="center"/>
              <w:rPr>
                <w:rFonts w:ascii="黑体" w:eastAsia="黑体" w:hint="eastAsia"/>
                <w:sz w:val="18"/>
              </w:rPr>
            </w:pPr>
            <w:r>
              <w:rPr>
                <w:rFonts w:ascii="黑体" w:eastAsia="黑体" w:hint="eastAsia"/>
                <w:sz w:val="18"/>
              </w:rPr>
              <w:t>色体异常</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324" w:type="dxa"/>
          </w:tcPr>
          <w:p>
            <w:pPr>
              <w:pStyle w:val="TableParagraph"/>
              <w:spacing w:before="14"/>
              <w:ind w:left="469"/>
              <w:rPr>
                <w:rFonts w:ascii="黑体" w:eastAsia="黑体" w:hint="eastAsia"/>
                <w:sz w:val="18"/>
              </w:rPr>
            </w:pPr>
            <w:r>
              <w:rPr>
                <w:rFonts w:ascii="黑体" w:eastAsia="黑体" w:hint="eastAsia"/>
                <w:sz w:val="18"/>
              </w:rPr>
              <w:t>9.1 重大疾病的定义</w:t>
            </w:r>
          </w:p>
        </w:tc>
        <w:tc>
          <w:tcPr>
            <w:tcW w:w="2814" w:type="dxa"/>
          </w:tcPr>
          <w:p>
            <w:pPr>
              <w:pStyle w:val="TableParagraph"/>
              <w:spacing w:before="14"/>
              <w:ind w:left="423"/>
              <w:rPr>
                <w:rFonts w:ascii="黑体" w:eastAsia="黑体" w:hint="eastAsia"/>
                <w:sz w:val="18"/>
              </w:rPr>
            </w:pPr>
            <w:r>
              <w:rPr>
                <w:rFonts w:ascii="黑体" w:eastAsia="黑体" w:hint="eastAsia"/>
                <w:sz w:val="18"/>
              </w:rPr>
              <w:t>11.12 现金价值</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3.2 保险金申请</w:t>
            </w:r>
          </w:p>
        </w:tc>
        <w:tc>
          <w:tcPr>
            <w:tcW w:w="3324" w:type="dxa"/>
          </w:tcPr>
          <w:p>
            <w:pPr>
              <w:pStyle w:val="TableParagraph"/>
              <w:spacing w:before="14"/>
              <w:ind w:left="469"/>
              <w:rPr>
                <w:rFonts w:ascii="黑体" w:eastAsia="黑体" w:hint="eastAsia"/>
                <w:sz w:val="18"/>
              </w:rPr>
            </w:pPr>
            <w:r>
              <w:rPr>
                <w:rFonts w:ascii="黑体" w:eastAsia="黑体" w:hint="eastAsia"/>
                <w:sz w:val="18"/>
              </w:rPr>
              <w:t>9.2 定义来源及确诊医院范围</w:t>
            </w:r>
          </w:p>
        </w:tc>
        <w:tc>
          <w:tcPr>
            <w:tcW w:w="2814" w:type="dxa"/>
          </w:tcPr>
          <w:p>
            <w:pPr>
              <w:pStyle w:val="TableParagraph"/>
              <w:spacing w:before="14"/>
              <w:ind w:left="423"/>
              <w:rPr>
                <w:rFonts w:ascii="黑体" w:eastAsia="黑体" w:hint="eastAsia"/>
                <w:sz w:val="18"/>
              </w:rPr>
            </w:pPr>
            <w:r>
              <w:rPr>
                <w:rFonts w:ascii="黑体" w:eastAsia="黑体" w:hint="eastAsia"/>
                <w:sz w:val="18"/>
              </w:rPr>
              <w:t>11.13 情形复杂</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3.3 保险金给付</w:t>
            </w:r>
          </w:p>
        </w:tc>
        <w:tc>
          <w:tcPr>
            <w:tcW w:w="3324" w:type="dxa"/>
          </w:tcPr>
          <w:p>
            <w:pPr>
              <w:pStyle w:val="TableParagraph"/>
              <w:tabs>
                <w:tab w:pos="2899" w:val="left" w:leader="none"/>
              </w:tabs>
              <w:spacing w:before="14"/>
              <w:ind w:left="469"/>
              <w:rPr>
                <w:rFonts w:ascii="黑体" w:eastAsia="黑体" w:hint="eastAsia"/>
                <w:sz w:val="18"/>
              </w:rPr>
            </w:pPr>
            <w:r>
              <w:rPr>
                <w:rFonts w:ascii="黑体" w:eastAsia="黑体" w:hint="eastAsia"/>
                <w:sz w:val="18"/>
                <w:shd w:fill="D9D9D9" w:color="auto" w:val="clear"/>
              </w:rPr>
              <w:t>10.特定疾病的定义</w:t>
              <w:tab/>
            </w:r>
          </w:p>
        </w:tc>
        <w:tc>
          <w:tcPr>
            <w:tcW w:w="2814" w:type="dxa"/>
          </w:tcPr>
          <w:p>
            <w:pPr>
              <w:pStyle w:val="TableParagraph"/>
              <w:spacing w:before="14"/>
              <w:ind w:left="423"/>
              <w:rPr>
                <w:rFonts w:ascii="黑体" w:eastAsia="黑体" w:hint="eastAsia"/>
                <w:sz w:val="18"/>
              </w:rPr>
            </w:pPr>
            <w:r>
              <w:rPr>
                <w:rFonts w:ascii="黑体" w:eastAsia="黑体" w:hint="eastAsia"/>
                <w:sz w:val="18"/>
              </w:rPr>
              <w:t>11.14 专科医Th</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3.4 诉讼时效</w:t>
            </w:r>
          </w:p>
        </w:tc>
        <w:tc>
          <w:tcPr>
            <w:tcW w:w="3324" w:type="dxa"/>
          </w:tcPr>
          <w:p>
            <w:pPr>
              <w:pStyle w:val="TableParagraph"/>
              <w:spacing w:before="14"/>
              <w:ind w:left="469"/>
              <w:rPr>
                <w:rFonts w:ascii="黑体" w:eastAsia="黑体" w:hint="eastAsia"/>
                <w:sz w:val="18"/>
              </w:rPr>
            </w:pPr>
            <w:r>
              <w:rPr>
                <w:rFonts w:ascii="黑体" w:eastAsia="黑体" w:hint="eastAsia"/>
                <w:sz w:val="18"/>
              </w:rPr>
              <w:t>10.1 特定疾病的定义</w:t>
            </w:r>
          </w:p>
        </w:tc>
        <w:tc>
          <w:tcPr>
            <w:tcW w:w="2814" w:type="dxa"/>
          </w:tcPr>
          <w:p>
            <w:pPr>
              <w:pStyle w:val="TableParagraph"/>
              <w:spacing w:before="14"/>
              <w:ind w:left="423"/>
              <w:rPr>
                <w:rFonts w:ascii="黑体" w:eastAsia="黑体" w:hint="eastAsia"/>
                <w:sz w:val="18"/>
              </w:rPr>
            </w:pPr>
            <w:r>
              <w:rPr>
                <w:rFonts w:ascii="黑体" w:eastAsia="黑体" w:hint="eastAsia"/>
                <w:sz w:val="18"/>
              </w:rPr>
              <w:t>11.15 肢体机能完全丧失</w:t>
            </w:r>
          </w:p>
        </w:tc>
      </w:tr>
      <w:tr>
        <w:trPr>
          <w:trHeight w:val="319"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4.保险费的支付</w:t>
              <w:tab/>
            </w:r>
          </w:p>
        </w:tc>
        <w:tc>
          <w:tcPr>
            <w:tcW w:w="3324" w:type="dxa"/>
          </w:tcPr>
          <w:p>
            <w:pPr>
              <w:pStyle w:val="TableParagraph"/>
              <w:spacing w:before="14"/>
              <w:ind w:left="469"/>
              <w:rPr>
                <w:rFonts w:ascii="黑体" w:eastAsia="黑体" w:hint="eastAsia"/>
                <w:sz w:val="18"/>
              </w:rPr>
            </w:pPr>
            <w:r>
              <w:rPr>
                <w:rFonts w:ascii="黑体" w:eastAsia="黑体" w:hint="eastAsia"/>
                <w:sz w:val="18"/>
              </w:rPr>
              <w:t>10.2 定义来源及确诊医院范围</w:t>
            </w:r>
          </w:p>
        </w:tc>
        <w:tc>
          <w:tcPr>
            <w:tcW w:w="2814" w:type="dxa"/>
          </w:tcPr>
          <w:p>
            <w:pPr>
              <w:pStyle w:val="TableParagraph"/>
              <w:spacing w:before="14"/>
              <w:ind w:left="423"/>
              <w:rPr>
                <w:rFonts w:ascii="黑体" w:eastAsia="黑体" w:hint="eastAsia"/>
                <w:sz w:val="18"/>
              </w:rPr>
            </w:pPr>
            <w:r>
              <w:rPr>
                <w:rFonts w:ascii="黑体" w:eastAsia="黑体" w:hint="eastAsia"/>
                <w:sz w:val="18"/>
              </w:rPr>
              <w:t>11.16 语言能力或咀嚼吞咽能</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4.1 保险费的支付</w:t>
            </w:r>
          </w:p>
        </w:tc>
        <w:tc>
          <w:tcPr>
            <w:tcW w:w="3324" w:type="dxa"/>
          </w:tcPr>
          <w:p>
            <w:pPr>
              <w:pStyle w:val="TableParagraph"/>
              <w:tabs>
                <w:tab w:pos="2899" w:val="left" w:leader="none"/>
              </w:tabs>
              <w:spacing w:before="14"/>
              <w:ind w:left="469"/>
              <w:rPr>
                <w:rFonts w:ascii="黑体" w:eastAsia="黑体" w:hint="eastAsia"/>
                <w:sz w:val="18"/>
              </w:rPr>
            </w:pPr>
            <w:r>
              <w:rPr>
                <w:rFonts w:ascii="黑体" w:eastAsia="黑体" w:hint="eastAsia"/>
                <w:sz w:val="18"/>
                <w:shd w:fill="D9D9D9" w:color="auto" w:val="clear"/>
              </w:rPr>
              <w:t>11.释义</w:t>
              <w:tab/>
            </w:r>
          </w:p>
        </w:tc>
        <w:tc>
          <w:tcPr>
            <w:tcW w:w="2814" w:type="dxa"/>
          </w:tcPr>
          <w:p>
            <w:pPr>
              <w:pStyle w:val="TableParagraph"/>
              <w:spacing w:before="14"/>
              <w:ind w:left="943" w:right="930"/>
              <w:jc w:val="center"/>
              <w:rPr>
                <w:rFonts w:ascii="黑体" w:eastAsia="黑体" w:hint="eastAsia"/>
                <w:sz w:val="18"/>
              </w:rPr>
            </w:pPr>
            <w:r>
              <w:rPr>
                <w:rFonts w:ascii="黑体" w:eastAsia="黑体" w:hint="eastAsia"/>
                <w:sz w:val="18"/>
              </w:rPr>
              <w:t>力完全丧失</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4.2 保险费率的调整</w:t>
            </w:r>
          </w:p>
        </w:tc>
        <w:tc>
          <w:tcPr>
            <w:tcW w:w="3324" w:type="dxa"/>
          </w:tcPr>
          <w:p>
            <w:pPr>
              <w:pStyle w:val="TableParagraph"/>
              <w:spacing w:before="14"/>
              <w:ind w:left="469"/>
              <w:rPr>
                <w:rFonts w:ascii="黑体" w:eastAsia="黑体" w:hint="eastAsia"/>
                <w:sz w:val="18"/>
              </w:rPr>
            </w:pPr>
            <w:r>
              <w:rPr>
                <w:rFonts w:ascii="黑体" w:eastAsia="黑体" w:hint="eastAsia"/>
                <w:sz w:val="18"/>
              </w:rPr>
              <w:t>11.1 周岁</w:t>
            </w:r>
          </w:p>
        </w:tc>
        <w:tc>
          <w:tcPr>
            <w:tcW w:w="2814" w:type="dxa"/>
          </w:tcPr>
          <w:p>
            <w:pPr>
              <w:pStyle w:val="TableParagraph"/>
              <w:spacing w:before="14"/>
              <w:ind w:left="423"/>
              <w:rPr>
                <w:rFonts w:ascii="黑体" w:eastAsia="黑体" w:hint="eastAsia"/>
                <w:sz w:val="18"/>
              </w:rPr>
            </w:pPr>
            <w:r>
              <w:rPr>
                <w:rFonts w:ascii="黑体" w:eastAsia="黑体" w:hint="eastAsia"/>
                <w:sz w:val="18"/>
              </w:rPr>
              <w:t>11.17 六项基本日常Th活活动</w:t>
            </w:r>
          </w:p>
        </w:tc>
      </w:tr>
      <w:tr>
        <w:trPr>
          <w:trHeight w:val="249" w:hRule="atLeast"/>
        </w:trPr>
        <w:tc>
          <w:tcPr>
            <w:tcW w:w="2860" w:type="dxa"/>
          </w:tcPr>
          <w:p>
            <w:pPr>
              <w:pStyle w:val="TableParagraph"/>
              <w:tabs>
                <w:tab w:pos="2389" w:val="left" w:leader="none"/>
              </w:tabs>
              <w:spacing w:line="216" w:lineRule="exact" w:before="14"/>
              <w:ind w:left="50"/>
              <w:rPr>
                <w:rFonts w:ascii="黑体" w:eastAsia="黑体" w:hint="eastAsia"/>
                <w:sz w:val="18"/>
              </w:rPr>
            </w:pPr>
            <w:r>
              <w:rPr>
                <w:rFonts w:ascii="黑体" w:eastAsia="黑体" w:hint="eastAsia"/>
                <w:sz w:val="18"/>
                <w:shd w:fill="D9D9D9" w:color="auto" w:val="clear"/>
              </w:rPr>
              <w:t>5.减保</w:t>
              <w:tab/>
            </w:r>
          </w:p>
        </w:tc>
        <w:tc>
          <w:tcPr>
            <w:tcW w:w="3324" w:type="dxa"/>
          </w:tcPr>
          <w:p>
            <w:pPr>
              <w:pStyle w:val="TableParagraph"/>
              <w:spacing w:line="216" w:lineRule="exact" w:before="14"/>
              <w:ind w:left="469"/>
              <w:rPr>
                <w:rFonts w:ascii="黑体" w:eastAsia="黑体" w:hint="eastAsia"/>
                <w:sz w:val="18"/>
              </w:rPr>
            </w:pPr>
            <w:r>
              <w:rPr>
                <w:rFonts w:ascii="黑体" w:eastAsia="黑体" w:hint="eastAsia"/>
                <w:sz w:val="18"/>
              </w:rPr>
              <w:t>11.2 有效身份证件</w:t>
            </w:r>
          </w:p>
        </w:tc>
        <w:tc>
          <w:tcPr>
            <w:tcW w:w="2814" w:type="dxa"/>
          </w:tcPr>
          <w:p>
            <w:pPr>
              <w:pStyle w:val="TableParagraph"/>
              <w:spacing w:line="216" w:lineRule="exact" w:before="14"/>
              <w:ind w:left="423"/>
              <w:rPr>
                <w:rFonts w:ascii="黑体" w:eastAsia="黑体" w:hint="eastAsia"/>
                <w:sz w:val="18"/>
              </w:rPr>
            </w:pPr>
            <w:r>
              <w:rPr>
                <w:rFonts w:ascii="黑体" w:eastAsia="黑体" w:hint="eastAsia"/>
                <w:sz w:val="18"/>
              </w:rPr>
              <w:t>11.18 永久不可逆</w:t>
            </w:r>
          </w:p>
        </w:tc>
      </w:tr>
    </w:tbl>
    <w:p>
      <w:pPr>
        <w:spacing w:after="0" w:line="216" w:lineRule="exact"/>
        <w:rPr>
          <w:rFonts w:ascii="黑体" w:eastAsia="黑体" w:hint="eastAsia"/>
          <w:sz w:val="18"/>
        </w:rPr>
        <w:sectPr>
          <w:type w:val="continuous"/>
          <w:pgSz w:w="11910" w:h="16840"/>
          <w:pgMar w:top="1280" w:bottom="280" w:left="1140" w:right="1220"/>
        </w:sectPr>
      </w:pPr>
    </w:p>
    <w:p>
      <w:pPr>
        <w:pStyle w:val="Heading1"/>
        <w:spacing w:line="362" w:lineRule="exact"/>
        <w:ind w:left="2523"/>
      </w:pPr>
      <w:r>
        <w:rPr>
          <w:w w:val="95"/>
        </w:rPr>
        <w:t>中国太平洋人寿保险股份有限公司</w:t>
      </w:r>
    </w:p>
    <w:p>
      <w:pPr>
        <w:spacing w:line="389" w:lineRule="exact" w:before="0"/>
        <w:ind w:left="2042" w:right="0" w:firstLine="0"/>
        <w:jc w:val="left"/>
        <w:rPr>
          <w:rFonts w:ascii="黑体" w:eastAsia="黑体" w:hint="eastAsia"/>
          <w:b/>
          <w:sz w:val="32"/>
        </w:rPr>
      </w:pPr>
      <w:r>
        <w:rPr>
          <w:rFonts w:ascii="黑体" w:eastAsia="黑体" w:hint="eastAsia"/>
          <w:b/>
          <w:w w:val="95"/>
          <w:sz w:val="32"/>
        </w:rPr>
        <w:t>附加恒泰人Th提前给付重大疾病保险条款</w:t>
      </w:r>
    </w:p>
    <w:p>
      <w:pPr>
        <w:pStyle w:val="BodyText"/>
        <w:spacing w:before="69"/>
        <w:ind w:left="2596"/>
      </w:pPr>
      <w:r>
        <w:rPr/>
        <w:t>（2013 年 9 月呈报中国保险监督管理委员会备案）</w:t>
      </w:r>
    </w:p>
    <w:p>
      <w:pPr>
        <w:pStyle w:val="BodyText"/>
        <w:spacing w:before="0"/>
        <w:rPr>
          <w:sz w:val="20"/>
        </w:rPr>
      </w:pPr>
    </w:p>
    <w:p>
      <w:pPr>
        <w:pStyle w:val="BodyText"/>
        <w:spacing w:line="278" w:lineRule="auto" w:before="150"/>
        <w:ind w:left="114" w:right="102" w:firstLine="420"/>
      </w:pPr>
      <w:r>
        <w:rPr>
          <w:spacing w:val="-7"/>
        </w:rPr>
        <w:t>“附加恒泰人生提前给付重大疾病保险”简称“附加恒泰重疾”。在本附加险条款中，“您”指投保</w:t>
      </w:r>
      <w:r>
        <w:rPr>
          <w:spacing w:val="-17"/>
        </w:rPr>
        <w:t>人，“我们”指中国太平洋人寿保险股份有限公司，“本附加险合同”指您与我们之间订立的“附加恒泰</w:t>
      </w:r>
      <w:r>
        <w:rPr>
          <w:spacing w:val="-24"/>
        </w:rPr>
        <w:t>人生提前给付重大疾病保险合同”，主险合同指您与我们之间订立的“恒泰人生终身寿险</w:t>
      </w:r>
      <w:r>
        <w:rPr/>
        <w:t>（分红型</w:t>
      </w:r>
      <w:r>
        <w:rPr>
          <w:spacing w:val="-57"/>
        </w:rPr>
        <w:t>）</w:t>
      </w:r>
      <w:r>
        <w:rPr>
          <w:spacing w:val="-27"/>
        </w:rPr>
        <w:t>合同”。本附加险合同的投保人、被保险人均与主险合同一致。</w:t>
      </w:r>
    </w:p>
    <w:p>
      <w:pPr>
        <w:pStyle w:val="BodyText"/>
        <w:spacing w:before="1"/>
        <w:rPr>
          <w:sz w:val="10"/>
        </w:rPr>
      </w:pPr>
      <w:r>
        <w:rPr/>
        <w:pict>
          <v:shape style="position:absolute;margin-left:59.099998pt;margin-top:7.80647pt;width:477.1pt;height:15.6pt;mso-position-horizontal-relative:page;mso-position-vertical-relative:paragraph;z-index:1048;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rPr>
          <w:sz w:val="7"/>
        </w:rPr>
      </w:pPr>
    </w:p>
    <w:p>
      <w:pPr>
        <w:pStyle w:val="ListParagraph"/>
        <w:numPr>
          <w:ilvl w:val="1"/>
          <w:numId w:val="2"/>
        </w:numPr>
        <w:tabs>
          <w:tab w:pos="1326" w:val="left" w:leader="none"/>
        </w:tabs>
        <w:spacing w:line="278" w:lineRule="auto" w:before="35" w:after="0"/>
        <w:ind w:left="2878" w:right="267" w:hanging="2609"/>
        <w:jc w:val="both"/>
        <w:rPr>
          <w:sz w:val="21"/>
        </w:rPr>
      </w:pPr>
      <w:r>
        <w:rPr>
          <w:rFonts w:ascii="黑体" w:eastAsia="黑体" w:hint="eastAsia"/>
          <w:spacing w:val="7"/>
          <w:sz w:val="21"/>
        </w:rPr>
        <w:t>合同构成     </w:t>
      </w:r>
      <w:r>
        <w:rPr>
          <w:spacing w:val="-1"/>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20" w:right="1020"/>
        </w:sectPr>
      </w:pPr>
    </w:p>
    <w:p>
      <w:pPr>
        <w:pStyle w:val="ListParagraph"/>
        <w:numPr>
          <w:ilvl w:val="1"/>
          <w:numId w:val="2"/>
        </w:numPr>
        <w:tabs>
          <w:tab w:pos="1325" w:val="left" w:leader="none"/>
          <w:tab w:pos="1326" w:val="left" w:leader="none"/>
        </w:tabs>
        <w:spacing w:line="280" w:lineRule="auto" w:before="35" w:after="0"/>
        <w:ind w:left="1326" w:right="0" w:hanging="1057"/>
        <w:jc w:val="left"/>
        <w:rPr>
          <w:rFonts w:ascii="黑体" w:eastAsia="黑体" w:hint="eastAsia"/>
          <w:sz w:val="21"/>
        </w:rPr>
      </w:pPr>
      <w:r>
        <w:rPr>
          <w:rFonts w:ascii="黑体" w:eastAsia="黑体" w:hint="eastAsia"/>
          <w:sz w:val="21"/>
        </w:rPr>
        <w:t>合同成立与Th效</w:t>
      </w:r>
    </w:p>
    <w:p>
      <w:pPr>
        <w:pStyle w:val="BodyText"/>
        <w:ind w:left="252"/>
      </w:pPr>
      <w:r>
        <w:rPr/>
        <w:br w:type="column"/>
      </w:r>
      <w:r>
        <w:rPr/>
        <w:t>您提出保险申请、我们同意承保，本附加险合同成立。</w:t>
      </w:r>
    </w:p>
    <w:p>
      <w:pPr>
        <w:pStyle w:val="BodyText"/>
        <w:spacing w:line="278" w:lineRule="auto" w:before="45"/>
        <w:ind w:left="252" w:right="267"/>
      </w:pPr>
      <w:r>
        <w:rPr/>
        <w:t>本附加险合同自我们收到首期保险费并同意承保后开始生效，我们签发保险单作为保险凭证。合同生效日期在保险单上载明。</w:t>
      </w:r>
    </w:p>
    <w:p>
      <w:pPr>
        <w:spacing w:after="0" w:line="278" w:lineRule="auto"/>
        <w:sectPr>
          <w:type w:val="continuous"/>
          <w:pgSz w:w="11910" w:h="16840"/>
          <w:pgMar w:top="1280" w:bottom="280" w:left="1020" w:right="1020"/>
          <w:cols w:num="2" w:equalWidth="0">
            <w:col w:w="2587" w:space="40"/>
            <w:col w:w="7243"/>
          </w:cols>
        </w:sectPr>
      </w:pPr>
    </w:p>
    <w:p>
      <w:pPr>
        <w:pStyle w:val="BodyText"/>
        <w:spacing w:before="0"/>
        <w:rPr>
          <w:sz w:val="9"/>
        </w:rPr>
      </w:pPr>
    </w:p>
    <w:p>
      <w:pPr>
        <w:pStyle w:val="ListParagraph"/>
        <w:numPr>
          <w:ilvl w:val="1"/>
          <w:numId w:val="2"/>
        </w:numPr>
        <w:tabs>
          <w:tab w:pos="1326" w:val="left" w:leader="none"/>
          <w:tab w:pos="1327" w:val="left" w:leader="none"/>
          <w:tab w:pos="2878" w:val="left" w:leader="none"/>
        </w:tabs>
        <w:spacing w:line="266" w:lineRule="exact" w:before="35" w:after="0"/>
        <w:ind w:left="1326" w:right="0" w:hanging="1057"/>
        <w:jc w:val="left"/>
        <w:rPr>
          <w:sz w:val="21"/>
        </w:rPr>
      </w:pPr>
      <w:r>
        <w:rPr>
          <w:rFonts w:ascii="黑体" w:eastAsia="黑体" w:hint="eastAsia"/>
          <w:sz w:val="21"/>
        </w:rPr>
        <w:t>投保年龄</w:t>
        <w:tab/>
      </w:r>
      <w:r>
        <w:rPr>
          <w:sz w:val="21"/>
        </w:rPr>
        <w:t>指您投保时被保险人的年龄</w:t>
      </w:r>
      <w:r>
        <w:rPr>
          <w:spacing w:val="-4"/>
          <w:sz w:val="21"/>
        </w:rPr>
        <w:t>，</w:t>
      </w:r>
      <w:r>
        <w:rPr>
          <w:sz w:val="21"/>
        </w:rPr>
        <w:t>本附加险合同接受的投保年龄范围为出生满</w:t>
      </w:r>
    </w:p>
    <w:p>
      <w:pPr>
        <w:pStyle w:val="BodyText"/>
        <w:spacing w:line="354" w:lineRule="exact" w:before="0"/>
        <w:ind w:left="2878"/>
      </w:pPr>
      <w:r>
        <w:rPr/>
        <w:t>30</w:t>
      </w:r>
      <w:r>
        <w:rPr>
          <w:spacing w:val="-27"/>
        </w:rPr>
        <w:t> 天至 </w:t>
      </w:r>
      <w:r>
        <w:rPr/>
        <w:t>65</w:t>
      </w:r>
      <w:r>
        <w:rPr>
          <w:spacing w:val="-53"/>
        </w:rPr>
        <w:t> </w:t>
      </w:r>
      <w:r>
        <w:rPr>
          <w:rFonts w:ascii="微软雅黑" w:eastAsia="微软雅黑" w:hint="eastAsia"/>
          <w:b/>
        </w:rPr>
        <w:t>周岁</w:t>
      </w:r>
      <w:r>
        <w:rPr/>
        <w:t>。</w:t>
      </w:r>
    </w:p>
    <w:p>
      <w:pPr>
        <w:pStyle w:val="ListParagraph"/>
        <w:numPr>
          <w:ilvl w:val="1"/>
          <w:numId w:val="2"/>
        </w:numPr>
        <w:tabs>
          <w:tab w:pos="1326" w:val="left" w:leader="none"/>
        </w:tabs>
        <w:spacing w:line="278" w:lineRule="auto" w:before="162" w:after="0"/>
        <w:ind w:left="2878" w:right="263" w:hanging="2609"/>
        <w:jc w:val="both"/>
        <w:rPr>
          <w:sz w:val="21"/>
        </w:rPr>
      </w:pPr>
      <w:r>
        <w:rPr>
          <w:rFonts w:ascii="黑体" w:eastAsia="黑体" w:hint="eastAsia"/>
          <w:spacing w:val="7"/>
          <w:sz w:val="21"/>
        </w:rPr>
        <w:t>犹豫期       </w:t>
      </w:r>
      <w:r>
        <w:rPr>
          <w:spacing w:val="-1"/>
          <w:sz w:val="21"/>
        </w:rPr>
        <w:t>自您签收本附加险合同之日起，有 </w:t>
      </w:r>
      <w:r>
        <w:rPr>
          <w:sz w:val="21"/>
        </w:rPr>
        <w:t>10</w:t>
      </w:r>
      <w:r>
        <w:rPr>
          <w:spacing w:val="-2"/>
          <w:sz w:val="21"/>
        </w:rPr>
        <w:t> 日的犹豫期。在此期间，请您认真</w:t>
      </w:r>
      <w:r>
        <w:rPr>
          <w:spacing w:val="-3"/>
          <w:sz w:val="21"/>
        </w:rPr>
        <w:t>审视本附加险合同，如果您认为本附加险合同与您的需求不相符，您可以</w:t>
      </w:r>
      <w:r>
        <w:rPr>
          <w:spacing w:val="-4"/>
          <w:sz w:val="21"/>
        </w:rPr>
        <w:t>在此期间提出解除本附加险合同，我们将在扣除人民币 </w:t>
      </w:r>
      <w:r>
        <w:rPr>
          <w:sz w:val="21"/>
        </w:rPr>
        <w:t>10</w:t>
      </w:r>
      <w:r>
        <w:rPr>
          <w:spacing w:val="-4"/>
          <w:sz w:val="21"/>
        </w:rPr>
        <w:t> 元的工本费后退还您所支付的保险费。本附加险合同成立后，可与主险合同一并解除， 但不得单独解除。</w:t>
      </w:r>
    </w:p>
    <w:p>
      <w:pPr>
        <w:pStyle w:val="BodyText"/>
        <w:spacing w:line="311" w:lineRule="exact" w:before="0"/>
        <w:ind w:left="2878"/>
      </w:pPr>
      <w:r>
        <w:rPr/>
        <w:t>解除合同时，您需要填写申请书，并提供您的保险合同及</w:t>
      </w:r>
      <w:r>
        <w:rPr>
          <w:rFonts w:ascii="微软雅黑" w:eastAsia="微软雅黑" w:hint="eastAsia"/>
          <w:b/>
        </w:rPr>
        <w:t>有效身份证件</w:t>
      </w:r>
      <w:r>
        <w:rPr/>
        <w:t>。</w:t>
      </w:r>
    </w:p>
    <w:p>
      <w:pPr>
        <w:pStyle w:val="BodyText"/>
        <w:spacing w:line="280" w:lineRule="auto" w:before="20"/>
        <w:ind w:left="2878" w:right="268"/>
      </w:pPr>
      <w:r>
        <w:rPr/>
        <w:t>自我们收到您解除合同的书面申请时起，本附加险合同即被解除，对于合同解除前发生的事故，我们不承担保险责任。</w:t>
      </w:r>
    </w:p>
    <w:p>
      <w:pPr>
        <w:pStyle w:val="BodyText"/>
        <w:spacing w:before="12"/>
        <w:rPr>
          <w:sz w:val="8"/>
        </w:rPr>
      </w:pPr>
      <w:r>
        <w:rPr/>
        <w:pict>
          <v:shape style="position:absolute;margin-left:59.099998pt;margin-top:7.036826pt;width:477.1pt;height:15.6pt;mso-position-horizontal-relative:page;mso-position-vertical-relative:paragraph;z-index:1072;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327" w:val="left" w:leader="none"/>
        </w:tabs>
        <w:spacing w:line="278" w:lineRule="auto" w:before="35" w:after="0"/>
        <w:ind w:left="2878" w:right="267" w:hanging="2609"/>
        <w:jc w:val="both"/>
        <w:rPr>
          <w:sz w:val="21"/>
        </w:rPr>
      </w:pPr>
      <w:r>
        <w:rPr>
          <w:rFonts w:ascii="黑体" w:eastAsia="黑体" w:hint="eastAsia"/>
          <w:spacing w:val="7"/>
          <w:sz w:val="21"/>
        </w:rPr>
        <w:t>保险金额     </w:t>
      </w:r>
      <w:r>
        <w:rPr>
          <w:spacing w:val="-1"/>
          <w:sz w:val="21"/>
        </w:rPr>
        <w:t>本附加险合同的有效保险金额为主险合同的有效保险金额。若发生减保或</w:t>
      </w:r>
      <w:r>
        <w:rPr>
          <w:spacing w:val="-2"/>
          <w:sz w:val="21"/>
        </w:rPr>
        <w:t>您与我们约定的其他情形导致有效保险金额变更的，本附加险合同的有效保险金额将相应调整。</w:t>
      </w:r>
    </w:p>
    <w:p>
      <w:pPr>
        <w:pStyle w:val="ListParagraph"/>
        <w:numPr>
          <w:ilvl w:val="1"/>
          <w:numId w:val="3"/>
        </w:numPr>
        <w:tabs>
          <w:tab w:pos="1325" w:val="left" w:leader="none"/>
          <w:tab w:pos="1327" w:val="left" w:leader="none"/>
          <w:tab w:pos="2878" w:val="left" w:leader="none"/>
        </w:tabs>
        <w:spacing w:line="240" w:lineRule="auto" w:before="153" w:after="0"/>
        <w:ind w:left="1326" w:right="0" w:hanging="1057"/>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327" w:val="left" w:leader="none"/>
        </w:tabs>
        <w:spacing w:line="280" w:lineRule="auto" w:before="0" w:after="0"/>
        <w:ind w:left="2878" w:right="264" w:hanging="2609"/>
        <w:jc w:val="both"/>
        <w:rPr>
          <w:sz w:val="21"/>
        </w:rPr>
      </w:pPr>
      <w:r>
        <w:rPr>
          <w:rFonts w:ascii="黑体" w:eastAsia="黑体" w:hint="eastAsia"/>
          <w:sz w:val="21"/>
        </w:rPr>
        <w:t>保险责任      </w:t>
      </w:r>
      <w:r>
        <w:rPr>
          <w:spacing w:val="3"/>
          <w:sz w:val="21"/>
        </w:rPr>
        <w:t>在本附加险合同保险期间内，且主险合同和本附加险合同均有效的前提下，我们按以下约定承担保险责任：</w:t>
      </w:r>
    </w:p>
    <w:p>
      <w:pPr>
        <w:pStyle w:val="BodyText"/>
        <w:spacing w:before="10"/>
        <w:rPr>
          <w:sz w:val="8"/>
        </w:rPr>
      </w:pPr>
    </w:p>
    <w:p>
      <w:pPr>
        <w:spacing w:after="0"/>
        <w:rPr>
          <w:sz w:val="8"/>
        </w:rPr>
        <w:sectPr>
          <w:type w:val="continuous"/>
          <w:pgSz w:w="11910" w:h="16840"/>
          <w:pgMar w:top="1280" w:bottom="280" w:left="1020" w:right="1020"/>
        </w:sectPr>
      </w:pPr>
    </w:p>
    <w:p>
      <w:pPr>
        <w:pStyle w:val="BodyText"/>
        <w:spacing w:line="280" w:lineRule="auto" w:before="36"/>
        <w:ind w:left="1326"/>
        <w:rPr>
          <w:rFonts w:ascii="黑体" w:eastAsia="黑体" w:hint="eastAsia"/>
        </w:rPr>
      </w:pPr>
      <w:r>
        <w:rPr>
          <w:rFonts w:ascii="黑体" w:eastAsia="黑体" w:hint="eastAsia"/>
        </w:rPr>
        <w:t>重大疾病保险金</w:t>
      </w:r>
    </w:p>
    <w:p>
      <w:pPr>
        <w:pStyle w:val="BodyText"/>
        <w:spacing w:line="336" w:lineRule="exact" w:before="0"/>
        <w:ind w:left="568" w:hanging="316"/>
      </w:pPr>
      <w:r>
        <w:rPr/>
        <w:br w:type="column"/>
      </w:r>
      <w:r>
        <w:rPr/>
        <w:t>(1)若被保险人因遭受</w:t>
      </w:r>
      <w:r>
        <w:rPr>
          <w:rFonts w:ascii="微软雅黑" w:eastAsia="微软雅黑" w:hint="eastAsia"/>
          <w:b/>
        </w:rPr>
        <w:t>意外伤害</w:t>
      </w:r>
      <w:r>
        <w:rPr/>
        <w:t>被确诊初次发生本附加险合同约定的重大</w:t>
      </w:r>
    </w:p>
    <w:p>
      <w:pPr>
        <w:pStyle w:val="BodyText"/>
        <w:spacing w:line="278" w:lineRule="auto" w:before="20"/>
        <w:ind w:left="568" w:right="267"/>
        <w:jc w:val="both"/>
      </w:pPr>
      <w:r>
        <w:rPr>
          <w:spacing w:val="-1"/>
        </w:rPr>
        <w:t>疾病</w:t>
      </w:r>
      <w:r>
        <w:rPr/>
        <w:t>（</w:t>
      </w:r>
      <w:r>
        <w:rPr>
          <w:spacing w:val="-1"/>
        </w:rPr>
        <w:t>无论一种或多种，下同</w:t>
      </w:r>
      <w:r>
        <w:rPr>
          <w:spacing w:val="-105"/>
        </w:rPr>
        <w:t>）</w:t>
      </w:r>
      <w:r>
        <w:rPr>
          <w:spacing w:val="-2"/>
        </w:rPr>
        <w:t>，或在本附加险合同生效或最后一次复效（以较迟者为准）之日起 </w:t>
      </w:r>
      <w:r>
        <w:rPr/>
        <w:t>180</w:t>
      </w:r>
      <w:r>
        <w:rPr>
          <w:spacing w:val="-2"/>
        </w:rPr>
        <w:t> 日后因意外伤害以外的原因，被确诊初次发生本附加险合同约定的重大疾病，我们按本附加险合同有效保险金额给付重大疾病保险金，主险合同与本附加险合同终止。主险合同的有效保险金额降为零。</w:t>
      </w:r>
    </w:p>
    <w:p>
      <w:pPr>
        <w:spacing w:after="0" w:line="278" w:lineRule="auto"/>
        <w:jc w:val="both"/>
        <w:sectPr>
          <w:type w:val="continuous"/>
          <w:pgSz w:w="11910" w:h="16840"/>
          <w:pgMar w:top="1280" w:bottom="280" w:left="1020" w:right="1020"/>
          <w:cols w:num="2" w:equalWidth="0">
            <w:col w:w="2587" w:space="40"/>
            <w:col w:w="7243"/>
          </w:cols>
        </w:sectPr>
      </w:pPr>
    </w:p>
    <w:p>
      <w:pPr>
        <w:pStyle w:val="BodyText"/>
        <w:spacing w:line="278" w:lineRule="auto" w:before="8"/>
        <w:ind w:left="3134" w:right="207" w:hanging="316"/>
        <w:jc w:val="both"/>
      </w:pPr>
      <w:r>
        <w:rPr/>
        <w:t>(2)</w:t>
      </w:r>
      <w:r>
        <w:rPr>
          <w:shd w:fill="D9D9D9" w:color="auto" w:val="clear"/>
        </w:rPr>
        <w:t>若被保险人在本附加险合同生效或最后一次复效（以较迟者为准）</w:t>
      </w:r>
      <w:r>
        <w:rPr>
          <w:spacing w:val="-100"/>
          <w:shd w:fill="D9D9D9" w:color="auto" w:val="clear"/>
        </w:rPr>
        <w:t>之日</w:t>
      </w:r>
      <w:r>
        <w:rPr>
          <w:shd w:fill="D9D9D9" w:color="auto" w:val="clear"/>
        </w:rPr>
        <w:t>起 180 日内因意外伤害以外的原因被确诊初次发生本附加险合同约定的重大疾病，我们按已支付的保险费的金额给付重大疾病保险金， </w:t>
      </w:r>
      <w:r>
        <w:rPr/>
        <w:t>主险合同与本附加险合同终止。主险合同的基本保险金额降为零。</w:t>
      </w:r>
    </w:p>
    <w:p>
      <w:pPr>
        <w:pStyle w:val="BodyText"/>
        <w:spacing w:line="280" w:lineRule="auto" w:before="10"/>
        <w:ind w:left="3134" w:right="208" w:hanging="316"/>
        <w:jc w:val="both"/>
      </w:pPr>
      <w:r>
        <w:rPr/>
        <w:t>(3)本条所述“已支付的保险费”指您根据主险合同与本附加险合同约定已支付的保险费，若发生减保，减保前已支付的保险费将按减保比例相应减少。</w:t>
      </w:r>
    </w:p>
    <w:p>
      <w:pPr>
        <w:pStyle w:val="BodyText"/>
        <w:spacing w:line="280" w:lineRule="auto" w:before="8"/>
        <w:ind w:left="3134" w:right="208" w:hanging="316"/>
        <w:jc w:val="both"/>
      </w:pPr>
      <w:r>
        <w:rPr/>
        <w:t>(4)若被保险人被确诊初次发生本附加险合同约定的重大疾病，且该重大疾病符合主险合同约定的全残保险金给付条件，我们仅给付其中一项保险金。</w:t>
      </w:r>
    </w:p>
    <w:p>
      <w:pPr>
        <w:pStyle w:val="BodyText"/>
        <w:spacing w:before="10"/>
        <w:rPr>
          <w:sz w:val="8"/>
        </w:rPr>
      </w:pPr>
    </w:p>
    <w:p>
      <w:pPr>
        <w:spacing w:after="0"/>
        <w:rPr>
          <w:sz w:val="8"/>
        </w:rPr>
        <w:sectPr>
          <w:pgSz w:w="11910" w:h="16840"/>
          <w:pgMar w:top="1420" w:bottom="280" w:left="1080" w:right="1080"/>
        </w:sectPr>
      </w:pPr>
    </w:p>
    <w:p>
      <w:pPr>
        <w:pStyle w:val="BodyText"/>
        <w:spacing w:line="278" w:lineRule="auto" w:before="36"/>
        <w:ind w:left="1266"/>
        <w:rPr>
          <w:rFonts w:ascii="黑体" w:eastAsia="黑体" w:hint="eastAsia"/>
        </w:rPr>
      </w:pPr>
      <w:r>
        <w:rPr>
          <w:rFonts w:ascii="黑体" w:eastAsia="黑体" w:hint="eastAsia"/>
        </w:rPr>
        <w:t>特定疾病提前给付保险金</w:t>
      </w:r>
    </w:p>
    <w:p>
      <w:pPr>
        <w:pStyle w:val="BodyText"/>
        <w:spacing w:line="278" w:lineRule="auto" w:before="36"/>
        <w:ind w:left="568" w:right="150" w:hanging="316"/>
        <w:jc w:val="both"/>
      </w:pPr>
      <w:r>
        <w:rPr/>
        <w:br w:type="column"/>
      </w:r>
      <w:r>
        <w:rPr/>
        <w:t>(1)若被保险人因遭受意外伤害被确诊初次发生本附加险合同约定的特定</w:t>
      </w:r>
      <w:r>
        <w:rPr>
          <w:spacing w:val="-1"/>
        </w:rPr>
        <w:t>疾病</w:t>
      </w:r>
      <w:r>
        <w:rPr/>
        <w:t>（</w:t>
      </w:r>
      <w:r>
        <w:rPr>
          <w:spacing w:val="-1"/>
        </w:rPr>
        <w:t>无论一种或多种，下同</w:t>
      </w:r>
      <w:r>
        <w:rPr>
          <w:spacing w:val="-105"/>
        </w:rPr>
        <w:t>）</w:t>
      </w:r>
      <w:r>
        <w:rPr>
          <w:spacing w:val="-2"/>
        </w:rPr>
        <w:t>，</w:t>
      </w:r>
      <w:r>
        <w:rPr>
          <w:spacing w:val="-1"/>
          <w:shd w:fill="D9D9D9" w:color="auto" w:val="clear"/>
        </w:rPr>
        <w:t>或在本附加险合同生效或最后一次复效（以较迟者为准）</w:t>
      </w:r>
      <w:r>
        <w:rPr>
          <w:spacing w:val="-2"/>
          <w:shd w:fill="D9D9D9" w:color="auto" w:val="clear"/>
        </w:rPr>
        <w:t>之日起 </w:t>
      </w:r>
      <w:r>
        <w:rPr>
          <w:shd w:fill="D9D9D9" w:color="auto" w:val="clear"/>
        </w:rPr>
        <w:t>180</w:t>
      </w:r>
      <w:r>
        <w:rPr>
          <w:spacing w:val="-2"/>
          <w:shd w:fill="D9D9D9" w:color="auto" w:val="clear"/>
        </w:rPr>
        <w:t> 日后因意外伤害以外的原因，</w:t>
      </w:r>
      <w:r>
        <w:rPr/>
        <w:t>被确诊初次发生本附加险合同约定的特定疾病，</w:t>
      </w:r>
      <w:r>
        <w:rPr>
          <w:shd w:fill="D9D9D9" w:color="auto" w:val="clear"/>
        </w:rPr>
        <w:t>我们按本附加险合同有效保</w:t>
      </w:r>
      <w:r>
        <w:rPr>
          <w:spacing w:val="-143"/>
          <w:shd w:fill="D9D9D9" w:color="auto" w:val="clear"/>
        </w:rPr>
        <w:t>险</w:t>
      </w:r>
      <w:r>
        <w:rPr>
          <w:spacing w:val="-16"/>
          <w:shd w:fill="D9D9D9" w:color="auto" w:val="clear"/>
        </w:rPr>
        <w:t>金额的 </w:t>
      </w:r>
      <w:r>
        <w:rPr>
          <w:shd w:fill="D9D9D9" w:color="auto" w:val="clear"/>
        </w:rPr>
        <w:t>20</w:t>
      </w:r>
      <w:r>
        <w:rPr>
          <w:spacing w:val="-4"/>
          <w:shd w:fill="D9D9D9" w:color="auto" w:val="clear"/>
        </w:rPr>
        <w:t> 给付特定疾病提前给付保险金予重大疾病保险金受益人，若</w:t>
      </w:r>
      <w:r>
        <w:rPr>
          <w:spacing w:val="-8"/>
          <w:shd w:fill="D9D9D9" w:color="auto" w:val="clear"/>
        </w:rPr>
        <w:t>本附加险合同有效保险金额的 </w:t>
      </w:r>
      <w:r>
        <w:rPr>
          <w:shd w:fill="D9D9D9" w:color="auto" w:val="clear"/>
        </w:rPr>
        <w:t>20</w:t>
      </w:r>
      <w:r>
        <w:rPr>
          <w:spacing w:val="-11"/>
          <w:shd w:fill="D9D9D9" w:color="auto" w:val="clear"/>
        </w:rPr>
        <w:t> 超过人民币 </w:t>
      </w:r>
      <w:r>
        <w:rPr>
          <w:shd w:fill="D9D9D9" w:color="auto" w:val="clear"/>
        </w:rPr>
        <w:t>100,000</w:t>
      </w:r>
      <w:r>
        <w:rPr>
          <w:spacing w:val="-16"/>
          <w:shd w:fill="D9D9D9" w:color="auto" w:val="clear"/>
        </w:rPr>
        <w:t> 元，则仅给付人</w:t>
      </w:r>
      <w:r>
        <w:rPr>
          <w:spacing w:val="-11"/>
          <w:shd w:fill="D9D9D9" w:color="auto" w:val="clear"/>
        </w:rPr>
        <w:t>民币 </w:t>
      </w:r>
      <w:r>
        <w:rPr>
          <w:shd w:fill="D9D9D9" w:color="auto" w:val="clear"/>
        </w:rPr>
        <w:t>100,000</w:t>
      </w:r>
      <w:r>
        <w:rPr>
          <w:spacing w:val="-1"/>
          <w:shd w:fill="D9D9D9" w:color="auto" w:val="clear"/>
        </w:rPr>
        <w:t> 元。</w:t>
      </w:r>
      <w:r>
        <w:rPr/>
        <w:t>本附加险合同特定疾病提前给付保险金给付仅限一次，给付后，本附加险合同继续有效，但该项责任终止，本附加险合同和主险合同的有效保险金额同比例下降。</w:t>
      </w:r>
    </w:p>
    <w:p>
      <w:pPr>
        <w:pStyle w:val="BodyText"/>
        <w:spacing w:line="278" w:lineRule="auto" w:before="12"/>
        <w:ind w:left="568" w:right="208" w:hanging="316"/>
        <w:jc w:val="both"/>
      </w:pPr>
      <w:r>
        <w:rPr/>
        <w:drawing>
          <wp:anchor distT="0" distB="0" distL="0" distR="0" allowOverlap="1" layoutInCell="1" locked="0" behindDoc="1" simplePos="0" relativeHeight="268386671">
            <wp:simplePos x="0" y="0"/>
            <wp:positionH relativeFrom="page">
              <wp:posOffset>3379526</wp:posOffset>
            </wp:positionH>
            <wp:positionV relativeFrom="paragraph">
              <wp:posOffset>-954736</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anchor>
        </w:drawing>
      </w:r>
      <w:r>
        <w:rPr/>
        <w:drawing>
          <wp:anchor distT="0" distB="0" distL="0" distR="0" allowOverlap="1" layoutInCell="1" locked="0" behindDoc="1" simplePos="0" relativeHeight="268386695">
            <wp:simplePos x="0" y="0"/>
            <wp:positionH relativeFrom="page">
              <wp:posOffset>4712893</wp:posOffset>
            </wp:positionH>
            <wp:positionV relativeFrom="paragraph">
              <wp:posOffset>-751281</wp:posOffset>
            </wp:positionV>
            <wp:extent cx="60325"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anchor>
        </w:drawing>
      </w:r>
      <w:r>
        <w:rPr/>
        <w:t>(2)本条所述“主险合同的有效保险金额同比例下降”指主险合同基本保险金额与累积红利保险金额各按相同比例相应减少。</w:t>
      </w:r>
    </w:p>
    <w:p>
      <w:pPr>
        <w:spacing w:after="0" w:line="278" w:lineRule="auto"/>
        <w:jc w:val="both"/>
        <w:sectPr>
          <w:type w:val="continuous"/>
          <w:pgSz w:w="11910" w:h="16840"/>
          <w:pgMar w:top="1280" w:bottom="280" w:left="1080" w:right="1080"/>
          <w:cols w:num="2" w:equalWidth="0">
            <w:col w:w="2527" w:space="40"/>
            <w:col w:w="7183"/>
          </w:cols>
        </w:sectPr>
      </w:pPr>
    </w:p>
    <w:p>
      <w:pPr>
        <w:pStyle w:val="BodyText"/>
        <w:spacing w:before="0"/>
        <w:rPr>
          <w:sz w:val="9"/>
        </w:rPr>
      </w:pPr>
    </w:p>
    <w:p>
      <w:pPr>
        <w:pStyle w:val="ListParagraph"/>
        <w:numPr>
          <w:ilvl w:val="1"/>
          <w:numId w:val="3"/>
        </w:numPr>
        <w:tabs>
          <w:tab w:pos="1266" w:val="left" w:leader="none"/>
          <w:tab w:pos="1267" w:val="left" w:leader="none"/>
          <w:tab w:pos="2818" w:val="left" w:leader="none"/>
        </w:tabs>
        <w:spacing w:line="278" w:lineRule="auto" w:before="36" w:after="0"/>
        <w:ind w:left="2818" w:right="203" w:hanging="2608"/>
        <w:jc w:val="left"/>
        <w:rPr>
          <w:sz w:val="21"/>
        </w:rPr>
      </w:pPr>
      <w:r>
        <w:rPr>
          <w:rFonts w:ascii="黑体" w:eastAsia="黑体" w:hint="eastAsia"/>
          <w:sz w:val="21"/>
        </w:rPr>
        <w:t>责任免除</w:t>
        <w:tab/>
      </w:r>
      <w:r>
        <w:rPr>
          <w:sz w:val="21"/>
          <w:shd w:fill="D9D9D9" w:color="auto" w:val="clear"/>
        </w:rPr>
        <w:t>因下列情形之一，导致被保险人发生疾病、达到疾病状态或进行手术的，我们不承担给付保险金的责任：</w:t>
      </w:r>
      <w:r>
        <w:rPr>
          <w:sz w:val="21"/>
        </w:rPr>
        <w:t> </w:t>
      </w:r>
      <w:r>
        <w:rPr>
          <w:sz w:val="21"/>
          <w:shd w:fill="D9D9D9" w:color="auto" w:val="clear"/>
        </w:rPr>
        <w:t>                                 (1)投保人对被保险人的故意杀害、故意伤害；</w:t>
      </w:r>
      <w:r>
        <w:rPr>
          <w:sz w:val="21"/>
        </w:rPr>
        <w:t> </w:t>
      </w:r>
      <w:r>
        <w:rPr>
          <w:sz w:val="21"/>
          <w:shd w:fill="D9D9D9" w:color="auto" w:val="clear"/>
        </w:rPr>
        <w:t>                    </w:t>
      </w:r>
      <w:r>
        <w:rPr>
          <w:spacing w:val="-1"/>
          <w:sz w:val="21"/>
          <w:shd w:fill="D9D9D9" w:color="auto" w:val="clear"/>
        </w:rPr>
        <w:t>(2)被保险人故意自伤、故意犯罪或抗拒依法采取的刑事强制措施；</w:t>
      </w:r>
    </w:p>
    <w:p>
      <w:pPr>
        <w:pStyle w:val="BodyText"/>
        <w:spacing w:line="291" w:lineRule="exact" w:before="0"/>
        <w:ind w:left="2818"/>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3134" w:right="281"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pacing w:val="-210"/>
          <w:sz w:val="21"/>
          <w:shd w:fill="D9D9D9" w:color="auto" w:val="clear"/>
        </w:rPr>
        <w:t>机</w:t>
      </w:r>
      <w:r>
        <w:rPr>
          <w:rFonts w:ascii="微软雅黑" w:eastAsia="微软雅黑" w:hint="eastAsia"/>
          <w:b/>
          <w:sz w:val="21"/>
          <w:shd w:fill="D9D9D9" w:color="auto" w:val="clear"/>
        </w:rPr>
        <w:t>动车</w:t>
      </w:r>
      <w:r>
        <w:rPr>
          <w:sz w:val="21"/>
          <w:shd w:fill="D9D9D9" w:color="auto" w:val="clear"/>
        </w:rPr>
        <w:t>；</w:t>
      </w:r>
    </w:p>
    <w:p>
      <w:pPr>
        <w:pStyle w:val="BodyText"/>
        <w:spacing w:line="320" w:lineRule="exact" w:before="9"/>
        <w:ind w:left="3134" w:right="281" w:hanging="316"/>
      </w:pPr>
      <w:r>
        <w:rPr>
          <w:shd w:fill="D9D9D9" w:color="auto" w:val="clear"/>
        </w:rPr>
        <w:t>(5)被保险人</w:t>
      </w:r>
      <w:r>
        <w:rPr>
          <w:rFonts w:ascii="微软雅黑" w:hAnsi="微软雅黑" w:eastAsia="微软雅黑" w:hint="eastAsia"/>
          <w:b/>
          <w:shd w:fill="D9D9D9" w:color="auto" w:val="clear"/>
        </w:rPr>
        <w:t>感染艾滋病病毒或患艾滋病</w:t>
      </w:r>
      <w:r>
        <w:rPr>
          <w:shd w:fill="D9D9D9" w:color="auto" w:val="clear"/>
        </w:rPr>
        <w:t>，但若属于本附加险合同所保障的“经输血导致的人类免疫缺陷病毒（HIV）感染”，则不在此限；</w:t>
      </w:r>
    </w:p>
    <w:p>
      <w:pPr>
        <w:pStyle w:val="BodyText"/>
        <w:spacing w:line="280" w:lineRule="auto" w:before="10"/>
        <w:ind w:left="2818" w:right="3237"/>
      </w:pPr>
      <w:r>
        <w:rPr>
          <w:shd w:fill="D9D9D9" w:color="auto" w:val="clear"/>
        </w:rPr>
        <w:t>(6)战争、军事冲突、暴乱或武装叛乱；</w:t>
      </w:r>
      <w:r>
        <w:rPr/>
        <w:t> </w:t>
      </w:r>
      <w:r>
        <w:rPr>
          <w:shd w:fill="D9D9D9" w:color="auto" w:val="clear"/>
        </w:rPr>
        <w:t>(7)核爆炸、核辐射或核污染；</w:t>
      </w:r>
    </w:p>
    <w:p>
      <w:pPr>
        <w:spacing w:line="310" w:lineRule="exact" w:before="0"/>
        <w:ind w:left="2818"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line="320" w:lineRule="exact" w:before="8"/>
        <w:ind w:left="2818" w:right="207"/>
        <w:jc w:val="both"/>
      </w:pPr>
      <w:r>
        <w:rPr>
          <w:shd w:fill="D9D9D9" w:color="auto" w:val="clear"/>
        </w:rPr>
        <w:t>因上述第(1)项情形导致被保险人被确诊发生本附加险合同约定的重大疾</w:t>
      </w:r>
      <w:r>
        <w:rPr>
          <w:spacing w:val="-3"/>
          <w:shd w:fill="D9D9D9" w:color="auto" w:val="clear"/>
        </w:rPr>
        <w:t>病的，本附加险合同终止，主险合同同时终止，您已交足 </w:t>
      </w:r>
      <w:r>
        <w:rPr>
          <w:shd w:fill="D9D9D9" w:color="auto" w:val="clear"/>
        </w:rPr>
        <w:t>2</w:t>
      </w:r>
      <w:r>
        <w:rPr>
          <w:spacing w:val="-9"/>
          <w:shd w:fill="D9D9D9" w:color="auto" w:val="clear"/>
        </w:rPr>
        <w:t> 年以上保险费的，我们向被保险人退还保险单的</w:t>
      </w:r>
      <w:r>
        <w:rPr>
          <w:rFonts w:ascii="微软雅黑" w:eastAsia="微软雅黑" w:hint="eastAsia"/>
          <w:b/>
          <w:spacing w:val="-9"/>
          <w:shd w:fill="D9D9D9" w:color="auto" w:val="clear"/>
        </w:rPr>
        <w:t>现金价值</w:t>
      </w:r>
      <w:r>
        <w:rPr>
          <w:spacing w:val="-9"/>
          <w:shd w:fill="D9D9D9" w:color="auto" w:val="clear"/>
        </w:rPr>
        <w:t>。</w:t>
      </w:r>
    </w:p>
    <w:p>
      <w:pPr>
        <w:pStyle w:val="BodyText"/>
        <w:spacing w:line="280" w:lineRule="auto" w:before="10"/>
        <w:ind w:left="2818" w:right="204"/>
        <w:jc w:val="both"/>
      </w:pPr>
      <w:r>
        <w:rPr>
          <w:spacing w:val="3"/>
          <w:shd w:fill="D9D9D9" w:color="auto" w:val="clear"/>
        </w:rPr>
        <w:t>因上述其他情形导致被保险人被确诊发生本附加险合同约定的重大疾病的，本附加险合同终止，主险合同同时终止，我们向您退还保险单的现金</w:t>
      </w:r>
      <w:r>
        <w:rPr>
          <w:spacing w:val="-210"/>
          <w:shd w:fill="D9D9D9" w:color="auto" w:val="clear"/>
        </w:rPr>
        <w:t>价</w:t>
      </w:r>
      <w:r>
        <w:rPr>
          <w:shd w:fill="D9D9D9" w:color="auto" w:val="clear"/>
        </w:rPr>
        <w:t>值。</w:t>
      </w:r>
    </w:p>
    <w:p>
      <w:pPr>
        <w:pStyle w:val="BodyText"/>
        <w:spacing w:before="12"/>
        <w:rPr>
          <w:sz w:val="8"/>
        </w:rPr>
      </w:pPr>
      <w:r>
        <w:rPr/>
        <w:pict>
          <v:shape style="position:absolute;margin-left:59.099998pt;margin-top:7.068238pt;width:477.1pt;height:15.6pt;mso-position-horizontal-relative:page;mso-position-vertical-relative:paragraph;z-index:109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sz w:val="7"/>
        </w:rPr>
      </w:pPr>
    </w:p>
    <w:p>
      <w:pPr>
        <w:pStyle w:val="BodyText"/>
        <w:tabs>
          <w:tab w:pos="1265" w:val="left" w:leader="none"/>
          <w:tab w:pos="2818" w:val="left" w:leader="none"/>
        </w:tabs>
        <w:ind w:left="210"/>
      </w:pPr>
      <w:r>
        <w:rPr>
          <w:rFonts w:ascii="黑体" w:eastAsia="黑体" w:hint="eastAsia"/>
        </w:rPr>
        <w:t>3.1</w:t>
        <w:tab/>
        <w:t>受益人</w:t>
        <w:tab/>
      </w:r>
      <w:r>
        <w:rPr/>
        <w:t>除另有指定外，重大疾病保险金的受益人为被保险人本人。</w:t>
      </w:r>
    </w:p>
    <w:p>
      <w:pPr>
        <w:spacing w:after="0"/>
        <w:sectPr>
          <w:type w:val="continuous"/>
          <w:pgSz w:w="11910" w:h="16840"/>
          <w:pgMar w:top="1280" w:bottom="280" w:left="10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778"/>
        <w:gridCol w:w="6969"/>
      </w:tblGrid>
      <w:tr>
        <w:trPr>
          <w:trHeight w:val="336" w:hRule="atLeast"/>
        </w:trPr>
        <w:tc>
          <w:tcPr>
            <w:tcW w:w="794" w:type="dxa"/>
          </w:tcPr>
          <w:p>
            <w:pPr>
              <w:pStyle w:val="TableParagraph"/>
              <w:spacing w:line="204" w:lineRule="exact"/>
              <w:ind w:left="107"/>
              <w:rPr>
                <w:rFonts w:ascii="黑体"/>
                <w:sz w:val="21"/>
              </w:rPr>
            </w:pPr>
            <w:r>
              <w:rPr>
                <w:rFonts w:ascii="黑体"/>
                <w:sz w:val="21"/>
              </w:rPr>
              <w:t>3.2</w:t>
            </w:r>
          </w:p>
        </w:tc>
        <w:tc>
          <w:tcPr>
            <w:tcW w:w="1778" w:type="dxa"/>
          </w:tcPr>
          <w:p>
            <w:pPr>
              <w:pStyle w:val="TableParagraph"/>
              <w:spacing w:line="204" w:lineRule="exact"/>
              <w:ind w:left="369"/>
              <w:rPr>
                <w:rFonts w:ascii="黑体" w:eastAsia="黑体" w:hint="eastAsia"/>
                <w:sz w:val="21"/>
              </w:rPr>
            </w:pPr>
            <w:r>
              <w:rPr>
                <w:rFonts w:ascii="黑体" w:eastAsia="黑体" w:hint="eastAsia"/>
                <w:sz w:val="21"/>
              </w:rPr>
              <w:t>保险金申请</w:t>
            </w:r>
          </w:p>
        </w:tc>
        <w:tc>
          <w:tcPr>
            <w:tcW w:w="6969" w:type="dxa"/>
          </w:tcPr>
          <w:p>
            <w:pPr>
              <w:pStyle w:val="TableParagraph"/>
              <w:spacing w:line="204" w:lineRule="exact"/>
              <w:ind w:left="144"/>
              <w:rPr>
                <w:sz w:val="21"/>
              </w:rPr>
            </w:pPr>
            <w:r>
              <w:rPr>
                <w:sz w:val="21"/>
              </w:rPr>
              <w:t>在申请保险金时，请按照下列方式办理：</w:t>
            </w:r>
          </w:p>
        </w:tc>
      </w:tr>
      <w:tr>
        <w:trPr>
          <w:trHeight w:val="390" w:hRule="atLeast"/>
        </w:trPr>
        <w:tc>
          <w:tcPr>
            <w:tcW w:w="794" w:type="dxa"/>
          </w:tcPr>
          <w:p>
            <w:pPr>
              <w:pStyle w:val="TableParagraph"/>
              <w:rPr>
                <w:rFonts w:ascii="Times New Roman"/>
                <w:sz w:val="20"/>
              </w:rPr>
            </w:pPr>
          </w:p>
        </w:tc>
        <w:tc>
          <w:tcPr>
            <w:tcW w:w="1778" w:type="dxa"/>
          </w:tcPr>
          <w:p>
            <w:pPr>
              <w:pStyle w:val="TableParagraph"/>
              <w:spacing w:before="54"/>
              <w:ind w:left="370"/>
              <w:rPr>
                <w:rFonts w:ascii="黑体" w:eastAsia="黑体" w:hint="eastAsia"/>
                <w:sz w:val="21"/>
              </w:rPr>
            </w:pPr>
            <w:r>
              <w:rPr>
                <w:rFonts w:ascii="黑体" w:eastAsia="黑体" w:hint="eastAsia"/>
                <w:sz w:val="21"/>
              </w:rPr>
              <w:t>重大疾病保险</w:t>
            </w:r>
          </w:p>
        </w:tc>
        <w:tc>
          <w:tcPr>
            <w:tcW w:w="6969" w:type="dxa"/>
          </w:tcPr>
          <w:p>
            <w:pPr>
              <w:pStyle w:val="TableParagraph"/>
              <w:spacing w:before="54"/>
              <w:ind w:left="144"/>
              <w:rPr>
                <w:sz w:val="21"/>
              </w:rPr>
            </w:pPr>
            <w:r>
              <w:rPr>
                <w:sz w:val="21"/>
              </w:rPr>
              <w:t>申请人须填写保险金给付申请书，并提供下列证明和资料：</w:t>
            </w:r>
          </w:p>
        </w:tc>
      </w:tr>
      <w:tr>
        <w:trPr>
          <w:trHeight w:val="319" w:hRule="atLeast"/>
        </w:trPr>
        <w:tc>
          <w:tcPr>
            <w:tcW w:w="794" w:type="dxa"/>
          </w:tcPr>
          <w:p>
            <w:pPr>
              <w:pStyle w:val="TableParagraph"/>
              <w:rPr>
                <w:rFonts w:ascii="Times New Roman"/>
                <w:sz w:val="20"/>
              </w:rPr>
            </w:pPr>
          </w:p>
        </w:tc>
        <w:tc>
          <w:tcPr>
            <w:tcW w:w="1778" w:type="dxa"/>
          </w:tcPr>
          <w:p>
            <w:pPr>
              <w:pStyle w:val="TableParagraph"/>
              <w:spacing w:line="258" w:lineRule="exact"/>
              <w:ind w:left="370"/>
              <w:rPr>
                <w:rFonts w:ascii="黑体" w:eastAsia="黑体" w:hint="eastAsia"/>
                <w:sz w:val="21"/>
              </w:rPr>
            </w:pPr>
            <w:r>
              <w:rPr>
                <w:rFonts w:ascii="黑体" w:eastAsia="黑体" w:hint="eastAsia"/>
                <w:sz w:val="21"/>
              </w:rPr>
              <w:t>金和特定疾病</w:t>
            </w:r>
          </w:p>
        </w:tc>
        <w:tc>
          <w:tcPr>
            <w:tcW w:w="6969" w:type="dxa"/>
          </w:tcPr>
          <w:p>
            <w:pPr>
              <w:pStyle w:val="TableParagraph"/>
              <w:spacing w:line="258" w:lineRule="exact"/>
              <w:ind w:left="144"/>
              <w:rPr>
                <w:sz w:val="21"/>
              </w:rPr>
            </w:pPr>
            <w:r>
              <w:rPr>
                <w:sz w:val="21"/>
              </w:rPr>
              <w:t>(1)保险合同；</w:t>
            </w:r>
          </w:p>
        </w:tc>
      </w:tr>
      <w:tr>
        <w:trPr>
          <w:trHeight w:val="320" w:hRule="atLeast"/>
        </w:trPr>
        <w:tc>
          <w:tcPr>
            <w:tcW w:w="794" w:type="dxa"/>
          </w:tcPr>
          <w:p>
            <w:pPr>
              <w:pStyle w:val="TableParagraph"/>
              <w:rPr>
                <w:rFonts w:ascii="Times New Roman"/>
                <w:sz w:val="20"/>
              </w:rPr>
            </w:pPr>
          </w:p>
        </w:tc>
        <w:tc>
          <w:tcPr>
            <w:tcW w:w="1778" w:type="dxa"/>
          </w:tcPr>
          <w:p>
            <w:pPr>
              <w:pStyle w:val="TableParagraph"/>
              <w:spacing w:line="259" w:lineRule="exact"/>
              <w:ind w:left="370"/>
              <w:rPr>
                <w:rFonts w:ascii="黑体" w:eastAsia="黑体" w:hint="eastAsia"/>
                <w:sz w:val="21"/>
              </w:rPr>
            </w:pPr>
            <w:r>
              <w:rPr>
                <w:rFonts w:ascii="黑体" w:eastAsia="黑体" w:hint="eastAsia"/>
                <w:sz w:val="21"/>
              </w:rPr>
              <w:t>提前给付保险</w:t>
            </w:r>
          </w:p>
        </w:tc>
        <w:tc>
          <w:tcPr>
            <w:tcW w:w="6969" w:type="dxa"/>
          </w:tcPr>
          <w:p>
            <w:pPr>
              <w:pStyle w:val="TableParagraph"/>
              <w:spacing w:line="259" w:lineRule="exact"/>
              <w:ind w:left="144"/>
              <w:rPr>
                <w:sz w:val="21"/>
              </w:rPr>
            </w:pPr>
            <w:r>
              <w:rPr>
                <w:sz w:val="21"/>
              </w:rPr>
              <w:t>(2)申请人的有效身份证件；</w:t>
            </w:r>
          </w:p>
        </w:tc>
      </w:tr>
      <w:tr>
        <w:trPr>
          <w:trHeight w:val="319" w:hRule="atLeast"/>
        </w:trPr>
        <w:tc>
          <w:tcPr>
            <w:tcW w:w="794" w:type="dxa"/>
          </w:tcPr>
          <w:p>
            <w:pPr>
              <w:pStyle w:val="TableParagraph"/>
              <w:rPr>
                <w:rFonts w:ascii="Times New Roman"/>
                <w:sz w:val="20"/>
              </w:rPr>
            </w:pPr>
          </w:p>
        </w:tc>
        <w:tc>
          <w:tcPr>
            <w:tcW w:w="1778" w:type="dxa"/>
          </w:tcPr>
          <w:p>
            <w:pPr>
              <w:pStyle w:val="TableParagraph"/>
              <w:spacing w:line="259" w:lineRule="exact"/>
              <w:ind w:left="370"/>
              <w:rPr>
                <w:rFonts w:ascii="黑体" w:eastAsia="黑体" w:hint="eastAsia"/>
                <w:sz w:val="21"/>
              </w:rPr>
            </w:pPr>
            <w:r>
              <w:rPr>
                <w:rFonts w:ascii="黑体" w:eastAsia="黑体" w:hint="eastAsia"/>
                <w:sz w:val="21"/>
              </w:rPr>
              <w:t>金申请</w:t>
            </w:r>
          </w:p>
        </w:tc>
        <w:tc>
          <w:tcPr>
            <w:tcW w:w="6969" w:type="dxa"/>
          </w:tcPr>
          <w:p>
            <w:pPr>
              <w:pStyle w:val="TableParagraph"/>
              <w:spacing w:line="259" w:lineRule="exact"/>
              <w:ind w:left="144"/>
              <w:rPr>
                <w:sz w:val="21"/>
              </w:rPr>
            </w:pPr>
            <w:r>
              <w:rPr>
                <w:sz w:val="21"/>
              </w:rPr>
              <w:t>(3)卫生行政部门认定的二级以上（含二级）医院出具的附有病理显微镜</w:t>
            </w:r>
          </w:p>
        </w:tc>
      </w:tr>
      <w:tr>
        <w:trPr>
          <w:trHeight w:val="319"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8" w:lineRule="exact"/>
              <w:ind w:right="107"/>
              <w:jc w:val="right"/>
              <w:rPr>
                <w:sz w:val="21"/>
              </w:rPr>
            </w:pPr>
            <w:r>
              <w:rPr>
                <w:sz w:val="21"/>
              </w:rPr>
              <w:t>检查报告、血液检查及其他科学方法检验报告的病史资料及疾病诊断</w:t>
            </w:r>
          </w:p>
        </w:tc>
      </w:tr>
      <w:tr>
        <w:trPr>
          <w:trHeight w:val="320"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right="107"/>
              <w:jc w:val="right"/>
              <w:rPr>
                <w:sz w:val="21"/>
              </w:rPr>
            </w:pPr>
            <w:r>
              <w:rPr>
                <w:sz w:val="21"/>
              </w:rPr>
              <w:t>报告书；</w:t>
            </w:r>
            <w:r>
              <w:rPr>
                <w:sz w:val="21"/>
                <w:shd w:fill="D9D9D9" w:color="auto" w:val="clear"/>
              </w:rPr>
              <w:t>但原发性心肌病的理赔须由三级以上（含三级）医院出具前</w:t>
            </w:r>
          </w:p>
        </w:tc>
      </w:tr>
      <w:tr>
        <w:trPr>
          <w:trHeight w:val="639"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460"/>
              <w:rPr>
                <w:sz w:val="21"/>
              </w:rPr>
            </w:pPr>
            <w:r>
              <w:rPr>
                <w:sz w:val="21"/>
                <w:shd w:fill="D9D9D9" w:color="auto" w:val="clear"/>
              </w:rPr>
              <w:t>述报告和资料；</w:t>
            </w:r>
            <w:r>
              <w:rPr>
                <w:sz w:val="21"/>
              </w:rPr>
              <w:t>如有必要，我们有权对被保险人进行复检，复检费用</w:t>
            </w:r>
          </w:p>
          <w:p>
            <w:pPr>
              <w:pStyle w:val="TableParagraph"/>
              <w:spacing w:before="44"/>
              <w:ind w:left="460"/>
              <w:rPr>
                <w:sz w:val="21"/>
              </w:rPr>
            </w:pPr>
            <w:r>
              <w:rPr>
                <w:sz w:val="21"/>
              </w:rPr>
              <w:t>由我们承担；</w:t>
            </w:r>
          </w:p>
        </w:tc>
      </w:tr>
      <w:tr>
        <w:trPr>
          <w:trHeight w:val="391"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(4)所能提供的与确认保险事故的性质、原因等有关的其他证明和资料。</w:t>
            </w:r>
          </w:p>
        </w:tc>
      </w:tr>
      <w:tr>
        <w:trPr>
          <w:trHeight w:val="391"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before="54"/>
              <w:ind w:left="144"/>
              <w:rPr>
                <w:sz w:val="21"/>
              </w:rPr>
            </w:pPr>
            <w:r>
              <w:rPr>
                <w:sz w:val="21"/>
              </w:rPr>
              <w:t>以上证明和资料不完整的，我们将及时一次性通知申请人补充提供有关证</w:t>
            </w:r>
          </w:p>
        </w:tc>
      </w:tr>
      <w:tr>
        <w:trPr>
          <w:trHeight w:val="391"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明和资料。</w:t>
            </w:r>
          </w:p>
        </w:tc>
      </w:tr>
      <w:tr>
        <w:trPr>
          <w:trHeight w:val="390" w:hRule="atLeast"/>
        </w:trPr>
        <w:tc>
          <w:tcPr>
            <w:tcW w:w="794" w:type="dxa"/>
          </w:tcPr>
          <w:p>
            <w:pPr>
              <w:pStyle w:val="TableParagraph"/>
              <w:spacing w:before="54"/>
              <w:ind w:left="107"/>
              <w:rPr>
                <w:rFonts w:ascii="黑体"/>
                <w:sz w:val="21"/>
              </w:rPr>
            </w:pPr>
            <w:r>
              <w:rPr>
                <w:rFonts w:ascii="黑体"/>
                <w:sz w:val="21"/>
              </w:rPr>
              <w:t>3.3</w:t>
            </w:r>
          </w:p>
        </w:tc>
        <w:tc>
          <w:tcPr>
            <w:tcW w:w="1778" w:type="dxa"/>
          </w:tcPr>
          <w:p>
            <w:pPr>
              <w:pStyle w:val="TableParagraph"/>
              <w:spacing w:before="54"/>
              <w:ind w:left="370"/>
              <w:rPr>
                <w:rFonts w:ascii="黑体" w:eastAsia="黑体" w:hint="eastAsia"/>
                <w:sz w:val="21"/>
              </w:rPr>
            </w:pPr>
            <w:r>
              <w:rPr>
                <w:rFonts w:ascii="黑体" w:eastAsia="黑体" w:hint="eastAsia"/>
                <w:sz w:val="21"/>
              </w:rPr>
              <w:t>保险金给付</w:t>
            </w:r>
          </w:p>
        </w:tc>
        <w:tc>
          <w:tcPr>
            <w:tcW w:w="6969" w:type="dxa"/>
          </w:tcPr>
          <w:p>
            <w:pPr>
              <w:pStyle w:val="TableParagraph"/>
              <w:spacing w:before="54"/>
              <w:ind w:left="144"/>
              <w:rPr>
                <w:sz w:val="21"/>
              </w:rPr>
            </w:pPr>
            <w:r>
              <w:rPr>
                <w:spacing w:val="-3"/>
                <w:sz w:val="21"/>
              </w:rPr>
              <w:t>我们在收到保险金给付申请书及合同约定的证明和资料后，将在 </w:t>
            </w:r>
            <w:r>
              <w:rPr>
                <w:sz w:val="21"/>
              </w:rPr>
              <w:t>5</w:t>
            </w:r>
            <w:r>
              <w:rPr>
                <w:spacing w:val="-14"/>
                <w:sz w:val="21"/>
              </w:rPr>
              <w:t> 个工作</w:t>
            </w:r>
          </w:p>
        </w:tc>
      </w:tr>
      <w:tr>
        <w:trPr>
          <w:trHeight w:val="319"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84" w:lineRule="exact"/>
              <w:ind w:left="144"/>
              <w:rPr>
                <w:sz w:val="21"/>
              </w:rPr>
            </w:pPr>
            <w:r>
              <w:rPr>
                <w:sz w:val="21"/>
              </w:rPr>
              <w:t>日内作出核定；</w:t>
            </w:r>
            <w:r>
              <w:rPr>
                <w:rFonts w:ascii="微软雅黑" w:eastAsia="微软雅黑" w:hint="eastAsia"/>
                <w:b/>
                <w:sz w:val="21"/>
              </w:rPr>
              <w:t>情形复杂</w:t>
            </w:r>
            <w:r>
              <w:rPr>
                <w:sz w:val="21"/>
              </w:rPr>
              <w:t>的，在 30 日内作出核定。对属于保险责任的，</w:t>
            </w:r>
          </w:p>
        </w:tc>
      </w:tr>
      <w:tr>
        <w:trPr>
          <w:trHeight w:val="320"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right="2"/>
              <w:jc w:val="right"/>
              <w:rPr>
                <w:sz w:val="21"/>
              </w:rPr>
            </w:pPr>
            <w:r>
              <w:rPr>
                <w:sz w:val="21"/>
              </w:rPr>
              <w:t>我们在与受益人达成给付保险金的协议后 10 日内，履行给付保险金义务。</w:t>
            </w:r>
          </w:p>
        </w:tc>
      </w:tr>
      <w:tr>
        <w:trPr>
          <w:trHeight w:val="319"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我们未及时履行前款规定义务的，除支付保险金外，应当赔偿受益人因此</w:t>
            </w:r>
          </w:p>
        </w:tc>
      </w:tr>
      <w:tr>
        <w:trPr>
          <w:trHeight w:val="319"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8" w:lineRule="exact"/>
              <w:ind w:left="144"/>
              <w:rPr>
                <w:sz w:val="21"/>
              </w:rPr>
            </w:pPr>
            <w:r>
              <w:rPr>
                <w:sz w:val="21"/>
              </w:rPr>
              <w:t>受到的损失。前述“损失”是指根据中国人民银行公布的同时期的人民币</w:t>
            </w:r>
          </w:p>
        </w:tc>
      </w:tr>
      <w:tr>
        <w:trPr>
          <w:trHeight w:val="320"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活期存款基准利率计算的利息损失。</w:t>
            </w:r>
          </w:p>
        </w:tc>
      </w:tr>
      <w:tr>
        <w:trPr>
          <w:trHeight w:val="319"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144"/>
              <w:rPr>
                <w:sz w:val="21"/>
              </w:rPr>
            </w:pPr>
            <w:r>
              <w:rPr>
                <w:spacing w:val="-4"/>
                <w:sz w:val="21"/>
              </w:rPr>
              <w:t>对不属于保险责任的，我们自作出核定之日起 </w:t>
            </w:r>
            <w:r>
              <w:rPr>
                <w:sz w:val="21"/>
              </w:rPr>
              <w:t>3</w:t>
            </w:r>
            <w:r>
              <w:rPr>
                <w:spacing w:val="-8"/>
                <w:sz w:val="21"/>
              </w:rPr>
              <w:t> 日内向受益人发出拒绝给</w:t>
            </w:r>
          </w:p>
        </w:tc>
      </w:tr>
      <w:tr>
        <w:trPr>
          <w:trHeight w:val="319"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8" w:lineRule="exact"/>
              <w:ind w:left="144"/>
              <w:rPr>
                <w:sz w:val="21"/>
              </w:rPr>
            </w:pPr>
            <w:r>
              <w:rPr>
                <w:sz w:val="21"/>
              </w:rPr>
              <w:t>付保险金通知书并说明理由。</w:t>
            </w:r>
          </w:p>
        </w:tc>
      </w:tr>
      <w:tr>
        <w:trPr>
          <w:trHeight w:val="320"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我们在收到保险金给付申请书及有关证明和资料之日起 60 日内，对给付</w:t>
            </w:r>
          </w:p>
        </w:tc>
      </w:tr>
      <w:tr>
        <w:trPr>
          <w:trHeight w:val="319"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保险金的数额不能确定的，根据已有证明和资料可以确定的数额先予支</w:t>
            </w:r>
          </w:p>
        </w:tc>
      </w:tr>
      <w:tr>
        <w:trPr>
          <w:trHeight w:val="390"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8" w:lineRule="exact"/>
              <w:ind w:left="144"/>
              <w:rPr>
                <w:sz w:val="21"/>
              </w:rPr>
            </w:pPr>
            <w:r>
              <w:rPr>
                <w:sz w:val="21"/>
              </w:rPr>
              <w:t>付；我们最终确定给付保险金的数额后，将支付相应的差额。</w:t>
            </w:r>
          </w:p>
        </w:tc>
      </w:tr>
      <w:tr>
        <w:trPr>
          <w:trHeight w:val="391" w:hRule="atLeast"/>
        </w:trPr>
        <w:tc>
          <w:tcPr>
            <w:tcW w:w="794" w:type="dxa"/>
          </w:tcPr>
          <w:p>
            <w:pPr>
              <w:pStyle w:val="TableParagraph"/>
              <w:spacing w:before="54"/>
              <w:ind w:left="107"/>
              <w:rPr>
                <w:rFonts w:ascii="黑体"/>
                <w:sz w:val="21"/>
              </w:rPr>
            </w:pPr>
            <w:r>
              <w:rPr>
                <w:rFonts w:ascii="黑体"/>
                <w:sz w:val="21"/>
              </w:rPr>
              <w:t>3.4</w:t>
            </w:r>
          </w:p>
        </w:tc>
        <w:tc>
          <w:tcPr>
            <w:tcW w:w="1778" w:type="dxa"/>
          </w:tcPr>
          <w:p>
            <w:pPr>
              <w:pStyle w:val="TableParagraph"/>
              <w:spacing w:before="54"/>
              <w:ind w:left="369"/>
              <w:rPr>
                <w:rFonts w:ascii="黑体" w:eastAsia="黑体" w:hint="eastAsia"/>
                <w:sz w:val="21"/>
              </w:rPr>
            </w:pPr>
            <w:r>
              <w:rPr>
                <w:rFonts w:ascii="黑体" w:eastAsia="黑体" w:hint="eastAsia"/>
                <w:sz w:val="21"/>
              </w:rPr>
              <w:t>诉讼时效</w:t>
            </w:r>
          </w:p>
        </w:tc>
        <w:tc>
          <w:tcPr>
            <w:tcW w:w="6969" w:type="dxa"/>
          </w:tcPr>
          <w:p>
            <w:pPr>
              <w:pStyle w:val="TableParagraph"/>
              <w:spacing w:before="54"/>
              <w:ind w:left="144"/>
              <w:rPr>
                <w:sz w:val="21"/>
              </w:rPr>
            </w:pPr>
            <w:r>
              <w:rPr>
                <w:spacing w:val="-3"/>
                <w:sz w:val="21"/>
              </w:rPr>
              <w:t>受益人向我们请求给付保险金的诉讼时效期间为 </w:t>
            </w:r>
            <w:r>
              <w:rPr>
                <w:sz w:val="21"/>
              </w:rPr>
              <w:t>2</w:t>
            </w:r>
            <w:r>
              <w:rPr>
                <w:spacing w:val="-8"/>
                <w:sz w:val="21"/>
              </w:rPr>
              <w:t> 年，自其知道或应当知</w:t>
            </w:r>
          </w:p>
        </w:tc>
      </w:tr>
      <w:tr>
        <w:trPr>
          <w:trHeight w:val="442"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道保险事故发生之日起计算。</w:t>
            </w:r>
          </w:p>
        </w:tc>
      </w:tr>
      <w:tr>
        <w:trPr>
          <w:trHeight w:val="312" w:hRule="atLeast"/>
        </w:trPr>
        <w:tc>
          <w:tcPr>
            <w:tcW w:w="794"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1778" w:type="dxa"/>
            <w:shd w:val="clear" w:color="auto" w:fill="D3D3D3"/>
          </w:tcPr>
          <w:p>
            <w:pPr>
              <w:pStyle w:val="TableParagraph"/>
              <w:spacing w:before="4"/>
              <w:ind w:left="369"/>
              <w:rPr>
                <w:rFonts w:ascii="黑体" w:eastAsia="黑体" w:hint="eastAsia"/>
                <w:b/>
                <w:sz w:val="21"/>
              </w:rPr>
            </w:pPr>
            <w:r>
              <w:rPr>
                <w:rFonts w:ascii="黑体" w:eastAsia="黑体" w:hint="eastAsia"/>
                <w:b/>
                <w:w w:val="95"/>
                <w:sz w:val="21"/>
              </w:rPr>
              <w:t>保险费的支付</w:t>
            </w:r>
          </w:p>
        </w:tc>
        <w:tc>
          <w:tcPr>
            <w:tcW w:w="6969" w:type="dxa"/>
            <w:shd w:val="clear" w:color="auto" w:fill="D3D3D3"/>
          </w:tcPr>
          <w:p>
            <w:pPr>
              <w:pStyle w:val="TableParagraph"/>
              <w:rPr>
                <w:rFonts w:ascii="Times New Roman"/>
                <w:sz w:val="20"/>
              </w:rPr>
            </w:pPr>
          </w:p>
        </w:tc>
      </w:tr>
      <w:tr>
        <w:trPr>
          <w:trHeight w:val="481" w:hRule="atLeast"/>
        </w:trPr>
        <w:tc>
          <w:tcPr>
            <w:tcW w:w="794" w:type="dxa"/>
          </w:tcPr>
          <w:p>
            <w:pPr>
              <w:pStyle w:val="TableParagraph"/>
              <w:spacing w:before="145"/>
              <w:ind w:left="107"/>
              <w:rPr>
                <w:rFonts w:ascii="黑体"/>
                <w:sz w:val="21"/>
              </w:rPr>
            </w:pPr>
            <w:r>
              <w:rPr>
                <w:rFonts w:ascii="黑体"/>
                <w:sz w:val="21"/>
              </w:rPr>
              <w:t>4.1</w:t>
            </w:r>
          </w:p>
        </w:tc>
        <w:tc>
          <w:tcPr>
            <w:tcW w:w="1778" w:type="dxa"/>
          </w:tcPr>
          <w:p>
            <w:pPr>
              <w:pStyle w:val="TableParagraph"/>
              <w:spacing w:before="145"/>
              <w:ind w:left="370"/>
              <w:rPr>
                <w:rFonts w:ascii="黑体" w:eastAsia="黑体" w:hint="eastAsia"/>
                <w:sz w:val="21"/>
              </w:rPr>
            </w:pPr>
            <w:r>
              <w:rPr>
                <w:rFonts w:ascii="黑体" w:eastAsia="黑体" w:hint="eastAsia"/>
                <w:sz w:val="21"/>
              </w:rPr>
              <w:t>保险费的支付</w:t>
            </w:r>
          </w:p>
        </w:tc>
        <w:tc>
          <w:tcPr>
            <w:tcW w:w="6969" w:type="dxa"/>
          </w:tcPr>
          <w:p>
            <w:pPr>
              <w:pStyle w:val="TableParagraph"/>
              <w:spacing w:before="145"/>
              <w:ind w:left="144"/>
              <w:rPr>
                <w:sz w:val="21"/>
              </w:rPr>
            </w:pPr>
            <w:r>
              <w:rPr>
                <w:sz w:val="21"/>
              </w:rPr>
              <w:t>本附加险合同保险费的交费方式、交费期间及保险费约定支付日与主险合</w:t>
            </w:r>
          </w:p>
        </w:tc>
      </w:tr>
      <w:tr>
        <w:trPr>
          <w:trHeight w:val="391"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同一致。</w:t>
            </w:r>
          </w:p>
        </w:tc>
      </w:tr>
      <w:tr>
        <w:trPr>
          <w:trHeight w:val="391" w:hRule="atLeast"/>
        </w:trPr>
        <w:tc>
          <w:tcPr>
            <w:tcW w:w="794" w:type="dxa"/>
          </w:tcPr>
          <w:p>
            <w:pPr>
              <w:pStyle w:val="TableParagraph"/>
              <w:spacing w:before="54"/>
              <w:ind w:left="107"/>
              <w:rPr>
                <w:rFonts w:ascii="黑体"/>
                <w:sz w:val="21"/>
              </w:rPr>
            </w:pPr>
            <w:r>
              <w:rPr>
                <w:rFonts w:ascii="黑体"/>
                <w:sz w:val="21"/>
              </w:rPr>
              <w:t>4.2</w:t>
            </w:r>
          </w:p>
        </w:tc>
        <w:tc>
          <w:tcPr>
            <w:tcW w:w="1778" w:type="dxa"/>
          </w:tcPr>
          <w:p>
            <w:pPr>
              <w:pStyle w:val="TableParagraph"/>
              <w:spacing w:before="54"/>
              <w:ind w:left="370"/>
              <w:rPr>
                <w:rFonts w:ascii="黑体" w:eastAsia="黑体" w:hint="eastAsia"/>
                <w:sz w:val="21"/>
              </w:rPr>
            </w:pPr>
            <w:r>
              <w:rPr>
                <w:rFonts w:ascii="黑体" w:eastAsia="黑体" w:hint="eastAsia"/>
                <w:sz w:val="21"/>
              </w:rPr>
              <w:t>保险费率的调</w:t>
            </w:r>
          </w:p>
        </w:tc>
        <w:tc>
          <w:tcPr>
            <w:tcW w:w="6969" w:type="dxa"/>
          </w:tcPr>
          <w:p>
            <w:pPr>
              <w:pStyle w:val="TableParagraph"/>
              <w:spacing w:before="54"/>
              <w:ind w:left="144"/>
              <w:rPr>
                <w:sz w:val="21"/>
              </w:rPr>
            </w:pPr>
            <w:r>
              <w:rPr>
                <w:sz w:val="21"/>
                <w:shd w:fill="D9D9D9" w:color="auto" w:val="clear"/>
              </w:rPr>
              <w:t>当我们厘定费率时采用的预定重大疾病发生率与实际重大疾病发生率发</w:t>
            </w:r>
          </w:p>
        </w:tc>
      </w:tr>
      <w:tr>
        <w:trPr>
          <w:trHeight w:val="319" w:hRule="atLeast"/>
        </w:trPr>
        <w:tc>
          <w:tcPr>
            <w:tcW w:w="794" w:type="dxa"/>
          </w:tcPr>
          <w:p>
            <w:pPr>
              <w:pStyle w:val="TableParagraph"/>
              <w:rPr>
                <w:rFonts w:ascii="Times New Roman"/>
                <w:sz w:val="20"/>
              </w:rPr>
            </w:pPr>
          </w:p>
        </w:tc>
        <w:tc>
          <w:tcPr>
            <w:tcW w:w="1778" w:type="dxa"/>
          </w:tcPr>
          <w:p>
            <w:pPr>
              <w:pStyle w:val="TableParagraph"/>
              <w:spacing w:line="259" w:lineRule="exact"/>
              <w:ind w:left="369"/>
              <w:rPr>
                <w:rFonts w:ascii="黑体" w:eastAsia="黑体" w:hint="eastAsia"/>
                <w:sz w:val="21"/>
              </w:rPr>
            </w:pPr>
            <w:r>
              <w:rPr>
                <w:rFonts w:ascii="黑体" w:eastAsia="黑体" w:hint="eastAsia"/>
                <w:sz w:val="21"/>
              </w:rPr>
              <w:t>整</w:t>
            </w:r>
          </w:p>
        </w:tc>
        <w:tc>
          <w:tcPr>
            <w:tcW w:w="6969" w:type="dxa"/>
          </w:tcPr>
          <w:p>
            <w:pPr>
              <w:pStyle w:val="TableParagraph"/>
              <w:spacing w:line="259" w:lineRule="exact"/>
              <w:ind w:left="144"/>
              <w:rPr>
                <w:sz w:val="21"/>
              </w:rPr>
            </w:pPr>
            <w:r>
              <w:rPr>
                <w:sz w:val="21"/>
                <w:shd w:fill="D9D9D9" w:color="auto" w:val="clear"/>
              </w:rPr>
              <w:t>生偏离，足以影响保险费率水平的，我们将调整保险费率。</w:t>
            </w:r>
            <w:r>
              <w:rPr>
                <w:sz w:val="21"/>
              </w:rPr>
              <w:t>保险费率的调</w:t>
            </w:r>
          </w:p>
        </w:tc>
      </w:tr>
      <w:tr>
        <w:trPr>
          <w:trHeight w:val="319"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8" w:lineRule="exact"/>
              <w:ind w:left="144"/>
              <w:rPr>
                <w:sz w:val="21"/>
              </w:rPr>
            </w:pPr>
            <w:r>
              <w:rPr>
                <w:sz w:val="21"/>
              </w:rPr>
              <w:t>整针对所有被保险人或同一投保年龄的所有被保险人。</w:t>
            </w:r>
          </w:p>
        </w:tc>
      </w:tr>
      <w:tr>
        <w:trPr>
          <w:trHeight w:val="320"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我们进行保险费率调整后，您应按调整后的保险费率支付续期保险费，保</w:t>
            </w:r>
          </w:p>
        </w:tc>
      </w:tr>
      <w:tr>
        <w:trPr>
          <w:trHeight w:val="319"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险费率调整前您已支付的保险费不受影响。</w:t>
            </w:r>
          </w:p>
        </w:tc>
      </w:tr>
      <w:tr>
        <w:trPr>
          <w:trHeight w:val="319"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8" w:lineRule="exact"/>
              <w:ind w:left="144"/>
              <w:rPr>
                <w:sz w:val="21"/>
              </w:rPr>
            </w:pPr>
            <w:r>
              <w:rPr>
                <w:sz w:val="21"/>
              </w:rPr>
              <w:t>我们调整保险费率的，将及时通知您。</w:t>
            </w:r>
            <w:r>
              <w:rPr>
                <w:sz w:val="21"/>
                <w:shd w:fill="D9D9D9" w:color="auto" w:val="clear"/>
              </w:rPr>
              <w:t>您不接受保险费率调整的，可按本</w:t>
            </w:r>
          </w:p>
        </w:tc>
      </w:tr>
      <w:tr>
        <w:trPr>
          <w:trHeight w:val="442"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144"/>
              <w:rPr>
                <w:sz w:val="21"/>
              </w:rPr>
            </w:pPr>
            <w:r>
              <w:rPr>
                <w:sz w:val="21"/>
                <w:shd w:fill="D9D9D9" w:color="auto" w:val="clear"/>
              </w:rPr>
              <w:t>附加险条款“7.2 您解除合同的手续及风险”的约定申请解除合同。</w:t>
            </w:r>
          </w:p>
        </w:tc>
      </w:tr>
      <w:tr>
        <w:trPr>
          <w:trHeight w:val="312" w:hRule="atLeast"/>
        </w:trPr>
        <w:tc>
          <w:tcPr>
            <w:tcW w:w="794"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5．</w:t>
            </w:r>
          </w:p>
        </w:tc>
        <w:tc>
          <w:tcPr>
            <w:tcW w:w="1778" w:type="dxa"/>
            <w:shd w:val="clear" w:color="auto" w:fill="D3D3D3"/>
          </w:tcPr>
          <w:p>
            <w:pPr>
              <w:pStyle w:val="TableParagraph"/>
              <w:spacing w:before="4"/>
              <w:ind w:left="369"/>
              <w:rPr>
                <w:rFonts w:ascii="黑体" w:eastAsia="黑体" w:hint="eastAsia"/>
                <w:b/>
                <w:sz w:val="21"/>
              </w:rPr>
            </w:pPr>
            <w:r>
              <w:rPr>
                <w:rFonts w:ascii="黑体" w:eastAsia="黑体" w:hint="eastAsia"/>
                <w:b/>
                <w:w w:val="95"/>
                <w:sz w:val="21"/>
              </w:rPr>
              <w:t>减保</w:t>
            </w:r>
          </w:p>
        </w:tc>
        <w:tc>
          <w:tcPr>
            <w:tcW w:w="6969" w:type="dxa"/>
            <w:shd w:val="clear" w:color="auto" w:fill="D3D3D3"/>
          </w:tcPr>
          <w:p>
            <w:pPr>
              <w:pStyle w:val="TableParagraph"/>
              <w:rPr>
                <w:rFonts w:ascii="Times New Roman"/>
                <w:sz w:val="20"/>
              </w:rPr>
            </w:pPr>
          </w:p>
        </w:tc>
      </w:tr>
      <w:tr>
        <w:trPr>
          <w:trHeight w:val="481" w:hRule="atLeast"/>
        </w:trPr>
        <w:tc>
          <w:tcPr>
            <w:tcW w:w="794" w:type="dxa"/>
          </w:tcPr>
          <w:p>
            <w:pPr>
              <w:pStyle w:val="TableParagraph"/>
              <w:spacing w:before="145"/>
              <w:ind w:left="108"/>
              <w:rPr>
                <w:rFonts w:ascii="黑体"/>
                <w:sz w:val="21"/>
              </w:rPr>
            </w:pPr>
            <w:r>
              <w:rPr>
                <w:rFonts w:ascii="黑体"/>
                <w:sz w:val="21"/>
              </w:rPr>
              <w:t>5.1</w:t>
            </w:r>
          </w:p>
        </w:tc>
        <w:tc>
          <w:tcPr>
            <w:tcW w:w="1778" w:type="dxa"/>
          </w:tcPr>
          <w:p>
            <w:pPr>
              <w:pStyle w:val="TableParagraph"/>
              <w:spacing w:before="145"/>
              <w:ind w:left="370"/>
              <w:rPr>
                <w:rFonts w:ascii="黑体" w:eastAsia="黑体" w:hint="eastAsia"/>
                <w:sz w:val="21"/>
              </w:rPr>
            </w:pPr>
            <w:r>
              <w:rPr>
                <w:rFonts w:ascii="黑体" w:eastAsia="黑体" w:hint="eastAsia"/>
                <w:sz w:val="21"/>
              </w:rPr>
              <w:t>减保</w:t>
            </w:r>
          </w:p>
        </w:tc>
        <w:tc>
          <w:tcPr>
            <w:tcW w:w="6969" w:type="dxa"/>
          </w:tcPr>
          <w:p>
            <w:pPr>
              <w:pStyle w:val="TableParagraph"/>
              <w:spacing w:before="145"/>
              <w:ind w:left="144"/>
              <w:rPr>
                <w:sz w:val="21"/>
              </w:rPr>
            </w:pPr>
            <w:r>
              <w:rPr>
                <w:sz w:val="21"/>
                <w:shd w:fill="D9D9D9" w:color="auto" w:val="clear"/>
              </w:rPr>
              <w:t>本附加险合同不得单独减保。</w:t>
            </w:r>
            <w:r>
              <w:rPr>
                <w:sz w:val="21"/>
              </w:rPr>
              <w:t>您申请主险合同减保时，本附加险合同应同</w:t>
            </w:r>
          </w:p>
        </w:tc>
      </w:tr>
      <w:tr>
        <w:trPr>
          <w:trHeight w:val="320" w:hRule="atLeast"/>
        </w:trPr>
        <w:tc>
          <w:tcPr>
            <w:tcW w:w="794" w:type="dxa"/>
          </w:tcPr>
          <w:p>
            <w:pPr>
              <w:pStyle w:val="TableParagraph"/>
              <w:rPr>
                <w:rFonts w:ascii="Times New Roman"/>
                <w:sz w:val="20"/>
              </w:rPr>
            </w:pPr>
          </w:p>
        </w:tc>
        <w:tc>
          <w:tcPr>
            <w:tcW w:w="1778"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时减保，减保比例同主险合同，我们将退还减少的有效保险金额所对应的</w:t>
            </w:r>
          </w:p>
        </w:tc>
      </w:tr>
      <w:tr>
        <w:trPr>
          <w:trHeight w:val="265" w:hRule="atLeast"/>
        </w:trPr>
        <w:tc>
          <w:tcPr>
            <w:tcW w:w="794" w:type="dxa"/>
          </w:tcPr>
          <w:p>
            <w:pPr>
              <w:pStyle w:val="TableParagraph"/>
              <w:rPr>
                <w:rFonts w:ascii="Times New Roman"/>
                <w:sz w:val="18"/>
              </w:rPr>
            </w:pPr>
          </w:p>
        </w:tc>
        <w:tc>
          <w:tcPr>
            <w:tcW w:w="1778" w:type="dxa"/>
          </w:tcPr>
          <w:p>
            <w:pPr>
              <w:pStyle w:val="TableParagraph"/>
              <w:rPr>
                <w:rFonts w:ascii="Times New Roman"/>
                <w:sz w:val="18"/>
              </w:rPr>
            </w:pPr>
          </w:p>
        </w:tc>
        <w:tc>
          <w:tcPr>
            <w:tcW w:w="6969" w:type="dxa"/>
          </w:tcPr>
          <w:p>
            <w:pPr>
              <w:pStyle w:val="TableParagraph"/>
              <w:spacing w:line="245" w:lineRule="exact"/>
              <w:ind w:left="144"/>
              <w:rPr>
                <w:sz w:val="21"/>
              </w:rPr>
            </w:pPr>
            <w:r>
              <w:rPr>
                <w:sz w:val="21"/>
              </w:rPr>
              <w:t>现金价值。</w:t>
            </w:r>
          </w:p>
        </w:tc>
      </w:tr>
    </w:tbl>
    <w:p>
      <w:pPr>
        <w:spacing w:after="0" w:line="245" w:lineRule="exact"/>
        <w:rPr>
          <w:sz w:val="21"/>
        </w:rPr>
        <w:sectPr>
          <w:pgSz w:w="11910" w:h="16840"/>
          <w:pgMar w:top="1500" w:bottom="280" w:left="1080" w:right="1080"/>
        </w:sectPr>
      </w:pPr>
    </w:p>
    <w:p>
      <w:pPr>
        <w:pStyle w:val="BodyText"/>
        <w:spacing w:before="8"/>
        <w:ind w:left="2818"/>
      </w:pPr>
      <w:r>
        <w:rPr/>
        <w:t>减保后，本附加险合同期交保险费将按减保比例相应减少。</w:t>
      </w:r>
    </w:p>
    <w:p>
      <w:pPr>
        <w:pStyle w:val="BodyText"/>
        <w:spacing w:before="8"/>
        <w:rPr>
          <w:sz w:val="11"/>
        </w:rPr>
      </w:pPr>
      <w:r>
        <w:rPr/>
        <w:pict>
          <v:shape style="position:absolute;margin-left:59.099998pt;margin-top:8.807695pt;width:477.1pt;height:15.6pt;mso-position-horizontal-relative:page;mso-position-vertical-relative:paragraph;z-index:1168;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保险费自动垫交</w:t>
                  </w:r>
                </w:p>
              </w:txbxContent>
            </v:textbox>
            <v:fill type="solid"/>
            <w10:wrap type="topAndBottom"/>
          </v:shape>
        </w:pict>
      </w:r>
    </w:p>
    <w:p>
      <w:pPr>
        <w:pStyle w:val="BodyText"/>
        <w:spacing w:before="10"/>
        <w:rPr>
          <w:sz w:val="7"/>
        </w:rPr>
      </w:pPr>
    </w:p>
    <w:p>
      <w:pPr>
        <w:spacing w:after="0"/>
        <w:rPr>
          <w:sz w:val="7"/>
        </w:rPr>
        <w:sectPr>
          <w:pgSz w:w="11910" w:h="16840"/>
          <w:pgMar w:top="1420" w:bottom="280" w:left="1080" w:right="1080"/>
        </w:sectPr>
      </w:pPr>
    </w:p>
    <w:p>
      <w:pPr>
        <w:pStyle w:val="BodyText"/>
        <w:tabs>
          <w:tab w:pos="1266" w:val="left" w:leader="none"/>
        </w:tabs>
        <w:spacing w:line="280" w:lineRule="auto"/>
        <w:ind w:left="1266" w:hanging="1057"/>
        <w:rPr>
          <w:rFonts w:ascii="黑体" w:eastAsia="黑体" w:hint="eastAsia"/>
        </w:rPr>
      </w:pPr>
      <w:r>
        <w:rPr>
          <w:rFonts w:ascii="黑体" w:eastAsia="黑体" w:hint="eastAsia"/>
        </w:rPr>
        <w:t>6.1</w:t>
        <w:tab/>
      </w:r>
      <w:r>
        <w:rPr>
          <w:rFonts w:ascii="黑体" w:eastAsia="黑体" w:hint="eastAsia"/>
          <w:spacing w:val="-1"/>
        </w:rPr>
        <w:t>保险费自动垫</w:t>
      </w:r>
      <w:r>
        <w:rPr>
          <w:rFonts w:ascii="黑体" w:eastAsia="黑体" w:hint="eastAsia"/>
        </w:rPr>
        <w:t>交</w:t>
      </w:r>
    </w:p>
    <w:p>
      <w:pPr>
        <w:pStyle w:val="BodyText"/>
        <w:spacing w:line="280" w:lineRule="auto"/>
        <w:ind w:left="209" w:right="207"/>
      </w:pPr>
      <w:r>
        <w:rPr/>
        <w:br w:type="column"/>
      </w:r>
      <w:r>
        <w:rPr/>
        <w:t>本附加险合同保险费自动垫交应与主险合同同时进行，且垫交规则及垫交期限均与主险合同一致。</w:t>
      </w:r>
    </w:p>
    <w:p>
      <w:pPr>
        <w:spacing w:after="0" w:line="280" w:lineRule="auto"/>
        <w:sectPr>
          <w:type w:val="continuous"/>
          <w:pgSz w:w="11910" w:h="16840"/>
          <w:pgMar w:top="1280" w:bottom="280" w:left="1080" w:right="1080"/>
          <w:cols w:num="2" w:equalWidth="0">
            <w:col w:w="2526" w:space="83"/>
            <w:col w:w="7141"/>
          </w:cols>
        </w:sectPr>
      </w:pPr>
    </w:p>
    <w:p>
      <w:pPr>
        <w:pStyle w:val="BodyText"/>
        <w:spacing w:before="10"/>
        <w:rPr>
          <w:sz w:val="10"/>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合同终止与解除</w:t>
                  </w:r>
                </w:p>
              </w:txbxContent>
            </v:textbox>
            <v:fill type="solid"/>
          </v:shape>
        </w:pict>
      </w:r>
      <w:r>
        <w:rPr>
          <w:sz w:val="20"/>
        </w:rPr>
      </w:r>
    </w:p>
    <w:p>
      <w:pPr>
        <w:pStyle w:val="BodyText"/>
        <w:spacing w:before="7"/>
        <w:rPr>
          <w:sz w:val="7"/>
        </w:rPr>
      </w:pPr>
    </w:p>
    <w:p>
      <w:pPr>
        <w:pStyle w:val="ListParagraph"/>
        <w:numPr>
          <w:ilvl w:val="1"/>
          <w:numId w:val="4"/>
        </w:numPr>
        <w:tabs>
          <w:tab w:pos="1266" w:val="left" w:leader="none"/>
          <w:tab w:pos="1267" w:val="left" w:leader="none"/>
          <w:tab w:pos="2818" w:val="left" w:leader="none"/>
        </w:tabs>
        <w:spacing w:line="240" w:lineRule="auto" w:before="35" w:after="0"/>
        <w:ind w:left="1265" w:right="0" w:hanging="1056"/>
        <w:jc w:val="left"/>
        <w:rPr>
          <w:sz w:val="21"/>
        </w:rPr>
      </w:pPr>
      <w:r>
        <w:rPr>
          <w:rFonts w:ascii="黑体" w:eastAsia="黑体" w:hint="eastAsia"/>
          <w:sz w:val="21"/>
        </w:rPr>
        <w:t>合同终止</w:t>
        <w:tab/>
      </w:r>
      <w:r>
        <w:rPr>
          <w:sz w:val="21"/>
          <w:shd w:fill="D9D9D9" w:color="auto" w:val="clear"/>
        </w:rPr>
        <w:t>发生下列情形之一时，本附加险合同效力终止：</w:t>
      </w:r>
    </w:p>
    <w:p>
      <w:pPr>
        <w:pStyle w:val="BodyText"/>
        <w:spacing w:line="278" w:lineRule="auto" w:before="45"/>
        <w:ind w:left="2818" w:right="2829"/>
      </w:pPr>
      <w:r>
        <w:rPr>
          <w:shd w:fill="D9D9D9" w:color="auto" w:val="clear"/>
        </w:rPr>
        <w:t>(1)主险合同效力终止；</w:t>
      </w:r>
      <w:r>
        <w:rPr/>
        <w:t> </w:t>
      </w:r>
      <w:r>
        <w:rPr>
          <w:shd w:fill="D9D9D9" w:color="auto" w:val="clear"/>
        </w:rPr>
        <w:t>               </w:t>
      </w:r>
      <w:r>
        <w:rPr>
          <w:spacing w:val="-1"/>
          <w:shd w:fill="D9D9D9" w:color="auto" w:val="clear"/>
        </w:rPr>
        <w:t>(2)因本附加险条款的其他约定而效力终止。</w:t>
      </w:r>
    </w:p>
    <w:p>
      <w:pPr>
        <w:pStyle w:val="BodyText"/>
        <w:spacing w:before="0"/>
        <w:rPr>
          <w:sz w:val="9"/>
        </w:rPr>
      </w:pPr>
    </w:p>
    <w:p>
      <w:pPr>
        <w:spacing w:after="0"/>
        <w:rPr>
          <w:sz w:val="9"/>
        </w:rPr>
        <w:sectPr>
          <w:type w:val="continuous"/>
          <w:pgSz w:w="11910" w:h="16840"/>
          <w:pgMar w:top="1280" w:bottom="280" w:left="1080" w:right="1080"/>
        </w:sectPr>
      </w:pPr>
    </w:p>
    <w:p>
      <w:pPr>
        <w:pStyle w:val="ListParagraph"/>
        <w:numPr>
          <w:ilvl w:val="1"/>
          <w:numId w:val="4"/>
        </w:numPr>
        <w:tabs>
          <w:tab w:pos="1266" w:val="left" w:leader="none"/>
          <w:tab w:pos="1267" w:val="left" w:leader="none"/>
        </w:tabs>
        <w:spacing w:line="280" w:lineRule="auto" w:before="35" w:after="0"/>
        <w:ind w:left="1265" w:right="0" w:hanging="1056"/>
        <w:jc w:val="left"/>
        <w:rPr>
          <w:rFonts w:ascii="黑体" w:eastAsia="黑体" w:hint="eastAsia"/>
          <w:sz w:val="21"/>
        </w:rPr>
      </w:pPr>
      <w:r>
        <w:rPr>
          <w:rFonts w:ascii="黑体" w:eastAsia="黑体" w:hint="eastAsia"/>
          <w:spacing w:val="-1"/>
          <w:sz w:val="21"/>
        </w:rPr>
        <w:t>您解除合同的手续及风险</w:t>
      </w:r>
    </w:p>
    <w:p>
      <w:pPr>
        <w:pStyle w:val="BodyText"/>
        <w:ind w:left="209"/>
      </w:pPr>
      <w:r>
        <w:rPr/>
        <w:br w:type="column"/>
      </w:r>
      <w:r>
        <w:rPr>
          <w:shd w:fill="D9D9D9" w:color="auto" w:val="clear"/>
        </w:rPr>
        <w:t>本附加险合同成立后，可与主险合同一并解除，但不得单独解除。</w:t>
      </w:r>
    </w:p>
    <w:p>
      <w:pPr>
        <w:pStyle w:val="BodyText"/>
        <w:spacing w:line="280" w:lineRule="auto" w:before="45"/>
        <w:ind w:left="209" w:right="207"/>
      </w:pPr>
      <w:r>
        <w:rPr/>
        <w:t>如您在犹豫期后申请解除本附加险合同，请填写解除合同申请书并向我们提供下列资料：</w:t>
      </w:r>
    </w:p>
    <w:p>
      <w:pPr>
        <w:pStyle w:val="BodyText"/>
        <w:spacing w:line="280" w:lineRule="auto" w:before="8"/>
        <w:ind w:left="209" w:right="4719"/>
      </w:pPr>
      <w:r>
        <w:rPr/>
        <w:t>(1)保险合同；      </w:t>
      </w:r>
      <w:r>
        <w:rPr>
          <w:spacing w:val="-1"/>
        </w:rPr>
        <w:t>(2)您的有效身份证件。</w:t>
      </w:r>
    </w:p>
    <w:p>
      <w:pPr>
        <w:pStyle w:val="BodyText"/>
        <w:spacing w:line="278" w:lineRule="auto" w:before="9"/>
        <w:ind w:left="209" w:right="208"/>
      </w:pPr>
      <w:r>
        <w:rPr/>
        <w:t>自我们收到解除合同申请书时起，本附加险合同终止。我们自收到解除合同申请书之日起 30 日内向您退还保险单的现金价值。</w:t>
      </w:r>
    </w:p>
    <w:p>
      <w:pPr>
        <w:pStyle w:val="BodyText"/>
        <w:spacing w:before="11"/>
        <w:ind w:left="209"/>
      </w:pPr>
      <w:r>
        <w:rPr>
          <w:shd w:fill="D9D9D9" w:color="auto" w:val="clear"/>
        </w:rPr>
        <w:t>您犹豫期后解除合同会遭受一定损失。</w:t>
      </w:r>
    </w:p>
    <w:p>
      <w:pPr>
        <w:spacing w:after="0"/>
        <w:sectPr>
          <w:type w:val="continuous"/>
          <w:pgSz w:w="11910" w:h="16840"/>
          <w:pgMar w:top="1280" w:bottom="280" w:left="1080" w:right="1080"/>
          <w:cols w:num="2" w:equalWidth="0">
            <w:col w:w="2526" w:space="83"/>
            <w:col w:w="7141"/>
          </w:cols>
        </w:sectPr>
      </w:pPr>
    </w:p>
    <w:p>
      <w:pPr>
        <w:pStyle w:val="BodyText"/>
        <w:spacing w:before="5" w:after="1"/>
        <w:rPr>
          <w:sz w:val="13"/>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xbxContent>
            </v:textbox>
            <v:fill type="solid"/>
          </v:shape>
        </w:pict>
      </w:r>
      <w:r>
        <w:rPr>
          <w:sz w:val="20"/>
        </w:rPr>
      </w:r>
    </w:p>
    <w:p>
      <w:pPr>
        <w:pStyle w:val="BodyText"/>
        <w:spacing w:before="7"/>
        <w:rPr>
          <w:sz w:val="7"/>
        </w:rPr>
      </w:pPr>
    </w:p>
    <w:p>
      <w:pPr>
        <w:spacing w:after="0"/>
        <w:rPr>
          <w:sz w:val="7"/>
        </w:rPr>
        <w:sectPr>
          <w:type w:val="continuous"/>
          <w:pgSz w:w="11910" w:h="16840"/>
          <w:pgMar w:top="1280" w:bottom="280" w:left="1080" w:right="1080"/>
        </w:sectPr>
      </w:pPr>
    </w:p>
    <w:p>
      <w:pPr>
        <w:pStyle w:val="ListParagraph"/>
        <w:numPr>
          <w:ilvl w:val="1"/>
          <w:numId w:val="5"/>
        </w:numPr>
        <w:tabs>
          <w:tab w:pos="1265" w:val="left" w:leader="none"/>
          <w:tab w:pos="1266" w:val="left" w:leader="none"/>
        </w:tabs>
        <w:spacing w:line="280" w:lineRule="auto" w:before="35" w:after="0"/>
        <w:ind w:left="1265" w:right="0" w:hanging="1056"/>
        <w:jc w:val="left"/>
        <w:rPr>
          <w:rFonts w:ascii="黑体" w:eastAsia="黑体" w:hint="eastAsia"/>
          <w:sz w:val="21"/>
        </w:rPr>
      </w:pPr>
      <w:r>
        <w:rPr>
          <w:rFonts w:ascii="黑体" w:eastAsia="黑体" w:hint="eastAsia"/>
          <w:sz w:val="21"/>
        </w:rPr>
        <w:t>合同终止的特殊处理</w:t>
      </w:r>
    </w:p>
    <w:p>
      <w:pPr>
        <w:pStyle w:val="BodyText"/>
        <w:spacing w:line="280" w:lineRule="auto"/>
        <w:ind w:left="209" w:right="207"/>
        <w:jc w:val="both"/>
      </w:pPr>
      <w:r>
        <w:rPr/>
        <w:br w:type="column"/>
      </w:r>
      <w:r>
        <w:rPr>
          <w:spacing w:val="-1"/>
          <w:shd w:fill="D9D9D9" w:color="auto" w:val="clear"/>
        </w:rPr>
        <w:t>我们按主险合同约定给付身故保险金或全残保险金，主险合同与本附加险</w:t>
      </w:r>
      <w:r>
        <w:rPr>
          <w:spacing w:val="-210"/>
          <w:shd w:fill="D9D9D9" w:color="auto" w:val="clear"/>
        </w:rPr>
        <w:t>合</w:t>
      </w:r>
      <w:r>
        <w:rPr>
          <w:spacing w:val="-2"/>
          <w:shd w:fill="D9D9D9" w:color="auto" w:val="clear"/>
        </w:rPr>
        <w:t>同同时终止的，除主险合同另有约定外，我们不退还本附加险合同的现金价值或保险费。</w:t>
      </w:r>
    </w:p>
    <w:p>
      <w:pPr>
        <w:pStyle w:val="BodyText"/>
        <w:spacing w:line="280" w:lineRule="auto" w:before="8"/>
        <w:ind w:left="209" w:right="207"/>
        <w:jc w:val="both"/>
      </w:pPr>
      <w:r>
        <w:rPr/>
        <w:t>本附加险合同与主险合同同时终止，但不符合任何保险金给付条件的，如按本附加险合同约定须退还现金价值或保险费，主险合同的现金价值或保险费也同时退还。</w:t>
      </w:r>
    </w:p>
    <w:p>
      <w:pPr>
        <w:spacing w:after="0" w:line="280" w:lineRule="auto"/>
        <w:jc w:val="both"/>
        <w:sectPr>
          <w:type w:val="continuous"/>
          <w:pgSz w:w="11910" w:h="16840"/>
          <w:pgMar w:top="1280" w:bottom="280" w:left="1080" w:right="1080"/>
          <w:cols w:num="2" w:equalWidth="0">
            <w:col w:w="2526" w:space="82"/>
            <w:col w:w="7142"/>
          </w:cols>
        </w:sectPr>
      </w:pPr>
    </w:p>
    <w:p>
      <w:pPr>
        <w:pStyle w:val="BodyText"/>
        <w:spacing w:before="11"/>
        <w:rPr>
          <w:sz w:val="8"/>
        </w:rPr>
      </w:pPr>
    </w:p>
    <w:p>
      <w:pPr>
        <w:spacing w:after="0"/>
        <w:rPr>
          <w:sz w:val="8"/>
        </w:rPr>
        <w:sectPr>
          <w:type w:val="continuous"/>
          <w:pgSz w:w="11910" w:h="16840"/>
          <w:pgMar w:top="1280" w:bottom="280" w:left="1080" w:right="1080"/>
        </w:sectPr>
      </w:pPr>
    </w:p>
    <w:p>
      <w:pPr>
        <w:pStyle w:val="ListParagraph"/>
        <w:numPr>
          <w:ilvl w:val="1"/>
          <w:numId w:val="5"/>
        </w:numPr>
        <w:tabs>
          <w:tab w:pos="1266" w:val="left" w:leader="none"/>
          <w:tab w:pos="1267" w:val="left" w:leader="none"/>
        </w:tabs>
        <w:spacing w:line="278" w:lineRule="auto" w:before="35" w:after="0"/>
        <w:ind w:left="1265" w:right="0" w:hanging="1056"/>
        <w:jc w:val="left"/>
        <w:rPr>
          <w:rFonts w:ascii="黑体" w:eastAsia="黑体" w:hint="eastAsia"/>
          <w:sz w:val="21"/>
        </w:rPr>
      </w:pPr>
      <w:r>
        <w:rPr>
          <w:rFonts w:ascii="黑体" w:eastAsia="黑体" w:hint="eastAsia"/>
          <w:spacing w:val="-1"/>
          <w:sz w:val="21"/>
        </w:rPr>
        <w:t>适用主险合同条款</w:t>
      </w:r>
    </w:p>
    <w:p>
      <w:pPr>
        <w:pStyle w:val="BodyText"/>
        <w:spacing w:line="278" w:lineRule="auto"/>
        <w:ind w:left="209" w:right="3983"/>
      </w:pPr>
      <w:r>
        <w:rPr/>
        <w:br w:type="column"/>
      </w:r>
      <w:r>
        <w:rPr/>
        <w:t>下列事项，适用主险合同条款： (1)保险事故通知；         </w:t>
      </w:r>
      <w:r>
        <w:rPr>
          <w:spacing w:val="-1"/>
        </w:rPr>
        <w:t>(2)宽限期；</w:t>
      </w:r>
    </w:p>
    <w:p>
      <w:pPr>
        <w:pStyle w:val="BodyText"/>
        <w:spacing w:line="278" w:lineRule="auto" w:before="11"/>
        <w:ind w:left="209" w:right="4299"/>
      </w:pPr>
      <w:r>
        <w:rPr/>
        <w:t>(3)保单贷款；          (4)效力中止；          (5)效力恢复；          (6)明确说明与如实告知； (7)我们合同解除权的限制； (8)未还款项；          (9)合同内容变更；     (10)联系方式变更；    (11)争议处理。</w:t>
      </w:r>
    </w:p>
    <w:p>
      <w:pPr>
        <w:spacing w:after="0" w:line="278" w:lineRule="auto"/>
        <w:sectPr>
          <w:type w:val="continuous"/>
          <w:pgSz w:w="11910" w:h="16840"/>
          <w:pgMar w:top="1280" w:bottom="280" w:left="1080" w:right="1080"/>
          <w:cols w:num="2" w:equalWidth="0">
            <w:col w:w="2526" w:space="83"/>
            <w:col w:w="7141"/>
          </w:cols>
        </w:sectPr>
      </w:pPr>
    </w:p>
    <w:p>
      <w:pPr>
        <w:pStyle w:val="BodyText"/>
        <w:spacing w:before="0"/>
        <w:rPr>
          <w:sz w:val="9"/>
        </w:rPr>
      </w:pPr>
    </w:p>
    <w:p>
      <w:pPr>
        <w:pStyle w:val="ListParagraph"/>
        <w:numPr>
          <w:ilvl w:val="1"/>
          <w:numId w:val="5"/>
        </w:numPr>
        <w:tabs>
          <w:tab w:pos="1265" w:val="left" w:leader="none"/>
          <w:tab w:pos="1267" w:val="left" w:leader="none"/>
          <w:tab w:pos="2818" w:val="left" w:leader="none"/>
        </w:tabs>
        <w:spacing w:line="280" w:lineRule="auto" w:before="35" w:after="0"/>
        <w:ind w:left="2818" w:right="207" w:hanging="2609"/>
        <w:jc w:val="left"/>
        <w:rPr>
          <w:sz w:val="21"/>
        </w:rPr>
      </w:pPr>
      <w:r>
        <w:rPr>
          <w:rFonts w:ascii="黑体" w:eastAsia="黑体" w:hint="eastAsia"/>
          <w:sz w:val="21"/>
        </w:rPr>
        <w:t>年龄错误</w:t>
        <w:tab/>
      </w:r>
      <w:r>
        <w:rPr>
          <w:sz w:val="21"/>
        </w:rPr>
        <w:t>您在申请投保时</w:t>
      </w:r>
      <w:r>
        <w:rPr>
          <w:spacing w:val="-4"/>
          <w:sz w:val="21"/>
        </w:rPr>
        <w:t>，</w:t>
      </w:r>
      <w:r>
        <w:rPr>
          <w:sz w:val="21"/>
        </w:rPr>
        <w:t>应将与有效身份证件相符的被保险人的出生日期在投保单上填明，如果发生错误按照下列方式办理：</w:t>
      </w:r>
    </w:p>
    <w:p>
      <w:pPr>
        <w:pStyle w:val="BodyText"/>
        <w:spacing w:line="280" w:lineRule="auto" w:before="8"/>
        <w:ind w:left="3134" w:right="208" w:hanging="316"/>
      </w:pPr>
      <w:r>
        <w:rPr/>
        <w:t>(1)您申报的被保险人年龄不真实，并且其真实年龄不符合本附加险合同约定投保年龄限制的，在保险事故发生之前我们有权解除合同，并向</w:t>
      </w:r>
    </w:p>
    <w:p>
      <w:pPr>
        <w:spacing w:after="0" w:line="280" w:lineRule="auto"/>
        <w:sectPr>
          <w:type w:val="continuous"/>
          <w:pgSz w:w="11910" w:h="16840"/>
          <w:pgMar w:top="1280" w:bottom="280" w:left="1080" w:right="1080"/>
        </w:sectPr>
      </w:pPr>
    </w:p>
    <w:p>
      <w:pPr>
        <w:pStyle w:val="BodyText"/>
        <w:spacing w:line="278" w:lineRule="auto" w:before="8"/>
        <w:ind w:left="3134" w:right="207"/>
      </w:pPr>
      <w:r>
        <w:rPr/>
        <w:t>您退还保险单的现金价值。本条规定的合同解除权，自我们知道有解</w:t>
      </w:r>
      <w:r>
        <w:rPr>
          <w:spacing w:val="-8"/>
        </w:rPr>
        <w:t>除事由之日起，超过 </w:t>
      </w:r>
      <w:r>
        <w:rPr/>
        <w:t>30</w:t>
      </w:r>
      <w:r>
        <w:rPr>
          <w:spacing w:val="-10"/>
        </w:rPr>
        <w:t> 日不行使而消灭。自本附加险合同成立之日起</w:t>
      </w:r>
    </w:p>
    <w:p>
      <w:pPr>
        <w:pStyle w:val="BodyText"/>
        <w:spacing w:line="280" w:lineRule="auto" w:before="11"/>
        <w:ind w:left="3134" w:right="207"/>
      </w:pPr>
      <w:r>
        <w:rPr/>
        <w:t>超过 2 年的，我们不得解除合同；发生保险事故的，我们承担给付保险金的责任。</w:t>
      </w:r>
    </w:p>
    <w:p>
      <w:pPr>
        <w:pStyle w:val="BodyText"/>
        <w:spacing w:line="280" w:lineRule="auto" w:before="8"/>
        <w:ind w:left="3134" w:right="102" w:hanging="316"/>
      </w:pPr>
      <w:r>
        <w:rPr>
          <w:spacing w:val="-1"/>
        </w:rPr>
        <w:t>(2)</w:t>
      </w:r>
      <w:r>
        <w:rPr>
          <w:spacing w:val="-2"/>
        </w:rPr>
        <w:t>您申报的被保险人年龄不真实，致使您实付保险费少于应付保险费的， 我们有权更正并要求您补交保险费。</w:t>
      </w:r>
      <w:r>
        <w:rPr>
          <w:spacing w:val="-2"/>
          <w:shd w:fill="D9D9D9" w:color="auto" w:val="clear"/>
        </w:rPr>
        <w:t>若已经发生保险事故，在给付保 险金时按实付保险费和应付保险费的比例给付。</w:t>
      </w:r>
    </w:p>
    <w:p>
      <w:pPr>
        <w:pStyle w:val="BodyText"/>
        <w:spacing w:line="280" w:lineRule="auto" w:before="8"/>
        <w:ind w:left="3134" w:right="102" w:hanging="316"/>
      </w:pPr>
      <w:r>
        <w:rPr/>
        <w:t>(3)您申报的被保险人年龄不真实，致使您实付保险费多于应付保险费的， 我们会将多收的保险费退还给您。</w:t>
      </w:r>
    </w:p>
    <w:p>
      <w:pPr>
        <w:pStyle w:val="BodyText"/>
        <w:spacing w:line="278" w:lineRule="auto" w:before="9"/>
        <w:ind w:left="3134" w:right="208" w:hanging="316"/>
      </w:pPr>
      <w:r>
        <w:rPr/>
        <w:t>(4)您申报的被保险人年龄不真实，致使本附加险合同保险单的现金价值与实际不符的，我们有权根据被保险人的实际年龄调整。</w:t>
      </w:r>
    </w:p>
    <w:p>
      <w:pPr>
        <w:pStyle w:val="BodyText"/>
        <w:spacing w:before="0"/>
        <w:rPr>
          <w:sz w:val="9"/>
        </w:rPr>
      </w:pPr>
      <w:r>
        <w:rPr/>
        <w:pict>
          <v:shape style="position:absolute;margin-left:59.099998pt;margin-top:7.132978pt;width:477.1pt;height:15.6pt;mso-position-horizontal-relative:page;mso-position-vertical-relative:paragraph;z-index:1240;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重大疾病的定义</w:t>
                  </w:r>
                </w:p>
              </w:txbxContent>
            </v:textbox>
            <v:fill type="solid"/>
            <w10:wrap type="topAndBottom"/>
          </v:shape>
        </w:pict>
      </w:r>
    </w:p>
    <w:p>
      <w:pPr>
        <w:pStyle w:val="BodyText"/>
        <w:spacing w:before="11"/>
        <w:rPr>
          <w:sz w:val="7"/>
        </w:rPr>
      </w:pPr>
    </w:p>
    <w:p>
      <w:pPr>
        <w:spacing w:after="0"/>
        <w:rPr>
          <w:sz w:val="7"/>
        </w:rPr>
        <w:sectPr>
          <w:pgSz w:w="11910" w:h="16840"/>
          <w:pgMar w:top="1420" w:bottom="280" w:left="1080" w:right="1080"/>
        </w:sectPr>
      </w:pPr>
    </w:p>
    <w:p>
      <w:pPr>
        <w:pStyle w:val="ListParagraph"/>
        <w:numPr>
          <w:ilvl w:val="1"/>
          <w:numId w:val="6"/>
        </w:numPr>
        <w:tabs>
          <w:tab w:pos="1266" w:val="left" w:leader="none"/>
          <w:tab w:pos="1267" w:val="left" w:leader="none"/>
        </w:tabs>
        <w:spacing w:line="278" w:lineRule="auto" w:before="35" w:after="0"/>
        <w:ind w:left="1266" w:right="0" w:hanging="1057"/>
        <w:jc w:val="left"/>
        <w:rPr>
          <w:rFonts w:ascii="黑体" w:eastAsia="黑体" w:hint="eastAsia"/>
          <w:sz w:val="21"/>
        </w:rPr>
      </w:pPr>
      <w:r>
        <w:rPr>
          <w:rFonts w:ascii="黑体" w:eastAsia="黑体" w:hint="eastAsia"/>
          <w:spacing w:val="-1"/>
          <w:sz w:val="21"/>
        </w:rPr>
        <w:t>重大疾病的定义</w:t>
      </w:r>
    </w:p>
    <w:p>
      <w:pPr>
        <w:pStyle w:val="BodyText"/>
        <w:ind w:left="209" w:right="207"/>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80" w:bottom="280" w:left="1080" w:right="1080"/>
          <w:cols w:num="2" w:equalWidth="0">
            <w:col w:w="2526" w:space="83"/>
            <w:col w:w="7141"/>
          </w:cols>
        </w:sectPr>
      </w:pPr>
    </w:p>
    <w:p>
      <w:pPr>
        <w:pStyle w:val="BodyText"/>
        <w:spacing w:before="7"/>
        <w:rPr>
          <w:sz w:val="11"/>
        </w:rPr>
      </w:pPr>
    </w:p>
    <w:p>
      <w:pPr>
        <w:pStyle w:val="ListParagraph"/>
        <w:numPr>
          <w:ilvl w:val="2"/>
          <w:numId w:val="6"/>
        </w:numPr>
        <w:tabs>
          <w:tab w:pos="1267" w:val="left" w:leader="none"/>
        </w:tabs>
        <w:spacing w:line="278" w:lineRule="auto" w:before="35" w:after="0"/>
        <w:ind w:left="2818" w:right="208" w:hanging="2609"/>
        <w:jc w:val="both"/>
        <w:rPr>
          <w:sz w:val="21"/>
        </w:rPr>
      </w:pPr>
      <w:r>
        <w:rPr>
          <w:rFonts w:ascii="黑体" w:eastAsia="黑体" w:hint="eastAsia"/>
          <w:spacing w:val="7"/>
          <w:sz w:val="21"/>
        </w:rPr>
        <w:t>恶性肿瘤     </w:t>
      </w:r>
      <w:r>
        <w:rPr>
          <w:spacing w:val="-2"/>
          <w:sz w:val="21"/>
        </w:rPr>
        <w:t>指恶性细胞不受控制的进行性增长和扩散，浸润和破坏周围正常组织，可</w:t>
      </w:r>
      <w:r>
        <w:rPr>
          <w:spacing w:val="-3"/>
          <w:sz w:val="21"/>
        </w:rPr>
        <w:t>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78" w:lineRule="auto" w:before="11"/>
        <w:ind w:left="2818" w:right="4392"/>
      </w:pPr>
      <w:r>
        <w:rPr>
          <w:shd w:fill="D9D9D9" w:color="auto" w:val="clear"/>
        </w:rPr>
        <w:t>下列疾病不在保障范围内：</w:t>
      </w:r>
      <w:r>
        <w:rPr/>
        <w:t> </w:t>
      </w:r>
      <w:r>
        <w:rPr>
          <w:shd w:fill="D9D9D9" w:color="auto" w:val="clear"/>
        </w:rPr>
        <w:t>(1)原位癌；</w:t>
      </w:r>
    </w:p>
    <w:p>
      <w:pPr>
        <w:pStyle w:val="BodyText"/>
        <w:spacing w:before="11"/>
        <w:ind w:left="2818"/>
      </w:pPr>
      <w:r>
        <w:rPr>
          <w:shd w:fill="D9D9D9" w:color="auto" w:val="clear"/>
        </w:rPr>
        <w:t>(2)相当于 Binet 分期方案 A 期程度的慢性淋巴细胞白血病；</w:t>
      </w:r>
    </w:p>
    <w:p>
      <w:pPr>
        <w:pStyle w:val="BodyText"/>
        <w:spacing w:line="278" w:lineRule="auto" w:before="45"/>
        <w:ind w:left="2818" w:right="1463"/>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(5)TNM</w:t>
      </w:r>
      <w:r>
        <w:rPr>
          <w:spacing w:val="26"/>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12"/>
          <w:sz w:val="11"/>
        </w:rPr>
        <w:t>    </w:t>
      </w:r>
      <w:r>
        <w:rPr>
          <w:position w:val="1"/>
          <w:shd w:fill="D9D9D9" w:color="auto" w:val="clear"/>
        </w:rPr>
        <w:t>期或更轻分期的前列腺癌；</w:t>
      </w:r>
      <w:r>
        <w:rPr>
          <w:shd w:fill="D9D9D9" w:color="auto" w:val="clear"/>
        </w:rPr>
        <w:t> </w:t>
      </w:r>
      <w:r>
        <w:rPr>
          <w:spacing w:val="-1"/>
          <w:shd w:fill="D9D9D9" w:color="auto" w:val="clear"/>
        </w:rPr>
        <w:t>(6)感染艾滋病病毒或患艾滋病期间所患恶性肿瘤。</w:t>
      </w:r>
    </w:p>
    <w:p>
      <w:pPr>
        <w:pStyle w:val="ListParagraph"/>
        <w:numPr>
          <w:ilvl w:val="2"/>
          <w:numId w:val="6"/>
        </w:numPr>
        <w:tabs>
          <w:tab w:pos="1267" w:val="left" w:leader="none"/>
        </w:tabs>
        <w:spacing w:line="278" w:lineRule="auto" w:before="153" w:after="0"/>
        <w:ind w:left="2818" w:right="207" w:hanging="2609"/>
        <w:jc w:val="both"/>
        <w:rPr>
          <w:sz w:val="21"/>
        </w:rPr>
      </w:pPr>
      <w:r>
        <w:rPr>
          <w:rFonts w:ascii="黑体" w:eastAsia="黑体" w:hint="eastAsia"/>
          <w:spacing w:val="10"/>
          <w:sz w:val="21"/>
        </w:rPr>
        <w:t>急性心肌梗塞 </w:t>
      </w:r>
      <w:r>
        <w:rPr>
          <w:spacing w:val="-1"/>
          <w:sz w:val="21"/>
        </w:rPr>
        <w:t>指因冠状动脉阻塞导致的相应区域供血不足造成部分心肌坏死。须满足下列至少三项条件：</w:t>
      </w:r>
    </w:p>
    <w:p>
      <w:pPr>
        <w:pStyle w:val="BodyText"/>
        <w:spacing w:line="280" w:lineRule="auto" w:before="11"/>
        <w:ind w:left="2818" w:right="3039"/>
      </w:pPr>
      <w:r>
        <w:rPr/>
        <w:t>(1)典型临床表现，例如急性胸痛等；  </w:t>
      </w:r>
      <w:r>
        <w:rPr>
          <w:spacing w:val="-1"/>
        </w:rPr>
        <w:t>(2)新近的心电图改变提示急性心肌梗塞；</w:t>
      </w:r>
    </w:p>
    <w:p>
      <w:pPr>
        <w:pStyle w:val="BodyText"/>
        <w:spacing w:line="280" w:lineRule="auto" w:before="8"/>
        <w:ind w:left="3134" w:right="208" w:hanging="316"/>
      </w:pPr>
      <w:r>
        <w:rPr/>
        <w:t>(3)心肌酶或肌钙蛋白有诊断意义的升高，或呈符合急性心肌梗塞的动态性变化；</w:t>
      </w:r>
    </w:p>
    <w:p>
      <w:pPr>
        <w:pStyle w:val="BodyText"/>
        <w:spacing w:before="4"/>
        <w:ind w:left="2818"/>
      </w:pPr>
      <w:r>
        <w:rPr>
          <w:position w:val="1"/>
        </w:rPr>
        <w:t>(4)发</w:t>
      </w:r>
      <w:r>
        <w:rPr>
          <w:spacing w:val="31"/>
          <w:position w:val="1"/>
        </w:rPr>
        <w:t>病</w:t>
      </w:r>
      <w:r>
        <w:rPr>
          <w:position w:val="1"/>
        </w:rPr>
        <w:t>90</w:t>
      </w:r>
      <w:r>
        <w:rPr>
          <w:spacing w:val="-86"/>
          <w:position w:val="1"/>
        </w:rPr>
        <w:t> </w:t>
      </w:r>
      <w:r>
        <w:rPr>
          <w:position w:val="1"/>
        </w:rPr>
        <w:t>天后</w:t>
      </w:r>
      <w:r>
        <w:rPr>
          <w:spacing w:val="-105"/>
          <w:position w:val="1"/>
        </w:rPr>
        <w:t>，</w:t>
      </w:r>
      <w:r>
        <w:rPr>
          <w:position w:val="1"/>
        </w:rPr>
        <w:t>经检查证实左心室功能降低</w:t>
      </w:r>
      <w:r>
        <w:rPr>
          <w:spacing w:val="-105"/>
          <w:position w:val="1"/>
        </w:rPr>
        <w:t>，</w:t>
      </w:r>
      <w:r>
        <w:rPr>
          <w:position w:val="1"/>
        </w:rPr>
        <w:t>如左心室射血分数低</w:t>
      </w:r>
      <w:r>
        <w:rPr>
          <w:spacing w:val="32"/>
          <w:position w:val="1"/>
        </w:rPr>
        <w:t>于</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rPr>
          <w:sz w:val="14"/>
        </w:rPr>
      </w:pPr>
    </w:p>
    <w:p>
      <w:pPr>
        <w:pStyle w:val="ListParagraph"/>
        <w:numPr>
          <w:ilvl w:val="2"/>
          <w:numId w:val="6"/>
        </w:numPr>
        <w:tabs>
          <w:tab w:pos="1267" w:val="left" w:leader="none"/>
        </w:tabs>
        <w:spacing w:line="278" w:lineRule="auto" w:before="0" w:after="0"/>
        <w:ind w:left="2818" w:right="207" w:hanging="2609"/>
        <w:jc w:val="both"/>
        <w:rPr>
          <w:sz w:val="21"/>
        </w:rPr>
      </w:pPr>
      <w:r>
        <w:rPr>
          <w:rFonts w:ascii="黑体" w:eastAsia="黑体" w:hint="eastAsia"/>
          <w:spacing w:val="10"/>
          <w:sz w:val="21"/>
        </w:rPr>
        <w:t>脑中风后遗症 </w:t>
      </w:r>
      <w:r>
        <w:rPr>
          <w:spacing w:val="-2"/>
          <w:sz w:val="21"/>
        </w:rPr>
        <w:t>指因脑血管的突发病变引起脑血管出血、栓塞或梗塞，并导致神经系统永</w:t>
      </w:r>
      <w:r>
        <w:rPr>
          <w:spacing w:val="-4"/>
          <w:sz w:val="21"/>
        </w:rPr>
        <w:t>久性的功能障碍。神经系统永久性的功能障碍，指疾病确诊 </w:t>
      </w:r>
      <w:r>
        <w:rPr>
          <w:sz w:val="21"/>
        </w:rPr>
        <w:t>180</w:t>
      </w:r>
      <w:r>
        <w:rPr>
          <w:spacing w:val="-12"/>
          <w:sz w:val="21"/>
        </w:rPr>
        <w:t> 天后，仍遗留下列一种或一种以上障碍：</w:t>
      </w:r>
    </w:p>
    <w:p>
      <w:pPr>
        <w:spacing w:line="290" w:lineRule="exact" w:before="0"/>
        <w:ind w:left="281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81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134" w:right="208"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spacing w:after="0" w:line="320" w:lineRule="exact"/>
        <w:jc w:val="left"/>
        <w:rPr>
          <w:sz w:val="21"/>
        </w:rPr>
        <w:sectPr>
          <w:type w:val="continuous"/>
          <w:pgSz w:w="11910" w:h="16840"/>
          <w:pgMar w:top="1280" w:bottom="280" w:left="1080" w:right="10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19"/>
        <w:gridCol w:w="7018"/>
      </w:tblGrid>
      <w:tr>
        <w:trPr>
          <w:trHeight w:val="1615" w:hRule="atLeast"/>
        </w:trPr>
        <w:tc>
          <w:tcPr>
            <w:tcW w:w="893" w:type="dxa"/>
          </w:tcPr>
          <w:p>
            <w:pPr>
              <w:pStyle w:val="TableParagraph"/>
              <w:spacing w:line="204" w:lineRule="exact"/>
              <w:ind w:left="50"/>
              <w:rPr>
                <w:rFonts w:ascii="黑体"/>
                <w:sz w:val="21"/>
              </w:rPr>
            </w:pPr>
            <w:r>
              <w:rPr>
                <w:rFonts w:ascii="黑体"/>
                <w:sz w:val="21"/>
              </w:rPr>
              <w:t>9.1.4</w:t>
            </w:r>
          </w:p>
        </w:tc>
        <w:tc>
          <w:tcPr>
            <w:tcW w:w="1619" w:type="dxa"/>
          </w:tcPr>
          <w:p>
            <w:pPr>
              <w:pStyle w:val="TableParagraph"/>
              <w:spacing w:line="204" w:lineRule="exact"/>
              <w:ind w:left="213"/>
              <w:rPr>
                <w:rFonts w:ascii="黑体" w:eastAsia="黑体" w:hint="eastAsia"/>
                <w:sz w:val="21"/>
              </w:rPr>
            </w:pPr>
            <w:r>
              <w:rPr>
                <w:rFonts w:ascii="黑体" w:eastAsia="黑体" w:hint="eastAsia"/>
                <w:sz w:val="21"/>
              </w:rPr>
              <w:t>重大器官移植</w:t>
            </w:r>
          </w:p>
          <w:p>
            <w:pPr>
              <w:pStyle w:val="TableParagraph"/>
              <w:spacing w:line="280" w:lineRule="auto" w:before="44"/>
              <w:ind w:left="213" w:right="143"/>
              <w:rPr>
                <w:rFonts w:ascii="黑体" w:eastAsia="黑体" w:hint="eastAsia"/>
                <w:sz w:val="21"/>
              </w:rPr>
            </w:pPr>
            <w:r>
              <w:rPr>
                <w:rFonts w:ascii="黑体" w:eastAsia="黑体" w:hint="eastAsia"/>
                <w:sz w:val="21"/>
              </w:rPr>
              <w:t>术或造血干细胞移植术</w:t>
            </w:r>
          </w:p>
        </w:tc>
        <w:tc>
          <w:tcPr>
            <w:tcW w:w="7018" w:type="dxa"/>
          </w:tcPr>
          <w:p>
            <w:pPr>
              <w:pStyle w:val="TableParagraph"/>
              <w:spacing w:line="204" w:lineRule="exact"/>
              <w:ind w:left="146"/>
              <w:rPr>
                <w:sz w:val="21"/>
              </w:rPr>
            </w:pPr>
            <w:r>
              <w:rPr>
                <w:sz w:val="21"/>
              </w:rPr>
              <w:t>重大器官移植术，指因相应器官功能衰竭，已经实施了肾脏、肝脏、心脏</w:t>
            </w:r>
          </w:p>
          <w:p>
            <w:pPr>
              <w:pStyle w:val="TableParagraph"/>
              <w:spacing w:before="44"/>
              <w:ind w:left="146"/>
              <w:rPr>
                <w:sz w:val="21"/>
              </w:rPr>
            </w:pPr>
            <w:r>
              <w:rPr>
                <w:sz w:val="21"/>
              </w:rPr>
              <w:t>或肺脏的异体移植手术。</w:t>
            </w:r>
          </w:p>
          <w:p>
            <w:pPr>
              <w:pStyle w:val="TableParagraph"/>
              <w:spacing w:line="278" w:lineRule="auto" w:before="45"/>
              <w:ind w:left="146" w:right="47"/>
              <w:rPr>
                <w:sz w:val="21"/>
              </w:rPr>
            </w:pPr>
            <w:r>
              <w:rPr>
                <w:spacing w:val="-2"/>
                <w:sz w:val="21"/>
              </w:rPr>
              <w:t>造血干细胞移植术，指因造血功能损害或造血系统恶性肿瘤，已经实施了</w:t>
            </w:r>
            <w:r>
              <w:rPr>
                <w:spacing w:val="-13"/>
                <w:sz w:val="21"/>
              </w:rPr>
              <w:t>造血干细胞</w:t>
            </w:r>
            <w:r>
              <w:rPr>
                <w:sz w:val="21"/>
              </w:rPr>
              <w:t>（</w:t>
            </w:r>
            <w:r>
              <w:rPr>
                <w:spacing w:val="-6"/>
                <w:sz w:val="21"/>
              </w:rPr>
              <w:t>包括骨髓造血干细胞、外周血造血干细胞和脐血造血干细胞</w:t>
            </w:r>
            <w:r>
              <w:rPr>
                <w:sz w:val="21"/>
              </w:rPr>
              <w:t>） 的异体移植手术。</w:t>
            </w:r>
          </w:p>
        </w:tc>
      </w:tr>
      <w:tr>
        <w:trPr>
          <w:trHeight w:val="1422" w:hRule="atLeast"/>
        </w:trPr>
        <w:tc>
          <w:tcPr>
            <w:tcW w:w="893" w:type="dxa"/>
          </w:tcPr>
          <w:p>
            <w:pPr>
              <w:pStyle w:val="TableParagraph"/>
              <w:spacing w:before="54"/>
              <w:ind w:left="50"/>
              <w:rPr>
                <w:rFonts w:ascii="黑体"/>
                <w:sz w:val="21"/>
              </w:rPr>
            </w:pPr>
            <w:r>
              <w:rPr>
                <w:rFonts w:ascii="黑体"/>
                <w:sz w:val="21"/>
              </w:rPr>
              <w:t>9.1.5</w:t>
            </w:r>
          </w:p>
        </w:tc>
        <w:tc>
          <w:tcPr>
            <w:tcW w:w="1619" w:type="dxa"/>
          </w:tcPr>
          <w:p>
            <w:pPr>
              <w:pStyle w:val="TableParagraph"/>
              <w:spacing w:line="278" w:lineRule="auto" w:before="54"/>
              <w:ind w:left="213" w:right="143"/>
              <w:jc w:val="both"/>
              <w:rPr>
                <w:rFonts w:ascii="黑体" w:eastAsia="黑体" w:hint="eastAsia"/>
                <w:sz w:val="21"/>
              </w:rPr>
            </w:pPr>
            <w:r>
              <w:rPr>
                <w:rFonts w:ascii="黑体" w:eastAsia="黑体" w:hint="eastAsia"/>
                <w:sz w:val="21"/>
              </w:rPr>
              <w:t>冠状动脉搭桥术（或称冠状动脉旁路移植术）</w:t>
            </w:r>
          </w:p>
        </w:tc>
        <w:tc>
          <w:tcPr>
            <w:tcW w:w="7018" w:type="dxa"/>
          </w:tcPr>
          <w:p>
            <w:pPr>
              <w:pStyle w:val="TableParagraph"/>
              <w:spacing w:line="280" w:lineRule="auto" w:before="54"/>
              <w:ind w:left="146" w:right="111"/>
              <w:rPr>
                <w:sz w:val="21"/>
              </w:rPr>
            </w:pPr>
            <w:r>
              <w:rPr>
                <w:sz w:val="21"/>
              </w:rPr>
              <w:t>指为治疗严重的冠心病，实际实施了开胸进行的冠状动脉血管旁路移植的手术。</w:t>
            </w:r>
          </w:p>
          <w:p>
            <w:pPr>
              <w:pStyle w:val="TableParagraph"/>
              <w:spacing w:line="278" w:lineRule="auto" w:before="9"/>
              <w:ind w:left="146" w:right="112"/>
              <w:rPr>
                <w:sz w:val="21"/>
              </w:rPr>
            </w:pPr>
            <w:r>
              <w:rPr>
                <w:sz w:val="21"/>
                <w:shd w:fill="D9D9D9" w:color="auto" w:val="clear"/>
              </w:rPr>
              <w:t>冠状动脉支架植入术、心导管球囊扩张术、激光射频技术及其他非开胸的介入手术、腔镜手术不在保障范围内。</w:t>
            </w:r>
          </w:p>
        </w:tc>
      </w:tr>
      <w:tr>
        <w:trPr>
          <w:trHeight w:val="1421" w:hRule="atLeast"/>
        </w:trPr>
        <w:tc>
          <w:tcPr>
            <w:tcW w:w="893" w:type="dxa"/>
          </w:tcPr>
          <w:p>
            <w:pPr>
              <w:pStyle w:val="TableParagraph"/>
              <w:spacing w:before="54"/>
              <w:ind w:left="50"/>
              <w:rPr>
                <w:rFonts w:ascii="黑体"/>
                <w:sz w:val="21"/>
              </w:rPr>
            </w:pPr>
            <w:r>
              <w:rPr>
                <w:rFonts w:ascii="黑体"/>
                <w:sz w:val="21"/>
              </w:rPr>
              <w:t>9.1.6</w:t>
            </w:r>
          </w:p>
        </w:tc>
        <w:tc>
          <w:tcPr>
            <w:tcW w:w="1619" w:type="dxa"/>
          </w:tcPr>
          <w:p>
            <w:pPr>
              <w:pStyle w:val="TableParagraph"/>
              <w:spacing w:before="54"/>
              <w:ind w:left="213"/>
              <w:rPr>
                <w:rFonts w:ascii="黑体" w:eastAsia="黑体" w:hint="eastAsia"/>
                <w:sz w:val="21"/>
              </w:rPr>
            </w:pPr>
            <w:r>
              <w:rPr>
                <w:rFonts w:ascii="黑体" w:eastAsia="黑体" w:hint="eastAsia"/>
                <w:sz w:val="21"/>
              </w:rPr>
              <w:t>终末期肾病</w:t>
            </w:r>
          </w:p>
          <w:p>
            <w:pPr>
              <w:pStyle w:val="TableParagraph"/>
              <w:spacing w:line="278" w:lineRule="auto" w:before="45"/>
              <w:ind w:left="213" w:right="143"/>
              <w:jc w:val="both"/>
              <w:rPr>
                <w:rFonts w:ascii="黑体" w:eastAsia="黑体" w:hint="eastAsia"/>
                <w:sz w:val="21"/>
              </w:rPr>
            </w:pPr>
            <w:r>
              <w:rPr>
                <w:rFonts w:ascii="黑体" w:eastAsia="黑体" w:hint="eastAsia"/>
                <w:sz w:val="21"/>
              </w:rPr>
              <w:t>（或称慢性肾功能衰竭尿毒症期）</w:t>
            </w:r>
          </w:p>
        </w:tc>
        <w:tc>
          <w:tcPr>
            <w:tcW w:w="7018" w:type="dxa"/>
          </w:tcPr>
          <w:p>
            <w:pPr>
              <w:pStyle w:val="TableParagraph"/>
              <w:spacing w:before="54"/>
              <w:ind w:left="146"/>
              <w:rPr>
                <w:sz w:val="21"/>
              </w:rPr>
            </w:pPr>
            <w:r>
              <w:rPr>
                <w:sz w:val="21"/>
              </w:rPr>
              <w:t>指双肾功能慢性不可逆性衰竭，达到尿毒症期，经诊断后已经进行了至少</w:t>
            </w:r>
          </w:p>
          <w:p>
            <w:pPr>
              <w:pStyle w:val="TableParagraph"/>
              <w:spacing w:before="45"/>
              <w:ind w:left="146"/>
              <w:rPr>
                <w:sz w:val="21"/>
              </w:rPr>
            </w:pPr>
            <w:r>
              <w:rPr>
                <w:sz w:val="21"/>
              </w:rPr>
              <w:t>90 天的规律性透析治疗或实施了肾脏移植手术。</w:t>
            </w:r>
          </w:p>
        </w:tc>
      </w:tr>
      <w:tr>
        <w:trPr>
          <w:trHeight w:val="782" w:hRule="atLeast"/>
        </w:trPr>
        <w:tc>
          <w:tcPr>
            <w:tcW w:w="893" w:type="dxa"/>
          </w:tcPr>
          <w:p>
            <w:pPr>
              <w:pStyle w:val="TableParagraph"/>
              <w:spacing w:before="54"/>
              <w:ind w:left="50"/>
              <w:rPr>
                <w:rFonts w:ascii="黑体"/>
                <w:sz w:val="21"/>
              </w:rPr>
            </w:pPr>
            <w:r>
              <w:rPr>
                <w:rFonts w:ascii="黑体"/>
                <w:sz w:val="21"/>
              </w:rPr>
              <w:t>9.1.7</w:t>
            </w:r>
          </w:p>
        </w:tc>
        <w:tc>
          <w:tcPr>
            <w:tcW w:w="1619" w:type="dxa"/>
          </w:tcPr>
          <w:p>
            <w:pPr>
              <w:pStyle w:val="TableParagraph"/>
              <w:spacing w:before="54"/>
              <w:ind w:left="213"/>
              <w:rPr>
                <w:rFonts w:ascii="黑体" w:eastAsia="黑体" w:hint="eastAsia"/>
                <w:sz w:val="21"/>
              </w:rPr>
            </w:pPr>
            <w:r>
              <w:rPr>
                <w:rFonts w:ascii="黑体" w:eastAsia="黑体" w:hint="eastAsia"/>
                <w:sz w:val="21"/>
              </w:rPr>
              <w:t>多个肢体缺失</w:t>
            </w:r>
          </w:p>
        </w:tc>
        <w:tc>
          <w:tcPr>
            <w:tcW w:w="7018" w:type="dxa"/>
          </w:tcPr>
          <w:p>
            <w:pPr>
              <w:pStyle w:val="TableParagraph"/>
              <w:spacing w:line="280" w:lineRule="auto" w:before="54"/>
              <w:ind w:left="146" w:right="111"/>
              <w:rPr>
                <w:sz w:val="21"/>
              </w:rPr>
            </w:pPr>
            <w:r>
              <w:rPr>
                <w:sz w:val="21"/>
              </w:rPr>
              <w:t>指因疾病或意外伤害导致两个或两个以上肢体自腕关节或踝关节近端（靠近躯干端）以上完全性断离。</w:t>
            </w:r>
          </w:p>
        </w:tc>
      </w:tr>
      <w:tr>
        <w:trPr>
          <w:trHeight w:val="2061" w:hRule="atLeast"/>
        </w:trPr>
        <w:tc>
          <w:tcPr>
            <w:tcW w:w="893" w:type="dxa"/>
          </w:tcPr>
          <w:p>
            <w:pPr>
              <w:pStyle w:val="TableParagraph"/>
              <w:spacing w:before="54"/>
              <w:ind w:left="50"/>
              <w:rPr>
                <w:rFonts w:ascii="黑体"/>
                <w:sz w:val="21"/>
              </w:rPr>
            </w:pPr>
            <w:r>
              <w:rPr>
                <w:rFonts w:ascii="黑体"/>
                <w:sz w:val="21"/>
              </w:rPr>
              <w:t>9.1.8</w:t>
            </w:r>
          </w:p>
        </w:tc>
        <w:tc>
          <w:tcPr>
            <w:tcW w:w="1619" w:type="dxa"/>
          </w:tcPr>
          <w:p>
            <w:pPr>
              <w:pStyle w:val="TableParagraph"/>
              <w:spacing w:line="280" w:lineRule="auto" w:before="54"/>
              <w:ind w:left="213" w:right="144"/>
              <w:rPr>
                <w:rFonts w:ascii="黑体" w:eastAsia="黑体" w:hint="eastAsia"/>
                <w:sz w:val="21"/>
              </w:rPr>
            </w:pPr>
            <w:r>
              <w:rPr>
                <w:rFonts w:ascii="黑体" w:eastAsia="黑体" w:hint="eastAsia"/>
                <w:sz w:val="21"/>
              </w:rPr>
              <w:t>急性或亚急性重症肝炎</w:t>
            </w:r>
          </w:p>
        </w:tc>
        <w:tc>
          <w:tcPr>
            <w:tcW w:w="7018" w:type="dxa"/>
          </w:tcPr>
          <w:p>
            <w:pPr>
              <w:pStyle w:val="TableParagraph"/>
              <w:spacing w:line="278" w:lineRule="auto" w:before="54"/>
              <w:ind w:left="146" w:right="153"/>
              <w:rPr>
                <w:sz w:val="21"/>
              </w:rPr>
            </w:pPr>
            <w:r>
              <w:rPr>
                <w:spacing w:val="-2"/>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146"/>
              <w:rPr>
                <w:sz w:val="21"/>
              </w:rPr>
            </w:pPr>
            <w:r>
              <w:rPr>
                <w:sz w:val="21"/>
              </w:rPr>
              <w:t>(2)肝性脑病；</w:t>
            </w:r>
          </w:p>
          <w:p>
            <w:pPr>
              <w:pStyle w:val="TableParagraph"/>
              <w:spacing w:line="278" w:lineRule="auto" w:before="45"/>
              <w:ind w:left="146" w:right="2131"/>
              <w:rPr>
                <w:sz w:val="21"/>
              </w:rPr>
            </w:pPr>
            <w:r>
              <w:rPr>
                <w:sz w:val="21"/>
              </w:rPr>
              <w:t>(3)B 超或其他影像学检查显示肝脏体积急速萎缩； (4)肝功能指标进行性恶化。</w:t>
            </w:r>
          </w:p>
        </w:tc>
      </w:tr>
      <w:tr>
        <w:trPr>
          <w:trHeight w:val="2382" w:hRule="atLeast"/>
        </w:trPr>
        <w:tc>
          <w:tcPr>
            <w:tcW w:w="893" w:type="dxa"/>
          </w:tcPr>
          <w:p>
            <w:pPr>
              <w:pStyle w:val="TableParagraph"/>
              <w:spacing w:before="54"/>
              <w:ind w:left="50"/>
              <w:rPr>
                <w:rFonts w:ascii="黑体"/>
                <w:sz w:val="21"/>
              </w:rPr>
            </w:pPr>
            <w:r>
              <w:rPr>
                <w:rFonts w:ascii="黑体"/>
                <w:sz w:val="21"/>
              </w:rPr>
              <w:t>9.1.9</w:t>
            </w:r>
          </w:p>
        </w:tc>
        <w:tc>
          <w:tcPr>
            <w:tcW w:w="1619" w:type="dxa"/>
          </w:tcPr>
          <w:p>
            <w:pPr>
              <w:pStyle w:val="TableParagraph"/>
              <w:spacing w:before="54"/>
              <w:ind w:left="213"/>
              <w:rPr>
                <w:rFonts w:ascii="黑体" w:eastAsia="黑体" w:hint="eastAsia"/>
                <w:sz w:val="21"/>
              </w:rPr>
            </w:pPr>
            <w:r>
              <w:rPr>
                <w:rFonts w:ascii="黑体" w:eastAsia="黑体" w:hint="eastAsia"/>
                <w:sz w:val="21"/>
              </w:rPr>
              <w:t>良性脑肿瘤</w:t>
            </w:r>
          </w:p>
        </w:tc>
        <w:tc>
          <w:tcPr>
            <w:tcW w:w="7018" w:type="dxa"/>
          </w:tcPr>
          <w:p>
            <w:pPr>
              <w:pStyle w:val="TableParagraph"/>
              <w:spacing w:line="280" w:lineRule="auto" w:before="54"/>
              <w:ind w:left="146" w:right="48"/>
              <w:rPr>
                <w:sz w:val="21"/>
              </w:rPr>
            </w:pPr>
            <w:r>
              <w:rPr>
                <w:sz w:val="21"/>
              </w:rPr>
              <w:t>指脑的良性肿瘤，已经引起颅内压增高，临床表现为视神经乳头水肿、精</w:t>
            </w:r>
            <w:r>
              <w:rPr>
                <w:spacing w:val="-2"/>
                <w:sz w:val="21"/>
              </w:rPr>
              <w:t>神症状、癫痫及运动感觉障碍等，并危及生命。须由头颅断层扫描</w:t>
            </w:r>
            <w:r>
              <w:rPr>
                <w:spacing w:val="0"/>
                <w:sz w:val="21"/>
              </w:rPr>
              <w:t>（</w:t>
            </w:r>
            <w:r>
              <w:rPr>
                <w:spacing w:val="-1"/>
                <w:sz w:val="21"/>
              </w:rPr>
              <w:t>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8"/>
              <w:ind w:left="146"/>
              <w:rPr>
                <w:sz w:val="21"/>
              </w:rPr>
            </w:pPr>
            <w:r>
              <w:rPr>
                <w:sz w:val="21"/>
                <w:shd w:fill="D9D9D9" w:color="auto" w:val="clear"/>
              </w:rPr>
              <w:t>脑垂体瘤、脑囊肿、脑血管性疾病不在保障范围内。</w:t>
            </w:r>
          </w:p>
        </w:tc>
      </w:tr>
      <w:tr>
        <w:trPr>
          <w:trHeight w:val="2062" w:hRule="atLeast"/>
        </w:trPr>
        <w:tc>
          <w:tcPr>
            <w:tcW w:w="893" w:type="dxa"/>
          </w:tcPr>
          <w:p>
            <w:pPr>
              <w:pStyle w:val="TableParagraph"/>
              <w:spacing w:before="54"/>
              <w:ind w:left="50"/>
              <w:rPr>
                <w:rFonts w:ascii="黑体"/>
                <w:sz w:val="21"/>
              </w:rPr>
            </w:pPr>
            <w:r>
              <w:rPr>
                <w:rFonts w:ascii="黑体"/>
                <w:sz w:val="21"/>
              </w:rPr>
              <w:t>9.1.10</w:t>
            </w:r>
          </w:p>
        </w:tc>
        <w:tc>
          <w:tcPr>
            <w:tcW w:w="1619" w:type="dxa"/>
          </w:tcPr>
          <w:p>
            <w:pPr>
              <w:pStyle w:val="TableParagraph"/>
              <w:spacing w:line="280" w:lineRule="auto" w:before="54"/>
              <w:ind w:left="213" w:right="143"/>
              <w:rPr>
                <w:rFonts w:ascii="黑体" w:eastAsia="黑体" w:hint="eastAsia"/>
                <w:sz w:val="21"/>
              </w:rPr>
            </w:pPr>
            <w:r>
              <w:rPr>
                <w:rFonts w:ascii="黑体" w:eastAsia="黑体" w:hint="eastAsia"/>
                <w:sz w:val="21"/>
              </w:rPr>
              <w:t>慢性肝功能衰竭失代偿期</w:t>
            </w:r>
          </w:p>
        </w:tc>
        <w:tc>
          <w:tcPr>
            <w:tcW w:w="7018" w:type="dxa"/>
          </w:tcPr>
          <w:p>
            <w:pPr>
              <w:pStyle w:val="TableParagraph"/>
              <w:spacing w:line="280" w:lineRule="auto" w:before="54"/>
              <w:ind w:left="146" w:right="1392"/>
              <w:rPr>
                <w:sz w:val="21"/>
              </w:rPr>
            </w:pPr>
            <w:r>
              <w:rPr>
                <w:sz w:val="21"/>
              </w:rPr>
              <w:t>指因慢性肝脏疾病导致肝功能衰竭。须满足下列全部条件： (1)持续性黄疸；</w:t>
            </w:r>
          </w:p>
          <w:p>
            <w:pPr>
              <w:pStyle w:val="TableParagraph"/>
              <w:spacing w:line="278" w:lineRule="auto" w:before="9"/>
              <w:ind w:left="146" w:right="5504"/>
              <w:rPr>
                <w:sz w:val="21"/>
              </w:rPr>
            </w:pPr>
            <w:r>
              <w:rPr>
                <w:sz w:val="21"/>
              </w:rPr>
              <w:t>(2)腹水；  </w:t>
            </w:r>
            <w:r>
              <w:rPr>
                <w:spacing w:val="-1"/>
                <w:sz w:val="21"/>
              </w:rPr>
              <w:t>(3)肝性脑病；</w:t>
            </w:r>
          </w:p>
          <w:p>
            <w:pPr>
              <w:pStyle w:val="TableParagraph"/>
              <w:spacing w:line="280" w:lineRule="auto" w:before="12"/>
              <w:ind w:left="146" w:right="1829"/>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5" w:hRule="atLeast"/>
        </w:trPr>
        <w:tc>
          <w:tcPr>
            <w:tcW w:w="893" w:type="dxa"/>
          </w:tcPr>
          <w:p>
            <w:pPr>
              <w:pStyle w:val="TableParagraph"/>
              <w:spacing w:before="54"/>
              <w:ind w:left="50"/>
              <w:rPr>
                <w:rFonts w:ascii="黑体"/>
                <w:sz w:val="21"/>
              </w:rPr>
            </w:pPr>
            <w:r>
              <w:rPr>
                <w:rFonts w:ascii="黑体"/>
                <w:sz w:val="21"/>
              </w:rPr>
              <w:t>9.1.11</w:t>
            </w:r>
          </w:p>
        </w:tc>
        <w:tc>
          <w:tcPr>
            <w:tcW w:w="1619" w:type="dxa"/>
          </w:tcPr>
          <w:p>
            <w:pPr>
              <w:pStyle w:val="TableParagraph"/>
              <w:spacing w:line="278" w:lineRule="auto" w:before="54"/>
              <w:ind w:left="213" w:right="143"/>
              <w:rPr>
                <w:rFonts w:ascii="黑体" w:eastAsia="黑体" w:hint="eastAsia"/>
                <w:sz w:val="21"/>
              </w:rPr>
            </w:pPr>
            <w:r>
              <w:rPr>
                <w:rFonts w:ascii="黑体" w:eastAsia="黑体" w:hint="eastAsia"/>
                <w:sz w:val="21"/>
              </w:rPr>
              <w:t>脑炎后遗症或脑膜炎后遗症</w:t>
            </w:r>
          </w:p>
        </w:tc>
        <w:tc>
          <w:tcPr>
            <w:tcW w:w="7018" w:type="dxa"/>
          </w:tcPr>
          <w:p>
            <w:pPr>
              <w:pStyle w:val="TableParagraph"/>
              <w:spacing w:line="278" w:lineRule="auto" w:before="54"/>
              <w:ind w:left="146" w:right="152"/>
              <w:rPr>
                <w:sz w:val="21"/>
              </w:rPr>
            </w:pPr>
            <w:r>
              <w:rPr>
                <w:spacing w:val="-1"/>
                <w:sz w:val="21"/>
              </w:rPr>
              <w:t>指因患脑炎或脑膜炎导致的神经系统永久性的功能障碍。神经系统永久性</w:t>
            </w:r>
            <w:r>
              <w:rPr>
                <w:spacing w:val="-6"/>
                <w:sz w:val="21"/>
              </w:rPr>
              <w:t>的功能障碍，指疾病确诊 </w:t>
            </w:r>
            <w:r>
              <w:rPr>
                <w:sz w:val="21"/>
              </w:rPr>
              <w:t>180</w:t>
            </w:r>
            <w:r>
              <w:rPr>
                <w:spacing w:val="-8"/>
                <w:sz w:val="21"/>
              </w:rPr>
              <w:t> 天后，仍遗留下列一种或一种以上障碍： (1)一肢或一肢以上肢体机能完全丧失；                           </w:t>
            </w:r>
            <w:r>
              <w:rPr>
                <w:spacing w:val="-1"/>
                <w:sz w:val="21"/>
              </w:rPr>
              <w:t>(2)语言能力或咀嚼吞咽能力完全丧失；</w:t>
            </w:r>
          </w:p>
          <w:p>
            <w:pPr>
              <w:pStyle w:val="TableParagraph"/>
              <w:spacing w:line="261" w:lineRule="exact" w:before="10"/>
              <w:ind w:left="146"/>
              <w:rPr>
                <w:sz w:val="21"/>
              </w:rPr>
            </w:pPr>
            <w:r>
              <w:rPr>
                <w:sz w:val="21"/>
              </w:rPr>
              <w:t>(3)自主生活能力完全丧失，无法独立完成六项基本日常生活活动中的三</w:t>
            </w:r>
          </w:p>
        </w:tc>
      </w:tr>
    </w:tbl>
    <w:p>
      <w:pPr>
        <w:pStyle w:val="BodyText"/>
        <w:spacing w:before="39"/>
        <w:ind w:left="3094"/>
      </w:pPr>
      <w:r>
        <w:rPr/>
        <w:t>项或三项以上。</w:t>
      </w:r>
    </w:p>
    <w:p>
      <w:pPr>
        <w:spacing w:after="0"/>
        <w:sectPr>
          <w:pgSz w:w="11910" w:h="16840"/>
          <w:pgMar w:top="1500" w:bottom="280" w:left="1120" w:right="1020"/>
        </w:sectPr>
      </w:pPr>
    </w:p>
    <w:p>
      <w:pPr>
        <w:pStyle w:val="ListParagraph"/>
        <w:numPr>
          <w:ilvl w:val="2"/>
          <w:numId w:val="7"/>
        </w:numPr>
        <w:tabs>
          <w:tab w:pos="1167" w:val="left" w:leader="none"/>
        </w:tabs>
        <w:spacing w:line="278" w:lineRule="auto" w:before="10" w:after="0"/>
        <w:ind w:left="2718" w:right="197" w:hanging="2608"/>
        <w:jc w:val="both"/>
        <w:rPr>
          <w:sz w:val="21"/>
        </w:rPr>
      </w:pPr>
      <w:r>
        <w:rPr>
          <w:rFonts w:ascii="黑体" w:eastAsia="黑体" w:hint="eastAsia"/>
          <w:sz w:val="21"/>
        </w:rPr>
        <w:t>深度昏迷      </w:t>
      </w:r>
      <w:r>
        <w:rPr>
          <w:spacing w:val="5"/>
          <w:sz w:val="21"/>
        </w:rPr>
        <w:t>指因疾病或意外伤害导致意识丧失,对外界刺激和体内需求均无反应,昏</w:t>
      </w:r>
      <w:r>
        <w:rPr>
          <w:sz w:val="21"/>
        </w:rPr>
        <w:t>迷程度按照格拉斯哥昏迷分级（Glasgow</w:t>
      </w:r>
      <w:r>
        <w:rPr>
          <w:spacing w:val="-3"/>
          <w:sz w:val="21"/>
        </w:rPr>
        <w:t> </w:t>
      </w:r>
      <w:r>
        <w:rPr>
          <w:sz w:val="21"/>
        </w:rPr>
        <w:t>coma</w:t>
      </w:r>
      <w:r>
        <w:rPr>
          <w:spacing w:val="-3"/>
          <w:sz w:val="21"/>
        </w:rPr>
        <w:t> </w:t>
      </w:r>
      <w:r>
        <w:rPr>
          <w:sz w:val="21"/>
        </w:rPr>
        <w:t>scale）</w:t>
      </w:r>
      <w:r>
        <w:rPr>
          <w:spacing w:val="-14"/>
          <w:sz w:val="21"/>
        </w:rPr>
        <w:t>结果为 </w:t>
      </w:r>
      <w:r>
        <w:rPr>
          <w:sz w:val="21"/>
        </w:rPr>
        <w:t>5</w:t>
      </w:r>
      <w:r>
        <w:rPr>
          <w:spacing w:val="-27"/>
          <w:sz w:val="21"/>
        </w:rPr>
        <w:t> 分或 </w:t>
      </w:r>
      <w:r>
        <w:rPr>
          <w:sz w:val="21"/>
        </w:rPr>
        <w:t>5</w:t>
      </w:r>
      <w:r>
        <w:rPr>
          <w:spacing w:val="-27"/>
          <w:sz w:val="21"/>
        </w:rPr>
        <w:t> 分</w:t>
      </w:r>
      <w:r>
        <w:rPr>
          <w:spacing w:val="-29"/>
          <w:sz w:val="21"/>
        </w:rPr>
        <w:t>以下，且已经持续使用呼吸机及其他生命维持系统 </w:t>
      </w:r>
      <w:r>
        <w:rPr>
          <w:sz w:val="21"/>
        </w:rPr>
        <w:t>96</w:t>
      </w:r>
      <w:r>
        <w:rPr>
          <w:spacing w:val="-13"/>
          <w:sz w:val="21"/>
        </w:rPr>
        <w:t> 小时以上。</w:t>
      </w:r>
    </w:p>
    <w:p>
      <w:pPr>
        <w:pStyle w:val="BodyText"/>
        <w:spacing w:before="11"/>
        <w:ind w:left="2718"/>
      </w:pPr>
      <w:r>
        <w:rPr>
          <w:shd w:fill="D9D9D9" w:color="auto" w:val="clear"/>
        </w:rPr>
        <w:t>因酗酒或药物滥用导致的深度昏迷不在保障范围内。</w:t>
      </w:r>
    </w:p>
    <w:p>
      <w:pPr>
        <w:pStyle w:val="ListParagraph"/>
        <w:numPr>
          <w:ilvl w:val="2"/>
          <w:numId w:val="7"/>
        </w:numPr>
        <w:tabs>
          <w:tab w:pos="1165" w:val="left" w:leader="none"/>
          <w:tab w:pos="1167" w:val="left" w:leader="none"/>
          <w:tab w:pos="2718" w:val="left" w:leader="none"/>
        </w:tabs>
        <w:spacing w:line="264" w:lineRule="auto" w:before="124" w:after="0"/>
        <w:ind w:left="2718" w:right="102" w:hanging="2608"/>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w:t>
      </w:r>
      <w:r>
        <w:rPr>
          <w:spacing w:val="-4"/>
          <w:sz w:val="21"/>
        </w:rPr>
        <w:t>，</w:t>
      </w:r>
      <w:r>
        <w:rPr>
          <w:sz w:val="21"/>
        </w:rPr>
        <w:t>在</w:t>
      </w:r>
      <w:r>
        <w:rPr>
          <w:spacing w:val="-52"/>
          <w:sz w:val="21"/>
        </w:rPr>
        <w:t> </w:t>
      </w:r>
      <w:r>
        <w:rPr>
          <w:sz w:val="21"/>
        </w:rPr>
        <w:t>500</w:t>
      </w:r>
      <w:r>
        <w:rPr>
          <w:spacing w:val="-52"/>
          <w:sz w:val="21"/>
        </w:rPr>
        <w:t> </w:t>
      </w:r>
      <w:r>
        <w:rPr>
          <w:sz w:val="21"/>
        </w:rPr>
        <w:t>赫兹</w:t>
      </w:r>
      <w:r>
        <w:rPr>
          <w:spacing w:val="-4"/>
          <w:sz w:val="21"/>
        </w:rPr>
        <w:t>、</w:t>
      </w:r>
      <w:r>
        <w:rPr>
          <w:sz w:val="21"/>
        </w:rPr>
        <w:t>1000赫兹和</w:t>
      </w:r>
      <w:r>
        <w:rPr>
          <w:spacing w:val="-58"/>
          <w:sz w:val="21"/>
        </w:rPr>
        <w:t> </w:t>
      </w:r>
      <w:r>
        <w:rPr>
          <w:sz w:val="21"/>
        </w:rPr>
        <w:t>2000</w:t>
      </w:r>
      <w:r>
        <w:rPr>
          <w:spacing w:val="-58"/>
          <w:sz w:val="21"/>
        </w:rPr>
        <w:t> </w:t>
      </w:r>
      <w:r>
        <w:rPr>
          <w:sz w:val="21"/>
        </w:rPr>
        <w:t>赫兹语音频率下</w:t>
      </w:r>
      <w:r>
        <w:rPr>
          <w:spacing w:val="-54"/>
          <w:sz w:val="21"/>
        </w:rPr>
        <w:t>，</w:t>
      </w:r>
      <w:r>
        <w:rPr>
          <w:sz w:val="21"/>
        </w:rPr>
        <w:t>平均听阈大于</w:t>
      </w:r>
      <w:r>
        <w:rPr>
          <w:spacing w:val="-58"/>
          <w:sz w:val="21"/>
        </w:rPr>
        <w:t> </w:t>
      </w:r>
      <w:r>
        <w:rPr>
          <w:sz w:val="21"/>
        </w:rPr>
        <w:t>90</w:t>
      </w:r>
      <w:r>
        <w:rPr>
          <w:spacing w:val="-58"/>
          <w:sz w:val="21"/>
        </w:rPr>
        <w:t> </w:t>
      </w:r>
      <w:r>
        <w:rPr>
          <w:sz w:val="21"/>
        </w:rPr>
        <w:t>分贝</w:t>
      </w:r>
      <w:r>
        <w:rPr>
          <w:spacing w:val="-54"/>
          <w:sz w:val="21"/>
        </w:rPr>
        <w:t>，</w:t>
      </w:r>
      <w:r>
        <w:rPr>
          <w:sz w:val="21"/>
        </w:rPr>
        <w:t>且经纯音听力测试、声导抗检测或听觉诱发电位检测等证实。</w:t>
      </w:r>
    </w:p>
    <w:p>
      <w:pPr>
        <w:pStyle w:val="BodyText"/>
        <w:spacing w:line="280" w:lineRule="auto" w:before="24"/>
        <w:ind w:left="2718" w:right="207"/>
      </w:pPr>
      <w:r>
        <w:rPr>
          <w:spacing w:val="-5"/>
          <w:shd w:fill="D9D9D9" w:color="auto" w:val="clear"/>
        </w:rPr>
        <w:t>申请理赔时，被保险人年龄必须在 </w:t>
      </w:r>
      <w:r>
        <w:rPr>
          <w:shd w:fill="D9D9D9" w:color="auto" w:val="clear"/>
        </w:rPr>
        <w:t>3</w:t>
      </w:r>
      <w:r>
        <w:rPr>
          <w:spacing w:val="-8"/>
          <w:shd w:fill="D9D9D9" w:color="auto" w:val="clear"/>
        </w:rPr>
        <w:t> 周岁以上，并且须提供理赔当时的听力丧失诊断及检查证据。</w:t>
      </w:r>
    </w:p>
    <w:p>
      <w:pPr>
        <w:pStyle w:val="ListParagraph"/>
        <w:numPr>
          <w:ilvl w:val="2"/>
          <w:numId w:val="7"/>
        </w:numPr>
        <w:tabs>
          <w:tab w:pos="1167" w:val="left" w:leader="none"/>
        </w:tabs>
        <w:spacing w:line="278" w:lineRule="auto" w:before="151" w:after="0"/>
        <w:ind w:left="2718" w:right="207" w:hanging="2608"/>
        <w:jc w:val="both"/>
        <w:rPr>
          <w:sz w:val="21"/>
        </w:rPr>
      </w:pPr>
      <w:r>
        <w:rPr>
          <w:rFonts w:ascii="黑体" w:eastAsia="黑体" w:hint="eastAsia"/>
          <w:spacing w:val="8"/>
          <w:sz w:val="21"/>
        </w:rPr>
        <w:t>双目失明     </w:t>
      </w:r>
      <w:r>
        <w:rPr>
          <w:spacing w:val="-1"/>
          <w:sz w:val="21"/>
        </w:rPr>
        <w:t>指因疾病或意外伤害导致双眼视力永久不可逆性丧失，双眼中较好眼须满足下列至少一项条件：</w:t>
      </w:r>
    </w:p>
    <w:p>
      <w:pPr>
        <w:pStyle w:val="BodyText"/>
        <w:spacing w:before="12"/>
        <w:ind w:left="2718"/>
      </w:pPr>
      <w:r>
        <w:rPr/>
        <w:t>(1)眼球缺失或摘除；</w:t>
      </w:r>
    </w:p>
    <w:p>
      <w:pPr>
        <w:pStyle w:val="BodyText"/>
        <w:spacing w:line="278" w:lineRule="auto" w:before="45"/>
        <w:ind w:left="3034" w:right="208" w:hanging="316"/>
      </w:pPr>
      <w:r>
        <w:rPr/>
        <w:t>(2)</w:t>
      </w:r>
      <w:r>
        <w:rPr>
          <w:spacing w:val="-4"/>
        </w:rPr>
        <w:t>矫正视力低于 </w:t>
      </w:r>
      <w:r>
        <w:rPr/>
        <w:t>0.02（采用国际标准视力表，如果使用其他视力表应进行换算</w:t>
      </w:r>
      <w:r>
        <w:rPr>
          <w:spacing w:val="-105"/>
        </w:rPr>
        <w:t>）</w:t>
      </w:r>
      <w:r>
        <w:rPr/>
        <w:t>；</w:t>
      </w:r>
    </w:p>
    <w:p>
      <w:pPr>
        <w:pStyle w:val="BodyText"/>
        <w:spacing w:before="11"/>
        <w:ind w:left="2718"/>
      </w:pPr>
      <w:r>
        <w:rPr/>
        <w:t>(3)视野半径小于 5 度。</w:t>
      </w:r>
    </w:p>
    <w:p>
      <w:pPr>
        <w:pStyle w:val="BodyText"/>
        <w:spacing w:line="278" w:lineRule="auto" w:before="45"/>
        <w:ind w:left="2718" w:right="207"/>
      </w:pPr>
      <w:r>
        <w:rPr>
          <w:spacing w:val="-5"/>
          <w:shd w:fill="D9D9D9" w:color="auto" w:val="clear"/>
        </w:rPr>
        <w:t>申请理赔时，被保险人年龄必须在 </w:t>
      </w:r>
      <w:r>
        <w:rPr>
          <w:shd w:fill="D9D9D9" w:color="auto" w:val="clear"/>
        </w:rPr>
        <w:t>3</w:t>
      </w:r>
      <w:r>
        <w:rPr>
          <w:spacing w:val="-8"/>
          <w:shd w:fill="D9D9D9" w:color="auto" w:val="clear"/>
        </w:rPr>
        <w:t> 周岁以上，并且须提供理赔当时的视力丧失诊断及检查证据。</w:t>
      </w:r>
    </w:p>
    <w:p>
      <w:pPr>
        <w:pStyle w:val="ListParagraph"/>
        <w:numPr>
          <w:ilvl w:val="2"/>
          <w:numId w:val="7"/>
        </w:numPr>
        <w:tabs>
          <w:tab w:pos="1166" w:val="left" w:leader="none"/>
          <w:tab w:pos="2718" w:val="left" w:leader="none"/>
        </w:tabs>
        <w:spacing w:line="280" w:lineRule="auto" w:before="153" w:after="0"/>
        <w:ind w:left="2718" w:right="207" w:hanging="2609"/>
        <w:jc w:val="both"/>
        <w:rPr>
          <w:sz w:val="21"/>
        </w:rPr>
      </w:pPr>
      <w:r>
        <w:rPr>
          <w:rFonts w:ascii="黑体" w:eastAsia="黑体" w:hint="eastAsia"/>
          <w:sz w:val="21"/>
        </w:rPr>
        <w:t>瘫痪</w:t>
        <w:tab/>
      </w:r>
      <w:r>
        <w:rPr>
          <w:sz w:val="21"/>
        </w:rPr>
        <w:t>指因疾病或意外伤害导致两肢或两肢以上肢体机能永久完全丧失</w:t>
      </w:r>
      <w:r>
        <w:rPr>
          <w:spacing w:val="-4"/>
          <w:sz w:val="21"/>
        </w:rPr>
        <w:t>。</w:t>
      </w:r>
      <w:r>
        <w:rPr>
          <w:sz w:val="21"/>
        </w:rPr>
        <w:t>肢体机能永久完全丧失</w:t>
      </w:r>
      <w:r>
        <w:rPr>
          <w:spacing w:val="-3"/>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3"/>
          <w:sz w:val="21"/>
        </w:rPr>
        <w:t>，</w:t>
      </w:r>
      <w:r>
        <w:rPr>
          <w:sz w:val="21"/>
        </w:rPr>
        <w:t>每肢三大关节中的两大关节仍然完全僵硬，或不能随意识活动。</w:t>
      </w:r>
    </w:p>
    <w:p>
      <w:pPr>
        <w:pStyle w:val="ListParagraph"/>
        <w:numPr>
          <w:ilvl w:val="2"/>
          <w:numId w:val="7"/>
        </w:numPr>
        <w:tabs>
          <w:tab w:pos="1167" w:val="left" w:leader="none"/>
        </w:tabs>
        <w:spacing w:line="278" w:lineRule="auto" w:before="151" w:after="0"/>
        <w:ind w:left="2718" w:right="207" w:hanging="2608"/>
        <w:jc w:val="both"/>
        <w:rPr>
          <w:sz w:val="21"/>
        </w:rPr>
      </w:pPr>
      <w:r>
        <w:rPr>
          <w:rFonts w:ascii="黑体" w:eastAsia="黑体" w:hint="eastAsia"/>
          <w:spacing w:val="10"/>
          <w:sz w:val="21"/>
        </w:rPr>
        <w:t>心脏瓣膜手术 </w:t>
      </w:r>
      <w:r>
        <w:rPr>
          <w:spacing w:val="-1"/>
          <w:sz w:val="21"/>
        </w:rPr>
        <w:t>指为治疗心脏瓣膜疾病，实际实施了开胸进行的心脏瓣膜置换或修复的手术。</w:t>
      </w:r>
    </w:p>
    <w:p>
      <w:pPr>
        <w:pStyle w:val="BodyText"/>
        <w:spacing w:before="0"/>
        <w:rPr>
          <w:sz w:val="9"/>
        </w:rPr>
      </w:pPr>
    </w:p>
    <w:p>
      <w:pPr>
        <w:spacing w:after="0"/>
        <w:rPr>
          <w:sz w:val="9"/>
        </w:rPr>
        <w:sectPr>
          <w:pgSz w:w="11910" w:h="16840"/>
          <w:pgMar w:top="1560" w:bottom="280" w:left="1180" w:right="1080"/>
        </w:sectPr>
      </w:pPr>
    </w:p>
    <w:p>
      <w:pPr>
        <w:pStyle w:val="ListParagraph"/>
        <w:numPr>
          <w:ilvl w:val="2"/>
          <w:numId w:val="7"/>
        </w:numPr>
        <w:tabs>
          <w:tab w:pos="1165" w:val="left" w:leader="none"/>
          <w:tab w:pos="1167" w:val="left" w:leader="none"/>
        </w:tabs>
        <w:spacing w:line="240" w:lineRule="auto" w:before="35" w:after="0"/>
        <w:ind w:left="2718" w:right="0" w:hanging="2608"/>
        <w:jc w:val="left"/>
        <w:rPr>
          <w:rFonts w:ascii="黑体" w:eastAsia="黑体" w:hint="eastAsia"/>
          <w:sz w:val="21"/>
        </w:rPr>
      </w:pPr>
      <w:r>
        <w:rPr>
          <w:rFonts w:ascii="黑体" w:eastAsia="黑体" w:hint="eastAsia"/>
          <w:sz w:val="21"/>
        </w:rPr>
        <w:t>严重阿尔茨海</w:t>
      </w:r>
    </w:p>
    <w:p>
      <w:pPr>
        <w:pStyle w:val="BodyText"/>
        <w:spacing w:before="45"/>
        <w:ind w:left="1145" w:right="820"/>
        <w:jc w:val="center"/>
        <w:rPr>
          <w:rFonts w:ascii="黑体" w:eastAsia="黑体" w:hint="eastAsia"/>
        </w:rPr>
      </w:pPr>
      <w:r>
        <w:rPr>
          <w:rFonts w:ascii="黑体" w:eastAsia="黑体" w:hint="eastAsia"/>
        </w:rPr>
        <w:t>默病</w:t>
      </w:r>
    </w:p>
    <w:p>
      <w:pPr>
        <w:pStyle w:val="BodyText"/>
        <w:spacing w:line="278" w:lineRule="auto"/>
        <w:ind w:left="109" w:right="208"/>
        <w:jc w:val="both"/>
      </w:pPr>
      <w:r>
        <w:rPr/>
        <w:br w:type="column"/>
      </w:r>
      <w:r>
        <w:rPr>
          <w:spacing w:val="-2"/>
        </w:rPr>
        <w:t>指因大脑进行性、不可逆性改变导致智能严重衰退或丧失，临床表现为明</w:t>
      </w:r>
      <w:r>
        <w:rPr>
          <w:spacing w:val="-3"/>
        </w:rPr>
        <w:t>显的认知能力障碍、行为异常和社交能力减退，其日常生活必须持续受到</w:t>
      </w:r>
      <w:r>
        <w:rPr>
          <w:spacing w:val="-2"/>
        </w:rPr>
        <w:t>他人监护。须由头颅断层扫描</w:t>
      </w:r>
      <w:r>
        <w:rPr>
          <w:spacing w:val="0"/>
        </w:rPr>
        <w:t>（</w:t>
      </w:r>
      <w:r>
        <w:rPr>
          <w:spacing w:val="-1"/>
        </w:rPr>
        <w:t>CT</w:t>
      </w:r>
      <w:r>
        <w:rPr>
          <w:spacing w:val="-105"/>
        </w:rPr>
        <w:t>）</w:t>
      </w:r>
      <w:r>
        <w:rPr>
          <w:spacing w:val="-2"/>
        </w:rPr>
        <w:t>、核磁共振检查</w:t>
      </w:r>
      <w:r>
        <w:rPr>
          <w:spacing w:val="0"/>
        </w:rPr>
        <w:t>（</w:t>
      </w:r>
      <w:r>
        <w:rPr>
          <w:spacing w:val="-1"/>
        </w:rPr>
        <w:t>M</w:t>
      </w:r>
      <w:r>
        <w:rPr/>
        <w:t>RI</w:t>
      </w:r>
      <w:r>
        <w:rPr>
          <w:spacing w:val="-2"/>
        </w:rPr>
        <w:t>）</w:t>
      </w:r>
      <w:r>
        <w:rPr/>
        <w:t>或正电子发射断层扫描（PET）等影像学检查证实，且自主生活能力完全丧失，无法独立完成六项基本日常生活活动中的三项或三项以上。</w:t>
      </w:r>
    </w:p>
    <w:p>
      <w:pPr>
        <w:pStyle w:val="BodyText"/>
        <w:spacing w:before="11"/>
        <w:ind w:left="109"/>
        <w:jc w:val="both"/>
      </w:pPr>
      <w:r>
        <w:rPr>
          <w:shd w:fill="D9D9D9" w:color="auto" w:val="clear"/>
        </w:rPr>
        <w:t>神经官能症和精神疾病不在保障范围内。</w:t>
      </w:r>
    </w:p>
    <w:p>
      <w:pPr>
        <w:spacing w:after="0"/>
        <w:jc w:val="both"/>
        <w:sectPr>
          <w:type w:val="continuous"/>
          <w:pgSz w:w="11910" w:h="16840"/>
          <w:pgMar w:top="1280" w:bottom="280" w:left="1180" w:right="1080"/>
          <w:cols w:num="2" w:equalWidth="0">
            <w:col w:w="2426" w:space="182"/>
            <w:col w:w="7042"/>
          </w:cols>
        </w:sectPr>
      </w:pPr>
    </w:p>
    <w:p>
      <w:pPr>
        <w:pStyle w:val="BodyText"/>
        <w:spacing w:before="7"/>
        <w:rPr>
          <w:sz w:val="11"/>
        </w:rPr>
      </w:pPr>
    </w:p>
    <w:p>
      <w:pPr>
        <w:pStyle w:val="ListParagraph"/>
        <w:numPr>
          <w:ilvl w:val="2"/>
          <w:numId w:val="7"/>
        </w:numPr>
        <w:tabs>
          <w:tab w:pos="1165" w:val="left" w:leader="none"/>
          <w:tab w:pos="1167" w:val="left" w:leader="none"/>
          <w:tab w:pos="2718" w:val="left" w:leader="none"/>
        </w:tabs>
        <w:spacing w:line="278" w:lineRule="auto" w:before="36" w:after="0"/>
        <w:ind w:left="2718" w:right="208" w:hanging="2608"/>
        <w:jc w:val="left"/>
        <w:rPr>
          <w:sz w:val="21"/>
        </w:rPr>
      </w:pPr>
      <w:r>
        <w:rPr>
          <w:rFonts w:ascii="黑体" w:eastAsia="黑体" w:hint="eastAsia"/>
          <w:sz w:val="21"/>
        </w:rPr>
        <w:t>严重脑损伤</w:t>
        <w:tab/>
      </w:r>
      <w:r>
        <w:rPr>
          <w:sz w:val="21"/>
        </w:rPr>
        <w:t>指因头部遭受机械性外力</w:t>
      </w:r>
      <w:r>
        <w:rPr>
          <w:spacing w:val="-3"/>
          <w:sz w:val="21"/>
        </w:rPr>
        <w:t>，</w:t>
      </w:r>
      <w:r>
        <w:rPr>
          <w:sz w:val="21"/>
        </w:rPr>
        <w:t>引起脑重要部位损伤</w:t>
      </w:r>
      <w:r>
        <w:rPr>
          <w:spacing w:val="-3"/>
          <w:sz w:val="21"/>
        </w:rPr>
        <w:t>，</w:t>
      </w:r>
      <w:r>
        <w:rPr>
          <w:sz w:val="21"/>
        </w:rPr>
        <w:t>导致神经系统永久性的</w:t>
      </w:r>
      <w:r>
        <w:rPr>
          <w:spacing w:val="-1"/>
          <w:sz w:val="21"/>
        </w:rPr>
        <w:t>功能障碍</w:t>
      </w:r>
      <w:r>
        <w:rPr>
          <w:spacing w:val="-2"/>
          <w:sz w:val="21"/>
        </w:rPr>
        <w:t>。</w:t>
      </w:r>
      <w:r>
        <w:rPr>
          <w:spacing w:val="-1"/>
          <w:sz w:val="21"/>
        </w:rPr>
        <w:t>须由头颅断层扫</w:t>
      </w:r>
      <w:r>
        <w:rPr>
          <w:spacing w:val="-2"/>
          <w:sz w:val="21"/>
        </w:rPr>
        <w:t>描</w:t>
      </w:r>
      <w:r>
        <w:rPr>
          <w:spacing w:val="0"/>
          <w:sz w:val="21"/>
        </w:rPr>
        <w:t>（</w:t>
      </w:r>
      <w:r>
        <w:rPr>
          <w:spacing w:val="-1"/>
          <w:sz w:val="21"/>
        </w:rPr>
        <w:t>CT</w:t>
      </w:r>
      <w:r>
        <w:rPr>
          <w:spacing w:val="-105"/>
          <w:sz w:val="21"/>
        </w:rPr>
        <w:t>）</w:t>
      </w:r>
      <w:r>
        <w:rPr>
          <w:spacing w:val="-2"/>
          <w:sz w:val="21"/>
        </w:rPr>
        <w:t>、</w:t>
      </w:r>
      <w:r>
        <w:rPr>
          <w:sz w:val="21"/>
        </w:rPr>
        <w:t>核磁共振检</w:t>
      </w:r>
      <w:r>
        <w:rPr>
          <w:spacing w:val="-2"/>
          <w:sz w:val="21"/>
        </w:rPr>
        <w:t>查</w:t>
      </w:r>
      <w:r>
        <w:rPr>
          <w:spacing w:val="0"/>
          <w:sz w:val="21"/>
        </w:rPr>
        <w:t>（</w:t>
      </w:r>
      <w:r>
        <w:rPr>
          <w:spacing w:val="-1"/>
          <w:sz w:val="21"/>
        </w:rPr>
        <w:t>M</w:t>
      </w:r>
      <w:r>
        <w:rPr>
          <w:sz w:val="21"/>
        </w:rPr>
        <w:t>RI</w:t>
      </w:r>
      <w:r>
        <w:rPr>
          <w:spacing w:val="-2"/>
          <w:sz w:val="21"/>
        </w:rPr>
        <w:t>）</w:t>
      </w:r>
      <w:r>
        <w:rPr>
          <w:sz w:val="21"/>
        </w:rPr>
        <w:t>或正电子发射断层扫描（PET）等影像学检查证实。神经系统永久性的功能障碍，指脑损伤        </w:t>
      </w:r>
      <w:r>
        <w:rPr>
          <w:spacing w:val="0"/>
          <w:sz w:val="21"/>
        </w:rPr>
        <w:t> </w:t>
      </w:r>
      <w:r>
        <w:rPr>
          <w:sz w:val="21"/>
        </w:rPr>
        <w:t>180        </w:t>
      </w:r>
      <w:r>
        <w:rPr>
          <w:spacing w:val="0"/>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78" w:lineRule="auto" w:before="12"/>
        <w:ind w:left="3034" w:right="208" w:hanging="316"/>
      </w:pPr>
      <w:r>
        <w:rPr/>
        <w:t>(3)自主生活能力完全丧失，无法独立完成六项基本日常生活活动中的三项或三项以上。</w:t>
      </w:r>
    </w:p>
    <w:p>
      <w:pPr>
        <w:pStyle w:val="ListParagraph"/>
        <w:numPr>
          <w:ilvl w:val="2"/>
          <w:numId w:val="7"/>
        </w:numPr>
        <w:tabs>
          <w:tab w:pos="1165" w:val="left" w:leader="none"/>
          <w:tab w:pos="1167" w:val="left" w:leader="none"/>
          <w:tab w:pos="2718" w:val="left" w:leader="none"/>
        </w:tabs>
        <w:spacing w:line="280" w:lineRule="auto" w:before="153" w:after="0"/>
        <w:ind w:left="2718" w:right="203" w:hanging="2608"/>
        <w:jc w:val="left"/>
        <w:rPr>
          <w:sz w:val="21"/>
        </w:rPr>
      </w:pPr>
      <w:r>
        <w:rPr>
          <w:rFonts w:ascii="黑体" w:eastAsia="黑体" w:hint="eastAsia"/>
          <w:sz w:val="21"/>
        </w:rPr>
        <w:t>严重帕金森病</w:t>
        <w:tab/>
      </w:r>
      <w:r>
        <w:rPr>
          <w:sz w:val="21"/>
        </w:rPr>
        <w:t>是一种中枢神经系统的退行性疾病，临床表现为震颤麻痹、共济失调等。须满足下列全部条件：</w:t>
      </w:r>
    </w:p>
    <w:p>
      <w:pPr>
        <w:pStyle w:val="BodyText"/>
        <w:spacing w:before="9"/>
        <w:ind w:left="2718"/>
      </w:pPr>
      <w:r>
        <w:rPr/>
        <w:t>(1)药物治疗无法控制病情；</w:t>
      </w:r>
    </w:p>
    <w:p>
      <w:pPr>
        <w:spacing w:after="0"/>
        <w:sectPr>
          <w:type w:val="continuous"/>
          <w:pgSz w:w="11910" w:h="16840"/>
          <w:pgMar w:top="1280" w:bottom="280" w:left="1180" w:right="1080"/>
        </w:sectPr>
      </w:pPr>
    </w:p>
    <w:p>
      <w:pPr>
        <w:pStyle w:val="BodyText"/>
        <w:spacing w:line="278" w:lineRule="auto" w:before="8"/>
        <w:ind w:left="3034" w:right="208" w:hanging="316"/>
      </w:pPr>
      <w:r>
        <w:rPr/>
        <w:t>(2)自主生活能力完全丧失，无法独立完成六项基本日常生活活动中的三项或三项以上。</w:t>
      </w:r>
    </w:p>
    <w:p>
      <w:pPr>
        <w:pStyle w:val="BodyText"/>
        <w:spacing w:before="11"/>
        <w:ind w:left="2718"/>
      </w:pPr>
      <w:r>
        <w:rPr>
          <w:shd w:fill="D9D9D9" w:color="auto" w:val="clear"/>
        </w:rPr>
        <w:t>继发性帕金森综合征不在保障范围内。</w:t>
      </w:r>
    </w:p>
    <w:p>
      <w:pPr>
        <w:pStyle w:val="BodyText"/>
        <w:spacing w:before="3"/>
        <w:rPr>
          <w:sz w:val="14"/>
        </w:rPr>
      </w:pPr>
    </w:p>
    <w:p>
      <w:pPr>
        <w:pStyle w:val="ListParagraph"/>
        <w:numPr>
          <w:ilvl w:val="2"/>
          <w:numId w:val="7"/>
        </w:numPr>
        <w:tabs>
          <w:tab w:pos="1165" w:val="left" w:leader="none"/>
          <w:tab w:pos="1167" w:val="left" w:leader="none"/>
          <w:tab w:pos="2718" w:val="left" w:leader="none"/>
        </w:tabs>
        <w:spacing w:line="280" w:lineRule="auto" w:before="0" w:after="0"/>
        <w:ind w:left="2718" w:right="209" w:hanging="2608"/>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18"/>
          <w:sz w:val="21"/>
        </w:rPr>
        <w:t> </w:t>
      </w:r>
      <w:r>
        <w:rPr>
          <w:sz w:val="21"/>
        </w:rPr>
        <w:t>20％或</w:t>
      </w:r>
      <w:r>
        <w:rPr>
          <w:spacing w:val="-18"/>
          <w:sz w:val="21"/>
        </w:rPr>
        <w:t> </w:t>
      </w:r>
      <w:r>
        <w:rPr>
          <w:sz w:val="21"/>
        </w:rPr>
        <w:t>20％以上。体表面积根据《中国新九分法》计算。</w:t>
      </w:r>
    </w:p>
    <w:p>
      <w:pPr>
        <w:pStyle w:val="BodyText"/>
        <w:spacing w:before="10"/>
        <w:rPr>
          <w:sz w:val="8"/>
        </w:rPr>
      </w:pPr>
    </w:p>
    <w:p>
      <w:pPr>
        <w:spacing w:after="0"/>
        <w:rPr>
          <w:sz w:val="8"/>
        </w:rPr>
        <w:sectPr>
          <w:pgSz w:w="11910" w:h="16840"/>
          <w:pgMar w:top="1420" w:bottom="280" w:left="1180" w:right="1080"/>
        </w:sectPr>
      </w:pPr>
    </w:p>
    <w:p>
      <w:pPr>
        <w:pStyle w:val="ListParagraph"/>
        <w:numPr>
          <w:ilvl w:val="2"/>
          <w:numId w:val="7"/>
        </w:numPr>
        <w:tabs>
          <w:tab w:pos="1165" w:val="left" w:leader="none"/>
          <w:tab w:pos="1167" w:val="left" w:leader="none"/>
        </w:tabs>
        <w:spacing w:line="240" w:lineRule="auto" w:before="36" w:after="0"/>
        <w:ind w:left="2718" w:right="0" w:hanging="2608"/>
        <w:jc w:val="left"/>
        <w:rPr>
          <w:rFonts w:ascii="黑体" w:eastAsia="黑体" w:hint="eastAsia"/>
          <w:sz w:val="21"/>
        </w:rPr>
      </w:pPr>
      <w:r>
        <w:rPr>
          <w:rFonts w:ascii="黑体" w:eastAsia="黑体" w:hint="eastAsia"/>
          <w:sz w:val="21"/>
        </w:rPr>
        <w:t>严重原发性肺</w:t>
      </w:r>
    </w:p>
    <w:p>
      <w:pPr>
        <w:pStyle w:val="BodyText"/>
        <w:spacing w:before="44"/>
        <w:ind w:left="1165"/>
        <w:rPr>
          <w:rFonts w:ascii="黑体" w:eastAsia="黑体" w:hint="eastAsia"/>
        </w:rPr>
      </w:pPr>
      <w:r>
        <w:rPr>
          <w:rFonts w:ascii="黑体" w:eastAsia="黑体" w:hint="eastAsia"/>
        </w:rPr>
        <w:t>动脉高压</w:t>
      </w:r>
    </w:p>
    <w:p>
      <w:pPr>
        <w:pStyle w:val="BodyText"/>
        <w:spacing w:line="278" w:lineRule="auto" w:before="36"/>
        <w:ind w:left="109" w:right="207"/>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80" w:bottom="280" w:left="1180" w:right="1080"/>
          <w:cols w:num="2" w:equalWidth="0">
            <w:col w:w="2426" w:space="182"/>
            <w:col w:w="7042"/>
          </w:cols>
        </w:sectPr>
      </w:pPr>
    </w:p>
    <w:p>
      <w:pPr>
        <w:pStyle w:val="BodyText"/>
        <w:spacing w:before="0"/>
        <w:rPr>
          <w:sz w:val="9"/>
        </w:rPr>
      </w:pPr>
    </w:p>
    <w:p>
      <w:pPr>
        <w:spacing w:after="0"/>
        <w:rPr>
          <w:sz w:val="9"/>
        </w:rPr>
        <w:sectPr>
          <w:type w:val="continuous"/>
          <w:pgSz w:w="11910" w:h="16840"/>
          <w:pgMar w:top="1280" w:bottom="280" w:left="1180" w:right="1080"/>
        </w:sectPr>
      </w:pPr>
    </w:p>
    <w:p>
      <w:pPr>
        <w:pStyle w:val="ListParagraph"/>
        <w:numPr>
          <w:ilvl w:val="2"/>
          <w:numId w:val="7"/>
        </w:numPr>
        <w:tabs>
          <w:tab w:pos="1165" w:val="left" w:leader="none"/>
          <w:tab w:pos="1167" w:val="left" w:leader="none"/>
        </w:tabs>
        <w:spacing w:line="240" w:lineRule="auto" w:before="35" w:after="0"/>
        <w:ind w:left="2718" w:right="0" w:hanging="2608"/>
        <w:jc w:val="left"/>
        <w:rPr>
          <w:rFonts w:ascii="黑体" w:eastAsia="黑体" w:hint="eastAsia"/>
          <w:sz w:val="21"/>
        </w:rPr>
      </w:pPr>
      <w:r>
        <w:rPr>
          <w:rFonts w:ascii="黑体" w:eastAsia="黑体" w:hint="eastAsia"/>
          <w:sz w:val="21"/>
        </w:rPr>
        <w:t>严重运动神经</w:t>
      </w:r>
    </w:p>
    <w:p>
      <w:pPr>
        <w:pStyle w:val="BodyText"/>
        <w:spacing w:before="45"/>
        <w:ind w:left="1145" w:right="820"/>
        <w:jc w:val="center"/>
        <w:rPr>
          <w:rFonts w:ascii="黑体" w:eastAsia="黑体" w:hint="eastAsia"/>
        </w:rPr>
      </w:pPr>
      <w:r>
        <w:rPr>
          <w:rFonts w:ascii="黑体" w:eastAsia="黑体" w:hint="eastAsia"/>
        </w:rPr>
        <w:t>元病</w:t>
      </w:r>
    </w:p>
    <w:p>
      <w:pPr>
        <w:pStyle w:val="BodyText"/>
        <w:spacing w:line="278" w:lineRule="auto"/>
        <w:ind w:left="109" w:right="20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80" w:bottom="280" w:left="1180" w:right="1080"/>
          <w:cols w:num="2" w:equalWidth="0">
            <w:col w:w="2426" w:space="182"/>
            <w:col w:w="7042"/>
          </w:cols>
        </w:sectPr>
      </w:pPr>
    </w:p>
    <w:p>
      <w:pPr>
        <w:pStyle w:val="BodyText"/>
        <w:spacing w:before="12"/>
        <w:rPr>
          <w:sz w:val="8"/>
        </w:rPr>
      </w:pPr>
    </w:p>
    <w:p>
      <w:pPr>
        <w:pStyle w:val="ListParagraph"/>
        <w:numPr>
          <w:ilvl w:val="2"/>
          <w:numId w:val="7"/>
        </w:numPr>
        <w:tabs>
          <w:tab w:pos="1165" w:val="left" w:leader="none"/>
          <w:tab w:pos="1167" w:val="left" w:leader="none"/>
          <w:tab w:pos="2718" w:val="left" w:leader="none"/>
        </w:tabs>
        <w:spacing w:line="240" w:lineRule="auto" w:before="36" w:after="0"/>
        <w:ind w:left="2718" w:right="0" w:hanging="2608"/>
        <w:jc w:val="left"/>
        <w:rPr>
          <w:sz w:val="21"/>
        </w:rPr>
      </w:pPr>
      <w:r>
        <w:rPr>
          <w:rFonts w:ascii="黑体" w:eastAsia="黑体" w:hint="eastAsia"/>
          <w:sz w:val="21"/>
        </w:rPr>
        <w:t>语言能力丧失</w:t>
        <w:tab/>
      </w:r>
      <w:r>
        <w:rPr>
          <w:sz w:val="21"/>
        </w:rPr>
        <w:t>指因疾病或意外伤害导致完全丧失语言能力，经过积极治疗至少</w:t>
      </w:r>
      <w:r>
        <w:rPr>
          <w:spacing w:val="-2"/>
          <w:sz w:val="21"/>
        </w:rPr>
        <w:t> </w:t>
      </w:r>
      <w:r>
        <w:rPr>
          <w:sz w:val="21"/>
        </w:rPr>
        <w:t>12</w:t>
      </w:r>
      <w:r>
        <w:rPr>
          <w:spacing w:val="-3"/>
          <w:sz w:val="21"/>
        </w:rPr>
        <w:t> </w:t>
      </w:r>
      <w:r>
        <w:rPr>
          <w:sz w:val="21"/>
        </w:rPr>
        <w:t>个月</w:t>
      </w:r>
    </w:p>
    <w:p>
      <w:pPr>
        <w:pStyle w:val="BodyText"/>
        <w:spacing w:line="278" w:lineRule="auto" w:before="45"/>
        <w:ind w:left="2718" w:right="729"/>
      </w:pPr>
      <w:r>
        <w:rPr/>
        <w:t>（声带完全切除不受此时间限制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pStyle w:val="BodyText"/>
        <w:spacing w:before="0"/>
        <w:rPr>
          <w:sz w:val="9"/>
        </w:rPr>
      </w:pPr>
    </w:p>
    <w:p>
      <w:pPr>
        <w:spacing w:after="0"/>
        <w:rPr>
          <w:sz w:val="9"/>
        </w:rPr>
        <w:sectPr>
          <w:type w:val="continuous"/>
          <w:pgSz w:w="11910" w:h="16840"/>
          <w:pgMar w:top="1280" w:bottom="280" w:left="1180" w:right="1080"/>
        </w:sectPr>
      </w:pPr>
    </w:p>
    <w:p>
      <w:pPr>
        <w:pStyle w:val="ListParagraph"/>
        <w:numPr>
          <w:ilvl w:val="2"/>
          <w:numId w:val="7"/>
        </w:numPr>
        <w:tabs>
          <w:tab w:pos="1165" w:val="left" w:leader="none"/>
          <w:tab w:pos="1167" w:val="left" w:leader="none"/>
        </w:tabs>
        <w:spacing w:line="240" w:lineRule="auto" w:before="35" w:after="0"/>
        <w:ind w:left="2718" w:right="0" w:hanging="2608"/>
        <w:jc w:val="left"/>
        <w:rPr>
          <w:rFonts w:ascii="黑体" w:eastAsia="黑体" w:hint="eastAsia"/>
          <w:sz w:val="21"/>
        </w:rPr>
      </w:pPr>
      <w:r>
        <w:rPr>
          <w:rFonts w:ascii="黑体" w:eastAsia="黑体" w:hint="eastAsia"/>
          <w:sz w:val="21"/>
        </w:rPr>
        <w:t>重型再Th障碍</w:t>
      </w:r>
    </w:p>
    <w:p>
      <w:pPr>
        <w:pStyle w:val="BodyText"/>
        <w:spacing w:before="45"/>
        <w:ind w:left="1165"/>
        <w:rPr>
          <w:rFonts w:ascii="黑体" w:eastAsia="黑体" w:hint="eastAsia"/>
        </w:rPr>
      </w:pPr>
      <w:r>
        <w:rPr>
          <w:rFonts w:ascii="黑体" w:eastAsia="黑体" w:hint="eastAsia"/>
        </w:rPr>
        <w:t>性贫血</w:t>
      </w:r>
    </w:p>
    <w:p>
      <w:pPr>
        <w:pStyle w:val="BodyText"/>
        <w:spacing w:line="278" w:lineRule="auto"/>
        <w:ind w:left="109" w:right="207"/>
      </w:pPr>
      <w:r>
        <w:rPr/>
        <w:br w:type="column"/>
      </w:r>
      <w:r>
        <w:rPr>
          <w:spacing w:val="-1"/>
        </w:rPr>
        <w:t>指因骨髓造血功能慢性持续性衰竭导致的贫血、中性粒细胞减少及血小板减少。须满足下列全部条件：                                    (1)骨髓穿刺检查或骨髓活检结果支持诊断；                       (2)外周血象须具备以下三项条件：</w:t>
      </w:r>
    </w:p>
    <w:p>
      <w:pPr>
        <w:pStyle w:val="BodyText"/>
        <w:spacing w:before="11"/>
        <w:ind w:left="425"/>
      </w:pPr>
      <w:r>
        <w:rPr/>
        <w:t>①中性粒细胞绝对值≤0.5×10</w:t>
      </w:r>
      <w:r>
        <w:rPr>
          <w:position w:val="11"/>
          <w:sz w:val="11"/>
        </w:rPr>
        <w:t>9</w:t>
      </w:r>
      <w:r>
        <w:rPr/>
        <w:t>/L ；</w:t>
      </w:r>
    </w:p>
    <w:p>
      <w:pPr>
        <w:pStyle w:val="BodyText"/>
        <w:spacing w:before="50"/>
        <w:ind w:left="425"/>
      </w:pPr>
      <w:r>
        <w:rPr/>
        <w:t>②网织红细胞</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9"/>
        <w:ind w:left="425"/>
      </w:pPr>
      <w:r>
        <w:rPr/>
        <w:t>③血小板绝对值≤20×10</w:t>
      </w:r>
      <w:r>
        <w:rPr>
          <w:position w:val="11"/>
          <w:sz w:val="11"/>
        </w:rPr>
        <w:t>9</w:t>
      </w:r>
      <w:r>
        <w:rPr/>
        <w:t>/L。</w:t>
      </w:r>
    </w:p>
    <w:p>
      <w:pPr>
        <w:spacing w:after="0"/>
        <w:sectPr>
          <w:type w:val="continuous"/>
          <w:pgSz w:w="11910" w:h="16840"/>
          <w:pgMar w:top="1280" w:bottom="280" w:left="1180" w:right="1080"/>
          <w:cols w:num="2" w:equalWidth="0">
            <w:col w:w="2426" w:space="182"/>
            <w:col w:w="7042"/>
          </w:cols>
        </w:sectPr>
      </w:pPr>
    </w:p>
    <w:p>
      <w:pPr>
        <w:pStyle w:val="BodyText"/>
        <w:spacing w:before="7"/>
        <w:rPr>
          <w:sz w:val="11"/>
        </w:rPr>
      </w:pPr>
    </w:p>
    <w:p>
      <w:pPr>
        <w:pStyle w:val="ListParagraph"/>
        <w:numPr>
          <w:ilvl w:val="2"/>
          <w:numId w:val="7"/>
        </w:numPr>
        <w:tabs>
          <w:tab w:pos="1167" w:val="left" w:leader="none"/>
        </w:tabs>
        <w:spacing w:line="280" w:lineRule="auto" w:before="36" w:after="0"/>
        <w:ind w:left="2718" w:right="207" w:hanging="2608"/>
        <w:jc w:val="both"/>
        <w:rPr>
          <w:sz w:val="21"/>
        </w:rPr>
      </w:pPr>
      <w:r>
        <w:rPr>
          <w:rFonts w:ascii="黑体" w:eastAsia="黑体" w:hint="eastAsia"/>
          <w:spacing w:val="8"/>
          <w:sz w:val="21"/>
        </w:rPr>
        <w:t>主动脉手术   </w:t>
      </w:r>
      <w:r>
        <w:rPr>
          <w:sz w:val="21"/>
        </w:rPr>
        <w:t>指为治疗主动脉疾病，实际实施了开胸或开腹进行的切除、置换、修补病</w:t>
      </w:r>
      <w:r>
        <w:rPr>
          <w:spacing w:val="-2"/>
          <w:sz w:val="21"/>
        </w:rPr>
        <w:t>损主动脉血管的手术。主动脉指胸主动脉和腹主动脉，不包括胸主动脉和腹主动脉的分支血管。</w:t>
      </w:r>
    </w:p>
    <w:p>
      <w:pPr>
        <w:pStyle w:val="BodyText"/>
        <w:spacing w:before="9"/>
        <w:ind w:left="2718"/>
      </w:pPr>
      <w:r>
        <w:rPr>
          <w:shd w:fill="D9D9D9" w:color="auto" w:val="clear"/>
        </w:rPr>
        <w:t>动脉内血管成形术不在保障范围内。</w:t>
      </w:r>
    </w:p>
    <w:p>
      <w:pPr>
        <w:pStyle w:val="BodyText"/>
        <w:spacing w:before="4"/>
        <w:rPr>
          <w:sz w:val="14"/>
        </w:rPr>
      </w:pPr>
    </w:p>
    <w:p>
      <w:pPr>
        <w:pStyle w:val="ListParagraph"/>
        <w:numPr>
          <w:ilvl w:val="2"/>
          <w:numId w:val="7"/>
        </w:numPr>
        <w:tabs>
          <w:tab w:pos="1165" w:val="left" w:leader="none"/>
          <w:tab w:pos="1167" w:val="left" w:leader="none"/>
          <w:tab w:pos="2718" w:val="left" w:leader="none"/>
        </w:tabs>
        <w:spacing w:line="240" w:lineRule="auto" w:before="0" w:after="0"/>
        <w:ind w:left="2718" w:right="0" w:hanging="2608"/>
        <w:jc w:val="left"/>
        <w:rPr>
          <w:sz w:val="21"/>
        </w:rPr>
      </w:pPr>
      <w:r>
        <w:rPr>
          <w:rFonts w:ascii="黑体" w:eastAsia="黑体" w:hint="eastAsia"/>
          <w:sz w:val="21"/>
        </w:rPr>
        <w:t>肾髓质囊性病</w:t>
        <w:tab/>
      </w:r>
      <w:r>
        <w:rPr>
          <w:sz w:val="21"/>
        </w:rPr>
        <w:t>肾髓质囊性病的诊断须同时符合下列要求：</w:t>
      </w:r>
    </w:p>
    <w:p>
      <w:pPr>
        <w:pStyle w:val="BodyText"/>
        <w:spacing w:line="278" w:lineRule="auto" w:before="45"/>
        <w:ind w:left="2718" w:right="1569"/>
      </w:pPr>
      <w:r>
        <w:rPr>
          <w:spacing w:val="-1"/>
        </w:rPr>
        <w:t>(1)肾髓质有囊肿、肾小管萎缩及间质纤维化等病理改变； (2)贫血、多尿及肾功能衰竭等临床表现；            (3)诊断须由肾组织活检确定。</w:t>
      </w:r>
    </w:p>
    <w:p>
      <w:pPr>
        <w:pStyle w:val="ListParagraph"/>
        <w:numPr>
          <w:ilvl w:val="2"/>
          <w:numId w:val="7"/>
        </w:numPr>
        <w:tabs>
          <w:tab w:pos="1167" w:val="left" w:leader="none"/>
        </w:tabs>
        <w:spacing w:line="280" w:lineRule="auto" w:before="153" w:after="0"/>
        <w:ind w:left="2718" w:right="203" w:hanging="2608"/>
        <w:jc w:val="both"/>
        <w:rPr>
          <w:sz w:val="21"/>
        </w:rPr>
      </w:pPr>
      <w:r>
        <w:rPr>
          <w:rFonts w:ascii="黑体" w:eastAsia="黑体" w:hint="eastAsia"/>
          <w:spacing w:val="10"/>
          <w:sz w:val="21"/>
        </w:rPr>
        <w:t>原发性心肌病 </w:t>
      </w:r>
      <w:r>
        <w:rPr>
          <w:sz w:val="21"/>
        </w:rPr>
        <w:t>指因原发性心肌病导致慢性心功能损害造成永久不可逆性的心功能衰竭。</w:t>
      </w:r>
      <w:r>
        <w:rPr>
          <w:spacing w:val="-1"/>
          <w:sz w:val="21"/>
        </w:rPr>
        <w:t>心功能衰竭程度达到纽约心脏病学会心功能分级状态分级 </w:t>
      </w:r>
      <w:r>
        <w:rPr>
          <w:sz w:val="21"/>
        </w:rPr>
        <w:t>IV</w:t>
      </w:r>
      <w:r>
        <w:rPr>
          <w:spacing w:val="-2"/>
          <w:sz w:val="21"/>
        </w:rPr>
        <w:t> 级。被保险人永久不可逆性的体力活动能力受限，不能从事任何体力活动。</w:t>
      </w:r>
    </w:p>
    <w:p>
      <w:pPr>
        <w:pStyle w:val="BodyText"/>
        <w:spacing w:before="11"/>
        <w:rPr>
          <w:sz w:val="8"/>
        </w:rPr>
      </w:pPr>
    </w:p>
    <w:p>
      <w:pPr>
        <w:spacing w:after="0"/>
        <w:rPr>
          <w:sz w:val="8"/>
        </w:rPr>
        <w:sectPr>
          <w:type w:val="continuous"/>
          <w:pgSz w:w="11910" w:h="16840"/>
          <w:pgMar w:top="1280" w:bottom="280" w:left="1180" w:right="1080"/>
        </w:sectPr>
      </w:pPr>
    </w:p>
    <w:p>
      <w:pPr>
        <w:pStyle w:val="ListParagraph"/>
        <w:numPr>
          <w:ilvl w:val="2"/>
          <w:numId w:val="7"/>
        </w:numPr>
        <w:tabs>
          <w:tab w:pos="1165" w:val="left" w:leader="none"/>
          <w:tab w:pos="1166" w:val="left" w:leader="none"/>
        </w:tabs>
        <w:spacing w:line="278" w:lineRule="auto" w:before="35" w:after="0"/>
        <w:ind w:left="1165" w:right="0" w:hanging="1056"/>
        <w:jc w:val="left"/>
        <w:rPr>
          <w:rFonts w:ascii="黑体" w:eastAsia="黑体" w:hint="eastAsia"/>
          <w:sz w:val="21"/>
        </w:rPr>
      </w:pPr>
      <w:r>
        <w:rPr>
          <w:rFonts w:ascii="黑体" w:eastAsia="黑体" w:hint="eastAsia"/>
          <w:sz w:val="21"/>
        </w:rPr>
        <w:t>持续植物人状态</w:t>
      </w:r>
    </w:p>
    <w:p>
      <w:pPr>
        <w:pStyle w:val="BodyText"/>
        <w:spacing w:line="278" w:lineRule="auto"/>
        <w:ind w:left="109" w:right="101"/>
        <w:jc w:val="both"/>
      </w:pPr>
      <w:r>
        <w:rPr/>
        <w:br w:type="column"/>
      </w:r>
      <w:r>
        <w:rPr>
          <w:spacing w:val="-2"/>
        </w:rPr>
        <w:t>是指由脑外伤、缺氧持续状态、严重的脑炎或者某种神经毒素造成大脑皮</w:t>
      </w:r>
      <w:r>
        <w:rPr>
          <w:spacing w:val="-3"/>
        </w:rPr>
        <w:t>层广泛性损害，而脑干功能相对保留所致的一种丧失生理、意识和交流功能后的临床状态，并且该状态已持续 </w:t>
      </w:r>
      <w:r>
        <w:rPr/>
        <w:t>30</w:t>
      </w:r>
      <w:r>
        <w:rPr>
          <w:spacing w:val="-2"/>
        </w:rPr>
        <w:t> 天以上。患者无法从事主动或者</w:t>
      </w:r>
      <w:r>
        <w:rPr>
          <w:spacing w:val="-10"/>
        </w:rPr>
        <w:t>有目的的活动，但保留了躯体生存的基本功能，如新陈代谢、生长发育等。</w:t>
      </w:r>
    </w:p>
    <w:p>
      <w:pPr>
        <w:spacing w:after="0" w:line="278" w:lineRule="auto"/>
        <w:jc w:val="both"/>
        <w:sectPr>
          <w:type w:val="continuous"/>
          <w:pgSz w:w="11910" w:h="16840"/>
          <w:pgMar w:top="1280" w:bottom="280" w:left="1180" w:right="1080"/>
          <w:cols w:num="2" w:equalWidth="0">
            <w:col w:w="2426" w:space="182"/>
            <w:col w:w="7042"/>
          </w:cols>
        </w:sectPr>
      </w:pPr>
    </w:p>
    <w:p>
      <w:pPr>
        <w:pStyle w:val="BodyText"/>
        <w:spacing w:before="13"/>
        <w:rPr>
          <w:sz w:val="8"/>
        </w:rPr>
      </w:pPr>
    </w:p>
    <w:p>
      <w:pPr>
        <w:pStyle w:val="ListParagraph"/>
        <w:numPr>
          <w:ilvl w:val="2"/>
          <w:numId w:val="7"/>
        </w:numPr>
        <w:tabs>
          <w:tab w:pos="1165" w:val="left" w:leader="none"/>
          <w:tab w:pos="1167" w:val="left" w:leader="none"/>
          <w:tab w:pos="2718" w:val="left" w:leader="none"/>
        </w:tabs>
        <w:spacing w:line="240" w:lineRule="auto" w:before="35" w:after="0"/>
        <w:ind w:left="2718" w:right="0" w:hanging="2608"/>
        <w:jc w:val="left"/>
        <w:rPr>
          <w:sz w:val="21"/>
        </w:rPr>
      </w:pPr>
      <w:r>
        <w:rPr>
          <w:rFonts w:ascii="黑体" w:eastAsia="黑体" w:hint="eastAsia"/>
          <w:sz w:val="21"/>
        </w:rPr>
        <w:t>全身性重症肌</w:t>
        <w:tab/>
      </w:r>
      <w:r>
        <w:rPr>
          <w:sz w:val="21"/>
        </w:rPr>
        <w:t>重症肌无力是一种神经肌肉接头传递障碍所致的疾病</w:t>
      </w:r>
      <w:r>
        <w:rPr>
          <w:spacing w:val="-4"/>
          <w:sz w:val="21"/>
        </w:rPr>
        <w:t>，</w:t>
      </w:r>
      <w:r>
        <w:rPr>
          <w:sz w:val="21"/>
        </w:rPr>
        <w:t>表现为局部或全身</w:t>
      </w:r>
    </w:p>
    <w:p>
      <w:pPr>
        <w:spacing w:after="0" w:line="240" w:lineRule="auto"/>
        <w:jc w:val="left"/>
        <w:rPr>
          <w:sz w:val="21"/>
        </w:rPr>
        <w:sectPr>
          <w:type w:val="continuous"/>
          <w:pgSz w:w="11910" w:h="16840"/>
          <w:pgMar w:top="1280" w:bottom="280" w:left="1180" w:right="1080"/>
        </w:sectPr>
      </w:pPr>
    </w:p>
    <w:p>
      <w:pPr>
        <w:pStyle w:val="BodyText"/>
        <w:tabs>
          <w:tab w:pos="2758" w:val="left" w:leader="none"/>
        </w:tabs>
        <w:spacing w:line="278" w:lineRule="auto" w:before="8"/>
        <w:ind w:left="2758" w:right="148" w:hanging="1553"/>
      </w:pPr>
      <w:r>
        <w:rPr>
          <w:rFonts w:ascii="黑体" w:eastAsia="黑体" w:hint="eastAsia"/>
        </w:rPr>
        <w:t>无力</w:t>
        <w:tab/>
      </w:r>
      <w:r>
        <w:rPr>
          <w:spacing w:val="-1"/>
        </w:rPr>
        <w:t>骨骼肌（特别是眼</w:t>
      </w:r>
      <w:r>
        <w:rPr/>
        <w:t>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78" w:lineRule="auto" w:before="11"/>
        <w:ind w:left="3074" w:right="148" w:hanging="316"/>
      </w:pPr>
      <w:r>
        <w:rPr/>
        <w:t>(2)自主生活能力完全丧失，无法独立完成六项基本日常生活活动中的三项或三项以上。</w:t>
      </w:r>
    </w:p>
    <w:p>
      <w:pPr>
        <w:pStyle w:val="ListParagraph"/>
        <w:numPr>
          <w:ilvl w:val="2"/>
          <w:numId w:val="7"/>
        </w:numPr>
        <w:tabs>
          <w:tab w:pos="1205" w:val="left" w:leader="none"/>
          <w:tab w:pos="1207" w:val="left" w:leader="none"/>
          <w:tab w:pos="2758" w:val="left" w:leader="none"/>
        </w:tabs>
        <w:spacing w:line="240" w:lineRule="auto" w:before="153" w:after="0"/>
        <w:ind w:left="1206" w:right="0" w:hanging="1056"/>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5"/>
        <w:ind w:left="2758" w:right="3177"/>
      </w:pPr>
      <w:r>
        <w:rPr/>
        <w:t>(1)符合坏死性筋膜炎的一般临床表现； (2)细菌培养检出致病菌；</w:t>
      </w:r>
    </w:p>
    <w:p>
      <w:pPr>
        <w:pStyle w:val="BodyText"/>
        <w:spacing w:line="280" w:lineRule="auto" w:before="8"/>
        <w:ind w:left="3074" w:right="148" w:hanging="316"/>
      </w:pPr>
      <w:r>
        <w:rPr/>
        <w:t>(3)出现广泛性肌肉及软组织坏死，并导致身体受影响部位的功能永久不可逆性丧失。</w:t>
      </w:r>
    </w:p>
    <w:p>
      <w:pPr>
        <w:pStyle w:val="BodyText"/>
        <w:spacing w:before="6"/>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58"/>
        <w:gridCol w:w="6873"/>
      </w:tblGrid>
      <w:tr>
        <w:trPr>
          <w:trHeight w:val="1616" w:hRule="atLeast"/>
        </w:trPr>
        <w:tc>
          <w:tcPr>
            <w:tcW w:w="893" w:type="dxa"/>
          </w:tcPr>
          <w:p>
            <w:pPr>
              <w:pStyle w:val="TableParagraph"/>
              <w:spacing w:line="210" w:lineRule="exact"/>
              <w:ind w:left="50"/>
              <w:rPr>
                <w:rFonts w:ascii="黑体"/>
                <w:sz w:val="21"/>
              </w:rPr>
            </w:pPr>
            <w:r>
              <w:rPr>
                <w:rFonts w:ascii="黑体"/>
                <w:sz w:val="21"/>
              </w:rPr>
              <w:t>9.1.31</w:t>
            </w:r>
          </w:p>
        </w:tc>
        <w:tc>
          <w:tcPr>
            <w:tcW w:w="1658" w:type="dxa"/>
          </w:tcPr>
          <w:p>
            <w:pPr>
              <w:pStyle w:val="TableParagraph"/>
              <w:spacing w:line="210" w:lineRule="exact"/>
              <w:ind w:left="213"/>
              <w:rPr>
                <w:rFonts w:ascii="黑体" w:eastAsia="黑体" w:hint="eastAsia"/>
                <w:sz w:val="21"/>
              </w:rPr>
            </w:pPr>
            <w:r>
              <w:rPr>
                <w:rFonts w:ascii="黑体" w:eastAsia="黑体" w:hint="eastAsia"/>
                <w:sz w:val="21"/>
              </w:rPr>
              <w:t>终末期肺病</w:t>
            </w:r>
          </w:p>
        </w:tc>
        <w:tc>
          <w:tcPr>
            <w:tcW w:w="6873" w:type="dxa"/>
          </w:tcPr>
          <w:p>
            <w:pPr>
              <w:pStyle w:val="TableParagraph"/>
              <w:spacing w:line="210" w:lineRule="exact"/>
              <w:ind w:left="107"/>
              <w:rPr>
                <w:sz w:val="21"/>
              </w:rPr>
            </w:pPr>
            <w:r>
              <w:rPr>
                <w:sz w:val="21"/>
              </w:rPr>
              <w:t>指患有终末期肺病而出现慢性呼吸功能衰竭。须满足下列全部条件：</w:t>
            </w:r>
          </w:p>
          <w:p>
            <w:pPr>
              <w:pStyle w:val="TableParagraph"/>
              <w:spacing w:line="278" w:lineRule="auto" w:before="45"/>
              <w:ind w:left="107" w:right="2617"/>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93" w:type="dxa"/>
          </w:tcPr>
          <w:p>
            <w:pPr>
              <w:pStyle w:val="TableParagraph"/>
              <w:spacing w:before="61"/>
              <w:ind w:left="50"/>
              <w:rPr>
                <w:rFonts w:ascii="黑体"/>
                <w:sz w:val="21"/>
              </w:rPr>
            </w:pPr>
            <w:r>
              <w:rPr>
                <w:rFonts w:ascii="黑体"/>
                <w:sz w:val="21"/>
              </w:rPr>
              <w:t>9.1.32</w:t>
            </w:r>
          </w:p>
        </w:tc>
        <w:tc>
          <w:tcPr>
            <w:tcW w:w="1658" w:type="dxa"/>
          </w:tcPr>
          <w:p>
            <w:pPr>
              <w:pStyle w:val="TableParagraph"/>
              <w:spacing w:line="278" w:lineRule="auto" w:before="61"/>
              <w:ind w:left="213" w:right="106"/>
              <w:jc w:val="both"/>
              <w:rPr>
                <w:rFonts w:ascii="黑体" w:eastAsia="黑体" w:hint="eastAsia"/>
                <w:sz w:val="21"/>
              </w:rPr>
            </w:pPr>
            <w:r>
              <w:rPr>
                <w:rFonts w:ascii="黑体" w:eastAsia="黑体" w:hint="eastAsia"/>
                <w:sz w:val="21"/>
              </w:rPr>
              <w:t>经输血导致的人类免疫缺陷</w:t>
            </w:r>
            <w:r>
              <w:rPr>
                <w:rFonts w:ascii="黑体" w:eastAsia="黑体" w:hint="eastAsia"/>
                <w:spacing w:val="-8"/>
                <w:sz w:val="21"/>
              </w:rPr>
              <w:t>病毒</w:t>
            </w:r>
            <w:r>
              <w:rPr>
                <w:rFonts w:ascii="黑体" w:eastAsia="黑体" w:hint="eastAsia"/>
                <w:spacing w:val="-4"/>
                <w:sz w:val="21"/>
              </w:rPr>
              <w:t>（HIV）</w:t>
            </w:r>
            <w:r>
              <w:rPr>
                <w:rFonts w:ascii="黑体" w:eastAsia="黑体" w:hint="eastAsia"/>
                <w:sz w:val="21"/>
              </w:rPr>
              <w:t>感</w:t>
            </w:r>
          </w:p>
          <w:p>
            <w:pPr>
              <w:pStyle w:val="TableParagraph"/>
              <w:spacing w:line="255" w:lineRule="exact" w:before="11"/>
              <w:ind w:left="213"/>
              <w:jc w:val="both"/>
              <w:rPr>
                <w:rFonts w:ascii="黑体" w:eastAsia="黑体" w:hint="eastAsia"/>
                <w:sz w:val="21"/>
              </w:rPr>
            </w:pPr>
            <w:r>
              <w:rPr>
                <w:rFonts w:ascii="黑体" w:eastAsia="黑体" w:hint="eastAsia"/>
                <w:sz w:val="21"/>
              </w:rPr>
              <w:t>染</w:t>
            </w:r>
          </w:p>
        </w:tc>
        <w:tc>
          <w:tcPr>
            <w:tcW w:w="6873" w:type="dxa"/>
          </w:tcPr>
          <w:p>
            <w:pPr>
              <w:pStyle w:val="TableParagraph"/>
              <w:spacing w:before="61"/>
              <w:ind w:left="107"/>
              <w:rPr>
                <w:sz w:val="21"/>
              </w:rPr>
            </w:pPr>
            <w:r>
              <w:rPr>
                <w:sz w:val="21"/>
              </w:rPr>
              <w:t>被保险人感染上人类免疫缺陷病毒（HIV）并且满足下列全部条件：</w:t>
            </w:r>
          </w:p>
          <w:p>
            <w:pPr>
              <w:pStyle w:val="TableParagraph"/>
              <w:spacing w:line="280" w:lineRule="auto" w:before="44"/>
              <w:ind w:left="423" w:right="48" w:hanging="316"/>
              <w:rPr>
                <w:sz w:val="21"/>
              </w:rPr>
            </w:pPr>
            <w:r>
              <w:rPr>
                <w:sz w:val="21"/>
              </w:rPr>
              <w:t>(1)在本附加险合同生效日或最后复效日（以较迟者为准）后因输血而感染 HIV；</w:t>
            </w:r>
          </w:p>
          <w:p>
            <w:pPr>
              <w:pStyle w:val="TableParagraph"/>
              <w:spacing w:line="255" w:lineRule="exact" w:before="9"/>
              <w:ind w:left="107"/>
              <w:rPr>
                <w:sz w:val="21"/>
              </w:rPr>
            </w:pPr>
            <w:r>
              <w:rPr>
                <w:sz w:val="21"/>
              </w:rPr>
              <w:t>(2)提供输血治疗的输血中心或医院出具该项输血感染属医疗责任事故的</w:t>
            </w:r>
          </w:p>
        </w:tc>
      </w:tr>
    </w:tbl>
    <w:p>
      <w:pPr>
        <w:pStyle w:val="BodyText"/>
        <w:spacing w:line="280" w:lineRule="auto" w:before="44"/>
        <w:ind w:left="2758" w:right="2977" w:firstLine="315"/>
      </w:pPr>
      <w:r>
        <w:rPr/>
        <w:t>报告，或者法院终审裁判为医疗责任； (3)受感染的被保险人不是血友病患者。</w:t>
      </w:r>
    </w:p>
    <w:p>
      <w:pPr>
        <w:pStyle w:val="BodyText"/>
        <w:spacing w:line="278" w:lineRule="auto" w:before="9"/>
        <w:ind w:left="2758" w:right="147"/>
      </w:pPr>
      <w:r>
        <w:rPr>
          <w:shd w:fill="D9D9D9" w:color="auto" w:val="clear"/>
        </w:rPr>
        <w:t>在任何治愈艾滋病（AIDS）</w:t>
      </w:r>
      <w:r>
        <w:rPr>
          <w:spacing w:val="-17"/>
          <w:shd w:fill="D9D9D9" w:color="auto" w:val="clear"/>
        </w:rPr>
        <w:t>或阻止 </w:t>
      </w:r>
      <w:r>
        <w:rPr>
          <w:shd w:fill="D9D9D9" w:color="auto" w:val="clear"/>
        </w:rPr>
        <w:t>HIV</w:t>
      </w:r>
      <w:r>
        <w:rPr>
          <w:spacing w:val="-9"/>
          <w:shd w:fill="D9D9D9" w:color="auto" w:val="clear"/>
        </w:rPr>
        <w:t> 病毒作用的疗法被发现以后，或能</w:t>
      </w:r>
      <w:r>
        <w:rPr>
          <w:spacing w:val="-6"/>
          <w:shd w:fill="D9D9D9" w:color="auto" w:val="clear"/>
        </w:rPr>
        <w:t>防止 </w:t>
      </w:r>
      <w:r>
        <w:rPr>
          <w:shd w:fill="D9D9D9" w:color="auto" w:val="clear"/>
        </w:rPr>
        <w:t>AIDS 发生的医疗方法被研究出来以后，本保障将不再予以赔付。任何因其他传播方式（包括但不限于性传播或静脉注射毒品）</w:t>
      </w:r>
      <w:r>
        <w:rPr>
          <w:spacing w:val="-2"/>
          <w:shd w:fill="D9D9D9" w:color="auto" w:val="clear"/>
        </w:rPr>
        <w:t>导致的 </w:t>
      </w:r>
      <w:r>
        <w:rPr>
          <w:shd w:fill="D9D9D9" w:color="auto" w:val="clear"/>
        </w:rPr>
        <w:t>HIV</w:t>
      </w:r>
      <w:r>
        <w:rPr>
          <w:spacing w:val="-105"/>
          <w:shd w:fill="D9D9D9" w:color="auto" w:val="clear"/>
        </w:rPr>
        <w:t>感染不在保障范围内。</w:t>
      </w:r>
    </w:p>
    <w:p>
      <w:pPr>
        <w:pStyle w:val="ListParagraph"/>
        <w:numPr>
          <w:ilvl w:val="2"/>
          <w:numId w:val="8"/>
        </w:numPr>
        <w:tabs>
          <w:tab w:pos="1205" w:val="left" w:leader="none"/>
          <w:tab w:pos="1206" w:val="left" w:leader="none"/>
          <w:tab w:pos="2758" w:val="left" w:leader="none"/>
        </w:tabs>
        <w:spacing w:line="278" w:lineRule="auto" w:before="153" w:after="0"/>
        <w:ind w:left="2758" w:right="144" w:hanging="2609"/>
        <w:jc w:val="left"/>
        <w:rPr>
          <w:sz w:val="21"/>
        </w:rPr>
      </w:pPr>
      <w:r>
        <w:rPr>
          <w:rFonts w:ascii="黑体" w:eastAsia="黑体" w:hint="eastAsia"/>
          <w:sz w:val="21"/>
        </w:rPr>
        <w:t>肌营养不良症</w:t>
        <w:tab/>
      </w:r>
      <w:r>
        <w:rPr>
          <w:sz w:val="21"/>
        </w:rPr>
        <w:t>由专科医师确认的诊断为</w:t>
      </w:r>
      <w:r>
        <w:rPr>
          <w:spacing w:val="-11"/>
          <w:sz w:val="21"/>
        </w:rPr>
        <w:t> </w:t>
      </w:r>
      <w:r>
        <w:rPr>
          <w:sz w:val="21"/>
        </w:rPr>
        <w:t>Duchenne，Becker，或</w:t>
      </w:r>
      <w:r>
        <w:rPr>
          <w:spacing w:val="-11"/>
          <w:sz w:val="21"/>
        </w:rPr>
        <w:t> </w:t>
      </w:r>
      <w:r>
        <w:rPr>
          <w:sz w:val="21"/>
        </w:rPr>
        <w:t>Limb</w:t>
      </w:r>
      <w:r>
        <w:rPr>
          <w:spacing w:val="-11"/>
          <w:sz w:val="21"/>
        </w:rPr>
        <w:t> </w:t>
      </w:r>
      <w:r>
        <w:rPr>
          <w:sz w:val="21"/>
        </w:rPr>
        <w:t>Girdle</w:t>
      </w:r>
      <w:r>
        <w:rPr>
          <w:spacing w:val="-11"/>
          <w:sz w:val="21"/>
        </w:rPr>
        <w:t> </w:t>
      </w:r>
      <w:r>
        <w:rPr>
          <w:sz w:val="21"/>
        </w:rPr>
        <w:t>肌营养不</w:t>
      </w:r>
      <w:r>
        <w:rPr>
          <w:spacing w:val="2"/>
          <w:sz w:val="21"/>
        </w:rPr>
        <w:t>良症（所</w:t>
      </w:r>
      <w:r>
        <w:rPr>
          <w:spacing w:val="1"/>
          <w:sz w:val="21"/>
        </w:rPr>
        <w:t>有</w:t>
      </w:r>
      <w:r>
        <w:rPr>
          <w:spacing w:val="2"/>
          <w:sz w:val="21"/>
        </w:rPr>
        <w:t>其他类型</w:t>
      </w:r>
      <w:r>
        <w:rPr>
          <w:spacing w:val="1"/>
          <w:sz w:val="21"/>
        </w:rPr>
        <w:t>的</w:t>
      </w:r>
      <w:r>
        <w:rPr>
          <w:spacing w:val="2"/>
          <w:sz w:val="21"/>
        </w:rPr>
        <w:t>肌营养不</w:t>
      </w:r>
      <w:r>
        <w:rPr>
          <w:spacing w:val="1"/>
          <w:sz w:val="21"/>
        </w:rPr>
        <w:t>良</w:t>
      </w:r>
      <w:r>
        <w:rPr>
          <w:spacing w:val="2"/>
          <w:sz w:val="21"/>
        </w:rPr>
        <w:t>症均不在</w:t>
      </w:r>
      <w:r>
        <w:rPr>
          <w:spacing w:val="1"/>
          <w:sz w:val="21"/>
        </w:rPr>
        <w:t>保</w:t>
      </w:r>
      <w:r>
        <w:rPr>
          <w:spacing w:val="2"/>
          <w:sz w:val="21"/>
        </w:rPr>
        <w:t>障范围内</w:t>
      </w:r>
      <w:r>
        <w:rPr>
          <w:spacing w:val="-102"/>
          <w:sz w:val="21"/>
        </w:rPr>
        <w:t>）</w:t>
      </w:r>
      <w:r>
        <w:rPr>
          <w:spacing w:val="1"/>
          <w:sz w:val="21"/>
        </w:rPr>
        <w:t>，</w:t>
      </w:r>
      <w:r>
        <w:rPr>
          <w:spacing w:val="2"/>
          <w:sz w:val="21"/>
        </w:rPr>
        <w:t>已进行了</w:t>
      </w:r>
      <w:r>
        <w:rPr>
          <w:spacing w:val="1"/>
          <w:sz w:val="21"/>
        </w:rPr>
        <w:t>至</w:t>
      </w:r>
      <w:r>
        <w:rPr>
          <w:sz w:val="21"/>
        </w:rPr>
        <w:t>少</w:t>
      </w:r>
    </w:p>
    <w:p>
      <w:pPr>
        <w:pStyle w:val="BodyText"/>
        <w:spacing w:before="12"/>
        <w:ind w:left="2758"/>
      </w:pPr>
      <w:r>
        <w:rPr/>
        <w:t>90 天的治疗，并提供肌肉活检和血 CPK 检测证实。</w:t>
      </w:r>
    </w:p>
    <w:p>
      <w:pPr>
        <w:pStyle w:val="BodyText"/>
        <w:spacing w:line="278" w:lineRule="auto" w:before="45"/>
        <w:ind w:left="2758" w:right="147"/>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13"/>
        <w:rPr>
          <w:sz w:val="8"/>
        </w:rPr>
      </w:pPr>
    </w:p>
    <w:p>
      <w:pPr>
        <w:spacing w:after="0"/>
        <w:rPr>
          <w:sz w:val="8"/>
        </w:rPr>
        <w:sectPr>
          <w:pgSz w:w="11910" w:h="16840"/>
          <w:pgMar w:top="1420" w:bottom="280" w:left="1140" w:right="1140"/>
        </w:sectPr>
      </w:pPr>
    </w:p>
    <w:p>
      <w:pPr>
        <w:pStyle w:val="ListParagraph"/>
        <w:numPr>
          <w:ilvl w:val="2"/>
          <w:numId w:val="8"/>
        </w:numPr>
        <w:tabs>
          <w:tab w:pos="1205" w:val="left" w:leader="none"/>
          <w:tab w:pos="1206" w:val="left" w:leader="none"/>
        </w:tabs>
        <w:spacing w:line="280" w:lineRule="auto" w:before="35" w:after="0"/>
        <w:ind w:left="1205" w:right="0" w:hanging="1056"/>
        <w:jc w:val="left"/>
        <w:rPr>
          <w:rFonts w:ascii="黑体" w:eastAsia="黑体" w:hint="eastAsia"/>
          <w:sz w:val="21"/>
        </w:rPr>
      </w:pPr>
      <w:r>
        <w:rPr>
          <w:rFonts w:ascii="黑体" w:eastAsia="黑体" w:hint="eastAsia"/>
          <w:sz w:val="21"/>
        </w:rPr>
        <w:t>严重多发性硬化</w:t>
      </w:r>
    </w:p>
    <w:p>
      <w:pPr>
        <w:pStyle w:val="BodyText"/>
        <w:spacing w:line="278" w:lineRule="auto"/>
        <w:ind w:left="149" w:right="143"/>
      </w:pPr>
      <w:r>
        <w:rPr/>
        <w:br w:type="column"/>
      </w:r>
      <w:r>
        <w:rPr/>
        <w:t>多发性硬化为中枢神经系统白质多灶性脱髓鞘病变，病变有时累及灰质。多发性硬化必须明确诊断并由核磁共振（MRI）等影像学检验证实，而且</w:t>
      </w:r>
      <w:r>
        <w:rPr>
          <w:spacing w:val="-4"/>
        </w:rPr>
        <w:t>已经造成永久的神经系统功能损害，导致被保险人持续 </w:t>
      </w:r>
      <w:r>
        <w:rPr/>
        <w:t>180</w:t>
      </w:r>
      <w:r>
        <w:rPr>
          <w:spacing w:val="-9"/>
        </w:rPr>
        <w:t> 天无法独立完成下列基本日常生活活动之一：                                  (1)移动：自己从一个房间到另一个房间；                         </w:t>
      </w:r>
      <w:r>
        <w:rPr>
          <w:spacing w:val="-1"/>
        </w:rPr>
        <w:t>(2)进食：自己从已准备好的碗或碟中取食物放入口中。</w:t>
      </w:r>
    </w:p>
    <w:p>
      <w:pPr>
        <w:spacing w:after="0" w:line="278" w:lineRule="auto"/>
        <w:sectPr>
          <w:type w:val="continuous"/>
          <w:pgSz w:w="11910" w:h="16840"/>
          <w:pgMar w:top="1280" w:bottom="280" w:left="1140" w:right="1140"/>
          <w:cols w:num="2" w:equalWidth="0">
            <w:col w:w="2466" w:space="142"/>
            <w:col w:w="7022"/>
          </w:cols>
        </w:sectPr>
      </w:pPr>
    </w:p>
    <w:p>
      <w:pPr>
        <w:pStyle w:val="BodyText"/>
        <w:spacing w:before="0"/>
        <w:rPr>
          <w:sz w:val="9"/>
        </w:rPr>
      </w:pPr>
    </w:p>
    <w:p>
      <w:pPr>
        <w:pStyle w:val="ListParagraph"/>
        <w:numPr>
          <w:ilvl w:val="2"/>
          <w:numId w:val="8"/>
        </w:numPr>
        <w:tabs>
          <w:tab w:pos="1206" w:val="left" w:leader="none"/>
        </w:tabs>
        <w:spacing w:line="280" w:lineRule="auto" w:before="35" w:after="0"/>
        <w:ind w:left="2758" w:right="143" w:hanging="2609"/>
        <w:jc w:val="both"/>
        <w:rPr>
          <w:sz w:val="21"/>
        </w:rPr>
      </w:pPr>
      <w:r>
        <w:rPr>
          <w:rFonts w:ascii="黑体" w:eastAsia="黑体" w:hint="eastAsia"/>
          <w:spacing w:val="10"/>
          <w:sz w:val="21"/>
        </w:rPr>
        <w:t>严重克隆病   </w:t>
      </w:r>
      <w:r>
        <w:rPr>
          <w:sz w:val="21"/>
        </w:rPr>
        <w:t>克隆病是一种慢性肉芽肿性肠炎，具有特征性的克隆病病理组织学变化。</w:t>
      </w:r>
      <w:r>
        <w:rPr>
          <w:spacing w:val="-1"/>
          <w:sz w:val="21"/>
        </w:rPr>
        <w:t>诊断必须由病理检查结果证实。被保险人所患的克隆病必须已经造成瘘管形成并伴有肠梗阻或肠穿孔。</w:t>
      </w:r>
    </w:p>
    <w:p>
      <w:pPr>
        <w:spacing w:after="0" w:line="280" w:lineRule="auto"/>
        <w:jc w:val="both"/>
        <w:rPr>
          <w:sz w:val="21"/>
        </w:rPr>
        <w:sectPr>
          <w:type w:val="continuous"/>
          <w:pgSz w:w="11910" w:h="16840"/>
          <w:pgMar w:top="1280" w:bottom="280" w:left="1140" w:right="11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45"/>
        <w:gridCol w:w="6992"/>
      </w:tblGrid>
      <w:tr>
        <w:trPr>
          <w:trHeight w:val="264" w:hRule="atLeast"/>
        </w:trPr>
        <w:tc>
          <w:tcPr>
            <w:tcW w:w="893" w:type="dxa"/>
          </w:tcPr>
          <w:p>
            <w:pPr>
              <w:pStyle w:val="TableParagraph"/>
              <w:spacing w:line="204" w:lineRule="exact"/>
              <w:ind w:left="50"/>
              <w:rPr>
                <w:rFonts w:ascii="黑体"/>
                <w:sz w:val="21"/>
              </w:rPr>
            </w:pPr>
            <w:r>
              <w:rPr>
                <w:rFonts w:ascii="黑体"/>
                <w:sz w:val="21"/>
              </w:rPr>
              <w:t>9.1.36</w:t>
            </w:r>
          </w:p>
        </w:tc>
        <w:tc>
          <w:tcPr>
            <w:tcW w:w="1645" w:type="dxa"/>
          </w:tcPr>
          <w:p>
            <w:pPr>
              <w:pStyle w:val="TableParagraph"/>
              <w:spacing w:line="204" w:lineRule="exact"/>
              <w:ind w:left="213"/>
              <w:rPr>
                <w:rFonts w:ascii="黑体" w:eastAsia="黑体" w:hint="eastAsia"/>
                <w:sz w:val="21"/>
              </w:rPr>
            </w:pPr>
            <w:r>
              <w:rPr>
                <w:rFonts w:ascii="黑体" w:eastAsia="黑体" w:hint="eastAsia"/>
                <w:sz w:val="21"/>
              </w:rPr>
              <w:t>严重哮喘</w:t>
            </w:r>
          </w:p>
        </w:tc>
        <w:tc>
          <w:tcPr>
            <w:tcW w:w="6992" w:type="dxa"/>
          </w:tcPr>
          <w:p>
            <w:pPr>
              <w:pStyle w:val="TableParagraph"/>
              <w:spacing w:line="204" w:lineRule="exact"/>
              <w:ind w:left="120"/>
              <w:rPr>
                <w:sz w:val="21"/>
              </w:rPr>
            </w:pPr>
            <w:r>
              <w:rPr>
                <w:sz w:val="21"/>
              </w:rPr>
              <w:t>被保险人必须在过去两年内曾发生哮喘持续状态，并满足以下标准中的两</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8" w:lineRule="exact"/>
              <w:ind w:left="120"/>
              <w:rPr>
                <w:sz w:val="21"/>
              </w:rPr>
            </w:pPr>
            <w:r>
              <w:rPr>
                <w:sz w:val="21"/>
              </w:rPr>
              <w:t>项或两项以上标准：</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(1)运动耐受力永久并持续地减少并且轻微的运动能引起气促；</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(2)长期胸腔过渡膨胀而导致胸腔畸形；</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8" w:lineRule="exact"/>
              <w:ind w:left="120"/>
              <w:rPr>
                <w:sz w:val="21"/>
              </w:rPr>
            </w:pPr>
            <w:r>
              <w:rPr>
                <w:sz w:val="21"/>
              </w:rPr>
              <w:t>(3)在家及在静息状态下需要吸氧；</w:t>
            </w:r>
          </w:p>
        </w:tc>
      </w:tr>
      <w:tr>
        <w:trPr>
          <w:trHeight w:val="391"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(4)持续的每天服用类固醇药物(至少持续 6 个月以上)。</w:t>
            </w:r>
          </w:p>
        </w:tc>
      </w:tr>
      <w:tr>
        <w:trPr>
          <w:trHeight w:val="391" w:hRule="atLeast"/>
        </w:trPr>
        <w:tc>
          <w:tcPr>
            <w:tcW w:w="893" w:type="dxa"/>
          </w:tcPr>
          <w:p>
            <w:pPr>
              <w:pStyle w:val="TableParagraph"/>
              <w:spacing w:before="54"/>
              <w:ind w:left="50"/>
              <w:rPr>
                <w:rFonts w:ascii="黑体"/>
                <w:sz w:val="21"/>
              </w:rPr>
            </w:pPr>
            <w:r>
              <w:rPr>
                <w:rFonts w:ascii="黑体"/>
                <w:sz w:val="21"/>
              </w:rPr>
              <w:t>9.1.37</w:t>
            </w:r>
          </w:p>
        </w:tc>
        <w:tc>
          <w:tcPr>
            <w:tcW w:w="1645" w:type="dxa"/>
          </w:tcPr>
          <w:p>
            <w:pPr>
              <w:pStyle w:val="TableParagraph"/>
              <w:spacing w:before="54"/>
              <w:ind w:left="213"/>
              <w:rPr>
                <w:rFonts w:ascii="黑体" w:eastAsia="黑体" w:hint="eastAsia"/>
                <w:sz w:val="21"/>
              </w:rPr>
            </w:pPr>
            <w:r>
              <w:rPr>
                <w:rFonts w:ascii="黑体" w:eastAsia="黑体" w:hint="eastAsia"/>
                <w:sz w:val="21"/>
              </w:rPr>
              <w:t>严重心肌炎</w:t>
            </w:r>
          </w:p>
        </w:tc>
        <w:tc>
          <w:tcPr>
            <w:tcW w:w="6992" w:type="dxa"/>
          </w:tcPr>
          <w:p>
            <w:pPr>
              <w:pStyle w:val="TableParagraph"/>
              <w:spacing w:before="54"/>
              <w:ind w:left="120"/>
              <w:rPr>
                <w:sz w:val="21"/>
              </w:rPr>
            </w:pPr>
            <w:r>
              <w:rPr>
                <w:sz w:val="21"/>
              </w:rPr>
              <w:t>指心肌局限性或弥漫性的急性或慢性炎症病变，导致心脏功能障碍，达到</w:t>
            </w:r>
          </w:p>
        </w:tc>
      </w:tr>
      <w:tr>
        <w:trPr>
          <w:trHeight w:val="391"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纽约心脏病学会心功能分级状态分级 IV 级，且持续至少 90 天。</w:t>
            </w:r>
          </w:p>
        </w:tc>
      </w:tr>
      <w:tr>
        <w:trPr>
          <w:trHeight w:val="390" w:hRule="atLeast"/>
        </w:trPr>
        <w:tc>
          <w:tcPr>
            <w:tcW w:w="893" w:type="dxa"/>
          </w:tcPr>
          <w:p>
            <w:pPr>
              <w:pStyle w:val="TableParagraph"/>
              <w:spacing w:before="54"/>
              <w:ind w:left="50"/>
              <w:rPr>
                <w:rFonts w:ascii="黑体"/>
                <w:sz w:val="21"/>
              </w:rPr>
            </w:pPr>
            <w:r>
              <w:rPr>
                <w:rFonts w:ascii="黑体"/>
                <w:sz w:val="21"/>
              </w:rPr>
              <w:t>9.1.38</w:t>
            </w:r>
          </w:p>
        </w:tc>
        <w:tc>
          <w:tcPr>
            <w:tcW w:w="1645" w:type="dxa"/>
          </w:tcPr>
          <w:p>
            <w:pPr>
              <w:pStyle w:val="TableParagraph"/>
              <w:spacing w:before="54"/>
              <w:ind w:left="213"/>
              <w:rPr>
                <w:rFonts w:ascii="黑体" w:eastAsia="黑体" w:hint="eastAsia"/>
                <w:sz w:val="21"/>
              </w:rPr>
            </w:pPr>
            <w:r>
              <w:rPr>
                <w:rFonts w:ascii="黑体" w:eastAsia="黑体" w:hint="eastAsia"/>
                <w:sz w:val="21"/>
              </w:rPr>
              <w:t>严重溃疡性结</w:t>
            </w:r>
          </w:p>
        </w:tc>
        <w:tc>
          <w:tcPr>
            <w:tcW w:w="6992" w:type="dxa"/>
          </w:tcPr>
          <w:p>
            <w:pPr>
              <w:pStyle w:val="TableParagraph"/>
              <w:spacing w:before="54"/>
              <w:ind w:left="120"/>
              <w:rPr>
                <w:sz w:val="21"/>
              </w:rPr>
            </w:pPr>
            <w:r>
              <w:rPr>
                <w:sz w:val="21"/>
              </w:rPr>
              <w:t>指伴有致命性电解质紊乱的急性暴发性溃疡性结肠炎，病变累及全结肠，</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8" w:lineRule="exact"/>
              <w:ind w:left="213"/>
              <w:rPr>
                <w:rFonts w:ascii="黑体" w:eastAsia="黑体" w:hint="eastAsia"/>
                <w:sz w:val="21"/>
              </w:rPr>
            </w:pPr>
            <w:r>
              <w:rPr>
                <w:rFonts w:ascii="黑体" w:eastAsia="黑体" w:hint="eastAsia"/>
                <w:sz w:val="21"/>
              </w:rPr>
              <w:t>肠炎</w:t>
            </w:r>
          </w:p>
        </w:tc>
        <w:tc>
          <w:tcPr>
            <w:tcW w:w="6992" w:type="dxa"/>
          </w:tcPr>
          <w:p>
            <w:pPr>
              <w:pStyle w:val="TableParagraph"/>
              <w:spacing w:line="258" w:lineRule="exact"/>
              <w:ind w:left="120"/>
              <w:rPr>
                <w:sz w:val="21"/>
              </w:rPr>
            </w:pPr>
            <w:r>
              <w:rPr>
                <w:sz w:val="21"/>
              </w:rPr>
              <w:t>表现为严重的血便和系统性症状体征，治疗通常采取全结肠切除和回肠造</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瘘术。溃疡性结肠炎必须根据组织病理学特点诊断，并且被保险人已经接</w:t>
            </w:r>
          </w:p>
        </w:tc>
      </w:tr>
      <w:tr>
        <w:trPr>
          <w:trHeight w:val="391"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受了结肠切除和回肠造瘘术。</w:t>
            </w:r>
          </w:p>
        </w:tc>
      </w:tr>
      <w:tr>
        <w:trPr>
          <w:trHeight w:val="390" w:hRule="atLeast"/>
        </w:trPr>
        <w:tc>
          <w:tcPr>
            <w:tcW w:w="893" w:type="dxa"/>
          </w:tcPr>
          <w:p>
            <w:pPr>
              <w:pStyle w:val="TableParagraph"/>
              <w:spacing w:before="54"/>
              <w:ind w:left="50"/>
              <w:rPr>
                <w:rFonts w:ascii="黑体"/>
                <w:sz w:val="21"/>
              </w:rPr>
            </w:pPr>
            <w:r>
              <w:rPr>
                <w:rFonts w:ascii="黑体"/>
                <w:sz w:val="21"/>
              </w:rPr>
              <w:t>9.1.39</w:t>
            </w:r>
          </w:p>
        </w:tc>
        <w:tc>
          <w:tcPr>
            <w:tcW w:w="1645" w:type="dxa"/>
          </w:tcPr>
          <w:p>
            <w:pPr>
              <w:pStyle w:val="TableParagraph"/>
              <w:spacing w:before="54"/>
              <w:ind w:left="213"/>
              <w:rPr>
                <w:rFonts w:ascii="黑体" w:eastAsia="黑体" w:hint="eastAsia"/>
                <w:sz w:val="21"/>
              </w:rPr>
            </w:pPr>
            <w:r>
              <w:rPr>
                <w:rFonts w:ascii="黑体" w:eastAsia="黑体" w:hint="eastAsia"/>
                <w:sz w:val="21"/>
              </w:rPr>
              <w:t>原发性硬化性</w:t>
            </w:r>
          </w:p>
        </w:tc>
        <w:tc>
          <w:tcPr>
            <w:tcW w:w="6992" w:type="dxa"/>
          </w:tcPr>
          <w:p>
            <w:pPr>
              <w:pStyle w:val="TableParagraph"/>
              <w:spacing w:before="54"/>
              <w:ind w:left="120"/>
              <w:rPr>
                <w:sz w:val="21"/>
              </w:rPr>
            </w:pPr>
            <w:r>
              <w:rPr>
                <w:sz w:val="21"/>
              </w:rPr>
              <w:t>指一种胆汁淤积综合征，其特征是肝内、肝外胆道因纤维化性炎症逐渐狭</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8" w:lineRule="exact"/>
              <w:ind w:left="213"/>
              <w:rPr>
                <w:rFonts w:ascii="黑体" w:eastAsia="黑体" w:hint="eastAsia"/>
                <w:sz w:val="21"/>
              </w:rPr>
            </w:pPr>
            <w:r>
              <w:rPr>
                <w:rFonts w:ascii="黑体" w:eastAsia="黑体" w:hint="eastAsia"/>
                <w:sz w:val="21"/>
              </w:rPr>
              <w:t>胆管炎</w:t>
            </w:r>
          </w:p>
        </w:tc>
        <w:tc>
          <w:tcPr>
            <w:tcW w:w="6992" w:type="dxa"/>
          </w:tcPr>
          <w:p>
            <w:pPr>
              <w:pStyle w:val="TableParagraph"/>
              <w:spacing w:line="258" w:lineRule="exact"/>
              <w:ind w:left="120"/>
              <w:rPr>
                <w:sz w:val="21"/>
              </w:rPr>
            </w:pPr>
            <w:r>
              <w:rPr>
                <w:sz w:val="21"/>
              </w:rPr>
              <w:t>窄，并最终导致完全阻塞而发展为肝硬化。本病须经内镜逆行胰胆管造影</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等影像学检查证实，并须满足下列全部条件：</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(1)总胆红素和直接胆红素同时升高，血清 ALP&gt;200U/L；</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8" w:lineRule="exact"/>
              <w:ind w:left="120"/>
              <w:rPr>
                <w:sz w:val="21"/>
              </w:rPr>
            </w:pPr>
            <w:r>
              <w:rPr>
                <w:sz w:val="21"/>
              </w:rPr>
              <w:t>(2)持续性黄疸病史；</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(3)出现胆汁性肝硬化或门脉高压。</w:t>
            </w:r>
          </w:p>
        </w:tc>
      </w:tr>
      <w:tr>
        <w:trPr>
          <w:trHeight w:val="391"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shd w:fill="D9D9D9" w:color="auto" w:val="clear"/>
              </w:rPr>
              <w:t>因肿瘤或胆管损伤等继发性的硬化性胆管炎不在保障范围内。</w:t>
            </w:r>
          </w:p>
        </w:tc>
      </w:tr>
      <w:tr>
        <w:trPr>
          <w:trHeight w:val="390" w:hRule="atLeast"/>
        </w:trPr>
        <w:tc>
          <w:tcPr>
            <w:tcW w:w="893" w:type="dxa"/>
          </w:tcPr>
          <w:p>
            <w:pPr>
              <w:pStyle w:val="TableParagraph"/>
              <w:spacing w:before="54"/>
              <w:ind w:left="50"/>
              <w:rPr>
                <w:rFonts w:ascii="黑体"/>
                <w:sz w:val="21"/>
              </w:rPr>
            </w:pPr>
            <w:r>
              <w:rPr>
                <w:rFonts w:ascii="黑体"/>
                <w:sz w:val="21"/>
              </w:rPr>
              <w:t>9.1.40</w:t>
            </w:r>
          </w:p>
        </w:tc>
        <w:tc>
          <w:tcPr>
            <w:tcW w:w="1645" w:type="dxa"/>
          </w:tcPr>
          <w:p>
            <w:pPr>
              <w:pStyle w:val="TableParagraph"/>
              <w:spacing w:before="54"/>
              <w:ind w:left="213"/>
              <w:rPr>
                <w:rFonts w:ascii="黑体" w:eastAsia="黑体" w:hint="eastAsia"/>
                <w:sz w:val="21"/>
              </w:rPr>
            </w:pPr>
            <w:r>
              <w:rPr>
                <w:rFonts w:ascii="黑体" w:eastAsia="黑体" w:hint="eastAsia"/>
                <w:sz w:val="21"/>
              </w:rPr>
              <w:t>急性坏死性胰</w:t>
            </w:r>
          </w:p>
        </w:tc>
        <w:tc>
          <w:tcPr>
            <w:tcW w:w="6992" w:type="dxa"/>
          </w:tcPr>
          <w:p>
            <w:pPr>
              <w:pStyle w:val="TableParagraph"/>
              <w:spacing w:before="54"/>
              <w:ind w:left="120"/>
              <w:rPr>
                <w:sz w:val="21"/>
              </w:rPr>
            </w:pPr>
            <w:r>
              <w:rPr>
                <w:sz w:val="21"/>
              </w:rPr>
              <w:t>指胰酶在胰腺内激活后引起胰腺组织自身消化的急性化学性炎症。本病须</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8" w:lineRule="exact"/>
              <w:ind w:left="213"/>
              <w:rPr>
                <w:rFonts w:ascii="黑体" w:eastAsia="黑体" w:hint="eastAsia"/>
                <w:sz w:val="21"/>
              </w:rPr>
            </w:pPr>
            <w:r>
              <w:rPr>
                <w:rFonts w:ascii="黑体" w:eastAsia="黑体" w:hint="eastAsia"/>
                <w:sz w:val="21"/>
              </w:rPr>
              <w:t>腺炎</w:t>
            </w:r>
          </w:p>
        </w:tc>
        <w:tc>
          <w:tcPr>
            <w:tcW w:w="6992" w:type="dxa"/>
          </w:tcPr>
          <w:p>
            <w:pPr>
              <w:pStyle w:val="TableParagraph"/>
              <w:spacing w:line="258" w:lineRule="exact"/>
              <w:ind w:left="120"/>
              <w:rPr>
                <w:sz w:val="21"/>
              </w:rPr>
            </w:pPr>
            <w:r>
              <w:rPr>
                <w:sz w:val="21"/>
              </w:rPr>
              <w:t>经专科医生明确诊断，并已经实际实施了坏死组织清除、病灶切除或胰腺</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部分切除的手术治疗。</w:t>
            </w:r>
          </w:p>
        </w:tc>
      </w:tr>
      <w:tr>
        <w:trPr>
          <w:trHeight w:val="391"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shd w:fill="D9D9D9" w:color="auto" w:val="clear"/>
              </w:rPr>
              <w:t>因酒精作用所致的急性胰腺炎不在保障范围内。</w:t>
            </w:r>
          </w:p>
        </w:tc>
      </w:tr>
      <w:tr>
        <w:trPr>
          <w:trHeight w:val="390" w:hRule="atLeast"/>
        </w:trPr>
        <w:tc>
          <w:tcPr>
            <w:tcW w:w="893" w:type="dxa"/>
          </w:tcPr>
          <w:p>
            <w:pPr>
              <w:pStyle w:val="TableParagraph"/>
              <w:spacing w:before="54"/>
              <w:ind w:left="50"/>
              <w:rPr>
                <w:rFonts w:ascii="黑体"/>
                <w:sz w:val="21"/>
              </w:rPr>
            </w:pPr>
            <w:r>
              <w:rPr>
                <w:rFonts w:ascii="黑体"/>
                <w:sz w:val="21"/>
              </w:rPr>
              <w:t>9.1.41</w:t>
            </w:r>
          </w:p>
        </w:tc>
        <w:tc>
          <w:tcPr>
            <w:tcW w:w="1645" w:type="dxa"/>
          </w:tcPr>
          <w:p>
            <w:pPr>
              <w:pStyle w:val="TableParagraph"/>
              <w:spacing w:before="54"/>
              <w:ind w:left="213"/>
              <w:rPr>
                <w:rFonts w:ascii="黑体" w:hAnsi="黑体" w:eastAsia="黑体" w:hint="eastAsia"/>
                <w:sz w:val="21"/>
              </w:rPr>
            </w:pPr>
            <w:r>
              <w:rPr>
                <w:rFonts w:ascii="黑体" w:hAnsi="黑体" w:eastAsia="黑体" w:hint="eastAsia"/>
                <w:sz w:val="21"/>
              </w:rPr>
              <w:t>Ⅲ度房室传导</w:t>
            </w:r>
          </w:p>
        </w:tc>
        <w:tc>
          <w:tcPr>
            <w:tcW w:w="6992" w:type="dxa"/>
          </w:tcPr>
          <w:p>
            <w:pPr>
              <w:pStyle w:val="TableParagraph"/>
              <w:spacing w:before="54"/>
              <w:ind w:left="120"/>
              <w:rPr>
                <w:sz w:val="21"/>
              </w:rPr>
            </w:pPr>
            <w:r>
              <w:rPr>
                <w:sz w:val="21"/>
              </w:rPr>
              <w:t>指心房激动在房室交界区、房室束及其分支内发生阻滞，不能正常地传到</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8" w:lineRule="exact"/>
              <w:ind w:left="213"/>
              <w:rPr>
                <w:rFonts w:ascii="黑体" w:eastAsia="黑体" w:hint="eastAsia"/>
                <w:sz w:val="21"/>
              </w:rPr>
            </w:pPr>
            <w:r>
              <w:rPr>
                <w:rFonts w:ascii="黑体" w:eastAsia="黑体" w:hint="eastAsia"/>
                <w:sz w:val="21"/>
              </w:rPr>
              <w:t>阻滞</w:t>
            </w:r>
          </w:p>
        </w:tc>
        <w:tc>
          <w:tcPr>
            <w:tcW w:w="6992" w:type="dxa"/>
          </w:tcPr>
          <w:p>
            <w:pPr>
              <w:pStyle w:val="TableParagraph"/>
              <w:spacing w:line="258" w:lineRule="exact"/>
              <w:ind w:left="120"/>
              <w:rPr>
                <w:sz w:val="21"/>
              </w:rPr>
            </w:pPr>
            <w:r>
              <w:rPr>
                <w:sz w:val="21"/>
              </w:rPr>
              <w:t>心室的心脏传导性疾病，须满足下列所有条件：</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(1)心电图显示房室搏动彼此独立，心室率&lt;50 次/分钟；</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(2)出现阿-斯综合征或心力衰竭的表现；</w:t>
            </w:r>
          </w:p>
        </w:tc>
      </w:tr>
      <w:tr>
        <w:trPr>
          <w:trHeight w:val="71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8" w:lineRule="exact"/>
              <w:ind w:left="120"/>
              <w:rPr>
                <w:sz w:val="21"/>
              </w:rPr>
            </w:pPr>
            <w:r>
              <w:rPr>
                <w:sz w:val="21"/>
              </w:rPr>
              <w:t>(3)必须持续性依赖心脏起搏器维持心脏正常功能，且已经放置心脏起搏</w:t>
            </w:r>
          </w:p>
          <w:p>
            <w:pPr>
              <w:pStyle w:val="TableParagraph"/>
              <w:spacing w:before="45"/>
              <w:ind w:left="436"/>
              <w:rPr>
                <w:sz w:val="21"/>
              </w:rPr>
            </w:pPr>
            <w:r>
              <w:rPr>
                <w:sz w:val="21"/>
              </w:rPr>
              <w:t>器。</w:t>
            </w:r>
          </w:p>
        </w:tc>
      </w:tr>
      <w:tr>
        <w:trPr>
          <w:trHeight w:val="391" w:hRule="atLeast"/>
        </w:trPr>
        <w:tc>
          <w:tcPr>
            <w:tcW w:w="893" w:type="dxa"/>
          </w:tcPr>
          <w:p>
            <w:pPr>
              <w:pStyle w:val="TableParagraph"/>
              <w:spacing w:before="54"/>
              <w:ind w:left="50"/>
              <w:rPr>
                <w:rFonts w:ascii="黑体"/>
                <w:sz w:val="21"/>
              </w:rPr>
            </w:pPr>
            <w:r>
              <w:rPr>
                <w:rFonts w:ascii="黑体"/>
                <w:sz w:val="21"/>
              </w:rPr>
              <w:t>9.1.42</w:t>
            </w:r>
          </w:p>
        </w:tc>
        <w:tc>
          <w:tcPr>
            <w:tcW w:w="1645" w:type="dxa"/>
          </w:tcPr>
          <w:p>
            <w:pPr>
              <w:pStyle w:val="TableParagraph"/>
              <w:spacing w:before="54"/>
              <w:ind w:left="213"/>
              <w:rPr>
                <w:rFonts w:ascii="黑体" w:eastAsia="黑体" w:hint="eastAsia"/>
                <w:sz w:val="21"/>
              </w:rPr>
            </w:pPr>
            <w:r>
              <w:rPr>
                <w:rFonts w:ascii="黑体" w:eastAsia="黑体" w:hint="eastAsia"/>
                <w:sz w:val="21"/>
              </w:rPr>
              <w:t>肝豆状核变性</w:t>
            </w:r>
          </w:p>
        </w:tc>
        <w:tc>
          <w:tcPr>
            <w:tcW w:w="6992" w:type="dxa"/>
          </w:tcPr>
          <w:p>
            <w:pPr>
              <w:pStyle w:val="TableParagraph"/>
              <w:spacing w:before="54"/>
              <w:ind w:left="120"/>
              <w:rPr>
                <w:sz w:val="21"/>
              </w:rPr>
            </w:pPr>
            <w:r>
              <w:rPr>
                <w:sz w:val="21"/>
              </w:rPr>
              <w:t>指一种常染色体隐性遗传的铜代谢缺陷病，以不同程度的肝细胞损害、脑</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9" w:lineRule="exact"/>
              <w:ind w:left="213"/>
              <w:rPr>
                <w:rFonts w:ascii="黑体" w:eastAsia="黑体" w:hint="eastAsia"/>
                <w:sz w:val="21"/>
              </w:rPr>
            </w:pPr>
            <w:r>
              <w:rPr>
                <w:rFonts w:ascii="黑体" w:eastAsia="黑体" w:hint="eastAsia"/>
                <w:sz w:val="21"/>
              </w:rPr>
              <w:t>（或称 Wilson</w:t>
            </w:r>
          </w:p>
        </w:tc>
        <w:tc>
          <w:tcPr>
            <w:tcW w:w="6992" w:type="dxa"/>
          </w:tcPr>
          <w:p>
            <w:pPr>
              <w:pStyle w:val="TableParagraph"/>
              <w:spacing w:line="259" w:lineRule="exact"/>
              <w:ind w:left="120"/>
              <w:rPr>
                <w:sz w:val="21"/>
              </w:rPr>
            </w:pPr>
            <w:r>
              <w:rPr>
                <w:sz w:val="21"/>
              </w:rPr>
              <w:t>退行性病变和角膜边缘有铜盐沉着环为其临床特征，并须满足下列全部条</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8" w:lineRule="exact"/>
              <w:ind w:left="213"/>
              <w:rPr>
                <w:rFonts w:ascii="黑体" w:eastAsia="黑体" w:hint="eastAsia"/>
                <w:sz w:val="21"/>
              </w:rPr>
            </w:pPr>
            <w:r>
              <w:rPr>
                <w:rFonts w:ascii="黑体" w:eastAsia="黑体" w:hint="eastAsia"/>
                <w:sz w:val="21"/>
              </w:rPr>
              <w:t>病）</w:t>
            </w:r>
          </w:p>
        </w:tc>
        <w:tc>
          <w:tcPr>
            <w:tcW w:w="6992" w:type="dxa"/>
          </w:tcPr>
          <w:p>
            <w:pPr>
              <w:pStyle w:val="TableParagraph"/>
              <w:spacing w:line="258" w:lineRule="exact"/>
              <w:ind w:left="120"/>
              <w:rPr>
                <w:sz w:val="21"/>
              </w:rPr>
            </w:pPr>
            <w:r>
              <w:rPr>
                <w:sz w:val="21"/>
              </w:rPr>
              <w:t>件：</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(1)典型症状；</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pacing w:val="-1"/>
                <w:sz w:val="21"/>
              </w:rPr>
              <w:t>(2)角膜色素环（K-</w:t>
            </w:r>
            <w:r>
              <w:rPr>
                <w:sz w:val="21"/>
              </w:rPr>
              <w:t>F</w:t>
            </w:r>
            <w:r>
              <w:rPr>
                <w:spacing w:val="-27"/>
                <w:sz w:val="21"/>
              </w:rPr>
              <w:t> 环</w:t>
            </w:r>
            <w:r>
              <w:rPr>
                <w:spacing w:val="-105"/>
                <w:sz w:val="21"/>
              </w:rPr>
              <w:t>）</w:t>
            </w:r>
            <w:r>
              <w:rPr>
                <w:sz w:val="21"/>
              </w:rPr>
              <w:t>；</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8" w:lineRule="exact"/>
              <w:ind w:left="120"/>
              <w:rPr>
                <w:sz w:val="21"/>
              </w:rPr>
            </w:pPr>
            <w:r>
              <w:rPr>
                <w:sz w:val="21"/>
              </w:rPr>
              <w:t>(3)血清铜和血清铜蓝蛋白降低，尿铜增加；</w:t>
            </w:r>
          </w:p>
        </w:tc>
      </w:tr>
      <w:tr>
        <w:trPr>
          <w:trHeight w:val="391"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(4)经皮做肝脏活检来定量分析肝脏铜的含量。</w:t>
            </w:r>
          </w:p>
        </w:tc>
      </w:tr>
      <w:tr>
        <w:trPr>
          <w:trHeight w:val="391" w:hRule="atLeast"/>
        </w:trPr>
        <w:tc>
          <w:tcPr>
            <w:tcW w:w="893" w:type="dxa"/>
          </w:tcPr>
          <w:p>
            <w:pPr>
              <w:pStyle w:val="TableParagraph"/>
              <w:spacing w:before="54"/>
              <w:ind w:left="50"/>
              <w:rPr>
                <w:rFonts w:ascii="黑体"/>
                <w:sz w:val="21"/>
              </w:rPr>
            </w:pPr>
            <w:r>
              <w:rPr>
                <w:rFonts w:ascii="黑体"/>
                <w:sz w:val="21"/>
              </w:rPr>
              <w:t>9.2</w:t>
            </w:r>
          </w:p>
        </w:tc>
        <w:tc>
          <w:tcPr>
            <w:tcW w:w="1645" w:type="dxa"/>
          </w:tcPr>
          <w:p>
            <w:pPr>
              <w:pStyle w:val="TableParagraph"/>
              <w:spacing w:before="54"/>
              <w:ind w:left="213"/>
              <w:rPr>
                <w:rFonts w:ascii="黑体" w:eastAsia="黑体" w:hint="eastAsia"/>
                <w:sz w:val="21"/>
              </w:rPr>
            </w:pPr>
            <w:r>
              <w:rPr>
                <w:rFonts w:ascii="黑体" w:eastAsia="黑体" w:hint="eastAsia"/>
                <w:sz w:val="21"/>
              </w:rPr>
              <w:t>定义来源及确</w:t>
            </w:r>
          </w:p>
        </w:tc>
        <w:tc>
          <w:tcPr>
            <w:tcW w:w="6992" w:type="dxa"/>
          </w:tcPr>
          <w:p>
            <w:pPr>
              <w:pStyle w:val="TableParagraph"/>
              <w:spacing w:before="54"/>
              <w:ind w:left="120"/>
              <w:rPr>
                <w:sz w:val="21"/>
              </w:rPr>
            </w:pPr>
            <w:r>
              <w:rPr>
                <w:sz w:val="21"/>
              </w:rPr>
              <w:t>以上“9.1.1 恶性肿瘤”至“9.1.25 主动脉手术”所列重大疾病定义根据</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9" w:lineRule="exact"/>
              <w:ind w:left="213"/>
              <w:rPr>
                <w:rFonts w:ascii="黑体" w:eastAsia="黑体" w:hint="eastAsia"/>
                <w:sz w:val="21"/>
              </w:rPr>
            </w:pPr>
            <w:r>
              <w:rPr>
                <w:rFonts w:ascii="黑体" w:eastAsia="黑体" w:hint="eastAsia"/>
                <w:sz w:val="21"/>
              </w:rPr>
              <w:t>诊医院范围</w:t>
            </w:r>
          </w:p>
        </w:tc>
        <w:tc>
          <w:tcPr>
            <w:tcW w:w="6992" w:type="dxa"/>
          </w:tcPr>
          <w:p>
            <w:pPr>
              <w:pStyle w:val="TableParagraph"/>
              <w:spacing w:line="259" w:lineRule="exact"/>
              <w:ind w:left="120"/>
              <w:rPr>
                <w:sz w:val="21"/>
              </w:rPr>
            </w:pPr>
            <w:r>
              <w:rPr>
                <w:sz w:val="21"/>
              </w:rPr>
              <w:t>中国保险行业协会 2007 年公布的《重大疾病保险的疾病定义使用规范》</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8" w:lineRule="exact"/>
              <w:ind w:left="120"/>
              <w:rPr>
                <w:sz w:val="21"/>
              </w:rPr>
            </w:pPr>
            <w:r>
              <w:rPr>
                <w:spacing w:val="-12"/>
                <w:sz w:val="21"/>
              </w:rPr>
              <w:t>作出，其他重大疾病由我们增加，其定义由我们根据通行的医学标准制定。</w:t>
            </w:r>
          </w:p>
        </w:tc>
      </w:tr>
      <w:tr>
        <w:trPr>
          <w:trHeight w:val="265" w:hRule="atLeast"/>
        </w:trPr>
        <w:tc>
          <w:tcPr>
            <w:tcW w:w="893" w:type="dxa"/>
          </w:tcPr>
          <w:p>
            <w:pPr>
              <w:pStyle w:val="TableParagraph"/>
              <w:rPr>
                <w:rFonts w:ascii="Times New Roman"/>
                <w:sz w:val="18"/>
              </w:rPr>
            </w:pPr>
          </w:p>
        </w:tc>
        <w:tc>
          <w:tcPr>
            <w:tcW w:w="1645" w:type="dxa"/>
          </w:tcPr>
          <w:p>
            <w:pPr>
              <w:pStyle w:val="TableParagraph"/>
              <w:rPr>
                <w:rFonts w:ascii="Times New Roman"/>
                <w:sz w:val="18"/>
              </w:rPr>
            </w:pPr>
          </w:p>
        </w:tc>
        <w:tc>
          <w:tcPr>
            <w:tcW w:w="6992" w:type="dxa"/>
          </w:tcPr>
          <w:p>
            <w:pPr>
              <w:pStyle w:val="TableParagraph"/>
              <w:spacing w:line="245" w:lineRule="exact"/>
              <w:ind w:left="120"/>
              <w:rPr>
                <w:sz w:val="21"/>
              </w:rPr>
            </w:pPr>
            <w:r>
              <w:rPr>
                <w:sz w:val="21"/>
              </w:rPr>
              <w:t>以上重大疾病，</w:t>
            </w:r>
            <w:r>
              <w:rPr>
                <w:sz w:val="21"/>
                <w:shd w:fill="D9D9D9" w:color="auto" w:val="clear"/>
              </w:rPr>
              <w:t>除原发性心肌病须在卫生行政部门认定的三级以上（含三</w:t>
            </w:r>
          </w:p>
        </w:tc>
      </w:tr>
    </w:tbl>
    <w:p>
      <w:pPr>
        <w:spacing w:after="0" w:line="245" w:lineRule="exact"/>
        <w:rPr>
          <w:sz w:val="21"/>
        </w:rPr>
        <w:sectPr>
          <w:pgSz w:w="11910" w:h="16840"/>
          <w:pgMar w:top="1500" w:bottom="280" w:left="1120" w:right="10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1727"/>
        <w:gridCol w:w="6864"/>
      </w:tblGrid>
      <w:tr>
        <w:trPr>
          <w:trHeight w:val="706"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04" w:lineRule="exact"/>
              <w:ind w:left="38"/>
              <w:rPr>
                <w:sz w:val="21"/>
              </w:rPr>
            </w:pPr>
            <w:r>
              <w:rPr>
                <w:sz w:val="21"/>
                <w:shd w:fill="D9D9D9" w:color="auto" w:val="clear"/>
              </w:rPr>
              <w:t>级</w:t>
            </w:r>
            <w:r>
              <w:rPr>
                <w:spacing w:val="-36"/>
                <w:sz w:val="21"/>
                <w:shd w:fill="D9D9D9" w:color="auto" w:val="clear"/>
              </w:rPr>
              <w:t>）</w:t>
            </w:r>
            <w:r>
              <w:rPr>
                <w:spacing w:val="-6"/>
                <w:sz w:val="21"/>
                <w:shd w:fill="D9D9D9" w:color="auto" w:val="clear"/>
              </w:rPr>
              <w:t>医院确诊外，</w:t>
            </w:r>
            <w:r>
              <w:rPr>
                <w:spacing w:val="-2"/>
                <w:sz w:val="21"/>
              </w:rPr>
              <w:t>其他疾病均须在卫生行政部门认定的二级以上</w:t>
            </w:r>
            <w:r>
              <w:rPr>
                <w:sz w:val="21"/>
              </w:rPr>
              <w:t>（含二级）</w:t>
            </w:r>
          </w:p>
          <w:p>
            <w:pPr>
              <w:pStyle w:val="TableParagraph"/>
              <w:spacing w:before="44"/>
              <w:ind w:left="38"/>
              <w:rPr>
                <w:sz w:val="21"/>
              </w:rPr>
            </w:pPr>
            <w:r>
              <w:rPr>
                <w:sz w:val="21"/>
              </w:rPr>
              <w:t>医院确诊。</w:t>
            </w:r>
          </w:p>
        </w:tc>
      </w:tr>
      <w:tr>
        <w:trPr>
          <w:trHeight w:val="311" w:hRule="atLeast"/>
        </w:trPr>
        <w:tc>
          <w:tcPr>
            <w:tcW w:w="951"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10．</w:t>
            </w:r>
          </w:p>
        </w:tc>
        <w:tc>
          <w:tcPr>
            <w:tcW w:w="1727" w:type="dxa"/>
            <w:shd w:val="clear" w:color="auto" w:fill="D3D3D3"/>
          </w:tcPr>
          <w:p>
            <w:pPr>
              <w:pStyle w:val="TableParagraph"/>
              <w:spacing w:before="4"/>
              <w:ind w:left="212"/>
              <w:rPr>
                <w:rFonts w:ascii="黑体" w:eastAsia="黑体" w:hint="eastAsia"/>
                <w:b/>
                <w:sz w:val="21"/>
              </w:rPr>
            </w:pPr>
            <w:r>
              <w:rPr>
                <w:rFonts w:ascii="黑体" w:eastAsia="黑体" w:hint="eastAsia"/>
                <w:b/>
                <w:w w:val="95"/>
                <w:sz w:val="21"/>
              </w:rPr>
              <w:t>特定疾病的定义</w:t>
            </w:r>
          </w:p>
        </w:tc>
        <w:tc>
          <w:tcPr>
            <w:tcW w:w="6864" w:type="dxa"/>
            <w:shd w:val="clear" w:color="auto" w:fill="D3D3D3"/>
          </w:tcPr>
          <w:p>
            <w:pPr>
              <w:pStyle w:val="TableParagraph"/>
              <w:rPr>
                <w:rFonts w:ascii="Times New Roman"/>
                <w:sz w:val="20"/>
              </w:rPr>
            </w:pPr>
          </w:p>
        </w:tc>
      </w:tr>
      <w:tr>
        <w:trPr>
          <w:trHeight w:val="482" w:hRule="atLeast"/>
        </w:trPr>
        <w:tc>
          <w:tcPr>
            <w:tcW w:w="951" w:type="dxa"/>
          </w:tcPr>
          <w:p>
            <w:pPr>
              <w:pStyle w:val="TableParagraph"/>
              <w:spacing w:before="146"/>
              <w:ind w:left="107"/>
              <w:rPr>
                <w:rFonts w:ascii="黑体"/>
                <w:sz w:val="21"/>
              </w:rPr>
            </w:pPr>
            <w:r>
              <w:rPr>
                <w:rFonts w:ascii="黑体"/>
                <w:sz w:val="21"/>
              </w:rPr>
              <w:t>10.1</w:t>
            </w:r>
          </w:p>
        </w:tc>
        <w:tc>
          <w:tcPr>
            <w:tcW w:w="1727" w:type="dxa"/>
          </w:tcPr>
          <w:p>
            <w:pPr>
              <w:pStyle w:val="TableParagraph"/>
              <w:spacing w:before="146"/>
              <w:ind w:left="213"/>
              <w:rPr>
                <w:rFonts w:ascii="黑体" w:eastAsia="黑体" w:hint="eastAsia"/>
                <w:sz w:val="21"/>
              </w:rPr>
            </w:pPr>
            <w:r>
              <w:rPr>
                <w:rFonts w:ascii="黑体" w:eastAsia="黑体" w:hint="eastAsia"/>
                <w:sz w:val="21"/>
              </w:rPr>
              <w:t>特定疾病的定</w:t>
            </w:r>
          </w:p>
        </w:tc>
        <w:tc>
          <w:tcPr>
            <w:tcW w:w="6864" w:type="dxa"/>
          </w:tcPr>
          <w:p>
            <w:pPr>
              <w:pStyle w:val="TableParagraph"/>
              <w:spacing w:before="146"/>
              <w:ind w:left="38"/>
              <w:rPr>
                <w:sz w:val="21"/>
              </w:rPr>
            </w:pPr>
            <w:r>
              <w:rPr>
                <w:sz w:val="21"/>
              </w:rPr>
              <w:t>本附加险合同所保障的特定疾病，是指被保险人在主险合同有效且本附加</w:t>
            </w:r>
          </w:p>
        </w:tc>
      </w:tr>
      <w:tr>
        <w:trPr>
          <w:trHeight w:val="319" w:hRule="atLeast"/>
        </w:trPr>
        <w:tc>
          <w:tcPr>
            <w:tcW w:w="951" w:type="dxa"/>
          </w:tcPr>
          <w:p>
            <w:pPr>
              <w:pStyle w:val="TableParagraph"/>
              <w:rPr>
                <w:rFonts w:ascii="Times New Roman"/>
                <w:sz w:val="20"/>
              </w:rPr>
            </w:pPr>
          </w:p>
        </w:tc>
        <w:tc>
          <w:tcPr>
            <w:tcW w:w="1727" w:type="dxa"/>
          </w:tcPr>
          <w:p>
            <w:pPr>
              <w:pStyle w:val="TableParagraph"/>
              <w:spacing w:line="258" w:lineRule="exact"/>
              <w:ind w:left="213"/>
              <w:rPr>
                <w:rFonts w:ascii="黑体" w:eastAsia="黑体" w:hint="eastAsia"/>
                <w:sz w:val="21"/>
              </w:rPr>
            </w:pPr>
            <w:r>
              <w:rPr>
                <w:rFonts w:ascii="黑体" w:eastAsia="黑体" w:hint="eastAsia"/>
                <w:sz w:val="21"/>
              </w:rPr>
              <w:t>义</w:t>
            </w:r>
          </w:p>
        </w:tc>
        <w:tc>
          <w:tcPr>
            <w:tcW w:w="6864" w:type="dxa"/>
          </w:tcPr>
          <w:p>
            <w:pPr>
              <w:pStyle w:val="TableParagraph"/>
              <w:spacing w:line="258" w:lineRule="exact"/>
              <w:ind w:left="38"/>
              <w:rPr>
                <w:sz w:val="21"/>
              </w:rPr>
            </w:pPr>
            <w:r>
              <w:rPr>
                <w:sz w:val="21"/>
              </w:rPr>
              <w:t>险合同有效期间内经专科医生明确诊断初次患下列疾病或初次达到下列</w:t>
            </w:r>
          </w:p>
        </w:tc>
      </w:tr>
      <w:tr>
        <w:trPr>
          <w:trHeight w:val="391"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疾病状态或在医院初次接受下列手术：</w:t>
            </w:r>
          </w:p>
        </w:tc>
      </w:tr>
      <w:tr>
        <w:trPr>
          <w:trHeight w:val="391" w:hRule="atLeast"/>
        </w:trPr>
        <w:tc>
          <w:tcPr>
            <w:tcW w:w="951" w:type="dxa"/>
          </w:tcPr>
          <w:p>
            <w:pPr>
              <w:pStyle w:val="TableParagraph"/>
              <w:spacing w:before="54"/>
              <w:ind w:left="107"/>
              <w:rPr>
                <w:rFonts w:ascii="黑体"/>
                <w:sz w:val="21"/>
              </w:rPr>
            </w:pPr>
            <w:r>
              <w:rPr>
                <w:rFonts w:ascii="黑体"/>
                <w:sz w:val="21"/>
              </w:rPr>
              <w:t>10.1.1</w:t>
            </w:r>
          </w:p>
        </w:tc>
        <w:tc>
          <w:tcPr>
            <w:tcW w:w="1727" w:type="dxa"/>
          </w:tcPr>
          <w:p>
            <w:pPr>
              <w:pStyle w:val="TableParagraph"/>
              <w:spacing w:before="54"/>
              <w:ind w:left="213"/>
              <w:rPr>
                <w:rFonts w:ascii="黑体" w:eastAsia="黑体" w:hint="eastAsia"/>
                <w:sz w:val="21"/>
              </w:rPr>
            </w:pPr>
            <w:r>
              <w:rPr>
                <w:rFonts w:ascii="黑体" w:eastAsia="黑体" w:hint="eastAsia"/>
                <w:sz w:val="21"/>
              </w:rPr>
              <w:t>非危及Th命的</w:t>
            </w:r>
          </w:p>
        </w:tc>
        <w:tc>
          <w:tcPr>
            <w:tcW w:w="6864" w:type="dxa"/>
          </w:tcPr>
          <w:p>
            <w:pPr>
              <w:pStyle w:val="TableParagraph"/>
              <w:spacing w:before="54"/>
              <w:ind w:left="38"/>
              <w:rPr>
                <w:sz w:val="21"/>
              </w:rPr>
            </w:pPr>
            <w:r>
              <w:rPr>
                <w:sz w:val="21"/>
              </w:rPr>
              <w:t>指经组织病理学检查被明确诊断为下列恶性病变，并且接受了相应的治</w:t>
            </w:r>
          </w:p>
        </w:tc>
      </w:tr>
      <w:tr>
        <w:trPr>
          <w:trHeight w:val="319" w:hRule="atLeast"/>
        </w:trPr>
        <w:tc>
          <w:tcPr>
            <w:tcW w:w="951" w:type="dxa"/>
          </w:tcPr>
          <w:p>
            <w:pPr>
              <w:pStyle w:val="TableParagraph"/>
              <w:rPr>
                <w:rFonts w:ascii="Times New Roman"/>
                <w:sz w:val="20"/>
              </w:rPr>
            </w:pPr>
          </w:p>
        </w:tc>
        <w:tc>
          <w:tcPr>
            <w:tcW w:w="1727" w:type="dxa"/>
          </w:tcPr>
          <w:p>
            <w:pPr>
              <w:pStyle w:val="TableParagraph"/>
              <w:spacing w:line="259" w:lineRule="exact"/>
              <w:ind w:left="213"/>
              <w:rPr>
                <w:rFonts w:ascii="黑体" w:eastAsia="黑体" w:hint="eastAsia"/>
                <w:sz w:val="21"/>
              </w:rPr>
            </w:pPr>
            <w:r>
              <w:rPr>
                <w:rFonts w:ascii="黑体" w:eastAsia="黑体" w:hint="eastAsia"/>
                <w:sz w:val="21"/>
              </w:rPr>
              <w:t>恶性病变</w:t>
            </w:r>
          </w:p>
        </w:tc>
        <w:tc>
          <w:tcPr>
            <w:tcW w:w="6864" w:type="dxa"/>
          </w:tcPr>
          <w:p>
            <w:pPr>
              <w:pStyle w:val="TableParagraph"/>
              <w:spacing w:line="259" w:lineRule="exact"/>
              <w:ind w:left="38"/>
              <w:rPr>
                <w:sz w:val="21"/>
              </w:rPr>
            </w:pPr>
            <w:r>
              <w:rPr>
                <w:sz w:val="21"/>
              </w:rPr>
              <w:t>疗。</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8" w:lineRule="exact"/>
              <w:ind w:left="38"/>
              <w:rPr>
                <w:sz w:val="21"/>
              </w:rPr>
            </w:pPr>
            <w:r>
              <w:rPr>
                <w:sz w:val="21"/>
              </w:rPr>
              <w:t>(1)原位癌；</w:t>
            </w:r>
          </w:p>
        </w:tc>
      </w:tr>
      <w:tr>
        <w:trPr>
          <w:trHeight w:val="320"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(2)相当于 Binet 分期方案 A 期程度的慢性淋巴细胞白血病；</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(3)相当于 Ann Arbor 分期方案 I 期程度的何杰金氏病；</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8" w:lineRule="exact"/>
              <w:ind w:left="38"/>
              <w:rPr>
                <w:sz w:val="21"/>
              </w:rPr>
            </w:pPr>
            <w:r>
              <w:rPr>
                <w:sz w:val="21"/>
              </w:rPr>
              <w:t>(4)皮肤癌；</w:t>
            </w:r>
          </w:p>
        </w:tc>
      </w:tr>
      <w:tr>
        <w:trPr>
          <w:trHeight w:val="391"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8" w:lineRule="exact"/>
              <w:ind w:left="3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1" w:hRule="atLeast"/>
        </w:trPr>
        <w:tc>
          <w:tcPr>
            <w:tcW w:w="951" w:type="dxa"/>
          </w:tcPr>
          <w:p>
            <w:pPr>
              <w:pStyle w:val="TableParagraph"/>
              <w:spacing w:before="54"/>
              <w:ind w:left="107"/>
              <w:rPr>
                <w:rFonts w:ascii="黑体"/>
                <w:sz w:val="21"/>
              </w:rPr>
            </w:pPr>
            <w:r>
              <w:rPr>
                <w:rFonts w:ascii="黑体"/>
                <w:sz w:val="21"/>
              </w:rPr>
              <w:t>10.1.2</w:t>
            </w:r>
          </w:p>
        </w:tc>
        <w:tc>
          <w:tcPr>
            <w:tcW w:w="1727" w:type="dxa"/>
          </w:tcPr>
          <w:p>
            <w:pPr>
              <w:pStyle w:val="TableParagraph"/>
              <w:spacing w:before="54"/>
              <w:ind w:left="212"/>
              <w:rPr>
                <w:rFonts w:ascii="黑体" w:eastAsia="黑体" w:hint="eastAsia"/>
                <w:sz w:val="21"/>
              </w:rPr>
            </w:pPr>
            <w:r>
              <w:rPr>
                <w:rFonts w:ascii="黑体" w:eastAsia="黑体" w:hint="eastAsia"/>
                <w:sz w:val="21"/>
              </w:rPr>
              <w:t>不典型的急性</w:t>
            </w:r>
          </w:p>
        </w:tc>
        <w:tc>
          <w:tcPr>
            <w:tcW w:w="6864" w:type="dxa"/>
          </w:tcPr>
          <w:p>
            <w:pPr>
              <w:pStyle w:val="TableParagraph"/>
              <w:spacing w:before="54"/>
              <w:ind w:left="38"/>
              <w:rPr>
                <w:sz w:val="21"/>
              </w:rPr>
            </w:pPr>
            <w:r>
              <w:rPr>
                <w:sz w:val="21"/>
              </w:rPr>
              <w:t>指被临床诊断为急性心肌梗塞并接受了急性心肌梗塞治疗，虽然未达到重</w:t>
            </w:r>
          </w:p>
        </w:tc>
      </w:tr>
      <w:tr>
        <w:trPr>
          <w:trHeight w:val="319" w:hRule="atLeast"/>
        </w:trPr>
        <w:tc>
          <w:tcPr>
            <w:tcW w:w="951" w:type="dxa"/>
          </w:tcPr>
          <w:p>
            <w:pPr>
              <w:pStyle w:val="TableParagraph"/>
              <w:rPr>
                <w:rFonts w:ascii="Times New Roman"/>
                <w:sz w:val="20"/>
              </w:rPr>
            </w:pPr>
          </w:p>
        </w:tc>
        <w:tc>
          <w:tcPr>
            <w:tcW w:w="1727" w:type="dxa"/>
          </w:tcPr>
          <w:p>
            <w:pPr>
              <w:pStyle w:val="TableParagraph"/>
              <w:spacing w:line="259" w:lineRule="exact"/>
              <w:ind w:left="212"/>
              <w:rPr>
                <w:rFonts w:ascii="黑体" w:eastAsia="黑体" w:hint="eastAsia"/>
                <w:sz w:val="21"/>
              </w:rPr>
            </w:pPr>
            <w:r>
              <w:rPr>
                <w:rFonts w:ascii="黑体" w:eastAsia="黑体" w:hint="eastAsia"/>
                <w:sz w:val="21"/>
              </w:rPr>
              <w:t>心肌梗塞</w:t>
            </w:r>
          </w:p>
        </w:tc>
        <w:tc>
          <w:tcPr>
            <w:tcW w:w="6864" w:type="dxa"/>
          </w:tcPr>
          <w:p>
            <w:pPr>
              <w:pStyle w:val="TableParagraph"/>
              <w:spacing w:line="259" w:lineRule="exact"/>
              <w:ind w:left="38"/>
              <w:rPr>
                <w:sz w:val="21"/>
              </w:rPr>
            </w:pPr>
            <w:r>
              <w:rPr>
                <w:sz w:val="21"/>
              </w:rPr>
              <w:t>大疾病“急性心肌梗塞”的给付标准，但满足下列全部条件：</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8" w:lineRule="exact"/>
              <w:ind w:left="38"/>
              <w:rPr>
                <w:sz w:val="21"/>
              </w:rPr>
            </w:pPr>
            <w:r>
              <w:rPr>
                <w:sz w:val="21"/>
              </w:rPr>
              <w:t>(1)肌钙蛋白有诊断意义的升高；</w:t>
            </w:r>
          </w:p>
        </w:tc>
      </w:tr>
      <w:tr>
        <w:trPr>
          <w:trHeight w:val="391"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(2)心电图有损伤性的 ST 段改变但未出现病理 Q 波。</w:t>
            </w:r>
          </w:p>
        </w:tc>
      </w:tr>
      <w:tr>
        <w:trPr>
          <w:trHeight w:val="391" w:hRule="atLeast"/>
        </w:trPr>
        <w:tc>
          <w:tcPr>
            <w:tcW w:w="951" w:type="dxa"/>
          </w:tcPr>
          <w:p>
            <w:pPr>
              <w:pStyle w:val="TableParagraph"/>
              <w:spacing w:before="54"/>
              <w:ind w:left="107"/>
              <w:rPr>
                <w:rFonts w:ascii="黑体"/>
                <w:sz w:val="21"/>
              </w:rPr>
            </w:pPr>
            <w:r>
              <w:rPr>
                <w:rFonts w:ascii="黑体"/>
                <w:sz w:val="21"/>
              </w:rPr>
              <w:t>10.1.3</w:t>
            </w:r>
          </w:p>
        </w:tc>
        <w:tc>
          <w:tcPr>
            <w:tcW w:w="1727" w:type="dxa"/>
          </w:tcPr>
          <w:p>
            <w:pPr>
              <w:pStyle w:val="TableParagraph"/>
              <w:spacing w:before="54"/>
              <w:ind w:left="212"/>
              <w:rPr>
                <w:rFonts w:ascii="黑体" w:eastAsia="黑体" w:hint="eastAsia"/>
                <w:sz w:val="21"/>
              </w:rPr>
            </w:pPr>
            <w:r>
              <w:rPr>
                <w:rFonts w:ascii="黑体" w:eastAsia="黑体" w:hint="eastAsia"/>
                <w:sz w:val="21"/>
              </w:rPr>
              <w:t>轻微脑中风</w:t>
            </w:r>
          </w:p>
        </w:tc>
        <w:tc>
          <w:tcPr>
            <w:tcW w:w="6864" w:type="dxa"/>
          </w:tcPr>
          <w:p>
            <w:pPr>
              <w:pStyle w:val="TableParagraph"/>
              <w:spacing w:before="54"/>
              <w:ind w:left="38"/>
              <w:rPr>
                <w:sz w:val="21"/>
              </w:rPr>
            </w:pPr>
            <w:r>
              <w:rPr>
                <w:sz w:val="21"/>
              </w:rPr>
              <w:t>指实际发生了脑血管的突发病变出现神经系统功能障碍表现，头颅断层扫</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pacing w:val="-1"/>
                <w:sz w:val="21"/>
              </w:rPr>
              <w:t>描</w:t>
            </w:r>
            <w:r>
              <w:rPr>
                <w:spacing w:val="0"/>
                <w:sz w:val="21"/>
              </w:rPr>
              <w:t>（</w:t>
            </w:r>
            <w:r>
              <w:rPr>
                <w:spacing w:val="-1"/>
                <w:sz w:val="21"/>
              </w:rPr>
              <w:t>CT</w:t>
            </w:r>
            <w:r>
              <w:rPr>
                <w:spacing w:val="-105"/>
                <w:sz w:val="21"/>
              </w:rPr>
              <w:t>）</w:t>
            </w:r>
            <w:r>
              <w:rPr>
                <w:spacing w:val="-2"/>
                <w:sz w:val="21"/>
              </w:rPr>
              <w:t>、核磁共振</w:t>
            </w:r>
            <w:r>
              <w:rPr>
                <w:spacing w:val="0"/>
                <w:sz w:val="21"/>
              </w:rPr>
              <w:t>（</w:t>
            </w:r>
            <w:r>
              <w:rPr>
                <w:spacing w:val="-1"/>
                <w:sz w:val="21"/>
              </w:rPr>
              <w:t>M</w:t>
            </w:r>
            <w:r>
              <w:rPr>
                <w:sz w:val="21"/>
              </w:rPr>
              <w:t>RI</w:t>
            </w:r>
            <w:r>
              <w:rPr>
                <w:spacing w:val="-2"/>
                <w:sz w:val="21"/>
              </w:rPr>
              <w:t>）</w:t>
            </w:r>
            <w:r>
              <w:rPr>
                <w:spacing w:val="-1"/>
                <w:sz w:val="21"/>
              </w:rPr>
              <w:t>等影像学检查证实存在对应病灶，确诊为脑出</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8" w:lineRule="exact"/>
              <w:ind w:left="38"/>
              <w:rPr>
                <w:sz w:val="21"/>
              </w:rPr>
            </w:pPr>
            <w:r>
              <w:rPr>
                <w:sz w:val="21"/>
              </w:rPr>
              <w:t>血、脑栓塞或脑梗塞，在确诊 180 天后未遗留神经系统功能障碍或后遗的</w:t>
            </w:r>
          </w:p>
        </w:tc>
      </w:tr>
      <w:tr>
        <w:trPr>
          <w:trHeight w:val="391"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神经系统功能障碍程度未达到重大疾病“脑中风后遗症”的给付标准。</w:t>
            </w:r>
          </w:p>
        </w:tc>
      </w:tr>
      <w:tr>
        <w:trPr>
          <w:trHeight w:val="391" w:hRule="atLeast"/>
        </w:trPr>
        <w:tc>
          <w:tcPr>
            <w:tcW w:w="951" w:type="dxa"/>
          </w:tcPr>
          <w:p>
            <w:pPr>
              <w:pStyle w:val="TableParagraph"/>
              <w:spacing w:before="54"/>
              <w:ind w:left="107"/>
              <w:rPr>
                <w:rFonts w:ascii="黑体"/>
                <w:sz w:val="21"/>
              </w:rPr>
            </w:pPr>
            <w:r>
              <w:rPr>
                <w:rFonts w:ascii="黑体"/>
                <w:sz w:val="21"/>
              </w:rPr>
              <w:t>10.1.4</w:t>
            </w:r>
          </w:p>
        </w:tc>
        <w:tc>
          <w:tcPr>
            <w:tcW w:w="1727" w:type="dxa"/>
          </w:tcPr>
          <w:p>
            <w:pPr>
              <w:pStyle w:val="TableParagraph"/>
              <w:spacing w:before="54"/>
              <w:ind w:left="212"/>
              <w:rPr>
                <w:rFonts w:ascii="黑体" w:eastAsia="黑体" w:hint="eastAsia"/>
                <w:sz w:val="21"/>
              </w:rPr>
            </w:pPr>
            <w:r>
              <w:rPr>
                <w:rFonts w:ascii="黑体" w:eastAsia="黑体" w:hint="eastAsia"/>
                <w:sz w:val="21"/>
              </w:rPr>
              <w:t>冠状动脉介入</w:t>
            </w:r>
          </w:p>
        </w:tc>
        <w:tc>
          <w:tcPr>
            <w:tcW w:w="6864" w:type="dxa"/>
          </w:tcPr>
          <w:p>
            <w:pPr>
              <w:pStyle w:val="TableParagraph"/>
              <w:spacing w:before="54"/>
              <w:ind w:left="38"/>
              <w:rPr>
                <w:sz w:val="21"/>
              </w:rPr>
            </w:pPr>
            <w:r>
              <w:rPr>
                <w:sz w:val="21"/>
              </w:rPr>
              <w:t>为了治疗明显的冠状动脉狭窄性疾病，首次实际实施了冠状动脉球囊扩张</w:t>
            </w:r>
          </w:p>
        </w:tc>
      </w:tr>
      <w:tr>
        <w:trPr>
          <w:trHeight w:val="391" w:hRule="atLeast"/>
        </w:trPr>
        <w:tc>
          <w:tcPr>
            <w:tcW w:w="951" w:type="dxa"/>
          </w:tcPr>
          <w:p>
            <w:pPr>
              <w:pStyle w:val="TableParagraph"/>
              <w:rPr>
                <w:rFonts w:ascii="Times New Roman"/>
                <w:sz w:val="20"/>
              </w:rPr>
            </w:pPr>
          </w:p>
        </w:tc>
        <w:tc>
          <w:tcPr>
            <w:tcW w:w="1727" w:type="dxa"/>
          </w:tcPr>
          <w:p>
            <w:pPr>
              <w:pStyle w:val="TableParagraph"/>
              <w:spacing w:line="259" w:lineRule="exact"/>
              <w:ind w:left="212"/>
              <w:rPr>
                <w:rFonts w:ascii="黑体" w:eastAsia="黑体" w:hint="eastAsia"/>
                <w:sz w:val="21"/>
              </w:rPr>
            </w:pPr>
            <w:r>
              <w:rPr>
                <w:rFonts w:ascii="黑体" w:eastAsia="黑体" w:hint="eastAsia"/>
                <w:sz w:val="21"/>
              </w:rPr>
              <w:t>手术</w:t>
            </w:r>
          </w:p>
        </w:tc>
        <w:tc>
          <w:tcPr>
            <w:tcW w:w="6864" w:type="dxa"/>
          </w:tcPr>
          <w:p>
            <w:pPr>
              <w:pStyle w:val="TableParagraph"/>
              <w:spacing w:line="259" w:lineRule="exact"/>
              <w:ind w:left="38"/>
              <w:rPr>
                <w:sz w:val="21"/>
              </w:rPr>
            </w:pPr>
            <w:r>
              <w:rPr>
                <w:sz w:val="21"/>
              </w:rPr>
              <w:t>成形术、冠状动脉支架植入术或激光冠状动脉成形术。</w:t>
            </w:r>
          </w:p>
        </w:tc>
      </w:tr>
      <w:tr>
        <w:trPr>
          <w:trHeight w:val="390" w:hRule="atLeast"/>
        </w:trPr>
        <w:tc>
          <w:tcPr>
            <w:tcW w:w="951" w:type="dxa"/>
          </w:tcPr>
          <w:p>
            <w:pPr>
              <w:pStyle w:val="TableParagraph"/>
              <w:spacing w:before="54"/>
              <w:ind w:left="107"/>
              <w:rPr>
                <w:rFonts w:ascii="黑体"/>
                <w:sz w:val="21"/>
              </w:rPr>
            </w:pPr>
            <w:r>
              <w:rPr>
                <w:rFonts w:ascii="黑体"/>
                <w:sz w:val="21"/>
              </w:rPr>
              <w:t>10.1.5</w:t>
            </w:r>
          </w:p>
        </w:tc>
        <w:tc>
          <w:tcPr>
            <w:tcW w:w="1727" w:type="dxa"/>
          </w:tcPr>
          <w:p>
            <w:pPr>
              <w:pStyle w:val="TableParagraph"/>
              <w:spacing w:before="54"/>
              <w:ind w:left="212"/>
              <w:rPr>
                <w:rFonts w:ascii="黑体" w:eastAsia="黑体" w:hint="eastAsia"/>
                <w:sz w:val="21"/>
              </w:rPr>
            </w:pPr>
            <w:r>
              <w:rPr>
                <w:rFonts w:ascii="黑体" w:eastAsia="黑体" w:hint="eastAsia"/>
                <w:sz w:val="21"/>
              </w:rPr>
              <w:t>心脏瓣膜介入</w:t>
            </w:r>
          </w:p>
        </w:tc>
        <w:tc>
          <w:tcPr>
            <w:tcW w:w="6864" w:type="dxa"/>
          </w:tcPr>
          <w:p>
            <w:pPr>
              <w:pStyle w:val="TableParagraph"/>
              <w:spacing w:before="54"/>
              <w:ind w:left="38"/>
              <w:rPr>
                <w:sz w:val="21"/>
              </w:rPr>
            </w:pPr>
            <w:r>
              <w:rPr>
                <w:sz w:val="21"/>
              </w:rPr>
              <w:t>为了治疗心脏瓣膜疾病，实际实施了非开胸的经胸壁打孔内镜手术或经皮</w:t>
            </w:r>
          </w:p>
        </w:tc>
      </w:tr>
      <w:tr>
        <w:trPr>
          <w:trHeight w:val="390" w:hRule="atLeast"/>
        </w:trPr>
        <w:tc>
          <w:tcPr>
            <w:tcW w:w="951" w:type="dxa"/>
          </w:tcPr>
          <w:p>
            <w:pPr>
              <w:pStyle w:val="TableParagraph"/>
              <w:rPr>
                <w:rFonts w:ascii="Times New Roman"/>
                <w:sz w:val="20"/>
              </w:rPr>
            </w:pPr>
          </w:p>
        </w:tc>
        <w:tc>
          <w:tcPr>
            <w:tcW w:w="1727" w:type="dxa"/>
          </w:tcPr>
          <w:p>
            <w:pPr>
              <w:pStyle w:val="TableParagraph"/>
              <w:spacing w:line="258" w:lineRule="exact"/>
              <w:ind w:left="212"/>
              <w:rPr>
                <w:rFonts w:ascii="黑体" w:eastAsia="黑体" w:hint="eastAsia"/>
                <w:sz w:val="21"/>
              </w:rPr>
            </w:pPr>
            <w:r>
              <w:rPr>
                <w:rFonts w:ascii="黑体" w:eastAsia="黑体" w:hint="eastAsia"/>
                <w:sz w:val="21"/>
              </w:rPr>
              <w:t>手术</w:t>
            </w:r>
          </w:p>
        </w:tc>
        <w:tc>
          <w:tcPr>
            <w:tcW w:w="6864" w:type="dxa"/>
          </w:tcPr>
          <w:p>
            <w:pPr>
              <w:pStyle w:val="TableParagraph"/>
              <w:spacing w:line="258" w:lineRule="exact"/>
              <w:ind w:left="38"/>
              <w:rPr>
                <w:sz w:val="21"/>
              </w:rPr>
            </w:pPr>
            <w:r>
              <w:rPr>
                <w:sz w:val="21"/>
              </w:rPr>
              <w:t>经导管介入手术进行的心脏瓣膜置换或修复手术。</w:t>
            </w:r>
          </w:p>
        </w:tc>
      </w:tr>
      <w:tr>
        <w:trPr>
          <w:trHeight w:val="391" w:hRule="atLeast"/>
        </w:trPr>
        <w:tc>
          <w:tcPr>
            <w:tcW w:w="951" w:type="dxa"/>
          </w:tcPr>
          <w:p>
            <w:pPr>
              <w:pStyle w:val="TableParagraph"/>
              <w:spacing w:before="54"/>
              <w:ind w:left="107"/>
              <w:rPr>
                <w:rFonts w:ascii="黑体"/>
                <w:sz w:val="21"/>
              </w:rPr>
            </w:pPr>
            <w:r>
              <w:rPr>
                <w:rFonts w:ascii="黑体"/>
                <w:sz w:val="21"/>
              </w:rPr>
              <w:t>10.1.6</w:t>
            </w:r>
          </w:p>
        </w:tc>
        <w:tc>
          <w:tcPr>
            <w:tcW w:w="1727" w:type="dxa"/>
          </w:tcPr>
          <w:p>
            <w:pPr>
              <w:pStyle w:val="TableParagraph"/>
              <w:spacing w:before="54"/>
              <w:ind w:left="212"/>
              <w:rPr>
                <w:rFonts w:ascii="黑体" w:eastAsia="黑体" w:hint="eastAsia"/>
                <w:sz w:val="21"/>
              </w:rPr>
            </w:pPr>
            <w:r>
              <w:rPr>
                <w:rFonts w:ascii="黑体" w:eastAsia="黑体" w:hint="eastAsia"/>
                <w:sz w:val="21"/>
              </w:rPr>
              <w:t>视力严重受损</w:t>
            </w:r>
          </w:p>
        </w:tc>
        <w:tc>
          <w:tcPr>
            <w:tcW w:w="6864" w:type="dxa"/>
          </w:tcPr>
          <w:p>
            <w:pPr>
              <w:pStyle w:val="TableParagraph"/>
              <w:spacing w:before="54"/>
              <w:ind w:left="38"/>
              <w:rPr>
                <w:sz w:val="21"/>
              </w:rPr>
            </w:pPr>
            <w:r>
              <w:rPr>
                <w:sz w:val="21"/>
              </w:rPr>
              <w:t>指因疾病或意外伤害导致双目视力永久不可逆性丧失，虽然未达到重大疾</w:t>
            </w:r>
          </w:p>
        </w:tc>
      </w:tr>
      <w:tr>
        <w:trPr>
          <w:trHeight w:val="320"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病“双目失明”的给付标准，但满足下列全部条件：</w:t>
            </w:r>
          </w:p>
        </w:tc>
      </w:tr>
      <w:tr>
        <w:trPr>
          <w:trHeight w:val="63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(1)双眼中较好眼矫正视力低于 0.1（采用国际标准视力表，如果使用其他</w:t>
            </w:r>
          </w:p>
          <w:p>
            <w:pPr>
              <w:pStyle w:val="TableParagraph"/>
              <w:spacing w:before="44"/>
              <w:ind w:left="354"/>
              <w:rPr>
                <w:sz w:val="21"/>
              </w:rPr>
            </w:pPr>
            <w:r>
              <w:rPr>
                <w:sz w:val="21"/>
              </w:rPr>
              <w:t>视力表应进行换算</w:t>
            </w:r>
            <w:r>
              <w:rPr>
                <w:spacing w:val="-105"/>
                <w:sz w:val="21"/>
              </w:rPr>
              <w:t>）</w:t>
            </w:r>
            <w:r>
              <w:rPr>
                <w:sz w:val="21"/>
              </w:rPr>
              <w:t>；</w:t>
            </w:r>
          </w:p>
        </w:tc>
      </w:tr>
      <w:tr>
        <w:trPr>
          <w:trHeight w:val="391"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(2)视野半径小于 20 度。</w:t>
            </w:r>
          </w:p>
        </w:tc>
      </w:tr>
      <w:tr>
        <w:trPr>
          <w:trHeight w:val="391" w:hRule="atLeast"/>
        </w:trPr>
        <w:tc>
          <w:tcPr>
            <w:tcW w:w="951" w:type="dxa"/>
          </w:tcPr>
          <w:p>
            <w:pPr>
              <w:pStyle w:val="TableParagraph"/>
              <w:spacing w:before="54"/>
              <w:ind w:left="108"/>
              <w:rPr>
                <w:rFonts w:ascii="黑体"/>
                <w:sz w:val="21"/>
              </w:rPr>
            </w:pPr>
            <w:r>
              <w:rPr>
                <w:rFonts w:ascii="黑体"/>
                <w:sz w:val="21"/>
              </w:rPr>
              <w:t>10.1.7</w:t>
            </w:r>
          </w:p>
        </w:tc>
        <w:tc>
          <w:tcPr>
            <w:tcW w:w="1727" w:type="dxa"/>
          </w:tcPr>
          <w:p>
            <w:pPr>
              <w:pStyle w:val="TableParagraph"/>
              <w:spacing w:before="54"/>
              <w:ind w:left="213"/>
              <w:rPr>
                <w:rFonts w:ascii="黑体" w:eastAsia="黑体" w:hint="eastAsia"/>
                <w:sz w:val="21"/>
              </w:rPr>
            </w:pPr>
            <w:r>
              <w:rPr>
                <w:rFonts w:ascii="黑体" w:eastAsia="黑体" w:hint="eastAsia"/>
                <w:sz w:val="21"/>
              </w:rPr>
              <w:t>主动脉内手术</w:t>
            </w:r>
          </w:p>
        </w:tc>
        <w:tc>
          <w:tcPr>
            <w:tcW w:w="6864" w:type="dxa"/>
          </w:tcPr>
          <w:p>
            <w:pPr>
              <w:pStyle w:val="TableParagraph"/>
              <w:spacing w:before="54"/>
              <w:ind w:left="38"/>
              <w:rPr>
                <w:sz w:val="21"/>
              </w:rPr>
            </w:pPr>
            <w:r>
              <w:rPr>
                <w:sz w:val="21"/>
              </w:rPr>
              <w:t>为了治疗主动脉疾病实际实施了经皮经导管进行的动脉内手术。主动脉指</w:t>
            </w:r>
          </w:p>
        </w:tc>
      </w:tr>
      <w:tr>
        <w:trPr>
          <w:trHeight w:val="391"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胸主动脉和腹主动脉，不包括胸主动脉和腹主动脉的分支血管。</w:t>
            </w:r>
          </w:p>
        </w:tc>
      </w:tr>
      <w:tr>
        <w:trPr>
          <w:trHeight w:val="390" w:hRule="atLeast"/>
        </w:trPr>
        <w:tc>
          <w:tcPr>
            <w:tcW w:w="951" w:type="dxa"/>
          </w:tcPr>
          <w:p>
            <w:pPr>
              <w:pStyle w:val="TableParagraph"/>
              <w:spacing w:before="54"/>
              <w:ind w:left="108"/>
              <w:rPr>
                <w:rFonts w:ascii="黑体"/>
                <w:sz w:val="21"/>
              </w:rPr>
            </w:pPr>
            <w:r>
              <w:rPr>
                <w:rFonts w:ascii="黑体"/>
                <w:sz w:val="21"/>
              </w:rPr>
              <w:t>10.1.8</w:t>
            </w:r>
          </w:p>
        </w:tc>
        <w:tc>
          <w:tcPr>
            <w:tcW w:w="1727" w:type="dxa"/>
          </w:tcPr>
          <w:p>
            <w:pPr>
              <w:pStyle w:val="TableParagraph"/>
              <w:spacing w:before="54"/>
              <w:ind w:left="213"/>
              <w:rPr>
                <w:rFonts w:ascii="黑体" w:eastAsia="黑体" w:hint="eastAsia"/>
                <w:sz w:val="21"/>
              </w:rPr>
            </w:pPr>
            <w:r>
              <w:rPr>
                <w:rFonts w:ascii="黑体" w:eastAsia="黑体" w:hint="eastAsia"/>
                <w:sz w:val="21"/>
              </w:rPr>
              <w:t>脑垂体瘤、脑</w:t>
            </w:r>
          </w:p>
        </w:tc>
        <w:tc>
          <w:tcPr>
            <w:tcW w:w="6864" w:type="dxa"/>
          </w:tcPr>
          <w:p>
            <w:pPr>
              <w:pStyle w:val="TableParagraph"/>
              <w:spacing w:before="54"/>
              <w:ind w:left="38"/>
              <w:rPr>
                <w:sz w:val="21"/>
              </w:rPr>
            </w:pPr>
            <w:r>
              <w:rPr>
                <w:spacing w:val="-2"/>
                <w:sz w:val="21"/>
              </w:rPr>
              <w:t>指经头颅断层扫描</w:t>
            </w:r>
            <w:r>
              <w:rPr>
                <w:spacing w:val="0"/>
                <w:sz w:val="21"/>
              </w:rPr>
              <w:t>（</w:t>
            </w:r>
            <w:r>
              <w:rPr>
                <w:spacing w:val="-1"/>
                <w:sz w:val="21"/>
              </w:rPr>
              <w:t>CT</w:t>
            </w:r>
            <w:r>
              <w:rPr>
                <w:spacing w:val="-105"/>
                <w:sz w:val="21"/>
              </w:rPr>
              <w:t>）</w:t>
            </w:r>
            <w:r>
              <w:rPr>
                <w:spacing w:val="-2"/>
                <w:sz w:val="21"/>
              </w:rPr>
              <w:t>、核磁共振</w:t>
            </w:r>
            <w:r>
              <w:rPr>
                <w:spacing w:val="0"/>
                <w:sz w:val="21"/>
              </w:rPr>
              <w:t>（</w:t>
            </w:r>
            <w:r>
              <w:rPr>
                <w:spacing w:val="-1"/>
                <w:sz w:val="21"/>
              </w:rPr>
              <w:t>M</w:t>
            </w:r>
            <w:r>
              <w:rPr>
                <w:sz w:val="21"/>
              </w:rPr>
              <w:t>RI</w:t>
            </w:r>
            <w:r>
              <w:rPr>
                <w:spacing w:val="-2"/>
                <w:sz w:val="21"/>
              </w:rPr>
              <w:t>）</w:t>
            </w:r>
            <w:r>
              <w:rPr>
                <w:sz w:val="21"/>
              </w:rPr>
              <w:t>或其他影像学检查被确诊为下</w:t>
            </w:r>
          </w:p>
        </w:tc>
      </w:tr>
      <w:tr>
        <w:trPr>
          <w:trHeight w:val="319" w:hRule="atLeast"/>
        </w:trPr>
        <w:tc>
          <w:tcPr>
            <w:tcW w:w="951" w:type="dxa"/>
          </w:tcPr>
          <w:p>
            <w:pPr>
              <w:pStyle w:val="TableParagraph"/>
              <w:rPr>
                <w:rFonts w:ascii="Times New Roman"/>
                <w:sz w:val="20"/>
              </w:rPr>
            </w:pPr>
          </w:p>
        </w:tc>
        <w:tc>
          <w:tcPr>
            <w:tcW w:w="1727" w:type="dxa"/>
          </w:tcPr>
          <w:p>
            <w:pPr>
              <w:pStyle w:val="TableParagraph"/>
              <w:spacing w:line="258" w:lineRule="exact"/>
              <w:ind w:left="213"/>
              <w:rPr>
                <w:rFonts w:ascii="黑体" w:eastAsia="黑体" w:hint="eastAsia"/>
                <w:sz w:val="21"/>
              </w:rPr>
            </w:pPr>
            <w:r>
              <w:rPr>
                <w:rFonts w:ascii="黑体" w:eastAsia="黑体" w:hint="eastAsia"/>
                <w:sz w:val="21"/>
              </w:rPr>
              <w:t>囊肿、脑动脉</w:t>
            </w:r>
          </w:p>
        </w:tc>
        <w:tc>
          <w:tcPr>
            <w:tcW w:w="6864" w:type="dxa"/>
          </w:tcPr>
          <w:p>
            <w:pPr>
              <w:pStyle w:val="TableParagraph"/>
              <w:spacing w:line="258" w:lineRule="exact"/>
              <w:ind w:left="38"/>
              <w:rPr>
                <w:sz w:val="21"/>
              </w:rPr>
            </w:pPr>
            <w:r>
              <w:rPr>
                <w:sz w:val="21"/>
              </w:rPr>
              <w:t>列病变，并实际接受了手术或放射治疗。</w:t>
            </w:r>
          </w:p>
        </w:tc>
      </w:tr>
      <w:tr>
        <w:trPr>
          <w:trHeight w:val="320" w:hRule="atLeast"/>
        </w:trPr>
        <w:tc>
          <w:tcPr>
            <w:tcW w:w="951" w:type="dxa"/>
          </w:tcPr>
          <w:p>
            <w:pPr>
              <w:pStyle w:val="TableParagraph"/>
              <w:rPr>
                <w:rFonts w:ascii="Times New Roman"/>
                <w:sz w:val="20"/>
              </w:rPr>
            </w:pPr>
          </w:p>
        </w:tc>
        <w:tc>
          <w:tcPr>
            <w:tcW w:w="1727" w:type="dxa"/>
          </w:tcPr>
          <w:p>
            <w:pPr>
              <w:pStyle w:val="TableParagraph"/>
              <w:spacing w:line="259" w:lineRule="exact"/>
              <w:ind w:left="213"/>
              <w:rPr>
                <w:rFonts w:ascii="黑体" w:eastAsia="黑体" w:hint="eastAsia"/>
                <w:sz w:val="21"/>
              </w:rPr>
            </w:pPr>
            <w:r>
              <w:rPr>
                <w:rFonts w:ascii="黑体" w:eastAsia="黑体" w:hint="eastAsia"/>
                <w:sz w:val="21"/>
              </w:rPr>
              <w:t>瘤及脑血管瘤</w:t>
            </w:r>
          </w:p>
        </w:tc>
        <w:tc>
          <w:tcPr>
            <w:tcW w:w="6864" w:type="dxa"/>
          </w:tcPr>
          <w:p>
            <w:pPr>
              <w:pStyle w:val="TableParagraph"/>
              <w:spacing w:line="259" w:lineRule="exact"/>
              <w:ind w:left="38"/>
              <w:rPr>
                <w:sz w:val="21"/>
              </w:rPr>
            </w:pPr>
            <w:r>
              <w:rPr>
                <w:sz w:val="21"/>
              </w:rPr>
              <w:t>(1)脑垂体瘤；</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(2)脑囊肿；</w:t>
            </w:r>
          </w:p>
        </w:tc>
      </w:tr>
      <w:tr>
        <w:trPr>
          <w:trHeight w:val="390"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8" w:lineRule="exact"/>
              <w:ind w:left="38"/>
              <w:rPr>
                <w:sz w:val="21"/>
              </w:rPr>
            </w:pPr>
            <w:r>
              <w:rPr>
                <w:sz w:val="21"/>
              </w:rPr>
              <w:t>(3)脑动脉瘤、脑血管瘤。</w:t>
            </w:r>
          </w:p>
        </w:tc>
      </w:tr>
      <w:tr>
        <w:trPr>
          <w:trHeight w:val="335" w:hRule="atLeast"/>
        </w:trPr>
        <w:tc>
          <w:tcPr>
            <w:tcW w:w="951" w:type="dxa"/>
          </w:tcPr>
          <w:p>
            <w:pPr>
              <w:pStyle w:val="TableParagraph"/>
              <w:spacing w:line="261" w:lineRule="exact" w:before="54"/>
              <w:ind w:left="108"/>
              <w:rPr>
                <w:rFonts w:ascii="黑体"/>
                <w:sz w:val="21"/>
              </w:rPr>
            </w:pPr>
            <w:r>
              <w:rPr>
                <w:rFonts w:ascii="黑体"/>
                <w:sz w:val="21"/>
              </w:rPr>
              <w:t>10.1.9</w:t>
            </w:r>
          </w:p>
        </w:tc>
        <w:tc>
          <w:tcPr>
            <w:tcW w:w="1727" w:type="dxa"/>
          </w:tcPr>
          <w:p>
            <w:pPr>
              <w:pStyle w:val="TableParagraph"/>
              <w:spacing w:line="261" w:lineRule="exact" w:before="54"/>
              <w:ind w:left="213"/>
              <w:rPr>
                <w:rFonts w:ascii="黑体" w:hAnsi="黑体" w:eastAsia="黑体" w:hint="eastAsia"/>
                <w:sz w:val="21"/>
              </w:rPr>
            </w:pPr>
            <w:r>
              <w:rPr>
                <w:rFonts w:ascii="黑体" w:hAnsi="黑体" w:eastAsia="黑体" w:hint="eastAsia"/>
                <w:sz w:val="21"/>
              </w:rPr>
              <w:t>特定面积Ⅲ度</w:t>
            </w:r>
          </w:p>
        </w:tc>
        <w:tc>
          <w:tcPr>
            <w:tcW w:w="6864" w:type="dxa"/>
          </w:tcPr>
          <w:p>
            <w:pPr>
              <w:pStyle w:val="TableParagraph"/>
              <w:spacing w:line="258" w:lineRule="exact" w:before="58"/>
              <w:ind w:left="38"/>
              <w:rPr>
                <w:sz w:val="21"/>
              </w:rPr>
            </w:pPr>
            <w:r>
              <w:rPr>
                <w:spacing w:val="-1"/>
                <w:sz w:val="21"/>
              </w:rPr>
              <w:t>指烧伤程度为Ⅲ度，且Ⅲ度烧伤面积为全身体表面积</w:t>
            </w:r>
            <w:r>
              <w:rPr>
                <w:sz w:val="21"/>
              </w:rPr>
              <w:t>的</w:t>
            </w:r>
            <w:r>
              <w:rPr>
                <w:spacing w:val="-2"/>
                <w:sz w:val="21"/>
              </w:rPr>
              <w:t> </w:t>
            </w:r>
            <w:r>
              <w:rPr>
                <w:spacing w:val="3"/>
                <w:sz w:val="21"/>
              </w:rPr>
              <w:drawing>
                <wp:inline distT="0" distB="0" distL="0" distR="0">
                  <wp:extent cx="59721" cy="103727"/>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或</w:t>
            </w:r>
            <w:r>
              <w:rPr>
                <w:spacing w:val="-1"/>
                <w:sz w:val="21"/>
              </w:rPr>
              <w:t> </w:t>
            </w:r>
            <w:r>
              <w:rPr>
                <w:spacing w:val="3"/>
                <w:sz w:val="21"/>
              </w:rPr>
              <w:drawing>
                <wp:inline distT="0" distB="0" distL="0" distR="0">
                  <wp:extent cx="59721" cy="10372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以上，</w:t>
            </w:r>
          </w:p>
        </w:tc>
      </w:tr>
    </w:tbl>
    <w:p>
      <w:pPr>
        <w:spacing w:after="0" w:line="258" w:lineRule="exact"/>
        <w:rPr>
          <w:sz w:val="21"/>
        </w:rPr>
        <w:sectPr>
          <w:pgSz w:w="11910" w:h="16840"/>
          <w:pgMar w:top="1500" w:bottom="280" w:left="1080" w:right="1080"/>
        </w:sectPr>
      </w:pPr>
    </w:p>
    <w:p>
      <w:pPr>
        <w:pStyle w:val="BodyText"/>
        <w:tabs>
          <w:tab w:pos="2818" w:val="left" w:leader="none"/>
        </w:tabs>
        <w:spacing w:before="13"/>
        <w:ind w:left="1266"/>
      </w:pPr>
      <w:r>
        <w:rPr>
          <w:rFonts w:ascii="黑体" w:eastAsia="黑体" w:hint="eastAsia"/>
        </w:rPr>
        <w:t>烧伤</w:t>
        <w:tab/>
      </w:r>
      <w:r>
        <w:rPr>
          <w:spacing w:val="-1"/>
        </w:rPr>
        <w:t>但尚未达</w:t>
      </w:r>
      <w:r>
        <w:rPr/>
        <w:t>到</w:t>
      </w:r>
      <w:r>
        <w:rPr>
          <w:spacing w:val="-53"/>
        </w:rPr>
        <w:t> </w:t>
      </w:r>
      <w:r>
        <w:rPr>
          <w:spacing w:val="3"/>
        </w:rPr>
        <w:drawing>
          <wp:inline distT="0" distB="0" distL="0" distR="0">
            <wp:extent cx="60325" cy="104775"/>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rPr>
        <w:t>。体表面积根据《中国新九分法》计算。</w:t>
      </w:r>
    </w:p>
    <w:p>
      <w:pPr>
        <w:pStyle w:val="BodyText"/>
        <w:spacing w:before="11"/>
        <w:rPr>
          <w:sz w:val="13"/>
        </w:rPr>
      </w:pPr>
    </w:p>
    <w:p>
      <w:pPr>
        <w:pStyle w:val="BodyText"/>
        <w:tabs>
          <w:tab w:pos="1265" w:val="left" w:leader="none"/>
          <w:tab w:pos="2818" w:val="left" w:leader="none"/>
        </w:tabs>
        <w:spacing w:line="278" w:lineRule="auto" w:before="0"/>
        <w:ind w:left="2818" w:right="207" w:hanging="2609"/>
      </w:pPr>
      <w:r>
        <w:rPr>
          <w:rFonts w:ascii="黑体" w:hAnsi="黑体" w:eastAsia="黑体" w:hint="eastAsia"/>
        </w:rPr>
        <w:t>10.1.10</w:t>
        <w:tab/>
        <w:t>严重头部外伤</w:t>
        <w:tab/>
      </w:r>
      <w:r>
        <w:rPr/>
        <w:t>指因头部遭受机械性外力伤害</w:t>
      </w:r>
      <w:r>
        <w:rPr>
          <w:spacing w:val="-3"/>
        </w:rPr>
        <w:t>，</w:t>
      </w:r>
      <w:r>
        <w:rPr/>
        <w:t>引起脑重要部位损伤</w:t>
      </w:r>
      <w:r>
        <w:rPr>
          <w:spacing w:val="-3"/>
        </w:rPr>
        <w:t>，</w:t>
      </w:r>
      <w:r>
        <w:rPr/>
        <w:t>并且由头颅断层扫</w:t>
      </w:r>
      <w:r>
        <w:rPr>
          <w:spacing w:val="2"/>
        </w:rPr>
        <w:t>描（</w:t>
      </w:r>
      <w:r>
        <w:rPr>
          <w:spacing w:val="-1"/>
        </w:rPr>
        <w:t>C</w:t>
      </w:r>
      <w:r>
        <w:rPr>
          <w:spacing w:val="2"/>
        </w:rPr>
        <w:t>T</w:t>
      </w:r>
      <w:r>
        <w:rPr>
          <w:spacing w:val="-103"/>
        </w:rPr>
        <w:t>）</w:t>
      </w:r>
      <w:r>
        <w:rPr>
          <w:spacing w:val="2"/>
        </w:rPr>
        <w:t>、</w:t>
      </w:r>
      <w:r>
        <w:rPr>
          <w:spacing w:val="1"/>
        </w:rPr>
        <w:t>核</w:t>
      </w:r>
      <w:r>
        <w:rPr>
          <w:spacing w:val="2"/>
        </w:rPr>
        <w:t>磁共振检</w:t>
      </w:r>
      <w:r>
        <w:rPr>
          <w:spacing w:val="1"/>
        </w:rPr>
        <w:t>查</w:t>
      </w:r>
      <w:r>
        <w:rPr>
          <w:spacing w:val="2"/>
        </w:rPr>
        <w:t>（</w:t>
      </w:r>
      <w:r>
        <w:rPr/>
        <w:t>M</w:t>
      </w:r>
      <w:r>
        <w:rPr>
          <w:spacing w:val="-1"/>
        </w:rPr>
        <w:t>R</w:t>
      </w:r>
      <w:r>
        <w:rPr>
          <w:spacing w:val="2"/>
        </w:rPr>
        <w:t>I）或</w:t>
      </w:r>
      <w:r>
        <w:rPr>
          <w:spacing w:val="1"/>
        </w:rPr>
        <w:t>正</w:t>
      </w:r>
      <w:r>
        <w:rPr>
          <w:spacing w:val="2"/>
        </w:rPr>
        <w:t>电子发射</w:t>
      </w:r>
      <w:r>
        <w:rPr>
          <w:spacing w:val="1"/>
        </w:rPr>
        <w:t>断</w:t>
      </w:r>
      <w:r>
        <w:rPr>
          <w:spacing w:val="2"/>
        </w:rPr>
        <w:t>层扫描（</w:t>
      </w:r>
      <w:r>
        <w:rPr>
          <w:spacing w:val="-1"/>
        </w:rPr>
        <w:t>PE</w:t>
      </w:r>
      <w:r>
        <w:rPr>
          <w:spacing w:val="2"/>
        </w:rPr>
        <w:t>T）等影</w:t>
      </w:r>
      <w:r>
        <w:rPr>
          <w:spacing w:val="3"/>
        </w:rPr>
        <w:t>像</w:t>
      </w:r>
      <w:r>
        <w:rPr/>
        <w:t>学检查证实</w:t>
      </w:r>
      <w:r>
        <w:rPr>
          <w:spacing w:val="-3"/>
        </w:rPr>
        <w:t>。</w:t>
      </w:r>
      <w:r>
        <w:rPr/>
        <w:t>头部外伤导致神经系统功能障碍</w:t>
      </w:r>
      <w:r>
        <w:rPr>
          <w:spacing w:val="-3"/>
        </w:rPr>
        <w:t>，</w:t>
      </w:r>
      <w:r>
        <w:rPr/>
        <w:t>虽然未达到本附加险合同所指重大疾病“严重脑损伤”的给付标准，但须满足下列条件之一： </w:t>
      </w:r>
      <w:r>
        <w:rPr>
          <w:spacing w:val="-1"/>
        </w:rPr>
        <w:t>(1)已接受全麻下颅骨切开颅内血肿清除术（颅骨钻孔术除外</w:t>
      </w:r>
      <w:r>
        <w:rPr>
          <w:spacing w:val="-105"/>
        </w:rPr>
        <w:t>）</w:t>
      </w:r>
      <w:r>
        <w:rPr/>
        <w:t>； </w:t>
      </w:r>
      <w:r>
        <w:rPr>
          <w:spacing w:val="-1"/>
        </w:rPr>
        <w:t>     </w:t>
      </w:r>
      <w:r>
        <w:rPr/>
        <w:t>(2)在遭受外伤</w:t>
      </w:r>
      <w:r>
        <w:rPr>
          <w:spacing w:val="-19"/>
        </w:rPr>
        <w:t> </w:t>
      </w:r>
      <w:r>
        <w:rPr/>
        <w:t>180</w:t>
      </w:r>
      <w:r>
        <w:rPr>
          <w:spacing w:val="-19"/>
        </w:rPr>
        <w:t> </w:t>
      </w:r>
      <w:r>
        <w:rPr/>
        <w:t>天后一肢或一肢以上肢体机能部分丧失，其肢体肌力</w:t>
      </w:r>
    </w:p>
    <w:p>
      <w:pPr>
        <w:pStyle w:val="BodyText"/>
        <w:spacing w:before="11"/>
        <w:ind w:left="3134"/>
      </w:pPr>
      <w:r>
        <w:rPr/>
        <w:t>为Ⅲ级,或小于Ⅲ级。</w:t>
      </w:r>
    </w:p>
    <w:p>
      <w:pPr>
        <w:pStyle w:val="BodyText"/>
        <w:spacing w:before="2"/>
        <w:rPr>
          <w:sz w:val="19"/>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724"/>
        <w:gridCol w:w="6971"/>
      </w:tblGrid>
      <w:tr>
        <w:trPr>
          <w:trHeight w:val="706" w:hRule="atLeast"/>
        </w:trPr>
        <w:tc>
          <w:tcPr>
            <w:tcW w:w="847" w:type="dxa"/>
          </w:tcPr>
          <w:p>
            <w:pPr>
              <w:pStyle w:val="TableParagraph"/>
              <w:spacing w:line="210" w:lineRule="exact"/>
              <w:ind w:left="108"/>
              <w:rPr>
                <w:rFonts w:ascii="黑体"/>
                <w:sz w:val="21"/>
              </w:rPr>
            </w:pPr>
            <w:r>
              <w:rPr>
                <w:rFonts w:ascii="黑体"/>
                <w:sz w:val="21"/>
              </w:rPr>
              <w:t>10.2</w:t>
            </w:r>
          </w:p>
        </w:tc>
        <w:tc>
          <w:tcPr>
            <w:tcW w:w="1724" w:type="dxa"/>
          </w:tcPr>
          <w:p>
            <w:pPr>
              <w:pStyle w:val="TableParagraph"/>
              <w:spacing w:line="210" w:lineRule="exact"/>
              <w:ind w:left="317"/>
              <w:rPr>
                <w:rFonts w:ascii="黑体" w:eastAsia="黑体" w:hint="eastAsia"/>
                <w:sz w:val="21"/>
              </w:rPr>
            </w:pPr>
            <w:r>
              <w:rPr>
                <w:rFonts w:ascii="黑体" w:eastAsia="黑体" w:hint="eastAsia"/>
                <w:sz w:val="21"/>
              </w:rPr>
              <w:t>定义来源及确</w:t>
            </w:r>
          </w:p>
          <w:p>
            <w:pPr>
              <w:pStyle w:val="TableParagraph"/>
              <w:spacing w:before="44"/>
              <w:ind w:left="317"/>
              <w:rPr>
                <w:rFonts w:ascii="黑体" w:eastAsia="黑体" w:hint="eastAsia"/>
                <w:sz w:val="21"/>
              </w:rPr>
            </w:pPr>
            <w:r>
              <w:rPr>
                <w:rFonts w:ascii="黑体" w:eastAsia="黑体" w:hint="eastAsia"/>
                <w:sz w:val="21"/>
              </w:rPr>
              <w:t>诊医院范围</w:t>
            </w:r>
          </w:p>
        </w:tc>
        <w:tc>
          <w:tcPr>
            <w:tcW w:w="6971" w:type="dxa"/>
          </w:tcPr>
          <w:p>
            <w:pPr>
              <w:pStyle w:val="TableParagraph"/>
              <w:spacing w:line="210" w:lineRule="exact"/>
              <w:ind w:left="145"/>
              <w:rPr>
                <w:sz w:val="21"/>
              </w:rPr>
            </w:pPr>
            <w:r>
              <w:rPr>
                <w:sz w:val="21"/>
              </w:rPr>
              <w:t>以上特定疾病定义由我们根据通行的医学标准制定。</w:t>
            </w:r>
          </w:p>
          <w:p>
            <w:pPr>
              <w:pStyle w:val="TableParagraph"/>
              <w:spacing w:before="44"/>
              <w:ind w:left="145"/>
              <w:rPr>
                <w:sz w:val="21"/>
              </w:rPr>
            </w:pPr>
            <w:r>
              <w:rPr>
                <w:sz w:val="21"/>
              </w:rPr>
              <w:t>以上特定疾病须在卫生行政部门认定的二级以上（含二级）医院确诊。</w:t>
            </w:r>
          </w:p>
        </w:tc>
      </w:tr>
      <w:tr>
        <w:trPr>
          <w:trHeight w:val="311" w:hRule="atLeast"/>
        </w:trPr>
        <w:tc>
          <w:tcPr>
            <w:tcW w:w="847"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11．</w:t>
            </w:r>
          </w:p>
        </w:tc>
        <w:tc>
          <w:tcPr>
            <w:tcW w:w="1724" w:type="dxa"/>
            <w:shd w:val="clear" w:color="auto" w:fill="D3D3D3"/>
          </w:tcPr>
          <w:p>
            <w:pPr>
              <w:pStyle w:val="TableParagraph"/>
              <w:spacing w:before="10"/>
              <w:ind w:left="316"/>
              <w:rPr>
                <w:rFonts w:ascii="黑体" w:eastAsia="黑体" w:hint="eastAsia"/>
                <w:b/>
                <w:sz w:val="21"/>
              </w:rPr>
            </w:pPr>
            <w:r>
              <w:rPr>
                <w:rFonts w:ascii="黑体" w:eastAsia="黑体" w:hint="eastAsia"/>
                <w:b/>
                <w:w w:val="95"/>
                <w:sz w:val="21"/>
              </w:rPr>
              <w:t>释义</w:t>
            </w:r>
          </w:p>
        </w:tc>
        <w:tc>
          <w:tcPr>
            <w:tcW w:w="6971" w:type="dxa"/>
            <w:shd w:val="clear" w:color="auto" w:fill="D3D3D3"/>
          </w:tcPr>
          <w:p>
            <w:pPr>
              <w:pStyle w:val="TableParagraph"/>
              <w:rPr>
                <w:rFonts w:ascii="Times New Roman"/>
                <w:sz w:val="20"/>
              </w:rPr>
            </w:pPr>
          </w:p>
        </w:tc>
      </w:tr>
      <w:tr>
        <w:trPr>
          <w:trHeight w:val="482" w:hRule="atLeast"/>
        </w:trPr>
        <w:tc>
          <w:tcPr>
            <w:tcW w:w="847" w:type="dxa"/>
          </w:tcPr>
          <w:p>
            <w:pPr>
              <w:pStyle w:val="TableParagraph"/>
              <w:spacing w:before="153"/>
              <w:ind w:left="108"/>
              <w:rPr>
                <w:rFonts w:ascii="黑体"/>
                <w:sz w:val="21"/>
              </w:rPr>
            </w:pPr>
            <w:r>
              <w:rPr>
                <w:rFonts w:ascii="黑体"/>
                <w:sz w:val="21"/>
              </w:rPr>
              <w:t>11.1</w:t>
            </w:r>
          </w:p>
        </w:tc>
        <w:tc>
          <w:tcPr>
            <w:tcW w:w="1724" w:type="dxa"/>
          </w:tcPr>
          <w:p>
            <w:pPr>
              <w:pStyle w:val="TableParagraph"/>
              <w:spacing w:before="153"/>
              <w:ind w:left="316"/>
              <w:rPr>
                <w:rFonts w:ascii="黑体" w:eastAsia="黑体" w:hint="eastAsia"/>
                <w:sz w:val="21"/>
              </w:rPr>
            </w:pPr>
            <w:r>
              <w:rPr>
                <w:rFonts w:ascii="黑体" w:eastAsia="黑体" w:hint="eastAsia"/>
                <w:sz w:val="21"/>
              </w:rPr>
              <w:t>周岁</w:t>
            </w:r>
          </w:p>
        </w:tc>
        <w:tc>
          <w:tcPr>
            <w:tcW w:w="6971" w:type="dxa"/>
          </w:tcPr>
          <w:p>
            <w:pPr>
              <w:pStyle w:val="TableParagraph"/>
              <w:spacing w:before="153"/>
              <w:ind w:left="145"/>
              <w:rPr>
                <w:sz w:val="21"/>
              </w:rPr>
            </w:pPr>
            <w:r>
              <w:rPr>
                <w:sz w:val="21"/>
              </w:rPr>
              <w:t>指按有效身份证件中记载的出生日期计算的年龄，自出生之日起为零周</w:t>
            </w:r>
          </w:p>
        </w:tc>
      </w:tr>
      <w:tr>
        <w:trPr>
          <w:trHeight w:val="390"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岁，每经过一年增加一岁，不足一年的不计。</w:t>
            </w:r>
          </w:p>
        </w:tc>
      </w:tr>
      <w:tr>
        <w:trPr>
          <w:trHeight w:val="391" w:hRule="atLeast"/>
        </w:trPr>
        <w:tc>
          <w:tcPr>
            <w:tcW w:w="847" w:type="dxa"/>
          </w:tcPr>
          <w:p>
            <w:pPr>
              <w:pStyle w:val="TableParagraph"/>
              <w:spacing w:before="61"/>
              <w:ind w:left="108"/>
              <w:rPr>
                <w:rFonts w:ascii="黑体"/>
                <w:sz w:val="21"/>
              </w:rPr>
            </w:pPr>
            <w:r>
              <w:rPr>
                <w:rFonts w:ascii="黑体"/>
                <w:sz w:val="21"/>
              </w:rPr>
              <w:t>11.2</w:t>
            </w:r>
          </w:p>
        </w:tc>
        <w:tc>
          <w:tcPr>
            <w:tcW w:w="1724" w:type="dxa"/>
          </w:tcPr>
          <w:p>
            <w:pPr>
              <w:pStyle w:val="TableParagraph"/>
              <w:spacing w:before="61"/>
              <w:ind w:left="317"/>
              <w:rPr>
                <w:rFonts w:ascii="黑体" w:eastAsia="黑体" w:hint="eastAsia"/>
                <w:sz w:val="21"/>
              </w:rPr>
            </w:pPr>
            <w:r>
              <w:rPr>
                <w:rFonts w:ascii="黑体" w:eastAsia="黑体" w:hint="eastAsia"/>
                <w:sz w:val="21"/>
              </w:rPr>
              <w:t>有效身份证件</w:t>
            </w:r>
          </w:p>
        </w:tc>
        <w:tc>
          <w:tcPr>
            <w:tcW w:w="6971" w:type="dxa"/>
          </w:tcPr>
          <w:p>
            <w:pPr>
              <w:pStyle w:val="TableParagraph"/>
              <w:spacing w:before="61"/>
              <w:ind w:left="145"/>
              <w:rPr>
                <w:sz w:val="21"/>
              </w:rPr>
            </w:pPr>
            <w:r>
              <w:rPr>
                <w:sz w:val="21"/>
              </w:rPr>
              <w:t>指由政府主管部门规定的证明其身份的证件，如：居民身份证、按规定可</w:t>
            </w:r>
          </w:p>
        </w:tc>
      </w:tr>
      <w:tr>
        <w:trPr>
          <w:trHeight w:val="391"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使用的有效护照、军官证、警官证、士兵证、户口簿等证件。</w:t>
            </w:r>
          </w:p>
        </w:tc>
      </w:tr>
      <w:tr>
        <w:trPr>
          <w:trHeight w:val="391" w:hRule="atLeast"/>
        </w:trPr>
        <w:tc>
          <w:tcPr>
            <w:tcW w:w="847" w:type="dxa"/>
          </w:tcPr>
          <w:p>
            <w:pPr>
              <w:pStyle w:val="TableParagraph"/>
              <w:spacing w:before="61"/>
              <w:ind w:left="108"/>
              <w:rPr>
                <w:rFonts w:ascii="黑体"/>
                <w:sz w:val="21"/>
              </w:rPr>
            </w:pPr>
            <w:r>
              <w:rPr>
                <w:rFonts w:ascii="黑体"/>
                <w:sz w:val="21"/>
              </w:rPr>
              <w:t>11.3</w:t>
            </w:r>
          </w:p>
        </w:tc>
        <w:tc>
          <w:tcPr>
            <w:tcW w:w="1724" w:type="dxa"/>
          </w:tcPr>
          <w:p>
            <w:pPr>
              <w:pStyle w:val="TableParagraph"/>
              <w:spacing w:before="61"/>
              <w:ind w:left="317"/>
              <w:rPr>
                <w:rFonts w:ascii="黑体" w:eastAsia="黑体" w:hint="eastAsia"/>
                <w:sz w:val="21"/>
              </w:rPr>
            </w:pPr>
            <w:r>
              <w:rPr>
                <w:rFonts w:ascii="黑体" w:eastAsia="黑体" w:hint="eastAsia"/>
                <w:sz w:val="21"/>
              </w:rPr>
              <w:t>意外伤害</w:t>
            </w:r>
          </w:p>
        </w:tc>
        <w:tc>
          <w:tcPr>
            <w:tcW w:w="6971" w:type="dxa"/>
          </w:tcPr>
          <w:p>
            <w:pPr>
              <w:pStyle w:val="TableParagraph"/>
              <w:spacing w:before="61"/>
              <w:ind w:left="145"/>
              <w:rPr>
                <w:sz w:val="21"/>
              </w:rPr>
            </w:pPr>
            <w:r>
              <w:rPr>
                <w:sz w:val="21"/>
              </w:rPr>
              <w:t>指遭受外来的、突发的、非本意的、非疾病的客观事件直接致使身体受到</w:t>
            </w:r>
          </w:p>
        </w:tc>
      </w:tr>
      <w:tr>
        <w:trPr>
          <w:trHeight w:val="391"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的伤害。</w:t>
            </w:r>
          </w:p>
        </w:tc>
      </w:tr>
      <w:tr>
        <w:trPr>
          <w:trHeight w:val="390" w:hRule="atLeast"/>
        </w:trPr>
        <w:tc>
          <w:tcPr>
            <w:tcW w:w="847" w:type="dxa"/>
          </w:tcPr>
          <w:p>
            <w:pPr>
              <w:pStyle w:val="TableParagraph"/>
              <w:spacing w:before="61"/>
              <w:ind w:left="108"/>
              <w:rPr>
                <w:rFonts w:ascii="黑体"/>
                <w:sz w:val="21"/>
              </w:rPr>
            </w:pPr>
            <w:r>
              <w:rPr>
                <w:rFonts w:ascii="黑体"/>
                <w:sz w:val="21"/>
              </w:rPr>
              <w:t>11.4</w:t>
            </w:r>
          </w:p>
        </w:tc>
        <w:tc>
          <w:tcPr>
            <w:tcW w:w="1724" w:type="dxa"/>
          </w:tcPr>
          <w:p>
            <w:pPr>
              <w:pStyle w:val="TableParagraph"/>
              <w:spacing w:before="61"/>
              <w:ind w:left="316"/>
              <w:rPr>
                <w:rFonts w:ascii="黑体" w:eastAsia="黑体" w:hint="eastAsia"/>
                <w:sz w:val="21"/>
              </w:rPr>
            </w:pPr>
            <w:r>
              <w:rPr>
                <w:rFonts w:ascii="黑体" w:eastAsia="黑体" w:hint="eastAsia"/>
                <w:sz w:val="21"/>
              </w:rPr>
              <w:t>毒品</w:t>
            </w:r>
          </w:p>
        </w:tc>
        <w:tc>
          <w:tcPr>
            <w:tcW w:w="6971" w:type="dxa"/>
          </w:tcPr>
          <w:p>
            <w:pPr>
              <w:pStyle w:val="TableParagraph"/>
              <w:spacing w:before="61"/>
              <w:ind w:left="145"/>
              <w:rPr>
                <w:sz w:val="21"/>
              </w:rPr>
            </w:pPr>
            <w:r>
              <w:rPr>
                <w:spacing w:val="-1"/>
                <w:sz w:val="21"/>
              </w:rPr>
              <w:t>指中华人民共和国刑法规定的鸦片、海洛因、甲基苯丙胺</w:t>
            </w:r>
            <w:r>
              <w:rPr>
                <w:sz w:val="21"/>
              </w:rPr>
              <w:t>（冰毒</w:t>
            </w:r>
            <w:r>
              <w:rPr>
                <w:spacing w:val="-105"/>
                <w:sz w:val="21"/>
              </w:rPr>
              <w:t>）</w:t>
            </w:r>
            <w:r>
              <w:rPr>
                <w:sz w:val="21"/>
              </w:rPr>
              <w:t>、吗啡、</w:t>
            </w:r>
          </w:p>
        </w:tc>
      </w:tr>
      <w:tr>
        <w:trPr>
          <w:trHeight w:val="319"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大麻、可卡因以及国家规定管制的其他能够使人形成瘾癖的麻醉药品和精</w:t>
            </w:r>
          </w:p>
        </w:tc>
      </w:tr>
      <w:tr>
        <w:trPr>
          <w:trHeight w:val="320"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神药品，但不包括由医生开具并遵医嘱使用的用于治疗疾病但含有毒品成</w:t>
            </w:r>
          </w:p>
        </w:tc>
      </w:tr>
      <w:tr>
        <w:trPr>
          <w:trHeight w:val="391"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分的处方药品。</w:t>
            </w:r>
          </w:p>
        </w:tc>
      </w:tr>
      <w:tr>
        <w:trPr>
          <w:trHeight w:val="390" w:hRule="atLeast"/>
        </w:trPr>
        <w:tc>
          <w:tcPr>
            <w:tcW w:w="847" w:type="dxa"/>
          </w:tcPr>
          <w:p>
            <w:pPr>
              <w:pStyle w:val="TableParagraph"/>
              <w:spacing w:before="61"/>
              <w:ind w:left="108"/>
              <w:rPr>
                <w:rFonts w:ascii="黑体"/>
                <w:sz w:val="21"/>
              </w:rPr>
            </w:pPr>
            <w:r>
              <w:rPr>
                <w:rFonts w:ascii="黑体"/>
                <w:sz w:val="21"/>
              </w:rPr>
              <w:t>11.5</w:t>
            </w:r>
          </w:p>
        </w:tc>
        <w:tc>
          <w:tcPr>
            <w:tcW w:w="1724" w:type="dxa"/>
          </w:tcPr>
          <w:p>
            <w:pPr>
              <w:pStyle w:val="TableParagraph"/>
              <w:spacing w:before="61"/>
              <w:ind w:left="317"/>
              <w:rPr>
                <w:rFonts w:ascii="黑体" w:eastAsia="黑体" w:hint="eastAsia"/>
                <w:sz w:val="21"/>
              </w:rPr>
            </w:pPr>
            <w:r>
              <w:rPr>
                <w:rFonts w:ascii="黑体" w:eastAsia="黑体" w:hint="eastAsia"/>
                <w:sz w:val="21"/>
              </w:rPr>
              <w:t>酒后驾驶</w:t>
            </w:r>
          </w:p>
        </w:tc>
        <w:tc>
          <w:tcPr>
            <w:tcW w:w="6971" w:type="dxa"/>
          </w:tcPr>
          <w:p>
            <w:pPr>
              <w:pStyle w:val="TableParagraph"/>
              <w:spacing w:before="61"/>
              <w:ind w:left="145"/>
              <w:rPr>
                <w:sz w:val="21"/>
              </w:rPr>
            </w:pPr>
            <w:r>
              <w:rPr>
                <w:sz w:val="21"/>
              </w:rPr>
              <w:t>指经检测或鉴定，发生事故时车辆驾驶人员每百毫升血液中的酒精含量达</w:t>
            </w:r>
          </w:p>
        </w:tc>
      </w:tr>
      <w:tr>
        <w:trPr>
          <w:trHeight w:val="319"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到或超过一定的标准，公安机关交通管理部门依据《道路交通安全法》的</w:t>
            </w:r>
          </w:p>
        </w:tc>
      </w:tr>
      <w:tr>
        <w:trPr>
          <w:trHeight w:val="391"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规定认定为饮酒后驾驶或醉酒后驾驶。</w:t>
            </w:r>
          </w:p>
        </w:tc>
      </w:tr>
      <w:tr>
        <w:trPr>
          <w:trHeight w:val="391" w:hRule="atLeast"/>
        </w:trPr>
        <w:tc>
          <w:tcPr>
            <w:tcW w:w="847" w:type="dxa"/>
          </w:tcPr>
          <w:p>
            <w:pPr>
              <w:pStyle w:val="TableParagraph"/>
              <w:spacing w:before="61"/>
              <w:ind w:left="108"/>
              <w:rPr>
                <w:rFonts w:ascii="黑体"/>
                <w:sz w:val="21"/>
              </w:rPr>
            </w:pPr>
            <w:r>
              <w:rPr>
                <w:rFonts w:ascii="黑体"/>
                <w:sz w:val="21"/>
              </w:rPr>
              <w:t>11.6</w:t>
            </w:r>
          </w:p>
        </w:tc>
        <w:tc>
          <w:tcPr>
            <w:tcW w:w="1724" w:type="dxa"/>
          </w:tcPr>
          <w:p>
            <w:pPr>
              <w:pStyle w:val="TableParagraph"/>
              <w:spacing w:before="61"/>
              <w:ind w:left="317"/>
              <w:rPr>
                <w:rFonts w:ascii="黑体" w:eastAsia="黑体" w:hint="eastAsia"/>
                <w:sz w:val="21"/>
              </w:rPr>
            </w:pPr>
            <w:r>
              <w:rPr>
                <w:rFonts w:ascii="黑体" w:eastAsia="黑体" w:hint="eastAsia"/>
                <w:sz w:val="21"/>
              </w:rPr>
              <w:t>无合法有效驾</w:t>
            </w:r>
          </w:p>
        </w:tc>
        <w:tc>
          <w:tcPr>
            <w:tcW w:w="6971" w:type="dxa"/>
          </w:tcPr>
          <w:p>
            <w:pPr>
              <w:pStyle w:val="TableParagraph"/>
              <w:spacing w:before="61"/>
              <w:ind w:left="145"/>
              <w:rPr>
                <w:sz w:val="21"/>
              </w:rPr>
            </w:pPr>
            <w:r>
              <w:rPr>
                <w:sz w:val="21"/>
              </w:rPr>
              <w:t>指下列情形之一：</w:t>
            </w:r>
          </w:p>
        </w:tc>
      </w:tr>
      <w:tr>
        <w:trPr>
          <w:trHeight w:val="319" w:hRule="atLeast"/>
        </w:trPr>
        <w:tc>
          <w:tcPr>
            <w:tcW w:w="847" w:type="dxa"/>
          </w:tcPr>
          <w:p>
            <w:pPr>
              <w:pStyle w:val="TableParagraph"/>
              <w:rPr>
                <w:rFonts w:ascii="Times New Roman"/>
                <w:sz w:val="20"/>
              </w:rPr>
            </w:pPr>
          </w:p>
        </w:tc>
        <w:tc>
          <w:tcPr>
            <w:tcW w:w="1724" w:type="dxa"/>
          </w:tcPr>
          <w:p>
            <w:pPr>
              <w:pStyle w:val="TableParagraph"/>
              <w:spacing w:line="265" w:lineRule="exact"/>
              <w:ind w:left="317"/>
              <w:rPr>
                <w:rFonts w:ascii="黑体" w:eastAsia="黑体" w:hint="eastAsia"/>
                <w:sz w:val="21"/>
              </w:rPr>
            </w:pPr>
            <w:r>
              <w:rPr>
                <w:rFonts w:ascii="黑体" w:eastAsia="黑体" w:hint="eastAsia"/>
                <w:sz w:val="21"/>
              </w:rPr>
              <w:t>驶证驾驶</w:t>
            </w:r>
          </w:p>
        </w:tc>
        <w:tc>
          <w:tcPr>
            <w:tcW w:w="6971" w:type="dxa"/>
          </w:tcPr>
          <w:p>
            <w:pPr>
              <w:pStyle w:val="TableParagraph"/>
              <w:spacing w:line="265" w:lineRule="exact"/>
              <w:ind w:left="145"/>
              <w:rPr>
                <w:sz w:val="21"/>
              </w:rPr>
            </w:pPr>
            <w:r>
              <w:rPr>
                <w:sz w:val="21"/>
              </w:rPr>
              <w:t>(1)没有取得驾驶资格；</w:t>
            </w:r>
          </w:p>
        </w:tc>
      </w:tr>
      <w:tr>
        <w:trPr>
          <w:trHeight w:val="319"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(2)驾驶与驾驶证准驾车型不相符合的车辆；</w:t>
            </w:r>
          </w:p>
        </w:tc>
      </w:tr>
      <w:tr>
        <w:trPr>
          <w:trHeight w:val="320"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(3)持审验不合格的驾驶证驾驶；</w:t>
            </w:r>
          </w:p>
        </w:tc>
      </w:tr>
      <w:tr>
        <w:trPr>
          <w:trHeight w:val="710"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78" w:lineRule="auto"/>
              <w:ind w:left="461" w:right="108" w:hanging="316"/>
              <w:rPr>
                <w:sz w:val="21"/>
              </w:rPr>
            </w:pPr>
            <w:r>
              <w:rPr>
                <w:sz w:val="21"/>
              </w:rPr>
              <w:t>(4)持学习驾驶证学习驾车时，无教练员随车指导，或不按指定时间、路线学习驾车。</w:t>
            </w:r>
          </w:p>
        </w:tc>
      </w:tr>
      <w:tr>
        <w:trPr>
          <w:trHeight w:val="391" w:hRule="atLeast"/>
        </w:trPr>
        <w:tc>
          <w:tcPr>
            <w:tcW w:w="847" w:type="dxa"/>
          </w:tcPr>
          <w:p>
            <w:pPr>
              <w:pStyle w:val="TableParagraph"/>
              <w:spacing w:before="61"/>
              <w:ind w:left="108"/>
              <w:rPr>
                <w:rFonts w:ascii="黑体"/>
                <w:sz w:val="21"/>
              </w:rPr>
            </w:pPr>
            <w:r>
              <w:rPr>
                <w:rFonts w:ascii="黑体"/>
                <w:sz w:val="21"/>
              </w:rPr>
              <w:t>11.7</w:t>
            </w:r>
          </w:p>
        </w:tc>
        <w:tc>
          <w:tcPr>
            <w:tcW w:w="1724" w:type="dxa"/>
          </w:tcPr>
          <w:p>
            <w:pPr>
              <w:pStyle w:val="TableParagraph"/>
              <w:spacing w:before="61"/>
              <w:ind w:left="317"/>
              <w:rPr>
                <w:rFonts w:ascii="黑体" w:eastAsia="黑体" w:hint="eastAsia"/>
                <w:sz w:val="21"/>
              </w:rPr>
            </w:pPr>
            <w:r>
              <w:rPr>
                <w:rFonts w:ascii="黑体" w:eastAsia="黑体" w:hint="eastAsia"/>
                <w:sz w:val="21"/>
              </w:rPr>
              <w:t>无有效行驶证</w:t>
            </w:r>
          </w:p>
        </w:tc>
        <w:tc>
          <w:tcPr>
            <w:tcW w:w="6971" w:type="dxa"/>
          </w:tcPr>
          <w:p>
            <w:pPr>
              <w:pStyle w:val="TableParagraph"/>
              <w:spacing w:before="61"/>
              <w:ind w:left="145"/>
              <w:rPr>
                <w:sz w:val="21"/>
              </w:rPr>
            </w:pPr>
            <w:r>
              <w:rPr>
                <w:sz w:val="21"/>
              </w:rPr>
              <w:t>指下列情形之一：</w:t>
            </w:r>
          </w:p>
        </w:tc>
      </w:tr>
      <w:tr>
        <w:trPr>
          <w:trHeight w:val="320"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(1)机动车被依法注销登记的；</w:t>
            </w:r>
          </w:p>
        </w:tc>
      </w:tr>
      <w:tr>
        <w:trPr>
          <w:trHeight w:val="391"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(2)未依法按时进行或通过机动车安全技术检验。</w:t>
            </w:r>
          </w:p>
        </w:tc>
      </w:tr>
      <w:tr>
        <w:trPr>
          <w:trHeight w:val="390" w:hRule="atLeast"/>
        </w:trPr>
        <w:tc>
          <w:tcPr>
            <w:tcW w:w="847" w:type="dxa"/>
          </w:tcPr>
          <w:p>
            <w:pPr>
              <w:pStyle w:val="TableParagraph"/>
              <w:spacing w:before="61"/>
              <w:ind w:left="108"/>
              <w:rPr>
                <w:rFonts w:ascii="黑体"/>
                <w:sz w:val="21"/>
              </w:rPr>
            </w:pPr>
            <w:r>
              <w:rPr>
                <w:rFonts w:ascii="黑体"/>
                <w:sz w:val="21"/>
              </w:rPr>
              <w:t>11.8</w:t>
            </w:r>
          </w:p>
        </w:tc>
        <w:tc>
          <w:tcPr>
            <w:tcW w:w="1724" w:type="dxa"/>
          </w:tcPr>
          <w:p>
            <w:pPr>
              <w:pStyle w:val="TableParagraph"/>
              <w:spacing w:before="61"/>
              <w:ind w:left="317"/>
              <w:rPr>
                <w:rFonts w:ascii="黑体" w:eastAsia="黑体" w:hint="eastAsia"/>
                <w:sz w:val="21"/>
              </w:rPr>
            </w:pPr>
            <w:r>
              <w:rPr>
                <w:rFonts w:ascii="黑体" w:eastAsia="黑体" w:hint="eastAsia"/>
                <w:sz w:val="21"/>
              </w:rPr>
              <w:t>机动车</w:t>
            </w:r>
          </w:p>
        </w:tc>
        <w:tc>
          <w:tcPr>
            <w:tcW w:w="6971" w:type="dxa"/>
          </w:tcPr>
          <w:p>
            <w:pPr>
              <w:pStyle w:val="TableParagraph"/>
              <w:spacing w:before="61"/>
              <w:ind w:left="145"/>
              <w:rPr>
                <w:sz w:val="21"/>
              </w:rPr>
            </w:pPr>
            <w:r>
              <w:rPr>
                <w:sz w:val="21"/>
              </w:rPr>
              <w:t>指以动力装置驱动或者牵引，上道路行驶的供人员乘用或者用于运送物品</w:t>
            </w:r>
          </w:p>
        </w:tc>
      </w:tr>
      <w:tr>
        <w:trPr>
          <w:trHeight w:val="390"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以及进行工程专项作业的轮式车辆。</w:t>
            </w:r>
          </w:p>
        </w:tc>
      </w:tr>
      <w:tr>
        <w:trPr>
          <w:trHeight w:val="391" w:hRule="atLeast"/>
        </w:trPr>
        <w:tc>
          <w:tcPr>
            <w:tcW w:w="847" w:type="dxa"/>
          </w:tcPr>
          <w:p>
            <w:pPr>
              <w:pStyle w:val="TableParagraph"/>
              <w:spacing w:before="61"/>
              <w:ind w:left="108"/>
              <w:rPr>
                <w:rFonts w:ascii="黑体"/>
                <w:sz w:val="21"/>
              </w:rPr>
            </w:pPr>
            <w:r>
              <w:rPr>
                <w:rFonts w:ascii="黑体"/>
                <w:sz w:val="21"/>
              </w:rPr>
              <w:t>11.9</w:t>
            </w:r>
          </w:p>
        </w:tc>
        <w:tc>
          <w:tcPr>
            <w:tcW w:w="1724" w:type="dxa"/>
          </w:tcPr>
          <w:p>
            <w:pPr>
              <w:pStyle w:val="TableParagraph"/>
              <w:spacing w:before="61"/>
              <w:ind w:left="317"/>
              <w:rPr>
                <w:rFonts w:ascii="黑体" w:eastAsia="黑体" w:hint="eastAsia"/>
                <w:sz w:val="21"/>
              </w:rPr>
            </w:pPr>
            <w:r>
              <w:rPr>
                <w:rFonts w:ascii="黑体" w:eastAsia="黑体" w:hint="eastAsia"/>
                <w:sz w:val="21"/>
              </w:rPr>
              <w:t>感染艾滋病病</w:t>
            </w:r>
          </w:p>
        </w:tc>
        <w:tc>
          <w:tcPr>
            <w:tcW w:w="6971" w:type="dxa"/>
          </w:tcPr>
          <w:p>
            <w:pPr>
              <w:pStyle w:val="TableParagraph"/>
              <w:spacing w:before="61"/>
              <w:ind w:left="145"/>
              <w:rPr>
                <w:sz w:val="21"/>
              </w:rPr>
            </w:pPr>
            <w:r>
              <w:rPr>
                <w:sz w:val="21"/>
              </w:rPr>
              <w:t>艾滋病病毒指人类免疫缺陷病毒，英文缩写为 HIV。艾滋病指人类免疫缺</w:t>
            </w:r>
          </w:p>
        </w:tc>
      </w:tr>
      <w:tr>
        <w:trPr>
          <w:trHeight w:val="320" w:hRule="atLeast"/>
        </w:trPr>
        <w:tc>
          <w:tcPr>
            <w:tcW w:w="847" w:type="dxa"/>
          </w:tcPr>
          <w:p>
            <w:pPr>
              <w:pStyle w:val="TableParagraph"/>
              <w:rPr>
                <w:rFonts w:ascii="Times New Roman"/>
                <w:sz w:val="20"/>
              </w:rPr>
            </w:pPr>
          </w:p>
        </w:tc>
        <w:tc>
          <w:tcPr>
            <w:tcW w:w="1724" w:type="dxa"/>
          </w:tcPr>
          <w:p>
            <w:pPr>
              <w:pStyle w:val="TableParagraph"/>
              <w:spacing w:line="265" w:lineRule="exact"/>
              <w:ind w:left="317"/>
              <w:rPr>
                <w:rFonts w:ascii="黑体" w:eastAsia="黑体" w:hint="eastAsia"/>
                <w:sz w:val="21"/>
              </w:rPr>
            </w:pPr>
            <w:r>
              <w:rPr>
                <w:rFonts w:ascii="黑体" w:eastAsia="黑体" w:hint="eastAsia"/>
                <w:sz w:val="21"/>
              </w:rPr>
              <w:t>毒或患艾滋病</w:t>
            </w:r>
          </w:p>
        </w:tc>
        <w:tc>
          <w:tcPr>
            <w:tcW w:w="6971" w:type="dxa"/>
          </w:tcPr>
          <w:p>
            <w:pPr>
              <w:pStyle w:val="TableParagraph"/>
              <w:spacing w:line="265" w:lineRule="exact"/>
              <w:ind w:left="145"/>
              <w:rPr>
                <w:sz w:val="21"/>
              </w:rPr>
            </w:pPr>
            <w:r>
              <w:rPr>
                <w:sz w:val="21"/>
              </w:rPr>
              <w:t>陷病毒引起的获得性免疫缺陷综合征，英文缩写为 AIDS。</w:t>
            </w:r>
          </w:p>
        </w:tc>
      </w:tr>
      <w:tr>
        <w:trPr>
          <w:trHeight w:val="265" w:hRule="atLeast"/>
        </w:trPr>
        <w:tc>
          <w:tcPr>
            <w:tcW w:w="847" w:type="dxa"/>
          </w:tcPr>
          <w:p>
            <w:pPr>
              <w:pStyle w:val="TableParagraph"/>
              <w:rPr>
                <w:rFonts w:ascii="Times New Roman"/>
                <w:sz w:val="18"/>
              </w:rPr>
            </w:pPr>
          </w:p>
        </w:tc>
        <w:tc>
          <w:tcPr>
            <w:tcW w:w="1724" w:type="dxa"/>
          </w:tcPr>
          <w:p>
            <w:pPr>
              <w:pStyle w:val="TableParagraph"/>
              <w:rPr>
                <w:rFonts w:ascii="Times New Roman"/>
                <w:sz w:val="18"/>
              </w:rPr>
            </w:pPr>
          </w:p>
        </w:tc>
        <w:tc>
          <w:tcPr>
            <w:tcW w:w="6971" w:type="dxa"/>
          </w:tcPr>
          <w:p>
            <w:pPr>
              <w:pStyle w:val="TableParagraph"/>
              <w:spacing w:line="245" w:lineRule="exact"/>
              <w:ind w:left="145"/>
              <w:rPr>
                <w:sz w:val="21"/>
              </w:rPr>
            </w:pPr>
            <w:r>
              <w:rPr>
                <w:sz w:val="21"/>
              </w:rPr>
              <w:t>在人体血液或其他样本中检测到艾滋病病毒或其抗体呈阳性，没有出现临</w:t>
            </w:r>
          </w:p>
        </w:tc>
      </w:tr>
    </w:tbl>
    <w:p>
      <w:pPr>
        <w:spacing w:after="0" w:line="245" w:lineRule="exact"/>
        <w:rPr>
          <w:sz w:val="21"/>
        </w:rPr>
        <w:sectPr>
          <w:pgSz w:w="11910" w:h="16840"/>
          <w:pgMar w:top="1420" w:bottom="280" w:left="1080" w:right="1080"/>
        </w:sectPr>
      </w:pPr>
    </w:p>
    <w:p>
      <w:pPr>
        <w:pStyle w:val="BodyText"/>
        <w:spacing w:line="278" w:lineRule="auto" w:before="8"/>
        <w:ind w:left="2778" w:right="228"/>
      </w:pPr>
      <w:r>
        <w:rPr/>
        <w:t>床症状或体征的，为感染艾滋病病毒；如果同时出现了明显临床症状或体征的，为患艾滋病。</w:t>
      </w:r>
    </w:p>
    <w:p>
      <w:pPr>
        <w:pStyle w:val="ListParagraph"/>
        <w:numPr>
          <w:ilvl w:val="1"/>
          <w:numId w:val="9"/>
        </w:numPr>
        <w:tabs>
          <w:tab w:pos="1225" w:val="left" w:leader="none"/>
          <w:tab w:pos="1227" w:val="left" w:leader="none"/>
          <w:tab w:pos="2778" w:val="left" w:leader="none"/>
        </w:tabs>
        <w:spacing w:line="280" w:lineRule="auto" w:before="153" w:after="0"/>
        <w:ind w:left="2778" w:right="228" w:hanging="2609"/>
        <w:jc w:val="left"/>
        <w:rPr>
          <w:sz w:val="21"/>
        </w:rPr>
      </w:pPr>
      <w:r>
        <w:rPr>
          <w:rFonts w:ascii="黑体" w:eastAsia="黑体" w:hint="eastAsia"/>
          <w:sz w:val="21"/>
        </w:rPr>
        <w:t>遗传性疾病</w:t>
        <w:tab/>
      </w:r>
      <w:r>
        <w:rPr>
          <w:sz w:val="21"/>
        </w:rPr>
        <w:t>指生殖细胞或受精卵的遗传物</w:t>
      </w:r>
      <w:r>
        <w:rPr>
          <w:spacing w:val="-3"/>
          <w:sz w:val="21"/>
        </w:rPr>
        <w:t>质</w:t>
      </w:r>
      <w:r>
        <w:rPr>
          <w:sz w:val="21"/>
        </w:rPr>
        <w:t>（染色体和基因</w:t>
      </w:r>
      <w:r>
        <w:rPr>
          <w:spacing w:val="-3"/>
          <w:sz w:val="21"/>
        </w:rPr>
        <w:t>）</w:t>
      </w:r>
      <w:r>
        <w:rPr>
          <w:sz w:val="21"/>
        </w:rPr>
        <w:t>发生突变或畸变所引起的疾病，通常具有由亲代传至后代的垂直传递的特征。</w:t>
      </w:r>
    </w:p>
    <w:p>
      <w:pPr>
        <w:pStyle w:val="BodyText"/>
        <w:spacing w:before="11"/>
        <w:rPr>
          <w:sz w:val="8"/>
        </w:rPr>
      </w:pPr>
    </w:p>
    <w:p>
      <w:pPr>
        <w:spacing w:after="0"/>
        <w:rPr>
          <w:sz w:val="8"/>
        </w:rPr>
        <w:sectPr>
          <w:pgSz w:w="11910" w:h="16840"/>
          <w:pgMar w:top="1420" w:bottom="280" w:left="1120" w:right="1060"/>
        </w:sectPr>
      </w:pPr>
    </w:p>
    <w:p>
      <w:pPr>
        <w:pStyle w:val="ListParagraph"/>
        <w:numPr>
          <w:ilvl w:val="1"/>
          <w:numId w:val="9"/>
        </w:numPr>
        <w:tabs>
          <w:tab w:pos="1227" w:val="left" w:leader="none"/>
        </w:tabs>
        <w:spacing w:line="278" w:lineRule="auto" w:before="36" w:after="0"/>
        <w:ind w:left="1225" w:right="0" w:hanging="1056"/>
        <w:jc w:val="both"/>
        <w:rPr>
          <w:rFonts w:ascii="黑体" w:eastAsia="黑体" w:hint="eastAsia"/>
          <w:sz w:val="21"/>
        </w:rPr>
      </w:pPr>
      <w:r>
        <w:rPr>
          <w:rFonts w:ascii="黑体" w:eastAsia="黑体" w:hint="eastAsia"/>
          <w:spacing w:val="-1"/>
          <w:sz w:val="21"/>
        </w:rPr>
        <w:t>先天性畸形、变形或染色体异常</w:t>
      </w:r>
    </w:p>
    <w:p>
      <w:pPr>
        <w:pStyle w:val="BodyText"/>
        <w:spacing w:line="280" w:lineRule="auto" w:before="36"/>
        <w:ind w:left="169" w:right="115"/>
      </w:pPr>
      <w:r>
        <w:rPr/>
        <w:br w:type="column"/>
      </w:r>
      <w:r>
        <w:rPr/>
        <w:t>指被保险人出生时就具有的畸形、变形或染色体异常。先天性畸形、变形和染色体异常依照世界卫生组织《疾病和有关健康问题的国际统计分类》</w:t>
      </w:r>
    </w:p>
    <w:p>
      <w:pPr>
        <w:pStyle w:val="BodyText"/>
        <w:spacing w:before="8"/>
        <w:ind w:left="169"/>
      </w:pPr>
      <w:r>
        <w:rPr/>
        <w:t>（ICD-10）确定。</w:t>
      </w:r>
    </w:p>
    <w:p>
      <w:pPr>
        <w:spacing w:after="0"/>
        <w:sectPr>
          <w:type w:val="continuous"/>
          <w:pgSz w:w="11910" w:h="16840"/>
          <w:pgMar w:top="1280" w:bottom="280" w:left="1120" w:right="1060"/>
          <w:cols w:num="2" w:equalWidth="0">
            <w:col w:w="2486" w:space="122"/>
            <w:col w:w="7122"/>
          </w:cols>
        </w:sectPr>
      </w:pPr>
    </w:p>
    <w:p>
      <w:pPr>
        <w:pStyle w:val="BodyText"/>
        <w:spacing w:before="0"/>
        <w:rPr>
          <w:sz w:val="9"/>
        </w:rPr>
      </w:pPr>
    </w:p>
    <w:p>
      <w:pPr>
        <w:pStyle w:val="ListParagraph"/>
        <w:numPr>
          <w:ilvl w:val="1"/>
          <w:numId w:val="9"/>
        </w:numPr>
        <w:tabs>
          <w:tab w:pos="1227" w:val="left" w:leader="none"/>
        </w:tabs>
        <w:spacing w:line="278" w:lineRule="auto" w:before="36" w:after="0"/>
        <w:ind w:left="2778" w:right="227" w:hanging="2609"/>
        <w:jc w:val="both"/>
        <w:rPr>
          <w:sz w:val="21"/>
        </w:rPr>
      </w:pPr>
      <w:r>
        <w:rPr>
          <w:rFonts w:ascii="黑体" w:eastAsia="黑体" w:hint="eastAsia"/>
          <w:spacing w:val="7"/>
          <w:sz w:val="21"/>
        </w:rPr>
        <w:t>现金价值     </w:t>
      </w:r>
      <w:r>
        <w:rPr>
          <w:spacing w:val="-2"/>
          <w:sz w:val="21"/>
        </w:rPr>
        <w:t>指本附加险合同保险单所具有的价值，通常体现为解除合同时，根据精算</w:t>
      </w:r>
      <w:r>
        <w:rPr>
          <w:spacing w:val="-3"/>
          <w:sz w:val="21"/>
        </w:rPr>
        <w:t>原理计算的，由我们退还的那部分金额。现金价值见本附加险合同相应栏目。在本附加险合同相应栏目所载明的现金价值是未发生提前给付情况下的现金价值，若我们已按本附加险合同的约定提前给付过保险金，本附加险合同保险单的现金价值将按有效保险金额提前给付的比例相应减少。</w:t>
      </w:r>
    </w:p>
    <w:p>
      <w:pPr>
        <w:pStyle w:val="ListParagraph"/>
        <w:numPr>
          <w:ilvl w:val="1"/>
          <w:numId w:val="9"/>
        </w:numPr>
        <w:tabs>
          <w:tab w:pos="1226" w:val="left" w:leader="none"/>
        </w:tabs>
        <w:spacing w:line="280" w:lineRule="auto" w:before="153" w:after="0"/>
        <w:ind w:left="2778" w:right="223" w:hanging="2609"/>
        <w:jc w:val="both"/>
        <w:rPr>
          <w:sz w:val="21"/>
        </w:rPr>
      </w:pPr>
      <w:r>
        <w:rPr>
          <w:rFonts w:ascii="黑体" w:eastAsia="黑体" w:hint="eastAsia"/>
          <w:spacing w:val="8"/>
          <w:sz w:val="21"/>
        </w:rPr>
        <w:t>情形复杂     </w:t>
      </w:r>
      <w:r>
        <w:rPr>
          <w:spacing w:val="-2"/>
          <w:sz w:val="21"/>
        </w:rPr>
        <w:t>指保险事故的性质、原因、伤害或损失程度等在我们收到保险金给付申请</w:t>
      </w:r>
      <w:r>
        <w:rPr>
          <w:spacing w:val="-6"/>
          <w:sz w:val="21"/>
        </w:rPr>
        <w:t>书及合同约定的证明和资料后 </w:t>
      </w:r>
      <w:r>
        <w:rPr>
          <w:sz w:val="21"/>
        </w:rPr>
        <w:t>5</w:t>
      </w:r>
      <w:r>
        <w:rPr>
          <w:spacing w:val="-8"/>
          <w:sz w:val="21"/>
        </w:rPr>
        <w:t> 个工作日内无法确定，需要进一步核实。</w:t>
      </w:r>
    </w:p>
    <w:p>
      <w:pPr>
        <w:pStyle w:val="ListParagraph"/>
        <w:numPr>
          <w:ilvl w:val="1"/>
          <w:numId w:val="9"/>
        </w:numPr>
        <w:tabs>
          <w:tab w:pos="1225" w:val="left" w:leader="none"/>
          <w:tab w:pos="1227" w:val="left" w:leader="none"/>
          <w:tab w:pos="2778" w:val="left" w:leader="none"/>
        </w:tabs>
        <w:spacing w:line="240" w:lineRule="auto" w:before="150" w:after="0"/>
        <w:ind w:left="1226" w:right="0" w:hanging="1057"/>
        <w:jc w:val="left"/>
        <w:rPr>
          <w:sz w:val="21"/>
        </w:rPr>
      </w:pPr>
      <w:r>
        <w:rPr>
          <w:rFonts w:ascii="黑体" w:eastAsia="黑体" w:hint="eastAsia"/>
          <w:sz w:val="21"/>
        </w:rPr>
        <w:t>专科医Th</w:t>
        <w:tab/>
      </w:r>
      <w:r>
        <w:rPr>
          <w:sz w:val="21"/>
        </w:rPr>
        <w:t>专科医生应当同时满足以下四项资格条件：</w:t>
      </w:r>
    </w:p>
    <w:p>
      <w:pPr>
        <w:pStyle w:val="BodyText"/>
        <w:spacing w:before="43"/>
        <w:ind w:left="2778"/>
      </w:pPr>
      <w:r>
        <w:rPr/>
        <w:t>(1)具有有效的中华人民共和国《医师资格证书》；</w:t>
      </w:r>
    </w:p>
    <w:p>
      <w:pPr>
        <w:pStyle w:val="BodyText"/>
        <w:spacing w:line="280" w:lineRule="auto" w:before="45"/>
        <w:ind w:left="3094" w:right="228" w:hanging="316"/>
      </w:pPr>
      <w:r>
        <w:rPr/>
        <w:t>(2)</w:t>
      </w:r>
      <w:r>
        <w:rPr>
          <w:spacing w:val="-7"/>
        </w:rPr>
        <w:t>具有有效的中华人民共和国《医师执业证书》，并按期到相关部门登记注册；</w:t>
      </w:r>
    </w:p>
    <w:p>
      <w:pPr>
        <w:pStyle w:val="BodyText"/>
        <w:spacing w:line="280" w:lineRule="auto" w:before="8"/>
        <w:ind w:left="3094" w:right="228" w:hanging="316"/>
      </w:pPr>
      <w:r>
        <w:rPr/>
        <w:t>(3)具有有效的中华人民共和国主治医师或主治医师以上职称的《医师职称证书》；</w:t>
      </w:r>
    </w:p>
    <w:p>
      <w:pPr>
        <w:pStyle w:val="BodyText"/>
        <w:spacing w:before="8"/>
        <w:rPr>
          <w:sz w:val="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72"/>
        <w:gridCol w:w="6916"/>
      </w:tblGrid>
      <w:tr>
        <w:trPr>
          <w:trHeight w:val="336" w:hRule="atLeast"/>
        </w:trPr>
        <w:tc>
          <w:tcPr>
            <w:tcW w:w="840" w:type="dxa"/>
          </w:tcPr>
          <w:p>
            <w:pPr>
              <w:pStyle w:val="TableParagraph"/>
              <w:rPr>
                <w:rFonts w:ascii="Times New Roman"/>
                <w:sz w:val="20"/>
              </w:rPr>
            </w:pPr>
          </w:p>
        </w:tc>
        <w:tc>
          <w:tcPr>
            <w:tcW w:w="1672" w:type="dxa"/>
          </w:tcPr>
          <w:p>
            <w:pPr>
              <w:pStyle w:val="TableParagraph"/>
              <w:rPr>
                <w:rFonts w:ascii="Times New Roman"/>
                <w:sz w:val="20"/>
              </w:rPr>
            </w:pPr>
          </w:p>
        </w:tc>
        <w:tc>
          <w:tcPr>
            <w:tcW w:w="6916" w:type="dxa"/>
          </w:tcPr>
          <w:p>
            <w:pPr>
              <w:pStyle w:val="TableParagraph"/>
              <w:spacing w:line="210" w:lineRule="exact"/>
              <w:ind w:left="146"/>
              <w:rPr>
                <w:sz w:val="21"/>
              </w:rPr>
            </w:pPr>
            <w:r>
              <w:rPr>
                <w:sz w:val="21"/>
              </w:rPr>
              <w:t>(4)在二级或二级以上医院的相应科室从事临床工作三年以上。</w:t>
            </w:r>
          </w:p>
        </w:tc>
      </w:tr>
      <w:tr>
        <w:trPr>
          <w:trHeight w:val="781" w:hRule="atLeast"/>
        </w:trPr>
        <w:tc>
          <w:tcPr>
            <w:tcW w:w="840" w:type="dxa"/>
          </w:tcPr>
          <w:p>
            <w:pPr>
              <w:pStyle w:val="TableParagraph"/>
              <w:spacing w:before="61"/>
              <w:ind w:left="50"/>
              <w:rPr>
                <w:rFonts w:ascii="黑体"/>
                <w:sz w:val="21"/>
              </w:rPr>
            </w:pPr>
            <w:r>
              <w:rPr>
                <w:rFonts w:ascii="黑体"/>
                <w:sz w:val="21"/>
              </w:rPr>
              <w:t>11.15</w:t>
            </w:r>
          </w:p>
        </w:tc>
        <w:tc>
          <w:tcPr>
            <w:tcW w:w="1672" w:type="dxa"/>
          </w:tcPr>
          <w:p>
            <w:pPr>
              <w:pStyle w:val="TableParagraph"/>
              <w:spacing w:line="278" w:lineRule="auto" w:before="61"/>
              <w:ind w:left="266" w:right="144"/>
              <w:rPr>
                <w:rFonts w:ascii="黑体" w:eastAsia="黑体" w:hint="eastAsia"/>
                <w:sz w:val="21"/>
              </w:rPr>
            </w:pPr>
            <w:r>
              <w:rPr>
                <w:rFonts w:ascii="黑体" w:eastAsia="黑体" w:hint="eastAsia"/>
                <w:sz w:val="21"/>
              </w:rPr>
              <w:t>肢体机能完全丧失</w:t>
            </w:r>
          </w:p>
        </w:tc>
        <w:tc>
          <w:tcPr>
            <w:tcW w:w="6916" w:type="dxa"/>
          </w:tcPr>
          <w:p>
            <w:pPr>
              <w:pStyle w:val="TableParagraph"/>
              <w:spacing w:line="278" w:lineRule="auto" w:before="61"/>
              <w:ind w:left="146" w:right="24"/>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840" w:type="dxa"/>
          </w:tcPr>
          <w:p>
            <w:pPr>
              <w:pStyle w:val="TableParagraph"/>
              <w:spacing w:before="61"/>
              <w:ind w:left="50"/>
              <w:rPr>
                <w:rFonts w:ascii="黑体"/>
                <w:sz w:val="21"/>
              </w:rPr>
            </w:pPr>
            <w:r>
              <w:rPr>
                <w:rFonts w:ascii="黑体"/>
                <w:sz w:val="21"/>
              </w:rPr>
              <w:t>11.16</w:t>
            </w:r>
          </w:p>
        </w:tc>
        <w:tc>
          <w:tcPr>
            <w:tcW w:w="1672" w:type="dxa"/>
          </w:tcPr>
          <w:p>
            <w:pPr>
              <w:pStyle w:val="TableParagraph"/>
              <w:spacing w:line="280" w:lineRule="auto" w:before="61"/>
              <w:ind w:left="266" w:right="143"/>
              <w:jc w:val="both"/>
              <w:rPr>
                <w:rFonts w:ascii="黑体" w:eastAsia="黑体" w:hint="eastAsia"/>
                <w:sz w:val="21"/>
              </w:rPr>
            </w:pPr>
            <w:r>
              <w:rPr>
                <w:rFonts w:ascii="黑体" w:eastAsia="黑体" w:hint="eastAsia"/>
                <w:sz w:val="21"/>
              </w:rPr>
              <w:t>语言能力或咀嚼吞咽能力完全丧失</w:t>
            </w:r>
          </w:p>
        </w:tc>
        <w:tc>
          <w:tcPr>
            <w:tcW w:w="6916" w:type="dxa"/>
          </w:tcPr>
          <w:p>
            <w:pPr>
              <w:pStyle w:val="TableParagraph"/>
              <w:spacing w:line="280" w:lineRule="auto" w:before="61"/>
              <w:ind w:left="146" w:right="50"/>
              <w:jc w:val="both"/>
              <w:rPr>
                <w:sz w:val="21"/>
              </w:rPr>
            </w:pPr>
            <w:r>
              <w:rPr>
                <w:spacing w:val="-1"/>
                <w:sz w:val="21"/>
              </w:rPr>
              <w:t>语言能力完全丧失，指无法发出四种语音</w:t>
            </w:r>
            <w:r>
              <w:rPr>
                <w:sz w:val="21"/>
              </w:rPr>
              <w:t>（包括口唇音、齿舌音、口盖音</w:t>
            </w:r>
            <w:r>
              <w:rPr>
                <w:spacing w:val="-1"/>
                <w:sz w:val="21"/>
              </w:rPr>
              <w:t>和喉头音</w:t>
            </w:r>
            <w:r>
              <w:rPr>
                <w:sz w:val="21"/>
              </w:rPr>
              <w:t>）中的任何三种、或声带全部切除，或因大脑语言中枢受伤害而患失语症。</w:t>
            </w:r>
          </w:p>
          <w:p>
            <w:pPr>
              <w:pStyle w:val="TableParagraph"/>
              <w:spacing w:line="280" w:lineRule="auto" w:before="8"/>
              <w:ind w:left="146" w:right="47"/>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840" w:type="dxa"/>
          </w:tcPr>
          <w:p>
            <w:pPr>
              <w:pStyle w:val="TableParagraph"/>
              <w:spacing w:before="61"/>
              <w:ind w:left="50"/>
              <w:rPr>
                <w:rFonts w:ascii="黑体"/>
                <w:sz w:val="21"/>
              </w:rPr>
            </w:pPr>
            <w:r>
              <w:rPr>
                <w:rFonts w:ascii="黑体"/>
                <w:sz w:val="21"/>
              </w:rPr>
              <w:t>11.17</w:t>
            </w:r>
          </w:p>
        </w:tc>
        <w:tc>
          <w:tcPr>
            <w:tcW w:w="1672" w:type="dxa"/>
          </w:tcPr>
          <w:p>
            <w:pPr>
              <w:pStyle w:val="TableParagraph"/>
              <w:spacing w:line="280" w:lineRule="auto" w:before="61"/>
              <w:ind w:left="266" w:right="144"/>
              <w:rPr>
                <w:rFonts w:ascii="黑体" w:eastAsia="黑体" w:hint="eastAsia"/>
                <w:sz w:val="21"/>
              </w:rPr>
            </w:pPr>
            <w:r>
              <w:rPr>
                <w:rFonts w:ascii="黑体" w:eastAsia="黑体" w:hint="eastAsia"/>
                <w:sz w:val="21"/>
              </w:rPr>
              <w:t>六项基本日常Th活活动</w:t>
            </w:r>
          </w:p>
        </w:tc>
        <w:tc>
          <w:tcPr>
            <w:tcW w:w="6916" w:type="dxa"/>
          </w:tcPr>
          <w:p>
            <w:pPr>
              <w:pStyle w:val="TableParagraph"/>
              <w:spacing w:line="278" w:lineRule="auto" w:before="61"/>
              <w:ind w:left="146" w:right="1622"/>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840" w:type="dxa"/>
          </w:tcPr>
          <w:p>
            <w:pPr>
              <w:pStyle w:val="TableParagraph"/>
              <w:spacing w:before="61"/>
              <w:ind w:left="50"/>
              <w:rPr>
                <w:rFonts w:ascii="黑体"/>
                <w:sz w:val="21"/>
              </w:rPr>
            </w:pPr>
            <w:r>
              <w:rPr>
                <w:rFonts w:ascii="黑体"/>
                <w:sz w:val="21"/>
              </w:rPr>
              <w:t>11.18</w:t>
            </w:r>
          </w:p>
        </w:tc>
        <w:tc>
          <w:tcPr>
            <w:tcW w:w="1672" w:type="dxa"/>
          </w:tcPr>
          <w:p>
            <w:pPr>
              <w:pStyle w:val="TableParagraph"/>
              <w:spacing w:before="61"/>
              <w:ind w:left="266"/>
              <w:rPr>
                <w:rFonts w:ascii="黑体" w:eastAsia="黑体" w:hint="eastAsia"/>
                <w:sz w:val="21"/>
              </w:rPr>
            </w:pPr>
            <w:r>
              <w:rPr>
                <w:rFonts w:ascii="黑体" w:eastAsia="黑体" w:hint="eastAsia"/>
                <w:sz w:val="21"/>
              </w:rPr>
              <w:t>永久不可逆</w:t>
            </w:r>
          </w:p>
        </w:tc>
        <w:tc>
          <w:tcPr>
            <w:tcW w:w="6916" w:type="dxa"/>
          </w:tcPr>
          <w:p>
            <w:pPr>
              <w:pStyle w:val="TableParagraph"/>
              <w:spacing w:line="320" w:lineRule="atLeast" w:before="16"/>
              <w:ind w:left="146" w:right="51"/>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type w:val="continuous"/>
      <w:pgSz w:w="11910" w:h="16840"/>
      <w:pgMar w:top="1280" w:bottom="280" w:left="11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1"/>
      <w:numFmt w:val="decimal"/>
      <w:lvlText w:val="%1"/>
      <w:lvlJc w:val="left"/>
      <w:pPr>
        <w:ind w:left="2778" w:hanging="1057"/>
        <w:jc w:val="left"/>
      </w:pPr>
      <w:rPr>
        <w:rFonts w:hint="default"/>
      </w:rPr>
    </w:lvl>
    <w:lvl w:ilvl="1">
      <w:start w:val="10"/>
      <w:numFmt w:val="decimal"/>
      <w:lvlText w:val="%1.%2"/>
      <w:lvlJc w:val="left"/>
      <w:pPr>
        <w:ind w:left="2778" w:hanging="1057"/>
        <w:jc w:val="left"/>
      </w:pPr>
      <w:rPr>
        <w:rFonts w:hint="default" w:ascii="黑体" w:hAnsi="黑体" w:eastAsia="黑体" w:cs="黑体"/>
        <w:spacing w:val="-3"/>
        <w:w w:val="100"/>
        <w:sz w:val="21"/>
        <w:szCs w:val="21"/>
      </w:rPr>
    </w:lvl>
    <w:lvl w:ilvl="2">
      <w:start w:val="0"/>
      <w:numFmt w:val="bullet"/>
      <w:lvlText w:val="•"/>
      <w:lvlJc w:val="left"/>
      <w:pPr>
        <w:ind w:left="4168" w:hanging="1057"/>
      </w:pPr>
      <w:rPr>
        <w:rFonts w:hint="default"/>
      </w:rPr>
    </w:lvl>
    <w:lvl w:ilvl="3">
      <w:start w:val="0"/>
      <w:numFmt w:val="bullet"/>
      <w:lvlText w:val="•"/>
      <w:lvlJc w:val="left"/>
      <w:pPr>
        <w:ind w:left="4863" w:hanging="1057"/>
      </w:pPr>
      <w:rPr>
        <w:rFonts w:hint="default"/>
      </w:rPr>
    </w:lvl>
    <w:lvl w:ilvl="4">
      <w:start w:val="0"/>
      <w:numFmt w:val="bullet"/>
      <w:lvlText w:val="•"/>
      <w:lvlJc w:val="left"/>
      <w:pPr>
        <w:ind w:left="5557" w:hanging="1057"/>
      </w:pPr>
      <w:rPr>
        <w:rFonts w:hint="default"/>
      </w:rPr>
    </w:lvl>
    <w:lvl w:ilvl="5">
      <w:start w:val="0"/>
      <w:numFmt w:val="bullet"/>
      <w:lvlText w:val="•"/>
      <w:lvlJc w:val="left"/>
      <w:pPr>
        <w:ind w:left="6252" w:hanging="1057"/>
      </w:pPr>
      <w:rPr>
        <w:rFonts w:hint="default"/>
      </w:rPr>
    </w:lvl>
    <w:lvl w:ilvl="6">
      <w:start w:val="0"/>
      <w:numFmt w:val="bullet"/>
      <w:lvlText w:val="•"/>
      <w:lvlJc w:val="left"/>
      <w:pPr>
        <w:ind w:left="6946" w:hanging="1057"/>
      </w:pPr>
      <w:rPr>
        <w:rFonts w:hint="default"/>
      </w:rPr>
    </w:lvl>
    <w:lvl w:ilvl="7">
      <w:start w:val="0"/>
      <w:numFmt w:val="bullet"/>
      <w:lvlText w:val="•"/>
      <w:lvlJc w:val="left"/>
      <w:pPr>
        <w:ind w:left="7641" w:hanging="1057"/>
      </w:pPr>
      <w:rPr>
        <w:rFonts w:hint="default"/>
      </w:rPr>
    </w:lvl>
    <w:lvl w:ilvl="8">
      <w:start w:val="0"/>
      <w:numFmt w:val="bullet"/>
      <w:lvlText w:val="•"/>
      <w:lvlJc w:val="left"/>
      <w:pPr>
        <w:ind w:left="8335" w:hanging="1057"/>
      </w:pPr>
      <w:rPr>
        <w:rFonts w:hint="default"/>
      </w:rPr>
    </w:lvl>
  </w:abstractNum>
  <w:abstractNum w:abstractNumId="7">
    <w:multiLevelType w:val="hybridMultilevel"/>
    <w:lvl w:ilvl="0">
      <w:start w:val="9"/>
      <w:numFmt w:val="decimal"/>
      <w:lvlText w:val="%1"/>
      <w:lvlJc w:val="left"/>
      <w:pPr>
        <w:ind w:left="2758" w:hanging="1057"/>
        <w:jc w:val="left"/>
      </w:pPr>
      <w:rPr>
        <w:rFonts w:hint="default"/>
      </w:rPr>
    </w:lvl>
    <w:lvl w:ilvl="1">
      <w:start w:val="1"/>
      <w:numFmt w:val="decimal"/>
      <w:lvlText w:val="%1.%2"/>
      <w:lvlJc w:val="left"/>
      <w:pPr>
        <w:ind w:left="2758" w:hanging="1057"/>
        <w:jc w:val="left"/>
      </w:pPr>
      <w:rPr>
        <w:rFonts w:hint="default"/>
      </w:rPr>
    </w:lvl>
    <w:lvl w:ilvl="2">
      <w:start w:val="33"/>
      <w:numFmt w:val="decimal"/>
      <w:lvlText w:val="%1.%2.%3"/>
      <w:lvlJc w:val="left"/>
      <w:pPr>
        <w:ind w:left="2758" w:hanging="1057"/>
        <w:jc w:val="left"/>
      </w:pPr>
      <w:rPr>
        <w:rFonts w:hint="default" w:ascii="黑体" w:hAnsi="黑体" w:eastAsia="黑体" w:cs="黑体"/>
        <w:spacing w:val="-102"/>
        <w:w w:val="100"/>
        <w:sz w:val="21"/>
        <w:szCs w:val="21"/>
      </w:rPr>
    </w:lvl>
    <w:lvl w:ilvl="3">
      <w:start w:val="0"/>
      <w:numFmt w:val="bullet"/>
      <w:lvlText w:val="•"/>
      <w:lvlJc w:val="left"/>
      <w:pPr>
        <w:ind w:left="4819" w:hanging="1057"/>
      </w:pPr>
      <w:rPr>
        <w:rFonts w:hint="default"/>
      </w:rPr>
    </w:lvl>
    <w:lvl w:ilvl="4">
      <w:start w:val="0"/>
      <w:numFmt w:val="bullet"/>
      <w:lvlText w:val="•"/>
      <w:lvlJc w:val="left"/>
      <w:pPr>
        <w:ind w:left="5505" w:hanging="1057"/>
      </w:pPr>
      <w:rPr>
        <w:rFonts w:hint="default"/>
      </w:rPr>
    </w:lvl>
    <w:lvl w:ilvl="5">
      <w:start w:val="0"/>
      <w:numFmt w:val="bullet"/>
      <w:lvlText w:val="•"/>
      <w:lvlJc w:val="left"/>
      <w:pPr>
        <w:ind w:left="6192" w:hanging="1057"/>
      </w:pPr>
      <w:rPr>
        <w:rFonts w:hint="default"/>
      </w:rPr>
    </w:lvl>
    <w:lvl w:ilvl="6">
      <w:start w:val="0"/>
      <w:numFmt w:val="bullet"/>
      <w:lvlText w:val="•"/>
      <w:lvlJc w:val="left"/>
      <w:pPr>
        <w:ind w:left="6878" w:hanging="1057"/>
      </w:pPr>
      <w:rPr>
        <w:rFonts w:hint="default"/>
      </w:rPr>
    </w:lvl>
    <w:lvl w:ilvl="7">
      <w:start w:val="0"/>
      <w:numFmt w:val="bullet"/>
      <w:lvlText w:val="•"/>
      <w:lvlJc w:val="left"/>
      <w:pPr>
        <w:ind w:left="7565" w:hanging="1057"/>
      </w:pPr>
      <w:rPr>
        <w:rFonts w:hint="default"/>
      </w:rPr>
    </w:lvl>
    <w:lvl w:ilvl="8">
      <w:start w:val="0"/>
      <w:numFmt w:val="bullet"/>
      <w:lvlText w:val="•"/>
      <w:lvlJc w:val="left"/>
      <w:pPr>
        <w:ind w:left="8251" w:hanging="1057"/>
      </w:pPr>
      <w:rPr>
        <w:rFonts w:hint="default"/>
      </w:rPr>
    </w:lvl>
  </w:abstractNum>
  <w:abstractNum w:abstractNumId="6">
    <w:multiLevelType w:val="hybridMultilevel"/>
    <w:lvl w:ilvl="0">
      <w:start w:val="9"/>
      <w:numFmt w:val="decimal"/>
      <w:lvlText w:val="%1"/>
      <w:lvlJc w:val="left"/>
      <w:pPr>
        <w:ind w:left="2718" w:hanging="1057"/>
        <w:jc w:val="left"/>
      </w:pPr>
      <w:rPr>
        <w:rFonts w:hint="default"/>
      </w:rPr>
    </w:lvl>
    <w:lvl w:ilvl="1">
      <w:start w:val="1"/>
      <w:numFmt w:val="decimal"/>
      <w:lvlText w:val="%1.%2"/>
      <w:lvlJc w:val="left"/>
      <w:pPr>
        <w:ind w:left="2718" w:hanging="1057"/>
        <w:jc w:val="left"/>
      </w:pPr>
      <w:rPr>
        <w:rFonts w:hint="default"/>
      </w:rPr>
    </w:lvl>
    <w:lvl w:ilvl="2">
      <w:start w:val="12"/>
      <w:numFmt w:val="decimal"/>
      <w:lvlText w:val="%1.%2.%3"/>
      <w:lvlJc w:val="left"/>
      <w:pPr>
        <w:ind w:left="2718" w:hanging="1057"/>
        <w:jc w:val="left"/>
      </w:pPr>
      <w:rPr>
        <w:rFonts w:hint="default" w:ascii="黑体" w:hAnsi="黑体" w:eastAsia="黑体" w:cs="黑体"/>
        <w:spacing w:val="-53"/>
        <w:w w:val="100"/>
        <w:sz w:val="21"/>
        <w:szCs w:val="21"/>
      </w:rPr>
    </w:lvl>
    <w:lvl w:ilvl="3">
      <w:start w:val="0"/>
      <w:numFmt w:val="bullet"/>
      <w:lvlText w:val="•"/>
      <w:lvlJc w:val="left"/>
      <w:pPr>
        <w:ind w:left="4797" w:hanging="1057"/>
      </w:pPr>
      <w:rPr>
        <w:rFonts w:hint="default"/>
      </w:rPr>
    </w:lvl>
    <w:lvl w:ilvl="4">
      <w:start w:val="0"/>
      <w:numFmt w:val="bullet"/>
      <w:lvlText w:val="•"/>
      <w:lvlJc w:val="left"/>
      <w:pPr>
        <w:ind w:left="5489" w:hanging="1057"/>
      </w:pPr>
      <w:rPr>
        <w:rFonts w:hint="default"/>
      </w:rPr>
    </w:lvl>
    <w:lvl w:ilvl="5">
      <w:start w:val="0"/>
      <w:numFmt w:val="bullet"/>
      <w:lvlText w:val="•"/>
      <w:lvlJc w:val="left"/>
      <w:pPr>
        <w:ind w:left="6182" w:hanging="1057"/>
      </w:pPr>
      <w:rPr>
        <w:rFonts w:hint="default"/>
      </w:rPr>
    </w:lvl>
    <w:lvl w:ilvl="6">
      <w:start w:val="0"/>
      <w:numFmt w:val="bullet"/>
      <w:lvlText w:val="•"/>
      <w:lvlJc w:val="left"/>
      <w:pPr>
        <w:ind w:left="6874" w:hanging="1057"/>
      </w:pPr>
      <w:rPr>
        <w:rFonts w:hint="default"/>
      </w:rPr>
    </w:lvl>
    <w:lvl w:ilvl="7">
      <w:start w:val="0"/>
      <w:numFmt w:val="bullet"/>
      <w:lvlText w:val="•"/>
      <w:lvlJc w:val="left"/>
      <w:pPr>
        <w:ind w:left="7567" w:hanging="1057"/>
      </w:pPr>
      <w:rPr>
        <w:rFonts w:hint="default"/>
      </w:rPr>
    </w:lvl>
    <w:lvl w:ilvl="8">
      <w:start w:val="0"/>
      <w:numFmt w:val="bullet"/>
      <w:lvlText w:val="•"/>
      <w:lvlJc w:val="left"/>
      <w:pPr>
        <w:ind w:left="8259" w:hanging="1057"/>
      </w:pPr>
      <w:rPr>
        <w:rFonts w:hint="default"/>
      </w:rPr>
    </w:lvl>
  </w:abstractNum>
  <w:abstractNum w:abstractNumId="5">
    <w:multiLevelType w:val="hybridMultilevel"/>
    <w:lvl w:ilvl="0">
      <w:start w:val="9"/>
      <w:numFmt w:val="decimal"/>
      <w:lvlText w:val="%1"/>
      <w:lvlJc w:val="left"/>
      <w:pPr>
        <w:ind w:left="1266" w:hanging="1057"/>
        <w:jc w:val="left"/>
      </w:pPr>
      <w:rPr>
        <w:rFonts w:hint="default"/>
      </w:rPr>
    </w:lvl>
    <w:lvl w:ilvl="1">
      <w:start w:val="1"/>
      <w:numFmt w:val="decimal"/>
      <w:lvlText w:val="%1.%2"/>
      <w:lvlJc w:val="left"/>
      <w:pPr>
        <w:ind w:left="1266" w:hanging="1057"/>
        <w:jc w:val="left"/>
      </w:pPr>
      <w:rPr>
        <w:rFonts w:hint="default" w:ascii="黑体" w:hAnsi="黑体" w:eastAsia="黑体" w:cs="黑体"/>
        <w:spacing w:val="-1"/>
        <w:w w:val="100"/>
        <w:sz w:val="21"/>
        <w:szCs w:val="21"/>
      </w:rPr>
    </w:lvl>
    <w:lvl w:ilvl="2">
      <w:start w:val="1"/>
      <w:numFmt w:val="decimal"/>
      <w:lvlText w:val="%1.%2.%3"/>
      <w:lvlJc w:val="left"/>
      <w:pPr>
        <w:ind w:left="2818" w:hanging="1057"/>
        <w:jc w:val="left"/>
      </w:pPr>
      <w:rPr>
        <w:rFonts w:hint="default" w:ascii="黑体" w:hAnsi="黑体" w:eastAsia="黑体" w:cs="黑体"/>
        <w:spacing w:val="-105"/>
        <w:w w:val="100"/>
        <w:sz w:val="21"/>
        <w:szCs w:val="21"/>
      </w:rPr>
    </w:lvl>
    <w:lvl w:ilvl="3">
      <w:start w:val="0"/>
      <w:numFmt w:val="bullet"/>
      <w:lvlText w:val="•"/>
      <w:lvlJc w:val="left"/>
      <w:pPr>
        <w:ind w:left="2754" w:hanging="1057"/>
      </w:pPr>
      <w:rPr>
        <w:rFonts w:hint="default"/>
      </w:rPr>
    </w:lvl>
    <w:lvl w:ilvl="4">
      <w:start w:val="0"/>
      <w:numFmt w:val="bullet"/>
      <w:lvlText w:val="•"/>
      <w:lvlJc w:val="left"/>
      <w:pPr>
        <w:ind w:left="2721" w:hanging="1057"/>
      </w:pPr>
      <w:rPr>
        <w:rFonts w:hint="default"/>
      </w:rPr>
    </w:lvl>
    <w:lvl w:ilvl="5">
      <w:start w:val="0"/>
      <w:numFmt w:val="bullet"/>
      <w:lvlText w:val="•"/>
      <w:lvlJc w:val="left"/>
      <w:pPr>
        <w:ind w:left="2689" w:hanging="1057"/>
      </w:pPr>
      <w:rPr>
        <w:rFonts w:hint="default"/>
      </w:rPr>
    </w:lvl>
    <w:lvl w:ilvl="6">
      <w:start w:val="0"/>
      <w:numFmt w:val="bullet"/>
      <w:lvlText w:val="•"/>
      <w:lvlJc w:val="left"/>
      <w:pPr>
        <w:ind w:left="2656" w:hanging="1057"/>
      </w:pPr>
      <w:rPr>
        <w:rFonts w:hint="default"/>
      </w:rPr>
    </w:lvl>
    <w:lvl w:ilvl="7">
      <w:start w:val="0"/>
      <w:numFmt w:val="bullet"/>
      <w:lvlText w:val="•"/>
      <w:lvlJc w:val="left"/>
      <w:pPr>
        <w:ind w:left="2623" w:hanging="1057"/>
      </w:pPr>
      <w:rPr>
        <w:rFonts w:hint="default"/>
      </w:rPr>
    </w:lvl>
    <w:lvl w:ilvl="8">
      <w:start w:val="0"/>
      <w:numFmt w:val="bullet"/>
      <w:lvlText w:val="•"/>
      <w:lvlJc w:val="left"/>
      <w:pPr>
        <w:ind w:left="2590" w:hanging="1057"/>
      </w:pPr>
      <w:rPr>
        <w:rFonts w:hint="default"/>
      </w:rPr>
    </w:lvl>
  </w:abstractNum>
  <w:abstractNum w:abstractNumId="4">
    <w:multiLevelType w:val="hybridMultilevel"/>
    <w:lvl w:ilvl="0">
      <w:start w:val="8"/>
      <w:numFmt w:val="decimal"/>
      <w:lvlText w:val="%1"/>
      <w:lvlJc w:val="left"/>
      <w:pPr>
        <w:ind w:left="1265" w:hanging="1056"/>
        <w:jc w:val="left"/>
      </w:pPr>
      <w:rPr>
        <w:rFonts w:hint="default"/>
      </w:rPr>
    </w:lvl>
    <w:lvl w:ilvl="1">
      <w:start w:val="1"/>
      <w:numFmt w:val="decimal"/>
      <w:lvlText w:val="%1.%2"/>
      <w:lvlJc w:val="left"/>
      <w:pPr>
        <w:ind w:left="1265" w:hanging="1056"/>
        <w:jc w:val="left"/>
      </w:pPr>
      <w:rPr>
        <w:rFonts w:hint="default" w:ascii="黑体" w:hAnsi="黑体" w:eastAsia="黑体" w:cs="黑体"/>
        <w:spacing w:val="-1"/>
        <w:w w:val="100"/>
        <w:sz w:val="21"/>
        <w:szCs w:val="21"/>
      </w:rPr>
    </w:lvl>
    <w:lvl w:ilvl="2">
      <w:start w:val="0"/>
      <w:numFmt w:val="bullet"/>
      <w:lvlText w:val="•"/>
      <w:lvlJc w:val="left"/>
      <w:pPr>
        <w:ind w:left="1513" w:hanging="1056"/>
      </w:pPr>
      <w:rPr>
        <w:rFonts w:hint="default"/>
      </w:rPr>
    </w:lvl>
    <w:lvl w:ilvl="3">
      <w:start w:val="0"/>
      <w:numFmt w:val="bullet"/>
      <w:lvlText w:val="•"/>
      <w:lvlJc w:val="left"/>
      <w:pPr>
        <w:ind w:left="1639" w:hanging="1056"/>
      </w:pPr>
      <w:rPr>
        <w:rFonts w:hint="default"/>
      </w:rPr>
    </w:lvl>
    <w:lvl w:ilvl="4">
      <w:start w:val="0"/>
      <w:numFmt w:val="bullet"/>
      <w:lvlText w:val="•"/>
      <w:lvlJc w:val="left"/>
      <w:pPr>
        <w:ind w:left="1766" w:hanging="1056"/>
      </w:pPr>
      <w:rPr>
        <w:rFonts w:hint="default"/>
      </w:rPr>
    </w:lvl>
    <w:lvl w:ilvl="5">
      <w:start w:val="0"/>
      <w:numFmt w:val="bullet"/>
      <w:lvlText w:val="•"/>
      <w:lvlJc w:val="left"/>
      <w:pPr>
        <w:ind w:left="1892" w:hanging="1056"/>
      </w:pPr>
      <w:rPr>
        <w:rFonts w:hint="default"/>
      </w:rPr>
    </w:lvl>
    <w:lvl w:ilvl="6">
      <w:start w:val="0"/>
      <w:numFmt w:val="bullet"/>
      <w:lvlText w:val="•"/>
      <w:lvlJc w:val="left"/>
      <w:pPr>
        <w:ind w:left="2019" w:hanging="1056"/>
      </w:pPr>
      <w:rPr>
        <w:rFonts w:hint="default"/>
      </w:rPr>
    </w:lvl>
    <w:lvl w:ilvl="7">
      <w:start w:val="0"/>
      <w:numFmt w:val="bullet"/>
      <w:lvlText w:val="•"/>
      <w:lvlJc w:val="left"/>
      <w:pPr>
        <w:ind w:left="2146" w:hanging="1056"/>
      </w:pPr>
      <w:rPr>
        <w:rFonts w:hint="default"/>
      </w:rPr>
    </w:lvl>
    <w:lvl w:ilvl="8">
      <w:start w:val="0"/>
      <w:numFmt w:val="bullet"/>
      <w:lvlText w:val="•"/>
      <w:lvlJc w:val="left"/>
      <w:pPr>
        <w:ind w:left="2272" w:hanging="1056"/>
      </w:pPr>
      <w:rPr>
        <w:rFonts w:hint="default"/>
      </w:rPr>
    </w:lvl>
  </w:abstractNum>
  <w:abstractNum w:abstractNumId="3">
    <w:multiLevelType w:val="hybridMultilevel"/>
    <w:lvl w:ilvl="0">
      <w:start w:val="7"/>
      <w:numFmt w:val="decimal"/>
      <w:lvlText w:val="%1"/>
      <w:lvlJc w:val="left"/>
      <w:pPr>
        <w:ind w:left="1265" w:hanging="1057"/>
        <w:jc w:val="left"/>
      </w:pPr>
      <w:rPr>
        <w:rFonts w:hint="default"/>
      </w:rPr>
    </w:lvl>
    <w:lvl w:ilvl="1">
      <w:start w:val="1"/>
      <w:numFmt w:val="decimal"/>
      <w:lvlText w:val="%1.%2"/>
      <w:lvlJc w:val="left"/>
      <w:pPr>
        <w:ind w:left="1265" w:hanging="1057"/>
        <w:jc w:val="left"/>
      </w:pPr>
      <w:rPr>
        <w:rFonts w:hint="default" w:ascii="黑体" w:hAnsi="黑体" w:eastAsia="黑体" w:cs="黑体"/>
        <w:spacing w:val="-1"/>
        <w:w w:val="100"/>
        <w:sz w:val="21"/>
        <w:szCs w:val="21"/>
      </w:rPr>
    </w:lvl>
    <w:lvl w:ilvl="2">
      <w:start w:val="0"/>
      <w:numFmt w:val="bullet"/>
      <w:lvlText w:val="•"/>
      <w:lvlJc w:val="left"/>
      <w:pPr>
        <w:ind w:left="2956" w:hanging="1057"/>
      </w:pPr>
      <w:rPr>
        <w:rFonts w:hint="default"/>
      </w:rPr>
    </w:lvl>
    <w:lvl w:ilvl="3">
      <w:start w:val="0"/>
      <w:numFmt w:val="bullet"/>
      <w:lvlText w:val="•"/>
      <w:lvlJc w:val="left"/>
      <w:pPr>
        <w:ind w:left="3805" w:hanging="1057"/>
      </w:pPr>
      <w:rPr>
        <w:rFonts w:hint="default"/>
      </w:rPr>
    </w:lvl>
    <w:lvl w:ilvl="4">
      <w:start w:val="0"/>
      <w:numFmt w:val="bullet"/>
      <w:lvlText w:val="•"/>
      <w:lvlJc w:val="left"/>
      <w:pPr>
        <w:ind w:left="4653" w:hanging="1057"/>
      </w:pPr>
      <w:rPr>
        <w:rFonts w:hint="default"/>
      </w:rPr>
    </w:lvl>
    <w:lvl w:ilvl="5">
      <w:start w:val="0"/>
      <w:numFmt w:val="bullet"/>
      <w:lvlText w:val="•"/>
      <w:lvlJc w:val="left"/>
      <w:pPr>
        <w:ind w:left="5502" w:hanging="1057"/>
      </w:pPr>
      <w:rPr>
        <w:rFonts w:hint="default"/>
      </w:rPr>
    </w:lvl>
    <w:lvl w:ilvl="6">
      <w:start w:val="0"/>
      <w:numFmt w:val="bullet"/>
      <w:lvlText w:val="•"/>
      <w:lvlJc w:val="left"/>
      <w:pPr>
        <w:ind w:left="6350" w:hanging="1057"/>
      </w:pPr>
      <w:rPr>
        <w:rFonts w:hint="default"/>
      </w:rPr>
    </w:lvl>
    <w:lvl w:ilvl="7">
      <w:start w:val="0"/>
      <w:numFmt w:val="bullet"/>
      <w:lvlText w:val="•"/>
      <w:lvlJc w:val="left"/>
      <w:pPr>
        <w:ind w:left="7199" w:hanging="1057"/>
      </w:pPr>
      <w:rPr>
        <w:rFonts w:hint="default"/>
      </w:rPr>
    </w:lvl>
    <w:lvl w:ilvl="8">
      <w:start w:val="0"/>
      <w:numFmt w:val="bullet"/>
      <w:lvlText w:val="•"/>
      <w:lvlJc w:val="left"/>
      <w:pPr>
        <w:ind w:left="8047" w:hanging="1057"/>
      </w:pPr>
      <w:rPr>
        <w:rFonts w:hint="default"/>
      </w:rPr>
    </w:lvl>
  </w:abstractNum>
  <w:abstractNum w:abstractNumId="2">
    <w:multiLevelType w:val="hybridMultilevel"/>
    <w:lvl w:ilvl="0">
      <w:start w:val="2"/>
      <w:numFmt w:val="decimal"/>
      <w:lvlText w:val="%1"/>
      <w:lvlJc w:val="left"/>
      <w:pPr>
        <w:ind w:left="2878" w:hanging="1057"/>
        <w:jc w:val="left"/>
      </w:pPr>
      <w:rPr>
        <w:rFonts w:hint="default"/>
      </w:rPr>
    </w:lvl>
    <w:lvl w:ilvl="1">
      <w:start w:val="1"/>
      <w:numFmt w:val="decimal"/>
      <w:lvlText w:val="%1.%2"/>
      <w:lvlJc w:val="left"/>
      <w:pPr>
        <w:ind w:left="2878" w:hanging="1057"/>
        <w:jc w:val="left"/>
      </w:pPr>
      <w:rPr>
        <w:rFonts w:hint="default" w:ascii="黑体" w:hAnsi="黑体" w:eastAsia="黑体" w:cs="黑体"/>
        <w:spacing w:val="-23"/>
        <w:w w:val="100"/>
        <w:sz w:val="21"/>
        <w:szCs w:val="21"/>
      </w:rPr>
    </w:lvl>
    <w:lvl w:ilvl="2">
      <w:start w:val="0"/>
      <w:numFmt w:val="bullet"/>
      <w:lvlText w:val="•"/>
      <w:lvlJc w:val="left"/>
      <w:pPr>
        <w:ind w:left="4276" w:hanging="1057"/>
      </w:pPr>
      <w:rPr>
        <w:rFonts w:hint="default"/>
      </w:rPr>
    </w:lvl>
    <w:lvl w:ilvl="3">
      <w:start w:val="0"/>
      <w:numFmt w:val="bullet"/>
      <w:lvlText w:val="•"/>
      <w:lvlJc w:val="left"/>
      <w:pPr>
        <w:ind w:left="4975" w:hanging="1057"/>
      </w:pPr>
      <w:rPr>
        <w:rFonts w:hint="default"/>
      </w:rPr>
    </w:lvl>
    <w:lvl w:ilvl="4">
      <w:start w:val="0"/>
      <w:numFmt w:val="bullet"/>
      <w:lvlText w:val="•"/>
      <w:lvlJc w:val="left"/>
      <w:pPr>
        <w:ind w:left="5673" w:hanging="1057"/>
      </w:pPr>
      <w:rPr>
        <w:rFonts w:hint="default"/>
      </w:rPr>
    </w:lvl>
    <w:lvl w:ilvl="5">
      <w:start w:val="0"/>
      <w:numFmt w:val="bullet"/>
      <w:lvlText w:val="•"/>
      <w:lvlJc w:val="left"/>
      <w:pPr>
        <w:ind w:left="6372" w:hanging="1057"/>
      </w:pPr>
      <w:rPr>
        <w:rFonts w:hint="default"/>
      </w:rPr>
    </w:lvl>
    <w:lvl w:ilvl="6">
      <w:start w:val="0"/>
      <w:numFmt w:val="bullet"/>
      <w:lvlText w:val="•"/>
      <w:lvlJc w:val="left"/>
      <w:pPr>
        <w:ind w:left="7070" w:hanging="1057"/>
      </w:pPr>
      <w:rPr>
        <w:rFonts w:hint="default"/>
      </w:rPr>
    </w:lvl>
    <w:lvl w:ilvl="7">
      <w:start w:val="0"/>
      <w:numFmt w:val="bullet"/>
      <w:lvlText w:val="•"/>
      <w:lvlJc w:val="left"/>
      <w:pPr>
        <w:ind w:left="7769" w:hanging="1057"/>
      </w:pPr>
      <w:rPr>
        <w:rFonts w:hint="default"/>
      </w:rPr>
    </w:lvl>
    <w:lvl w:ilvl="8">
      <w:start w:val="0"/>
      <w:numFmt w:val="bullet"/>
      <w:lvlText w:val="•"/>
      <w:lvlJc w:val="left"/>
      <w:pPr>
        <w:ind w:left="8467" w:hanging="1057"/>
      </w:pPr>
      <w:rPr>
        <w:rFonts w:hint="default"/>
      </w:rPr>
    </w:lvl>
  </w:abstractNum>
  <w:abstractNum w:abstractNumId="1">
    <w:multiLevelType w:val="hybridMultilevel"/>
    <w:lvl w:ilvl="0">
      <w:start w:val="1"/>
      <w:numFmt w:val="decimal"/>
      <w:lvlText w:val="%1"/>
      <w:lvlJc w:val="left"/>
      <w:pPr>
        <w:ind w:left="2878" w:hanging="1056"/>
        <w:jc w:val="left"/>
      </w:pPr>
      <w:rPr>
        <w:rFonts w:hint="default"/>
      </w:rPr>
    </w:lvl>
    <w:lvl w:ilvl="1">
      <w:start w:val="1"/>
      <w:numFmt w:val="decimal"/>
      <w:lvlText w:val="%1.%2"/>
      <w:lvlJc w:val="left"/>
      <w:pPr>
        <w:ind w:left="2878" w:hanging="1056"/>
        <w:jc w:val="left"/>
      </w:pPr>
      <w:rPr>
        <w:rFonts w:hint="default" w:ascii="黑体" w:hAnsi="黑体" w:eastAsia="黑体" w:cs="黑体"/>
        <w:spacing w:val="-22"/>
        <w:w w:val="100"/>
        <w:sz w:val="21"/>
        <w:szCs w:val="21"/>
      </w:rPr>
    </w:lvl>
    <w:lvl w:ilvl="2">
      <w:start w:val="0"/>
      <w:numFmt w:val="bullet"/>
      <w:lvlText w:val="•"/>
      <w:lvlJc w:val="left"/>
      <w:pPr>
        <w:ind w:left="4276" w:hanging="1056"/>
      </w:pPr>
      <w:rPr>
        <w:rFonts w:hint="default"/>
      </w:rPr>
    </w:lvl>
    <w:lvl w:ilvl="3">
      <w:start w:val="0"/>
      <w:numFmt w:val="bullet"/>
      <w:lvlText w:val="•"/>
      <w:lvlJc w:val="left"/>
      <w:pPr>
        <w:ind w:left="4975" w:hanging="1056"/>
      </w:pPr>
      <w:rPr>
        <w:rFonts w:hint="default"/>
      </w:rPr>
    </w:lvl>
    <w:lvl w:ilvl="4">
      <w:start w:val="0"/>
      <w:numFmt w:val="bullet"/>
      <w:lvlText w:val="•"/>
      <w:lvlJc w:val="left"/>
      <w:pPr>
        <w:ind w:left="5673" w:hanging="1056"/>
      </w:pPr>
      <w:rPr>
        <w:rFonts w:hint="default"/>
      </w:rPr>
    </w:lvl>
    <w:lvl w:ilvl="5">
      <w:start w:val="0"/>
      <w:numFmt w:val="bullet"/>
      <w:lvlText w:val="•"/>
      <w:lvlJc w:val="left"/>
      <w:pPr>
        <w:ind w:left="6372" w:hanging="1056"/>
      </w:pPr>
      <w:rPr>
        <w:rFonts w:hint="default"/>
      </w:rPr>
    </w:lvl>
    <w:lvl w:ilvl="6">
      <w:start w:val="0"/>
      <w:numFmt w:val="bullet"/>
      <w:lvlText w:val="•"/>
      <w:lvlJc w:val="left"/>
      <w:pPr>
        <w:ind w:left="7070" w:hanging="1056"/>
      </w:pPr>
      <w:rPr>
        <w:rFonts w:hint="default"/>
      </w:rPr>
    </w:lvl>
    <w:lvl w:ilvl="7">
      <w:start w:val="0"/>
      <w:numFmt w:val="bullet"/>
      <w:lvlText w:val="•"/>
      <w:lvlJc w:val="left"/>
      <w:pPr>
        <w:ind w:left="7769" w:hanging="1056"/>
      </w:pPr>
      <w:rPr>
        <w:rFonts w:hint="default"/>
      </w:rPr>
    </w:lvl>
    <w:lvl w:ilvl="8">
      <w:start w:val="0"/>
      <w:numFmt w:val="bullet"/>
      <w:lvlText w:val="•"/>
      <w:lvlJc w:val="left"/>
      <w:pPr>
        <w:ind w:left="8467" w:hanging="1056"/>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18" w:hanging="260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wulin-013</dc:creator>
  <dc:title>&lt;4D6963726F736F667420576F7264202D20CCABB1A3CAD9A1B232303133A1B3313731BAC5B8BDBCFE313020B8BDBCD3BAE3CCA9C8CBC9FACCE1C7B0B8F8B8B6D6D8B4F3BCB2B2A1B1A3CFD5CCF5BFEE2E646F63&gt;</dc:title>
  <dcterms:created xsi:type="dcterms:W3CDTF">2018-10-20T01:15:24Z</dcterms:created>
  <dcterms:modified xsi:type="dcterms:W3CDTF">2018-10-20T01:15:24Z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