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00" w:firstLine="0"/>
        <w:jc w:val="right"/>
        <w:rPr>
          <w:sz w:val="16"/>
        </w:rPr>
      </w:pPr>
      <w:r>
        <w:rPr/>
        <w:drawing>
          <wp:anchor distT="0" distB="0" distL="0" distR="0" allowOverlap="1" layoutInCell="1" locked="0" behindDoc="0" simplePos="0" relativeHeight="0">
            <wp:simplePos x="0" y="0"/>
            <wp:positionH relativeFrom="page">
              <wp:posOffset>6172199</wp:posOffset>
            </wp:positionH>
            <wp:positionV relativeFrom="paragraph">
              <wp:posOffset>242744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[2012]</w:t>
      </w:r>
      <w:r>
        <w:rPr>
          <w:sz w:val="16"/>
        </w:rPr>
        <w:t>疾病保险 </w:t>
      </w:r>
      <w:r>
        <w:rPr>
          <w:rFonts w:ascii="Times New Roman" w:eastAsia="Times New Roman"/>
          <w:sz w:val="16"/>
        </w:rPr>
        <w:t>013 </w:t>
      </w:r>
      <w:r>
        <w:rPr>
          <w:sz w:val="16"/>
        </w:rPr>
        <w:t>号</w:t>
      </w:r>
    </w:p>
    <w:p>
      <w:pPr>
        <w:spacing w:before="56"/>
        <w:ind w:left="0" w:right="394" w:firstLine="0"/>
        <w:jc w:val="right"/>
        <w:rPr>
          <w:sz w:val="16"/>
        </w:rPr>
      </w:pPr>
      <w:r>
        <w:rPr>
          <w:w w:val="95"/>
          <w:sz w:val="16"/>
        </w:rPr>
        <w:t>请扫描以查询验证条款</w:t>
      </w:r>
    </w:p>
    <w:p>
      <w:pPr>
        <w:pStyle w:val="Heading1"/>
        <w:spacing w:line="324" w:lineRule="auto" w:before="53"/>
        <w:ind w:left="2623" w:right="2879"/>
        <w:jc w:val="center"/>
      </w:pPr>
      <w:r>
        <w:rPr/>
        <w:drawing>
          <wp:anchor distT="0" distB="0" distL="0" distR="0" allowOverlap="1" layoutInCell="1" locked="0" behindDoc="1" simplePos="0" relativeHeight="268406015">
            <wp:simplePos x="0" y="0"/>
            <wp:positionH relativeFrom="page">
              <wp:posOffset>2314955</wp:posOffset>
            </wp:positionH>
            <wp:positionV relativeFrom="paragraph">
              <wp:posOffset>-376102</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w w:val="95"/>
        </w:rPr>
        <w:t>附加同盛重大疾病保险条款阅读指引</w:t>
      </w:r>
    </w:p>
    <w:p>
      <w:pPr>
        <w:pStyle w:val="BodyText"/>
        <w:spacing w:before="79"/>
        <w:ind w:left="2016" w:right="221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p>
    <w:p>
      <w:pPr>
        <w:pStyle w:val="BodyText"/>
        <w:spacing w:before="8"/>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5991">
            <wp:simplePos x="0" y="0"/>
            <wp:positionH relativeFrom="page">
              <wp:posOffset>502702</wp:posOffset>
            </wp:positionH>
            <wp:positionV relativeFrom="paragraph">
              <wp:posOffset>-207341</wp:posOffset>
            </wp:positionV>
            <wp:extent cx="6559730" cy="699711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6997118"/>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420"/>
        </w:sectPr>
      </w:pPr>
    </w:p>
    <w:p>
      <w:pPr>
        <w:pStyle w:val="Heading4"/>
        <w:spacing w:line="299" w:lineRule="exact"/>
        <w:ind w:left="1322"/>
      </w:pPr>
      <w:r>
        <w:rPr>
          <w:rFonts w:ascii="宋体" w:eastAsia="宋体" w:hint="eastAsia"/>
        </w:rPr>
        <w:t>1.</w:t>
      </w:r>
      <w:r>
        <w:rPr/>
        <w:t>您与我们订立的合同</w:t>
      </w:r>
    </w:p>
    <w:p>
      <w:pPr>
        <w:pStyle w:val="ListParagraph"/>
        <w:numPr>
          <w:ilvl w:val="1"/>
          <w:numId w:val="2"/>
        </w:numPr>
        <w:tabs>
          <w:tab w:pos="1953" w:val="left" w:leader="none"/>
        </w:tabs>
        <w:spacing w:line="240" w:lineRule="auto" w:before="13" w:after="0"/>
        <w:ind w:left="1952" w:right="0" w:hanging="420"/>
        <w:jc w:val="left"/>
        <w:rPr>
          <w:sz w:val="21"/>
        </w:rPr>
      </w:pPr>
      <w:r>
        <w:rPr>
          <w:sz w:val="21"/>
        </w:rPr>
        <w:t>合同构成</w:t>
      </w:r>
    </w:p>
    <w:p>
      <w:pPr>
        <w:pStyle w:val="ListParagraph"/>
        <w:numPr>
          <w:ilvl w:val="1"/>
          <w:numId w:val="2"/>
        </w:numPr>
        <w:tabs>
          <w:tab w:pos="1953" w:val="left" w:leader="none"/>
        </w:tabs>
        <w:spacing w:line="240" w:lineRule="auto" w:before="37" w:after="0"/>
        <w:ind w:left="1952" w:right="0" w:hanging="419"/>
        <w:jc w:val="left"/>
        <w:rPr>
          <w:sz w:val="21"/>
        </w:rPr>
      </w:pPr>
      <w:r>
        <w:rPr>
          <w:sz w:val="21"/>
        </w:rPr>
        <w:t>合同成立与生效</w:t>
      </w:r>
    </w:p>
    <w:p>
      <w:pPr>
        <w:pStyle w:val="ListParagraph"/>
        <w:numPr>
          <w:ilvl w:val="1"/>
          <w:numId w:val="2"/>
        </w:numPr>
        <w:tabs>
          <w:tab w:pos="1954" w:val="left" w:leader="none"/>
        </w:tabs>
        <w:spacing w:line="240" w:lineRule="auto" w:before="37" w:after="0"/>
        <w:ind w:left="1953" w:right="0" w:hanging="420"/>
        <w:jc w:val="left"/>
        <w:rPr>
          <w:sz w:val="21"/>
        </w:rPr>
      </w:pPr>
      <w:r>
        <w:rPr>
          <w:spacing w:val="-1"/>
          <w:sz w:val="21"/>
        </w:rPr>
        <w:t>投保年龄</w:t>
      </w:r>
    </w:p>
    <w:p>
      <w:pPr>
        <w:pStyle w:val="ListParagraph"/>
        <w:numPr>
          <w:ilvl w:val="1"/>
          <w:numId w:val="2"/>
        </w:numPr>
        <w:tabs>
          <w:tab w:pos="1953" w:val="left" w:leader="none"/>
        </w:tabs>
        <w:spacing w:line="260" w:lineRule="exact" w:before="37" w:after="0"/>
        <w:ind w:left="1952" w:right="0" w:hanging="419"/>
        <w:jc w:val="left"/>
        <w:rPr>
          <w:sz w:val="21"/>
        </w:rPr>
      </w:pPr>
      <w:r>
        <w:rPr>
          <w:sz w:val="21"/>
        </w:rPr>
        <w:t>犹豫期</w:t>
      </w:r>
    </w:p>
    <w:p>
      <w:pPr>
        <w:pStyle w:val="Heading4"/>
        <w:spacing w:line="351" w:lineRule="exact"/>
        <w:ind w:left="1322"/>
      </w:pPr>
      <w:r>
        <w:rPr>
          <w:rFonts w:ascii="宋体" w:eastAsia="宋体" w:hint="eastAsia"/>
        </w:rPr>
        <w:t>2.</w:t>
      </w:r>
      <w:r>
        <w:rPr/>
        <w:t>我们提供的保障</w:t>
      </w:r>
    </w:p>
    <w:p>
      <w:pPr>
        <w:pStyle w:val="ListParagraph"/>
        <w:numPr>
          <w:ilvl w:val="1"/>
          <w:numId w:val="3"/>
        </w:numPr>
        <w:tabs>
          <w:tab w:pos="1953" w:val="left" w:leader="none"/>
        </w:tabs>
        <w:spacing w:line="240" w:lineRule="auto" w:before="13" w:after="0"/>
        <w:ind w:left="1952" w:right="0" w:hanging="420"/>
        <w:jc w:val="left"/>
        <w:rPr>
          <w:sz w:val="21"/>
        </w:rPr>
      </w:pPr>
      <w:r>
        <w:rPr>
          <w:sz w:val="21"/>
        </w:rPr>
        <w:t>保险责任</w:t>
      </w:r>
    </w:p>
    <w:p>
      <w:pPr>
        <w:pStyle w:val="ListParagraph"/>
        <w:numPr>
          <w:ilvl w:val="1"/>
          <w:numId w:val="3"/>
        </w:numPr>
        <w:tabs>
          <w:tab w:pos="1953" w:val="left" w:leader="none"/>
        </w:tabs>
        <w:spacing w:line="240" w:lineRule="auto" w:before="37" w:after="0"/>
        <w:ind w:left="1952" w:right="0" w:hanging="420"/>
        <w:jc w:val="left"/>
        <w:rPr>
          <w:sz w:val="21"/>
        </w:rPr>
      </w:pPr>
      <w:r>
        <w:rPr>
          <w:sz w:val="21"/>
        </w:rPr>
        <w:t>责任免除</w:t>
      </w:r>
    </w:p>
    <w:p>
      <w:pPr>
        <w:pStyle w:val="ListParagraph"/>
        <w:numPr>
          <w:ilvl w:val="1"/>
          <w:numId w:val="3"/>
        </w:numPr>
        <w:tabs>
          <w:tab w:pos="1953" w:val="left" w:leader="none"/>
        </w:tabs>
        <w:spacing w:line="240" w:lineRule="auto" w:before="37" w:after="0"/>
        <w:ind w:left="1952" w:right="0" w:hanging="420"/>
        <w:jc w:val="left"/>
        <w:rPr>
          <w:sz w:val="21"/>
        </w:rPr>
      </w:pPr>
      <w:r>
        <w:rPr>
          <w:sz w:val="21"/>
        </w:rPr>
        <w:t>保险金额</w:t>
      </w:r>
    </w:p>
    <w:p>
      <w:pPr>
        <w:pStyle w:val="ListParagraph"/>
        <w:numPr>
          <w:ilvl w:val="1"/>
          <w:numId w:val="3"/>
        </w:numPr>
        <w:tabs>
          <w:tab w:pos="1953" w:val="left" w:leader="none"/>
        </w:tabs>
        <w:spacing w:line="260" w:lineRule="exact" w:before="37" w:after="0"/>
        <w:ind w:left="1952" w:right="0" w:hanging="420"/>
        <w:jc w:val="left"/>
        <w:rPr>
          <w:sz w:val="21"/>
        </w:rPr>
      </w:pPr>
      <w:r>
        <w:rPr>
          <w:sz w:val="21"/>
        </w:rPr>
        <w:t>保险期间</w:t>
      </w:r>
    </w:p>
    <w:p>
      <w:pPr>
        <w:pStyle w:val="Heading4"/>
        <w:spacing w:line="351" w:lineRule="exact"/>
        <w:ind w:left="1322"/>
      </w:pPr>
      <w:r>
        <w:rPr>
          <w:rFonts w:ascii="宋体" w:eastAsia="宋体" w:hint="eastAsia"/>
        </w:rPr>
        <w:t>3.</w:t>
      </w:r>
      <w:r>
        <w:rPr/>
        <w:t>保险金的申请</w:t>
      </w:r>
    </w:p>
    <w:p>
      <w:pPr>
        <w:pStyle w:val="ListParagraph"/>
        <w:numPr>
          <w:ilvl w:val="1"/>
          <w:numId w:val="4"/>
        </w:numPr>
        <w:tabs>
          <w:tab w:pos="1953" w:val="left" w:leader="none"/>
        </w:tabs>
        <w:spacing w:line="240" w:lineRule="auto" w:before="13" w:after="0"/>
        <w:ind w:left="1952" w:right="0" w:hanging="420"/>
        <w:jc w:val="left"/>
        <w:rPr>
          <w:sz w:val="21"/>
        </w:rPr>
      </w:pPr>
      <w:r>
        <w:rPr>
          <w:sz w:val="21"/>
        </w:rPr>
        <w:t>受益人</w:t>
      </w:r>
    </w:p>
    <w:p>
      <w:pPr>
        <w:pStyle w:val="ListParagraph"/>
        <w:numPr>
          <w:ilvl w:val="1"/>
          <w:numId w:val="4"/>
        </w:numPr>
        <w:tabs>
          <w:tab w:pos="1953" w:val="left" w:leader="none"/>
        </w:tabs>
        <w:spacing w:line="240" w:lineRule="auto" w:before="37" w:after="0"/>
        <w:ind w:left="1952" w:right="0" w:hanging="419"/>
        <w:jc w:val="left"/>
        <w:rPr>
          <w:sz w:val="21"/>
        </w:rPr>
      </w:pPr>
      <w:r>
        <w:rPr>
          <w:sz w:val="21"/>
        </w:rPr>
        <w:t>保险事故通知</w:t>
      </w:r>
    </w:p>
    <w:p>
      <w:pPr>
        <w:pStyle w:val="ListParagraph"/>
        <w:numPr>
          <w:ilvl w:val="1"/>
          <w:numId w:val="4"/>
        </w:numPr>
        <w:tabs>
          <w:tab w:pos="1954" w:val="left" w:leader="none"/>
        </w:tabs>
        <w:spacing w:line="240" w:lineRule="auto" w:before="37" w:after="0"/>
        <w:ind w:left="1953" w:right="0" w:hanging="420"/>
        <w:jc w:val="left"/>
        <w:rPr>
          <w:sz w:val="21"/>
        </w:rPr>
      </w:pPr>
      <w:r>
        <w:rPr>
          <w:spacing w:val="-1"/>
          <w:sz w:val="21"/>
        </w:rPr>
        <w:t>保险金申请</w:t>
      </w:r>
    </w:p>
    <w:p>
      <w:pPr>
        <w:pStyle w:val="ListParagraph"/>
        <w:numPr>
          <w:ilvl w:val="1"/>
          <w:numId w:val="4"/>
        </w:numPr>
        <w:tabs>
          <w:tab w:pos="1953" w:val="left" w:leader="none"/>
        </w:tabs>
        <w:spacing w:line="240" w:lineRule="auto" w:before="37" w:after="0"/>
        <w:ind w:left="1952" w:right="0" w:hanging="420"/>
        <w:jc w:val="left"/>
        <w:rPr>
          <w:sz w:val="21"/>
        </w:rPr>
      </w:pPr>
      <w:r>
        <w:rPr>
          <w:sz w:val="21"/>
        </w:rPr>
        <w:t>保险金的给付</w:t>
      </w:r>
    </w:p>
    <w:p>
      <w:pPr>
        <w:pStyle w:val="ListParagraph"/>
        <w:numPr>
          <w:ilvl w:val="1"/>
          <w:numId w:val="4"/>
        </w:numPr>
        <w:tabs>
          <w:tab w:pos="1953" w:val="left" w:leader="none"/>
        </w:tabs>
        <w:spacing w:line="240" w:lineRule="auto" w:before="37" w:after="0"/>
        <w:ind w:left="1952" w:right="0" w:hanging="420"/>
        <w:jc w:val="left"/>
        <w:rPr>
          <w:sz w:val="21"/>
        </w:rPr>
      </w:pPr>
      <w:r>
        <w:rPr>
          <w:sz w:val="21"/>
        </w:rPr>
        <w:t>诉讼时效</w:t>
      </w:r>
    </w:p>
    <w:p>
      <w:pPr>
        <w:pStyle w:val="Heading4"/>
        <w:spacing w:before="7"/>
        <w:ind w:left="1322"/>
      </w:pPr>
      <w:r>
        <w:rPr>
          <w:b w:val="0"/>
        </w:rPr>
        <w:br w:type="column"/>
      </w:r>
      <w:r>
        <w:rPr>
          <w:rFonts w:ascii="宋体" w:eastAsia="宋体" w:hint="eastAsia"/>
        </w:rPr>
        <w:t>4.</w:t>
      </w:r>
      <w:r>
        <w:rPr/>
        <w:t>保险费的交纳</w:t>
      </w:r>
    </w:p>
    <w:p>
      <w:pPr>
        <w:pStyle w:val="ListParagraph"/>
        <w:numPr>
          <w:ilvl w:val="1"/>
          <w:numId w:val="5"/>
        </w:numPr>
        <w:tabs>
          <w:tab w:pos="1954" w:val="left" w:leader="none"/>
        </w:tabs>
        <w:spacing w:line="240" w:lineRule="auto" w:before="12" w:after="0"/>
        <w:ind w:left="1953" w:right="0" w:hanging="419"/>
        <w:jc w:val="left"/>
        <w:rPr>
          <w:sz w:val="21"/>
        </w:rPr>
      </w:pPr>
      <w:r>
        <w:rPr>
          <w:spacing w:val="-1"/>
          <w:sz w:val="21"/>
        </w:rPr>
        <w:t>保险费的交纳</w:t>
      </w:r>
    </w:p>
    <w:p>
      <w:pPr>
        <w:pStyle w:val="ListParagraph"/>
        <w:numPr>
          <w:ilvl w:val="1"/>
          <w:numId w:val="5"/>
        </w:numPr>
        <w:tabs>
          <w:tab w:pos="1953" w:val="left" w:leader="none"/>
        </w:tabs>
        <w:spacing w:line="260" w:lineRule="exact" w:before="36" w:after="0"/>
        <w:ind w:left="1952" w:right="0" w:hanging="418"/>
        <w:jc w:val="left"/>
        <w:rPr>
          <w:sz w:val="21"/>
        </w:rPr>
      </w:pPr>
      <w:r>
        <w:rPr>
          <w:sz w:val="21"/>
        </w:rPr>
        <w:t>宽限期</w:t>
      </w:r>
    </w:p>
    <w:p>
      <w:pPr>
        <w:pStyle w:val="Heading4"/>
        <w:spacing w:line="351" w:lineRule="exact"/>
        <w:ind w:left="1322"/>
      </w:pPr>
      <w:r>
        <w:rPr>
          <w:rFonts w:ascii="宋体" w:eastAsia="宋体" w:hint="eastAsia"/>
        </w:rPr>
        <w:t>5.</w:t>
      </w:r>
      <w:r>
        <w:rPr/>
        <w:t>现金价值权益</w:t>
      </w:r>
    </w:p>
    <w:p>
      <w:pPr>
        <w:pStyle w:val="BodyText"/>
        <w:spacing w:line="260" w:lineRule="exact" w:before="14"/>
        <w:ind w:left="1533"/>
      </w:pPr>
      <w:r>
        <w:rPr/>
        <w:t>5.1 本附加合同现金价值</w:t>
      </w:r>
    </w:p>
    <w:p>
      <w:pPr>
        <w:pStyle w:val="Heading4"/>
        <w:spacing w:line="351" w:lineRule="exact"/>
        <w:ind w:left="1322"/>
      </w:pPr>
      <w:r>
        <w:rPr>
          <w:rFonts w:ascii="宋体" w:eastAsia="宋体" w:hint="eastAsia"/>
        </w:rPr>
        <w:t>6.</w:t>
      </w:r>
      <w:r>
        <w:rPr/>
        <w:t>合同中止和复效</w:t>
      </w:r>
    </w:p>
    <w:p>
      <w:pPr>
        <w:pStyle w:val="ListParagraph"/>
        <w:numPr>
          <w:ilvl w:val="1"/>
          <w:numId w:val="6"/>
        </w:numPr>
        <w:tabs>
          <w:tab w:pos="1953" w:val="left" w:leader="none"/>
        </w:tabs>
        <w:spacing w:line="240" w:lineRule="auto" w:before="13" w:after="0"/>
        <w:ind w:left="1952" w:right="0" w:hanging="419"/>
        <w:jc w:val="left"/>
        <w:rPr>
          <w:sz w:val="21"/>
        </w:rPr>
      </w:pPr>
      <w:r>
        <w:rPr>
          <w:sz w:val="21"/>
        </w:rPr>
        <w:t>合同中止</w:t>
      </w:r>
    </w:p>
    <w:p>
      <w:pPr>
        <w:pStyle w:val="ListParagraph"/>
        <w:numPr>
          <w:ilvl w:val="1"/>
          <w:numId w:val="6"/>
        </w:numPr>
        <w:tabs>
          <w:tab w:pos="1953" w:val="left" w:leader="none"/>
        </w:tabs>
        <w:spacing w:line="260" w:lineRule="exact" w:before="37" w:after="0"/>
        <w:ind w:left="1952" w:right="0" w:hanging="419"/>
        <w:jc w:val="left"/>
        <w:rPr>
          <w:sz w:val="21"/>
        </w:rPr>
      </w:pPr>
      <w:r>
        <w:rPr>
          <w:sz w:val="21"/>
        </w:rPr>
        <w:t>合同复效</w:t>
      </w:r>
    </w:p>
    <w:p>
      <w:pPr>
        <w:pStyle w:val="Heading4"/>
        <w:spacing w:line="351" w:lineRule="exact"/>
        <w:ind w:left="1322"/>
      </w:pPr>
      <w:r>
        <w:rPr>
          <w:rFonts w:ascii="宋体" w:eastAsia="宋体" w:hint="eastAsia"/>
        </w:rPr>
        <w:t>7.</w:t>
      </w:r>
      <w:r>
        <w:rPr/>
        <w:t>合同解除和变更</w:t>
      </w:r>
    </w:p>
    <w:p>
      <w:pPr>
        <w:pStyle w:val="ListParagraph"/>
        <w:numPr>
          <w:ilvl w:val="1"/>
          <w:numId w:val="7"/>
        </w:numPr>
        <w:tabs>
          <w:tab w:pos="1900" w:val="left" w:leader="none"/>
        </w:tabs>
        <w:spacing w:line="240" w:lineRule="auto" w:before="13" w:after="0"/>
        <w:ind w:left="1899" w:right="0" w:hanging="367"/>
        <w:jc w:val="left"/>
        <w:rPr>
          <w:sz w:val="21"/>
        </w:rPr>
      </w:pPr>
      <w:r>
        <w:rPr>
          <w:sz w:val="21"/>
        </w:rPr>
        <w:t>您解除合同的手续及风险</w:t>
      </w:r>
    </w:p>
    <w:p>
      <w:pPr>
        <w:pStyle w:val="ListParagraph"/>
        <w:numPr>
          <w:ilvl w:val="1"/>
          <w:numId w:val="7"/>
        </w:numPr>
        <w:tabs>
          <w:tab w:pos="1953" w:val="left" w:leader="none"/>
        </w:tabs>
        <w:spacing w:line="240" w:lineRule="auto" w:before="37" w:after="0"/>
        <w:ind w:left="1952" w:right="0" w:hanging="420"/>
        <w:jc w:val="left"/>
        <w:rPr>
          <w:sz w:val="21"/>
        </w:rPr>
      </w:pPr>
      <w:r>
        <w:rPr>
          <w:sz w:val="21"/>
        </w:rPr>
        <w:t>合同变更</w:t>
      </w:r>
    </w:p>
    <w:p>
      <w:pPr>
        <w:pStyle w:val="ListParagraph"/>
        <w:numPr>
          <w:ilvl w:val="1"/>
          <w:numId w:val="7"/>
        </w:numPr>
        <w:tabs>
          <w:tab w:pos="1953" w:val="left" w:leader="none"/>
        </w:tabs>
        <w:spacing w:line="259" w:lineRule="exact" w:before="37" w:after="0"/>
        <w:ind w:left="1952" w:right="0" w:hanging="420"/>
        <w:jc w:val="left"/>
        <w:rPr>
          <w:sz w:val="21"/>
        </w:rPr>
      </w:pPr>
      <w:r>
        <w:rPr>
          <w:sz w:val="21"/>
        </w:rPr>
        <w:t>联系方式变更</w:t>
      </w:r>
    </w:p>
    <w:p>
      <w:pPr>
        <w:pStyle w:val="Heading4"/>
        <w:spacing w:line="350" w:lineRule="exact"/>
        <w:ind w:left="1322"/>
      </w:pPr>
      <w:r>
        <w:rPr>
          <w:w w:val="95"/>
        </w:rPr>
        <w:t>8</w:t>
      </w:r>
      <w:r>
        <w:rPr>
          <w:rFonts w:ascii="宋体" w:eastAsia="宋体" w:hint="eastAsia"/>
          <w:w w:val="95"/>
        </w:rPr>
        <w:t>.</w:t>
      </w:r>
      <w:r>
        <w:rPr>
          <w:w w:val="95"/>
        </w:rPr>
        <w:t>释义</w:t>
      </w:r>
    </w:p>
    <w:p>
      <w:pPr>
        <w:spacing w:after="0" w:line="350" w:lineRule="exact"/>
        <w:sectPr>
          <w:type w:val="continuous"/>
          <w:pgSz w:w="11910" w:h="16840"/>
          <w:pgMar w:top="220" w:bottom="280" w:left="680" w:right="420"/>
          <w:cols w:num="2" w:equalWidth="0">
            <w:col w:w="3432" w:space="1188"/>
            <w:col w:w="6190"/>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附加同盛重大疾病保险条款</w:t>
      </w:r>
    </w:p>
    <w:p>
      <w:pPr>
        <w:pStyle w:val="BodyText"/>
        <w:spacing w:before="234"/>
        <w:ind w:left="1643"/>
      </w:pPr>
      <w:r>
        <w:rPr/>
        <w:t>（华夏保发[2009]337 号文，2009 年 9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81" w:right="376"/>
      </w:pPr>
      <w:r>
        <w:rPr>
          <w:spacing w:val="-3"/>
        </w:rPr>
        <w:t>在本条款中，“您”指投保人，“我们”和“本公司”指华夏人寿保险股份有限公司，“本附加合同”指您</w:t>
      </w:r>
      <w:r>
        <w:rPr>
          <w:spacing w:val="-8"/>
        </w:rPr>
        <w:t>与我们之间订立的“附加同盛重大疾病保险合同”。</w:t>
      </w:r>
    </w:p>
    <w:p>
      <w:pPr>
        <w:pStyle w:val="BodyText"/>
        <w:spacing w:before="12"/>
        <w:rPr>
          <w:sz w:val="14"/>
        </w:rPr>
      </w:pPr>
    </w:p>
    <w:p>
      <w:pPr>
        <w:pStyle w:val="Heading2"/>
        <w:tabs>
          <w:tab w:pos="955" w:val="left" w:leader="none"/>
        </w:tabs>
        <w:spacing w:before="0"/>
        <w:ind w:left="220"/>
        <w:rPr>
          <w:rFonts w:ascii="宋体" w:eastAsia="宋体" w:hint="eastAsia"/>
        </w:rPr>
      </w:pPr>
      <w:r>
        <w:rPr/>
        <w:pict>
          <v:group style="position:absolute;margin-left:42.599998pt;margin-top:37.049797pt;width:510.1pt;height:1pt;mso-position-horizontal-relative:page;mso-position-vertical-relative:paragraph;z-index:1096;mso-wrap-distance-left:0;mso-wrap-distance-right:0" coordorigin="852,741" coordsize="10202,20">
            <v:line style="position:absolute" from="852,751" to="3659,751" stroked="true" strokeweight=".96002pt" strokecolor="#000000">
              <v:stroke dashstyle="solid"/>
            </v:line>
            <v:line style="position:absolute" from="3659,751" to="11053,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54" w:val="left" w:leader="none"/>
          <w:tab w:pos="955" w:val="left" w:leader="none"/>
          <w:tab w:pos="3006" w:val="left" w:leader="none"/>
        </w:tabs>
        <w:spacing w:line="240" w:lineRule="auto" w:before="35" w:after="0"/>
        <w:ind w:left="3028" w:right="0" w:hanging="280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before="36"/>
        <w:ind w:left="3422" w:right="279"/>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24" w:right="249" w:hanging="418"/>
        <w:jc w:val="both"/>
        <w:rPr>
          <w:rFonts w:ascii="宋体" w:eastAsia="宋体" w:hint="eastAsia"/>
        </w:rPr>
      </w:pPr>
      <w:r>
        <w:rPr>
          <w:rFonts w:ascii="宋体" w:eastAsia="宋体" w:hint="eastAsia"/>
        </w:rPr>
        <w:t>二、主合同的条款也适用于本附加合同，本附加合同对相关事项没有约定的，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55" w:val="left" w:leader="none"/>
          <w:tab w:pos="956" w:val="left" w:leader="none"/>
          <w:tab w:pos="3006" w:val="left" w:leader="none"/>
        </w:tabs>
        <w:spacing w:line="240" w:lineRule="auto" w:before="1" w:after="0"/>
        <w:ind w:left="955" w:right="0" w:hanging="735"/>
        <w:jc w:val="left"/>
        <w:rPr>
          <w:sz w:val="21"/>
        </w:rPr>
      </w:pPr>
      <w:r>
        <w:rPr>
          <w:b/>
          <w:sz w:val="21"/>
        </w:rPr>
        <w:t>合同成立与生效</w:t>
        <w:tab/>
      </w:r>
      <w:r>
        <w:rPr>
          <w:sz w:val="21"/>
        </w:rPr>
        <w:t>一、您提出保险申请、我们同意承保，本附加合同成立。</w:t>
      </w:r>
    </w:p>
    <w:p>
      <w:pPr>
        <w:spacing w:line="273" w:lineRule="auto" w:before="37"/>
        <w:ind w:left="3426" w:right="264"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55" w:val="left" w:leader="none"/>
          <w:tab w:pos="956" w:val="left" w:leader="none"/>
          <w:tab w:pos="3027" w:val="left" w:leader="none"/>
        </w:tabs>
        <w:spacing w:line="273" w:lineRule="auto" w:before="1" w:after="0"/>
        <w:ind w:left="3028" w:right="218" w:hanging="2808"/>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55" w:val="left" w:leader="none"/>
          <w:tab w:pos="956" w:val="left" w:leader="none"/>
          <w:tab w:pos="3006" w:val="left" w:leader="none"/>
        </w:tabs>
        <w:spacing w:line="240" w:lineRule="auto" w:before="0" w:after="0"/>
        <w:ind w:left="955" w:right="0" w:hanging="735"/>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26" w:right="217"/>
        <w:jc w:val="both"/>
      </w:pPr>
      <w:r>
        <w:rPr/>
        <w:t>此期间请您仔细审阅本附加合同的各项内容，特别是责任免除条款、合同解除条款以及如实告知等内容。若您认为本附加合同与您的需求不相符， </w:t>
      </w:r>
      <w:r>
        <w:rPr>
          <w:spacing w:val="-6"/>
        </w:rPr>
        <w:t>您可以在此期间提出解除本附加合同，我们将在扣除不超过 </w:t>
      </w:r>
      <w:r>
        <w:rPr/>
        <w:t>10</w:t>
      </w:r>
      <w:r>
        <w:rPr>
          <w:spacing w:val="-12"/>
        </w:rPr>
        <w:t> 元的工本费</w:t>
      </w:r>
      <w:r>
        <w:rPr>
          <w:spacing w:val="-1"/>
        </w:rPr>
        <w:t>后无息退还您所交纳的保险费。</w:t>
      </w:r>
    </w:p>
    <w:p>
      <w:pPr>
        <w:spacing w:line="266" w:lineRule="auto" w:before="8"/>
        <w:ind w:left="3426" w:right="271" w:hanging="420"/>
        <w:jc w:val="both"/>
        <w:rPr>
          <w:sz w:val="21"/>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r>
        <w:rPr>
          <w:w w:val="95"/>
          <w:sz w:val="21"/>
        </w:rPr>
        <w:t>。</w:t>
      </w:r>
    </w:p>
    <w:p>
      <w:pPr>
        <w:pStyle w:val="BodyText"/>
        <w:spacing w:before="11"/>
        <w:rPr>
          <w:sz w:val="20"/>
        </w:rPr>
      </w:pPr>
    </w:p>
    <w:p>
      <w:pPr>
        <w:tabs>
          <w:tab w:pos="955" w:val="left" w:leader="none"/>
        </w:tabs>
        <w:spacing w:line="557" w:lineRule="exact" w:before="0"/>
        <w:ind w:left="220" w:right="0" w:firstLine="0"/>
        <w:jc w:val="left"/>
        <w:rPr>
          <w:b/>
          <w:sz w:val="24"/>
        </w:rPr>
      </w:pPr>
      <w:r>
        <w:rPr/>
        <w:pict>
          <v:group style="position:absolute;margin-left:42.599998pt;margin-top:31.197195pt;width:510.1pt;height:1pt;mso-position-horizontal-relative:page;mso-position-vertical-relative:paragraph;z-index:1120;mso-wrap-distance-left:0;mso-wrap-distance-right:0" coordorigin="852,624" coordsize="10202,20">
            <v:line style="position:absolute" from="852,634" to="3659,634" stroked="true" strokeweight=".96001pt" strokecolor="#000000">
              <v:stroke dashstyle="solid"/>
            </v:line>
            <v:line style="position:absolute" from="3659,634" to="11053,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54" w:val="left" w:leader="none"/>
          <w:tab w:pos="955" w:val="left" w:leader="none"/>
          <w:tab w:pos="3006" w:val="left" w:leader="none"/>
        </w:tabs>
        <w:spacing w:line="240" w:lineRule="auto" w:before="35" w:after="0"/>
        <w:ind w:left="954" w:right="0" w:hanging="734"/>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740" w:right="740"/>
          <w:pgNumType w:start="2"/>
        </w:sectPr>
      </w:pPr>
    </w:p>
    <w:p>
      <w:pPr>
        <w:pStyle w:val="Heading2"/>
        <w:spacing w:line="184" w:lineRule="auto"/>
      </w:pPr>
      <w:r>
        <w:rPr/>
        <w:t>首次重大疾病保险金</w:t>
      </w:r>
    </w:p>
    <w:p>
      <w:pPr>
        <w:spacing w:line="273" w:lineRule="auto" w:before="36"/>
        <w:ind w:left="746" w:right="113" w:hanging="417"/>
        <w:jc w:val="left"/>
        <w:rPr>
          <w:sz w:val="21"/>
        </w:rPr>
      </w:pPr>
      <w:r>
        <w:rPr/>
        <w:br w:type="column"/>
      </w:r>
      <w:r>
        <w:rPr>
          <w:spacing w:val="-8"/>
          <w:sz w:val="21"/>
        </w:rPr>
        <w:t>一、若被保险人于本附加合同生效或最后一次复效之日起 </w:t>
      </w:r>
      <w:r>
        <w:rPr>
          <w:sz w:val="21"/>
        </w:rPr>
        <w:t>90</w:t>
      </w:r>
      <w:r>
        <w:rPr>
          <w:spacing w:val="-29"/>
          <w:sz w:val="21"/>
        </w:rPr>
        <w:t> 日内</w:t>
      </w:r>
      <w:r>
        <w:rPr>
          <w:sz w:val="21"/>
        </w:rPr>
        <w:t>（</w:t>
      </w:r>
      <w:r>
        <w:rPr>
          <w:spacing w:val="-20"/>
          <w:sz w:val="21"/>
        </w:rPr>
        <w:t>含第 </w:t>
      </w:r>
      <w:r>
        <w:rPr>
          <w:sz w:val="21"/>
        </w:rPr>
        <w:t>90</w:t>
      </w:r>
      <w:r>
        <w:rPr>
          <w:spacing w:val="-30"/>
          <w:sz w:val="21"/>
        </w:rPr>
        <w:t> 日</w:t>
      </w:r>
      <w:r>
        <w:rPr>
          <w:sz w:val="21"/>
        </w:rPr>
        <w:t>） 因</w:t>
      </w:r>
      <w:r>
        <w:rPr>
          <w:b/>
          <w:sz w:val="21"/>
        </w:rPr>
        <w:t>意外伤害</w:t>
      </w:r>
      <w:r>
        <w:rPr>
          <w:sz w:val="21"/>
        </w:rPr>
        <w:t>以外的原因导致</w:t>
      </w:r>
      <w:r>
        <w:rPr>
          <w:b/>
          <w:sz w:val="21"/>
        </w:rPr>
        <w:t>初次患本附加合同所列的重大疾病</w:t>
      </w:r>
      <w:r>
        <w:rPr>
          <w:sz w:val="21"/>
        </w:rPr>
        <w:t>，我们向您无息返还已交保险费，同时本附加合同终止。</w:t>
      </w:r>
    </w:p>
    <w:p>
      <w:pPr>
        <w:pStyle w:val="BodyText"/>
        <w:spacing w:before="8"/>
        <w:ind w:left="329"/>
      </w:pPr>
      <w:r>
        <w:rPr/>
        <w:t>二、若被保险人因意外伤害，或于本附加合同生效或最后一次复效之日起 90 日</w:t>
      </w:r>
    </w:p>
    <w:p>
      <w:pPr>
        <w:spacing w:after="0"/>
        <w:sectPr>
          <w:type w:val="continuous"/>
          <w:pgSz w:w="11910" w:h="16840"/>
          <w:pgMar w:top="220" w:bottom="280" w:left="740" w:right="740"/>
          <w:cols w:num="2" w:equalWidth="0">
            <w:col w:w="2637" w:space="40"/>
            <w:col w:w="7753"/>
          </w:cols>
        </w:sectPr>
      </w:pPr>
    </w:p>
    <w:p>
      <w:pPr>
        <w:pStyle w:val="BodyText"/>
        <w:spacing w:line="273" w:lineRule="auto" w:before="19"/>
        <w:ind w:left="3422" w:right="217"/>
        <w:jc w:val="both"/>
      </w:pPr>
      <w:r>
        <w:rPr/>
        <w:t>后因意外伤害以外的原因导致初次患本附加合同所列的重大疾病，我们将按本附加合同载明的保险金额给付首次重大疾病保险金，本附加合同及所附主合同继续有效，同时本附加合同的</w:t>
      </w:r>
      <w:r>
        <w:rPr>
          <w:b/>
        </w:rPr>
        <w:t>现金价值</w:t>
      </w:r>
      <w:r>
        <w:rPr/>
        <w:t>减少为零，所附主合同的保险金额按照我们给付的首次重大疾病保险金等额减少，所附主合同的各项权利和义务按照等额减少后的保险金额确定。</w:t>
      </w:r>
    </w:p>
    <w:p>
      <w:pPr>
        <w:pStyle w:val="BodyText"/>
        <w:spacing w:before="3"/>
        <w:rPr>
          <w:sz w:val="15"/>
        </w:rPr>
      </w:pPr>
    </w:p>
    <w:p>
      <w:pPr>
        <w:spacing w:after="0"/>
        <w:rPr>
          <w:sz w:val="15"/>
        </w:rPr>
        <w:sectPr>
          <w:pgSz w:w="11910" w:h="16840"/>
          <w:pgMar w:header="0" w:footer="442" w:top="1100" w:bottom="640" w:left="740" w:right="740"/>
        </w:sectPr>
      </w:pPr>
    </w:p>
    <w:p>
      <w:pPr>
        <w:pStyle w:val="Heading2"/>
        <w:spacing w:line="184" w:lineRule="auto" w:before="45"/>
      </w:pPr>
      <w:r>
        <w:rPr/>
        <w:t>第二次重大疾病保险金</w:t>
      </w:r>
    </w:p>
    <w:p>
      <w:pPr>
        <w:pStyle w:val="BodyText"/>
        <w:spacing w:line="273" w:lineRule="auto" w:before="35"/>
        <w:ind w:left="329" w:right="277"/>
        <w:jc w:val="both"/>
      </w:pPr>
      <w:r>
        <w:rPr/>
        <w:br w:type="column"/>
      </w:r>
      <w:r>
        <w:rPr/>
        <w:t>若同一被保险人已领取首次重大疾病保险金，并且自首次重大疾病确诊之日算</w:t>
      </w:r>
      <w:r>
        <w:rPr>
          <w:spacing w:val="-18"/>
        </w:rPr>
        <w:t>起满 </w:t>
      </w:r>
      <w:r>
        <w:rPr/>
        <w:t>365</w:t>
      </w:r>
      <w:r>
        <w:rPr>
          <w:spacing w:val="-8"/>
        </w:rPr>
        <w:t> 日后初次患首次重大疾病所属组别以外其他两组中的任何一种重大疾病，我们将按本附加合同载明的保险金额给付第二次重大疾病保险金，同时本附加合同终止。</w:t>
      </w:r>
    </w:p>
    <w:p>
      <w:pPr>
        <w:spacing w:after="0" w:line="273" w:lineRule="auto"/>
        <w:jc w:val="both"/>
        <w:sectPr>
          <w:type w:val="continuous"/>
          <w:pgSz w:w="11910" w:h="16840"/>
          <w:pgMar w:top="220" w:bottom="280" w:left="740" w:right="740"/>
          <w:cols w:num="2" w:equalWidth="0">
            <w:col w:w="2637" w:space="40"/>
            <w:col w:w="7753"/>
          </w:cols>
        </w:sectPr>
      </w:pPr>
    </w:p>
    <w:p>
      <w:pPr>
        <w:pStyle w:val="BodyText"/>
        <w:spacing w:before="0"/>
      </w:pPr>
    </w:p>
    <w:p>
      <w:pPr>
        <w:spacing w:after="0"/>
        <w:sectPr>
          <w:type w:val="continuous"/>
          <w:pgSz w:w="11910" w:h="16840"/>
          <w:pgMar w:top="220" w:bottom="280" w:left="740" w:right="740"/>
        </w:sectPr>
      </w:pPr>
    </w:p>
    <w:p>
      <w:pPr>
        <w:pStyle w:val="Heading2"/>
        <w:spacing w:line="182" w:lineRule="auto" w:before="49"/>
      </w:pPr>
      <w:r>
        <w:rPr/>
        <w:t>重大疾病保险费豁免</w:t>
      </w:r>
    </w:p>
    <w:p>
      <w:pPr>
        <w:pStyle w:val="BodyText"/>
        <w:spacing w:line="273" w:lineRule="auto" w:before="35"/>
        <w:ind w:left="329" w:right="277"/>
      </w:pPr>
      <w:r>
        <w:rPr/>
        <w:br w:type="column"/>
      </w:r>
      <w:r>
        <w:rPr/>
        <w:t>若被保险人已领取首次重大疾病保险金，我们将豁免本附加合同自首次重大疾病确诊之日以后的各期保险费。</w:t>
      </w:r>
    </w:p>
    <w:p>
      <w:pPr>
        <w:spacing w:after="0" w:line="273" w:lineRule="auto"/>
        <w:sectPr>
          <w:type w:val="continuous"/>
          <w:pgSz w:w="11910" w:h="16840"/>
          <w:pgMar w:top="220" w:bottom="280" w:left="740" w:right="740"/>
          <w:cols w:num="2" w:equalWidth="0">
            <w:col w:w="2637" w:space="40"/>
            <w:col w:w="7753"/>
          </w:cols>
        </w:sectPr>
      </w:pPr>
    </w:p>
    <w:p>
      <w:pPr>
        <w:pStyle w:val="BodyText"/>
        <w:spacing w:before="12"/>
        <w:rPr>
          <w:sz w:val="12"/>
        </w:rPr>
      </w:pPr>
    </w:p>
    <w:p>
      <w:pPr>
        <w:pStyle w:val="Heading3"/>
        <w:numPr>
          <w:ilvl w:val="1"/>
          <w:numId w:val="9"/>
        </w:numPr>
        <w:tabs>
          <w:tab w:pos="955" w:val="left" w:leader="none"/>
          <w:tab w:pos="956" w:val="left" w:leader="none"/>
          <w:tab w:pos="3006" w:val="left" w:leader="none"/>
        </w:tabs>
        <w:spacing w:line="240" w:lineRule="auto" w:before="34" w:after="0"/>
        <w:ind w:left="955" w:right="0" w:hanging="736"/>
        <w:jc w:val="left"/>
        <w:rPr>
          <w:sz w:val="21"/>
        </w:rPr>
      </w:pPr>
      <w:r>
        <w:rPr>
          <w:b/>
          <w:i w:val="0"/>
          <w:sz w:val="21"/>
        </w:rPr>
        <w:t>责任免除</w:t>
        <w:tab/>
      </w:r>
      <w:r>
        <w:rPr>
          <w:w w:val="95"/>
        </w:rPr>
        <w:t>一、因下列情形之一或在本附加合同效力中止期间患重大疾病、达到疾病状态</w:t>
      </w:r>
    </w:p>
    <w:p>
      <w:pPr>
        <w:spacing w:line="259" w:lineRule="auto" w:before="23"/>
        <w:ind w:left="3426" w:right="1746"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spacing w:val="-1"/>
          <w:w w:val="95"/>
          <w:sz w:val="22"/>
        </w:rPr>
        <w:t>(二)被保险人故意犯罪或抗拒依法采取的刑事强制措施；</w:t>
      </w:r>
    </w:p>
    <w:p>
      <w:pPr>
        <w:spacing w:line="259" w:lineRule="auto" w:before="6"/>
        <w:ind w:left="3426" w:right="3573" w:firstLine="0"/>
        <w:jc w:val="left"/>
        <w:rPr>
          <w:rFonts w:ascii="黑体" w:eastAsia="黑体" w:hint="eastAsia"/>
          <w:i/>
          <w:sz w:val="22"/>
        </w:rPr>
      </w:pPr>
      <w:r>
        <w:rPr>
          <w:rFonts w:ascii="黑体" w:eastAsia="黑体" w:hint="eastAsia"/>
          <w:i/>
          <w:w w:val="95"/>
          <w:sz w:val="22"/>
        </w:rPr>
        <w:t>(三)被保险人</w:t>
      </w:r>
      <w:r>
        <w:rPr>
          <w:i/>
          <w:w w:val="95"/>
          <w:sz w:val="22"/>
        </w:rPr>
        <w:t>主动</w:t>
      </w:r>
      <w:r>
        <w:rPr>
          <w:rFonts w:ascii="黑体" w:eastAsia="黑体" w:hint="eastAsia"/>
          <w:i/>
          <w:w w:val="95"/>
          <w:sz w:val="22"/>
        </w:rPr>
        <w:t>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46" w:right="258"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46" w:right="217" w:hanging="421"/>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29"/>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6"/>
      </w:pPr>
      <w:r>
        <w:rPr/>
        <w:t>(七)战争、军事冲突、暴乱或武装叛乱；        (八)核爆炸、核辐射或核污染；                </w:t>
      </w:r>
      <w:r>
        <w:rPr>
          <w:w w:val="95"/>
        </w:rPr>
        <w:t>(九)遗传性疾病，先天性畸形、变形或染色体异常。</w:t>
      </w:r>
    </w:p>
    <w:p>
      <w:pPr>
        <w:spacing w:line="259" w:lineRule="auto" w:before="6"/>
        <w:ind w:left="3426" w:right="276"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二、发Th上述第(一)种情形导致被保险人患重大疾病、达到疾病状态或进行手</w:t>
      </w:r>
      <w:r>
        <w:rPr>
          <w:rFonts w:ascii="黑体" w:eastAsia="黑体" w:hint="eastAsia"/>
          <w:i/>
          <w:spacing w:val="-3"/>
          <w:w w:val="95"/>
          <w:sz w:val="22"/>
        </w:rPr>
        <w:t>术的，本附加合同终止，您已交足 </w:t>
      </w:r>
      <w:r>
        <w:rPr>
          <w:rFonts w:ascii="黑体" w:eastAsia="黑体" w:hint="eastAsia"/>
          <w:i/>
          <w:w w:val="95"/>
          <w:sz w:val="22"/>
        </w:rPr>
        <w:t>2</w:t>
      </w:r>
      <w:r>
        <w:rPr>
          <w:rFonts w:ascii="黑体" w:eastAsia="黑体" w:hint="eastAsia"/>
          <w:i/>
          <w:spacing w:val="-6"/>
          <w:w w:val="95"/>
          <w:sz w:val="22"/>
        </w:rPr>
        <w:t> 年以上保险费的，我们向被保险人退还本附加合同的现金价值。</w:t>
      </w:r>
    </w:p>
    <w:p>
      <w:pPr>
        <w:spacing w:line="259" w:lineRule="auto" w:before="6"/>
        <w:ind w:left="3426" w:right="70"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8"/>
        <w:rPr>
          <w:rFonts w:ascii="黑体"/>
          <w:i/>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
        <w:gridCol w:w="1939"/>
        <w:gridCol w:w="7610"/>
      </w:tblGrid>
      <w:tr>
        <w:trPr>
          <w:trHeight w:val="260" w:hRule="atLeast"/>
        </w:trPr>
        <w:tc>
          <w:tcPr>
            <w:tcW w:w="654" w:type="dxa"/>
          </w:tcPr>
          <w:p>
            <w:pPr>
              <w:pStyle w:val="TableParagraph"/>
              <w:spacing w:line="210" w:lineRule="exact"/>
              <w:ind w:left="107"/>
              <w:rPr>
                <w:b/>
                <w:sz w:val="21"/>
              </w:rPr>
            </w:pPr>
            <w:r>
              <w:rPr>
                <w:b/>
                <w:sz w:val="21"/>
              </w:rPr>
              <w:t>2.3</w:t>
            </w:r>
          </w:p>
        </w:tc>
        <w:tc>
          <w:tcPr>
            <w:tcW w:w="1939" w:type="dxa"/>
          </w:tcPr>
          <w:p>
            <w:pPr>
              <w:pStyle w:val="TableParagraph"/>
              <w:spacing w:line="210" w:lineRule="exact"/>
              <w:ind w:left="188"/>
              <w:rPr>
                <w:b/>
                <w:sz w:val="21"/>
              </w:rPr>
            </w:pPr>
            <w:r>
              <w:rPr>
                <w:b/>
                <w:w w:val="95"/>
                <w:sz w:val="21"/>
              </w:rPr>
              <w:t>保险金额</w:t>
            </w:r>
          </w:p>
        </w:tc>
        <w:tc>
          <w:tcPr>
            <w:tcW w:w="7610" w:type="dxa"/>
          </w:tcPr>
          <w:p>
            <w:pPr>
              <w:pStyle w:val="TableParagraph"/>
              <w:spacing w:line="210" w:lineRule="exact"/>
              <w:ind w:left="301"/>
              <w:rPr>
                <w:sz w:val="21"/>
              </w:rPr>
            </w:pPr>
            <w:r>
              <w:rPr>
                <w:sz w:val="21"/>
              </w:rPr>
              <w:t>本附加合同的保险金额由您在投保时与我们约定并在保险单中载明，投保时的</w:t>
            </w:r>
          </w:p>
        </w:tc>
      </w:tr>
      <w:tr>
        <w:trPr>
          <w:trHeight w:val="311" w:hRule="atLeast"/>
        </w:trPr>
        <w:tc>
          <w:tcPr>
            <w:tcW w:w="654" w:type="dxa"/>
          </w:tcPr>
          <w:p>
            <w:pPr>
              <w:pStyle w:val="TableParagraph"/>
              <w:rPr>
                <w:rFonts w:ascii="Times New Roman"/>
                <w:sz w:val="20"/>
              </w:rPr>
            </w:pPr>
          </w:p>
        </w:tc>
        <w:tc>
          <w:tcPr>
            <w:tcW w:w="1939" w:type="dxa"/>
          </w:tcPr>
          <w:p>
            <w:pPr>
              <w:pStyle w:val="TableParagraph"/>
              <w:rPr>
                <w:rFonts w:ascii="Times New Roman"/>
                <w:sz w:val="20"/>
              </w:rPr>
            </w:pPr>
          </w:p>
        </w:tc>
        <w:tc>
          <w:tcPr>
            <w:tcW w:w="7610" w:type="dxa"/>
          </w:tcPr>
          <w:p>
            <w:pPr>
              <w:pStyle w:val="TableParagraph"/>
              <w:spacing w:line="261" w:lineRule="exact"/>
              <w:ind w:left="301"/>
              <w:rPr>
                <w:sz w:val="21"/>
              </w:rPr>
            </w:pPr>
            <w:r>
              <w:rPr>
                <w:sz w:val="21"/>
              </w:rPr>
              <w:t>保险金额须符合我们当时的投保规则。若该金额发生变更，则以变更后的金额</w:t>
            </w:r>
          </w:p>
        </w:tc>
      </w:tr>
      <w:tr>
        <w:trPr>
          <w:trHeight w:val="434" w:hRule="atLeast"/>
        </w:trPr>
        <w:tc>
          <w:tcPr>
            <w:tcW w:w="654" w:type="dxa"/>
          </w:tcPr>
          <w:p>
            <w:pPr>
              <w:pStyle w:val="TableParagraph"/>
              <w:rPr>
                <w:rFonts w:ascii="Times New Roman"/>
                <w:sz w:val="20"/>
              </w:rPr>
            </w:pPr>
          </w:p>
        </w:tc>
        <w:tc>
          <w:tcPr>
            <w:tcW w:w="1939" w:type="dxa"/>
          </w:tcPr>
          <w:p>
            <w:pPr>
              <w:pStyle w:val="TableParagraph"/>
              <w:rPr>
                <w:rFonts w:ascii="Times New Roman"/>
                <w:sz w:val="20"/>
              </w:rPr>
            </w:pPr>
          </w:p>
        </w:tc>
        <w:tc>
          <w:tcPr>
            <w:tcW w:w="7610" w:type="dxa"/>
          </w:tcPr>
          <w:p>
            <w:pPr>
              <w:pStyle w:val="TableParagraph"/>
              <w:spacing w:line="261" w:lineRule="exact"/>
              <w:ind w:left="301"/>
              <w:rPr>
                <w:sz w:val="21"/>
              </w:rPr>
            </w:pPr>
            <w:r>
              <w:rPr>
                <w:sz w:val="21"/>
              </w:rPr>
              <w:t>为保险金额。</w:t>
            </w:r>
          </w:p>
        </w:tc>
      </w:tr>
      <w:tr>
        <w:trPr>
          <w:trHeight w:val="434" w:hRule="atLeast"/>
        </w:trPr>
        <w:tc>
          <w:tcPr>
            <w:tcW w:w="654" w:type="dxa"/>
          </w:tcPr>
          <w:p>
            <w:pPr>
              <w:pStyle w:val="TableParagraph"/>
              <w:spacing w:before="109"/>
              <w:ind w:left="107"/>
              <w:rPr>
                <w:b/>
                <w:sz w:val="21"/>
              </w:rPr>
            </w:pPr>
            <w:r>
              <w:rPr>
                <w:b/>
                <w:sz w:val="21"/>
              </w:rPr>
              <w:t>2.4</w:t>
            </w:r>
          </w:p>
        </w:tc>
        <w:tc>
          <w:tcPr>
            <w:tcW w:w="1939" w:type="dxa"/>
          </w:tcPr>
          <w:p>
            <w:pPr>
              <w:pStyle w:val="TableParagraph"/>
              <w:spacing w:before="109"/>
              <w:ind w:left="188"/>
              <w:rPr>
                <w:b/>
                <w:sz w:val="21"/>
              </w:rPr>
            </w:pPr>
            <w:r>
              <w:rPr>
                <w:b/>
                <w:w w:val="95"/>
                <w:sz w:val="21"/>
              </w:rPr>
              <w:t>保险期间</w:t>
            </w:r>
          </w:p>
        </w:tc>
        <w:tc>
          <w:tcPr>
            <w:tcW w:w="7610" w:type="dxa"/>
          </w:tcPr>
          <w:p>
            <w:pPr>
              <w:pStyle w:val="TableParagraph"/>
              <w:spacing w:before="109"/>
              <w:ind w:left="301"/>
              <w:rPr>
                <w:sz w:val="21"/>
              </w:rPr>
            </w:pPr>
            <w:r>
              <w:rPr>
                <w:sz w:val="21"/>
              </w:rPr>
              <w:t>本附加合同的保险期间与主合同一致，自本附加合同生效日零时起算。所附主</w:t>
            </w:r>
          </w:p>
        </w:tc>
      </w:tr>
      <w:tr>
        <w:trPr>
          <w:trHeight w:val="451" w:hRule="atLeast"/>
        </w:trPr>
        <w:tc>
          <w:tcPr>
            <w:tcW w:w="654" w:type="dxa"/>
          </w:tcPr>
          <w:p>
            <w:pPr>
              <w:pStyle w:val="TableParagraph"/>
              <w:rPr>
                <w:rFonts w:ascii="Times New Roman"/>
                <w:sz w:val="20"/>
              </w:rPr>
            </w:pPr>
          </w:p>
        </w:tc>
        <w:tc>
          <w:tcPr>
            <w:tcW w:w="1939" w:type="dxa"/>
          </w:tcPr>
          <w:p>
            <w:pPr>
              <w:pStyle w:val="TableParagraph"/>
              <w:rPr>
                <w:rFonts w:ascii="Times New Roman"/>
                <w:sz w:val="20"/>
              </w:rPr>
            </w:pPr>
          </w:p>
        </w:tc>
        <w:tc>
          <w:tcPr>
            <w:tcW w:w="7610" w:type="dxa"/>
          </w:tcPr>
          <w:p>
            <w:pPr>
              <w:pStyle w:val="TableParagraph"/>
              <w:spacing w:line="261" w:lineRule="exact"/>
              <w:ind w:left="301"/>
              <w:rPr>
                <w:sz w:val="21"/>
              </w:rPr>
            </w:pPr>
            <w:r>
              <w:rPr>
                <w:sz w:val="21"/>
              </w:rPr>
              <w:t>合同终止的，本附加合同同时终止。</w:t>
            </w:r>
          </w:p>
        </w:tc>
      </w:tr>
      <w:tr>
        <w:trPr>
          <w:trHeight w:val="713" w:hRule="atLeast"/>
        </w:trPr>
        <w:tc>
          <w:tcPr>
            <w:tcW w:w="654" w:type="dxa"/>
            <w:tcBorders>
              <w:bottom w:val="single" w:sz="8" w:space="0" w:color="000000"/>
            </w:tcBorders>
          </w:tcPr>
          <w:p>
            <w:pPr>
              <w:pStyle w:val="TableParagraph"/>
              <w:spacing w:line="647" w:lineRule="exact"/>
              <w:ind w:left="107"/>
              <w:rPr>
                <w:rFonts w:ascii="Yu Gothic"/>
                <w:b/>
                <w:sz w:val="40"/>
              </w:rPr>
            </w:pPr>
            <w:r>
              <w:rPr>
                <w:rFonts w:ascii="Yu Gothic"/>
                <w:b/>
                <w:w w:val="116"/>
                <w:sz w:val="40"/>
              </w:rPr>
              <w:t>O</w:t>
            </w:r>
          </w:p>
        </w:tc>
        <w:tc>
          <w:tcPr>
            <w:tcW w:w="1939" w:type="dxa"/>
            <w:tcBorders>
              <w:bottom w:val="single" w:sz="8" w:space="0" w:color="000000"/>
            </w:tcBorders>
          </w:tcPr>
          <w:p>
            <w:pPr>
              <w:pStyle w:val="TableParagraph"/>
              <w:spacing w:before="206"/>
              <w:ind w:left="189"/>
              <w:rPr>
                <w:b/>
                <w:sz w:val="24"/>
              </w:rPr>
            </w:pPr>
            <w:r>
              <w:rPr>
                <w:b/>
                <w:w w:val="95"/>
                <w:sz w:val="24"/>
              </w:rPr>
              <w:t>保险金的申请</w:t>
            </w:r>
          </w:p>
        </w:tc>
        <w:tc>
          <w:tcPr>
            <w:tcW w:w="7610" w:type="dxa"/>
            <w:tcBorders>
              <w:bottom w:val="single" w:sz="8" w:space="0" w:color="000000"/>
            </w:tcBorders>
          </w:tcPr>
          <w:p>
            <w:pPr>
              <w:pStyle w:val="TableParagraph"/>
              <w:rPr>
                <w:rFonts w:ascii="Times New Roman"/>
                <w:sz w:val="20"/>
              </w:rPr>
            </w:pPr>
          </w:p>
        </w:tc>
      </w:tr>
      <w:tr>
        <w:trPr>
          <w:trHeight w:val="626" w:hRule="atLeast"/>
        </w:trPr>
        <w:tc>
          <w:tcPr>
            <w:tcW w:w="654"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1939" w:type="dxa"/>
            <w:tcBorders>
              <w:top w:val="single" w:sz="8" w:space="0" w:color="000000"/>
            </w:tcBorders>
          </w:tcPr>
          <w:p>
            <w:pPr>
              <w:pStyle w:val="TableParagraph"/>
              <w:spacing w:before="9"/>
              <w:rPr>
                <w:rFonts w:ascii="黑体"/>
                <w:i/>
                <w:sz w:val="14"/>
              </w:rPr>
            </w:pPr>
          </w:p>
          <w:p>
            <w:pPr>
              <w:pStyle w:val="TableParagraph"/>
              <w:ind w:left="189"/>
              <w:rPr>
                <w:b/>
                <w:sz w:val="21"/>
              </w:rPr>
            </w:pPr>
            <w:r>
              <w:rPr>
                <w:b/>
                <w:w w:val="95"/>
                <w:sz w:val="21"/>
              </w:rPr>
              <w:t>受益人</w:t>
            </w:r>
          </w:p>
        </w:tc>
        <w:tc>
          <w:tcPr>
            <w:tcW w:w="7610" w:type="dxa"/>
            <w:tcBorders>
              <w:top w:val="single" w:sz="8" w:space="0" w:color="000000"/>
            </w:tcBorders>
          </w:tcPr>
          <w:p>
            <w:pPr>
              <w:pStyle w:val="TableParagraph"/>
              <w:spacing w:before="9"/>
              <w:rPr>
                <w:rFonts w:ascii="黑体"/>
                <w:i/>
                <w:sz w:val="14"/>
              </w:rPr>
            </w:pPr>
          </w:p>
          <w:p>
            <w:pPr>
              <w:pStyle w:val="TableParagraph"/>
              <w:ind w:left="301"/>
              <w:rPr>
                <w:sz w:val="21"/>
              </w:rPr>
            </w:pPr>
            <w:r>
              <w:rPr>
                <w:sz w:val="21"/>
              </w:rPr>
              <w:t>除另有约定外，重大疾病保险金的受益人为被保险人本人。</w:t>
            </w:r>
          </w:p>
        </w:tc>
      </w:tr>
      <w:tr>
        <w:trPr>
          <w:trHeight w:val="1005" w:hRule="atLeast"/>
        </w:trPr>
        <w:tc>
          <w:tcPr>
            <w:tcW w:w="654" w:type="dxa"/>
          </w:tcPr>
          <w:p>
            <w:pPr>
              <w:pStyle w:val="TableParagraph"/>
              <w:spacing w:before="104"/>
              <w:ind w:left="107"/>
              <w:rPr>
                <w:b/>
                <w:sz w:val="21"/>
              </w:rPr>
            </w:pPr>
            <w:r>
              <w:rPr>
                <w:b/>
                <w:sz w:val="21"/>
              </w:rPr>
              <w:t>3.2</w:t>
            </w:r>
          </w:p>
        </w:tc>
        <w:tc>
          <w:tcPr>
            <w:tcW w:w="1939" w:type="dxa"/>
          </w:tcPr>
          <w:p>
            <w:pPr>
              <w:pStyle w:val="TableParagraph"/>
              <w:spacing w:before="104"/>
              <w:ind w:left="189"/>
              <w:rPr>
                <w:b/>
                <w:sz w:val="21"/>
              </w:rPr>
            </w:pPr>
            <w:r>
              <w:rPr>
                <w:b/>
                <w:w w:val="95"/>
                <w:sz w:val="21"/>
              </w:rPr>
              <w:t>保险事故通知</w:t>
            </w:r>
          </w:p>
        </w:tc>
        <w:tc>
          <w:tcPr>
            <w:tcW w:w="7610" w:type="dxa"/>
          </w:tcPr>
          <w:p>
            <w:pPr>
              <w:pStyle w:val="TableParagraph"/>
              <w:spacing w:line="310" w:lineRule="atLeast" w:before="71"/>
              <w:ind w:left="301" w:right="109"/>
              <w:jc w:val="both"/>
              <w:rPr>
                <w:sz w:val="21"/>
              </w:rPr>
            </w:pPr>
            <w:r>
              <w:rPr>
                <w:spacing w:val="-8"/>
                <w:sz w:val="21"/>
              </w:rPr>
              <w:t>您、被保险人或受益人应于知道保险事故发生之日起 </w:t>
            </w:r>
            <w:r>
              <w:rPr>
                <w:sz w:val="21"/>
              </w:rPr>
              <w:t>10</w:t>
            </w:r>
            <w:r>
              <w:rPr>
                <w:spacing w:val="-14"/>
                <w:sz w:val="21"/>
              </w:rPr>
              <w:t> 日内通知我们。</w:t>
            </w:r>
            <w:r>
              <w:rPr>
                <w:b/>
                <w:i/>
                <w:sz w:val="22"/>
              </w:rPr>
              <w:t>若故意</w:t>
            </w:r>
            <w:r>
              <w:rPr>
                <w:b/>
                <w:i/>
                <w:w w:val="95"/>
                <w:sz w:val="22"/>
              </w:rPr>
              <w:t>或因重大过失未及时通知，致使保险事故的性质、原因、损失程度等难以确定的，我们对无法确定的部分，不承担给付保险金的责任，</w:t>
            </w:r>
            <w:r>
              <w:rPr>
                <w:w w:val="95"/>
                <w:sz w:val="21"/>
              </w:rPr>
              <w:t>但我们通过其他途径</w:t>
            </w:r>
          </w:p>
        </w:tc>
      </w:tr>
    </w:tbl>
    <w:p>
      <w:pPr>
        <w:spacing w:after="0" w:line="310" w:lineRule="atLeast"/>
        <w:jc w:val="both"/>
        <w:rPr>
          <w:sz w:val="21"/>
        </w:rPr>
        <w:sectPr>
          <w:type w:val="continuous"/>
          <w:pgSz w:w="11910" w:h="16840"/>
          <w:pgMar w:top="220" w:bottom="280" w:left="740" w:right="740"/>
        </w:sectPr>
      </w:pPr>
    </w:p>
    <w:p>
      <w:pPr>
        <w:pStyle w:val="BodyText"/>
        <w:spacing w:line="273" w:lineRule="auto" w:before="19"/>
        <w:ind w:left="3006" w:right="277"/>
      </w:pPr>
      <w:r>
        <w:rPr/>
        <w:t>已经及时知道或应当及时知道保险事故发生或虽未及时通知但不影响我们确定保险事故的性质、原因、损失程度的除外。</w:t>
      </w:r>
    </w:p>
    <w:p>
      <w:pPr>
        <w:pStyle w:val="BodyText"/>
        <w:spacing w:before="12"/>
        <w:rPr>
          <w:sz w:val="17"/>
        </w:rPr>
      </w:pPr>
    </w:p>
    <w:p>
      <w:pPr>
        <w:pStyle w:val="ListParagraph"/>
        <w:numPr>
          <w:ilvl w:val="1"/>
          <w:numId w:val="10"/>
        </w:numPr>
        <w:tabs>
          <w:tab w:pos="955" w:val="left" w:leader="none"/>
          <w:tab w:pos="956" w:val="left" w:leader="none"/>
          <w:tab w:pos="3006" w:val="left" w:leader="none"/>
        </w:tabs>
        <w:spacing w:line="240" w:lineRule="auto" w:before="0" w:after="0"/>
        <w:ind w:left="955" w:right="0" w:hanging="736"/>
        <w:jc w:val="left"/>
        <w:rPr>
          <w:sz w:val="21"/>
        </w:rPr>
      </w:pPr>
      <w:r>
        <w:rPr>
          <w:b/>
          <w:sz w:val="21"/>
        </w:rPr>
        <w:t>保险金申请</w:t>
        <w:tab/>
      </w:r>
      <w:r>
        <w:rPr>
          <w:sz w:val="21"/>
        </w:rPr>
        <w:t>一、在本附加合同有效期间内</w:t>
      </w:r>
      <w:r>
        <w:rPr>
          <w:spacing w:val="-47"/>
          <w:sz w:val="21"/>
        </w:rPr>
        <w:t>，</w:t>
      </w:r>
      <w:r>
        <w:rPr>
          <w:sz w:val="21"/>
        </w:rPr>
        <w:t>若发生符合本附加合同约定的保险金给付情形，</w:t>
      </w:r>
    </w:p>
    <w:p>
      <w:pPr>
        <w:pStyle w:val="BodyText"/>
        <w:spacing w:line="273" w:lineRule="auto"/>
        <w:ind w:left="3426" w:right="277"/>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40" w:right="740"/>
        </w:sectPr>
      </w:pPr>
    </w:p>
    <w:p>
      <w:pPr>
        <w:pStyle w:val="Heading2"/>
        <w:spacing w:line="184" w:lineRule="auto"/>
      </w:pPr>
      <w:r>
        <w:rPr/>
        <w:t>重大疾病保险金申请</w:t>
      </w:r>
    </w:p>
    <w:p>
      <w:pPr>
        <w:pStyle w:val="BodyText"/>
        <w:spacing w:line="273" w:lineRule="auto" w:before="36"/>
        <w:ind w:left="329" w:right="220"/>
      </w:pPr>
      <w:r>
        <w:rPr/>
        <w:br w:type="column"/>
      </w:r>
      <w:r>
        <w:rPr/>
        <w:t>申请重大疾病保险金的，申请人须填写保险金给付申请书，并向我们提供下列资料：</w:t>
      </w:r>
    </w:p>
    <w:p>
      <w:pPr>
        <w:pStyle w:val="BodyText"/>
        <w:spacing w:line="273" w:lineRule="auto" w:before="7"/>
        <w:ind w:left="329" w:right="4687"/>
      </w:pPr>
      <w:r>
        <w:rPr/>
        <w:t>(一)保险合同；            (二)申请人的有效身份证件；</w:t>
      </w:r>
    </w:p>
    <w:p>
      <w:pPr>
        <w:pStyle w:val="BodyText"/>
        <w:spacing w:line="273" w:lineRule="auto" w:before="7"/>
        <w:ind w:left="749" w:right="219" w:hanging="420"/>
      </w:pPr>
      <w:r>
        <w:rPr/>
        <w:t>(三)由</w:t>
      </w:r>
      <w:r>
        <w:rPr>
          <w:b/>
        </w:rPr>
        <w:t>医疗机构</w:t>
      </w:r>
      <w:r>
        <w:rPr/>
        <w:t>出具的可证明被保险人患重大疾病的诊断证明和诊断所患重大疾病必需的检查报告；</w:t>
      </w:r>
    </w:p>
    <w:p>
      <w:pPr>
        <w:pStyle w:val="BodyText"/>
        <w:spacing w:before="7"/>
        <w:ind w:left="329"/>
      </w:pPr>
      <w:r>
        <w:rPr/>
        <w:t>(四)所能提供的与确认保险事故的性质、原因、伤害程度等有关的其他资料。</w:t>
      </w:r>
    </w:p>
    <w:p>
      <w:pPr>
        <w:pStyle w:val="BodyText"/>
        <w:spacing w:before="1"/>
        <w:rPr>
          <w:sz w:val="20"/>
        </w:rPr>
      </w:pPr>
    </w:p>
    <w:p>
      <w:pPr>
        <w:pStyle w:val="BodyText"/>
        <w:spacing w:line="273" w:lineRule="auto" w:before="0"/>
        <w:ind w:left="329" w:right="220"/>
      </w:pPr>
      <w:r>
        <w:rPr/>
        <w:t>二、保险金作为被保险人遗产时，申请人还须提供可证明合法继承权的相关权利文件。</w:t>
      </w:r>
    </w:p>
    <w:p>
      <w:pPr>
        <w:pStyle w:val="BodyText"/>
        <w:spacing w:before="7"/>
        <w:ind w:left="327"/>
      </w:pPr>
      <w:r>
        <w:rPr/>
        <w:t>三、上述申请资料不完整的，我们将及时一次性通知申请人补充提供有关资料。</w:t>
      </w:r>
    </w:p>
    <w:p>
      <w:pPr>
        <w:spacing w:after="0"/>
        <w:sectPr>
          <w:type w:val="continuous"/>
          <w:pgSz w:w="11910" w:h="16840"/>
          <w:pgMar w:top="220" w:bottom="280" w:left="740" w:right="740"/>
          <w:cols w:num="2" w:equalWidth="0">
            <w:col w:w="2637" w:space="40"/>
            <w:col w:w="7753"/>
          </w:cols>
        </w:sectPr>
      </w:pPr>
    </w:p>
    <w:p>
      <w:pPr>
        <w:pStyle w:val="BodyText"/>
        <w:spacing w:before="1"/>
        <w:rPr>
          <w:sz w:val="18"/>
        </w:rPr>
      </w:pPr>
    </w:p>
    <w:p>
      <w:pPr>
        <w:pStyle w:val="ListParagraph"/>
        <w:numPr>
          <w:ilvl w:val="1"/>
          <w:numId w:val="10"/>
        </w:numPr>
        <w:tabs>
          <w:tab w:pos="955" w:val="left" w:leader="none"/>
          <w:tab w:pos="956" w:val="left" w:leader="none"/>
          <w:tab w:pos="3006" w:val="left" w:leader="none"/>
        </w:tabs>
        <w:spacing w:line="240" w:lineRule="auto" w:before="35" w:after="0"/>
        <w:ind w:left="955" w:right="0" w:hanging="735"/>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30"/>
          <w:sz w:val="21"/>
        </w:rPr>
        <w:t> </w:t>
      </w:r>
      <w:r>
        <w:rPr>
          <w:sz w:val="21"/>
        </w:rPr>
        <w:t>5</w:t>
      </w:r>
      <w:r>
        <w:rPr>
          <w:spacing w:val="-29"/>
          <w:sz w:val="21"/>
        </w:rPr>
        <w:t> </w:t>
      </w:r>
      <w:r>
        <w:rPr>
          <w:sz w:val="21"/>
        </w:rPr>
        <w:t>日内作</w:t>
      </w:r>
    </w:p>
    <w:p>
      <w:pPr>
        <w:pStyle w:val="BodyText"/>
        <w:spacing w:before="36"/>
        <w:ind w:left="3412"/>
      </w:pPr>
      <w:r>
        <w:rPr/>
        <w:t>出核定；情形复杂的，在 30 日内作出核定。对属于保险责任的，我们在与</w:t>
      </w:r>
    </w:p>
    <w:p>
      <w:pPr>
        <w:pStyle w:val="BodyText"/>
        <w:spacing w:before="36"/>
        <w:ind w:left="3412"/>
      </w:pPr>
      <w:r>
        <w:rPr/>
        <w:t>受益人达成给付保险金的协议后 10 日内，履行给付保险金义务。</w:t>
      </w:r>
    </w:p>
    <w:p>
      <w:pPr>
        <w:pStyle w:val="BodyText"/>
        <w:spacing w:line="273" w:lineRule="auto" w:before="36"/>
        <w:ind w:left="3412" w:right="219" w:hanging="406"/>
        <w:jc w:val="both"/>
      </w:pPr>
      <w:r>
        <w:rPr/>
        <w:t>二、我们未及时履行前款规定义务的，除支付保险金外，应当赔偿受益人因此受到的损失。</w:t>
      </w:r>
    </w:p>
    <w:p>
      <w:pPr>
        <w:pStyle w:val="BodyText"/>
        <w:spacing w:line="273" w:lineRule="auto" w:before="7"/>
        <w:ind w:left="3412" w:right="218"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12" w:right="217" w:hanging="406"/>
        <w:jc w:val="both"/>
      </w:pPr>
      <w:r>
        <w:rPr>
          <w:spacing w:val="-3"/>
        </w:rPr>
        <w:t>四、我们在收到保险金给付申请书及本附加合同约定的资料之日起 </w:t>
      </w:r>
      <w:r>
        <w:rPr/>
        <w:t>60</w:t>
      </w:r>
      <w:r>
        <w:rPr>
          <w:spacing w:val="-25"/>
        </w:rPr>
        <w:t> 日内，对给付保险金的数额不能确定的，根据已有资料可以确定的数额先予支付； 我们最终确定给付保险金的数额后，再给付相应的差额。</w:t>
      </w:r>
    </w:p>
    <w:p>
      <w:pPr>
        <w:pStyle w:val="BodyText"/>
        <w:spacing w:before="1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
        <w:gridCol w:w="1939"/>
        <w:gridCol w:w="7610"/>
      </w:tblGrid>
      <w:tr>
        <w:trPr>
          <w:trHeight w:val="712" w:hRule="atLeast"/>
        </w:trPr>
        <w:tc>
          <w:tcPr>
            <w:tcW w:w="654" w:type="dxa"/>
          </w:tcPr>
          <w:p>
            <w:pPr>
              <w:pStyle w:val="TableParagraph"/>
              <w:spacing w:line="210" w:lineRule="exact"/>
              <w:ind w:left="108"/>
              <w:rPr>
                <w:b/>
                <w:sz w:val="21"/>
              </w:rPr>
            </w:pPr>
            <w:r>
              <w:rPr>
                <w:b/>
                <w:sz w:val="21"/>
              </w:rPr>
              <w:t>3.5</w:t>
            </w:r>
          </w:p>
        </w:tc>
        <w:tc>
          <w:tcPr>
            <w:tcW w:w="1939" w:type="dxa"/>
          </w:tcPr>
          <w:p>
            <w:pPr>
              <w:pStyle w:val="TableParagraph"/>
              <w:spacing w:line="210" w:lineRule="exact"/>
              <w:ind w:left="188"/>
              <w:rPr>
                <w:b/>
                <w:sz w:val="21"/>
              </w:rPr>
            </w:pPr>
            <w:r>
              <w:rPr>
                <w:b/>
                <w:w w:val="95"/>
                <w:sz w:val="21"/>
              </w:rPr>
              <w:t>诉讼时效</w:t>
            </w:r>
          </w:p>
        </w:tc>
        <w:tc>
          <w:tcPr>
            <w:tcW w:w="7610" w:type="dxa"/>
          </w:tcPr>
          <w:p>
            <w:pPr>
              <w:pStyle w:val="TableParagraph"/>
              <w:spacing w:line="210" w:lineRule="exact"/>
              <w:ind w:left="301"/>
              <w:rPr>
                <w:sz w:val="21"/>
              </w:rPr>
            </w:pPr>
            <w:r>
              <w:rPr>
                <w:sz w:val="21"/>
              </w:rPr>
              <w:t>申请人向我们请求给付保险金的诉讼时效期间为 2 年，自其知道或应当知道保</w:t>
            </w:r>
          </w:p>
          <w:p>
            <w:pPr>
              <w:pStyle w:val="TableParagraph"/>
              <w:spacing w:before="37"/>
              <w:ind w:left="301"/>
              <w:rPr>
                <w:sz w:val="21"/>
              </w:rPr>
            </w:pPr>
            <w:r>
              <w:rPr>
                <w:sz w:val="21"/>
              </w:rPr>
              <w:t>险事故发生之日起计算。</w:t>
            </w:r>
          </w:p>
        </w:tc>
      </w:tr>
      <w:tr>
        <w:trPr>
          <w:trHeight w:val="713" w:hRule="atLeast"/>
        </w:trPr>
        <w:tc>
          <w:tcPr>
            <w:tcW w:w="654" w:type="dxa"/>
            <w:tcBorders>
              <w:bottom w:val="single" w:sz="8" w:space="0" w:color="000000"/>
            </w:tcBorders>
          </w:tcPr>
          <w:p>
            <w:pPr>
              <w:pStyle w:val="TableParagraph"/>
              <w:spacing w:line="647" w:lineRule="exact"/>
              <w:ind w:left="107"/>
              <w:rPr>
                <w:rFonts w:ascii="Yu Gothic" w:hAnsi="Yu Gothic"/>
                <w:b/>
                <w:sz w:val="40"/>
              </w:rPr>
            </w:pPr>
            <w:r>
              <w:rPr>
                <w:rFonts w:ascii="Yu Gothic" w:hAnsi="Yu Gothic"/>
                <w:b/>
                <w:w w:val="214"/>
                <w:sz w:val="40"/>
              </w:rPr>
              <w:t>º</w:t>
            </w:r>
          </w:p>
        </w:tc>
        <w:tc>
          <w:tcPr>
            <w:tcW w:w="1939" w:type="dxa"/>
            <w:tcBorders>
              <w:bottom w:val="single" w:sz="8" w:space="0" w:color="000000"/>
            </w:tcBorders>
          </w:tcPr>
          <w:p>
            <w:pPr>
              <w:pStyle w:val="TableParagraph"/>
              <w:spacing w:before="206"/>
              <w:ind w:left="189"/>
              <w:rPr>
                <w:b/>
                <w:sz w:val="24"/>
              </w:rPr>
            </w:pPr>
            <w:r>
              <w:rPr>
                <w:b/>
                <w:w w:val="95"/>
                <w:sz w:val="24"/>
              </w:rPr>
              <w:t>保险费的交纳</w:t>
            </w:r>
          </w:p>
        </w:tc>
        <w:tc>
          <w:tcPr>
            <w:tcW w:w="7610" w:type="dxa"/>
            <w:tcBorders>
              <w:bottom w:val="single" w:sz="8" w:space="0" w:color="000000"/>
            </w:tcBorders>
          </w:tcPr>
          <w:p>
            <w:pPr>
              <w:pStyle w:val="TableParagraph"/>
              <w:rPr>
                <w:rFonts w:ascii="Times New Roman"/>
                <w:sz w:val="20"/>
              </w:rPr>
            </w:pPr>
          </w:p>
        </w:tc>
      </w:tr>
      <w:tr>
        <w:trPr>
          <w:trHeight w:val="467" w:hRule="atLeast"/>
        </w:trPr>
        <w:tc>
          <w:tcPr>
            <w:tcW w:w="654"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39" w:type="dxa"/>
            <w:tcBorders>
              <w:top w:val="single" w:sz="8" w:space="0" w:color="000000"/>
            </w:tcBorders>
          </w:tcPr>
          <w:p>
            <w:pPr>
              <w:pStyle w:val="TableParagraph"/>
              <w:spacing w:before="9"/>
              <w:rPr>
                <w:sz w:val="14"/>
              </w:rPr>
            </w:pPr>
          </w:p>
          <w:p>
            <w:pPr>
              <w:pStyle w:val="TableParagraph"/>
              <w:spacing w:line="255" w:lineRule="exact"/>
              <w:ind w:left="189"/>
              <w:rPr>
                <w:b/>
                <w:sz w:val="21"/>
              </w:rPr>
            </w:pPr>
            <w:r>
              <w:rPr>
                <w:b/>
                <w:w w:val="95"/>
                <w:sz w:val="21"/>
              </w:rPr>
              <w:t>保险费的交纳</w:t>
            </w:r>
          </w:p>
        </w:tc>
        <w:tc>
          <w:tcPr>
            <w:tcW w:w="7610" w:type="dxa"/>
            <w:tcBorders>
              <w:top w:val="single" w:sz="8" w:space="0" w:color="000000"/>
            </w:tcBorders>
          </w:tcPr>
          <w:p>
            <w:pPr>
              <w:pStyle w:val="TableParagraph"/>
              <w:spacing w:before="9"/>
              <w:rPr>
                <w:sz w:val="14"/>
              </w:rPr>
            </w:pPr>
          </w:p>
          <w:p>
            <w:pPr>
              <w:pStyle w:val="TableParagraph"/>
              <w:spacing w:line="255" w:lineRule="exact"/>
              <w:ind w:left="335"/>
              <w:rPr>
                <w:sz w:val="21"/>
              </w:rPr>
            </w:pPr>
            <w:r>
              <w:rPr>
                <w:sz w:val="21"/>
              </w:rPr>
              <w:t>一、本附加合同的交费方式和交费期间须与主合同一致，且必须与主合同保险</w:t>
            </w:r>
          </w:p>
        </w:tc>
      </w:tr>
    </w:tbl>
    <w:p>
      <w:pPr>
        <w:pStyle w:val="BodyText"/>
        <w:ind w:left="3458"/>
      </w:pPr>
      <w:r>
        <w:rPr/>
        <w:t>费一同支付。</w:t>
      </w:r>
    </w:p>
    <w:p>
      <w:pPr>
        <w:pStyle w:val="BodyText"/>
        <w:spacing w:line="273" w:lineRule="auto"/>
        <w:ind w:left="3458" w:right="222" w:hanging="419"/>
        <w:jc w:val="both"/>
      </w:pPr>
      <w:r>
        <w:rPr/>
        <w:t>二、分期交付保险费的，在交纳首期保险费后，您应当在每个保险费约定支付日之前交纳当期保险费。</w:t>
      </w:r>
    </w:p>
    <w:p>
      <w:pPr>
        <w:pStyle w:val="BodyText"/>
        <w:spacing w:before="12"/>
        <w:rPr>
          <w:sz w:val="17"/>
        </w:rPr>
      </w:pPr>
    </w:p>
    <w:p>
      <w:pPr>
        <w:pStyle w:val="BodyText"/>
        <w:tabs>
          <w:tab w:pos="955" w:val="left" w:leader="none"/>
          <w:tab w:pos="3039" w:val="left" w:leader="none"/>
        </w:tabs>
        <w:spacing w:before="0"/>
        <w:ind w:left="219"/>
      </w:pPr>
      <w:r>
        <w:rPr>
          <w:b/>
        </w:rPr>
        <w:t>4.2</w:t>
        <w:tab/>
        <w:t>宽限期</w:t>
        <w:tab/>
      </w:r>
      <w:r>
        <w:rPr/>
        <w:t>一、分期支付保险费的，您支付首期保险费后，除本附加合同另有约定外，若</w:t>
      </w:r>
    </w:p>
    <w:p>
      <w:pPr>
        <w:pStyle w:val="BodyText"/>
        <w:spacing w:line="273" w:lineRule="auto"/>
        <w:ind w:left="3459" w:right="138"/>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7"/>
        <w:ind w:left="3459" w:right="242" w:hanging="420"/>
        <w:jc w:val="both"/>
      </w:pPr>
      <w:r>
        <w:rPr/>
        <w:t>二、若您宽限期结束之后仍未支付保险费，则本附加合同自宽限期满的次日零时起中止。</w:t>
      </w:r>
    </w:p>
    <w:p>
      <w:pPr>
        <w:spacing w:after="0" w:line="273" w:lineRule="auto"/>
        <w:jc w:val="both"/>
        <w:sectPr>
          <w:type w:val="continuous"/>
          <w:pgSz w:w="11910" w:h="16840"/>
          <w:pgMar w:top="220" w:bottom="280" w:left="740" w:right="740"/>
        </w:sectPr>
      </w:pPr>
    </w:p>
    <w:p>
      <w:pPr>
        <w:tabs>
          <w:tab w:pos="955" w:val="left" w:leader="none"/>
        </w:tabs>
        <w:spacing w:line="531" w:lineRule="exact" w:before="0"/>
        <w:ind w:left="220" w:right="0" w:firstLine="0"/>
        <w:jc w:val="left"/>
        <w:rPr>
          <w:b/>
          <w:sz w:val="24"/>
        </w:rPr>
      </w:pPr>
      <w:r>
        <w:rPr/>
        <w:pict>
          <v:group style="position:absolute;margin-left:42.599998pt;margin-top:29.899981pt;width:510.1pt;height:1pt;mso-position-horizontal-relative:page;mso-position-vertical-relative:paragraph;z-index:1144;mso-wrap-distance-left:0;mso-wrap-distance-right:0" coordorigin="852,598" coordsize="10202,20">
            <v:line style="position:absolute" from="852,608" to="3659,608" stroked="true" strokeweight=".96002pt" strokecolor="#000000">
              <v:stroke dashstyle="solid"/>
            </v:line>
            <v:line style="position:absolute" from="3659,608" to="11053,608"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spacing w:after="0"/>
        <w:rPr>
          <w:sz w:val="9"/>
        </w:rPr>
        <w:sectPr>
          <w:pgSz w:w="11910" w:h="16840"/>
          <w:pgMar w:header="0" w:footer="442" w:top="1160" w:bottom="640" w:left="740" w:right="740"/>
        </w:sectPr>
      </w:pPr>
    </w:p>
    <w:p>
      <w:pPr>
        <w:pStyle w:val="Heading4"/>
        <w:tabs>
          <w:tab w:pos="955" w:val="left" w:leader="none"/>
        </w:tabs>
        <w:spacing w:before="35"/>
        <w:ind w:left="220"/>
        <w:rPr>
          <w:rFonts w:ascii="宋体" w:eastAsia="宋体" w:hint="eastAsia"/>
        </w:rPr>
      </w:pPr>
      <w:r>
        <w:rPr>
          <w:rFonts w:ascii="宋体" w:eastAsia="宋体" w:hint="eastAsia"/>
        </w:rPr>
        <w:t>5.1</w:t>
        <w:tab/>
      </w:r>
      <w:r>
        <w:rPr>
          <w:rFonts w:ascii="宋体" w:eastAsia="宋体" w:hint="eastAsia"/>
          <w:w w:val="95"/>
        </w:rPr>
        <w:t>本附加合同现金价</w:t>
      </w:r>
    </w:p>
    <w:p>
      <w:pPr>
        <w:spacing w:before="36"/>
        <w:ind w:left="0" w:right="519" w:firstLine="0"/>
        <w:jc w:val="center"/>
        <w:rPr>
          <w:b/>
          <w:sz w:val="21"/>
        </w:rPr>
      </w:pPr>
      <w:r>
        <w:rPr>
          <w:b/>
          <w:w w:val="99"/>
          <w:sz w:val="21"/>
        </w:rPr>
        <w:t>值</w:t>
      </w:r>
    </w:p>
    <w:p>
      <w:pPr>
        <w:pStyle w:val="ListParagraph"/>
        <w:numPr>
          <w:ilvl w:val="0"/>
          <w:numId w:val="11"/>
        </w:numPr>
        <w:tabs>
          <w:tab w:pos="955" w:val="left" w:leader="none"/>
          <w:tab w:pos="956" w:val="left" w:leader="none"/>
        </w:tabs>
        <w:spacing w:line="240" w:lineRule="auto" w:before="161" w:after="0"/>
        <w:ind w:left="955" w:right="0" w:hanging="735"/>
        <w:jc w:val="left"/>
        <w:rPr>
          <w:b/>
          <w:sz w:val="24"/>
        </w:rPr>
      </w:pPr>
      <w:r>
        <w:rPr>
          <w:b/>
          <w:sz w:val="24"/>
        </w:rPr>
        <w:t>合同中止和复效</w:t>
      </w:r>
    </w:p>
    <w:p>
      <w:pPr>
        <w:pStyle w:val="BodyText"/>
        <w:spacing w:line="273" w:lineRule="auto" w:before="35"/>
        <w:ind w:left="220" w:right="275"/>
      </w:pPr>
      <w:r>
        <w:rPr/>
        <w:br w:type="column"/>
      </w:r>
      <w:r>
        <w:rPr/>
        <w:t>本附加合同保单年度末的现金价值会在保险合同中载明，保单年度之内的现金价值您可以向我们查询。</w:t>
      </w:r>
    </w:p>
    <w:p>
      <w:pPr>
        <w:spacing w:after="0" w:line="273" w:lineRule="auto"/>
        <w:sectPr>
          <w:type w:val="continuous"/>
          <w:pgSz w:w="11910" w:h="16840"/>
          <w:pgMar w:top="220" w:bottom="280" w:left="740" w:right="740"/>
          <w:cols w:num="2" w:equalWidth="0">
            <w:col w:w="2643" w:space="143"/>
            <w:col w:w="7644"/>
          </w:cols>
        </w:sectPr>
      </w:pPr>
    </w:p>
    <w:p>
      <w:pPr>
        <w:pStyle w:val="BodyText"/>
        <w:spacing w:before="1"/>
        <w:rPr>
          <w:sz w:val="5"/>
        </w:rPr>
      </w:pPr>
    </w:p>
    <w:p>
      <w:pPr>
        <w:pStyle w:val="BodyText"/>
        <w:spacing w:line="20" w:lineRule="exact" w:before="0"/>
        <w:ind w:left="102"/>
        <w:rPr>
          <w:sz w:val="2"/>
        </w:rPr>
      </w:pPr>
      <w:r>
        <w:rPr>
          <w:rFonts w:ascii="Times New Roman"/>
          <w:spacing w:val="6"/>
          <w:sz w:val="2"/>
        </w:rPr>
        <w:t> </w:t>
      </w:r>
      <w:r>
        <w:rPr>
          <w:spacing w:val="6"/>
          <w:sz w:val="2"/>
        </w:rPr>
        <w:pict>
          <v:group style="width:510.1pt;height:1pt;mso-position-horizontal-relative:char;mso-position-vertical-relative:line" coordorigin="0,0" coordsize="10202,20">
            <v:line style="position:absolute" from="0,10" to="2807,10" stroked="true" strokeweight=".96002pt" strokecolor="#000000">
              <v:stroke dashstyle="solid"/>
            </v:line>
            <v:line style="position:absolute" from="2807,10" to="10201,10" stroked="true" strokeweight=".96pt" strokecolor="#000000">
              <v:stroke dashstyle="solid"/>
            </v:line>
          </v:group>
        </w:pict>
      </w:r>
      <w:r>
        <w:rPr>
          <w:spacing w:val="6"/>
          <w:sz w:val="2"/>
        </w:rPr>
      </w:r>
    </w:p>
    <w:p>
      <w:pPr>
        <w:pStyle w:val="BodyText"/>
        <w:spacing w:before="3"/>
        <w:rPr>
          <w:sz w:val="11"/>
        </w:rPr>
      </w:pPr>
    </w:p>
    <w:p>
      <w:pPr>
        <w:pStyle w:val="ListParagraph"/>
        <w:numPr>
          <w:ilvl w:val="1"/>
          <w:numId w:val="12"/>
        </w:numPr>
        <w:tabs>
          <w:tab w:pos="954" w:val="left" w:leader="none"/>
          <w:tab w:pos="955" w:val="left" w:leader="none"/>
          <w:tab w:pos="3006" w:val="left" w:leader="none"/>
        </w:tabs>
        <w:spacing w:line="259" w:lineRule="auto" w:before="34" w:after="0"/>
        <w:ind w:left="3006" w:right="262" w:hanging="2786"/>
        <w:jc w:val="left"/>
        <w:rPr>
          <w:sz w:val="21"/>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r>
        <w:rPr>
          <w:w w:val="95"/>
          <w:sz w:val="21"/>
        </w:rPr>
        <w:t>。</w:t>
      </w:r>
    </w:p>
    <w:p>
      <w:pPr>
        <w:pStyle w:val="BodyText"/>
        <w:spacing w:before="11"/>
        <w:rPr>
          <w:sz w:val="18"/>
        </w:rPr>
      </w:pPr>
    </w:p>
    <w:p>
      <w:pPr>
        <w:pStyle w:val="ListParagraph"/>
        <w:numPr>
          <w:ilvl w:val="1"/>
          <w:numId w:val="12"/>
        </w:numPr>
        <w:tabs>
          <w:tab w:pos="954" w:val="left" w:leader="none"/>
          <w:tab w:pos="955" w:val="left" w:leader="none"/>
          <w:tab w:pos="3006" w:val="left" w:leader="none"/>
        </w:tabs>
        <w:spacing w:line="240" w:lineRule="auto" w:before="1" w:after="0"/>
        <w:ind w:left="3006" w:right="0" w:hanging="2786"/>
        <w:jc w:val="left"/>
        <w:rPr>
          <w:sz w:val="21"/>
        </w:rPr>
      </w:pPr>
      <w:r>
        <w:rPr>
          <w:b/>
          <w:sz w:val="21"/>
        </w:rPr>
        <w:t>合同复效</w:t>
        <w:tab/>
      </w:r>
      <w:r>
        <w:rPr>
          <w:spacing w:val="-1"/>
          <w:sz w:val="21"/>
        </w:rPr>
        <w:t>一、</w:t>
      </w:r>
      <w:r>
        <w:rPr>
          <w:sz w:val="21"/>
        </w:rPr>
        <w:t>本附加合同中止后2年内</w:t>
      </w:r>
      <w:r>
        <w:rPr>
          <w:spacing w:val="-12"/>
          <w:sz w:val="21"/>
        </w:rPr>
        <w:t>，</w:t>
      </w:r>
      <w:r>
        <w:rPr>
          <w:sz w:val="21"/>
        </w:rPr>
        <w:t>您可以申请恢复合同效</w:t>
      </w:r>
      <w:r>
        <w:rPr>
          <w:spacing w:val="-12"/>
          <w:sz w:val="21"/>
        </w:rPr>
        <w:t>力</w:t>
      </w:r>
      <w:r>
        <w:rPr>
          <w:sz w:val="21"/>
        </w:rPr>
        <w:t>（即复效</w:t>
      </w:r>
      <w:r>
        <w:rPr>
          <w:spacing w:val="-12"/>
          <w:sz w:val="21"/>
        </w:rPr>
        <w:t>）。</w:t>
      </w:r>
      <w:r>
        <w:rPr>
          <w:sz w:val="21"/>
        </w:rPr>
        <w:t>经我们与</w:t>
      </w:r>
    </w:p>
    <w:p>
      <w:pPr>
        <w:pStyle w:val="BodyText"/>
        <w:spacing w:line="273" w:lineRule="auto"/>
        <w:ind w:left="3426" w:right="214"/>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7"/>
        <w:ind w:left="3426" w:right="275" w:hanging="420"/>
      </w:pPr>
      <w:r>
        <w:rPr>
          <w:spacing w:val="-4"/>
        </w:rPr>
        <w:t>二、自本附加合同中止之日起满 </w:t>
      </w:r>
      <w:r>
        <w:rPr/>
        <w:t>2</w:t>
      </w:r>
      <w:r>
        <w:rPr>
          <w:spacing w:val="-8"/>
        </w:rPr>
        <w:t> 年您和我们未达成协议的，我们有权解除合同。我们解除合同的，向您退还合同中止时的现金价值。</w:t>
      </w:r>
    </w:p>
    <w:p>
      <w:pPr>
        <w:pStyle w:val="BodyText"/>
        <w:spacing w:before="3"/>
        <w:rPr>
          <w:sz w:val="19"/>
        </w:rPr>
      </w:pPr>
    </w:p>
    <w:p>
      <w:pPr>
        <w:tabs>
          <w:tab w:pos="955" w:val="left" w:leader="none"/>
        </w:tabs>
        <w:spacing w:line="556" w:lineRule="exact" w:before="0"/>
        <w:ind w:left="220" w:right="0" w:firstLine="0"/>
        <w:jc w:val="left"/>
        <w:rPr>
          <w:b/>
          <w:sz w:val="24"/>
        </w:rPr>
      </w:pPr>
      <w:r>
        <w:rPr/>
        <w:pict>
          <v:group style="position:absolute;margin-left:42.599998pt;margin-top:31.18659pt;width:510.1pt;height:1pt;mso-position-horizontal-relative:page;mso-position-vertical-relative:paragraph;z-index:1192;mso-wrap-distance-left:0;mso-wrap-distance-right:0" coordorigin="852,624" coordsize="10202,20">
            <v:line style="position:absolute" from="852,633" to="3659,633" stroked="true" strokeweight=".95999pt" strokecolor="#000000">
              <v:stroke dashstyle="solid"/>
            </v:line>
            <v:line style="position:absolute" from="3659,633" to="11053,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type w:val="continuous"/>
          <w:pgSz w:w="11910" w:h="16840"/>
          <w:pgMar w:top="220" w:bottom="280" w:left="740" w:right="740"/>
        </w:sectPr>
      </w:pPr>
    </w:p>
    <w:p>
      <w:pPr>
        <w:pStyle w:val="Heading4"/>
        <w:numPr>
          <w:ilvl w:val="1"/>
          <w:numId w:val="13"/>
        </w:numPr>
        <w:tabs>
          <w:tab w:pos="955" w:val="left" w:leader="none"/>
          <w:tab w:pos="956" w:val="left" w:leader="none"/>
        </w:tabs>
        <w:spacing w:line="240" w:lineRule="auto" w:before="35" w:after="0"/>
        <w:ind w:left="955" w:right="0" w:hanging="735"/>
        <w:jc w:val="left"/>
        <w:rPr>
          <w:rFonts w:ascii="宋体" w:eastAsia="宋体" w:hint="eastAsia"/>
        </w:rPr>
      </w:pPr>
      <w:r>
        <w:rPr>
          <w:rFonts w:ascii="宋体" w:eastAsia="宋体" w:hint="eastAsia"/>
          <w:w w:val="95"/>
        </w:rPr>
        <w:t>您解除合同的手续</w:t>
      </w:r>
    </w:p>
    <w:p>
      <w:pPr>
        <w:spacing w:before="36"/>
        <w:ind w:left="952" w:right="1049" w:firstLine="0"/>
        <w:jc w:val="center"/>
        <w:rPr>
          <w:b/>
          <w:sz w:val="21"/>
        </w:rPr>
      </w:pPr>
      <w:r>
        <w:rPr>
          <w:b/>
          <w:w w:val="95"/>
          <w:sz w:val="21"/>
        </w:rPr>
        <w:t>及风险</w:t>
      </w:r>
    </w:p>
    <w:p>
      <w:pPr>
        <w:pStyle w:val="BodyText"/>
        <w:spacing w:line="273" w:lineRule="auto" w:before="35"/>
        <w:ind w:left="661" w:right="254" w:hanging="420"/>
      </w:pPr>
      <w:r>
        <w:rPr/>
        <w:br w:type="column"/>
      </w:r>
      <w:r>
        <w:rPr/>
        <w:t>一、若您在犹豫期后申请解除本附加合同，请填写解除合同申请书并向我们提供下列资料：</w:t>
      </w:r>
    </w:p>
    <w:p>
      <w:pPr>
        <w:pStyle w:val="BodyText"/>
        <w:spacing w:before="7"/>
        <w:ind w:left="569"/>
      </w:pPr>
      <w:r>
        <w:rPr/>
        <w:t>（一）保险合同；</w:t>
      </w:r>
    </w:p>
    <w:p>
      <w:pPr>
        <w:pStyle w:val="BodyText"/>
        <w:ind w:left="569"/>
      </w:pPr>
      <w:r>
        <w:rPr/>
        <w:t>（二）您的有效身份证件。</w:t>
      </w:r>
    </w:p>
    <w:p>
      <w:pPr>
        <w:pStyle w:val="BodyText"/>
        <w:spacing w:line="273" w:lineRule="auto"/>
        <w:ind w:left="661" w:right="254" w:hanging="420"/>
      </w:pPr>
      <w:r>
        <w:rPr/>
        <w:t>二、自我们收到解除合同申请书时起，本附加合同终止。我们自收到解除合同申请书之日起 30 日内退还本附加合同的现金价值。</w:t>
      </w:r>
    </w:p>
    <w:p>
      <w:pPr>
        <w:pStyle w:val="BodyText"/>
        <w:spacing w:before="7"/>
        <w:ind w:left="220"/>
      </w:pPr>
      <w:r>
        <w:rPr/>
        <w:t>三、您在犹豫期后解除合同会遭受一定损失。</w:t>
      </w:r>
    </w:p>
    <w:p>
      <w:pPr>
        <w:spacing w:after="0"/>
        <w:sectPr>
          <w:type w:val="continuous"/>
          <w:pgSz w:w="11910" w:h="16840"/>
          <w:pgMar w:top="220" w:bottom="280" w:left="740" w:right="740"/>
          <w:cols w:num="2" w:equalWidth="0">
            <w:col w:w="2643" w:space="143"/>
            <w:col w:w="7644"/>
          </w:cols>
        </w:sectPr>
      </w:pPr>
    </w:p>
    <w:p>
      <w:pPr>
        <w:pStyle w:val="BodyText"/>
        <w:spacing w:before="5"/>
        <w:rPr>
          <w:sz w:val="17"/>
        </w:rPr>
      </w:pPr>
    </w:p>
    <w:p>
      <w:pPr>
        <w:pStyle w:val="ListParagraph"/>
        <w:numPr>
          <w:ilvl w:val="1"/>
          <w:numId w:val="13"/>
        </w:numPr>
        <w:tabs>
          <w:tab w:pos="954" w:val="left" w:leader="none"/>
          <w:tab w:pos="955" w:val="left" w:leader="none"/>
          <w:tab w:pos="3006" w:val="left" w:leader="none"/>
        </w:tabs>
        <w:spacing w:line="240" w:lineRule="auto" w:before="36" w:after="0"/>
        <w:ind w:left="954" w:right="0" w:hanging="734"/>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ind w:left="3426" w:right="275"/>
      </w:pPr>
      <w:r>
        <w:rPr/>
        <w:t>合同的申请，在您与我们达成一致后，可以对合同约定事项进行变更，变更可以用在保险合同上批注、附贴批单的方式进行。</w:t>
      </w:r>
    </w:p>
    <w:p>
      <w:pPr>
        <w:pStyle w:val="BodyText"/>
        <w:spacing w:line="273" w:lineRule="auto" w:before="7"/>
        <w:ind w:left="3426" w:right="275" w:hanging="420"/>
      </w:pPr>
      <w:r>
        <w:rPr/>
        <w:t>二、若被保险人患重大疾病，则我们不接受本附加合同任何内容的变更申请， 但联系方式的变更除外。</w:t>
      </w:r>
    </w:p>
    <w:p>
      <w:pPr>
        <w:pStyle w:val="BodyText"/>
        <w:spacing w:before="12"/>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
        <w:gridCol w:w="1847"/>
        <w:gridCol w:w="7700"/>
      </w:tblGrid>
      <w:tr>
        <w:trPr>
          <w:trHeight w:val="1335" w:hRule="atLeast"/>
        </w:trPr>
        <w:tc>
          <w:tcPr>
            <w:tcW w:w="654" w:type="dxa"/>
          </w:tcPr>
          <w:p>
            <w:pPr>
              <w:pStyle w:val="TableParagraph"/>
              <w:spacing w:line="210" w:lineRule="exact"/>
              <w:ind w:left="108"/>
              <w:rPr>
                <w:b/>
                <w:sz w:val="21"/>
              </w:rPr>
            </w:pPr>
            <w:r>
              <w:rPr>
                <w:b/>
                <w:sz w:val="21"/>
              </w:rPr>
              <w:t>7.3</w:t>
            </w:r>
          </w:p>
        </w:tc>
        <w:tc>
          <w:tcPr>
            <w:tcW w:w="1847" w:type="dxa"/>
          </w:tcPr>
          <w:p>
            <w:pPr>
              <w:pStyle w:val="TableParagraph"/>
              <w:spacing w:line="210" w:lineRule="exact"/>
              <w:ind w:left="189"/>
              <w:rPr>
                <w:b/>
                <w:sz w:val="21"/>
              </w:rPr>
            </w:pPr>
            <w:r>
              <w:rPr>
                <w:b/>
                <w:w w:val="95"/>
                <w:sz w:val="21"/>
              </w:rPr>
              <w:t>联系方式变更</w:t>
            </w:r>
          </w:p>
        </w:tc>
        <w:tc>
          <w:tcPr>
            <w:tcW w:w="7700" w:type="dxa"/>
          </w:tcPr>
          <w:p>
            <w:pPr>
              <w:pStyle w:val="TableParagraph"/>
              <w:spacing w:line="210" w:lineRule="exact"/>
              <w:ind w:left="393"/>
              <w:rPr>
                <w:sz w:val="21"/>
              </w:rPr>
            </w:pPr>
            <w:r>
              <w:rPr>
                <w:sz w:val="21"/>
              </w:rPr>
              <w:t>为保障您的合法权益，您的住所、通讯地址或电话等联系方式变更时，请及时</w:t>
            </w:r>
          </w:p>
          <w:p>
            <w:pPr>
              <w:pStyle w:val="TableParagraph"/>
              <w:spacing w:line="273" w:lineRule="auto" w:before="37"/>
              <w:ind w:left="393" w:right="164"/>
              <w:jc w:val="both"/>
              <w:rPr>
                <w:sz w:val="21"/>
              </w:rPr>
            </w:pPr>
            <w:r>
              <w:rPr>
                <w:sz w:val="21"/>
              </w:rPr>
              <w:t>以书面形式或双方认可的其他形式通知我们。若您未以书面形式或双方认可的其他形式通知我们，我们按本附加合同载明的最后住所或通讯地址发送的有关通知，均视为已送达给您。</w:t>
            </w:r>
          </w:p>
        </w:tc>
      </w:tr>
      <w:tr>
        <w:trPr>
          <w:trHeight w:val="712" w:hRule="atLeast"/>
        </w:trPr>
        <w:tc>
          <w:tcPr>
            <w:tcW w:w="654"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151"/>
                <w:sz w:val="40"/>
              </w:rPr>
              <w:t>®</w:t>
            </w:r>
          </w:p>
        </w:tc>
        <w:tc>
          <w:tcPr>
            <w:tcW w:w="1847" w:type="dxa"/>
            <w:tcBorders>
              <w:bottom w:val="single" w:sz="8" w:space="0" w:color="000000"/>
            </w:tcBorders>
          </w:tcPr>
          <w:p>
            <w:pPr>
              <w:pStyle w:val="TableParagraph"/>
              <w:spacing w:before="206"/>
              <w:ind w:left="189"/>
              <w:rPr>
                <w:b/>
                <w:sz w:val="24"/>
              </w:rPr>
            </w:pPr>
            <w:r>
              <w:rPr>
                <w:b/>
                <w:sz w:val="24"/>
              </w:rPr>
              <w:t>释义</w:t>
            </w:r>
          </w:p>
        </w:tc>
        <w:tc>
          <w:tcPr>
            <w:tcW w:w="7700" w:type="dxa"/>
            <w:tcBorders>
              <w:bottom w:val="single" w:sz="8" w:space="0" w:color="000000"/>
            </w:tcBorders>
          </w:tcPr>
          <w:p>
            <w:pPr>
              <w:pStyle w:val="TableParagraph"/>
              <w:rPr>
                <w:rFonts w:ascii="Times New Roman"/>
                <w:sz w:val="20"/>
              </w:rPr>
            </w:pPr>
          </w:p>
        </w:tc>
      </w:tr>
      <w:tr>
        <w:trPr>
          <w:trHeight w:val="942" w:hRule="atLeast"/>
        </w:trPr>
        <w:tc>
          <w:tcPr>
            <w:tcW w:w="654" w:type="dxa"/>
            <w:tcBorders>
              <w:top w:val="single" w:sz="8" w:space="0" w:color="000000"/>
            </w:tcBorders>
          </w:tcPr>
          <w:p>
            <w:pPr>
              <w:pStyle w:val="TableParagraph"/>
              <w:spacing w:before="9"/>
              <w:rPr>
                <w:sz w:val="14"/>
              </w:rPr>
            </w:pPr>
          </w:p>
          <w:p>
            <w:pPr>
              <w:pStyle w:val="TableParagraph"/>
              <w:ind w:left="107"/>
              <w:rPr>
                <w:b/>
                <w:sz w:val="21"/>
              </w:rPr>
            </w:pPr>
            <w:r>
              <w:rPr>
                <w:b/>
                <w:sz w:val="21"/>
              </w:rPr>
              <w:t>8.1</w:t>
            </w:r>
          </w:p>
        </w:tc>
        <w:tc>
          <w:tcPr>
            <w:tcW w:w="1847" w:type="dxa"/>
            <w:tcBorders>
              <w:top w:val="single" w:sz="8" w:space="0" w:color="000000"/>
            </w:tcBorders>
          </w:tcPr>
          <w:p>
            <w:pPr>
              <w:pStyle w:val="TableParagraph"/>
              <w:spacing w:before="9"/>
              <w:rPr>
                <w:sz w:val="14"/>
              </w:rPr>
            </w:pPr>
          </w:p>
          <w:p>
            <w:pPr>
              <w:pStyle w:val="TableParagraph"/>
              <w:ind w:left="190"/>
              <w:rPr>
                <w:b/>
                <w:sz w:val="21"/>
              </w:rPr>
            </w:pPr>
            <w:r>
              <w:rPr>
                <w:b/>
                <w:w w:val="95"/>
                <w:sz w:val="21"/>
              </w:rPr>
              <w:t>周岁</w:t>
            </w:r>
          </w:p>
        </w:tc>
        <w:tc>
          <w:tcPr>
            <w:tcW w:w="7700" w:type="dxa"/>
            <w:tcBorders>
              <w:top w:val="single" w:sz="8" w:space="0" w:color="000000"/>
            </w:tcBorders>
          </w:tcPr>
          <w:p>
            <w:pPr>
              <w:pStyle w:val="TableParagraph"/>
              <w:spacing w:before="9"/>
              <w:rPr>
                <w:sz w:val="14"/>
              </w:rPr>
            </w:pPr>
          </w:p>
          <w:p>
            <w:pPr>
              <w:pStyle w:val="TableParagraph"/>
              <w:spacing w:line="273" w:lineRule="auto"/>
              <w:ind w:left="393" w:right="1"/>
              <w:rPr>
                <w:sz w:val="21"/>
              </w:rPr>
            </w:pPr>
            <w:r>
              <w:rPr>
                <w:spacing w:val="-2"/>
                <w:sz w:val="21"/>
              </w:rPr>
              <w:t>指按法定身份证明文件中记载的出生日期计算的年龄，自出生之日起为零周岁， 每经过一年增加一岁，不足一年的不计。</w:t>
            </w:r>
          </w:p>
        </w:tc>
      </w:tr>
      <w:tr>
        <w:trPr>
          <w:trHeight w:val="424" w:hRule="atLeast"/>
        </w:trPr>
        <w:tc>
          <w:tcPr>
            <w:tcW w:w="654" w:type="dxa"/>
          </w:tcPr>
          <w:p>
            <w:pPr>
              <w:pStyle w:val="TableParagraph"/>
              <w:spacing w:before="98"/>
              <w:ind w:left="107"/>
              <w:rPr>
                <w:b/>
                <w:sz w:val="21"/>
              </w:rPr>
            </w:pPr>
            <w:r>
              <w:rPr>
                <w:b/>
                <w:sz w:val="21"/>
              </w:rPr>
              <w:t>8.2</w:t>
            </w:r>
          </w:p>
        </w:tc>
        <w:tc>
          <w:tcPr>
            <w:tcW w:w="1847" w:type="dxa"/>
          </w:tcPr>
          <w:p>
            <w:pPr>
              <w:pStyle w:val="TableParagraph"/>
              <w:spacing w:before="98"/>
              <w:ind w:left="189"/>
              <w:rPr>
                <w:b/>
                <w:sz w:val="21"/>
              </w:rPr>
            </w:pPr>
            <w:r>
              <w:rPr>
                <w:b/>
                <w:w w:val="95"/>
                <w:sz w:val="21"/>
              </w:rPr>
              <w:t>有效身份证件</w:t>
            </w:r>
          </w:p>
        </w:tc>
        <w:tc>
          <w:tcPr>
            <w:tcW w:w="7700" w:type="dxa"/>
          </w:tcPr>
          <w:p>
            <w:pPr>
              <w:pStyle w:val="TableParagraph"/>
              <w:spacing w:before="98"/>
              <w:ind w:left="393"/>
              <w:rPr>
                <w:sz w:val="21"/>
              </w:rPr>
            </w:pPr>
            <w:r>
              <w:rPr>
                <w:sz w:val="21"/>
              </w:rPr>
              <w:t>指由政府主管部门规定的证明其身份的证件，如：居民身份证、按规定可使用</w:t>
            </w:r>
          </w:p>
        </w:tc>
      </w:tr>
      <w:tr>
        <w:trPr>
          <w:trHeight w:val="260" w:hRule="atLeast"/>
        </w:trPr>
        <w:tc>
          <w:tcPr>
            <w:tcW w:w="654" w:type="dxa"/>
          </w:tcPr>
          <w:p>
            <w:pPr>
              <w:pStyle w:val="TableParagraph"/>
              <w:rPr>
                <w:rFonts w:ascii="Times New Roman"/>
                <w:sz w:val="18"/>
              </w:rPr>
            </w:pPr>
          </w:p>
        </w:tc>
        <w:tc>
          <w:tcPr>
            <w:tcW w:w="1847" w:type="dxa"/>
          </w:tcPr>
          <w:p>
            <w:pPr>
              <w:pStyle w:val="TableParagraph"/>
              <w:rPr>
                <w:rFonts w:ascii="Times New Roman"/>
                <w:sz w:val="18"/>
              </w:rPr>
            </w:pPr>
          </w:p>
        </w:tc>
        <w:tc>
          <w:tcPr>
            <w:tcW w:w="7700" w:type="dxa"/>
          </w:tcPr>
          <w:p>
            <w:pPr>
              <w:pStyle w:val="TableParagraph"/>
              <w:spacing w:line="241" w:lineRule="exact"/>
              <w:ind w:left="393"/>
              <w:rPr>
                <w:sz w:val="21"/>
              </w:rPr>
            </w:pPr>
            <w:r>
              <w:rPr>
                <w:sz w:val="21"/>
              </w:rPr>
              <w:t>的有效护照、军官证、警官证、士兵证、户口簿等证件。</w:t>
            </w:r>
          </w:p>
        </w:tc>
      </w:tr>
    </w:tbl>
    <w:p>
      <w:pPr>
        <w:spacing w:after="0" w:line="241" w:lineRule="exact"/>
        <w:rPr>
          <w:sz w:val="21"/>
        </w:rPr>
        <w:sectPr>
          <w:type w:val="continuous"/>
          <w:pgSz w:w="11910" w:h="16840"/>
          <w:pgMar w:top="220" w:bottom="280" w:left="740" w:right="740"/>
        </w:sectPr>
      </w:pPr>
    </w:p>
    <w:p>
      <w:pPr>
        <w:pStyle w:val="ListParagraph"/>
        <w:numPr>
          <w:ilvl w:val="1"/>
          <w:numId w:val="14"/>
        </w:numPr>
        <w:tabs>
          <w:tab w:pos="855" w:val="left" w:leader="none"/>
          <w:tab w:pos="856" w:val="left" w:leader="none"/>
          <w:tab w:pos="2906" w:val="left" w:leader="none"/>
        </w:tabs>
        <w:spacing w:line="273" w:lineRule="auto" w:before="19" w:after="0"/>
        <w:ind w:left="2906" w:right="112" w:hanging="2786"/>
        <w:jc w:val="left"/>
        <w:rPr>
          <w:sz w:val="21"/>
        </w:rPr>
      </w:pPr>
      <w:r>
        <w:rPr>
          <w:b/>
          <w:sz w:val="21"/>
        </w:rPr>
        <w:t>保单周年日</w:t>
        <w:tab/>
      </w:r>
      <w:r>
        <w:rPr>
          <w:sz w:val="21"/>
        </w:rPr>
        <w:t>指本附加合同生效日在合同生效后每年的对应日</w:t>
      </w:r>
      <w:r>
        <w:rPr>
          <w:spacing w:val="-47"/>
          <w:sz w:val="21"/>
        </w:rPr>
        <w:t>，</w:t>
      </w:r>
      <w:r>
        <w:rPr>
          <w:sz w:val="21"/>
        </w:rPr>
        <w:t>不含本附加合同生效日当日。若当月没有对应的同一日，则以该月最后一日为对应日。</w:t>
      </w:r>
    </w:p>
    <w:p>
      <w:pPr>
        <w:pStyle w:val="BodyText"/>
        <w:spacing w:before="3"/>
        <w:rPr>
          <w:sz w:val="20"/>
        </w:rPr>
      </w:pPr>
    </w:p>
    <w:p>
      <w:pPr>
        <w:pStyle w:val="ListParagraph"/>
        <w:numPr>
          <w:ilvl w:val="1"/>
          <w:numId w:val="14"/>
        </w:numPr>
        <w:tabs>
          <w:tab w:pos="855" w:val="left" w:leader="none"/>
          <w:tab w:pos="856" w:val="left" w:leader="none"/>
          <w:tab w:pos="2906" w:val="left" w:leader="none"/>
        </w:tabs>
        <w:spacing w:line="273" w:lineRule="auto" w:before="1" w:after="0"/>
        <w:ind w:left="2906" w:right="275" w:hanging="2786"/>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4"/>
        <w:rPr>
          <w:sz w:val="20"/>
        </w:rPr>
      </w:pPr>
    </w:p>
    <w:p>
      <w:pPr>
        <w:pStyle w:val="ListParagraph"/>
        <w:numPr>
          <w:ilvl w:val="1"/>
          <w:numId w:val="14"/>
        </w:numPr>
        <w:tabs>
          <w:tab w:pos="855" w:val="left" w:leader="none"/>
          <w:tab w:pos="856" w:val="left" w:leader="none"/>
          <w:tab w:pos="2906" w:val="left" w:leader="none"/>
        </w:tabs>
        <w:spacing w:line="273" w:lineRule="auto" w:before="0" w:after="0"/>
        <w:ind w:left="2906" w:right="276" w:hanging="2786"/>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4"/>
        </w:numPr>
        <w:tabs>
          <w:tab w:pos="855" w:val="left" w:leader="none"/>
          <w:tab w:pos="856" w:val="left" w:leader="none"/>
          <w:tab w:pos="2906" w:val="left" w:leader="none"/>
        </w:tabs>
        <w:spacing w:line="273" w:lineRule="auto" w:before="0" w:after="0"/>
        <w:ind w:left="2906" w:right="220" w:hanging="2787"/>
        <w:jc w:val="left"/>
        <w:rPr>
          <w:sz w:val="21"/>
        </w:rPr>
      </w:pPr>
      <w:r>
        <w:rPr>
          <w:b/>
          <w:sz w:val="21"/>
        </w:rPr>
        <w:t>利息</w:t>
        <w:tab/>
      </w:r>
      <w:r>
        <w:rPr>
          <w:sz w:val="21"/>
        </w:rPr>
        <w:t>本附加合同补交保险费的利息以“中国人民银行当月第一个营业日颁布的两年 期居民定期储蓄存款基准利率</w:t>
      </w:r>
      <w:r>
        <w:rPr>
          <w:spacing w:val="-17"/>
          <w:sz w:val="21"/>
        </w:rPr>
        <w:t> </w:t>
      </w:r>
      <w:r>
        <w:rPr>
          <w:sz w:val="21"/>
        </w:rPr>
        <w:t>+</w:t>
      </w:r>
      <w:r>
        <w:rPr>
          <w:spacing w:val="-17"/>
          <w:sz w:val="21"/>
        </w:rPr>
        <w:t> </w:t>
      </w:r>
      <w:r>
        <w:rPr>
          <w:sz w:val="21"/>
        </w:rPr>
        <w:t>2%”换算的月利率按月以单利累积计算。</w:t>
      </w:r>
    </w:p>
    <w:p>
      <w:pPr>
        <w:pStyle w:val="BodyText"/>
        <w:spacing w:before="11"/>
        <w:rPr>
          <w:sz w:val="17"/>
        </w:rPr>
      </w:pPr>
    </w:p>
    <w:p>
      <w:pPr>
        <w:pStyle w:val="ListParagraph"/>
        <w:numPr>
          <w:ilvl w:val="1"/>
          <w:numId w:val="14"/>
        </w:numPr>
        <w:tabs>
          <w:tab w:pos="855" w:val="left" w:leader="none"/>
          <w:tab w:pos="856" w:val="left" w:leader="none"/>
          <w:tab w:pos="2906" w:val="left" w:leader="none"/>
        </w:tabs>
        <w:spacing w:line="273" w:lineRule="auto" w:before="1" w:after="0"/>
        <w:ind w:left="2906" w:right="220" w:hanging="2787"/>
        <w:jc w:val="left"/>
        <w:rPr>
          <w:sz w:val="21"/>
        </w:rPr>
      </w:pPr>
      <w:r>
        <w:rPr>
          <w:b/>
          <w:sz w:val="21"/>
        </w:rPr>
        <w:t>现金价值</w:t>
        <w:tab/>
      </w:r>
      <w:r>
        <w:rPr>
          <w:sz w:val="21"/>
        </w:rPr>
        <w:t>指本附加合同所具有的价值，通常体现为解除合同时，根据精算原理计算的， 由我们退还的那部分金额。</w:t>
      </w:r>
    </w:p>
    <w:p>
      <w:pPr>
        <w:pStyle w:val="BodyText"/>
        <w:spacing w:before="5"/>
        <w:rPr>
          <w:sz w:val="23"/>
        </w:rPr>
      </w:pPr>
    </w:p>
    <w:p>
      <w:pPr>
        <w:pStyle w:val="ListParagraph"/>
        <w:numPr>
          <w:ilvl w:val="1"/>
          <w:numId w:val="14"/>
        </w:numPr>
        <w:tabs>
          <w:tab w:pos="855" w:val="left" w:leader="none"/>
          <w:tab w:pos="856" w:val="left" w:leader="none"/>
          <w:tab w:pos="2906" w:val="left" w:leader="none"/>
        </w:tabs>
        <w:spacing w:line="273" w:lineRule="auto" w:before="0" w:after="0"/>
        <w:ind w:left="2906" w:right="276" w:hanging="2787"/>
        <w:jc w:val="left"/>
        <w:rPr>
          <w:sz w:val="21"/>
        </w:rPr>
      </w:pPr>
      <w:r>
        <w:rPr>
          <w:b/>
          <w:sz w:val="21"/>
        </w:rPr>
        <w:t>意外伤害</w:t>
        <w:tab/>
      </w:r>
      <w:r>
        <w:rPr>
          <w:sz w:val="21"/>
        </w:rPr>
        <w:t>指遭受外来的、突发的、非本意的、非疾病的客观事件直接致使身体受到的伤害。</w:t>
      </w:r>
    </w:p>
    <w:p>
      <w:pPr>
        <w:pStyle w:val="BodyText"/>
        <w:spacing w:before="11"/>
        <w:rPr>
          <w:sz w:val="17"/>
        </w:rPr>
      </w:pPr>
    </w:p>
    <w:p>
      <w:pPr>
        <w:pStyle w:val="ListParagraph"/>
        <w:numPr>
          <w:ilvl w:val="1"/>
          <w:numId w:val="14"/>
        </w:numPr>
        <w:tabs>
          <w:tab w:pos="855" w:val="left" w:leader="none"/>
          <w:tab w:pos="856" w:val="left" w:leader="none"/>
          <w:tab w:pos="2906" w:val="left" w:leader="none"/>
        </w:tabs>
        <w:spacing w:line="273" w:lineRule="auto" w:before="0" w:after="0"/>
        <w:ind w:left="2906" w:right="115" w:hanging="2787"/>
        <w:jc w:val="left"/>
        <w:rPr>
          <w:sz w:val="21"/>
        </w:rPr>
      </w:pPr>
      <w:r>
        <w:rPr>
          <w:b/>
          <w:sz w:val="21"/>
        </w:rPr>
        <w:t>医疗机构</w:t>
        <w:tab/>
      </w:r>
      <w:r>
        <w:rPr>
          <w:sz w:val="21"/>
        </w:rPr>
        <w:t>经中华人民共和国卫生部门正式评定的二级或以上之公立医院，但不包括上述 医院的分院</w:t>
      </w:r>
      <w:r>
        <w:rPr>
          <w:spacing w:val="-9"/>
          <w:sz w:val="21"/>
        </w:rPr>
        <w:t>、</w:t>
      </w:r>
      <w:r>
        <w:rPr>
          <w:sz w:val="21"/>
        </w:rPr>
        <w:t>联合病房或联合病床</w:t>
      </w:r>
      <w:r>
        <w:rPr>
          <w:spacing w:val="-9"/>
          <w:sz w:val="21"/>
        </w:rPr>
        <w:t>，</w:t>
      </w:r>
      <w:r>
        <w:rPr>
          <w:sz w:val="21"/>
        </w:rPr>
        <w:t>精神病院</w:t>
      </w:r>
      <w:r>
        <w:rPr>
          <w:spacing w:val="-9"/>
          <w:sz w:val="21"/>
        </w:rPr>
        <w:t>，</w:t>
      </w:r>
      <w:r>
        <w:rPr>
          <w:sz w:val="21"/>
        </w:rPr>
        <w:t>专供康复</w:t>
      </w:r>
      <w:r>
        <w:rPr>
          <w:spacing w:val="-9"/>
          <w:sz w:val="21"/>
        </w:rPr>
        <w:t>、</w:t>
      </w:r>
      <w:r>
        <w:rPr>
          <w:sz w:val="21"/>
        </w:rPr>
        <w:t>休养</w:t>
      </w:r>
      <w:r>
        <w:rPr>
          <w:spacing w:val="-9"/>
          <w:sz w:val="21"/>
        </w:rPr>
        <w:t>、</w:t>
      </w:r>
      <w:r>
        <w:rPr>
          <w:sz w:val="21"/>
        </w:rPr>
        <w:t>戒毒</w:t>
      </w:r>
      <w:r>
        <w:rPr>
          <w:spacing w:val="-9"/>
          <w:sz w:val="21"/>
        </w:rPr>
        <w:t>、</w:t>
      </w:r>
      <w:r>
        <w:rPr>
          <w:sz w:val="21"/>
        </w:rPr>
        <w:t>戒酒、护理、养老等非以直接诊治病人为目的医疗机构。</w:t>
      </w:r>
    </w:p>
    <w:p>
      <w:pPr>
        <w:pStyle w:val="BodyText"/>
        <w:spacing w:before="11"/>
        <w:rPr>
          <w:sz w:val="17"/>
        </w:rPr>
      </w:pPr>
    </w:p>
    <w:p>
      <w:pPr>
        <w:pStyle w:val="ListParagraph"/>
        <w:numPr>
          <w:ilvl w:val="1"/>
          <w:numId w:val="14"/>
        </w:numPr>
        <w:tabs>
          <w:tab w:pos="855" w:val="left" w:leader="none"/>
          <w:tab w:pos="856" w:val="left" w:leader="none"/>
          <w:tab w:pos="2906" w:val="left" w:leader="none"/>
        </w:tabs>
        <w:spacing w:line="273" w:lineRule="auto" w:before="0" w:after="0"/>
        <w:ind w:left="2906" w:right="112" w:hanging="2787"/>
        <w:jc w:val="left"/>
        <w:rPr>
          <w:sz w:val="21"/>
        </w:rPr>
      </w:pPr>
      <w:r>
        <w:rPr>
          <w:b/>
          <w:sz w:val="21"/>
        </w:rPr>
        <w:t>毒品</w:t>
        <w:tab/>
      </w:r>
      <w:r>
        <w:rPr>
          <w:spacing w:val="-1"/>
          <w:sz w:val="21"/>
        </w:rPr>
        <w:t>指中华人</w:t>
      </w:r>
      <w:r>
        <w:rPr>
          <w:sz w:val="21"/>
        </w:rPr>
        <w:t>民共和国刑法规定的鸦片</w:t>
      </w:r>
      <w:r>
        <w:rPr>
          <w:spacing w:val="-31"/>
          <w:sz w:val="21"/>
        </w:rPr>
        <w:t>、</w:t>
      </w:r>
      <w:r>
        <w:rPr>
          <w:sz w:val="21"/>
        </w:rPr>
        <w:t>海洛因</w:t>
      </w:r>
      <w:r>
        <w:rPr>
          <w:spacing w:val="-31"/>
          <w:sz w:val="21"/>
        </w:rPr>
        <w:t>、</w:t>
      </w:r>
      <w:r>
        <w:rPr>
          <w:sz w:val="21"/>
        </w:rPr>
        <w:t>甲基苯丙</w:t>
      </w:r>
      <w:r>
        <w:rPr>
          <w:spacing w:val="-31"/>
          <w:sz w:val="21"/>
        </w:rPr>
        <w:t>胺</w:t>
      </w:r>
      <w:r>
        <w:rPr>
          <w:sz w:val="21"/>
        </w:rPr>
        <w:t>（冰毒</w:t>
      </w:r>
      <w:r>
        <w:rPr>
          <w:spacing w:val="-105"/>
          <w:sz w:val="21"/>
        </w:rPr>
        <w:t>）</w:t>
      </w:r>
      <w:r>
        <w:rPr>
          <w:spacing w:val="-31"/>
          <w:sz w:val="21"/>
        </w:rPr>
        <w:t>、</w:t>
      </w:r>
      <w:r>
        <w:rPr>
          <w:sz w:val="21"/>
        </w:rPr>
        <w:t>吗啡</w:t>
      </w:r>
      <w:r>
        <w:rPr>
          <w:spacing w:val="-31"/>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1"/>
        <w:rPr>
          <w:sz w:val="17"/>
        </w:rPr>
      </w:pPr>
    </w:p>
    <w:p>
      <w:pPr>
        <w:pStyle w:val="ListParagraph"/>
        <w:numPr>
          <w:ilvl w:val="1"/>
          <w:numId w:val="14"/>
        </w:numPr>
        <w:tabs>
          <w:tab w:pos="857" w:val="left" w:leader="none"/>
          <w:tab w:pos="2906" w:val="left" w:leader="none"/>
        </w:tabs>
        <w:spacing w:line="273" w:lineRule="auto" w:before="0" w:after="0"/>
        <w:ind w:left="2906" w:right="276" w:hanging="2787"/>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rPr>
          <w:sz w:val="15"/>
        </w:rPr>
      </w:pPr>
    </w:p>
    <w:p>
      <w:pPr>
        <w:spacing w:after="0"/>
        <w:rPr>
          <w:sz w:val="15"/>
        </w:rPr>
        <w:sectPr>
          <w:pgSz w:w="11910" w:h="16840"/>
          <w:pgMar w:header="0" w:footer="442" w:top="1100" w:bottom="640" w:left="840" w:right="740"/>
        </w:sectPr>
      </w:pPr>
    </w:p>
    <w:p>
      <w:pPr>
        <w:pStyle w:val="Heading4"/>
        <w:numPr>
          <w:ilvl w:val="1"/>
          <w:numId w:val="14"/>
        </w:numPr>
        <w:tabs>
          <w:tab w:pos="855" w:val="left" w:leader="none"/>
          <w:tab w:pos="857" w:val="left" w:leader="none"/>
        </w:tabs>
        <w:spacing w:line="240" w:lineRule="auto" w:before="36" w:after="0"/>
        <w:ind w:left="856" w:right="0" w:hanging="737"/>
        <w:jc w:val="left"/>
        <w:rPr>
          <w:rFonts w:ascii="宋体" w:eastAsia="宋体" w:hint="eastAsia"/>
        </w:rPr>
      </w:pPr>
      <w:r>
        <w:rPr>
          <w:rFonts w:ascii="宋体" w:eastAsia="宋体" w:hint="eastAsia"/>
          <w:w w:val="95"/>
        </w:rPr>
        <w:t>无合法有效驾驶证</w:t>
      </w:r>
    </w:p>
    <w:p>
      <w:pPr>
        <w:spacing w:before="37"/>
        <w:ind w:left="847" w:right="1254" w:firstLine="0"/>
        <w:jc w:val="center"/>
        <w:rPr>
          <w:b/>
          <w:sz w:val="21"/>
        </w:rPr>
      </w:pPr>
      <w:r>
        <w:rPr>
          <w:b/>
          <w:w w:val="95"/>
          <w:sz w:val="21"/>
        </w:rPr>
        <w:t>驾驶</w:t>
      </w:r>
    </w:p>
    <w:p>
      <w:pPr>
        <w:pStyle w:val="BodyText"/>
        <w:spacing w:before="36"/>
        <w:ind w:left="119"/>
      </w:pPr>
      <w:r>
        <w:rPr/>
        <w:br w:type="column"/>
      </w:r>
      <w:r>
        <w:rPr/>
        <w:t>指下列情形之一：</w:t>
      </w:r>
    </w:p>
    <w:p>
      <w:pPr>
        <w:pStyle w:val="ListParagraph"/>
        <w:numPr>
          <w:ilvl w:val="0"/>
          <w:numId w:val="15"/>
        </w:numPr>
        <w:tabs>
          <w:tab w:pos="540" w:val="left" w:leader="none"/>
        </w:tabs>
        <w:spacing w:line="240" w:lineRule="auto" w:before="37" w:after="0"/>
        <w:ind w:left="539" w:right="0" w:hanging="420"/>
        <w:jc w:val="left"/>
        <w:rPr>
          <w:sz w:val="21"/>
        </w:rPr>
      </w:pPr>
      <w:r>
        <w:rPr>
          <w:sz w:val="21"/>
        </w:rPr>
        <w:t>没有驾驶证驾驶；</w:t>
      </w:r>
    </w:p>
    <w:p>
      <w:pPr>
        <w:pStyle w:val="ListParagraph"/>
        <w:numPr>
          <w:ilvl w:val="0"/>
          <w:numId w:val="15"/>
        </w:numPr>
        <w:tabs>
          <w:tab w:pos="540" w:val="left" w:leader="none"/>
        </w:tabs>
        <w:spacing w:line="240" w:lineRule="auto" w:before="37" w:after="0"/>
        <w:ind w:left="539" w:right="0" w:hanging="420"/>
        <w:jc w:val="left"/>
        <w:rPr>
          <w:sz w:val="21"/>
        </w:rPr>
      </w:pPr>
      <w:r>
        <w:rPr>
          <w:sz w:val="21"/>
        </w:rPr>
        <w:t>驾驶与驾驶证准驾车型不相符合的车辆；</w:t>
      </w:r>
    </w:p>
    <w:p>
      <w:pPr>
        <w:pStyle w:val="ListParagraph"/>
        <w:numPr>
          <w:ilvl w:val="0"/>
          <w:numId w:val="15"/>
        </w:numPr>
        <w:tabs>
          <w:tab w:pos="540" w:val="left" w:leader="none"/>
        </w:tabs>
        <w:spacing w:line="240" w:lineRule="auto" w:before="37" w:after="0"/>
        <w:ind w:left="539" w:right="0" w:hanging="420"/>
        <w:jc w:val="left"/>
        <w:rPr>
          <w:sz w:val="21"/>
        </w:rPr>
      </w:pPr>
      <w:r>
        <w:rPr>
          <w:sz w:val="21"/>
        </w:rPr>
        <w:t>持审验不合格的驾驶证驾驶；</w:t>
      </w:r>
    </w:p>
    <w:p>
      <w:pPr>
        <w:pStyle w:val="ListParagraph"/>
        <w:numPr>
          <w:ilvl w:val="0"/>
          <w:numId w:val="15"/>
        </w:numPr>
        <w:tabs>
          <w:tab w:pos="540" w:val="left" w:leader="none"/>
        </w:tabs>
        <w:spacing w:line="273" w:lineRule="auto" w:before="37" w:after="0"/>
        <w:ind w:left="539" w:right="276" w:hanging="420"/>
        <w:jc w:val="left"/>
        <w:rPr>
          <w:sz w:val="21"/>
        </w:rPr>
      </w:pPr>
      <w:r>
        <w:rPr>
          <w:sz w:val="21"/>
        </w:rPr>
        <w:t>持学习驾驶证学习驾车时，无教练员随车指导，或不按指定时间、路线学习驾车。</w:t>
      </w:r>
    </w:p>
    <w:p>
      <w:pPr>
        <w:spacing w:after="0" w:line="273" w:lineRule="auto"/>
        <w:jc w:val="left"/>
        <w:rPr>
          <w:sz w:val="21"/>
        </w:rPr>
        <w:sectPr>
          <w:type w:val="continuous"/>
          <w:pgSz w:w="11910" w:h="16840"/>
          <w:pgMar w:top="220" w:bottom="280" w:left="840" w:right="740"/>
          <w:cols w:num="2" w:equalWidth="0">
            <w:col w:w="2543" w:space="244"/>
            <w:col w:w="7543"/>
          </w:cols>
        </w:sectPr>
      </w:pPr>
    </w:p>
    <w:p>
      <w:pPr>
        <w:pStyle w:val="BodyText"/>
        <w:spacing w:before="2"/>
        <w:rPr>
          <w:sz w:val="15"/>
        </w:rPr>
      </w:pPr>
    </w:p>
    <w:p>
      <w:pPr>
        <w:pStyle w:val="ListParagraph"/>
        <w:numPr>
          <w:ilvl w:val="1"/>
          <w:numId w:val="14"/>
        </w:numPr>
        <w:tabs>
          <w:tab w:pos="855" w:val="left" w:leader="none"/>
          <w:tab w:pos="856" w:val="left" w:leader="none"/>
          <w:tab w:pos="2906" w:val="left" w:leader="none"/>
        </w:tabs>
        <w:spacing w:line="240" w:lineRule="auto" w:before="36" w:after="0"/>
        <w:ind w:left="855" w:right="0" w:hanging="736"/>
        <w:jc w:val="left"/>
        <w:rPr>
          <w:sz w:val="21"/>
        </w:rPr>
      </w:pPr>
      <w:r>
        <w:rPr>
          <w:b/>
          <w:sz w:val="21"/>
        </w:rPr>
        <w:t>无有效行驶证</w:t>
        <w:tab/>
      </w:r>
      <w:r>
        <w:rPr>
          <w:sz w:val="21"/>
        </w:rPr>
        <w:t>指下列情形之一：</w:t>
      </w:r>
    </w:p>
    <w:p>
      <w:pPr>
        <w:pStyle w:val="BodyText"/>
        <w:ind w:left="2906"/>
      </w:pPr>
      <w:r>
        <w:rPr/>
        <w:t>（1）机动车被依法注销登记的；</w:t>
      </w:r>
    </w:p>
    <w:p>
      <w:pPr>
        <w:pStyle w:val="BodyText"/>
        <w:ind w:left="2906"/>
      </w:pPr>
      <w:r>
        <w:rPr/>
        <w:t>（2）未依法按时进行或通过机动车安全技术检验。</w:t>
      </w:r>
    </w:p>
    <w:p>
      <w:pPr>
        <w:pStyle w:val="BodyText"/>
        <w:spacing w:before="2"/>
        <w:rPr>
          <w:sz w:val="20"/>
        </w:rPr>
      </w:pPr>
    </w:p>
    <w:p>
      <w:pPr>
        <w:pStyle w:val="ListParagraph"/>
        <w:numPr>
          <w:ilvl w:val="1"/>
          <w:numId w:val="14"/>
        </w:numPr>
        <w:tabs>
          <w:tab w:pos="855" w:val="left" w:leader="none"/>
          <w:tab w:pos="856" w:val="left" w:leader="none"/>
          <w:tab w:pos="2906" w:val="left" w:leader="none"/>
        </w:tabs>
        <w:spacing w:line="273" w:lineRule="auto" w:before="0" w:after="0"/>
        <w:ind w:left="2906" w:right="276" w:hanging="2787"/>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9"/>
        <w:rPr>
          <w:sz w:val="14"/>
        </w:rPr>
      </w:pPr>
    </w:p>
    <w:p>
      <w:pPr>
        <w:spacing w:after="0"/>
        <w:rPr>
          <w:sz w:val="14"/>
        </w:rPr>
        <w:sectPr>
          <w:type w:val="continuous"/>
          <w:pgSz w:w="11910" w:h="16840"/>
          <w:pgMar w:top="220" w:bottom="280" w:left="840" w:right="740"/>
        </w:sectPr>
      </w:pPr>
    </w:p>
    <w:p>
      <w:pPr>
        <w:pStyle w:val="Heading4"/>
        <w:numPr>
          <w:ilvl w:val="1"/>
          <w:numId w:val="14"/>
        </w:numPr>
        <w:tabs>
          <w:tab w:pos="856" w:val="left" w:leader="none"/>
          <w:tab w:pos="857" w:val="left" w:leader="none"/>
        </w:tabs>
        <w:spacing w:line="273" w:lineRule="auto" w:before="42" w:after="0"/>
        <w:ind w:left="855" w:right="0" w:hanging="735"/>
        <w:jc w:val="left"/>
        <w:rPr>
          <w:rFonts w:ascii="宋体" w:eastAsia="宋体" w:hint="eastAsia"/>
        </w:rPr>
      </w:pPr>
      <w:r>
        <w:rPr>
          <w:rFonts w:ascii="宋体" w:eastAsia="宋体" w:hint="eastAsia"/>
        </w:rPr>
        <w:t>感染艾滋病病毒或</w:t>
      </w:r>
      <w:r>
        <w:rPr>
          <w:rFonts w:ascii="宋体" w:eastAsia="宋体" w:hint="eastAsia"/>
          <w:w w:val="95"/>
        </w:rPr>
        <w:t>患艾滋病</w:t>
      </w:r>
    </w:p>
    <w:p>
      <w:pPr>
        <w:pStyle w:val="BodyText"/>
        <w:spacing w:line="261" w:lineRule="auto" w:before="42"/>
        <w:ind w:left="120" w:right="218"/>
        <w:jc w:val="both"/>
      </w:pPr>
      <w:r>
        <w:rPr/>
        <w:br w:type="column"/>
      </w:r>
      <w:r>
        <w:rPr>
          <w:spacing w:val="-3"/>
        </w:rPr>
        <w:t>艾滋病病毒指人类免疫缺陷病毒，英文缩写为 </w:t>
      </w:r>
      <w:r>
        <w:rPr>
          <w:rFonts w:ascii="Times New Roman" w:eastAsia="Times New Roman"/>
        </w:rPr>
        <w:t>HIV</w:t>
      </w:r>
      <w:r>
        <w:rPr/>
        <w:t>。艾滋病指人类免疫缺陷病</w:t>
      </w:r>
      <w:r>
        <w:rPr>
          <w:spacing w:val="-6"/>
        </w:rPr>
        <w:t>毒引起的获得性免疫缺陷综合征，英文缩写为 </w:t>
      </w:r>
      <w:r>
        <w:rPr>
          <w:rFonts w:ascii="Times New Roman" w:eastAsia="Times New Roman"/>
        </w:rPr>
        <w:t>AIDS</w:t>
      </w:r>
      <w:r>
        <w:rPr>
          <w:spacing w:val="-6"/>
        </w:rPr>
        <w:t>。在人体血液或其他样本中检测到艾滋病病毒或其抗体呈阳性，没有出现临床症状或体征的，为感染艾滋病病毒；若同时出现了明显临床症状或体征的，为患艾滋病。</w:t>
      </w:r>
    </w:p>
    <w:p>
      <w:pPr>
        <w:spacing w:after="0" w:line="261" w:lineRule="auto"/>
        <w:jc w:val="both"/>
        <w:sectPr>
          <w:type w:val="continuous"/>
          <w:pgSz w:w="11910" w:h="16840"/>
          <w:pgMar w:top="220" w:bottom="280" w:left="840" w:right="740"/>
          <w:cols w:num="2" w:equalWidth="0">
            <w:col w:w="2543" w:space="244"/>
            <w:col w:w="7543"/>
          </w:cols>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2082"/>
        <w:gridCol w:w="7489"/>
      </w:tblGrid>
      <w:tr>
        <w:trPr>
          <w:trHeight w:val="281" w:hRule="atLeast"/>
        </w:trPr>
        <w:tc>
          <w:tcPr>
            <w:tcW w:w="630" w:type="dxa"/>
          </w:tcPr>
          <w:p>
            <w:pPr>
              <w:pStyle w:val="TableParagraph"/>
              <w:spacing w:line="230" w:lineRule="exact"/>
              <w:ind w:left="50"/>
              <w:rPr>
                <w:b/>
                <w:sz w:val="21"/>
              </w:rPr>
            </w:pPr>
            <w:r>
              <w:rPr>
                <w:b/>
                <w:sz w:val="21"/>
              </w:rPr>
              <w:t>8.16</w:t>
            </w:r>
          </w:p>
        </w:tc>
        <w:tc>
          <w:tcPr>
            <w:tcW w:w="2082" w:type="dxa"/>
          </w:tcPr>
          <w:p>
            <w:pPr>
              <w:pStyle w:val="TableParagraph"/>
              <w:spacing w:line="230" w:lineRule="exact"/>
              <w:ind w:left="156"/>
              <w:rPr>
                <w:b/>
                <w:sz w:val="21"/>
              </w:rPr>
            </w:pPr>
            <w:r>
              <w:rPr>
                <w:b/>
                <w:w w:val="95"/>
                <w:sz w:val="21"/>
              </w:rPr>
              <w:t>初次患本附加合同</w:t>
            </w:r>
          </w:p>
        </w:tc>
        <w:tc>
          <w:tcPr>
            <w:tcW w:w="7489" w:type="dxa"/>
          </w:tcPr>
          <w:p>
            <w:pPr>
              <w:pStyle w:val="TableParagraph"/>
              <w:spacing w:line="210" w:lineRule="exact"/>
              <w:ind w:left="124"/>
              <w:rPr>
                <w:sz w:val="21"/>
              </w:rPr>
            </w:pPr>
            <w:r>
              <w:rPr>
                <w:sz w:val="21"/>
              </w:rPr>
              <w:t>指被保险人患同时符合以下条件的重大疾病：</w:t>
            </w:r>
          </w:p>
        </w:tc>
      </w:tr>
      <w:tr>
        <w:trPr>
          <w:trHeight w:val="504" w:hRule="atLeast"/>
        </w:trPr>
        <w:tc>
          <w:tcPr>
            <w:tcW w:w="630" w:type="dxa"/>
          </w:tcPr>
          <w:p>
            <w:pPr>
              <w:pStyle w:val="TableParagraph"/>
              <w:rPr>
                <w:rFonts w:ascii="Times New Roman"/>
                <w:sz w:val="20"/>
              </w:rPr>
            </w:pPr>
          </w:p>
        </w:tc>
        <w:tc>
          <w:tcPr>
            <w:tcW w:w="2082" w:type="dxa"/>
          </w:tcPr>
          <w:p>
            <w:pPr>
              <w:pStyle w:val="TableParagraph"/>
              <w:spacing w:line="261" w:lineRule="exact"/>
              <w:ind w:left="155"/>
              <w:rPr>
                <w:b/>
                <w:sz w:val="21"/>
              </w:rPr>
            </w:pPr>
            <w:r>
              <w:rPr>
                <w:b/>
                <w:w w:val="95"/>
                <w:sz w:val="21"/>
              </w:rPr>
              <w:t>所列的重大疾病</w:t>
            </w:r>
          </w:p>
        </w:tc>
        <w:tc>
          <w:tcPr>
            <w:tcW w:w="7489" w:type="dxa"/>
          </w:tcPr>
          <w:p>
            <w:pPr>
              <w:pStyle w:val="TableParagraph"/>
              <w:spacing w:line="200" w:lineRule="exact"/>
              <w:ind w:left="124"/>
              <w:rPr>
                <w:sz w:val="21"/>
              </w:rPr>
            </w:pPr>
            <w:r>
              <w:rPr>
                <w:sz w:val="21"/>
              </w:rPr>
              <w:t>（1）被保险人自出生后首次出现该重大疾病之症状体征；</w:t>
            </w:r>
          </w:p>
          <w:p>
            <w:pPr>
              <w:pStyle w:val="TableParagraph"/>
              <w:spacing w:line="274" w:lineRule="exact"/>
              <w:ind w:left="124"/>
              <w:rPr>
                <w:sz w:val="21"/>
              </w:rPr>
            </w:pPr>
            <w:r>
              <w:rPr>
                <w:sz w:val="21"/>
              </w:rPr>
              <w:t>（2）被保险人在本附加合同有效期间内首次出现该重大疾病之症状体征并被确</w:t>
            </w:r>
          </w:p>
        </w:tc>
      </w:tr>
      <w:tr>
        <w:trPr>
          <w:trHeight w:val="272"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41" w:lineRule="exact"/>
              <w:ind w:left="124"/>
              <w:rPr>
                <w:sz w:val="21"/>
              </w:rPr>
            </w:pPr>
            <w:r>
              <w:rPr>
                <w:sz w:val="21"/>
              </w:rPr>
              <w:t>诊患该重大疾病；</w:t>
            </w:r>
          </w:p>
        </w:tc>
      </w:tr>
      <w:tr>
        <w:trPr>
          <w:trHeight w:val="272"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41" w:lineRule="exact"/>
              <w:ind w:left="124"/>
              <w:rPr>
                <w:sz w:val="21"/>
              </w:rPr>
            </w:pPr>
            <w:r>
              <w:rPr>
                <w:sz w:val="21"/>
              </w:rPr>
              <w:t>（3）该重大疾病之症状体征符合本附加合同的定义；</w:t>
            </w:r>
          </w:p>
        </w:tc>
      </w:tr>
      <w:tr>
        <w:trPr>
          <w:trHeight w:val="277"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41" w:lineRule="exact"/>
              <w:ind w:left="124"/>
              <w:rPr>
                <w:sz w:val="21"/>
              </w:rPr>
            </w:pPr>
            <w:r>
              <w:rPr>
                <w:sz w:val="21"/>
              </w:rPr>
              <w:t>（4）该重大疾病已在本附加合同中列明。</w:t>
            </w:r>
          </w:p>
        </w:tc>
      </w:tr>
      <w:tr>
        <w:trPr>
          <w:trHeight w:val="303"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58" w:lineRule="exact"/>
              <w:ind w:left="124"/>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7" w:lineRule="exact"/>
              <w:ind w:left="124"/>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30" w:type="dxa"/>
          </w:tcPr>
          <w:p>
            <w:pPr>
              <w:pStyle w:val="TableParagraph"/>
              <w:spacing w:before="90"/>
              <w:ind w:left="50"/>
              <w:rPr>
                <w:b/>
                <w:sz w:val="21"/>
              </w:rPr>
            </w:pPr>
            <w:r>
              <w:rPr>
                <w:b/>
                <w:sz w:val="21"/>
              </w:rPr>
              <w:t>8.17</w:t>
            </w:r>
          </w:p>
        </w:tc>
        <w:tc>
          <w:tcPr>
            <w:tcW w:w="2082" w:type="dxa"/>
          </w:tcPr>
          <w:p>
            <w:pPr>
              <w:pStyle w:val="TableParagraph"/>
              <w:spacing w:before="90"/>
              <w:ind w:left="156"/>
              <w:rPr>
                <w:b/>
                <w:sz w:val="21"/>
              </w:rPr>
            </w:pPr>
            <w:r>
              <w:rPr>
                <w:b/>
                <w:sz w:val="21"/>
              </w:rPr>
              <w:t>重大疾病</w:t>
            </w:r>
          </w:p>
        </w:tc>
        <w:tc>
          <w:tcPr>
            <w:tcW w:w="7489" w:type="dxa"/>
          </w:tcPr>
          <w:p>
            <w:pPr>
              <w:pStyle w:val="TableParagraph"/>
              <w:spacing w:before="90"/>
              <w:ind w:left="124"/>
              <w:rPr>
                <w:sz w:val="21"/>
              </w:rPr>
            </w:pPr>
            <w:r>
              <w:rPr>
                <w:sz w:val="21"/>
              </w:rPr>
              <w:t>指被保险人发生符合以下疾病定义所述条件的疾病（</w:t>
            </w:r>
            <w:r>
              <w:rPr>
                <w:spacing w:val="-12"/>
                <w:sz w:val="21"/>
              </w:rPr>
              <w:t>共 </w:t>
            </w:r>
            <w:r>
              <w:rPr>
                <w:sz w:val="21"/>
              </w:rPr>
              <w:t>35</w:t>
            </w:r>
            <w:r>
              <w:rPr>
                <w:spacing w:val="-13"/>
                <w:sz w:val="21"/>
              </w:rPr>
              <w:t> 种</w:t>
            </w:r>
            <w:r>
              <w:rPr>
                <w:spacing w:val="-105"/>
                <w:sz w:val="21"/>
              </w:rPr>
              <w:t>）</w:t>
            </w:r>
            <w:r>
              <w:rPr>
                <w:spacing w:val="-1"/>
                <w:sz w:val="21"/>
              </w:rPr>
              <w:t>，应当由专科医</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生明确诊断。</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pacing w:val="-37"/>
                <w:sz w:val="21"/>
              </w:rPr>
              <w:t>第 </w:t>
            </w:r>
            <w:r>
              <w:rPr>
                <w:sz w:val="21"/>
              </w:rPr>
              <w:t>1</w:t>
            </w:r>
            <w:r>
              <w:rPr>
                <w:spacing w:val="-37"/>
                <w:sz w:val="21"/>
              </w:rPr>
              <w:t> 至第 </w:t>
            </w:r>
            <w:r>
              <w:rPr>
                <w:sz w:val="21"/>
              </w:rPr>
              <w:t>24</w:t>
            </w:r>
            <w:r>
              <w:rPr>
                <w:spacing w:val="-9"/>
                <w:sz w:val="21"/>
              </w:rPr>
              <w:t> 项为中国保险行业协会与中国医师协会共同制定的重大疾病保险的</w:t>
            </w:r>
          </w:p>
        </w:tc>
      </w:tr>
      <w:tr>
        <w:trPr>
          <w:trHeight w:val="329"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疾病定义，第 25 至第 35 项为我们增加的疾病种类并自行制定的疾病定义。</w:t>
            </w:r>
          </w:p>
        </w:tc>
      </w:tr>
      <w:tr>
        <w:trPr>
          <w:trHeight w:val="334" w:hRule="atLeast"/>
        </w:trPr>
        <w:tc>
          <w:tcPr>
            <w:tcW w:w="630" w:type="dxa"/>
          </w:tcPr>
          <w:p>
            <w:pPr>
              <w:pStyle w:val="TableParagraph"/>
              <w:rPr>
                <w:rFonts w:ascii="Times New Roman"/>
                <w:sz w:val="20"/>
              </w:rPr>
            </w:pPr>
          </w:p>
        </w:tc>
        <w:tc>
          <w:tcPr>
            <w:tcW w:w="2082" w:type="dxa"/>
          </w:tcPr>
          <w:p>
            <w:pPr>
              <w:pStyle w:val="TableParagraph"/>
              <w:spacing w:line="289" w:lineRule="exact"/>
              <w:ind w:left="155"/>
              <w:rPr>
                <w:rFonts w:ascii="Microsoft JhengHei" w:eastAsia="Microsoft JhengHei" w:hint="eastAsia"/>
                <w:b/>
                <w:sz w:val="21"/>
              </w:rPr>
            </w:pPr>
            <w:r>
              <w:rPr>
                <w:rFonts w:ascii="Microsoft JhengHei" w:eastAsia="Microsoft JhengHei" w:hint="eastAsia"/>
                <w:b/>
                <w:w w:val="95"/>
                <w:sz w:val="21"/>
              </w:rPr>
              <w:t>1、恶性肿瘤</w:t>
            </w:r>
          </w:p>
        </w:tc>
        <w:tc>
          <w:tcPr>
            <w:tcW w:w="7489" w:type="dxa"/>
          </w:tcPr>
          <w:p>
            <w:pPr>
              <w:pStyle w:val="TableParagraph"/>
              <w:spacing w:before="7"/>
              <w:ind w:left="124"/>
              <w:rPr>
                <w:sz w:val="21"/>
              </w:rPr>
            </w:pPr>
            <w:r>
              <w:rPr>
                <w:sz w:val="21"/>
              </w:rPr>
              <w:t>指恶性细胞不受控制的进行性增长和扩散，浸润和破坏周围正常组织，可以经</w:t>
            </w:r>
          </w:p>
        </w:tc>
      </w:tr>
      <w:tr>
        <w:trPr>
          <w:trHeight w:val="310"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59" w:lineRule="exact"/>
              <w:ind w:left="124"/>
              <w:rPr>
                <w:sz w:val="21"/>
              </w:rPr>
            </w:pPr>
            <w:r>
              <w:rPr>
                <w:sz w:val="21"/>
              </w:rPr>
              <w:t>血管、淋巴管和体腔扩散转移到身体其它部位的疾病。经病理学检查结果明确</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诊断，临床诊断属于世界卫生组织《疾病和有关健康问题的国际统计分类》</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（ICD-10）的恶性肿瘤范畴。下列疾病不在保障范围内：</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（1）原位癌；</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（2）相当于Binet 分期方案 A 期程度的慢性淋巴细胞白血病；</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（3）相当于Ann Arbor 分期方案 I 期程度的何杰金氏病；</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08"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24"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80" w:lineRule="exact"/>
              <w:ind w:left="124"/>
              <w:rPr>
                <w:sz w:val="21"/>
              </w:rPr>
            </w:pPr>
            <w:r>
              <w:rPr>
                <w:sz w:val="21"/>
              </w:rPr>
              <w:t>（</w:t>
            </w:r>
            <w:r>
              <w:rPr>
                <w:rFonts w:ascii="Times New Roman" w:eastAsia="Times New Roman"/>
                <w:sz w:val="21"/>
              </w:rPr>
              <w:t>6</w:t>
            </w:r>
            <w:r>
              <w:rPr>
                <w:sz w:val="21"/>
              </w:rPr>
              <w:t>）感染艾滋病病毒或患艾滋病期间所患恶性肿瘤。</w:t>
            </w:r>
          </w:p>
        </w:tc>
      </w:tr>
      <w:tr>
        <w:trPr>
          <w:trHeight w:val="411" w:hRule="atLeast"/>
        </w:trPr>
        <w:tc>
          <w:tcPr>
            <w:tcW w:w="630" w:type="dxa"/>
          </w:tcPr>
          <w:p>
            <w:pPr>
              <w:pStyle w:val="TableParagraph"/>
              <w:rPr>
                <w:rFonts w:ascii="Times New Roman"/>
                <w:sz w:val="20"/>
              </w:rPr>
            </w:pPr>
          </w:p>
        </w:tc>
        <w:tc>
          <w:tcPr>
            <w:tcW w:w="2082" w:type="dxa"/>
          </w:tcPr>
          <w:p>
            <w:pPr>
              <w:pStyle w:val="TableParagraph"/>
              <w:ind w:left="155"/>
              <w:rPr>
                <w:rFonts w:ascii="Microsoft JhengHei" w:eastAsia="Microsoft JhengHei" w:hint="eastAsia"/>
                <w:b/>
                <w:sz w:val="21"/>
              </w:rPr>
            </w:pPr>
            <w:r>
              <w:rPr>
                <w:rFonts w:ascii="Microsoft JhengHei" w:eastAsia="Microsoft JhengHei" w:hint="eastAsia"/>
                <w:b/>
                <w:sz w:val="21"/>
              </w:rPr>
              <w:t>2、急性心ft梗塞</w:t>
            </w:r>
          </w:p>
        </w:tc>
        <w:tc>
          <w:tcPr>
            <w:tcW w:w="7489" w:type="dxa"/>
          </w:tcPr>
          <w:p>
            <w:pPr>
              <w:pStyle w:val="TableParagraph"/>
              <w:spacing w:before="83"/>
              <w:ind w:left="124"/>
              <w:rPr>
                <w:sz w:val="21"/>
              </w:rPr>
            </w:pPr>
            <w:r>
              <w:rPr>
                <w:sz w:val="21"/>
              </w:rPr>
              <w:t>指因冠状动脉阻塞导致的相应区域供血不足造成部分心肌坏死。须满足下列至</w:t>
            </w:r>
          </w:p>
        </w:tc>
      </w:tr>
      <w:tr>
        <w:trPr>
          <w:trHeight w:val="310"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59" w:lineRule="exact"/>
              <w:ind w:left="124"/>
              <w:rPr>
                <w:sz w:val="21"/>
              </w:rPr>
            </w:pPr>
            <w:r>
              <w:rPr>
                <w:sz w:val="21"/>
              </w:rPr>
              <w:t>少三项条件：</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（1）典型临床表现，例如急性胸痛等；</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（2）新近的心电图改变提示急性心肌梗塞；</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（3）心肌酶或肌钙蛋白有诊断意义的升高，或呈符合急性心肌梗塞的动态性变</w:t>
            </w:r>
          </w:p>
        </w:tc>
      </w:tr>
      <w:tr>
        <w:trPr>
          <w:trHeight w:val="308"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化；</w:t>
            </w:r>
          </w:p>
        </w:tc>
      </w:tr>
      <w:tr>
        <w:trPr>
          <w:trHeight w:val="428"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80" w:lineRule="exact"/>
              <w:ind w:left="124"/>
              <w:rPr>
                <w:sz w:val="21"/>
              </w:rPr>
            </w:pPr>
            <w:r>
              <w:rPr>
                <w:spacing w:val="-23"/>
                <w:sz w:val="21"/>
              </w:rPr>
              <w:t>（</w:t>
            </w:r>
            <w:r>
              <w:rPr>
                <w:rFonts w:ascii="Times New Roman" w:eastAsia="Times New Roman"/>
                <w:spacing w:val="-23"/>
                <w:sz w:val="21"/>
              </w:rPr>
              <w:t>4</w:t>
            </w:r>
            <w:r>
              <w:rPr>
                <w:spacing w:val="-23"/>
                <w:sz w:val="21"/>
              </w:rPr>
              <w:t>）</w:t>
            </w:r>
            <w:r>
              <w:rPr>
                <w:spacing w:val="-20"/>
                <w:sz w:val="21"/>
              </w:rPr>
              <w:t>发病 </w:t>
            </w:r>
            <w:r>
              <w:rPr>
                <w:sz w:val="21"/>
              </w:rPr>
              <w:t>90</w:t>
            </w:r>
            <w:r>
              <w:rPr>
                <w:spacing w:val="-18"/>
                <w:sz w:val="21"/>
              </w:rPr>
              <w:t> 天后，经检查证实左心室功能降低的，如左心室射血分数低于 </w:t>
            </w:r>
            <w:r>
              <w:rPr>
                <w:sz w:val="21"/>
              </w:rPr>
              <w:t>50%。</w:t>
            </w:r>
          </w:p>
        </w:tc>
      </w:tr>
      <w:tr>
        <w:trPr>
          <w:trHeight w:val="424" w:hRule="atLeast"/>
        </w:trPr>
        <w:tc>
          <w:tcPr>
            <w:tcW w:w="630" w:type="dxa"/>
          </w:tcPr>
          <w:p>
            <w:pPr>
              <w:pStyle w:val="TableParagraph"/>
              <w:rPr>
                <w:rFonts w:ascii="Times New Roman"/>
                <w:sz w:val="20"/>
              </w:rPr>
            </w:pPr>
          </w:p>
        </w:tc>
        <w:tc>
          <w:tcPr>
            <w:tcW w:w="2082" w:type="dxa"/>
          </w:tcPr>
          <w:p>
            <w:pPr>
              <w:pStyle w:val="TableParagraph"/>
              <w:spacing w:before="17"/>
              <w:ind w:left="155"/>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、脑中风后遗症</w:t>
            </w:r>
          </w:p>
        </w:tc>
        <w:tc>
          <w:tcPr>
            <w:tcW w:w="7489" w:type="dxa"/>
          </w:tcPr>
          <w:p>
            <w:pPr>
              <w:pStyle w:val="TableParagraph"/>
              <w:spacing w:before="93"/>
              <w:ind w:left="124"/>
              <w:rPr>
                <w:sz w:val="21"/>
              </w:rPr>
            </w:pPr>
            <w:r>
              <w:rPr>
                <w:sz w:val="21"/>
              </w:rPr>
              <w:t>指因脑血管的突发病变引起脑血管出血、栓塞或梗塞，并导致神经系统永久性</w:t>
            </w:r>
          </w:p>
        </w:tc>
      </w:tr>
      <w:tr>
        <w:trPr>
          <w:trHeight w:val="306"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56" w:lineRule="exact"/>
              <w:ind w:left="124"/>
              <w:rPr>
                <w:sz w:val="21"/>
              </w:rPr>
            </w:pPr>
            <w:r>
              <w:rPr>
                <w:sz w:val="21"/>
              </w:rPr>
              <w:t>功能障碍。神经系统永久性的功能障碍，指疾病确诊 180 天后，仍遗留下列一</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种或一种以上障碍：</w:t>
            </w:r>
          </w:p>
        </w:tc>
      </w:tr>
      <w:tr>
        <w:trPr>
          <w:trHeight w:val="311"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（1）一肢或一肢以上肢体机能完全丧失；</w:t>
            </w:r>
          </w:p>
        </w:tc>
      </w:tr>
      <w:tr>
        <w:trPr>
          <w:trHeight w:val="308"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61" w:lineRule="exact"/>
              <w:ind w:left="124"/>
              <w:rPr>
                <w:sz w:val="21"/>
              </w:rPr>
            </w:pPr>
            <w:r>
              <w:rPr>
                <w:sz w:val="21"/>
              </w:rPr>
              <w:t>（2）语言能力或咀嚼吞咽能力完全丧失；</w:t>
            </w:r>
          </w:p>
        </w:tc>
      </w:tr>
      <w:tr>
        <w:trPr>
          <w:trHeight w:val="323"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80" w:lineRule="exact"/>
              <w:ind w:left="124"/>
              <w:rPr>
                <w:sz w:val="21"/>
              </w:rPr>
            </w:pPr>
            <w:r>
              <w:rPr>
                <w:sz w:val="21"/>
              </w:rPr>
              <w:t>（</w:t>
            </w:r>
            <w:r>
              <w:rPr>
                <w:rFonts w:ascii="Times New Roman" w:eastAsia="Times New Roman"/>
                <w:sz w:val="21"/>
              </w:rPr>
              <w:t>3</w:t>
            </w:r>
            <w:r>
              <w:rPr>
                <w:sz w:val="21"/>
              </w:rPr>
              <w:t>）自主生活能力完全丧失，无法独立完成六项基本日常生活活动中的三项或</w:t>
            </w:r>
          </w:p>
        </w:tc>
      </w:tr>
      <w:tr>
        <w:trPr>
          <w:trHeight w:val="415"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53" w:lineRule="exact"/>
              <w:ind w:left="124"/>
              <w:rPr>
                <w:sz w:val="21"/>
              </w:rPr>
            </w:pPr>
            <w:r>
              <w:rPr>
                <w:sz w:val="21"/>
              </w:rPr>
              <w:t>三项以上。</w:t>
            </w:r>
          </w:p>
        </w:tc>
      </w:tr>
      <w:tr>
        <w:trPr>
          <w:trHeight w:val="427" w:hRule="atLeast"/>
        </w:trPr>
        <w:tc>
          <w:tcPr>
            <w:tcW w:w="630" w:type="dxa"/>
          </w:tcPr>
          <w:p>
            <w:pPr>
              <w:pStyle w:val="TableParagraph"/>
              <w:rPr>
                <w:rFonts w:ascii="Times New Roman"/>
                <w:sz w:val="20"/>
              </w:rPr>
            </w:pPr>
          </w:p>
        </w:tc>
        <w:tc>
          <w:tcPr>
            <w:tcW w:w="2082" w:type="dxa"/>
          </w:tcPr>
          <w:p>
            <w:pPr>
              <w:pStyle w:val="TableParagraph"/>
              <w:spacing w:before="18"/>
              <w:ind w:left="155"/>
              <w:rPr>
                <w:rFonts w:ascii="Microsoft JhengHei" w:eastAsia="Microsoft JhengHei" w:hint="eastAsia"/>
                <w:b/>
                <w:sz w:val="21"/>
              </w:rPr>
            </w:pPr>
            <w:r>
              <w:rPr>
                <w:rFonts w:ascii="Microsoft JhengHei" w:eastAsia="Microsoft JhengHei" w:hint="eastAsia"/>
                <w:b/>
                <w:w w:val="95"/>
                <w:sz w:val="21"/>
              </w:rPr>
              <w:t>4、重大器官移植术</w:t>
            </w:r>
          </w:p>
        </w:tc>
        <w:tc>
          <w:tcPr>
            <w:tcW w:w="7489" w:type="dxa"/>
          </w:tcPr>
          <w:p>
            <w:pPr>
              <w:pStyle w:val="TableParagraph"/>
              <w:spacing w:before="101"/>
              <w:ind w:left="124"/>
              <w:rPr>
                <w:sz w:val="21"/>
              </w:rPr>
            </w:pPr>
            <w:r>
              <w:rPr>
                <w:sz w:val="21"/>
              </w:rPr>
              <w:t>重大器官移植术，指因相应器官功能衰竭，已经实施了肾脏、肝脏、心脏或肺</w:t>
            </w:r>
          </w:p>
        </w:tc>
      </w:tr>
      <w:tr>
        <w:trPr>
          <w:trHeight w:val="311" w:hRule="atLeast"/>
        </w:trPr>
        <w:tc>
          <w:tcPr>
            <w:tcW w:w="630" w:type="dxa"/>
          </w:tcPr>
          <w:p>
            <w:pPr>
              <w:pStyle w:val="TableParagraph"/>
              <w:rPr>
                <w:rFonts w:ascii="Times New Roman"/>
                <w:sz w:val="20"/>
              </w:rPr>
            </w:pPr>
          </w:p>
        </w:tc>
        <w:tc>
          <w:tcPr>
            <w:tcW w:w="2082" w:type="dxa"/>
          </w:tcPr>
          <w:p>
            <w:pPr>
              <w:pStyle w:val="TableParagraph"/>
              <w:spacing w:line="269" w:lineRule="exact"/>
              <w:ind w:left="155"/>
              <w:rPr>
                <w:rFonts w:ascii="Microsoft JhengHei" w:eastAsia="Microsoft JhengHei" w:hint="eastAsia"/>
                <w:b/>
                <w:sz w:val="21"/>
              </w:rPr>
            </w:pPr>
            <w:r>
              <w:rPr>
                <w:rFonts w:ascii="Microsoft JhengHei" w:eastAsia="Microsoft JhengHei" w:hint="eastAsia"/>
                <w:b/>
                <w:sz w:val="21"/>
              </w:rPr>
              <w:t>或造血干细胞移植</w:t>
            </w:r>
          </w:p>
        </w:tc>
        <w:tc>
          <w:tcPr>
            <w:tcW w:w="7489" w:type="dxa"/>
          </w:tcPr>
          <w:p>
            <w:pPr>
              <w:pStyle w:val="TableParagraph"/>
              <w:spacing w:line="262" w:lineRule="exact"/>
              <w:ind w:left="124"/>
              <w:rPr>
                <w:sz w:val="21"/>
              </w:rPr>
            </w:pPr>
            <w:r>
              <w:rPr>
                <w:sz w:val="21"/>
              </w:rPr>
              <w:t>脏的异体移植手术。</w:t>
            </w:r>
          </w:p>
        </w:tc>
      </w:tr>
      <w:tr>
        <w:trPr>
          <w:trHeight w:val="314" w:hRule="atLeast"/>
        </w:trPr>
        <w:tc>
          <w:tcPr>
            <w:tcW w:w="630" w:type="dxa"/>
          </w:tcPr>
          <w:p>
            <w:pPr>
              <w:pStyle w:val="TableParagraph"/>
              <w:rPr>
                <w:rFonts w:ascii="Times New Roman"/>
                <w:sz w:val="20"/>
              </w:rPr>
            </w:pPr>
          </w:p>
        </w:tc>
        <w:tc>
          <w:tcPr>
            <w:tcW w:w="2082" w:type="dxa"/>
          </w:tcPr>
          <w:p>
            <w:pPr>
              <w:pStyle w:val="TableParagraph"/>
              <w:spacing w:line="269" w:lineRule="exact"/>
              <w:ind w:left="155"/>
              <w:rPr>
                <w:rFonts w:ascii="Microsoft JhengHei" w:eastAsia="Microsoft JhengHei" w:hint="eastAsia"/>
                <w:b/>
                <w:sz w:val="21"/>
              </w:rPr>
            </w:pPr>
            <w:r>
              <w:rPr>
                <w:rFonts w:ascii="Microsoft JhengHei" w:eastAsia="Microsoft JhengHei" w:hint="eastAsia"/>
                <w:b/>
                <w:sz w:val="21"/>
              </w:rPr>
              <w:t>术</w:t>
            </w:r>
          </w:p>
        </w:tc>
        <w:tc>
          <w:tcPr>
            <w:tcW w:w="7489" w:type="dxa"/>
          </w:tcPr>
          <w:p>
            <w:pPr>
              <w:pStyle w:val="TableParagraph"/>
              <w:spacing w:line="262" w:lineRule="exact"/>
              <w:ind w:left="124"/>
              <w:rPr>
                <w:sz w:val="21"/>
              </w:rPr>
            </w:pPr>
            <w:r>
              <w:rPr>
                <w:sz w:val="21"/>
              </w:rPr>
              <w:t>造血干细胞移植术，指因造血功能损害或造血系统恶性肿瘤，已经实施了造血</w:t>
            </w:r>
          </w:p>
        </w:tc>
      </w:tr>
      <w:tr>
        <w:trPr>
          <w:trHeight w:val="310" w:hRule="atLeast"/>
        </w:trPr>
        <w:tc>
          <w:tcPr>
            <w:tcW w:w="630" w:type="dxa"/>
          </w:tcPr>
          <w:p>
            <w:pPr>
              <w:pStyle w:val="TableParagraph"/>
              <w:rPr>
                <w:rFonts w:ascii="Times New Roman"/>
                <w:sz w:val="20"/>
              </w:rPr>
            </w:pPr>
          </w:p>
        </w:tc>
        <w:tc>
          <w:tcPr>
            <w:tcW w:w="2082" w:type="dxa"/>
          </w:tcPr>
          <w:p>
            <w:pPr>
              <w:pStyle w:val="TableParagraph"/>
              <w:rPr>
                <w:rFonts w:ascii="Times New Roman"/>
                <w:sz w:val="20"/>
              </w:rPr>
            </w:pPr>
          </w:p>
        </w:tc>
        <w:tc>
          <w:tcPr>
            <w:tcW w:w="7489" w:type="dxa"/>
          </w:tcPr>
          <w:p>
            <w:pPr>
              <w:pStyle w:val="TableParagraph"/>
              <w:spacing w:line="259" w:lineRule="exact"/>
              <w:ind w:left="124"/>
              <w:rPr>
                <w:sz w:val="21"/>
              </w:rPr>
            </w:pPr>
            <w:r>
              <w:rPr>
                <w:sz w:val="21"/>
              </w:rPr>
              <w:t>干细胞（包括骨髓造血干细胞、外周造血干细胞和脐血造血干细胞）的异体移</w:t>
            </w:r>
          </w:p>
        </w:tc>
      </w:tr>
      <w:tr>
        <w:trPr>
          <w:trHeight w:val="260" w:hRule="atLeast"/>
        </w:trPr>
        <w:tc>
          <w:tcPr>
            <w:tcW w:w="630" w:type="dxa"/>
          </w:tcPr>
          <w:p>
            <w:pPr>
              <w:pStyle w:val="TableParagraph"/>
              <w:rPr>
                <w:rFonts w:ascii="Times New Roman"/>
                <w:sz w:val="18"/>
              </w:rPr>
            </w:pPr>
          </w:p>
        </w:tc>
        <w:tc>
          <w:tcPr>
            <w:tcW w:w="2082" w:type="dxa"/>
          </w:tcPr>
          <w:p>
            <w:pPr>
              <w:pStyle w:val="TableParagraph"/>
              <w:rPr>
                <w:rFonts w:ascii="Times New Roman"/>
                <w:sz w:val="18"/>
              </w:rPr>
            </w:pPr>
          </w:p>
        </w:tc>
        <w:tc>
          <w:tcPr>
            <w:tcW w:w="7489" w:type="dxa"/>
          </w:tcPr>
          <w:p>
            <w:pPr>
              <w:pStyle w:val="TableParagraph"/>
              <w:spacing w:line="241" w:lineRule="exact"/>
              <w:ind w:left="124"/>
              <w:rPr>
                <w:sz w:val="21"/>
              </w:rPr>
            </w:pPr>
            <w:r>
              <w:rPr>
                <w:sz w:val="21"/>
              </w:rPr>
              <w:t>植手术。</w:t>
            </w:r>
          </w:p>
        </w:tc>
      </w:tr>
    </w:tbl>
    <w:p>
      <w:pPr>
        <w:spacing w:after="0" w:line="241" w:lineRule="exact"/>
        <w:rPr>
          <w:sz w:val="21"/>
        </w:rPr>
        <w:sectPr>
          <w:pgSz w:w="11910" w:h="16840"/>
          <w:pgMar w:header="0" w:footer="442" w:top="1160" w:bottom="640" w:left="800" w:right="680"/>
        </w:sectPr>
      </w:pPr>
    </w:p>
    <w:p>
      <w:pPr>
        <w:pStyle w:val="BodyText"/>
        <w:tabs>
          <w:tab w:pos="2166" w:val="left" w:leader="none"/>
        </w:tabs>
        <w:spacing w:line="312" w:lineRule="exact" w:before="14"/>
        <w:ind w:left="2166" w:right="112" w:hanging="2051"/>
      </w:pPr>
      <w:r>
        <w:rPr>
          <w:rFonts w:ascii="Microsoft JhengHei" w:eastAsia="Microsoft JhengHei" w:hint="eastAsia"/>
          <w:b/>
          <w:position w:val="2"/>
        </w:rPr>
        <w:t>5、冠状动脉搭桥术</w:t>
        <w:tab/>
      </w:r>
      <w:r>
        <w:rPr/>
        <w:t>指为治疗严重的冠心病</w:t>
      </w:r>
      <w:r>
        <w:rPr>
          <w:spacing w:val="-47"/>
        </w:rPr>
        <w:t>，</w:t>
      </w:r>
      <w:r>
        <w:rPr/>
        <w:t>实际实施了开胸进行的冠状动脉血管旁路移植的手术。冠状动脉支架植入手术、心导管球囊扩张术、激光射频技术及其他非开胸的介入手术、腔镜手术不在保障范围内。</w:t>
      </w:r>
    </w:p>
    <w:p>
      <w:pPr>
        <w:pStyle w:val="BodyText"/>
        <w:tabs>
          <w:tab w:pos="2166" w:val="left" w:leader="none"/>
        </w:tabs>
        <w:spacing w:line="261" w:lineRule="auto" w:before="149"/>
        <w:ind w:left="2166" w:right="219" w:hanging="2051"/>
      </w:pPr>
      <w:r>
        <w:rPr>
          <w:rFonts w:ascii="Microsoft JhengHei" w:eastAsia="Microsoft JhengHei" w:hint="eastAsia"/>
          <w:b/>
          <w:position w:val="2"/>
        </w:rPr>
        <w:t>6、终末期肾病</w:t>
        <w:tab/>
      </w:r>
      <w:r>
        <w:rPr/>
        <w:t>指双肾功能慢性不可逆性衰竭</w:t>
      </w:r>
      <w:r>
        <w:rPr>
          <w:spacing w:val="-25"/>
        </w:rPr>
        <w:t>，</w:t>
      </w:r>
      <w:r>
        <w:rPr/>
        <w:t>达到尿毒症期</w:t>
      </w:r>
      <w:r>
        <w:rPr>
          <w:spacing w:val="-25"/>
        </w:rPr>
        <w:t>，</w:t>
      </w:r>
      <w:r>
        <w:rPr/>
        <w:t>经诊断后已经进行了至少</w:t>
      </w:r>
      <w:r>
        <w:rPr>
          <w:spacing w:val="-68"/>
        </w:rPr>
        <w:t> </w:t>
      </w:r>
      <w:r>
        <w:rPr/>
        <w:t>90</w:t>
      </w:r>
      <w:r>
        <w:rPr>
          <w:spacing w:val="-68"/>
        </w:rPr>
        <w:t> </w:t>
      </w:r>
      <w:r>
        <w:rPr/>
        <w:t>天的规律性透析治疗或实施了肾脏移植手术。</w:t>
      </w:r>
    </w:p>
    <w:p>
      <w:pPr>
        <w:pStyle w:val="BodyText"/>
        <w:tabs>
          <w:tab w:pos="2166" w:val="left" w:leader="none"/>
        </w:tabs>
        <w:spacing w:line="261" w:lineRule="auto" w:before="157"/>
        <w:ind w:left="2166" w:right="275" w:hanging="2051"/>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8"/>
        <w:rPr>
          <w:sz w:val="15"/>
        </w:rPr>
      </w:pPr>
    </w:p>
    <w:p>
      <w:pPr>
        <w:spacing w:after="0"/>
        <w:rPr>
          <w:sz w:val="15"/>
        </w:rPr>
        <w:sectPr>
          <w:pgSz w:w="11910" w:h="16840"/>
          <w:pgMar w:header="0" w:footer="442" w:top="1100" w:bottom="640" w:left="1580" w:right="740"/>
        </w:sectPr>
      </w:pPr>
    </w:p>
    <w:p>
      <w:pPr>
        <w:pStyle w:val="Heading4"/>
        <w:spacing w:line="204" w:lineRule="auto" w:before="11"/>
      </w:pPr>
      <w:r>
        <w:rPr>
          <w:w w:val="95"/>
        </w:rPr>
        <w:t>8、急性或亚急性重</w:t>
      </w:r>
      <w:r>
        <w:rPr/>
        <w:t>症肝炎</w:t>
      </w:r>
    </w:p>
    <w:p>
      <w:pPr>
        <w:pStyle w:val="BodyText"/>
        <w:spacing w:line="273" w:lineRule="auto" w:before="40"/>
        <w:ind w:left="115" w:right="220"/>
      </w:pPr>
      <w:r>
        <w:rPr/>
        <w:br w:type="column"/>
      </w:r>
      <w:r>
        <w:rPr/>
        <w:t>指因肝炎病毒感染引起肝组织弥漫性坏死，导致急性肝功能衰竭，且经血清学或病毒学检查证实，并须满足下列全部条件：</w:t>
      </w:r>
    </w:p>
    <w:p>
      <w:pPr>
        <w:pStyle w:val="BodyText"/>
        <w:spacing w:before="7"/>
        <w:ind w:left="115"/>
      </w:pPr>
      <w:r>
        <w:rPr/>
        <w:t>（1）重度黄疸或黄疸迅速加重；</w:t>
      </w:r>
    </w:p>
    <w:p>
      <w:pPr>
        <w:pStyle w:val="BodyText"/>
        <w:spacing w:before="36"/>
        <w:ind w:left="115"/>
      </w:pPr>
      <w:r>
        <w:rPr/>
        <w:t>（2）肝性脑病；</w:t>
      </w:r>
    </w:p>
    <w:p>
      <w:pPr>
        <w:pStyle w:val="BodyText"/>
        <w:spacing w:before="36"/>
        <w:ind w:left="115"/>
      </w:pPr>
      <w:r>
        <w:rPr/>
        <w:t>（3）B 超或其他影像学检查显示肝脏体积急速萎缩；</w:t>
      </w:r>
    </w:p>
    <w:p>
      <w:pPr>
        <w:pStyle w:val="BodyText"/>
        <w:spacing w:before="36"/>
        <w:ind w:left="115"/>
      </w:pPr>
      <w:r>
        <w:rPr/>
        <w:t>（</w:t>
      </w:r>
      <w:r>
        <w:rPr>
          <w:rFonts w:ascii="Times New Roman" w:eastAsia="Times New Roman"/>
        </w:rPr>
        <w:t>4</w:t>
      </w:r>
      <w:r>
        <w:rPr/>
        <w:t>）肝功能指标进行性恶化。</w:t>
      </w:r>
    </w:p>
    <w:p>
      <w:pPr>
        <w:spacing w:after="0"/>
        <w:sectPr>
          <w:type w:val="continuous"/>
          <w:pgSz w:w="11910" w:h="16840"/>
          <w:pgMar w:top="220" w:bottom="280" w:left="1580" w:right="740"/>
          <w:cols w:num="2" w:equalWidth="0">
            <w:col w:w="1918" w:space="132"/>
            <w:col w:w="7540"/>
          </w:cols>
        </w:sectPr>
      </w:pPr>
    </w:p>
    <w:p>
      <w:pPr>
        <w:pStyle w:val="BodyText"/>
        <w:spacing w:before="4"/>
        <w:rPr>
          <w:sz w:val="16"/>
        </w:rPr>
      </w:pPr>
    </w:p>
    <w:p>
      <w:pPr>
        <w:pStyle w:val="BodyText"/>
        <w:tabs>
          <w:tab w:pos="2166" w:val="left" w:leader="none"/>
        </w:tabs>
        <w:spacing w:line="312" w:lineRule="exact" w:before="36"/>
        <w:ind w:left="2166" w:right="216" w:hanging="2051"/>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0"/>
        </w:rPr>
        <w:t>、</w:t>
      </w:r>
      <w:r>
        <w:rPr/>
        <w:t>癫痫及运动感觉障碍等</w:t>
      </w:r>
      <w:r>
        <w:rPr>
          <w:spacing w:val="-10"/>
        </w:rPr>
        <w:t>，</w:t>
      </w:r>
      <w:r>
        <w:rPr/>
        <w:t>并危及生命</w:t>
      </w:r>
      <w:r>
        <w:rPr>
          <w:spacing w:val="-10"/>
        </w:rPr>
        <w:t>。</w:t>
      </w:r>
      <w:r>
        <w:rPr/>
        <w:t>须由头颅断层扫</w:t>
      </w:r>
      <w:r>
        <w:rPr>
          <w:spacing w:val="-10"/>
        </w:rPr>
        <w:t>描</w:t>
      </w:r>
      <w:r>
        <w:rPr/>
        <w:t>（CT</w:t>
      </w:r>
      <w:r>
        <w:rPr>
          <w:spacing w:val="-105"/>
        </w:rPr>
        <w:t>）</w:t>
      </w:r>
      <w:r>
        <w:rPr>
          <w:spacing w:val="-11"/>
        </w:rPr>
        <w:t>、</w:t>
      </w:r>
      <w:r>
        <w:rPr/>
        <w:t>核磁共振检查（MRI）或正电子发射断层扫描（PET）等影像学检查证实，并须满足下列至少一项条件：</w:t>
      </w:r>
    </w:p>
    <w:p>
      <w:pPr>
        <w:pStyle w:val="BodyText"/>
        <w:spacing w:before="4"/>
        <w:ind w:left="2166"/>
      </w:pPr>
      <w:r>
        <w:rPr/>
        <w:t>（1）实际实施了开颅进行的脑肿瘤完全切除或部分切除的手术；</w:t>
      </w:r>
    </w:p>
    <w:p>
      <w:pPr>
        <w:pStyle w:val="BodyText"/>
        <w:ind w:left="2166"/>
      </w:pPr>
      <w:r>
        <w:rPr/>
        <w:t>（2）实际实施了对脑肿瘤进行的放射治疗。</w:t>
      </w:r>
    </w:p>
    <w:p>
      <w:pPr>
        <w:pStyle w:val="BodyText"/>
        <w:ind w:left="2166"/>
      </w:pPr>
      <w:r>
        <w:rPr/>
        <w:t>脑垂体瘤、脑囊肿、脑血管性疾病不在保障范围内。</w:t>
      </w:r>
    </w:p>
    <w:p>
      <w:pPr>
        <w:pStyle w:val="BodyText"/>
        <w:spacing w:before="1"/>
        <w:rPr>
          <w:sz w:val="17"/>
        </w:rPr>
      </w:pPr>
    </w:p>
    <w:p>
      <w:pPr>
        <w:spacing w:after="0"/>
        <w:rPr>
          <w:sz w:val="17"/>
        </w:rPr>
        <w:sectPr>
          <w:type w:val="continuous"/>
          <w:pgSz w:w="11910" w:h="16840"/>
          <w:pgMar w:top="220" w:bottom="280" w:left="1580" w:right="740"/>
        </w:sectPr>
      </w:pPr>
    </w:p>
    <w:p>
      <w:pPr>
        <w:pStyle w:val="Heading4"/>
        <w:spacing w:line="204" w:lineRule="auto" w:before="11"/>
      </w:pPr>
      <w:r>
        <w:rPr>
          <w:w w:val="95"/>
        </w:rPr>
        <w:t>10、慢性肝功能衰竭</w:t>
      </w:r>
      <w:r>
        <w:rPr/>
        <w:t>失代偿期</w:t>
      </w:r>
    </w:p>
    <w:p>
      <w:pPr>
        <w:pStyle w:val="BodyText"/>
        <w:spacing w:before="40"/>
        <w:ind w:left="115"/>
      </w:pPr>
      <w:r>
        <w:rPr/>
        <w:br w:type="column"/>
      </w:r>
      <w:r>
        <w:rPr/>
        <w:t>指因慢性肝脏疾病导致肝功能衰竭，须满足下列全部条件：</w:t>
      </w:r>
    </w:p>
    <w:p>
      <w:pPr>
        <w:pStyle w:val="BodyText"/>
        <w:ind w:left="115"/>
      </w:pPr>
      <w:r>
        <w:rPr/>
        <w:t>（1）持续性黄疸；</w:t>
      </w:r>
    </w:p>
    <w:p>
      <w:pPr>
        <w:pStyle w:val="BodyText"/>
        <w:ind w:left="115"/>
      </w:pPr>
      <w:r>
        <w:rPr/>
        <w:t>（2）腹水；</w:t>
      </w:r>
    </w:p>
    <w:p>
      <w:pPr>
        <w:pStyle w:val="BodyText"/>
        <w:ind w:left="115"/>
      </w:pPr>
      <w:r>
        <w:rPr/>
        <w:t>（3）肝性脑病；</w:t>
      </w:r>
    </w:p>
    <w:p>
      <w:pPr>
        <w:pStyle w:val="BodyText"/>
        <w:spacing w:line="273" w:lineRule="auto"/>
        <w:ind w:left="115" w:right="2271"/>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580" w:right="740"/>
          <w:cols w:num="2" w:equalWidth="0">
            <w:col w:w="1952" w:space="99"/>
            <w:col w:w="7539"/>
          </w:cols>
        </w:sectPr>
      </w:pPr>
    </w:p>
    <w:p>
      <w:pPr>
        <w:pStyle w:val="BodyText"/>
        <w:spacing w:before="1"/>
        <w:rPr>
          <w:sz w:val="16"/>
        </w:rPr>
      </w:pPr>
    </w:p>
    <w:p>
      <w:pPr>
        <w:spacing w:after="0"/>
        <w:rPr>
          <w:sz w:val="16"/>
        </w:rPr>
        <w:sectPr>
          <w:type w:val="continuous"/>
          <w:pgSz w:w="11910" w:h="16840"/>
          <w:pgMar w:top="220" w:bottom="280" w:left="1580" w:right="740"/>
        </w:sectPr>
      </w:pPr>
    </w:p>
    <w:p>
      <w:pPr>
        <w:pStyle w:val="Heading4"/>
        <w:spacing w:line="204" w:lineRule="auto" w:before="11"/>
      </w:pPr>
      <w:r>
        <w:rPr>
          <w:w w:val="95"/>
        </w:rPr>
        <w:t>11、脑炎后遗症或脑</w:t>
      </w:r>
      <w:r>
        <w:rPr/>
        <w:t>膜炎后遗症</w:t>
      </w:r>
    </w:p>
    <w:p>
      <w:pPr>
        <w:pStyle w:val="BodyText"/>
        <w:spacing w:line="273" w:lineRule="auto" w:before="39"/>
        <w:ind w:left="115" w:right="220"/>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15"/>
      </w:pPr>
      <w:r>
        <w:rPr/>
        <w:t>（1）一肢或一肢以上肢体机能完全丧失；</w:t>
      </w:r>
    </w:p>
    <w:p>
      <w:pPr>
        <w:pStyle w:val="BodyText"/>
        <w:ind w:left="115"/>
      </w:pPr>
      <w:r>
        <w:rPr/>
        <w:t>（2）语言能力或咀嚼吞咽能力完全丧失；</w:t>
      </w:r>
    </w:p>
    <w:p>
      <w:pPr>
        <w:pStyle w:val="BodyText"/>
        <w:spacing w:line="256" w:lineRule="auto"/>
        <w:ind w:left="115" w:right="158"/>
      </w:pPr>
      <w:r>
        <w:rPr/>
        <w:t>（</w:t>
      </w:r>
      <w:r>
        <w:rPr>
          <w:rFonts w:ascii="Times New Roman" w:eastAsia="Times New Roman"/>
        </w:rPr>
        <w:t>3</w:t>
      </w:r>
      <w:r>
        <w:rPr/>
        <w:t>）自主生活能力完全丧失，无法独立完成六项基本日常生活活动中的三项或三项以上。</w:t>
      </w:r>
    </w:p>
    <w:p>
      <w:pPr>
        <w:spacing w:after="0" w:line="256" w:lineRule="auto"/>
        <w:sectPr>
          <w:type w:val="continuous"/>
          <w:pgSz w:w="11910" w:h="16840"/>
          <w:pgMar w:top="220" w:bottom="280" w:left="1580" w:right="740"/>
          <w:cols w:num="2" w:equalWidth="0">
            <w:col w:w="1952" w:space="98"/>
            <w:col w:w="7540"/>
          </w:cols>
        </w:sectPr>
      </w:pPr>
    </w:p>
    <w:p>
      <w:pPr>
        <w:pStyle w:val="BodyText"/>
        <w:spacing w:before="0"/>
        <w:rPr>
          <w:sz w:val="16"/>
        </w:rPr>
      </w:pPr>
    </w:p>
    <w:p>
      <w:pPr>
        <w:spacing w:after="0"/>
        <w:rPr>
          <w:sz w:val="16"/>
        </w:rPr>
        <w:sectPr>
          <w:type w:val="continuous"/>
          <w:pgSz w:w="11910" w:h="16840"/>
          <w:pgMar w:top="220" w:bottom="280" w:left="1580" w:right="740"/>
        </w:sectPr>
      </w:pPr>
    </w:p>
    <w:p>
      <w:pPr>
        <w:pStyle w:val="Heading4"/>
        <w:spacing w:line="204" w:lineRule="auto" w:before="11"/>
      </w:pPr>
      <w:r>
        <w:rPr>
          <w:w w:val="95"/>
        </w:rPr>
        <w:t>12、双耳失聪－三周</w:t>
      </w:r>
      <w:r>
        <w:rPr/>
        <w:t>岁始理赔</w:t>
      </w:r>
    </w:p>
    <w:p>
      <w:pPr>
        <w:pStyle w:val="BodyText"/>
        <w:spacing w:line="273" w:lineRule="auto" w:before="39"/>
        <w:ind w:left="115" w:right="216"/>
        <w:jc w:val="both"/>
      </w:pPr>
      <w:r>
        <w:rPr/>
        <w:br w:type="column"/>
      </w:r>
      <w:r>
        <w:rPr>
          <w:spacing w:val="-2"/>
        </w:rPr>
        <w:t>指因疾病或意外伤害导致双耳听力永久不可逆性丧失，在 </w:t>
      </w:r>
      <w:r>
        <w:rPr/>
        <w:t>500</w:t>
      </w:r>
      <w:r>
        <w:rPr>
          <w:spacing w:val="-14"/>
        </w:rPr>
        <w:t> 赫兹、</w:t>
      </w:r>
      <w:r>
        <w:rPr/>
        <w:t>1000</w:t>
      </w:r>
      <w:r>
        <w:rPr>
          <w:spacing w:val="-18"/>
        </w:rPr>
        <w:t> 赫兹</w:t>
      </w:r>
      <w:r>
        <w:rPr>
          <w:spacing w:val="-29"/>
        </w:rPr>
        <w:t>和 </w:t>
      </w:r>
      <w:r>
        <w:rPr/>
        <w:t>2000</w:t>
      </w:r>
      <w:r>
        <w:rPr>
          <w:spacing w:val="-9"/>
        </w:rPr>
        <w:t> 赫兹语音频率下，平均听阈大于 </w:t>
      </w:r>
      <w:r>
        <w:rPr/>
        <w:t>90</w:t>
      </w:r>
      <w:r>
        <w:rPr>
          <w:spacing w:val="-7"/>
        </w:rPr>
        <w:t> 分贝，且经纯音听力测试、声导抗检测或听觉诱发电位检测等证实。</w:t>
      </w:r>
    </w:p>
    <w:p>
      <w:pPr>
        <w:pStyle w:val="BodyText"/>
        <w:spacing w:line="273" w:lineRule="auto" w:before="7"/>
        <w:ind w:left="115" w:right="275"/>
        <w:jc w:val="both"/>
      </w:pPr>
      <w:r>
        <w:rPr/>
        <w:t>被保险人申请理赔时年龄必须在三周岁以上，并且提供理赔当时的听力丧失诊断及检查证据。</w:t>
      </w:r>
    </w:p>
    <w:p>
      <w:pPr>
        <w:spacing w:after="0" w:line="273" w:lineRule="auto"/>
        <w:jc w:val="both"/>
        <w:sectPr>
          <w:type w:val="continuous"/>
          <w:pgSz w:w="11910" w:h="16840"/>
          <w:pgMar w:top="220" w:bottom="280" w:left="1580" w:right="740"/>
          <w:cols w:num="2" w:equalWidth="0">
            <w:col w:w="1952" w:space="99"/>
            <w:col w:w="7539"/>
          </w:cols>
        </w:sectPr>
      </w:pPr>
    </w:p>
    <w:p>
      <w:pPr>
        <w:pStyle w:val="Heading4"/>
        <w:spacing w:line="204" w:lineRule="auto"/>
      </w:pPr>
      <w:r>
        <w:rPr>
          <w:w w:val="95"/>
        </w:rPr>
        <w:t>13、双目失明－三周</w:t>
      </w:r>
      <w:r>
        <w:rPr/>
        <w:t>岁始理赔</w:t>
      </w:r>
    </w:p>
    <w:p>
      <w:pPr>
        <w:pStyle w:val="BodyText"/>
        <w:spacing w:line="273" w:lineRule="auto" w:before="19"/>
        <w:ind w:left="115" w:right="220"/>
      </w:pPr>
      <w:r>
        <w:rPr/>
        <w:br w:type="column"/>
      </w:r>
      <w:r>
        <w:rPr/>
        <w:t>指因疾病或意外伤害导致双眼视力永久不可逆性丧失，双眼中较好眼须满足下列至少一项条件：</w:t>
      </w:r>
    </w:p>
    <w:p>
      <w:pPr>
        <w:pStyle w:val="BodyText"/>
        <w:spacing w:before="7"/>
        <w:ind w:left="115"/>
      </w:pPr>
      <w:r>
        <w:rPr/>
        <w:t>（1）眼球缺失或摘除；</w:t>
      </w:r>
    </w:p>
    <w:p>
      <w:pPr>
        <w:pStyle w:val="BodyText"/>
        <w:spacing w:line="273" w:lineRule="auto" w:before="36"/>
        <w:ind w:left="115" w:right="218"/>
      </w:pPr>
      <w:r>
        <w:rPr>
          <w:spacing w:val="-12"/>
        </w:rPr>
        <w:t>（2）</w:t>
      </w:r>
      <w:r>
        <w:rPr>
          <w:spacing w:val="-8"/>
        </w:rPr>
        <w:t>矫正视力低于 </w:t>
      </w:r>
      <w:r>
        <w:rPr>
          <w:spacing w:val="-7"/>
        </w:rPr>
        <w:t>0.02（</w:t>
      </w:r>
      <w:r>
        <w:rPr>
          <w:spacing w:val="-4"/>
        </w:rPr>
        <w:t>采用国际标准视力表，如果使用其他视力表应进行换算</w:t>
      </w:r>
      <w:r>
        <w:rPr>
          <w:spacing w:val="-105"/>
        </w:rPr>
        <w:t>）</w:t>
      </w:r>
      <w:r>
        <w:rPr/>
        <w:t>；</w:t>
      </w:r>
    </w:p>
    <w:p>
      <w:pPr>
        <w:pStyle w:val="BodyText"/>
        <w:spacing w:before="7"/>
        <w:ind w:left="115"/>
      </w:pPr>
      <w:r>
        <w:rPr/>
        <w:t>（3）视野半径小于 5 度。</w:t>
      </w:r>
    </w:p>
    <w:p>
      <w:pPr>
        <w:pStyle w:val="BodyText"/>
        <w:spacing w:line="273" w:lineRule="auto"/>
        <w:ind w:left="115" w:right="275"/>
      </w:pPr>
      <w:r>
        <w:rPr/>
        <w:t>被保险人申请理赔时年龄必须在三周岁以上，并且提供理赔当时的视力丧失诊断及检查证据。</w:t>
      </w:r>
    </w:p>
    <w:p>
      <w:pPr>
        <w:spacing w:after="0" w:line="273" w:lineRule="auto"/>
        <w:sectPr>
          <w:pgSz w:w="11910" w:h="16840"/>
          <w:pgMar w:header="0" w:footer="442" w:top="1100" w:bottom="640" w:left="1580" w:right="740"/>
          <w:cols w:num="2" w:equalWidth="0">
            <w:col w:w="1952" w:space="98"/>
            <w:col w:w="7540"/>
          </w:cols>
        </w:sectPr>
      </w:pPr>
    </w:p>
    <w:p>
      <w:pPr>
        <w:pStyle w:val="BodyText"/>
        <w:spacing w:before="11"/>
        <w:rPr>
          <w:sz w:val="14"/>
        </w:rPr>
      </w:pPr>
    </w:p>
    <w:p>
      <w:pPr>
        <w:pStyle w:val="BodyText"/>
        <w:tabs>
          <w:tab w:pos="2166" w:val="left" w:leader="none"/>
        </w:tabs>
        <w:spacing w:line="312" w:lineRule="exact" w:before="36"/>
        <w:ind w:left="2166" w:right="275" w:hanging="2051"/>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166" w:val="left" w:leader="none"/>
        </w:tabs>
        <w:spacing w:before="152"/>
        <w:ind w:left="115"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0"/>
        <w:rPr>
          <w:sz w:val="16"/>
        </w:rPr>
      </w:pPr>
    </w:p>
    <w:p>
      <w:pPr>
        <w:spacing w:after="0"/>
        <w:rPr>
          <w:sz w:val="16"/>
        </w:rPr>
        <w:sectPr>
          <w:type w:val="continuous"/>
          <w:pgSz w:w="11910" w:h="16840"/>
          <w:pgMar w:top="220" w:bottom="280" w:left="1580" w:right="740"/>
        </w:sectPr>
      </w:pPr>
    </w:p>
    <w:p>
      <w:pPr>
        <w:pStyle w:val="Heading4"/>
        <w:spacing w:line="204" w:lineRule="auto" w:before="11"/>
      </w:pPr>
      <w:r>
        <w:rPr>
          <w:w w:val="95"/>
        </w:rPr>
        <w:t>16</w:t>
      </w:r>
      <w:r>
        <w:rPr>
          <w:spacing w:val="-8"/>
          <w:w w:val="95"/>
        </w:rPr>
        <w:t>、严重阿尔茨海默</w:t>
      </w:r>
      <w:r>
        <w:rPr>
          <w:spacing w:val="-8"/>
        </w:rPr>
        <w:t>病—限七十周岁前发病</w:t>
      </w:r>
    </w:p>
    <w:p>
      <w:pPr>
        <w:pStyle w:val="BodyText"/>
        <w:spacing w:line="273" w:lineRule="auto" w:before="40"/>
        <w:ind w:left="115" w:right="115"/>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15"/>
      </w:pPr>
      <w:r>
        <w:rPr/>
        <w:t>神经官能症和精神疾病不在保障范围内。</w:t>
      </w:r>
    </w:p>
    <w:p>
      <w:pPr>
        <w:spacing w:after="0"/>
        <w:sectPr>
          <w:type w:val="continuous"/>
          <w:pgSz w:w="11910" w:h="16840"/>
          <w:pgMar w:top="220" w:bottom="280" w:left="1580" w:right="740"/>
          <w:cols w:num="2" w:equalWidth="0">
            <w:col w:w="1952" w:space="99"/>
            <w:col w:w="7539"/>
          </w:cols>
        </w:sectPr>
      </w:pPr>
    </w:p>
    <w:p>
      <w:pPr>
        <w:pStyle w:val="BodyText"/>
        <w:spacing w:before="1"/>
        <w:rPr>
          <w:sz w:val="17"/>
        </w:rPr>
      </w:pPr>
    </w:p>
    <w:p>
      <w:pPr>
        <w:pStyle w:val="BodyText"/>
        <w:tabs>
          <w:tab w:pos="2166" w:val="left" w:leader="none"/>
        </w:tabs>
        <w:spacing w:line="312" w:lineRule="exact" w:before="35"/>
        <w:ind w:left="2166" w:right="219" w:hanging="2051"/>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w:t>
      </w:r>
      <w:r>
        <w:rPr>
          <w:spacing w:val="1"/>
        </w:rPr>
        <w:t>。</w:t>
      </w:r>
      <w:r>
        <w:rPr>
          <w:spacing w:val="0"/>
        </w:rPr>
        <w:t>须</w:t>
      </w:r>
      <w:r>
        <w:rPr>
          <w:spacing w:val="1"/>
        </w:rPr>
        <w:t>由</w:t>
      </w:r>
      <w:r>
        <w:rPr>
          <w:spacing w:val="0"/>
        </w:rPr>
        <w:t>头颅</w:t>
      </w:r>
      <w:r>
        <w:rPr>
          <w:spacing w:val="1"/>
        </w:rPr>
        <w:t>断</w:t>
      </w:r>
      <w:r>
        <w:rPr>
          <w:spacing w:val="0"/>
        </w:rPr>
        <w:t>层</w:t>
      </w:r>
      <w:r>
        <w:rPr>
          <w:spacing w:val="1"/>
        </w:rPr>
        <w:t>扫</w:t>
      </w:r>
      <w:r>
        <w:rPr>
          <w:spacing w:val="0"/>
        </w:rPr>
        <w:t>描（CT</w:t>
      </w:r>
      <w:r>
        <w:rPr>
          <w:spacing w:val="-104"/>
        </w:rPr>
        <w:t>）</w:t>
      </w:r>
      <w:r>
        <w:rPr>
          <w:spacing w:val="0"/>
        </w:rPr>
        <w:t>、</w:t>
      </w:r>
      <w:r>
        <w:rPr>
          <w:spacing w:val="1"/>
        </w:rPr>
        <w:t>核</w:t>
      </w:r>
      <w:r>
        <w:rPr>
          <w:spacing w:val="0"/>
        </w:rPr>
        <w:t>磁共</w:t>
      </w:r>
      <w:r>
        <w:rPr>
          <w:spacing w:val="1"/>
        </w:rPr>
        <w:t>振</w:t>
      </w:r>
      <w:r>
        <w:rPr>
          <w:spacing w:val="0"/>
        </w:rPr>
        <w:t>检</w:t>
      </w:r>
      <w:r>
        <w:rPr>
          <w:spacing w:val="1"/>
        </w:rPr>
        <w:t>查</w:t>
      </w:r>
      <w:r>
        <w:rPr>
          <w:spacing w:val="0"/>
        </w:rPr>
        <w:t>（MRI）或</w:t>
      </w:r>
      <w:r>
        <w:rPr>
          <w:spacing w:val="1"/>
        </w:rPr>
        <w:t>正</w:t>
      </w:r>
      <w:r>
        <w:rPr>
          <w:spacing w:val="0"/>
        </w:rPr>
        <w:t>电子</w:t>
      </w:r>
      <w:r>
        <w:rPr>
          <w:spacing w:val="1"/>
        </w:rPr>
        <w:t>发</w:t>
      </w:r>
      <w:r>
        <w:rPr>
          <w:spacing w:val="0"/>
        </w:rPr>
        <w:t>射</w:t>
      </w:r>
      <w:r>
        <w:rPr>
          <w:spacing w:val="1"/>
        </w:rPr>
        <w:t>断</w:t>
      </w:r>
      <w:r>
        <w:rPr>
          <w:spacing w:val="0"/>
        </w:rPr>
        <w:t>层扫描</w:t>
      </w:r>
    </w:p>
    <w:p>
      <w:pPr>
        <w:pStyle w:val="BodyText"/>
        <w:spacing w:line="273" w:lineRule="auto" w:before="3"/>
        <w:ind w:left="2166" w:right="170"/>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166"/>
      </w:pPr>
      <w:r>
        <w:rPr/>
        <w:t>（1）一肢或一肢以上肢体机能完全丧失；</w:t>
      </w:r>
    </w:p>
    <w:p>
      <w:pPr>
        <w:pStyle w:val="BodyText"/>
        <w:ind w:left="2166"/>
      </w:pPr>
      <w:r>
        <w:rPr/>
        <w:t>（2）语言能力或咀嚼吞咽能力完全丧失；</w:t>
      </w:r>
    </w:p>
    <w:p>
      <w:pPr>
        <w:pStyle w:val="BodyText"/>
        <w:spacing w:line="256" w:lineRule="auto"/>
        <w:ind w:left="2166" w:right="158"/>
      </w:pPr>
      <w:r>
        <w:rPr/>
        <w:t>（</w:t>
      </w:r>
      <w:r>
        <w:rPr>
          <w:rFonts w:ascii="Times New Roman" w:eastAsia="Times New Roman"/>
        </w:rPr>
        <w:t>3</w:t>
      </w:r>
      <w:r>
        <w:rPr/>
        <w:t>）自主生活能力完全丧失，无法独立完成六项基本日常生活活动中的三项或三项以上。</w:t>
      </w:r>
    </w:p>
    <w:p>
      <w:pPr>
        <w:pStyle w:val="BodyText"/>
        <w:tabs>
          <w:tab w:pos="2166" w:val="left" w:leader="none"/>
        </w:tabs>
        <w:spacing w:line="261" w:lineRule="auto" w:before="162"/>
        <w:ind w:left="2166" w:right="220" w:hanging="2051"/>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8"/>
        <w:ind w:left="2166"/>
      </w:pPr>
      <w:r>
        <w:rPr/>
        <w:t>（1）药物治疗无法控制病情；</w:t>
      </w:r>
    </w:p>
    <w:p>
      <w:pPr>
        <w:pStyle w:val="BodyText"/>
        <w:spacing w:line="273" w:lineRule="auto"/>
        <w:ind w:left="2166" w:right="158"/>
      </w:pPr>
      <w:r>
        <w:rPr/>
        <w:t>（2）自主生活能力完全丧失，无法独立完成六项基本日常生活活动中的三项或三项以上。</w:t>
      </w:r>
    </w:p>
    <w:p>
      <w:pPr>
        <w:pStyle w:val="BodyText"/>
        <w:spacing w:before="7"/>
        <w:ind w:left="2166"/>
      </w:pPr>
      <w:r>
        <w:rPr/>
        <w:t>继发性帕金森综合征不在保障范围内。</w:t>
      </w:r>
    </w:p>
    <w:p>
      <w:pPr>
        <w:tabs>
          <w:tab w:pos="2166" w:val="left" w:leader="none"/>
        </w:tabs>
        <w:spacing w:line="261" w:lineRule="auto" w:before="178"/>
        <w:ind w:left="2166" w:right="219" w:hanging="2051"/>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5"/>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5"/>
          <w:sz w:val="21"/>
        </w:rPr>
        <w:t>。</w:t>
      </w:r>
      <w:r>
        <w:rPr>
          <w:sz w:val="21"/>
        </w:rPr>
        <w:t>体表面积根据《中国新九分法》计算。</w:t>
      </w:r>
    </w:p>
    <w:p>
      <w:pPr>
        <w:pStyle w:val="BodyText"/>
        <w:spacing w:before="9"/>
        <w:rPr>
          <w:sz w:val="15"/>
        </w:rPr>
      </w:pPr>
    </w:p>
    <w:p>
      <w:pPr>
        <w:spacing w:after="0"/>
        <w:rPr>
          <w:sz w:val="15"/>
        </w:rPr>
        <w:sectPr>
          <w:type w:val="continuous"/>
          <w:pgSz w:w="11910" w:h="16840"/>
          <w:pgMar w:top="220" w:bottom="280" w:left="1580" w:right="740"/>
        </w:sectPr>
      </w:pPr>
    </w:p>
    <w:p>
      <w:pPr>
        <w:pStyle w:val="Heading4"/>
        <w:spacing w:line="204" w:lineRule="auto" w:before="11"/>
      </w:pPr>
      <w:r>
        <w:rPr>
          <w:w w:val="95"/>
        </w:rPr>
        <w:t>20、严重原发性肺动</w:t>
      </w:r>
      <w:r>
        <w:rPr/>
        <w:t>脉高压</w:t>
      </w:r>
    </w:p>
    <w:p>
      <w:pPr>
        <w:pStyle w:val="BodyText"/>
        <w:spacing w:line="273" w:lineRule="auto" w:before="40"/>
        <w:ind w:left="115" w:right="275"/>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级，静息状态下肺动脉平均压超过 30mmHg。</w:t>
      </w:r>
    </w:p>
    <w:p>
      <w:pPr>
        <w:spacing w:after="0" w:line="273" w:lineRule="auto"/>
        <w:jc w:val="both"/>
        <w:sectPr>
          <w:type w:val="continuous"/>
          <w:pgSz w:w="11910" w:h="16840"/>
          <w:pgMar w:top="220" w:bottom="280" w:left="1580" w:right="740"/>
          <w:cols w:num="2" w:equalWidth="0">
            <w:col w:w="1952" w:space="99"/>
            <w:col w:w="7539"/>
          </w:cols>
        </w:sectPr>
      </w:pPr>
    </w:p>
    <w:p>
      <w:pPr>
        <w:pStyle w:val="BodyText"/>
        <w:spacing w:before="12"/>
        <w:rPr>
          <w:sz w:val="13"/>
        </w:rPr>
      </w:pPr>
    </w:p>
    <w:p>
      <w:pPr>
        <w:spacing w:after="0"/>
        <w:rPr>
          <w:sz w:val="13"/>
        </w:rPr>
        <w:sectPr>
          <w:type w:val="continuous"/>
          <w:pgSz w:w="11910" w:h="16840"/>
          <w:pgMar w:top="220" w:bottom="280" w:left="1580" w:right="740"/>
        </w:sectPr>
      </w:pPr>
    </w:p>
    <w:p>
      <w:pPr>
        <w:pStyle w:val="Heading4"/>
        <w:spacing w:line="204" w:lineRule="auto" w:before="10"/>
      </w:pPr>
      <w:r>
        <w:rPr>
          <w:w w:val="95"/>
        </w:rPr>
        <w:t>21、严重运动神经元</w:t>
      </w:r>
      <w:r>
        <w:rPr/>
        <w:t>病</w:t>
      </w:r>
    </w:p>
    <w:p>
      <w:pPr>
        <w:pStyle w:val="BodyText"/>
        <w:spacing w:line="273" w:lineRule="auto" w:before="39"/>
        <w:ind w:left="115" w:right="27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580" w:right="740"/>
          <w:cols w:num="2" w:equalWidth="0">
            <w:col w:w="1952" w:space="99"/>
            <w:col w:w="7539"/>
          </w:cols>
        </w:sectPr>
      </w:pPr>
    </w:p>
    <w:p>
      <w:pPr>
        <w:pStyle w:val="Heading4"/>
        <w:spacing w:line="204" w:lineRule="auto"/>
      </w:pPr>
      <w:r>
        <w:rPr>
          <w:w w:val="95"/>
        </w:rPr>
        <w:t>22、语言能力丧失－ </w:t>
      </w:r>
      <w:r>
        <w:rPr/>
        <w:t>三岁始理赔</w:t>
      </w:r>
    </w:p>
    <w:p>
      <w:pPr>
        <w:pStyle w:val="BodyText"/>
        <w:spacing w:line="273" w:lineRule="auto" w:before="19"/>
        <w:ind w:left="115" w:right="220"/>
      </w:pPr>
      <w:r>
        <w:rPr/>
        <w:br w:type="column"/>
      </w:r>
      <w:r>
        <w:rPr>
          <w:spacing w:val="-5"/>
        </w:rPr>
        <w:t>指因疾病或意外伤害导致完全丧失语言能力，经过积极治疗至少 </w:t>
      </w:r>
      <w:r>
        <w:rPr/>
        <w:t>12</w:t>
      </w:r>
      <w:r>
        <w:rPr>
          <w:spacing w:val="-30"/>
        </w:rPr>
        <w:t> 个月</w:t>
      </w:r>
      <w:r>
        <w:rPr/>
        <w:t>（声带完全切除不受此时间限制</w:t>
      </w:r>
      <w:r>
        <w:rPr>
          <w:spacing w:val="-105"/>
        </w:rPr>
        <w:t>）</w:t>
      </w:r>
      <w:r>
        <w:rPr>
          <w:spacing w:val="-1"/>
        </w:rPr>
        <w:t>，仍无法通过现有医疗手段恢复。</w:t>
      </w:r>
    </w:p>
    <w:p>
      <w:pPr>
        <w:pStyle w:val="BodyText"/>
        <w:spacing w:before="7"/>
        <w:ind w:left="115"/>
      </w:pPr>
      <w:r>
        <w:rPr/>
        <w:t>精神心理因素所致的语言能力丧失不在保障范围内。</w:t>
      </w:r>
    </w:p>
    <w:p>
      <w:pPr>
        <w:pStyle w:val="BodyText"/>
        <w:spacing w:line="273" w:lineRule="auto" w:before="36"/>
        <w:ind w:left="115" w:right="275"/>
      </w:pPr>
      <w:r>
        <w:rPr/>
        <w:t>被保险人申请理赔时年龄必须在三周岁以上，并且提供理赔当时的语言能力丧失诊断及检查证据。</w:t>
      </w:r>
    </w:p>
    <w:p>
      <w:pPr>
        <w:spacing w:after="0" w:line="273" w:lineRule="auto"/>
        <w:sectPr>
          <w:pgSz w:w="11910" w:h="16840"/>
          <w:pgMar w:header="0" w:footer="442" w:top="1100" w:bottom="640" w:left="1580" w:right="740"/>
          <w:cols w:num="2" w:equalWidth="0">
            <w:col w:w="1952" w:space="99"/>
            <w:col w:w="7539"/>
          </w:cols>
        </w:sectPr>
      </w:pPr>
    </w:p>
    <w:p>
      <w:pPr>
        <w:pStyle w:val="BodyText"/>
        <w:spacing w:before="5"/>
        <w:rPr>
          <w:sz w:val="15"/>
        </w:rPr>
      </w:pPr>
    </w:p>
    <w:p>
      <w:pPr>
        <w:spacing w:after="0"/>
        <w:rPr>
          <w:sz w:val="15"/>
        </w:rPr>
        <w:sectPr>
          <w:type w:val="continuous"/>
          <w:pgSz w:w="11910" w:h="16840"/>
          <w:pgMar w:top="220" w:bottom="280" w:left="1580" w:right="740"/>
        </w:sectPr>
      </w:pPr>
    </w:p>
    <w:p>
      <w:pPr>
        <w:pStyle w:val="Heading4"/>
        <w:spacing w:line="204" w:lineRule="auto" w:before="11"/>
      </w:pPr>
      <w:r>
        <w:rPr>
          <w:w w:val="95"/>
        </w:rPr>
        <w:t>23、重型再生障碍性</w:t>
      </w:r>
      <w:r>
        <w:rPr/>
        <w:t>贫血</w:t>
      </w:r>
    </w:p>
    <w:p>
      <w:pPr>
        <w:pStyle w:val="BodyText"/>
        <w:spacing w:line="273" w:lineRule="auto" w:before="40"/>
        <w:ind w:left="115" w:right="52"/>
      </w:pPr>
      <w:r>
        <w:rPr/>
        <w:br w:type="column"/>
      </w:r>
      <w:r>
        <w:rPr/>
        <w:t>指因骨髓造血功能慢性持续性衰竭导致的贫血、中性粒细胞减少及血小板减少， 须满足下列全部条件：</w:t>
      </w:r>
    </w:p>
    <w:p>
      <w:pPr>
        <w:pStyle w:val="BodyText"/>
        <w:spacing w:before="8"/>
        <w:ind w:left="115"/>
      </w:pPr>
      <w:r>
        <w:rPr/>
        <w:t>（1）骨髓穿刺检查或骨髓活检结果支持诊断；</w:t>
      </w:r>
    </w:p>
    <w:p>
      <w:pPr>
        <w:pStyle w:val="BodyText"/>
        <w:ind w:left="115"/>
      </w:pPr>
      <w:r>
        <w:rPr/>
        <w:t>（2）外周血象必须具备以下三项条件：</w:t>
      </w:r>
    </w:p>
    <w:p>
      <w:pPr>
        <w:pStyle w:val="BodyText"/>
        <w:ind w:left="535"/>
      </w:pPr>
      <w:r>
        <w:rPr/>
        <w:t>①中性粒细胞绝对值≤0.5×10</w:t>
      </w:r>
      <w:r>
        <w:rPr>
          <w:position w:val="11"/>
          <w:sz w:val="11"/>
        </w:rPr>
        <w:t>9</w:t>
      </w:r>
      <w:r>
        <w:rPr/>
        <w:t>/L；</w:t>
      </w:r>
    </w:p>
    <w:p>
      <w:pPr>
        <w:pStyle w:val="BodyText"/>
        <w:ind w:left="535"/>
      </w:pPr>
      <w:r>
        <w:rPr/>
        <w:t>②网织红细胞＜1%；</w:t>
      </w:r>
    </w:p>
    <w:p>
      <w:pPr>
        <w:pStyle w:val="BodyText"/>
        <w:spacing w:before="36"/>
        <w:ind w:left="535"/>
      </w:pPr>
      <w:r>
        <w:rPr/>
        <w:t>③血小板绝对值≤20×10</w:t>
      </w:r>
      <w:r>
        <w:rPr>
          <w:position w:val="11"/>
          <w:sz w:val="11"/>
        </w:rPr>
        <w:t>9</w:t>
      </w:r>
      <w:r>
        <w:rPr/>
        <w:t>/L。</w:t>
      </w:r>
    </w:p>
    <w:p>
      <w:pPr>
        <w:spacing w:after="0"/>
        <w:sectPr>
          <w:type w:val="continuous"/>
          <w:pgSz w:w="11910" w:h="16840"/>
          <w:pgMar w:top="220" w:bottom="280" w:left="1580" w:right="740"/>
          <w:cols w:num="2" w:equalWidth="0">
            <w:col w:w="1952" w:space="99"/>
            <w:col w:w="7539"/>
          </w:cols>
        </w:sectPr>
      </w:pPr>
    </w:p>
    <w:p>
      <w:pPr>
        <w:pStyle w:val="BodyText"/>
        <w:spacing w:before="12"/>
        <w:rPr>
          <w:sz w:val="17"/>
        </w:rPr>
      </w:pPr>
    </w:p>
    <w:p>
      <w:pPr>
        <w:tabs>
          <w:tab w:pos="2166" w:val="left" w:leader="none"/>
        </w:tabs>
        <w:spacing w:line="318" w:lineRule="exact" w:before="0"/>
        <w:ind w:left="2166" w:right="0" w:hanging="2051"/>
        <w:jc w:val="left"/>
        <w:rPr>
          <w:sz w:val="21"/>
        </w:rPr>
      </w:pPr>
      <w:r>
        <w:rPr>
          <w:rFonts w:ascii="Microsoft JhengHei" w:eastAsia="Microsoft JhengHei" w:hint="eastAsia"/>
          <w:b/>
          <w:position w:val="2"/>
          <w:sz w:val="21"/>
        </w:rPr>
        <w:t>24、主动脉手术</w:t>
        <w:tab/>
      </w:r>
      <w:r>
        <w:rPr>
          <w:sz w:val="21"/>
        </w:rPr>
        <w:t>指为治疗主动脉疾病，实际实施了开胸或开腹进行的切除、置换、修补病损主</w:t>
      </w:r>
    </w:p>
    <w:p>
      <w:pPr>
        <w:pStyle w:val="BodyText"/>
        <w:spacing w:line="271" w:lineRule="auto" w:before="33"/>
        <w:ind w:left="2166" w:right="220"/>
      </w:pPr>
      <w:r>
        <w:rPr/>
        <w:t>动脉血管的手术。主动脉指胸主动脉和腹主动脉，不包括胸主动脉和腹主动脉的分支血管。</w:t>
      </w:r>
    </w:p>
    <w:p>
      <w:pPr>
        <w:pStyle w:val="BodyText"/>
        <w:spacing w:before="9"/>
        <w:ind w:left="2166"/>
      </w:pPr>
      <w:r>
        <w:rPr/>
        <w:t>动脉内血管成形术不在保障范围内。</w:t>
      </w:r>
    </w:p>
    <w:p>
      <w:pPr>
        <w:pStyle w:val="BodyText"/>
        <w:spacing w:before="2"/>
        <w:rPr>
          <w:sz w:val="17"/>
        </w:rPr>
      </w:pPr>
    </w:p>
    <w:p>
      <w:pPr>
        <w:spacing w:after="0"/>
        <w:rPr>
          <w:sz w:val="17"/>
        </w:rPr>
        <w:sectPr>
          <w:type w:val="continuous"/>
          <w:pgSz w:w="11910" w:h="16840"/>
          <w:pgMar w:top="220" w:bottom="280" w:left="1580" w:right="740"/>
        </w:sectPr>
      </w:pPr>
    </w:p>
    <w:p>
      <w:pPr>
        <w:pStyle w:val="Heading4"/>
        <w:spacing w:line="204" w:lineRule="auto" w:before="11"/>
      </w:pPr>
      <w:r>
        <w:rPr>
          <w:w w:val="95"/>
        </w:rPr>
        <w:t>25、慢性呼吸功能衰</w:t>
      </w:r>
      <w:r>
        <w:rPr/>
        <w:t>竭</w:t>
      </w:r>
    </w:p>
    <w:p>
      <w:pPr>
        <w:pStyle w:val="BodyText"/>
        <w:spacing w:line="273" w:lineRule="auto" w:before="40"/>
        <w:ind w:left="115" w:right="220"/>
      </w:pPr>
      <w:r>
        <w:rPr/>
        <w:br w:type="column"/>
      </w:r>
      <w:r>
        <w:rPr/>
        <w:t>慢性肺部疾病导致永久不可逆性的慢性呼吸功能衰竭。慢性呼吸功能衰竭必须明确诊断并满足下列全部条件：</w:t>
      </w:r>
    </w:p>
    <w:p>
      <w:pPr>
        <w:pStyle w:val="BodyText"/>
        <w:spacing w:before="7"/>
        <w:ind w:left="115"/>
      </w:pPr>
      <w:r>
        <w:rPr/>
        <w:t>（1）休息时出现呼吸困难；</w:t>
      </w:r>
    </w:p>
    <w:p>
      <w:pPr>
        <w:pStyle w:val="BodyText"/>
        <w:spacing w:before="36"/>
        <w:ind w:left="115"/>
      </w:pPr>
      <w:r>
        <w:rPr/>
        <w:t>（2）动脉血氧分压（PaO2）&lt;50mmHg；</w:t>
      </w:r>
    </w:p>
    <w:p>
      <w:pPr>
        <w:pStyle w:val="BodyText"/>
        <w:spacing w:before="36"/>
        <w:ind w:left="115"/>
      </w:pPr>
      <w:r>
        <w:rPr/>
        <w:t>（3）动脉血氧饱和度（SaO2）&lt;80％；</w:t>
      </w:r>
    </w:p>
    <w:p>
      <w:pPr>
        <w:pStyle w:val="BodyText"/>
        <w:spacing w:before="36"/>
        <w:ind w:left="115"/>
      </w:pPr>
      <w:r>
        <w:rPr/>
        <w:t>（</w:t>
      </w:r>
      <w:r>
        <w:rPr>
          <w:rFonts w:ascii="Times New Roman" w:eastAsia="Times New Roman"/>
        </w:rPr>
        <w:t>4</w:t>
      </w:r>
      <w:r>
        <w:rPr/>
        <w:t>）因缺氧必须接受持续的输氧治疗。</w:t>
      </w:r>
    </w:p>
    <w:p>
      <w:pPr>
        <w:spacing w:after="0"/>
        <w:sectPr>
          <w:type w:val="continuous"/>
          <w:pgSz w:w="11910" w:h="16840"/>
          <w:pgMar w:top="220" w:bottom="280" w:left="1580" w:right="740"/>
          <w:cols w:num="2" w:equalWidth="0">
            <w:col w:w="1952" w:space="99"/>
            <w:col w:w="7539"/>
          </w:cols>
        </w:sectPr>
      </w:pPr>
    </w:p>
    <w:p>
      <w:pPr>
        <w:pStyle w:val="BodyText"/>
        <w:spacing w:before="0"/>
        <w:rPr>
          <w:sz w:val="18"/>
        </w:rPr>
      </w:pPr>
    </w:p>
    <w:p>
      <w:pPr>
        <w:pStyle w:val="BodyText"/>
        <w:spacing w:line="312" w:lineRule="exact" w:before="35"/>
        <w:ind w:left="2166" w:right="220" w:hanging="2051"/>
        <w:jc w:val="both"/>
      </w:pPr>
      <w:r>
        <w:rPr>
          <w:rFonts w:ascii="Microsoft JhengHei" w:eastAsia="Microsoft JhengHei" w:hint="eastAsia"/>
          <w:b/>
          <w:position w:val="2"/>
        </w:rPr>
        <w:t>26、严重多发性硬化 </w:t>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4"/>
        <w:ind w:left="2166"/>
      </w:pPr>
      <w:r>
        <w:rPr/>
        <w:t>（1）移动：自己从一个房间到另一个房间；或</w:t>
      </w:r>
    </w:p>
    <w:p>
      <w:pPr>
        <w:pStyle w:val="BodyText"/>
        <w:ind w:left="2166"/>
      </w:pPr>
      <w:r>
        <w:rPr/>
        <w:t>（</w:t>
      </w:r>
      <w:r>
        <w:rPr>
          <w:rFonts w:ascii="Times New Roman" w:eastAsia="Times New Roman"/>
        </w:rPr>
        <w:t>2</w:t>
      </w:r>
      <w:r>
        <w:rPr/>
        <w:t>）进食：自己从已准备好的碗或碟中取食物放入口中。</w:t>
      </w:r>
    </w:p>
    <w:p>
      <w:pPr>
        <w:tabs>
          <w:tab w:pos="2166" w:val="left" w:leader="none"/>
        </w:tabs>
        <w:spacing w:before="161"/>
        <w:ind w:left="115"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166"/>
      </w:pPr>
      <w:r>
        <w:rPr/>
        <w:t>（</w:t>
      </w:r>
      <w:r>
        <w:rPr>
          <w:rFonts w:ascii="Times New Roman" w:eastAsia="Times New Roman"/>
        </w:rPr>
        <w:t>1</w:t>
      </w:r>
      <w:r>
        <w:rPr/>
        <w:t>）符合坏死性筋膜炎的一般临床表现；</w:t>
      </w:r>
    </w:p>
    <w:p>
      <w:pPr>
        <w:pStyle w:val="BodyText"/>
        <w:spacing w:before="21"/>
        <w:ind w:left="2166"/>
      </w:pPr>
      <w:r>
        <w:rPr/>
        <w:t>（</w:t>
      </w:r>
      <w:r>
        <w:rPr>
          <w:rFonts w:ascii="Times New Roman" w:eastAsia="Times New Roman"/>
        </w:rPr>
        <w:t>2</w:t>
      </w:r>
      <w:r>
        <w:rPr/>
        <w:t>）细菌培养检出致病菌；</w:t>
      </w:r>
    </w:p>
    <w:p>
      <w:pPr>
        <w:pStyle w:val="BodyText"/>
        <w:spacing w:line="256" w:lineRule="auto" w:before="21"/>
        <w:ind w:left="2166" w:right="112" w:hanging="1"/>
      </w:pPr>
      <w:r>
        <w:rPr>
          <w:spacing w:val="-26"/>
        </w:rPr>
        <w:t>（</w:t>
      </w:r>
      <w:r>
        <w:rPr>
          <w:rFonts w:ascii="Times New Roman" w:eastAsia="Times New Roman"/>
          <w:spacing w:val="-26"/>
        </w:rPr>
        <w:t>3</w:t>
      </w:r>
      <w:r>
        <w:rPr>
          <w:spacing w:val="-26"/>
        </w:rPr>
        <w:t>）</w:t>
      </w:r>
      <w:r>
        <w:rPr>
          <w:spacing w:val="-6"/>
        </w:rPr>
        <w:t>出现广泛性肌肉及软组织坏死，并导致身体受影响部位永久完全失去功能。所谓永久完全失去功能是指受影响部位的功能丧失超过六个月者。</w:t>
      </w:r>
    </w:p>
    <w:p>
      <w:pPr>
        <w:pStyle w:val="BodyText"/>
        <w:spacing w:before="9"/>
        <w:rPr>
          <w:sz w:val="15"/>
        </w:rPr>
      </w:pPr>
    </w:p>
    <w:p>
      <w:pPr>
        <w:spacing w:after="0"/>
        <w:rPr>
          <w:sz w:val="15"/>
        </w:rPr>
        <w:sectPr>
          <w:type w:val="continuous"/>
          <w:pgSz w:w="11910" w:h="16840"/>
          <w:pgMar w:top="220" w:bottom="280" w:left="1580" w:right="740"/>
        </w:sectPr>
      </w:pPr>
    </w:p>
    <w:p>
      <w:pPr>
        <w:pStyle w:val="Heading4"/>
        <w:spacing w:line="204" w:lineRule="auto" w:before="11"/>
      </w:pPr>
      <w:r>
        <w:rPr>
          <w:w w:val="95"/>
        </w:rPr>
        <w:t>28、急性坏死性胰腺</w:t>
      </w:r>
      <w:r>
        <w:rPr/>
        <w:t>炎</w:t>
      </w:r>
    </w:p>
    <w:p>
      <w:pPr>
        <w:pStyle w:val="BodyText"/>
        <w:spacing w:line="273" w:lineRule="auto" w:before="40"/>
        <w:ind w:left="115" w:right="275"/>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20" w:bottom="280" w:left="1580" w:right="740"/>
          <w:cols w:num="2" w:equalWidth="0">
            <w:col w:w="1952" w:space="99"/>
            <w:col w:w="7539"/>
          </w:cols>
        </w:sectPr>
      </w:pPr>
    </w:p>
    <w:p>
      <w:pPr>
        <w:pStyle w:val="BodyText"/>
        <w:spacing w:before="7"/>
        <w:rPr>
          <w:sz w:val="19"/>
        </w:rPr>
      </w:pPr>
    </w:p>
    <w:p>
      <w:pPr>
        <w:spacing w:after="0"/>
        <w:rPr>
          <w:sz w:val="19"/>
        </w:rPr>
        <w:sectPr>
          <w:type w:val="continuous"/>
          <w:pgSz w:w="11910" w:h="16840"/>
          <w:pgMar w:top="220" w:bottom="280" w:left="1580" w:right="740"/>
        </w:sectPr>
      </w:pPr>
    </w:p>
    <w:p>
      <w:pPr>
        <w:pStyle w:val="Heading4"/>
        <w:spacing w:line="204" w:lineRule="auto" w:before="11"/>
      </w:pPr>
      <w:r>
        <w:rPr/>
        <w:t>29</w:t>
      </w:r>
      <w:r>
        <w:rPr>
          <w:spacing w:val="-15"/>
        </w:rPr>
        <w:t>、全身性重症</w:t>
      </w:r>
      <w:r>
        <w:rPr/>
        <w:t>ft无力</w:t>
      </w:r>
    </w:p>
    <w:p>
      <w:pPr>
        <w:pStyle w:val="BodyText"/>
        <w:spacing w:line="273" w:lineRule="auto" w:before="40"/>
        <w:ind w:left="115" w:right="220"/>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8"/>
        <w:ind w:left="115"/>
      </w:pPr>
      <w:r>
        <w:rPr/>
        <w:t>（1）经药物治疗和胸腺切除治疗一年以上仍无法控制病情；</w:t>
      </w:r>
    </w:p>
    <w:p>
      <w:pPr>
        <w:pStyle w:val="BodyText"/>
        <w:spacing w:line="256" w:lineRule="auto"/>
        <w:ind w:left="115" w:right="218"/>
        <w:jc w:val="both"/>
      </w:pPr>
      <w:r>
        <w:rPr>
          <w:spacing w:val="-9"/>
        </w:rPr>
        <w:t>（</w:t>
      </w:r>
      <w:r>
        <w:rPr>
          <w:rFonts w:ascii="Times New Roman" w:eastAsia="Times New Roman"/>
          <w:spacing w:val="-9"/>
        </w:rPr>
        <w:t>2</w:t>
      </w:r>
      <w:r>
        <w:rPr>
          <w:spacing w:val="-9"/>
        </w:rPr>
        <w:t>）</w:t>
      </w:r>
      <w:r>
        <w:rPr>
          <w:spacing w:val="-3"/>
        </w:rPr>
        <w:t>自主生活能力完全丧失，无法独立完成六项基本日常生活活动中的三项或三项以上。</w:t>
      </w:r>
    </w:p>
    <w:p>
      <w:pPr>
        <w:spacing w:after="0" w:line="256" w:lineRule="auto"/>
        <w:jc w:val="both"/>
        <w:sectPr>
          <w:type w:val="continuous"/>
          <w:pgSz w:w="11910" w:h="16840"/>
          <w:pgMar w:top="220" w:bottom="280" w:left="1580" w:right="740"/>
          <w:cols w:num="2" w:equalWidth="0">
            <w:col w:w="1952" w:space="99"/>
            <w:col w:w="7539"/>
          </w:cols>
        </w:sectPr>
      </w:pPr>
    </w:p>
    <w:p>
      <w:pPr>
        <w:pStyle w:val="BodyText"/>
        <w:spacing w:line="312" w:lineRule="exact" w:before="14"/>
        <w:ind w:left="2166" w:right="118" w:hanging="2051"/>
        <w:jc w:val="both"/>
      </w:pPr>
      <w:r>
        <w:rPr>
          <w:rFonts w:ascii="Microsoft JhengHei" w:eastAsia="Microsoft JhengHei" w:hint="eastAsia"/>
          <w:b/>
          <w:position w:val="2"/>
        </w:rPr>
        <w:t>30、严重心ft病         </w:t>
      </w:r>
      <w:r>
        <w:rPr/>
        <w:t>指被保人因心肌病导致慢性心功能损害造成永久不可逆性的心功能衰竭。心功</w:t>
      </w:r>
      <w:r>
        <w:rPr>
          <w:spacing w:val="-2"/>
        </w:rPr>
        <w:t>能衰竭程度达到纽约心脏病学会的心功能分级标准之心功能 </w:t>
      </w:r>
      <w:r>
        <w:rPr>
          <w:rFonts w:ascii="Times New Roman" w:eastAsia="Times New Roman"/>
        </w:rPr>
        <w:t>IV </w:t>
      </w:r>
      <w:r>
        <w:rPr>
          <w:spacing w:val="-9"/>
        </w:rPr>
        <w:t>级。被保险人永久不可逆性的体力活动能力受限，不能从事任何体力活动。</w:t>
      </w:r>
    </w:p>
    <w:p>
      <w:pPr>
        <w:pStyle w:val="BodyText"/>
        <w:spacing w:before="7"/>
        <w:rPr>
          <w:sz w:val="14"/>
        </w:rPr>
      </w:pPr>
    </w:p>
    <w:p>
      <w:pPr>
        <w:spacing w:after="0"/>
        <w:rPr>
          <w:sz w:val="14"/>
        </w:rPr>
        <w:sectPr>
          <w:pgSz w:w="11910" w:h="16840"/>
          <w:pgMar w:header="0" w:footer="442" w:top="1100" w:bottom="640" w:left="1580" w:right="840"/>
        </w:sectPr>
      </w:pPr>
    </w:p>
    <w:p>
      <w:pPr>
        <w:pStyle w:val="Heading4"/>
        <w:spacing w:line="204" w:lineRule="auto" w:before="11"/>
      </w:pPr>
      <w:r>
        <w:rPr>
          <w:w w:val="95"/>
        </w:rPr>
        <w:t>31、严重类风湿性关</w:t>
      </w:r>
      <w:r>
        <w:rPr/>
        <w:t>节炎</w:t>
      </w:r>
    </w:p>
    <w:p>
      <w:pPr>
        <w:pStyle w:val="BodyText"/>
        <w:spacing w:line="273" w:lineRule="auto" w:before="40"/>
        <w:ind w:left="115" w:right="118"/>
        <w:jc w:val="both"/>
      </w:pPr>
      <w:r>
        <w:rPr/>
        <w:br w:type="column"/>
      </w:r>
      <w:r>
        <w:rPr/>
        <w:t>类风湿性关节炎为广泛分布的慢性进行性多关节病变，表现为关节严重变形， 侵犯至少三个主要关节或关节组（如：双手（多手指）关节、双足（多足趾） </w:t>
      </w:r>
      <w:r>
        <w:rPr>
          <w:spacing w:val="-6"/>
        </w:rPr>
        <w:t>关节、双腕关节、双膝关节和双髋关节</w:t>
      </w:r>
      <w:r>
        <w:rPr>
          <w:spacing w:val="-105"/>
        </w:rPr>
        <w:t>）</w:t>
      </w:r>
      <w:r>
        <w:rPr>
          <w:spacing w:val="-4"/>
        </w:rPr>
        <w:t>。类风湿性关节炎必须明确诊断并且已</w:t>
      </w:r>
      <w:r>
        <w:rPr>
          <w:spacing w:val="-6"/>
        </w:rPr>
        <w:t>经达到类风湿性关节炎功能分级 </w:t>
      </w:r>
      <w:r>
        <w:rPr/>
        <w:t>III</w:t>
      </w:r>
      <w:r>
        <w:rPr>
          <w:spacing w:val="-5"/>
        </w:rPr>
        <w:t> 级以上的功能障碍</w:t>
      </w:r>
      <w:r>
        <w:rPr/>
        <w:t>（关节活动严重限制， 不能完成大部分的日常工作和活动）并且满足下列全部条件：</w:t>
      </w:r>
    </w:p>
    <w:p>
      <w:pPr>
        <w:pStyle w:val="BodyText"/>
        <w:spacing w:before="7"/>
        <w:ind w:left="115"/>
        <w:jc w:val="both"/>
      </w:pPr>
      <w:r>
        <w:rPr/>
        <w:t>（1）晨僵；</w:t>
      </w:r>
    </w:p>
    <w:p>
      <w:pPr>
        <w:pStyle w:val="BodyText"/>
        <w:spacing w:before="36"/>
        <w:ind w:left="115"/>
        <w:jc w:val="both"/>
      </w:pPr>
      <w:r>
        <w:rPr/>
        <w:t>（2）对称性关节炎；</w:t>
      </w:r>
    </w:p>
    <w:p>
      <w:pPr>
        <w:pStyle w:val="BodyText"/>
        <w:spacing w:before="36"/>
        <w:ind w:left="115"/>
        <w:jc w:val="both"/>
      </w:pPr>
      <w:r>
        <w:rPr/>
        <w:t>（3）类风湿性皮下结节；</w:t>
      </w:r>
    </w:p>
    <w:p>
      <w:pPr>
        <w:pStyle w:val="BodyText"/>
        <w:spacing w:before="36"/>
        <w:ind w:left="115"/>
        <w:jc w:val="both"/>
      </w:pPr>
      <w:r>
        <w:rPr/>
        <w:t>（4）类风湿因子滴度升高；</w:t>
      </w:r>
    </w:p>
    <w:p>
      <w:pPr>
        <w:pStyle w:val="BodyText"/>
        <w:spacing w:before="36"/>
        <w:ind w:left="115"/>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jc w:val="both"/>
        <w:sectPr>
          <w:type w:val="continuous"/>
          <w:pgSz w:w="11910" w:h="16840"/>
          <w:pgMar w:top="220" w:bottom="280" w:left="1580" w:right="840"/>
          <w:cols w:num="2" w:equalWidth="0">
            <w:col w:w="1952" w:space="99"/>
            <w:col w:w="7439"/>
          </w:cols>
        </w:sectPr>
      </w:pPr>
    </w:p>
    <w:p>
      <w:pPr>
        <w:pStyle w:val="BodyText"/>
        <w:spacing w:before="11"/>
        <w:rPr>
          <w:sz w:val="15"/>
        </w:rPr>
      </w:pPr>
    </w:p>
    <w:p>
      <w:pPr>
        <w:spacing w:after="0"/>
        <w:rPr>
          <w:sz w:val="15"/>
        </w:rPr>
        <w:sectPr>
          <w:type w:val="continuous"/>
          <w:pgSz w:w="11910" w:h="16840"/>
          <w:pgMar w:top="220" w:bottom="280" w:left="1580" w:right="840"/>
        </w:sectPr>
      </w:pPr>
    </w:p>
    <w:p>
      <w:pPr>
        <w:pStyle w:val="Heading4"/>
        <w:spacing w:line="295" w:lineRule="exact"/>
      </w:pPr>
      <w:r>
        <w:rPr>
          <w:w w:val="95"/>
        </w:rPr>
        <w:t>32、系统性红斑狼疮</w:t>
      </w:r>
    </w:p>
    <w:p>
      <w:pPr>
        <w:spacing w:line="204" w:lineRule="auto" w:before="28"/>
        <w:ind w:left="115" w:right="82" w:firstLine="0"/>
        <w:jc w:val="left"/>
        <w:rPr>
          <w:rFonts w:ascii="Microsoft JhengHei" w:eastAsia="Microsoft JhengHei" w:hint="eastAsia"/>
          <w:b/>
          <w:sz w:val="21"/>
        </w:rPr>
      </w:pPr>
      <w:r>
        <w:rPr>
          <w:rFonts w:ascii="Microsoft JhengHei" w:eastAsia="Microsoft JhengHei" w:hint="eastAsia"/>
          <w:b/>
          <w:sz w:val="21"/>
        </w:rPr>
        <w:t>－III 型或以上狼疮性肾炎</w:t>
      </w:r>
    </w:p>
    <w:p>
      <w:pPr>
        <w:pStyle w:val="BodyText"/>
        <w:spacing w:line="273" w:lineRule="auto" w:before="40"/>
        <w:ind w:left="115" w:right="120"/>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15"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15"/>
        <w:jc w:val="both"/>
      </w:pPr>
      <w:r>
        <w:rPr/>
        <w:t>世界卫生组织（WHO）狼疮性肾炎分型：</w:t>
      </w:r>
    </w:p>
    <w:p>
      <w:pPr>
        <w:pStyle w:val="ListParagraph"/>
        <w:numPr>
          <w:ilvl w:val="0"/>
          <w:numId w:val="16"/>
        </w:numPr>
        <w:tabs>
          <w:tab w:pos="326" w:val="left" w:leader="none"/>
        </w:tabs>
        <w:spacing w:line="240" w:lineRule="auto" w:before="37" w:after="0"/>
        <w:ind w:left="325" w:right="0" w:hanging="210"/>
        <w:jc w:val="both"/>
        <w:rPr>
          <w:sz w:val="21"/>
        </w:rPr>
      </w:pPr>
      <w:r>
        <w:rPr>
          <w:sz w:val="21"/>
        </w:rPr>
        <w:t>型（微小病变型）</w:t>
      </w:r>
      <w:r>
        <w:rPr>
          <w:spacing w:val="2"/>
          <w:sz w:val="21"/>
        </w:rPr>
        <w:t>       镜下阴性，尿液正常</w:t>
      </w:r>
    </w:p>
    <w:p>
      <w:pPr>
        <w:pStyle w:val="ListParagraph"/>
        <w:numPr>
          <w:ilvl w:val="0"/>
          <w:numId w:val="16"/>
        </w:numPr>
        <w:tabs>
          <w:tab w:pos="431" w:val="left" w:leader="none"/>
        </w:tabs>
        <w:spacing w:line="240" w:lineRule="auto" w:before="37" w:after="0"/>
        <w:ind w:left="430" w:right="0" w:hanging="315"/>
        <w:jc w:val="both"/>
        <w:rPr>
          <w:sz w:val="21"/>
        </w:rPr>
      </w:pPr>
      <w:r>
        <w:rPr>
          <w:sz w:val="21"/>
        </w:rPr>
        <w:t>型（系膜病变型）      中度蛋白尿，偶有尿沉渣改变</w:t>
      </w:r>
    </w:p>
    <w:p>
      <w:pPr>
        <w:pStyle w:val="ListParagraph"/>
        <w:numPr>
          <w:ilvl w:val="0"/>
          <w:numId w:val="16"/>
        </w:numPr>
        <w:tabs>
          <w:tab w:pos="536" w:val="left" w:leader="none"/>
        </w:tabs>
        <w:spacing w:line="240" w:lineRule="auto" w:before="37" w:after="0"/>
        <w:ind w:left="535" w:right="0" w:hanging="420"/>
        <w:jc w:val="both"/>
        <w:rPr>
          <w:sz w:val="21"/>
        </w:rPr>
      </w:pPr>
      <w:r>
        <w:rPr>
          <w:spacing w:val="-1"/>
          <w:sz w:val="21"/>
        </w:rPr>
        <w:t>型（</w:t>
      </w:r>
      <w:r>
        <w:rPr>
          <w:sz w:val="21"/>
        </w:rPr>
        <w:t>局灶及节段增生型）蛋白尿，尿沉渣改变</w:t>
      </w:r>
    </w:p>
    <w:p>
      <w:pPr>
        <w:pStyle w:val="ListParagraph"/>
        <w:numPr>
          <w:ilvl w:val="0"/>
          <w:numId w:val="16"/>
        </w:numPr>
        <w:tabs>
          <w:tab w:pos="3165" w:val="left" w:leader="none"/>
          <w:tab w:pos="5615" w:val="left" w:leader="none"/>
        </w:tabs>
        <w:spacing w:line="240" w:lineRule="auto" w:before="37" w:after="0"/>
        <w:ind w:left="3164" w:right="0" w:hanging="319"/>
        <w:jc w:val="left"/>
        <w:rPr>
          <w:sz w:val="21"/>
        </w:rPr>
      </w:pPr>
      <w:r>
        <w:rPr>
          <w:sz w:val="21"/>
        </w:rPr>
        <w:t>型（弥漫增生型）</w:t>
        <w:tab/>
        <w:t>急性肾炎伴有尿沉</w:t>
      </w:r>
    </w:p>
    <w:p>
      <w:pPr>
        <w:spacing w:after="0" w:line="240" w:lineRule="auto"/>
        <w:jc w:val="left"/>
        <w:rPr>
          <w:sz w:val="21"/>
        </w:rPr>
        <w:sectPr>
          <w:type w:val="continuous"/>
          <w:pgSz w:w="11910" w:h="16840"/>
          <w:pgMar w:top="220" w:bottom="280" w:left="1580" w:right="840"/>
          <w:cols w:num="2" w:equalWidth="0">
            <w:col w:w="1952" w:space="99"/>
            <w:col w:w="7439"/>
          </w:cols>
        </w:sectPr>
      </w:pPr>
    </w:p>
    <w:p>
      <w:pPr>
        <w:pStyle w:val="BodyText"/>
        <w:ind w:left="2166"/>
      </w:pPr>
      <w:r>
        <w:rPr/>
        <w:t>渣改变及</w:t>
      </w:r>
    </w:p>
    <w:p>
      <w:pPr>
        <w:pStyle w:val="BodyText"/>
        <w:ind w:left="4896"/>
      </w:pPr>
      <w:r>
        <w:rPr/>
        <w:t>／或肾病综合征</w:t>
      </w:r>
    </w:p>
    <w:p>
      <w:pPr>
        <w:pStyle w:val="BodyText"/>
        <w:spacing w:before="4"/>
        <w:rPr>
          <w:sz w:val="19"/>
        </w:rPr>
      </w:pPr>
    </w:p>
    <w:p>
      <w:pPr>
        <w:spacing w:after="0"/>
        <w:rPr>
          <w:sz w:val="19"/>
        </w:rPr>
        <w:sectPr>
          <w:type w:val="continuous"/>
          <w:pgSz w:w="11910" w:h="16840"/>
          <w:pgMar w:top="220" w:bottom="280" w:left="1580" w:right="840"/>
        </w:sectPr>
      </w:pPr>
    </w:p>
    <w:p>
      <w:pPr>
        <w:pStyle w:val="Heading4"/>
        <w:spacing w:line="204" w:lineRule="auto" w:before="11"/>
      </w:pPr>
      <w:r>
        <w:rPr>
          <w:w w:val="95"/>
        </w:rPr>
        <w:t>33</w:t>
      </w:r>
      <w:r>
        <w:rPr>
          <w:spacing w:val="-12"/>
          <w:w w:val="95"/>
        </w:rPr>
        <w:t>、因职业关系导致</w:t>
      </w:r>
      <w:r>
        <w:rPr>
          <w:spacing w:val="-12"/>
        </w:rPr>
        <w:t>的人类免疫缺陷病</w:t>
      </w:r>
      <w:r>
        <w:rPr>
          <w:spacing w:val="-1"/>
          <w:w w:val="95"/>
        </w:rPr>
        <w:t>毒（HIV）</w:t>
      </w:r>
      <w:r>
        <w:rPr>
          <w:w w:val="95"/>
        </w:rPr>
        <w:t>感染</w:t>
      </w:r>
    </w:p>
    <w:p>
      <w:pPr>
        <w:pStyle w:val="BodyText"/>
        <w:spacing w:line="273" w:lineRule="auto" w:before="40"/>
        <w:ind w:left="115" w:right="120"/>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15" w:right="58"/>
      </w:pPr>
      <w:r>
        <w:rPr/>
        <w:t>（1）感染必须是在被保险人正在从事其职业工作中发生，该职业必须属于以下列表内的职业；</w:t>
      </w:r>
    </w:p>
    <w:p>
      <w:pPr>
        <w:pStyle w:val="BodyText"/>
        <w:spacing w:before="7"/>
        <w:ind w:left="115"/>
      </w:pPr>
      <w:r>
        <w:rPr/>
        <w:t>（2）血清转化必须出现在事故发生后的 6 个月以内；</w:t>
      </w:r>
    </w:p>
    <w:p>
      <w:pPr>
        <w:pStyle w:val="BodyText"/>
        <w:spacing w:line="273" w:lineRule="auto"/>
        <w:ind w:left="115" w:right="118"/>
      </w:pPr>
      <w:r>
        <w:rPr>
          <w:spacing w:val="-9"/>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15" w:right="116"/>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2"/>
        </w:rPr>
        <w:t> 抗</w:t>
      </w:r>
      <w:r>
        <w:rPr>
          <w:spacing w:val="-1"/>
        </w:rPr>
        <w:t>体。职业限制如下所示:</w:t>
      </w:r>
    </w:p>
    <w:p>
      <w:pPr>
        <w:pStyle w:val="BodyText"/>
        <w:spacing w:line="273" w:lineRule="auto" w:before="7"/>
        <w:ind w:left="115" w:right="175"/>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580" w:right="840"/>
          <w:cols w:num="2" w:equalWidth="0">
            <w:col w:w="1952" w:space="99"/>
            <w:col w:w="7439"/>
          </w:cols>
        </w:sectPr>
      </w:pPr>
    </w:p>
    <w:p>
      <w:pPr>
        <w:pStyle w:val="Heading4"/>
        <w:spacing w:line="204" w:lineRule="auto"/>
        <w:ind w:left="835"/>
      </w:pPr>
      <w:r>
        <w:rPr>
          <w:w w:val="95"/>
        </w:rPr>
        <w:t>34、经输血导致的人</w:t>
      </w:r>
      <w:r>
        <w:rPr/>
        <w:t>类免疫缺陷病毒</w:t>
      </w:r>
    </w:p>
    <w:p>
      <w:pPr>
        <w:spacing w:line="312" w:lineRule="exact" w:before="9"/>
        <w:ind w:left="835"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19"/>
        <w:ind w:left="174"/>
      </w:pPr>
      <w:r>
        <w:rPr/>
        <w:br w:type="column"/>
      </w:r>
      <w:r>
        <w:rPr/>
        <w:t>被保险人感染上人类免疫缺陷病毒（HIV）并且满足下列全部条件：</w:t>
      </w:r>
    </w:p>
    <w:p>
      <w:pPr>
        <w:pStyle w:val="BodyText"/>
        <w:ind w:left="174"/>
      </w:pPr>
      <w:r>
        <w:rPr/>
        <w:t>（1）在保障起始日或复效日之后，被保险人因输血而感染 HIV；</w:t>
      </w:r>
    </w:p>
    <w:p>
      <w:pPr>
        <w:pStyle w:val="BodyText"/>
        <w:spacing w:line="273" w:lineRule="auto"/>
        <w:ind w:left="174" w:right="176"/>
      </w:pPr>
      <w:r>
        <w:rPr/>
        <w:t>（2）提供输血治疗的输血中心或医院出具该项输血感染属医疗责任事故的报告，或法院终审裁定为医疗责任并且不准上诉；</w:t>
      </w:r>
    </w:p>
    <w:p>
      <w:pPr>
        <w:pStyle w:val="BodyText"/>
        <w:spacing w:before="7"/>
        <w:ind w:left="174"/>
      </w:pPr>
      <w:r>
        <w:rPr/>
        <w:t>（3）受感染的被保险人不是血友病患者。</w:t>
      </w:r>
    </w:p>
    <w:p>
      <w:pPr>
        <w:pStyle w:val="BodyText"/>
        <w:spacing w:before="36"/>
        <w:ind w:left="174"/>
      </w:pPr>
      <w:r>
        <w:rPr/>
        <w:t>在任何治愈艾滋病（AIDS）或阻止 HIV 病毒作用的疗法被发现以后，或能防止</w:t>
      </w:r>
    </w:p>
    <w:p>
      <w:pPr>
        <w:pStyle w:val="BodyText"/>
        <w:spacing w:before="36"/>
        <w:ind w:left="174"/>
      </w:pPr>
      <w:r>
        <w:rPr/>
        <w:t>AIDS 发生的医疗方法被研究出来以后，本保障将不再予以赔付。</w:t>
      </w:r>
    </w:p>
    <w:p>
      <w:pPr>
        <w:pStyle w:val="BodyText"/>
        <w:spacing w:line="264" w:lineRule="auto" w:before="36"/>
        <w:ind w:left="174" w:right="178"/>
        <w:jc w:val="both"/>
      </w:pPr>
      <w:r>
        <w:rPr/>
        <w:t>任何因其他传播方式（包括：性传播或静脉注射毒品）</w:t>
      </w:r>
      <w:r>
        <w:rPr>
          <w:spacing w:val="-14"/>
        </w:rPr>
        <w:t>导致的 </w:t>
      </w:r>
      <w:r>
        <w:rPr>
          <w:rFonts w:ascii="Times New Roman" w:eastAsia="Times New Roman"/>
        </w:rPr>
        <w:t>HIV </w:t>
      </w:r>
      <w:r>
        <w:rPr/>
        <w:t>感染不在本保单保障范围内。本公司必须拥有获得使用被保险人的所有血液样本的权利和能够对这些样本进行独立检验的权利。</w:t>
      </w:r>
    </w:p>
    <w:p>
      <w:pPr>
        <w:spacing w:after="0" w:line="264" w:lineRule="auto"/>
        <w:jc w:val="both"/>
        <w:sectPr>
          <w:pgSz w:w="11910" w:h="16840"/>
          <w:pgMar w:header="0" w:footer="442" w:top="1100" w:bottom="640" w:left="860" w:right="780"/>
          <w:cols w:num="2" w:equalWidth="0">
            <w:col w:w="2672" w:space="40"/>
            <w:col w:w="7558"/>
          </w:cols>
        </w:sectPr>
      </w:pPr>
    </w:p>
    <w:p>
      <w:pPr>
        <w:pStyle w:val="BodyText"/>
        <w:spacing w:before="6"/>
        <w:rPr>
          <w:sz w:val="15"/>
        </w:rPr>
      </w:pPr>
    </w:p>
    <w:p>
      <w:pPr>
        <w:pStyle w:val="BodyText"/>
        <w:spacing w:line="312" w:lineRule="exact" w:before="36"/>
        <w:ind w:left="2886" w:right="235" w:hanging="2051"/>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0"/>
        <w:rPr>
          <w:sz w:val="18"/>
        </w:rPr>
      </w:pPr>
    </w:p>
    <w:p>
      <w:pPr>
        <w:tabs>
          <w:tab w:pos="835" w:val="left" w:leader="none"/>
          <w:tab w:pos="2886" w:val="left" w:leader="none"/>
        </w:tabs>
        <w:spacing w:before="0"/>
        <w:ind w:left="100" w:right="0" w:firstLine="0"/>
        <w:jc w:val="left"/>
        <w:rPr>
          <w:sz w:val="21"/>
        </w:rPr>
      </w:pPr>
      <w:r>
        <w:rPr>
          <w:b/>
          <w:sz w:val="21"/>
        </w:rPr>
        <w:t>8.19</w:t>
        <w:tab/>
        <w:t>重大疾病分组</w:t>
        <w:tab/>
      </w:r>
      <w:r>
        <w:rPr>
          <w:sz w:val="21"/>
        </w:rPr>
        <w:t>本附加合同所列的</w:t>
      </w:r>
      <w:r>
        <w:rPr>
          <w:spacing w:val="-58"/>
          <w:sz w:val="21"/>
        </w:rPr>
        <w:t> </w:t>
      </w:r>
      <w:r>
        <w:rPr>
          <w:sz w:val="21"/>
        </w:rPr>
        <w:t>35</w:t>
      </w:r>
      <w:r>
        <w:rPr>
          <w:spacing w:val="-57"/>
          <w:sz w:val="21"/>
        </w:rPr>
        <w:t> </w:t>
      </w:r>
      <w:r>
        <w:rPr>
          <w:sz w:val="21"/>
        </w:rPr>
        <w:t>种重大疾病分为以下</w:t>
      </w:r>
      <w:r>
        <w:rPr>
          <w:spacing w:val="-58"/>
          <w:sz w:val="21"/>
        </w:rPr>
        <w:t> </w:t>
      </w:r>
      <w:r>
        <w:rPr>
          <w:sz w:val="21"/>
        </w:rPr>
        <w:t>3</w:t>
      </w:r>
      <w:r>
        <w:rPr>
          <w:spacing w:val="-57"/>
          <w:sz w:val="21"/>
        </w:rPr>
        <w:t> </w:t>
      </w:r>
      <w:r>
        <w:rPr>
          <w:sz w:val="21"/>
        </w:rPr>
        <w:t>组：</w:t>
      </w:r>
    </w:p>
    <w:p>
      <w:pPr>
        <w:pStyle w:val="BodyText"/>
        <w:spacing w:before="4"/>
        <w:rPr>
          <w:sz w:val="13"/>
        </w:rPr>
      </w:pPr>
    </w:p>
    <w:tbl>
      <w:tblPr>
        <w:tblW w:w="0" w:type="auto"/>
        <w:jc w:val="left"/>
        <w:tblInd w:w="1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46"/>
        <w:gridCol w:w="2946"/>
        <w:gridCol w:w="2946"/>
      </w:tblGrid>
      <w:tr>
        <w:trPr>
          <w:trHeight w:val="421" w:hRule="atLeast"/>
        </w:trPr>
        <w:tc>
          <w:tcPr>
            <w:tcW w:w="2946" w:type="dxa"/>
          </w:tcPr>
          <w:p>
            <w:pPr>
              <w:pStyle w:val="TableParagraph"/>
              <w:spacing w:before="41"/>
              <w:ind w:left="107"/>
              <w:rPr>
                <w:b/>
                <w:sz w:val="21"/>
              </w:rPr>
            </w:pPr>
            <w:r>
              <w:rPr>
                <w:rFonts w:ascii="Times New Roman" w:eastAsia="Times New Roman"/>
                <w:b/>
                <w:sz w:val="21"/>
              </w:rPr>
              <w:t>A </w:t>
            </w:r>
            <w:r>
              <w:rPr>
                <w:b/>
                <w:sz w:val="21"/>
              </w:rPr>
              <w:t>组</w:t>
            </w:r>
          </w:p>
        </w:tc>
        <w:tc>
          <w:tcPr>
            <w:tcW w:w="2946" w:type="dxa"/>
          </w:tcPr>
          <w:p>
            <w:pPr>
              <w:pStyle w:val="TableParagraph"/>
              <w:spacing w:before="41"/>
              <w:ind w:left="107"/>
              <w:rPr>
                <w:b/>
                <w:sz w:val="21"/>
              </w:rPr>
            </w:pPr>
            <w:r>
              <w:rPr>
                <w:rFonts w:ascii="Times New Roman" w:eastAsia="Times New Roman"/>
                <w:b/>
                <w:sz w:val="21"/>
              </w:rPr>
              <w:t>B </w:t>
            </w:r>
            <w:r>
              <w:rPr>
                <w:b/>
                <w:sz w:val="21"/>
              </w:rPr>
              <w:t>组</w:t>
            </w:r>
          </w:p>
        </w:tc>
        <w:tc>
          <w:tcPr>
            <w:tcW w:w="2946" w:type="dxa"/>
          </w:tcPr>
          <w:p>
            <w:pPr>
              <w:pStyle w:val="TableParagraph"/>
              <w:spacing w:before="41"/>
              <w:ind w:left="107"/>
              <w:rPr>
                <w:b/>
                <w:sz w:val="21"/>
              </w:rPr>
            </w:pPr>
            <w:r>
              <w:rPr>
                <w:rFonts w:ascii="Times New Roman" w:eastAsia="Times New Roman"/>
                <w:b/>
                <w:sz w:val="21"/>
              </w:rPr>
              <w:t>C </w:t>
            </w:r>
            <w:r>
              <w:rPr>
                <w:b/>
                <w:sz w:val="21"/>
              </w:rPr>
              <w:t>组</w:t>
            </w:r>
          </w:p>
        </w:tc>
      </w:tr>
      <w:tr>
        <w:trPr>
          <w:trHeight w:val="312" w:hRule="atLeast"/>
        </w:trPr>
        <w:tc>
          <w:tcPr>
            <w:tcW w:w="2946" w:type="dxa"/>
          </w:tcPr>
          <w:p>
            <w:pPr>
              <w:pStyle w:val="TableParagraph"/>
              <w:spacing w:line="277" w:lineRule="exact"/>
              <w:ind w:left="107"/>
              <w:rPr>
                <w:sz w:val="21"/>
              </w:rPr>
            </w:pPr>
            <w:r>
              <w:rPr>
                <w:rFonts w:ascii="Times New Roman" w:eastAsia="Times New Roman"/>
                <w:sz w:val="21"/>
              </w:rPr>
              <w:t>1.</w:t>
            </w:r>
            <w:r>
              <w:rPr>
                <w:sz w:val="21"/>
              </w:rPr>
              <w:t>恶性肿瘤；</w:t>
            </w:r>
          </w:p>
        </w:tc>
        <w:tc>
          <w:tcPr>
            <w:tcW w:w="2946" w:type="dxa"/>
          </w:tcPr>
          <w:p>
            <w:pPr>
              <w:pStyle w:val="TableParagraph"/>
              <w:spacing w:line="277" w:lineRule="exact"/>
              <w:ind w:left="107"/>
              <w:rPr>
                <w:sz w:val="21"/>
              </w:rPr>
            </w:pPr>
            <w:r>
              <w:rPr>
                <w:rFonts w:ascii="Times New Roman" w:eastAsia="Times New Roman"/>
                <w:sz w:val="21"/>
              </w:rPr>
              <w:t>2.</w:t>
            </w:r>
            <w:r>
              <w:rPr>
                <w:sz w:val="21"/>
              </w:rPr>
              <w:t>急性心肌梗塞；</w:t>
            </w:r>
          </w:p>
        </w:tc>
        <w:tc>
          <w:tcPr>
            <w:tcW w:w="2946" w:type="dxa"/>
          </w:tcPr>
          <w:p>
            <w:pPr>
              <w:pStyle w:val="TableParagraph"/>
              <w:spacing w:line="277" w:lineRule="exact"/>
              <w:ind w:left="107"/>
              <w:rPr>
                <w:sz w:val="21"/>
              </w:rPr>
            </w:pPr>
            <w:r>
              <w:rPr>
                <w:rFonts w:ascii="Times New Roman" w:eastAsia="Times New Roman"/>
                <w:sz w:val="21"/>
              </w:rPr>
              <w:t>3.</w:t>
            </w:r>
            <w:r>
              <w:rPr>
                <w:sz w:val="21"/>
              </w:rPr>
              <w:t>脑中风后遗症；</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4.</w:t>
            </w:r>
            <w:r>
              <w:rPr>
                <w:sz w:val="21"/>
              </w:rPr>
              <w:t>重大器官移植术或造血干细</w:t>
            </w:r>
          </w:p>
          <w:p>
            <w:pPr>
              <w:pStyle w:val="TableParagraph"/>
              <w:spacing w:before="21"/>
              <w:ind w:left="107"/>
              <w:rPr>
                <w:sz w:val="21"/>
              </w:rPr>
            </w:pPr>
            <w:r>
              <w:rPr>
                <w:sz w:val="21"/>
              </w:rPr>
              <w:t>胞移植术；</w:t>
            </w:r>
          </w:p>
        </w:tc>
        <w:tc>
          <w:tcPr>
            <w:tcW w:w="2946" w:type="dxa"/>
          </w:tcPr>
          <w:p>
            <w:pPr>
              <w:pStyle w:val="TableParagraph"/>
              <w:spacing w:line="277" w:lineRule="exact"/>
              <w:ind w:left="107"/>
              <w:rPr>
                <w:sz w:val="21"/>
              </w:rPr>
            </w:pPr>
            <w:r>
              <w:rPr>
                <w:rFonts w:ascii="Times New Roman" w:eastAsia="Times New Roman"/>
                <w:sz w:val="21"/>
              </w:rPr>
              <w:t>5.</w:t>
            </w:r>
            <w:r>
              <w:rPr>
                <w:sz w:val="21"/>
              </w:rPr>
              <w:t>冠状动脉搭桥术；</w:t>
            </w:r>
          </w:p>
        </w:tc>
        <w:tc>
          <w:tcPr>
            <w:tcW w:w="2946" w:type="dxa"/>
          </w:tcPr>
          <w:p>
            <w:pPr>
              <w:pStyle w:val="TableParagraph"/>
              <w:spacing w:line="277" w:lineRule="exact"/>
              <w:ind w:left="107"/>
              <w:rPr>
                <w:sz w:val="21"/>
              </w:rPr>
            </w:pPr>
            <w:r>
              <w:rPr>
                <w:rFonts w:ascii="Times New Roman" w:eastAsia="Times New Roman"/>
                <w:sz w:val="21"/>
              </w:rPr>
              <w:t>7.</w:t>
            </w:r>
            <w:r>
              <w:rPr>
                <w:sz w:val="21"/>
              </w:rPr>
              <w:t>多个肢体缺失；</w:t>
            </w:r>
          </w:p>
        </w:tc>
      </w:tr>
      <w:tr>
        <w:trPr>
          <w:trHeight w:val="312" w:hRule="atLeast"/>
        </w:trPr>
        <w:tc>
          <w:tcPr>
            <w:tcW w:w="2946" w:type="dxa"/>
          </w:tcPr>
          <w:p>
            <w:pPr>
              <w:pStyle w:val="TableParagraph"/>
              <w:spacing w:line="277" w:lineRule="exact"/>
              <w:ind w:left="107"/>
              <w:rPr>
                <w:sz w:val="21"/>
              </w:rPr>
            </w:pPr>
            <w:r>
              <w:rPr>
                <w:rFonts w:ascii="Times New Roman" w:eastAsia="Times New Roman"/>
                <w:sz w:val="21"/>
              </w:rPr>
              <w:t>6.</w:t>
            </w:r>
            <w:r>
              <w:rPr>
                <w:sz w:val="21"/>
              </w:rPr>
              <w:t>终末期肾病；</w:t>
            </w:r>
          </w:p>
        </w:tc>
        <w:tc>
          <w:tcPr>
            <w:tcW w:w="2946" w:type="dxa"/>
          </w:tcPr>
          <w:p>
            <w:pPr>
              <w:pStyle w:val="TableParagraph"/>
              <w:spacing w:line="277" w:lineRule="exact"/>
              <w:ind w:left="107"/>
              <w:rPr>
                <w:sz w:val="21"/>
              </w:rPr>
            </w:pPr>
            <w:r>
              <w:rPr>
                <w:rFonts w:ascii="Times New Roman" w:eastAsia="Times New Roman"/>
                <w:sz w:val="21"/>
              </w:rPr>
              <w:t>15.</w:t>
            </w:r>
            <w:r>
              <w:rPr>
                <w:sz w:val="21"/>
              </w:rPr>
              <w:t>心脏瓣膜手术；</w:t>
            </w:r>
          </w:p>
        </w:tc>
        <w:tc>
          <w:tcPr>
            <w:tcW w:w="2946" w:type="dxa"/>
          </w:tcPr>
          <w:p>
            <w:pPr>
              <w:pStyle w:val="TableParagraph"/>
              <w:spacing w:line="277" w:lineRule="exact"/>
              <w:ind w:left="107"/>
              <w:rPr>
                <w:sz w:val="21"/>
              </w:rPr>
            </w:pPr>
            <w:r>
              <w:rPr>
                <w:rFonts w:ascii="Times New Roman" w:eastAsia="Times New Roman"/>
                <w:sz w:val="21"/>
              </w:rPr>
              <w:t>9.</w:t>
            </w:r>
            <w:r>
              <w:rPr>
                <w:sz w:val="21"/>
              </w:rPr>
              <w:t>良性脑肿瘤；</w:t>
            </w:r>
          </w:p>
        </w:tc>
      </w:tr>
      <w:tr>
        <w:trPr>
          <w:trHeight w:val="623" w:hRule="atLeast"/>
        </w:trPr>
        <w:tc>
          <w:tcPr>
            <w:tcW w:w="2946" w:type="dxa"/>
          </w:tcPr>
          <w:p>
            <w:pPr>
              <w:pStyle w:val="TableParagraph"/>
              <w:spacing w:line="275" w:lineRule="exact"/>
              <w:ind w:left="107"/>
              <w:rPr>
                <w:sz w:val="21"/>
              </w:rPr>
            </w:pPr>
            <w:r>
              <w:rPr>
                <w:rFonts w:ascii="Times New Roman" w:eastAsia="Times New Roman"/>
                <w:sz w:val="21"/>
              </w:rPr>
              <w:t>8.</w:t>
            </w:r>
            <w:r>
              <w:rPr>
                <w:sz w:val="21"/>
              </w:rPr>
              <w:t>急性或亚急性重症肝炎；</w:t>
            </w:r>
          </w:p>
        </w:tc>
        <w:tc>
          <w:tcPr>
            <w:tcW w:w="2946" w:type="dxa"/>
          </w:tcPr>
          <w:p>
            <w:pPr>
              <w:pStyle w:val="TableParagraph"/>
              <w:spacing w:line="275" w:lineRule="exact"/>
              <w:ind w:left="107"/>
              <w:rPr>
                <w:sz w:val="21"/>
              </w:rPr>
            </w:pPr>
            <w:r>
              <w:rPr>
                <w:rFonts w:ascii="Times New Roman" w:eastAsia="Times New Roman"/>
                <w:sz w:val="21"/>
              </w:rPr>
              <w:t>20.</w:t>
            </w:r>
            <w:r>
              <w:rPr>
                <w:sz w:val="21"/>
              </w:rPr>
              <w:t>严重原发性肺动脉高压；</w:t>
            </w:r>
          </w:p>
        </w:tc>
        <w:tc>
          <w:tcPr>
            <w:tcW w:w="2946" w:type="dxa"/>
          </w:tcPr>
          <w:p>
            <w:pPr>
              <w:pStyle w:val="TableParagraph"/>
              <w:spacing w:line="275" w:lineRule="exact"/>
              <w:ind w:left="107"/>
              <w:rPr>
                <w:sz w:val="21"/>
              </w:rPr>
            </w:pPr>
            <w:r>
              <w:rPr>
                <w:rFonts w:ascii="Times New Roman" w:eastAsia="Times New Roman"/>
                <w:sz w:val="21"/>
              </w:rPr>
              <w:t>11.</w:t>
            </w:r>
            <w:r>
              <w:rPr>
                <w:sz w:val="21"/>
              </w:rPr>
              <w:t>脑炎后遗症或脑膜炎后遗</w:t>
            </w:r>
          </w:p>
          <w:p>
            <w:pPr>
              <w:pStyle w:val="TableParagraph"/>
              <w:spacing w:before="21"/>
              <w:ind w:left="107"/>
              <w:rPr>
                <w:sz w:val="21"/>
              </w:rPr>
            </w:pPr>
            <w:r>
              <w:rPr>
                <w:sz w:val="21"/>
              </w:rPr>
              <w:t>症；</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10.</w:t>
            </w:r>
            <w:r>
              <w:rPr>
                <w:sz w:val="21"/>
              </w:rPr>
              <w:t>慢性肝功能衰竭失代偿期；</w:t>
            </w:r>
          </w:p>
        </w:tc>
        <w:tc>
          <w:tcPr>
            <w:tcW w:w="2946" w:type="dxa"/>
          </w:tcPr>
          <w:p>
            <w:pPr>
              <w:pStyle w:val="TableParagraph"/>
              <w:spacing w:line="277" w:lineRule="exact"/>
              <w:ind w:left="107"/>
              <w:rPr>
                <w:sz w:val="21"/>
              </w:rPr>
            </w:pPr>
            <w:r>
              <w:rPr>
                <w:rFonts w:ascii="Times New Roman" w:eastAsia="Times New Roman"/>
                <w:sz w:val="21"/>
              </w:rPr>
              <w:t>24.</w:t>
            </w:r>
            <w:r>
              <w:rPr>
                <w:sz w:val="21"/>
              </w:rPr>
              <w:t>主动脉手术；</w:t>
            </w:r>
          </w:p>
        </w:tc>
        <w:tc>
          <w:tcPr>
            <w:tcW w:w="2946" w:type="dxa"/>
          </w:tcPr>
          <w:p>
            <w:pPr>
              <w:pStyle w:val="TableParagraph"/>
              <w:spacing w:line="277" w:lineRule="exact"/>
              <w:ind w:left="107"/>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19.</w:t>
            </w:r>
            <w:r>
              <w:rPr>
                <w:sz w:val="21"/>
              </w:rPr>
              <w:t>严重 </w:t>
            </w:r>
            <w:r>
              <w:rPr>
                <w:rFonts w:ascii="Times New Roman" w:eastAsia="Times New Roman"/>
                <w:sz w:val="21"/>
              </w:rPr>
              <w:t>III </w:t>
            </w:r>
            <w:r>
              <w:rPr>
                <w:sz w:val="21"/>
              </w:rPr>
              <w:t>度烧伤；</w:t>
            </w:r>
          </w:p>
        </w:tc>
        <w:tc>
          <w:tcPr>
            <w:tcW w:w="2946" w:type="dxa"/>
          </w:tcPr>
          <w:p>
            <w:pPr>
              <w:pStyle w:val="TableParagraph"/>
              <w:spacing w:line="277" w:lineRule="exact"/>
              <w:ind w:left="107"/>
              <w:rPr>
                <w:sz w:val="21"/>
              </w:rPr>
            </w:pPr>
            <w:r>
              <w:rPr>
                <w:rFonts w:ascii="Times New Roman" w:eastAsia="Times New Roman"/>
                <w:sz w:val="21"/>
              </w:rPr>
              <w:t>27.</w:t>
            </w:r>
            <w:r>
              <w:rPr>
                <w:sz w:val="21"/>
              </w:rPr>
              <w:t>坏死性筋膜炎；</w:t>
            </w:r>
          </w:p>
        </w:tc>
        <w:tc>
          <w:tcPr>
            <w:tcW w:w="2946" w:type="dxa"/>
          </w:tcPr>
          <w:p>
            <w:pPr>
              <w:pStyle w:val="TableParagraph"/>
              <w:spacing w:line="277" w:lineRule="exact"/>
              <w:ind w:left="107"/>
              <w:rPr>
                <w:sz w:val="21"/>
              </w:rPr>
            </w:pPr>
            <w:r>
              <w:rPr>
                <w:rFonts w:ascii="Times New Roman" w:eastAsia="Times New Roman"/>
                <w:sz w:val="21"/>
              </w:rPr>
              <w:t>13.</w:t>
            </w:r>
            <w:r>
              <w:rPr>
                <w:sz w:val="21"/>
              </w:rPr>
              <w:t>双目失明</w:t>
            </w:r>
            <w:r>
              <w:rPr>
                <w:rFonts w:ascii="Times New Roman" w:eastAsia="Times New Roman"/>
                <w:sz w:val="21"/>
              </w:rPr>
              <w:t>-</w:t>
            </w:r>
            <w:r>
              <w:rPr>
                <w:sz w:val="21"/>
              </w:rPr>
              <w:t>三周岁始理赔；</w:t>
            </w:r>
          </w:p>
        </w:tc>
      </w:tr>
      <w:tr>
        <w:trPr>
          <w:trHeight w:val="509" w:hRule="atLeast"/>
        </w:trPr>
        <w:tc>
          <w:tcPr>
            <w:tcW w:w="2946" w:type="dxa"/>
          </w:tcPr>
          <w:p>
            <w:pPr>
              <w:pStyle w:val="TableParagraph"/>
              <w:spacing w:line="275" w:lineRule="exact"/>
              <w:ind w:left="107"/>
              <w:rPr>
                <w:sz w:val="21"/>
              </w:rPr>
            </w:pPr>
            <w:r>
              <w:rPr>
                <w:rFonts w:ascii="Times New Roman" w:eastAsia="Times New Roman"/>
                <w:sz w:val="21"/>
              </w:rPr>
              <w:t>23.</w:t>
            </w:r>
            <w:r>
              <w:rPr>
                <w:sz w:val="21"/>
              </w:rPr>
              <w:t>重型再生障碍性贫血；</w:t>
            </w:r>
          </w:p>
        </w:tc>
        <w:tc>
          <w:tcPr>
            <w:tcW w:w="2946" w:type="dxa"/>
          </w:tcPr>
          <w:p>
            <w:pPr>
              <w:pStyle w:val="TableParagraph"/>
              <w:spacing w:line="275" w:lineRule="exact"/>
              <w:ind w:left="107"/>
              <w:rPr>
                <w:sz w:val="21"/>
              </w:rPr>
            </w:pPr>
            <w:r>
              <w:rPr>
                <w:rFonts w:ascii="Times New Roman" w:eastAsia="Times New Roman"/>
                <w:sz w:val="21"/>
              </w:rPr>
              <w:t>29.</w:t>
            </w:r>
            <w:r>
              <w:rPr>
                <w:sz w:val="21"/>
              </w:rPr>
              <w:t>全身性重症肌无力；</w:t>
            </w:r>
          </w:p>
        </w:tc>
        <w:tc>
          <w:tcPr>
            <w:tcW w:w="2946" w:type="dxa"/>
          </w:tcPr>
          <w:p>
            <w:pPr>
              <w:pStyle w:val="TableParagraph"/>
              <w:spacing w:line="275" w:lineRule="exact"/>
              <w:ind w:left="107"/>
              <w:rPr>
                <w:sz w:val="21"/>
              </w:rPr>
            </w:pPr>
            <w:r>
              <w:rPr>
                <w:rFonts w:ascii="Times New Roman" w:eastAsia="Times New Roman"/>
                <w:sz w:val="21"/>
              </w:rPr>
              <w:t>14.</w:t>
            </w:r>
            <w:r>
              <w:rPr>
                <w:sz w:val="21"/>
              </w:rPr>
              <w:t>瘫痪；</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25.</w:t>
            </w:r>
            <w:r>
              <w:rPr>
                <w:sz w:val="21"/>
              </w:rPr>
              <w:t>慢性呼吸功能衰竭；</w:t>
            </w:r>
          </w:p>
        </w:tc>
        <w:tc>
          <w:tcPr>
            <w:tcW w:w="2946" w:type="dxa"/>
          </w:tcPr>
          <w:p>
            <w:pPr>
              <w:pStyle w:val="TableParagraph"/>
              <w:spacing w:line="277" w:lineRule="exact"/>
              <w:ind w:left="107"/>
              <w:rPr>
                <w:sz w:val="21"/>
              </w:rPr>
            </w:pPr>
            <w:r>
              <w:rPr>
                <w:rFonts w:ascii="Times New Roman" w:eastAsia="Times New Roman"/>
                <w:sz w:val="21"/>
              </w:rPr>
              <w:t>30.</w:t>
            </w:r>
            <w:r>
              <w:rPr>
                <w:sz w:val="21"/>
              </w:rPr>
              <w:t>严重心肌病；</w:t>
            </w:r>
          </w:p>
        </w:tc>
        <w:tc>
          <w:tcPr>
            <w:tcW w:w="2946" w:type="dxa"/>
          </w:tcPr>
          <w:p>
            <w:pPr>
              <w:pStyle w:val="TableParagraph"/>
              <w:spacing w:line="277" w:lineRule="exact"/>
              <w:ind w:left="107"/>
              <w:rPr>
                <w:sz w:val="21"/>
              </w:rPr>
            </w:pPr>
            <w:r>
              <w:rPr>
                <w:rFonts w:ascii="Times New Roman" w:eastAsia="Times New Roman"/>
                <w:sz w:val="21"/>
              </w:rPr>
              <w:t>16.</w:t>
            </w:r>
            <w:r>
              <w:rPr>
                <w:sz w:val="21"/>
              </w:rPr>
              <w:t>严重阿尔茨海默病</w:t>
            </w:r>
            <w:r>
              <w:rPr>
                <w:rFonts w:ascii="Times New Roman" w:eastAsia="Times New Roman"/>
                <w:sz w:val="21"/>
              </w:rPr>
              <w:t>-</w:t>
            </w:r>
            <w:r>
              <w:rPr>
                <w:sz w:val="21"/>
              </w:rPr>
              <w:t>限七十</w:t>
            </w:r>
          </w:p>
          <w:p>
            <w:pPr>
              <w:pStyle w:val="TableParagraph"/>
              <w:spacing w:before="21"/>
              <w:ind w:left="107"/>
              <w:rPr>
                <w:sz w:val="21"/>
              </w:rPr>
            </w:pPr>
            <w:r>
              <w:rPr>
                <w:sz w:val="21"/>
              </w:rPr>
              <w:t>周岁前发病；</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28.</w:t>
            </w:r>
            <w:r>
              <w:rPr>
                <w:sz w:val="21"/>
              </w:rPr>
              <w:t>急性坏死性胰腺炎；</w:t>
            </w:r>
          </w:p>
        </w:tc>
        <w:tc>
          <w:tcPr>
            <w:tcW w:w="2946" w:type="dxa"/>
          </w:tcPr>
          <w:p>
            <w:pPr>
              <w:pStyle w:val="TableParagraph"/>
              <w:spacing w:line="277" w:lineRule="exact"/>
              <w:ind w:left="107"/>
              <w:rPr>
                <w:sz w:val="21"/>
              </w:rPr>
            </w:pPr>
            <w:r>
              <w:rPr>
                <w:rFonts w:ascii="Times New Roman" w:eastAsia="Times New Roman"/>
                <w:sz w:val="21"/>
              </w:rPr>
              <w:t>31.</w:t>
            </w:r>
            <w:r>
              <w:rPr>
                <w:sz w:val="21"/>
              </w:rPr>
              <w:t>严重类风湿性关节炎</w:t>
            </w:r>
          </w:p>
        </w:tc>
        <w:tc>
          <w:tcPr>
            <w:tcW w:w="2946" w:type="dxa"/>
          </w:tcPr>
          <w:p>
            <w:pPr>
              <w:pStyle w:val="TableParagraph"/>
              <w:spacing w:line="277" w:lineRule="exact"/>
              <w:ind w:left="107"/>
              <w:rPr>
                <w:sz w:val="21"/>
              </w:rPr>
            </w:pPr>
            <w:r>
              <w:rPr>
                <w:rFonts w:ascii="Times New Roman" w:eastAsia="Times New Roman"/>
                <w:sz w:val="21"/>
              </w:rPr>
              <w:t>17.</w:t>
            </w:r>
            <w:r>
              <w:rPr>
                <w:sz w:val="21"/>
              </w:rPr>
              <w:t>严重脑损伤；</w:t>
            </w:r>
          </w:p>
        </w:tc>
      </w:tr>
      <w:tr>
        <w:trPr>
          <w:trHeight w:val="623" w:hRule="atLeast"/>
        </w:trPr>
        <w:tc>
          <w:tcPr>
            <w:tcW w:w="2946" w:type="dxa"/>
          </w:tcPr>
          <w:p>
            <w:pPr>
              <w:pStyle w:val="TableParagraph"/>
              <w:spacing w:line="275" w:lineRule="exact"/>
              <w:ind w:left="107"/>
              <w:rPr>
                <w:sz w:val="21"/>
              </w:rPr>
            </w:pPr>
            <w:r>
              <w:rPr>
                <w:rFonts w:ascii="Times New Roman" w:eastAsia="Times New Roman"/>
                <w:sz w:val="21"/>
              </w:rPr>
              <w:t>32. </w:t>
            </w:r>
            <w:r>
              <w:rPr>
                <w:spacing w:val="16"/>
                <w:sz w:val="21"/>
              </w:rPr>
              <w:t>系统性红斑狼疮</w:t>
            </w:r>
            <w:r>
              <w:rPr>
                <w:rFonts w:ascii="Times New Roman" w:eastAsia="Times New Roman"/>
                <w:sz w:val="21"/>
              </w:rPr>
              <w:t>-III</w:t>
            </w:r>
            <w:r>
              <w:rPr>
                <w:rFonts w:ascii="Times New Roman" w:eastAsia="Times New Roman"/>
                <w:spacing w:val="11"/>
                <w:sz w:val="21"/>
              </w:rPr>
              <w:t>  </w:t>
            </w:r>
            <w:r>
              <w:rPr>
                <w:spacing w:val="17"/>
                <w:sz w:val="21"/>
              </w:rPr>
              <w:t>型或</w:t>
            </w:r>
          </w:p>
          <w:p>
            <w:pPr>
              <w:pStyle w:val="TableParagraph"/>
              <w:spacing w:before="21"/>
              <w:ind w:left="107"/>
              <w:rPr>
                <w:sz w:val="21"/>
              </w:rPr>
            </w:pPr>
            <w:r>
              <w:rPr>
                <w:sz w:val="21"/>
              </w:rPr>
              <w:t>以上狼疮性肾炎；</w:t>
            </w:r>
          </w:p>
        </w:tc>
        <w:tc>
          <w:tcPr>
            <w:tcW w:w="2946" w:type="dxa"/>
          </w:tcPr>
          <w:p>
            <w:pPr>
              <w:pStyle w:val="TableParagraph"/>
              <w:rPr>
                <w:rFonts w:ascii="Times New Roman"/>
                <w:sz w:val="20"/>
              </w:rPr>
            </w:pPr>
          </w:p>
        </w:tc>
        <w:tc>
          <w:tcPr>
            <w:tcW w:w="2946" w:type="dxa"/>
          </w:tcPr>
          <w:p>
            <w:pPr>
              <w:pStyle w:val="TableParagraph"/>
              <w:spacing w:line="275" w:lineRule="exact"/>
              <w:ind w:left="107"/>
              <w:rPr>
                <w:sz w:val="21"/>
              </w:rPr>
            </w:pPr>
            <w:r>
              <w:rPr>
                <w:rFonts w:ascii="Times New Roman" w:eastAsia="Times New Roman"/>
                <w:sz w:val="21"/>
              </w:rPr>
              <w:t>18.</w:t>
            </w:r>
            <w:r>
              <w:rPr>
                <w:sz w:val="21"/>
              </w:rPr>
              <w:t>严重帕金森病；</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33.</w:t>
            </w:r>
            <w:r>
              <w:rPr>
                <w:sz w:val="21"/>
              </w:rPr>
              <w:t>因职业关系导致的人类免</w:t>
            </w:r>
          </w:p>
          <w:p>
            <w:pPr>
              <w:pStyle w:val="TableParagraph"/>
              <w:spacing w:before="21"/>
              <w:ind w:left="107"/>
              <w:rPr>
                <w:sz w:val="21"/>
              </w:rPr>
            </w:pPr>
            <w:r>
              <w:rPr>
                <w:w w:val="95"/>
                <w:sz w:val="21"/>
              </w:rPr>
              <w:t>疫缺陷病毒（</w:t>
            </w:r>
            <w:r>
              <w:rPr>
                <w:rFonts w:ascii="Times New Roman" w:eastAsia="Times New Roman"/>
                <w:w w:val="95"/>
                <w:sz w:val="21"/>
              </w:rPr>
              <w:t>HIV</w:t>
            </w:r>
            <w:r>
              <w:rPr>
                <w:w w:val="95"/>
                <w:sz w:val="21"/>
              </w:rPr>
              <w:t>）感染；</w:t>
            </w:r>
          </w:p>
        </w:tc>
        <w:tc>
          <w:tcPr>
            <w:tcW w:w="2946" w:type="dxa"/>
          </w:tcPr>
          <w:p>
            <w:pPr>
              <w:pStyle w:val="TableParagraph"/>
              <w:rPr>
                <w:rFonts w:ascii="Times New Roman"/>
                <w:sz w:val="20"/>
              </w:rPr>
            </w:pPr>
          </w:p>
        </w:tc>
        <w:tc>
          <w:tcPr>
            <w:tcW w:w="2946" w:type="dxa"/>
          </w:tcPr>
          <w:p>
            <w:pPr>
              <w:pStyle w:val="TableParagraph"/>
              <w:spacing w:line="277" w:lineRule="exact"/>
              <w:ind w:left="107"/>
              <w:rPr>
                <w:sz w:val="21"/>
              </w:rPr>
            </w:pPr>
            <w:r>
              <w:rPr>
                <w:rFonts w:ascii="Times New Roman" w:eastAsia="Times New Roman"/>
                <w:sz w:val="21"/>
              </w:rPr>
              <w:t>21.</w:t>
            </w:r>
            <w:r>
              <w:rPr>
                <w:sz w:val="21"/>
              </w:rPr>
              <w:t>严重运动神经元病；</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34.</w:t>
            </w:r>
            <w:r>
              <w:rPr>
                <w:sz w:val="21"/>
              </w:rPr>
              <w:t>经输血导致的人类免疫缺</w:t>
            </w:r>
          </w:p>
          <w:p>
            <w:pPr>
              <w:pStyle w:val="TableParagraph"/>
              <w:spacing w:before="21"/>
              <w:ind w:left="107"/>
              <w:rPr>
                <w:sz w:val="21"/>
              </w:rPr>
            </w:pPr>
            <w:r>
              <w:rPr>
                <w:w w:val="95"/>
                <w:sz w:val="21"/>
              </w:rPr>
              <w:t>陷病毒（</w:t>
            </w:r>
            <w:r>
              <w:rPr>
                <w:rFonts w:ascii="Times New Roman" w:eastAsia="Times New Roman"/>
                <w:w w:val="95"/>
                <w:sz w:val="21"/>
              </w:rPr>
              <w:t>HIV</w:t>
            </w:r>
            <w:r>
              <w:rPr>
                <w:w w:val="95"/>
                <w:sz w:val="21"/>
              </w:rPr>
              <w:t>）感染；</w:t>
            </w:r>
          </w:p>
        </w:tc>
        <w:tc>
          <w:tcPr>
            <w:tcW w:w="2946" w:type="dxa"/>
          </w:tcPr>
          <w:p>
            <w:pPr>
              <w:pStyle w:val="TableParagraph"/>
              <w:rPr>
                <w:rFonts w:ascii="Times New Roman"/>
                <w:sz w:val="20"/>
              </w:rPr>
            </w:pPr>
          </w:p>
        </w:tc>
        <w:tc>
          <w:tcPr>
            <w:tcW w:w="2946" w:type="dxa"/>
          </w:tcPr>
          <w:p>
            <w:pPr>
              <w:pStyle w:val="TableParagraph"/>
              <w:spacing w:line="277" w:lineRule="exact"/>
              <w:ind w:left="107"/>
              <w:rPr>
                <w:sz w:val="21"/>
              </w:rPr>
            </w:pPr>
            <w:r>
              <w:rPr>
                <w:rFonts w:ascii="Times New Roman" w:eastAsia="Times New Roman"/>
                <w:sz w:val="21"/>
              </w:rPr>
              <w:t>22.</w:t>
            </w:r>
            <w:r>
              <w:rPr>
                <w:sz w:val="21"/>
              </w:rPr>
              <w:t>语言能力丧失</w:t>
            </w:r>
            <w:r>
              <w:rPr>
                <w:rFonts w:ascii="Times New Roman" w:eastAsia="Times New Roman"/>
                <w:sz w:val="21"/>
              </w:rPr>
              <w:t>-</w:t>
            </w:r>
            <w:r>
              <w:rPr>
                <w:sz w:val="21"/>
              </w:rPr>
              <w:t>三周岁始理</w:t>
            </w:r>
          </w:p>
          <w:p>
            <w:pPr>
              <w:pStyle w:val="TableParagraph"/>
              <w:spacing w:before="21"/>
              <w:ind w:left="107"/>
              <w:rPr>
                <w:sz w:val="21"/>
              </w:rPr>
            </w:pPr>
            <w:r>
              <w:rPr>
                <w:sz w:val="21"/>
              </w:rPr>
              <w:t>赔；</w:t>
            </w:r>
          </w:p>
        </w:tc>
      </w:tr>
      <w:tr>
        <w:trPr>
          <w:trHeight w:val="311" w:hRule="atLeast"/>
        </w:trPr>
        <w:tc>
          <w:tcPr>
            <w:tcW w:w="2946" w:type="dxa"/>
          </w:tcPr>
          <w:p>
            <w:pPr>
              <w:pStyle w:val="TableParagraph"/>
              <w:spacing w:line="275" w:lineRule="exact"/>
              <w:ind w:left="107"/>
              <w:rPr>
                <w:sz w:val="21"/>
              </w:rPr>
            </w:pPr>
            <w:r>
              <w:rPr>
                <w:rFonts w:ascii="Times New Roman" w:eastAsia="Times New Roman"/>
                <w:sz w:val="21"/>
              </w:rPr>
              <w:t>35.</w:t>
            </w:r>
            <w:r>
              <w:rPr>
                <w:sz w:val="21"/>
              </w:rPr>
              <w:t>严重克隆病</w:t>
            </w:r>
          </w:p>
        </w:tc>
        <w:tc>
          <w:tcPr>
            <w:tcW w:w="2946" w:type="dxa"/>
          </w:tcPr>
          <w:p>
            <w:pPr>
              <w:pStyle w:val="TableParagraph"/>
              <w:rPr>
                <w:rFonts w:ascii="Times New Roman"/>
                <w:sz w:val="20"/>
              </w:rPr>
            </w:pPr>
          </w:p>
        </w:tc>
        <w:tc>
          <w:tcPr>
            <w:tcW w:w="2946" w:type="dxa"/>
          </w:tcPr>
          <w:p>
            <w:pPr>
              <w:pStyle w:val="TableParagraph"/>
              <w:spacing w:line="275" w:lineRule="exact"/>
              <w:ind w:left="107"/>
              <w:rPr>
                <w:sz w:val="21"/>
              </w:rPr>
            </w:pPr>
            <w:r>
              <w:rPr>
                <w:rFonts w:ascii="Times New Roman" w:eastAsia="Times New Roman"/>
                <w:sz w:val="21"/>
              </w:rPr>
              <w:t>26.</w:t>
            </w:r>
            <w:r>
              <w:rPr>
                <w:sz w:val="21"/>
              </w:rPr>
              <w:t>严重多发性硬化；</w:t>
            </w:r>
          </w:p>
        </w:tc>
      </w:tr>
    </w:tbl>
    <w:sectPr>
      <w:type w:val="continuous"/>
      <w:pgSz w:w="11910" w:h="16840"/>
      <w:pgMar w:top="220" w:bottom="280" w:left="8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948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upperRoman"/>
      <w:lvlText w:val="%1"/>
      <w:lvlJc w:val="left"/>
      <w:pPr>
        <w:ind w:left="325" w:hanging="211"/>
        <w:jc w:val="right"/>
      </w:pPr>
      <w:rPr>
        <w:rFonts w:hint="default" w:ascii="宋体" w:hAnsi="宋体" w:eastAsia="宋体" w:cs="宋体"/>
        <w:spacing w:val="-2"/>
        <w:w w:val="100"/>
        <w:sz w:val="21"/>
        <w:szCs w:val="21"/>
      </w:rPr>
    </w:lvl>
    <w:lvl w:ilvl="1">
      <w:start w:val="0"/>
      <w:numFmt w:val="bullet"/>
      <w:lvlText w:val="•"/>
      <w:lvlJc w:val="left"/>
      <w:pPr>
        <w:ind w:left="1031" w:hanging="211"/>
      </w:pPr>
      <w:rPr>
        <w:rFonts w:hint="default"/>
      </w:rPr>
    </w:lvl>
    <w:lvl w:ilvl="2">
      <w:start w:val="0"/>
      <w:numFmt w:val="bullet"/>
      <w:lvlText w:val="•"/>
      <w:lvlJc w:val="left"/>
      <w:pPr>
        <w:ind w:left="1742" w:hanging="211"/>
      </w:pPr>
      <w:rPr>
        <w:rFonts w:hint="default"/>
      </w:rPr>
    </w:lvl>
    <w:lvl w:ilvl="3">
      <w:start w:val="0"/>
      <w:numFmt w:val="bullet"/>
      <w:lvlText w:val="•"/>
      <w:lvlJc w:val="left"/>
      <w:pPr>
        <w:ind w:left="2454" w:hanging="211"/>
      </w:pPr>
      <w:rPr>
        <w:rFonts w:hint="default"/>
      </w:rPr>
    </w:lvl>
    <w:lvl w:ilvl="4">
      <w:start w:val="0"/>
      <w:numFmt w:val="bullet"/>
      <w:lvlText w:val="•"/>
      <w:lvlJc w:val="left"/>
      <w:pPr>
        <w:ind w:left="3165" w:hanging="211"/>
      </w:pPr>
      <w:rPr>
        <w:rFonts w:hint="default"/>
      </w:rPr>
    </w:lvl>
    <w:lvl w:ilvl="5">
      <w:start w:val="0"/>
      <w:numFmt w:val="bullet"/>
      <w:lvlText w:val="•"/>
      <w:lvlJc w:val="left"/>
      <w:pPr>
        <w:ind w:left="3876" w:hanging="211"/>
      </w:pPr>
      <w:rPr>
        <w:rFonts w:hint="default"/>
      </w:rPr>
    </w:lvl>
    <w:lvl w:ilvl="6">
      <w:start w:val="0"/>
      <w:numFmt w:val="bullet"/>
      <w:lvlText w:val="•"/>
      <w:lvlJc w:val="left"/>
      <w:pPr>
        <w:ind w:left="4588" w:hanging="211"/>
      </w:pPr>
      <w:rPr>
        <w:rFonts w:hint="default"/>
      </w:rPr>
    </w:lvl>
    <w:lvl w:ilvl="7">
      <w:start w:val="0"/>
      <w:numFmt w:val="bullet"/>
      <w:lvlText w:val="•"/>
      <w:lvlJc w:val="left"/>
      <w:pPr>
        <w:ind w:left="5299" w:hanging="211"/>
      </w:pPr>
      <w:rPr>
        <w:rFonts w:hint="default"/>
      </w:rPr>
    </w:lvl>
    <w:lvl w:ilvl="8">
      <w:start w:val="0"/>
      <w:numFmt w:val="bullet"/>
      <w:lvlText w:val="•"/>
      <w:lvlJc w:val="left"/>
      <w:pPr>
        <w:ind w:left="6010" w:hanging="211"/>
      </w:pPr>
      <w:rPr>
        <w:rFonts w:hint="default"/>
      </w:rPr>
    </w:lvl>
  </w:abstractNum>
  <w:abstractNum w:abstractNumId="14">
    <w:multiLevelType w:val="hybridMultilevel"/>
    <w:lvl w:ilvl="0">
      <w:start w:val="1"/>
      <w:numFmt w:val="decimal"/>
      <w:lvlText w:val="(%1)"/>
      <w:lvlJc w:val="left"/>
      <w:pPr>
        <w:ind w:left="539" w:hanging="420"/>
        <w:jc w:val="left"/>
      </w:pPr>
      <w:rPr>
        <w:rFonts w:hint="default" w:ascii="宋体" w:hAnsi="宋体" w:eastAsia="宋体" w:cs="宋体"/>
        <w:spacing w:val="-1"/>
        <w:w w:val="100"/>
        <w:sz w:val="21"/>
        <w:szCs w:val="21"/>
      </w:rPr>
    </w:lvl>
    <w:lvl w:ilvl="1">
      <w:start w:val="0"/>
      <w:numFmt w:val="bullet"/>
      <w:lvlText w:val="•"/>
      <w:lvlJc w:val="left"/>
      <w:pPr>
        <w:ind w:left="123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39" w:hanging="420"/>
      </w:pPr>
      <w:rPr>
        <w:rFonts w:hint="default"/>
      </w:rPr>
    </w:lvl>
    <w:lvl w:ilvl="5">
      <w:start w:val="0"/>
      <w:numFmt w:val="bullet"/>
      <w:lvlText w:val="•"/>
      <w:lvlJc w:val="left"/>
      <w:pPr>
        <w:ind w:left="4038" w:hanging="420"/>
      </w:pPr>
      <w:rPr>
        <w:rFonts w:hint="default"/>
      </w:rPr>
    </w:lvl>
    <w:lvl w:ilvl="6">
      <w:start w:val="0"/>
      <w:numFmt w:val="bullet"/>
      <w:lvlText w:val="•"/>
      <w:lvlJc w:val="left"/>
      <w:pPr>
        <w:ind w:left="4738" w:hanging="420"/>
      </w:pPr>
      <w:rPr>
        <w:rFonts w:hint="default"/>
      </w:rPr>
    </w:lvl>
    <w:lvl w:ilvl="7">
      <w:start w:val="0"/>
      <w:numFmt w:val="bullet"/>
      <w:lvlText w:val="•"/>
      <w:lvlJc w:val="left"/>
      <w:pPr>
        <w:ind w:left="5438" w:hanging="420"/>
      </w:pPr>
      <w:rPr>
        <w:rFonts w:hint="default"/>
      </w:rPr>
    </w:lvl>
    <w:lvl w:ilvl="8">
      <w:start w:val="0"/>
      <w:numFmt w:val="bullet"/>
      <w:lvlText w:val="•"/>
      <w:lvlJc w:val="left"/>
      <w:pPr>
        <w:ind w:left="6138" w:hanging="420"/>
      </w:pPr>
      <w:rPr>
        <w:rFonts w:hint="default"/>
      </w:rPr>
    </w:lvl>
  </w:abstractNum>
  <w:abstractNum w:abstractNumId="13">
    <w:multiLevelType w:val="hybridMultilevel"/>
    <w:lvl w:ilvl="0">
      <w:start w:val="8"/>
      <w:numFmt w:val="decimal"/>
      <w:lvlText w:val="%1"/>
      <w:lvlJc w:val="left"/>
      <w:pPr>
        <w:ind w:left="2906" w:hanging="736"/>
        <w:jc w:val="left"/>
      </w:pPr>
      <w:rPr>
        <w:rFonts w:hint="default"/>
      </w:rPr>
    </w:lvl>
    <w:lvl w:ilvl="1">
      <w:start w:val="3"/>
      <w:numFmt w:val="decimal"/>
      <w:lvlText w:val="%1.%2"/>
      <w:lvlJc w:val="left"/>
      <w:pPr>
        <w:ind w:left="2906" w:hanging="736"/>
        <w:jc w:val="left"/>
      </w:pPr>
      <w:rPr>
        <w:rFonts w:hint="default" w:ascii="宋体" w:hAnsi="宋体" w:eastAsia="宋体" w:cs="宋体"/>
        <w:b/>
        <w:bCs/>
        <w:spacing w:val="0"/>
        <w:w w:val="99"/>
        <w:sz w:val="21"/>
        <w:szCs w:val="21"/>
      </w:rPr>
    </w:lvl>
    <w:lvl w:ilvl="2">
      <w:start w:val="0"/>
      <w:numFmt w:val="bullet"/>
      <w:lvlText w:val="•"/>
      <w:lvlJc w:val="left"/>
      <w:pPr>
        <w:ind w:left="4384" w:hanging="736"/>
      </w:pPr>
      <w:rPr>
        <w:rFonts w:hint="default"/>
      </w:rPr>
    </w:lvl>
    <w:lvl w:ilvl="3">
      <w:start w:val="0"/>
      <w:numFmt w:val="bullet"/>
      <w:lvlText w:val="•"/>
      <w:lvlJc w:val="left"/>
      <w:pPr>
        <w:ind w:left="5127" w:hanging="736"/>
      </w:pPr>
      <w:rPr>
        <w:rFonts w:hint="default"/>
      </w:rPr>
    </w:lvl>
    <w:lvl w:ilvl="4">
      <w:start w:val="0"/>
      <w:numFmt w:val="bullet"/>
      <w:lvlText w:val="•"/>
      <w:lvlJc w:val="left"/>
      <w:pPr>
        <w:ind w:left="5869" w:hanging="736"/>
      </w:pPr>
      <w:rPr>
        <w:rFonts w:hint="default"/>
      </w:rPr>
    </w:lvl>
    <w:lvl w:ilvl="5">
      <w:start w:val="0"/>
      <w:numFmt w:val="bullet"/>
      <w:lvlText w:val="•"/>
      <w:lvlJc w:val="left"/>
      <w:pPr>
        <w:ind w:left="6612" w:hanging="736"/>
      </w:pPr>
      <w:rPr>
        <w:rFonts w:hint="default"/>
      </w:rPr>
    </w:lvl>
    <w:lvl w:ilvl="6">
      <w:start w:val="0"/>
      <w:numFmt w:val="bullet"/>
      <w:lvlText w:val="•"/>
      <w:lvlJc w:val="left"/>
      <w:pPr>
        <w:ind w:left="7354" w:hanging="736"/>
      </w:pPr>
      <w:rPr>
        <w:rFonts w:hint="default"/>
      </w:rPr>
    </w:lvl>
    <w:lvl w:ilvl="7">
      <w:start w:val="0"/>
      <w:numFmt w:val="bullet"/>
      <w:lvlText w:val="•"/>
      <w:lvlJc w:val="left"/>
      <w:pPr>
        <w:ind w:left="8097" w:hanging="736"/>
      </w:pPr>
      <w:rPr>
        <w:rFonts w:hint="default"/>
      </w:rPr>
    </w:lvl>
    <w:lvl w:ilvl="8">
      <w:start w:val="0"/>
      <w:numFmt w:val="bullet"/>
      <w:lvlText w:val="•"/>
      <w:lvlJc w:val="left"/>
      <w:pPr>
        <w:ind w:left="8839" w:hanging="736"/>
      </w:pPr>
      <w:rPr>
        <w:rFonts w:hint="default"/>
      </w:rPr>
    </w:lvl>
  </w:abstractNum>
  <w:abstractNum w:abstractNumId="12">
    <w:multiLevelType w:val="hybridMultilevel"/>
    <w:lvl w:ilvl="0">
      <w:start w:val="7"/>
      <w:numFmt w:val="decimal"/>
      <w:lvlText w:val="%1"/>
      <w:lvlJc w:val="left"/>
      <w:pPr>
        <w:ind w:left="955" w:hanging="736"/>
        <w:jc w:val="left"/>
      </w:pPr>
      <w:rPr>
        <w:rFonts w:hint="default"/>
      </w:rPr>
    </w:lvl>
    <w:lvl w:ilvl="1">
      <w:start w:val="1"/>
      <w:numFmt w:val="decimal"/>
      <w:lvlText w:val="%1.%2"/>
      <w:lvlJc w:val="left"/>
      <w:pPr>
        <w:ind w:left="955" w:hanging="736"/>
        <w:jc w:val="left"/>
      </w:pPr>
      <w:rPr>
        <w:rFonts w:hint="default" w:ascii="宋体" w:hAnsi="宋体" w:eastAsia="宋体" w:cs="宋体"/>
        <w:b/>
        <w:bCs/>
        <w:spacing w:val="0"/>
        <w:w w:val="99"/>
        <w:sz w:val="21"/>
        <w:szCs w:val="21"/>
      </w:rPr>
    </w:lvl>
    <w:lvl w:ilvl="2">
      <w:start w:val="0"/>
      <w:numFmt w:val="bullet"/>
      <w:lvlText w:val="•"/>
      <w:lvlJc w:val="left"/>
      <w:pPr>
        <w:ind w:left="1296" w:hanging="736"/>
      </w:pPr>
      <w:rPr>
        <w:rFonts w:hint="default"/>
      </w:rPr>
    </w:lvl>
    <w:lvl w:ilvl="3">
      <w:start w:val="0"/>
      <w:numFmt w:val="bullet"/>
      <w:lvlText w:val="•"/>
      <w:lvlJc w:val="left"/>
      <w:pPr>
        <w:ind w:left="1464" w:hanging="736"/>
      </w:pPr>
      <w:rPr>
        <w:rFonts w:hint="default"/>
      </w:rPr>
    </w:lvl>
    <w:lvl w:ilvl="4">
      <w:start w:val="0"/>
      <w:numFmt w:val="bullet"/>
      <w:lvlText w:val="•"/>
      <w:lvlJc w:val="left"/>
      <w:pPr>
        <w:ind w:left="1632" w:hanging="736"/>
      </w:pPr>
      <w:rPr>
        <w:rFonts w:hint="default"/>
      </w:rPr>
    </w:lvl>
    <w:lvl w:ilvl="5">
      <w:start w:val="0"/>
      <w:numFmt w:val="bullet"/>
      <w:lvlText w:val="•"/>
      <w:lvlJc w:val="left"/>
      <w:pPr>
        <w:ind w:left="1801" w:hanging="736"/>
      </w:pPr>
      <w:rPr>
        <w:rFonts w:hint="default"/>
      </w:rPr>
    </w:lvl>
    <w:lvl w:ilvl="6">
      <w:start w:val="0"/>
      <w:numFmt w:val="bullet"/>
      <w:lvlText w:val="•"/>
      <w:lvlJc w:val="left"/>
      <w:pPr>
        <w:ind w:left="1969" w:hanging="736"/>
      </w:pPr>
      <w:rPr>
        <w:rFonts w:hint="default"/>
      </w:rPr>
    </w:lvl>
    <w:lvl w:ilvl="7">
      <w:start w:val="0"/>
      <w:numFmt w:val="bullet"/>
      <w:lvlText w:val="•"/>
      <w:lvlJc w:val="left"/>
      <w:pPr>
        <w:ind w:left="2137" w:hanging="736"/>
      </w:pPr>
      <w:rPr>
        <w:rFonts w:hint="default"/>
      </w:rPr>
    </w:lvl>
    <w:lvl w:ilvl="8">
      <w:start w:val="0"/>
      <w:numFmt w:val="bullet"/>
      <w:lvlText w:val="•"/>
      <w:lvlJc w:val="left"/>
      <w:pPr>
        <w:ind w:left="2305" w:hanging="736"/>
      </w:pPr>
      <w:rPr>
        <w:rFonts w:hint="default"/>
      </w:rPr>
    </w:lvl>
  </w:abstractNum>
  <w:abstractNum w:abstractNumId="11">
    <w:multiLevelType w:val="hybridMultilevel"/>
    <w:lvl w:ilvl="0">
      <w:start w:val="6"/>
      <w:numFmt w:val="decimal"/>
      <w:lvlText w:val="%1"/>
      <w:lvlJc w:val="left"/>
      <w:pPr>
        <w:ind w:left="3006" w:hanging="735"/>
        <w:jc w:val="left"/>
      </w:pPr>
      <w:rPr>
        <w:rFonts w:hint="default"/>
      </w:rPr>
    </w:lvl>
    <w:lvl w:ilvl="1">
      <w:start w:val="1"/>
      <w:numFmt w:val="decimal"/>
      <w:lvlText w:val="%1.%2"/>
      <w:lvlJc w:val="left"/>
      <w:pPr>
        <w:ind w:left="3006" w:hanging="735"/>
        <w:jc w:val="left"/>
      </w:pPr>
      <w:rPr>
        <w:rFonts w:hint="default" w:ascii="宋体" w:hAnsi="宋体" w:eastAsia="宋体" w:cs="宋体"/>
        <w:b/>
        <w:bCs/>
        <w:w w:val="99"/>
        <w:sz w:val="21"/>
        <w:szCs w:val="21"/>
      </w:rPr>
    </w:lvl>
    <w:lvl w:ilvl="2">
      <w:start w:val="0"/>
      <w:numFmt w:val="bullet"/>
      <w:lvlText w:val="•"/>
      <w:lvlJc w:val="left"/>
      <w:pPr>
        <w:ind w:left="4484" w:hanging="735"/>
      </w:pPr>
      <w:rPr>
        <w:rFonts w:hint="default"/>
      </w:rPr>
    </w:lvl>
    <w:lvl w:ilvl="3">
      <w:start w:val="0"/>
      <w:numFmt w:val="bullet"/>
      <w:lvlText w:val="•"/>
      <w:lvlJc w:val="left"/>
      <w:pPr>
        <w:ind w:left="5227" w:hanging="735"/>
      </w:pPr>
      <w:rPr>
        <w:rFonts w:hint="default"/>
      </w:rPr>
    </w:lvl>
    <w:lvl w:ilvl="4">
      <w:start w:val="0"/>
      <w:numFmt w:val="bullet"/>
      <w:lvlText w:val="•"/>
      <w:lvlJc w:val="left"/>
      <w:pPr>
        <w:ind w:left="5969" w:hanging="735"/>
      </w:pPr>
      <w:rPr>
        <w:rFonts w:hint="default"/>
      </w:rPr>
    </w:lvl>
    <w:lvl w:ilvl="5">
      <w:start w:val="0"/>
      <w:numFmt w:val="bullet"/>
      <w:lvlText w:val="•"/>
      <w:lvlJc w:val="left"/>
      <w:pPr>
        <w:ind w:left="6712" w:hanging="735"/>
      </w:pPr>
      <w:rPr>
        <w:rFonts w:hint="default"/>
      </w:rPr>
    </w:lvl>
    <w:lvl w:ilvl="6">
      <w:start w:val="0"/>
      <w:numFmt w:val="bullet"/>
      <w:lvlText w:val="•"/>
      <w:lvlJc w:val="left"/>
      <w:pPr>
        <w:ind w:left="7454" w:hanging="735"/>
      </w:pPr>
      <w:rPr>
        <w:rFonts w:hint="default"/>
      </w:rPr>
    </w:lvl>
    <w:lvl w:ilvl="7">
      <w:start w:val="0"/>
      <w:numFmt w:val="bullet"/>
      <w:lvlText w:val="•"/>
      <w:lvlJc w:val="left"/>
      <w:pPr>
        <w:ind w:left="8197" w:hanging="735"/>
      </w:pPr>
      <w:rPr>
        <w:rFonts w:hint="default"/>
      </w:rPr>
    </w:lvl>
    <w:lvl w:ilvl="8">
      <w:start w:val="0"/>
      <w:numFmt w:val="bullet"/>
      <w:lvlText w:val="•"/>
      <w:lvlJc w:val="left"/>
      <w:pPr>
        <w:ind w:left="8939" w:hanging="735"/>
      </w:pPr>
      <w:rPr>
        <w:rFonts w:hint="default"/>
      </w:rPr>
    </w:lvl>
  </w:abstractNum>
  <w:abstractNum w:abstractNumId="10">
    <w:multiLevelType w:val="hybridMultilevel"/>
    <w:lvl w:ilvl="0">
      <w:start w:val="0"/>
      <w:numFmt w:val="bullet"/>
      <w:lvlText w:val="◉"/>
      <w:lvlJc w:val="left"/>
      <w:pPr>
        <w:ind w:left="955" w:hanging="736"/>
      </w:pPr>
      <w:rPr>
        <w:rFonts w:hint="default" w:ascii="Yu Gothic" w:hAnsi="Yu Gothic" w:eastAsia="Yu Gothic" w:cs="Yu Gothic"/>
        <w:b/>
        <w:bCs/>
        <w:w w:val="89"/>
        <w:position w:val="-3"/>
        <w:sz w:val="40"/>
        <w:szCs w:val="40"/>
      </w:rPr>
    </w:lvl>
    <w:lvl w:ilvl="1">
      <w:start w:val="0"/>
      <w:numFmt w:val="bullet"/>
      <w:lvlText w:val="•"/>
      <w:lvlJc w:val="left"/>
      <w:pPr>
        <w:ind w:left="1128" w:hanging="736"/>
      </w:pPr>
      <w:rPr>
        <w:rFonts w:hint="default"/>
      </w:rPr>
    </w:lvl>
    <w:lvl w:ilvl="2">
      <w:start w:val="0"/>
      <w:numFmt w:val="bullet"/>
      <w:lvlText w:val="•"/>
      <w:lvlJc w:val="left"/>
      <w:pPr>
        <w:ind w:left="1296" w:hanging="736"/>
      </w:pPr>
      <w:rPr>
        <w:rFonts w:hint="default"/>
      </w:rPr>
    </w:lvl>
    <w:lvl w:ilvl="3">
      <w:start w:val="0"/>
      <w:numFmt w:val="bullet"/>
      <w:lvlText w:val="•"/>
      <w:lvlJc w:val="left"/>
      <w:pPr>
        <w:ind w:left="1464" w:hanging="736"/>
      </w:pPr>
      <w:rPr>
        <w:rFonts w:hint="default"/>
      </w:rPr>
    </w:lvl>
    <w:lvl w:ilvl="4">
      <w:start w:val="0"/>
      <w:numFmt w:val="bullet"/>
      <w:lvlText w:val="•"/>
      <w:lvlJc w:val="left"/>
      <w:pPr>
        <w:ind w:left="1633" w:hanging="736"/>
      </w:pPr>
      <w:rPr>
        <w:rFonts w:hint="default"/>
      </w:rPr>
    </w:lvl>
    <w:lvl w:ilvl="5">
      <w:start w:val="0"/>
      <w:numFmt w:val="bullet"/>
      <w:lvlText w:val="•"/>
      <w:lvlJc w:val="left"/>
      <w:pPr>
        <w:ind w:left="1801" w:hanging="736"/>
      </w:pPr>
      <w:rPr>
        <w:rFonts w:hint="default"/>
      </w:rPr>
    </w:lvl>
    <w:lvl w:ilvl="6">
      <w:start w:val="0"/>
      <w:numFmt w:val="bullet"/>
      <w:lvlText w:val="•"/>
      <w:lvlJc w:val="left"/>
      <w:pPr>
        <w:ind w:left="1969" w:hanging="736"/>
      </w:pPr>
      <w:rPr>
        <w:rFonts w:hint="default"/>
      </w:rPr>
    </w:lvl>
    <w:lvl w:ilvl="7">
      <w:start w:val="0"/>
      <w:numFmt w:val="bullet"/>
      <w:lvlText w:val="•"/>
      <w:lvlJc w:val="left"/>
      <w:pPr>
        <w:ind w:left="2137" w:hanging="736"/>
      </w:pPr>
      <w:rPr>
        <w:rFonts w:hint="default"/>
      </w:rPr>
    </w:lvl>
    <w:lvl w:ilvl="8">
      <w:start w:val="0"/>
      <w:numFmt w:val="bullet"/>
      <w:lvlText w:val="•"/>
      <w:lvlJc w:val="left"/>
      <w:pPr>
        <w:ind w:left="2306" w:hanging="736"/>
      </w:pPr>
      <w:rPr>
        <w:rFonts w:hint="default"/>
      </w:rPr>
    </w:lvl>
  </w:abstractNum>
  <w:abstractNum w:abstractNumId="9">
    <w:multiLevelType w:val="hybridMultilevel"/>
    <w:lvl w:ilvl="0">
      <w:start w:val="3"/>
      <w:numFmt w:val="decimal"/>
      <w:lvlText w:val="%1"/>
      <w:lvlJc w:val="left"/>
      <w:pPr>
        <w:ind w:left="955" w:hanging="736"/>
        <w:jc w:val="left"/>
      </w:pPr>
      <w:rPr>
        <w:rFonts w:hint="default"/>
      </w:rPr>
    </w:lvl>
    <w:lvl w:ilvl="1">
      <w:start w:val="3"/>
      <w:numFmt w:val="decimal"/>
      <w:lvlText w:val="%1.%2"/>
      <w:lvlJc w:val="left"/>
      <w:pPr>
        <w:ind w:left="955" w:hanging="736"/>
        <w:jc w:val="left"/>
      </w:pPr>
      <w:rPr>
        <w:rFonts w:hint="default" w:ascii="宋体" w:hAnsi="宋体" w:eastAsia="宋体" w:cs="宋体"/>
        <w:b/>
        <w:bCs/>
        <w:w w:val="99"/>
        <w:sz w:val="21"/>
        <w:szCs w:val="21"/>
      </w:rPr>
    </w:lvl>
    <w:lvl w:ilvl="2">
      <w:start w:val="0"/>
      <w:numFmt w:val="bullet"/>
      <w:lvlText w:val="•"/>
      <w:lvlJc w:val="left"/>
      <w:pPr>
        <w:ind w:left="2852" w:hanging="736"/>
      </w:pPr>
      <w:rPr>
        <w:rFonts w:hint="default"/>
      </w:rPr>
    </w:lvl>
    <w:lvl w:ilvl="3">
      <w:start w:val="0"/>
      <w:numFmt w:val="bullet"/>
      <w:lvlText w:val="•"/>
      <w:lvlJc w:val="left"/>
      <w:pPr>
        <w:ind w:left="3799" w:hanging="736"/>
      </w:pPr>
      <w:rPr>
        <w:rFonts w:hint="default"/>
      </w:rPr>
    </w:lvl>
    <w:lvl w:ilvl="4">
      <w:start w:val="0"/>
      <w:numFmt w:val="bullet"/>
      <w:lvlText w:val="•"/>
      <w:lvlJc w:val="left"/>
      <w:pPr>
        <w:ind w:left="4745" w:hanging="736"/>
      </w:pPr>
      <w:rPr>
        <w:rFonts w:hint="default"/>
      </w:rPr>
    </w:lvl>
    <w:lvl w:ilvl="5">
      <w:start w:val="0"/>
      <w:numFmt w:val="bullet"/>
      <w:lvlText w:val="•"/>
      <w:lvlJc w:val="left"/>
      <w:pPr>
        <w:ind w:left="5692" w:hanging="736"/>
      </w:pPr>
      <w:rPr>
        <w:rFonts w:hint="default"/>
      </w:rPr>
    </w:lvl>
    <w:lvl w:ilvl="6">
      <w:start w:val="0"/>
      <w:numFmt w:val="bullet"/>
      <w:lvlText w:val="•"/>
      <w:lvlJc w:val="left"/>
      <w:pPr>
        <w:ind w:left="6638" w:hanging="736"/>
      </w:pPr>
      <w:rPr>
        <w:rFonts w:hint="default"/>
      </w:rPr>
    </w:lvl>
    <w:lvl w:ilvl="7">
      <w:start w:val="0"/>
      <w:numFmt w:val="bullet"/>
      <w:lvlText w:val="•"/>
      <w:lvlJc w:val="left"/>
      <w:pPr>
        <w:ind w:left="7585" w:hanging="736"/>
      </w:pPr>
      <w:rPr>
        <w:rFonts w:hint="default"/>
      </w:rPr>
    </w:lvl>
    <w:lvl w:ilvl="8">
      <w:start w:val="0"/>
      <w:numFmt w:val="bullet"/>
      <w:lvlText w:val="•"/>
      <w:lvlJc w:val="left"/>
      <w:pPr>
        <w:ind w:left="8531" w:hanging="736"/>
      </w:pPr>
      <w:rPr>
        <w:rFonts w:hint="default"/>
      </w:rPr>
    </w:lvl>
  </w:abstractNum>
  <w:abstractNum w:abstractNumId="8">
    <w:multiLevelType w:val="hybridMultilevel"/>
    <w:lvl w:ilvl="0">
      <w:start w:val="2"/>
      <w:numFmt w:val="decimal"/>
      <w:lvlText w:val="%1"/>
      <w:lvlJc w:val="left"/>
      <w:pPr>
        <w:ind w:left="954" w:hanging="735"/>
        <w:jc w:val="left"/>
      </w:pPr>
      <w:rPr>
        <w:rFonts w:hint="default"/>
      </w:rPr>
    </w:lvl>
    <w:lvl w:ilvl="1">
      <w:start w:val="1"/>
      <w:numFmt w:val="decimal"/>
      <w:lvlText w:val="%1.%2"/>
      <w:lvlJc w:val="left"/>
      <w:pPr>
        <w:ind w:left="954" w:hanging="735"/>
        <w:jc w:val="left"/>
      </w:pPr>
      <w:rPr>
        <w:rFonts w:hint="default"/>
        <w:b/>
        <w:bCs/>
        <w:w w:val="99"/>
      </w:rPr>
    </w:lvl>
    <w:lvl w:ilvl="2">
      <w:start w:val="0"/>
      <w:numFmt w:val="bullet"/>
      <w:lvlText w:val="•"/>
      <w:lvlJc w:val="left"/>
      <w:pPr>
        <w:ind w:left="2852" w:hanging="735"/>
      </w:pPr>
      <w:rPr>
        <w:rFonts w:hint="default"/>
      </w:rPr>
    </w:lvl>
    <w:lvl w:ilvl="3">
      <w:start w:val="0"/>
      <w:numFmt w:val="bullet"/>
      <w:lvlText w:val="•"/>
      <w:lvlJc w:val="left"/>
      <w:pPr>
        <w:ind w:left="3799" w:hanging="735"/>
      </w:pPr>
      <w:rPr>
        <w:rFonts w:hint="default"/>
      </w:rPr>
    </w:lvl>
    <w:lvl w:ilvl="4">
      <w:start w:val="0"/>
      <w:numFmt w:val="bullet"/>
      <w:lvlText w:val="•"/>
      <w:lvlJc w:val="left"/>
      <w:pPr>
        <w:ind w:left="4745" w:hanging="735"/>
      </w:pPr>
      <w:rPr>
        <w:rFonts w:hint="default"/>
      </w:rPr>
    </w:lvl>
    <w:lvl w:ilvl="5">
      <w:start w:val="0"/>
      <w:numFmt w:val="bullet"/>
      <w:lvlText w:val="•"/>
      <w:lvlJc w:val="left"/>
      <w:pPr>
        <w:ind w:left="5692" w:hanging="735"/>
      </w:pPr>
      <w:rPr>
        <w:rFonts w:hint="default"/>
      </w:rPr>
    </w:lvl>
    <w:lvl w:ilvl="6">
      <w:start w:val="0"/>
      <w:numFmt w:val="bullet"/>
      <w:lvlText w:val="•"/>
      <w:lvlJc w:val="left"/>
      <w:pPr>
        <w:ind w:left="6638" w:hanging="735"/>
      </w:pPr>
      <w:rPr>
        <w:rFonts w:hint="default"/>
      </w:rPr>
    </w:lvl>
    <w:lvl w:ilvl="7">
      <w:start w:val="0"/>
      <w:numFmt w:val="bullet"/>
      <w:lvlText w:val="•"/>
      <w:lvlJc w:val="left"/>
      <w:pPr>
        <w:ind w:left="7585" w:hanging="735"/>
      </w:pPr>
      <w:rPr>
        <w:rFonts w:hint="default"/>
      </w:rPr>
    </w:lvl>
    <w:lvl w:ilvl="8">
      <w:start w:val="0"/>
      <w:numFmt w:val="bullet"/>
      <w:lvlText w:val="•"/>
      <w:lvlJc w:val="left"/>
      <w:pPr>
        <w:ind w:left="8531" w:hanging="735"/>
      </w:pPr>
      <w:rPr>
        <w:rFonts w:hint="default"/>
      </w:rPr>
    </w:lvl>
  </w:abstractNum>
  <w:abstractNum w:abstractNumId="7">
    <w:multiLevelType w:val="hybridMultilevel"/>
    <w:lvl w:ilvl="0">
      <w:start w:val="1"/>
      <w:numFmt w:val="decimal"/>
      <w:lvlText w:val="%1"/>
      <w:lvlJc w:val="left"/>
      <w:pPr>
        <w:ind w:left="954" w:hanging="735"/>
        <w:jc w:val="left"/>
      </w:pPr>
      <w:rPr>
        <w:rFonts w:hint="default"/>
      </w:rPr>
    </w:lvl>
    <w:lvl w:ilvl="1">
      <w:start w:val="1"/>
      <w:numFmt w:val="decimal"/>
      <w:lvlText w:val="%1.%2"/>
      <w:lvlJc w:val="left"/>
      <w:pPr>
        <w:ind w:left="3028" w:hanging="735"/>
        <w:jc w:val="left"/>
      </w:pPr>
      <w:rPr>
        <w:rFonts w:hint="default" w:ascii="宋体" w:hAnsi="宋体" w:eastAsia="宋体" w:cs="宋体"/>
        <w:b/>
        <w:bCs/>
        <w:w w:val="99"/>
        <w:sz w:val="21"/>
        <w:szCs w:val="21"/>
      </w:rPr>
    </w:lvl>
    <w:lvl w:ilvl="2">
      <w:start w:val="0"/>
      <w:numFmt w:val="bullet"/>
      <w:lvlText w:val="•"/>
      <w:lvlJc w:val="left"/>
      <w:pPr>
        <w:ind w:left="3842" w:hanging="735"/>
      </w:pPr>
      <w:rPr>
        <w:rFonts w:hint="default"/>
      </w:rPr>
    </w:lvl>
    <w:lvl w:ilvl="3">
      <w:start w:val="0"/>
      <w:numFmt w:val="bullet"/>
      <w:lvlText w:val="•"/>
      <w:lvlJc w:val="left"/>
      <w:pPr>
        <w:ind w:left="4665" w:hanging="735"/>
      </w:pPr>
      <w:rPr>
        <w:rFonts w:hint="default"/>
      </w:rPr>
    </w:lvl>
    <w:lvl w:ilvl="4">
      <w:start w:val="0"/>
      <w:numFmt w:val="bullet"/>
      <w:lvlText w:val="•"/>
      <w:lvlJc w:val="left"/>
      <w:pPr>
        <w:ind w:left="5488" w:hanging="735"/>
      </w:pPr>
      <w:rPr>
        <w:rFonts w:hint="default"/>
      </w:rPr>
    </w:lvl>
    <w:lvl w:ilvl="5">
      <w:start w:val="0"/>
      <w:numFmt w:val="bullet"/>
      <w:lvlText w:val="•"/>
      <w:lvlJc w:val="left"/>
      <w:pPr>
        <w:ind w:left="6310" w:hanging="735"/>
      </w:pPr>
      <w:rPr>
        <w:rFonts w:hint="default"/>
      </w:rPr>
    </w:lvl>
    <w:lvl w:ilvl="6">
      <w:start w:val="0"/>
      <w:numFmt w:val="bullet"/>
      <w:lvlText w:val="•"/>
      <w:lvlJc w:val="left"/>
      <w:pPr>
        <w:ind w:left="7133" w:hanging="735"/>
      </w:pPr>
      <w:rPr>
        <w:rFonts w:hint="default"/>
      </w:rPr>
    </w:lvl>
    <w:lvl w:ilvl="7">
      <w:start w:val="0"/>
      <w:numFmt w:val="bullet"/>
      <w:lvlText w:val="•"/>
      <w:lvlJc w:val="left"/>
      <w:pPr>
        <w:ind w:left="7956" w:hanging="735"/>
      </w:pPr>
      <w:rPr>
        <w:rFonts w:hint="default"/>
      </w:rPr>
    </w:lvl>
    <w:lvl w:ilvl="8">
      <w:start w:val="0"/>
      <w:numFmt w:val="bullet"/>
      <w:lvlText w:val="•"/>
      <w:lvlJc w:val="left"/>
      <w:pPr>
        <w:ind w:left="8778" w:hanging="735"/>
      </w:pPr>
      <w:rPr>
        <w:rFonts w:hint="default"/>
      </w:rPr>
    </w:lvl>
  </w:abstractNum>
  <w:abstractNum w:abstractNumId="6">
    <w:multiLevelType w:val="hybridMultilevel"/>
    <w:lvl w:ilvl="0">
      <w:start w:val="7"/>
      <w:numFmt w:val="decimal"/>
      <w:lvlText w:val="%1"/>
      <w:lvlJc w:val="left"/>
      <w:pPr>
        <w:ind w:left="1899" w:hanging="368"/>
        <w:jc w:val="left"/>
      </w:pPr>
      <w:rPr>
        <w:rFonts w:hint="default"/>
      </w:rPr>
    </w:lvl>
    <w:lvl w:ilvl="1">
      <w:start w:val="1"/>
      <w:numFmt w:val="decimal"/>
      <w:lvlText w:val="%1.%2"/>
      <w:lvlJc w:val="left"/>
      <w:pPr>
        <w:ind w:left="1899" w:hanging="368"/>
        <w:jc w:val="left"/>
      </w:pPr>
      <w:rPr>
        <w:rFonts w:hint="default" w:ascii="宋体" w:hAnsi="宋体" w:eastAsia="宋体" w:cs="宋体"/>
        <w:spacing w:val="-1"/>
        <w:w w:val="100"/>
        <w:sz w:val="21"/>
        <w:szCs w:val="21"/>
      </w:rPr>
    </w:lvl>
    <w:lvl w:ilvl="2">
      <w:start w:val="0"/>
      <w:numFmt w:val="bullet"/>
      <w:lvlText w:val="•"/>
      <w:lvlJc w:val="left"/>
      <w:pPr>
        <w:ind w:left="2756" w:hanging="368"/>
      </w:pPr>
      <w:rPr>
        <w:rFonts w:hint="default"/>
      </w:rPr>
    </w:lvl>
    <w:lvl w:ilvl="3">
      <w:start w:val="0"/>
      <w:numFmt w:val="bullet"/>
      <w:lvlText w:val="•"/>
      <w:lvlJc w:val="left"/>
      <w:pPr>
        <w:ind w:left="3185" w:hanging="368"/>
      </w:pPr>
      <w:rPr>
        <w:rFonts w:hint="default"/>
      </w:rPr>
    </w:lvl>
    <w:lvl w:ilvl="4">
      <w:start w:val="0"/>
      <w:numFmt w:val="bullet"/>
      <w:lvlText w:val="•"/>
      <w:lvlJc w:val="left"/>
      <w:pPr>
        <w:ind w:left="3613" w:hanging="368"/>
      </w:pPr>
      <w:rPr>
        <w:rFonts w:hint="default"/>
      </w:rPr>
    </w:lvl>
    <w:lvl w:ilvl="5">
      <w:start w:val="0"/>
      <w:numFmt w:val="bullet"/>
      <w:lvlText w:val="•"/>
      <w:lvlJc w:val="left"/>
      <w:pPr>
        <w:ind w:left="4042" w:hanging="368"/>
      </w:pPr>
      <w:rPr>
        <w:rFonts w:hint="default"/>
      </w:rPr>
    </w:lvl>
    <w:lvl w:ilvl="6">
      <w:start w:val="0"/>
      <w:numFmt w:val="bullet"/>
      <w:lvlText w:val="•"/>
      <w:lvlJc w:val="left"/>
      <w:pPr>
        <w:ind w:left="4470" w:hanging="368"/>
      </w:pPr>
      <w:rPr>
        <w:rFonts w:hint="default"/>
      </w:rPr>
    </w:lvl>
    <w:lvl w:ilvl="7">
      <w:start w:val="0"/>
      <w:numFmt w:val="bullet"/>
      <w:lvlText w:val="•"/>
      <w:lvlJc w:val="left"/>
      <w:pPr>
        <w:ind w:left="4899" w:hanging="368"/>
      </w:pPr>
      <w:rPr>
        <w:rFonts w:hint="default"/>
      </w:rPr>
    </w:lvl>
    <w:lvl w:ilvl="8">
      <w:start w:val="0"/>
      <w:numFmt w:val="bullet"/>
      <w:lvlText w:val="•"/>
      <w:lvlJc w:val="left"/>
      <w:pPr>
        <w:ind w:left="5327" w:hanging="368"/>
      </w:pPr>
      <w:rPr>
        <w:rFonts w:hint="default"/>
      </w:rPr>
    </w:lvl>
  </w:abstractNum>
  <w:abstractNum w:abstractNumId="5">
    <w:multiLevelType w:val="hybridMultilevel"/>
    <w:lvl w:ilvl="0">
      <w:start w:val="6"/>
      <w:numFmt w:val="decimal"/>
      <w:lvlText w:val="%1"/>
      <w:lvlJc w:val="left"/>
      <w:pPr>
        <w:ind w:left="1952" w:hanging="419"/>
        <w:jc w:val="left"/>
      </w:pPr>
      <w:rPr>
        <w:rFonts w:hint="default"/>
      </w:rPr>
    </w:lvl>
    <w:lvl w:ilvl="1">
      <w:start w:val="1"/>
      <w:numFmt w:val="decimal"/>
      <w:lvlText w:val="%1.%2"/>
      <w:lvlJc w:val="left"/>
      <w:pPr>
        <w:ind w:left="1952" w:hanging="419"/>
        <w:jc w:val="left"/>
      </w:pPr>
      <w:rPr>
        <w:rFonts w:hint="default" w:ascii="宋体" w:hAnsi="宋体" w:eastAsia="宋体" w:cs="宋体"/>
        <w:spacing w:val="-1"/>
        <w:w w:val="100"/>
        <w:sz w:val="21"/>
        <w:szCs w:val="21"/>
      </w:rPr>
    </w:lvl>
    <w:lvl w:ilvl="2">
      <w:start w:val="0"/>
      <w:numFmt w:val="bullet"/>
      <w:lvlText w:val="•"/>
      <w:lvlJc w:val="left"/>
      <w:pPr>
        <w:ind w:left="2804" w:hanging="419"/>
      </w:pPr>
      <w:rPr>
        <w:rFonts w:hint="default"/>
      </w:rPr>
    </w:lvl>
    <w:lvl w:ilvl="3">
      <w:start w:val="0"/>
      <w:numFmt w:val="bullet"/>
      <w:lvlText w:val="•"/>
      <w:lvlJc w:val="left"/>
      <w:pPr>
        <w:ind w:left="3227" w:hanging="419"/>
      </w:pPr>
      <w:rPr>
        <w:rFonts w:hint="default"/>
      </w:rPr>
    </w:lvl>
    <w:lvl w:ilvl="4">
      <w:start w:val="0"/>
      <w:numFmt w:val="bullet"/>
      <w:lvlText w:val="•"/>
      <w:lvlJc w:val="left"/>
      <w:pPr>
        <w:ind w:left="3649" w:hanging="419"/>
      </w:pPr>
      <w:rPr>
        <w:rFonts w:hint="default"/>
      </w:rPr>
    </w:lvl>
    <w:lvl w:ilvl="5">
      <w:start w:val="0"/>
      <w:numFmt w:val="bullet"/>
      <w:lvlText w:val="•"/>
      <w:lvlJc w:val="left"/>
      <w:pPr>
        <w:ind w:left="4072" w:hanging="419"/>
      </w:pPr>
      <w:rPr>
        <w:rFonts w:hint="default"/>
      </w:rPr>
    </w:lvl>
    <w:lvl w:ilvl="6">
      <w:start w:val="0"/>
      <w:numFmt w:val="bullet"/>
      <w:lvlText w:val="•"/>
      <w:lvlJc w:val="left"/>
      <w:pPr>
        <w:ind w:left="4494" w:hanging="419"/>
      </w:pPr>
      <w:rPr>
        <w:rFonts w:hint="default"/>
      </w:rPr>
    </w:lvl>
    <w:lvl w:ilvl="7">
      <w:start w:val="0"/>
      <w:numFmt w:val="bullet"/>
      <w:lvlText w:val="•"/>
      <w:lvlJc w:val="left"/>
      <w:pPr>
        <w:ind w:left="4917" w:hanging="419"/>
      </w:pPr>
      <w:rPr>
        <w:rFonts w:hint="default"/>
      </w:rPr>
    </w:lvl>
    <w:lvl w:ilvl="8">
      <w:start w:val="0"/>
      <w:numFmt w:val="bullet"/>
      <w:lvlText w:val="•"/>
      <w:lvlJc w:val="left"/>
      <w:pPr>
        <w:ind w:left="5339" w:hanging="419"/>
      </w:pPr>
      <w:rPr>
        <w:rFonts w:hint="default"/>
      </w:rPr>
    </w:lvl>
  </w:abstractNum>
  <w:abstractNum w:abstractNumId="4">
    <w:multiLevelType w:val="hybridMultilevel"/>
    <w:lvl w:ilvl="0">
      <w:start w:val="4"/>
      <w:numFmt w:val="decimal"/>
      <w:lvlText w:val="%1"/>
      <w:lvlJc w:val="left"/>
      <w:pPr>
        <w:ind w:left="1953" w:hanging="420"/>
        <w:jc w:val="left"/>
      </w:pPr>
      <w:rPr>
        <w:rFonts w:hint="default"/>
      </w:rPr>
    </w:lvl>
    <w:lvl w:ilvl="1">
      <w:start w:val="1"/>
      <w:numFmt w:val="decimal"/>
      <w:lvlText w:val="%1.%2"/>
      <w:lvlJc w:val="left"/>
      <w:pPr>
        <w:ind w:left="1953" w:hanging="420"/>
        <w:jc w:val="left"/>
      </w:pPr>
      <w:rPr>
        <w:rFonts w:hint="default" w:ascii="宋体" w:hAnsi="宋体" w:eastAsia="宋体" w:cs="宋体"/>
        <w:spacing w:val="-1"/>
        <w:w w:val="100"/>
        <w:sz w:val="21"/>
        <w:szCs w:val="21"/>
      </w:rPr>
    </w:lvl>
    <w:lvl w:ilvl="2">
      <w:start w:val="0"/>
      <w:numFmt w:val="bullet"/>
      <w:lvlText w:val="•"/>
      <w:lvlJc w:val="left"/>
      <w:pPr>
        <w:ind w:left="2804" w:hanging="420"/>
      </w:pPr>
      <w:rPr>
        <w:rFonts w:hint="default"/>
      </w:rPr>
    </w:lvl>
    <w:lvl w:ilvl="3">
      <w:start w:val="0"/>
      <w:numFmt w:val="bullet"/>
      <w:lvlText w:val="•"/>
      <w:lvlJc w:val="left"/>
      <w:pPr>
        <w:ind w:left="3227" w:hanging="420"/>
      </w:pPr>
      <w:rPr>
        <w:rFonts w:hint="default"/>
      </w:rPr>
    </w:lvl>
    <w:lvl w:ilvl="4">
      <w:start w:val="0"/>
      <w:numFmt w:val="bullet"/>
      <w:lvlText w:val="•"/>
      <w:lvlJc w:val="left"/>
      <w:pPr>
        <w:ind w:left="3649" w:hanging="420"/>
      </w:pPr>
      <w:rPr>
        <w:rFonts w:hint="default"/>
      </w:rPr>
    </w:lvl>
    <w:lvl w:ilvl="5">
      <w:start w:val="0"/>
      <w:numFmt w:val="bullet"/>
      <w:lvlText w:val="•"/>
      <w:lvlJc w:val="left"/>
      <w:pPr>
        <w:ind w:left="4072" w:hanging="420"/>
      </w:pPr>
      <w:rPr>
        <w:rFonts w:hint="default"/>
      </w:rPr>
    </w:lvl>
    <w:lvl w:ilvl="6">
      <w:start w:val="0"/>
      <w:numFmt w:val="bullet"/>
      <w:lvlText w:val="•"/>
      <w:lvlJc w:val="left"/>
      <w:pPr>
        <w:ind w:left="4494" w:hanging="420"/>
      </w:pPr>
      <w:rPr>
        <w:rFonts w:hint="default"/>
      </w:rPr>
    </w:lvl>
    <w:lvl w:ilvl="7">
      <w:start w:val="0"/>
      <w:numFmt w:val="bullet"/>
      <w:lvlText w:val="•"/>
      <w:lvlJc w:val="left"/>
      <w:pPr>
        <w:ind w:left="4917" w:hanging="420"/>
      </w:pPr>
      <w:rPr>
        <w:rFonts w:hint="default"/>
      </w:rPr>
    </w:lvl>
    <w:lvl w:ilvl="8">
      <w:start w:val="0"/>
      <w:numFmt w:val="bullet"/>
      <w:lvlText w:val="•"/>
      <w:lvlJc w:val="left"/>
      <w:pPr>
        <w:ind w:left="5339" w:hanging="420"/>
      </w:pPr>
      <w:rPr>
        <w:rFonts w:hint="default"/>
      </w:rPr>
    </w:lvl>
  </w:abstractNum>
  <w:abstractNum w:abstractNumId="3">
    <w:multiLevelType w:val="hybridMultilevel"/>
    <w:lvl w:ilvl="0">
      <w:start w:val="3"/>
      <w:numFmt w:val="decimal"/>
      <w:lvlText w:val="%1"/>
      <w:lvlJc w:val="left"/>
      <w:pPr>
        <w:ind w:left="1952" w:hanging="420"/>
        <w:jc w:val="left"/>
      </w:pPr>
      <w:rPr>
        <w:rFonts w:hint="default"/>
      </w:rPr>
    </w:lvl>
    <w:lvl w:ilvl="1">
      <w:start w:val="1"/>
      <w:numFmt w:val="decimal"/>
      <w:lvlText w:val="%1.%2"/>
      <w:lvlJc w:val="left"/>
      <w:pPr>
        <w:ind w:left="1952" w:hanging="420"/>
        <w:jc w:val="left"/>
      </w:pPr>
      <w:rPr>
        <w:rFonts w:hint="default" w:ascii="宋体" w:hAnsi="宋体" w:eastAsia="宋体" w:cs="宋体"/>
        <w:spacing w:val="-1"/>
        <w:w w:val="100"/>
        <w:sz w:val="21"/>
        <w:szCs w:val="21"/>
      </w:rPr>
    </w:lvl>
    <w:lvl w:ilvl="2">
      <w:start w:val="0"/>
      <w:numFmt w:val="bullet"/>
      <w:lvlText w:val="•"/>
      <w:lvlJc w:val="left"/>
      <w:pPr>
        <w:ind w:left="2254" w:hanging="420"/>
      </w:pPr>
      <w:rPr>
        <w:rFonts w:hint="default"/>
      </w:rPr>
    </w:lvl>
    <w:lvl w:ilvl="3">
      <w:start w:val="0"/>
      <w:numFmt w:val="bullet"/>
      <w:lvlText w:val="•"/>
      <w:lvlJc w:val="left"/>
      <w:pPr>
        <w:ind w:left="2401" w:hanging="420"/>
      </w:pPr>
      <w:rPr>
        <w:rFonts w:hint="default"/>
      </w:rPr>
    </w:lvl>
    <w:lvl w:ilvl="4">
      <w:start w:val="0"/>
      <w:numFmt w:val="bullet"/>
      <w:lvlText w:val="•"/>
      <w:lvlJc w:val="left"/>
      <w:pPr>
        <w:ind w:left="2548" w:hanging="420"/>
      </w:pPr>
      <w:rPr>
        <w:rFonts w:hint="default"/>
      </w:rPr>
    </w:lvl>
    <w:lvl w:ilvl="5">
      <w:start w:val="0"/>
      <w:numFmt w:val="bullet"/>
      <w:lvlText w:val="•"/>
      <w:lvlJc w:val="left"/>
      <w:pPr>
        <w:ind w:left="2695" w:hanging="420"/>
      </w:pPr>
      <w:rPr>
        <w:rFonts w:hint="default"/>
      </w:rPr>
    </w:lvl>
    <w:lvl w:ilvl="6">
      <w:start w:val="0"/>
      <w:numFmt w:val="bullet"/>
      <w:lvlText w:val="•"/>
      <w:lvlJc w:val="left"/>
      <w:pPr>
        <w:ind w:left="2842" w:hanging="420"/>
      </w:pPr>
      <w:rPr>
        <w:rFonts w:hint="default"/>
      </w:rPr>
    </w:lvl>
    <w:lvl w:ilvl="7">
      <w:start w:val="0"/>
      <w:numFmt w:val="bullet"/>
      <w:lvlText w:val="•"/>
      <w:lvlJc w:val="left"/>
      <w:pPr>
        <w:ind w:left="2989" w:hanging="420"/>
      </w:pPr>
      <w:rPr>
        <w:rFonts w:hint="default"/>
      </w:rPr>
    </w:lvl>
    <w:lvl w:ilvl="8">
      <w:start w:val="0"/>
      <w:numFmt w:val="bullet"/>
      <w:lvlText w:val="•"/>
      <w:lvlJc w:val="left"/>
      <w:pPr>
        <w:ind w:left="3136" w:hanging="420"/>
      </w:pPr>
      <w:rPr>
        <w:rFonts w:hint="default"/>
      </w:rPr>
    </w:lvl>
  </w:abstractNum>
  <w:abstractNum w:abstractNumId="2">
    <w:multiLevelType w:val="hybridMultilevel"/>
    <w:lvl w:ilvl="0">
      <w:start w:val="2"/>
      <w:numFmt w:val="decimal"/>
      <w:lvlText w:val="%1"/>
      <w:lvlJc w:val="left"/>
      <w:pPr>
        <w:ind w:left="1952" w:hanging="420"/>
        <w:jc w:val="left"/>
      </w:pPr>
      <w:rPr>
        <w:rFonts w:hint="default"/>
      </w:rPr>
    </w:lvl>
    <w:lvl w:ilvl="1">
      <w:start w:val="1"/>
      <w:numFmt w:val="decimal"/>
      <w:lvlText w:val="%1.%2"/>
      <w:lvlJc w:val="left"/>
      <w:pPr>
        <w:ind w:left="1952" w:hanging="420"/>
        <w:jc w:val="left"/>
      </w:pPr>
      <w:rPr>
        <w:rFonts w:hint="default" w:ascii="宋体" w:hAnsi="宋体" w:eastAsia="宋体" w:cs="宋体"/>
        <w:spacing w:val="-1"/>
        <w:w w:val="100"/>
        <w:sz w:val="21"/>
        <w:szCs w:val="21"/>
      </w:rPr>
    </w:lvl>
    <w:lvl w:ilvl="2">
      <w:start w:val="0"/>
      <w:numFmt w:val="bullet"/>
      <w:lvlText w:val="•"/>
      <w:lvlJc w:val="left"/>
      <w:pPr>
        <w:ind w:left="2254" w:hanging="420"/>
      </w:pPr>
      <w:rPr>
        <w:rFonts w:hint="default"/>
      </w:rPr>
    </w:lvl>
    <w:lvl w:ilvl="3">
      <w:start w:val="0"/>
      <w:numFmt w:val="bullet"/>
      <w:lvlText w:val="•"/>
      <w:lvlJc w:val="left"/>
      <w:pPr>
        <w:ind w:left="2401" w:hanging="420"/>
      </w:pPr>
      <w:rPr>
        <w:rFonts w:hint="default"/>
      </w:rPr>
    </w:lvl>
    <w:lvl w:ilvl="4">
      <w:start w:val="0"/>
      <w:numFmt w:val="bullet"/>
      <w:lvlText w:val="•"/>
      <w:lvlJc w:val="left"/>
      <w:pPr>
        <w:ind w:left="2548" w:hanging="420"/>
      </w:pPr>
      <w:rPr>
        <w:rFonts w:hint="default"/>
      </w:rPr>
    </w:lvl>
    <w:lvl w:ilvl="5">
      <w:start w:val="0"/>
      <w:numFmt w:val="bullet"/>
      <w:lvlText w:val="•"/>
      <w:lvlJc w:val="left"/>
      <w:pPr>
        <w:ind w:left="2695" w:hanging="420"/>
      </w:pPr>
      <w:rPr>
        <w:rFonts w:hint="default"/>
      </w:rPr>
    </w:lvl>
    <w:lvl w:ilvl="6">
      <w:start w:val="0"/>
      <w:numFmt w:val="bullet"/>
      <w:lvlText w:val="•"/>
      <w:lvlJc w:val="left"/>
      <w:pPr>
        <w:ind w:left="2842" w:hanging="420"/>
      </w:pPr>
      <w:rPr>
        <w:rFonts w:hint="default"/>
      </w:rPr>
    </w:lvl>
    <w:lvl w:ilvl="7">
      <w:start w:val="0"/>
      <w:numFmt w:val="bullet"/>
      <w:lvlText w:val="•"/>
      <w:lvlJc w:val="left"/>
      <w:pPr>
        <w:ind w:left="2989" w:hanging="420"/>
      </w:pPr>
      <w:rPr>
        <w:rFonts w:hint="default"/>
      </w:rPr>
    </w:lvl>
    <w:lvl w:ilvl="8">
      <w:start w:val="0"/>
      <w:numFmt w:val="bullet"/>
      <w:lvlText w:val="•"/>
      <w:lvlJc w:val="left"/>
      <w:pPr>
        <w:ind w:left="3136" w:hanging="420"/>
      </w:pPr>
      <w:rPr>
        <w:rFonts w:hint="default"/>
      </w:rPr>
    </w:lvl>
  </w:abstractNum>
  <w:abstractNum w:abstractNumId="1">
    <w:multiLevelType w:val="hybridMultilevel"/>
    <w:lvl w:ilvl="0">
      <w:start w:val="1"/>
      <w:numFmt w:val="decimal"/>
      <w:lvlText w:val="%1"/>
      <w:lvlJc w:val="left"/>
      <w:pPr>
        <w:ind w:left="1952" w:hanging="420"/>
        <w:jc w:val="left"/>
      </w:pPr>
      <w:rPr>
        <w:rFonts w:hint="default"/>
      </w:rPr>
    </w:lvl>
    <w:lvl w:ilvl="1">
      <w:start w:val="1"/>
      <w:numFmt w:val="decimal"/>
      <w:lvlText w:val="%1.%2"/>
      <w:lvlJc w:val="left"/>
      <w:pPr>
        <w:ind w:left="1952" w:hanging="420"/>
        <w:jc w:val="left"/>
      </w:pPr>
      <w:rPr>
        <w:rFonts w:hint="default" w:ascii="宋体" w:hAnsi="宋体" w:eastAsia="宋体" w:cs="宋体"/>
        <w:spacing w:val="-1"/>
        <w:w w:val="100"/>
        <w:sz w:val="21"/>
        <w:szCs w:val="21"/>
      </w:rPr>
    </w:lvl>
    <w:lvl w:ilvl="2">
      <w:start w:val="0"/>
      <w:numFmt w:val="bullet"/>
      <w:lvlText w:val="•"/>
      <w:lvlJc w:val="left"/>
      <w:pPr>
        <w:ind w:left="2254" w:hanging="420"/>
      </w:pPr>
      <w:rPr>
        <w:rFonts w:hint="default"/>
      </w:rPr>
    </w:lvl>
    <w:lvl w:ilvl="3">
      <w:start w:val="0"/>
      <w:numFmt w:val="bullet"/>
      <w:lvlText w:val="•"/>
      <w:lvlJc w:val="left"/>
      <w:pPr>
        <w:ind w:left="2401" w:hanging="420"/>
      </w:pPr>
      <w:rPr>
        <w:rFonts w:hint="default"/>
      </w:rPr>
    </w:lvl>
    <w:lvl w:ilvl="4">
      <w:start w:val="0"/>
      <w:numFmt w:val="bullet"/>
      <w:lvlText w:val="•"/>
      <w:lvlJc w:val="left"/>
      <w:pPr>
        <w:ind w:left="2548" w:hanging="420"/>
      </w:pPr>
      <w:rPr>
        <w:rFonts w:hint="default"/>
      </w:rPr>
    </w:lvl>
    <w:lvl w:ilvl="5">
      <w:start w:val="0"/>
      <w:numFmt w:val="bullet"/>
      <w:lvlText w:val="•"/>
      <w:lvlJc w:val="left"/>
      <w:pPr>
        <w:ind w:left="2695" w:hanging="420"/>
      </w:pPr>
      <w:rPr>
        <w:rFonts w:hint="default"/>
      </w:rPr>
    </w:lvl>
    <w:lvl w:ilvl="6">
      <w:start w:val="0"/>
      <w:numFmt w:val="bullet"/>
      <w:lvlText w:val="•"/>
      <w:lvlJc w:val="left"/>
      <w:pPr>
        <w:ind w:left="2842" w:hanging="420"/>
      </w:pPr>
      <w:rPr>
        <w:rFonts w:hint="default"/>
      </w:rPr>
    </w:lvl>
    <w:lvl w:ilvl="7">
      <w:start w:val="0"/>
      <w:numFmt w:val="bullet"/>
      <w:lvlText w:val="•"/>
      <w:lvlJc w:val="left"/>
      <w:pPr>
        <w:ind w:left="2989" w:hanging="420"/>
      </w:pPr>
      <w:rPr>
        <w:rFonts w:hint="default"/>
      </w:rPr>
    </w:lvl>
    <w:lvl w:ilvl="8">
      <w:start w:val="0"/>
      <w:numFmt w:val="bullet"/>
      <w:lvlText w:val="•"/>
      <w:lvlJc w:val="left"/>
      <w:pPr>
        <w:ind w:left="3136"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4" w:hanging="420"/>
      </w:pPr>
      <w:rPr>
        <w:rFonts w:hint="default"/>
      </w:rPr>
    </w:lvl>
    <w:lvl w:ilvl="2">
      <w:start w:val="0"/>
      <w:numFmt w:val="bullet"/>
      <w:lvlText w:val="•"/>
      <w:lvlJc w:val="left"/>
      <w:pPr>
        <w:ind w:left="3488" w:hanging="420"/>
      </w:pPr>
      <w:rPr>
        <w:rFonts w:hint="default"/>
      </w:rPr>
    </w:lvl>
    <w:lvl w:ilvl="3">
      <w:start w:val="0"/>
      <w:numFmt w:val="bullet"/>
      <w:lvlText w:val="•"/>
      <w:lvlJc w:val="left"/>
      <w:pPr>
        <w:ind w:left="4403" w:hanging="420"/>
      </w:pPr>
      <w:rPr>
        <w:rFonts w:hint="default"/>
      </w:rPr>
    </w:lvl>
    <w:lvl w:ilvl="4">
      <w:start w:val="0"/>
      <w:numFmt w:val="bullet"/>
      <w:lvlText w:val="•"/>
      <w:lvlJc w:val="left"/>
      <w:pPr>
        <w:ind w:left="5317" w:hanging="420"/>
      </w:pPr>
      <w:rPr>
        <w:rFonts w:hint="default"/>
      </w:rPr>
    </w:lvl>
    <w:lvl w:ilvl="5">
      <w:start w:val="0"/>
      <w:numFmt w:val="bullet"/>
      <w:lvlText w:val="•"/>
      <w:lvlJc w:val="left"/>
      <w:pPr>
        <w:ind w:left="6232" w:hanging="420"/>
      </w:pPr>
      <w:rPr>
        <w:rFonts w:hint="default"/>
      </w:rPr>
    </w:lvl>
    <w:lvl w:ilvl="6">
      <w:start w:val="0"/>
      <w:numFmt w:val="bullet"/>
      <w:lvlText w:val="•"/>
      <w:lvlJc w:val="left"/>
      <w:pPr>
        <w:ind w:left="7146" w:hanging="420"/>
      </w:pPr>
      <w:rPr>
        <w:rFonts w:hint="default"/>
      </w:rPr>
    </w:lvl>
    <w:lvl w:ilvl="7">
      <w:start w:val="0"/>
      <w:numFmt w:val="bullet"/>
      <w:lvlText w:val="•"/>
      <w:lvlJc w:val="left"/>
      <w:pPr>
        <w:ind w:left="8061" w:hanging="420"/>
      </w:pPr>
      <w:rPr>
        <w:rFonts w:hint="default"/>
      </w:rPr>
    </w:lvl>
    <w:lvl w:ilvl="8">
      <w:start w:val="0"/>
      <w:numFmt w:val="bullet"/>
      <w:lvlText w:val="•"/>
      <w:lvlJc w:val="left"/>
      <w:pPr>
        <w:ind w:left="8975"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563"/>
      <w:outlineLvl w:val="1"/>
    </w:pPr>
    <w:rPr>
      <w:rFonts w:ascii="宋体" w:hAnsi="宋体" w:eastAsia="宋体" w:cs="宋体"/>
      <w:b/>
      <w:bCs/>
      <w:sz w:val="44"/>
      <w:szCs w:val="44"/>
    </w:rPr>
  </w:style>
  <w:style w:styleId="Heading2" w:type="paragraph">
    <w:name w:val="Heading 2"/>
    <w:basedOn w:val="Normal"/>
    <w:uiPriority w:val="1"/>
    <w:qFormat/>
    <w:pPr>
      <w:spacing w:before="46"/>
      <w:ind w:left="95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26"/>
      <w:outlineLvl w:val="3"/>
    </w:pPr>
    <w:rPr>
      <w:rFonts w:ascii="黑体" w:hAnsi="黑体" w:eastAsia="黑体" w:cs="黑体"/>
      <w:i/>
      <w:sz w:val="22"/>
      <w:szCs w:val="22"/>
    </w:rPr>
  </w:style>
  <w:style w:styleId="Heading4" w:type="paragraph">
    <w:name w:val="Heading 4"/>
    <w:basedOn w:val="Normal"/>
    <w:uiPriority w:val="1"/>
    <w:qFormat/>
    <w:pPr>
      <w:ind w:left="11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95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&lt;4D6963726F736F667420576F7264202D20323031325F303133B8BDBCD3CDACCAA2D6D8B4F3BCB2B2A1B1A3CFD5CCF5BFEE&gt;</dc:title>
  <dcterms:created xsi:type="dcterms:W3CDTF">2018-10-20T02:44:24Z</dcterms:created>
  <dcterms:modified xsi:type="dcterms:W3CDTF">2018-10-20T02:44:24Z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