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7399" w:right="0" w:firstLine="0"/>
        <w:jc w:val="left"/>
        <w:rPr>
          <w:sz w:val="18"/>
        </w:rPr>
      </w:pPr>
      <w:r>
        <w:rPr>
          <w:sz w:val="18"/>
        </w:rPr>
        <w:t>国华人寿[2009]疾病保险 004 号</w:t>
      </w:r>
    </w:p>
    <w:p>
      <w:pPr>
        <w:pStyle w:val="BodyText"/>
        <w:spacing w:before="6"/>
        <w:rPr>
          <w:sz w:val="13"/>
        </w:rPr>
      </w:pPr>
    </w:p>
    <w:p>
      <w:pPr>
        <w:pStyle w:val="Heading1"/>
        <w:spacing w:line="620" w:lineRule="atLeast"/>
        <w:ind w:left="4332" w:right="1825"/>
      </w:pPr>
      <w:r>
        <w:rPr/>
        <w:drawing>
          <wp:anchor distT="0" distB="0" distL="0" distR="0" allowOverlap="1" layoutInCell="1" locked="0" behindDoc="0" simplePos="0" relativeHeight="0">
            <wp:simplePos x="0" y="0"/>
            <wp:positionH relativeFrom="page">
              <wp:posOffset>6044946</wp:posOffset>
            </wp:positionH>
            <wp:positionV relativeFrom="paragraph">
              <wp:posOffset>-36667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国华附加定期寿险提前给付重大疾病保险条款阅  读  指 引</w:t>
      </w:r>
    </w:p>
    <w:p>
      <w:pPr>
        <w:spacing w:line="125" w:lineRule="exact" w:before="0"/>
        <w:ind w:left="0" w:right="322" w:firstLine="0"/>
        <w:jc w:val="right"/>
        <w:rPr>
          <w:sz w:val="18"/>
        </w:rPr>
      </w:pPr>
      <w:r>
        <w:rPr>
          <w:sz w:val="18"/>
        </w:rPr>
        <w:t>请扫描以查询验证条款</w:t>
      </w:r>
    </w:p>
    <w:p>
      <w:pPr>
        <w:spacing w:line="330" w:lineRule="exact" w:before="0"/>
        <w:ind w:left="304"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定</w:t>
      </w:r>
      <w:r>
        <w:rPr>
          <w:spacing w:val="-59"/>
          <w:w w:val="100"/>
          <w:position w:val="-7"/>
          <w:sz w:val="20"/>
        </w:rPr>
        <w:t>．</w:t>
      </w:r>
      <w:r>
        <w:rPr>
          <w:b/>
          <w:spacing w:val="-141"/>
          <w:w w:val="99"/>
          <w:sz w:val="20"/>
        </w:rPr>
        <w:t>期</w:t>
      </w:r>
      <w:r>
        <w:rPr>
          <w:spacing w:val="-60"/>
          <w:w w:val="100"/>
          <w:position w:val="-7"/>
          <w:sz w:val="20"/>
        </w:rPr>
        <w:t>．</w:t>
      </w:r>
      <w:r>
        <w:rPr>
          <w:b/>
          <w:spacing w:val="-141"/>
          <w:w w:val="99"/>
          <w:sz w:val="20"/>
        </w:rPr>
        <w:t>寿</w:t>
      </w:r>
      <w:r>
        <w:rPr>
          <w:spacing w:val="-60"/>
          <w:w w:val="100"/>
          <w:position w:val="-7"/>
          <w:sz w:val="20"/>
        </w:rPr>
        <w:t>．</w:t>
      </w:r>
      <w:r>
        <w:rPr>
          <w:b/>
          <w:spacing w:val="-141"/>
          <w:w w:val="99"/>
          <w:sz w:val="20"/>
        </w:rPr>
        <w:t>险</w:t>
      </w:r>
      <w:r>
        <w:rPr>
          <w:spacing w:val="-59"/>
          <w:w w:val="100"/>
          <w:position w:val="-7"/>
          <w:sz w:val="20"/>
        </w:rPr>
        <w:t>．</w:t>
      </w:r>
      <w:r>
        <w:rPr>
          <w:b/>
          <w:spacing w:val="-141"/>
          <w:w w:val="99"/>
          <w:sz w:val="20"/>
        </w:rPr>
        <w:t>提</w:t>
      </w:r>
      <w:r>
        <w:rPr>
          <w:spacing w:val="-60"/>
          <w:w w:val="100"/>
          <w:position w:val="-7"/>
          <w:sz w:val="20"/>
        </w:rPr>
        <w:t>．</w:t>
      </w:r>
      <w:r>
        <w:rPr>
          <w:b/>
          <w:spacing w:val="-141"/>
          <w:w w:val="99"/>
          <w:sz w:val="20"/>
        </w:rPr>
        <w:t>前</w:t>
      </w:r>
      <w:r>
        <w:rPr>
          <w:spacing w:val="-60"/>
          <w:w w:val="100"/>
          <w:position w:val="-7"/>
          <w:sz w:val="20"/>
        </w:rPr>
        <w:t>．</w:t>
      </w:r>
      <w:r>
        <w:rPr>
          <w:b/>
          <w:spacing w:val="-141"/>
          <w:w w:val="99"/>
          <w:sz w:val="20"/>
        </w:rPr>
        <w:t>给</w:t>
      </w:r>
      <w:r>
        <w:rPr>
          <w:spacing w:val="-59"/>
          <w:w w:val="100"/>
          <w:position w:val="-7"/>
          <w:sz w:val="20"/>
        </w:rPr>
        <w:t>．</w:t>
      </w:r>
      <w:r>
        <w:rPr>
          <w:b/>
          <w:spacing w:val="-141"/>
          <w:w w:val="99"/>
          <w:sz w:val="20"/>
        </w:rPr>
        <w:t>付</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spacing w:val="-141"/>
          <w:w w:val="100"/>
          <w:sz w:val="20"/>
        </w:rPr>
        <w:t>”</w:t>
      </w:r>
      <w:r>
        <w:rPr>
          <w:spacing w:val="-60"/>
          <w:w w:val="100"/>
          <w:position w:val="-7"/>
          <w:sz w:val="20"/>
        </w:rPr>
        <w:t>．</w:t>
      </w:r>
      <w:r>
        <w:rPr>
          <w:spacing w:val="-142"/>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Heading3"/>
        <w:tabs>
          <w:tab w:pos="1291" w:val="left" w:leader="none"/>
        </w:tabs>
        <w:spacing w:before="179"/>
        <w:ind w:left="281"/>
      </w:pPr>
      <w:r>
        <w:rPr/>
        <w:pict>
          <v:group style="position:absolute;margin-left:42.874001pt;margin-top:5.231993pt;width:500.95pt;height:640.1pt;mso-position-horizontal-relative:page;mso-position-vertical-relative:paragraph;z-index:-18712" coordorigin="857,105" coordsize="10019,12802">
            <v:shape style="position:absolute;left:857;top:104;width:10019;height:12802" type="#_x0000_t75" stroked="false">
              <v:imagedata r:id="rId6" o:title=""/>
            </v:shape>
            <v:rect style="position:absolute;left:1717;top:6165;width:8403;height:6256"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47" w:after="0"/>
        <w:ind w:left="1673" w:right="0" w:hanging="423"/>
        <w:jc w:val="left"/>
        <w:rPr>
          <w:sz w:val="21"/>
        </w:rPr>
      </w:pPr>
      <w:r>
        <w:rPr>
          <w:sz w:val="21"/>
        </w:rPr>
        <w:t>投保后10天内您可以要求全额退还保险费</w:t>
        <w:tab/>
        <w:t>1.3</w:t>
      </w:r>
    </w:p>
    <w:p>
      <w:pPr>
        <w:pStyle w:val="ListParagraph"/>
        <w:numPr>
          <w:ilvl w:val="0"/>
          <w:numId w:val="1"/>
        </w:numPr>
        <w:tabs>
          <w:tab w:pos="1673" w:val="left" w:leader="none"/>
          <w:tab w:pos="1674" w:val="left" w:leader="none"/>
          <w:tab w:pos="9547" w:val="right" w:leader="dot"/>
        </w:tabs>
        <w:spacing w:line="240" w:lineRule="auto" w:before="30" w:after="0"/>
        <w:ind w:left="1673" w:right="0" w:hanging="423"/>
        <w:jc w:val="left"/>
        <w:rPr>
          <w:sz w:val="21"/>
        </w:rPr>
      </w:pPr>
      <w:r>
        <w:rPr>
          <w:sz w:val="21"/>
        </w:rPr>
        <w:t>被保险人可以享受本附加合同提供的保障</w:t>
        <w:tab/>
        <w:t>2.4</w:t>
      </w:r>
    </w:p>
    <w:p>
      <w:pPr>
        <w:pStyle w:val="ListParagraph"/>
        <w:numPr>
          <w:ilvl w:val="0"/>
          <w:numId w:val="1"/>
        </w:numPr>
        <w:tabs>
          <w:tab w:pos="1673" w:val="left" w:leader="none"/>
          <w:tab w:pos="1674" w:val="left" w:leader="none"/>
          <w:tab w:pos="9547" w:val="right" w:leader="dot"/>
        </w:tabs>
        <w:spacing w:line="240" w:lineRule="auto" w:before="29" w:after="0"/>
        <w:ind w:left="1673" w:right="0" w:hanging="423"/>
        <w:jc w:val="left"/>
        <w:rPr>
          <w:sz w:val="21"/>
        </w:rPr>
      </w:pPr>
      <w:r>
        <w:rPr>
          <w:sz w:val="21"/>
        </w:rPr>
        <w:t>您有退保的权利</w:t>
        <w:tab/>
        <w:t>6.1</w:t>
      </w:r>
    </w:p>
    <w:p>
      <w:pPr>
        <w:pStyle w:val="Heading3"/>
        <w:tabs>
          <w:tab w:pos="1291" w:val="left" w:leader="none"/>
        </w:tabs>
        <w:spacing w:before="329"/>
        <w:ind w:left="281"/>
      </w:pPr>
      <w:r>
        <w:rPr>
          <w:rFonts w:ascii="Arial" w:hAnsi="Arial" w:eastAsia="Arial"/>
          <w:w w:val="105"/>
          <w:position w:val="-11"/>
          <w:sz w:val="52"/>
        </w:rPr>
        <w:t></w:t>
        <w:tab/>
      </w: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在某些情况下，我们提供保证续保权益</w:t>
        <w:tab/>
        <w:t>2.1</w:t>
      </w:r>
    </w:p>
    <w:p>
      <w:pPr>
        <w:pStyle w:val="ListParagraph"/>
        <w:numPr>
          <w:ilvl w:val="0"/>
          <w:numId w:val="1"/>
        </w:numPr>
        <w:tabs>
          <w:tab w:pos="1673" w:val="left" w:leader="none"/>
          <w:tab w:pos="1674" w:val="left" w:leader="none"/>
          <w:tab w:pos="9547" w:val="right" w:leader="dot"/>
        </w:tabs>
        <w:spacing w:line="240" w:lineRule="auto" w:before="47" w:after="0"/>
        <w:ind w:left="1673" w:right="0" w:hanging="423"/>
        <w:jc w:val="left"/>
        <w:rPr>
          <w:sz w:val="21"/>
        </w:rPr>
      </w:pPr>
      <w:r>
        <w:rPr>
          <w:sz w:val="21"/>
        </w:rPr>
        <w:t>在某些情况下，我们不承担保险责任</w:t>
        <w:tab/>
        <w:t>2.5</w:t>
      </w:r>
    </w:p>
    <w:p>
      <w:pPr>
        <w:pStyle w:val="ListParagraph"/>
        <w:numPr>
          <w:ilvl w:val="0"/>
          <w:numId w:val="1"/>
        </w:numPr>
        <w:tabs>
          <w:tab w:pos="1673" w:val="left" w:leader="none"/>
          <w:tab w:pos="1674" w:val="left" w:leader="none"/>
          <w:tab w:pos="9547" w:val="right" w:leader="dot"/>
        </w:tabs>
        <w:spacing w:line="240" w:lineRule="auto" w:before="29" w:after="0"/>
        <w:ind w:left="1673" w:right="0" w:hanging="423"/>
        <w:jc w:val="left"/>
        <w:rPr>
          <w:sz w:val="21"/>
        </w:rPr>
      </w:pPr>
      <w:r>
        <w:rPr>
          <w:sz w:val="21"/>
        </w:rPr>
        <w:t>您应当按时交纳保险费</w:t>
        <w:tab/>
        <w:t>4.1</w:t>
      </w:r>
    </w:p>
    <w:p>
      <w:pPr>
        <w:pStyle w:val="ListParagraph"/>
        <w:numPr>
          <w:ilvl w:val="0"/>
          <w:numId w:val="1"/>
        </w:numPr>
        <w:tabs>
          <w:tab w:pos="1673" w:val="left" w:leader="none"/>
          <w:tab w:pos="1674" w:val="left" w:leader="none"/>
          <w:tab w:pos="9547" w:val="right" w:leader="dot"/>
        </w:tabs>
        <w:spacing w:line="240" w:lineRule="auto" w:before="30" w:after="0"/>
        <w:ind w:left="1673" w:right="0" w:hanging="423"/>
        <w:jc w:val="left"/>
        <w:rPr>
          <w:sz w:val="21"/>
        </w:rPr>
      </w:pPr>
      <w:r>
        <w:rPr>
          <w:sz w:val="21"/>
        </w:rPr>
        <w:t>被附加合同的某些变动会导致本附加合同效力终止</w:t>
        <w:tab/>
        <w:t>7.1</w:t>
      </w:r>
    </w:p>
    <w:p>
      <w:pPr>
        <w:pStyle w:val="ListParagraph"/>
        <w:numPr>
          <w:ilvl w:val="0"/>
          <w:numId w:val="1"/>
        </w:numPr>
        <w:tabs>
          <w:tab w:pos="1673" w:val="left" w:leader="none"/>
          <w:tab w:pos="1674" w:val="left" w:leader="none"/>
          <w:tab w:pos="9338" w:val="right" w:leader="dot"/>
        </w:tabs>
        <w:spacing w:line="240" w:lineRule="auto" w:before="30" w:after="0"/>
        <w:ind w:left="1673" w:right="0" w:hanging="423"/>
        <w:jc w:val="left"/>
        <w:rPr>
          <w:sz w:val="21"/>
        </w:rPr>
      </w:pPr>
      <w:r>
        <w:rPr>
          <w:sz w:val="21"/>
        </w:rPr>
        <w:t>我们对一些重要术语进行了解释，并作了显著标识，请您注意</w:t>
        <w:tab/>
        <w:t>8</w:t>
      </w:r>
    </w:p>
    <w:p>
      <w:pPr>
        <w:pStyle w:val="ListParagraph"/>
        <w:numPr>
          <w:ilvl w:val="0"/>
          <w:numId w:val="1"/>
        </w:numPr>
        <w:tabs>
          <w:tab w:pos="1672" w:val="left" w:leader="none"/>
          <w:tab w:pos="1674" w:val="left" w:leader="none"/>
        </w:tabs>
        <w:spacing w:line="240" w:lineRule="auto" w:before="29" w:after="0"/>
        <w:ind w:left="1673" w:right="0" w:hanging="423"/>
        <w:jc w:val="left"/>
        <w:rPr>
          <w:sz w:val="21"/>
        </w:rPr>
      </w:pPr>
      <w:r>
        <w:rPr>
          <w:spacing w:val="-2"/>
          <w:sz w:val="21"/>
        </w:rPr>
        <w:t>保险条款有关于疾病的释义，请您留意 ………</w:t>
      </w:r>
      <w:r>
        <w:rPr>
          <w:sz w:val="21"/>
        </w:rPr>
        <w:t>…………………………………8.3、8.4</w:t>
      </w:r>
    </w:p>
    <w:p>
      <w:pPr>
        <w:pStyle w:val="BodyText"/>
        <w:spacing w:before="1"/>
        <w:rPr>
          <w:sz w:val="25"/>
        </w:rPr>
      </w:pPr>
    </w:p>
    <w:p>
      <w:pPr>
        <w:pStyle w:val="Heading3"/>
        <w:tabs>
          <w:tab w:pos="1291" w:val="left" w:leader="none"/>
        </w:tabs>
        <w:spacing w:before="1"/>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before="26"/>
        <w:ind w:left="281"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10"/>
        <w:rPr>
          <w:b/>
          <w:sz w:val="14"/>
        </w:rPr>
      </w:pPr>
    </w:p>
    <w:p>
      <w:pPr>
        <w:spacing w:after="0"/>
        <w:rPr>
          <w:sz w:val="14"/>
        </w:rPr>
        <w:sectPr>
          <w:type w:val="continuous"/>
          <w:pgSz w:w="11910" w:h="16840"/>
          <w:pgMar w:top="580" w:bottom="280" w:left="740" w:right="920"/>
        </w:sectPr>
      </w:pPr>
    </w:p>
    <w:p>
      <w:pPr>
        <w:pStyle w:val="Heading3"/>
        <w:spacing w:line="334" w:lineRule="exact"/>
        <w:ind w:left="1229"/>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807" w:val="left" w:leader="none"/>
        </w:tabs>
        <w:spacing w:line="240" w:lineRule="auto" w:before="81" w:after="0"/>
        <w:ind w:left="1806" w:right="0" w:hanging="367"/>
        <w:jc w:val="left"/>
        <w:rPr>
          <w:sz w:val="21"/>
        </w:rPr>
      </w:pPr>
      <w:r>
        <w:rPr>
          <w:sz w:val="21"/>
        </w:rPr>
        <w:t>合同构成</w:t>
      </w:r>
    </w:p>
    <w:p>
      <w:pPr>
        <w:pStyle w:val="ListParagraph"/>
        <w:numPr>
          <w:ilvl w:val="1"/>
          <w:numId w:val="2"/>
        </w:numPr>
        <w:tabs>
          <w:tab w:pos="1807" w:val="left" w:leader="none"/>
        </w:tabs>
        <w:spacing w:line="240" w:lineRule="auto" w:before="105" w:after="0"/>
        <w:ind w:left="1806" w:right="0" w:hanging="367"/>
        <w:jc w:val="left"/>
        <w:rPr>
          <w:sz w:val="21"/>
        </w:rPr>
      </w:pPr>
      <w:r>
        <w:rPr>
          <w:sz w:val="21"/>
        </w:rPr>
        <w:t>合同生效</w:t>
      </w:r>
    </w:p>
    <w:p>
      <w:pPr>
        <w:pStyle w:val="ListParagraph"/>
        <w:numPr>
          <w:ilvl w:val="1"/>
          <w:numId w:val="2"/>
        </w:numPr>
        <w:tabs>
          <w:tab w:pos="1807" w:val="left" w:leader="none"/>
        </w:tabs>
        <w:spacing w:line="240" w:lineRule="auto" w:before="104" w:after="0"/>
        <w:ind w:left="1806" w:right="0" w:hanging="367"/>
        <w:jc w:val="left"/>
        <w:rPr>
          <w:sz w:val="21"/>
        </w:rPr>
      </w:pPr>
      <w:r>
        <w:rPr>
          <w:sz w:val="21"/>
        </w:rPr>
        <w:t>犹豫期</w:t>
      </w:r>
    </w:p>
    <w:p>
      <w:pPr>
        <w:pStyle w:val="Heading3"/>
        <w:spacing w:before="38"/>
        <w:ind w:left="1229"/>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807" w:val="left" w:leader="none"/>
        </w:tabs>
        <w:spacing w:line="240" w:lineRule="auto" w:before="81" w:after="0"/>
        <w:ind w:left="1806" w:right="0" w:hanging="367"/>
        <w:jc w:val="left"/>
        <w:rPr>
          <w:sz w:val="21"/>
        </w:rPr>
      </w:pPr>
      <w:r>
        <w:rPr>
          <w:sz w:val="21"/>
        </w:rPr>
        <w:t>保险期间和续保</w:t>
      </w:r>
    </w:p>
    <w:p>
      <w:pPr>
        <w:pStyle w:val="ListParagraph"/>
        <w:numPr>
          <w:ilvl w:val="1"/>
          <w:numId w:val="3"/>
        </w:numPr>
        <w:tabs>
          <w:tab w:pos="1807" w:val="left" w:leader="none"/>
        </w:tabs>
        <w:spacing w:line="240" w:lineRule="auto" w:before="104" w:after="0"/>
        <w:ind w:left="1806" w:right="0" w:hanging="367"/>
        <w:jc w:val="left"/>
        <w:rPr>
          <w:sz w:val="21"/>
        </w:rPr>
      </w:pPr>
      <w:r>
        <w:rPr>
          <w:sz w:val="21"/>
        </w:rPr>
        <w:t>投保条件</w:t>
      </w:r>
    </w:p>
    <w:p>
      <w:pPr>
        <w:pStyle w:val="ListParagraph"/>
        <w:numPr>
          <w:ilvl w:val="1"/>
          <w:numId w:val="3"/>
        </w:numPr>
        <w:tabs>
          <w:tab w:pos="1807" w:val="left" w:leader="none"/>
        </w:tabs>
        <w:spacing w:line="240" w:lineRule="auto" w:before="105" w:after="0"/>
        <w:ind w:left="1806" w:right="0" w:hanging="367"/>
        <w:jc w:val="left"/>
        <w:rPr>
          <w:sz w:val="21"/>
        </w:rPr>
      </w:pPr>
      <w:r>
        <w:rPr>
          <w:sz w:val="21"/>
        </w:rPr>
        <w:t>基本保险金额</w:t>
      </w:r>
    </w:p>
    <w:p>
      <w:pPr>
        <w:pStyle w:val="ListParagraph"/>
        <w:numPr>
          <w:ilvl w:val="1"/>
          <w:numId w:val="3"/>
        </w:numPr>
        <w:tabs>
          <w:tab w:pos="1807" w:val="left" w:leader="none"/>
        </w:tabs>
        <w:spacing w:line="240" w:lineRule="auto" w:before="105" w:after="0"/>
        <w:ind w:left="1806" w:right="0" w:hanging="367"/>
        <w:jc w:val="left"/>
        <w:rPr>
          <w:sz w:val="21"/>
        </w:rPr>
      </w:pPr>
      <w:r>
        <w:rPr>
          <w:sz w:val="21"/>
        </w:rPr>
        <w:t>保险责任</w:t>
      </w:r>
    </w:p>
    <w:p>
      <w:pPr>
        <w:pStyle w:val="ListParagraph"/>
        <w:numPr>
          <w:ilvl w:val="1"/>
          <w:numId w:val="3"/>
        </w:numPr>
        <w:tabs>
          <w:tab w:pos="1807" w:val="left" w:leader="none"/>
        </w:tabs>
        <w:spacing w:line="240" w:lineRule="auto" w:before="104" w:after="0"/>
        <w:ind w:left="1806" w:right="0" w:hanging="367"/>
        <w:jc w:val="left"/>
        <w:rPr>
          <w:sz w:val="21"/>
        </w:rPr>
      </w:pPr>
      <w:r>
        <w:rPr>
          <w:sz w:val="21"/>
        </w:rPr>
        <w:t>责任免除</w:t>
      </w:r>
    </w:p>
    <w:p>
      <w:pPr>
        <w:pStyle w:val="Heading3"/>
        <w:spacing w:before="38"/>
        <w:ind w:left="1229"/>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1807" w:val="left" w:leader="none"/>
        </w:tabs>
        <w:spacing w:line="240" w:lineRule="auto" w:before="81" w:after="0"/>
        <w:ind w:left="1806" w:right="0" w:hanging="367"/>
        <w:jc w:val="left"/>
        <w:rPr>
          <w:sz w:val="21"/>
        </w:rPr>
      </w:pPr>
      <w:r>
        <w:rPr>
          <w:sz w:val="21"/>
        </w:rPr>
        <w:t>受益人的指定与变更</w:t>
      </w:r>
    </w:p>
    <w:p>
      <w:pPr>
        <w:pStyle w:val="ListParagraph"/>
        <w:numPr>
          <w:ilvl w:val="1"/>
          <w:numId w:val="4"/>
        </w:numPr>
        <w:tabs>
          <w:tab w:pos="1807" w:val="left" w:leader="none"/>
        </w:tabs>
        <w:spacing w:line="240" w:lineRule="auto" w:before="104" w:after="0"/>
        <w:ind w:left="1806" w:right="0" w:hanging="367"/>
        <w:jc w:val="left"/>
        <w:rPr>
          <w:sz w:val="21"/>
        </w:rPr>
      </w:pPr>
      <w:r>
        <w:rPr>
          <w:sz w:val="21"/>
        </w:rPr>
        <w:t>保险金申请</w:t>
      </w:r>
    </w:p>
    <w:p>
      <w:pPr>
        <w:pStyle w:val="ListParagraph"/>
        <w:numPr>
          <w:ilvl w:val="1"/>
          <w:numId w:val="4"/>
        </w:numPr>
        <w:tabs>
          <w:tab w:pos="1807" w:val="left" w:leader="none"/>
        </w:tabs>
        <w:spacing w:line="240" w:lineRule="auto" w:before="105" w:after="0"/>
        <w:ind w:left="1806" w:right="0" w:hanging="367"/>
        <w:jc w:val="left"/>
        <w:rPr>
          <w:sz w:val="21"/>
        </w:rPr>
      </w:pPr>
      <w:r>
        <w:rPr>
          <w:sz w:val="21"/>
        </w:rPr>
        <w:t>保险金的给付</w:t>
      </w:r>
    </w:p>
    <w:p>
      <w:pPr>
        <w:pStyle w:val="ListParagraph"/>
        <w:numPr>
          <w:ilvl w:val="1"/>
          <w:numId w:val="4"/>
        </w:numPr>
        <w:tabs>
          <w:tab w:pos="1807" w:val="left" w:leader="none"/>
        </w:tabs>
        <w:spacing w:line="240" w:lineRule="auto" w:before="105" w:after="0"/>
        <w:ind w:left="1806" w:right="0" w:hanging="367"/>
        <w:jc w:val="left"/>
        <w:rPr>
          <w:sz w:val="21"/>
        </w:rPr>
      </w:pPr>
      <w:r>
        <w:rPr>
          <w:sz w:val="21"/>
        </w:rPr>
        <w:t>保险金申请时效</w:t>
      </w:r>
    </w:p>
    <w:p>
      <w:pPr>
        <w:pStyle w:val="Heading3"/>
        <w:spacing w:line="334" w:lineRule="exact"/>
        <w:ind w:left="12"/>
        <w:rPr>
          <w:rFonts w:ascii="Microsoft JhengHei" w:eastAsia="Microsoft JhengHei" w:hint="eastAsia"/>
        </w:rPr>
      </w:pPr>
      <w:r>
        <w:rPr>
          <w:b w:val="0"/>
        </w:rPr>
        <w:br w:type="column"/>
      </w:r>
      <w:r>
        <w:rPr/>
        <w:t>4.</w:t>
      </w:r>
      <w:r>
        <w:rPr>
          <w:rFonts w:ascii="Microsoft JhengHei" w:eastAsia="Microsoft JhengHei" w:hint="eastAsia"/>
        </w:rPr>
        <w:t>如何交纳保险费</w:t>
      </w:r>
    </w:p>
    <w:p>
      <w:pPr>
        <w:pStyle w:val="ListParagraph"/>
        <w:numPr>
          <w:ilvl w:val="1"/>
          <w:numId w:val="5"/>
        </w:numPr>
        <w:tabs>
          <w:tab w:pos="643" w:val="left" w:leader="none"/>
        </w:tabs>
        <w:spacing w:line="240" w:lineRule="auto" w:before="81" w:after="0"/>
        <w:ind w:left="642" w:right="0" w:hanging="420"/>
        <w:jc w:val="left"/>
        <w:rPr>
          <w:sz w:val="21"/>
        </w:rPr>
      </w:pPr>
      <w:r>
        <w:rPr>
          <w:sz w:val="21"/>
        </w:rPr>
        <w:t>保险费的交纳</w:t>
      </w:r>
    </w:p>
    <w:p>
      <w:pPr>
        <w:pStyle w:val="ListParagraph"/>
        <w:numPr>
          <w:ilvl w:val="1"/>
          <w:numId w:val="5"/>
        </w:numPr>
        <w:tabs>
          <w:tab w:pos="643" w:val="left" w:leader="none"/>
        </w:tabs>
        <w:spacing w:line="240" w:lineRule="auto" w:before="105" w:after="0"/>
        <w:ind w:left="642" w:right="0" w:hanging="420"/>
        <w:jc w:val="left"/>
        <w:rPr>
          <w:sz w:val="21"/>
        </w:rPr>
      </w:pPr>
      <w:r>
        <w:rPr>
          <w:sz w:val="21"/>
        </w:rPr>
        <w:t>保险费率调整</w:t>
      </w:r>
    </w:p>
    <w:p>
      <w:pPr>
        <w:pStyle w:val="Heading3"/>
        <w:spacing w:before="37"/>
        <w:ind w:left="12"/>
        <w:rPr>
          <w:rFonts w:ascii="Microsoft JhengHei" w:eastAsia="Microsoft JhengHei" w:hint="eastAsia"/>
        </w:rPr>
      </w:pPr>
      <w:r>
        <w:rPr/>
        <w:t>5.如何恢复</w:t>
      </w:r>
      <w:r>
        <w:rPr>
          <w:rFonts w:ascii="Microsoft JhengHei" w:eastAsia="Microsoft JhengHei" w:hint="eastAsia"/>
        </w:rPr>
        <w:t>合同效力</w:t>
      </w:r>
    </w:p>
    <w:p>
      <w:pPr>
        <w:pStyle w:val="ListParagraph"/>
        <w:numPr>
          <w:ilvl w:val="1"/>
          <w:numId w:val="6"/>
        </w:numPr>
        <w:tabs>
          <w:tab w:pos="643" w:val="left" w:leader="none"/>
        </w:tabs>
        <w:spacing w:line="240" w:lineRule="auto" w:before="81" w:after="0"/>
        <w:ind w:left="642" w:right="0" w:hanging="420"/>
        <w:jc w:val="left"/>
        <w:rPr>
          <w:sz w:val="21"/>
        </w:rPr>
      </w:pPr>
      <w:r>
        <w:rPr>
          <w:sz w:val="21"/>
        </w:rPr>
        <w:t>效力中止</w:t>
      </w:r>
    </w:p>
    <w:p>
      <w:pPr>
        <w:pStyle w:val="ListParagraph"/>
        <w:numPr>
          <w:ilvl w:val="1"/>
          <w:numId w:val="6"/>
        </w:numPr>
        <w:tabs>
          <w:tab w:pos="643" w:val="left" w:leader="none"/>
        </w:tabs>
        <w:spacing w:line="240" w:lineRule="auto" w:before="105" w:after="0"/>
        <w:ind w:left="642" w:right="0" w:hanging="420"/>
        <w:jc w:val="left"/>
        <w:rPr>
          <w:sz w:val="21"/>
        </w:rPr>
      </w:pPr>
      <w:r>
        <w:rPr>
          <w:sz w:val="21"/>
        </w:rPr>
        <w:t>效力恢复</w:t>
      </w:r>
    </w:p>
    <w:p>
      <w:pPr>
        <w:pStyle w:val="Heading3"/>
        <w:spacing w:before="37"/>
        <w:ind w:left="12"/>
        <w:rPr>
          <w:rFonts w:ascii="Microsoft JhengHei" w:eastAsia="Microsoft JhengHei" w:hint="eastAsia"/>
        </w:rPr>
      </w:pPr>
      <w:r>
        <w:rPr/>
        <w:t>6.</w:t>
      </w:r>
      <w:r>
        <w:rPr>
          <w:rFonts w:ascii="Microsoft JhengHei" w:eastAsia="Microsoft JhengHei" w:hint="eastAsia"/>
        </w:rPr>
        <w:t>如何解除保险合同</w:t>
      </w:r>
    </w:p>
    <w:p>
      <w:pPr>
        <w:pStyle w:val="BodyText"/>
        <w:spacing w:before="81"/>
        <w:ind w:left="222"/>
      </w:pPr>
      <w:r>
        <w:rPr/>
        <w:t>6.1 合同解除</w:t>
      </w:r>
    </w:p>
    <w:p>
      <w:pPr>
        <w:pStyle w:val="Heading3"/>
        <w:spacing w:before="38"/>
        <w:ind w:left="12"/>
        <w:rPr>
          <w:rFonts w:ascii="Microsoft JhengHei" w:eastAsia="Microsoft JhengHei" w:hint="eastAsia"/>
        </w:rPr>
      </w:pPr>
      <w:r>
        <w:rPr/>
        <w:t>7.</w:t>
      </w:r>
      <w:r>
        <w:rPr>
          <w:rFonts w:ascii="Microsoft JhengHei" w:eastAsia="Microsoft JhengHei" w:hint="eastAsia"/>
        </w:rPr>
        <w:t>其他需要关注的事项</w:t>
      </w:r>
    </w:p>
    <w:p>
      <w:pPr>
        <w:pStyle w:val="ListParagraph"/>
        <w:numPr>
          <w:ilvl w:val="1"/>
          <w:numId w:val="7"/>
        </w:numPr>
        <w:tabs>
          <w:tab w:pos="643" w:val="left" w:leader="none"/>
        </w:tabs>
        <w:spacing w:line="240" w:lineRule="auto" w:before="80" w:after="0"/>
        <w:ind w:left="642" w:right="0" w:hanging="420"/>
        <w:jc w:val="left"/>
        <w:rPr>
          <w:sz w:val="21"/>
        </w:rPr>
      </w:pPr>
      <w:r>
        <w:rPr>
          <w:sz w:val="21"/>
        </w:rPr>
        <w:t>效力终止</w:t>
      </w:r>
    </w:p>
    <w:p>
      <w:pPr>
        <w:pStyle w:val="ListParagraph"/>
        <w:numPr>
          <w:ilvl w:val="1"/>
          <w:numId w:val="7"/>
        </w:numPr>
        <w:tabs>
          <w:tab w:pos="643" w:val="left" w:leader="none"/>
        </w:tabs>
        <w:spacing w:line="240" w:lineRule="auto" w:before="105" w:after="0"/>
        <w:ind w:left="642" w:right="0" w:hanging="420"/>
        <w:jc w:val="left"/>
        <w:rPr>
          <w:sz w:val="21"/>
        </w:rPr>
      </w:pPr>
      <w:r>
        <w:rPr>
          <w:sz w:val="21"/>
        </w:rPr>
        <w:t>年龄计算及错误处理</w:t>
      </w:r>
    </w:p>
    <w:p>
      <w:pPr>
        <w:pStyle w:val="ListParagraph"/>
        <w:numPr>
          <w:ilvl w:val="1"/>
          <w:numId w:val="7"/>
        </w:numPr>
        <w:tabs>
          <w:tab w:pos="643" w:val="left" w:leader="none"/>
        </w:tabs>
        <w:spacing w:line="240" w:lineRule="auto" w:before="105" w:after="0"/>
        <w:ind w:left="642" w:right="0" w:hanging="420"/>
        <w:jc w:val="left"/>
        <w:rPr>
          <w:sz w:val="21"/>
        </w:rPr>
      </w:pPr>
      <w:r>
        <w:rPr>
          <w:sz w:val="21"/>
        </w:rPr>
        <w:t>适用所附于合同条款</w:t>
      </w:r>
    </w:p>
    <w:p>
      <w:pPr>
        <w:pStyle w:val="Heading3"/>
        <w:spacing w:before="37"/>
        <w:ind w:left="12"/>
        <w:rPr>
          <w:rFonts w:ascii="Microsoft JhengHei" w:eastAsia="Microsoft JhengHei" w:hint="eastAsia"/>
        </w:rPr>
      </w:pPr>
      <w:r>
        <w:rPr/>
        <w:t>8.</w:t>
      </w:r>
      <w:r>
        <w:rPr>
          <w:rFonts w:ascii="Microsoft JhengHei" w:eastAsia="Microsoft JhengHei" w:hint="eastAsia"/>
        </w:rPr>
        <w:t>释义</w:t>
      </w:r>
    </w:p>
    <w:p>
      <w:pPr>
        <w:pStyle w:val="ListParagraph"/>
        <w:numPr>
          <w:ilvl w:val="1"/>
          <w:numId w:val="8"/>
        </w:numPr>
        <w:tabs>
          <w:tab w:pos="643" w:val="left" w:leader="none"/>
        </w:tabs>
        <w:spacing w:line="240" w:lineRule="auto" w:before="81" w:after="0"/>
        <w:ind w:left="800" w:right="0" w:hanging="578"/>
        <w:jc w:val="left"/>
        <w:rPr>
          <w:sz w:val="21"/>
        </w:rPr>
      </w:pPr>
      <w:r>
        <w:rPr>
          <w:sz w:val="21"/>
        </w:rPr>
        <w:t>周岁</w:t>
      </w:r>
    </w:p>
    <w:p>
      <w:pPr>
        <w:pStyle w:val="ListParagraph"/>
        <w:numPr>
          <w:ilvl w:val="1"/>
          <w:numId w:val="8"/>
        </w:numPr>
        <w:tabs>
          <w:tab w:pos="590" w:val="left" w:leader="none"/>
        </w:tabs>
        <w:spacing w:line="240" w:lineRule="auto" w:before="105" w:after="0"/>
        <w:ind w:left="590" w:right="0" w:hanging="368"/>
        <w:jc w:val="left"/>
        <w:rPr>
          <w:sz w:val="21"/>
        </w:rPr>
      </w:pPr>
      <w:r>
        <w:rPr>
          <w:sz w:val="21"/>
        </w:rPr>
        <w:t>意外伤害事故</w:t>
      </w:r>
    </w:p>
    <w:p>
      <w:pPr>
        <w:pStyle w:val="ListParagraph"/>
        <w:numPr>
          <w:ilvl w:val="1"/>
          <w:numId w:val="8"/>
        </w:numPr>
        <w:tabs>
          <w:tab w:pos="748" w:val="left" w:leader="none"/>
        </w:tabs>
        <w:spacing w:line="240" w:lineRule="auto" w:before="35" w:after="0"/>
        <w:ind w:left="747" w:right="0" w:hanging="367"/>
        <w:jc w:val="left"/>
        <w:rPr>
          <w:sz w:val="21"/>
        </w:rPr>
      </w:pPr>
      <w:r>
        <w:rPr>
          <w:sz w:val="21"/>
        </w:rPr>
        <w:br w:type="column"/>
        <w:t>成人重大疾病</w:t>
      </w:r>
    </w:p>
    <w:p>
      <w:pPr>
        <w:pStyle w:val="ListParagraph"/>
        <w:numPr>
          <w:ilvl w:val="1"/>
          <w:numId w:val="8"/>
        </w:numPr>
        <w:tabs>
          <w:tab w:pos="748" w:val="left" w:leader="none"/>
        </w:tabs>
        <w:spacing w:line="240" w:lineRule="auto" w:before="105" w:after="0"/>
        <w:ind w:left="747" w:right="0" w:hanging="367"/>
        <w:jc w:val="left"/>
        <w:rPr>
          <w:sz w:val="21"/>
        </w:rPr>
      </w:pPr>
      <w:r>
        <w:rPr>
          <w:sz w:val="21"/>
        </w:rPr>
        <w:t>成人轻症疾病</w:t>
      </w:r>
    </w:p>
    <w:p>
      <w:pPr>
        <w:pStyle w:val="ListParagraph"/>
        <w:numPr>
          <w:ilvl w:val="1"/>
          <w:numId w:val="8"/>
        </w:numPr>
        <w:tabs>
          <w:tab w:pos="800" w:val="left" w:leader="none"/>
        </w:tabs>
        <w:spacing w:line="240" w:lineRule="auto" w:before="105" w:after="0"/>
        <w:ind w:left="800" w:right="0" w:hanging="420"/>
        <w:jc w:val="left"/>
        <w:rPr>
          <w:sz w:val="21"/>
        </w:rPr>
      </w:pPr>
      <w:r>
        <w:rPr>
          <w:sz w:val="21"/>
        </w:rPr>
        <w:t>初次发生</w:t>
      </w:r>
    </w:p>
    <w:p>
      <w:pPr>
        <w:pStyle w:val="ListParagraph"/>
        <w:numPr>
          <w:ilvl w:val="1"/>
          <w:numId w:val="8"/>
        </w:numPr>
        <w:tabs>
          <w:tab w:pos="800" w:val="left" w:leader="none"/>
        </w:tabs>
        <w:spacing w:line="240" w:lineRule="auto" w:before="104" w:after="0"/>
        <w:ind w:left="800" w:right="0" w:hanging="420"/>
        <w:jc w:val="left"/>
        <w:rPr>
          <w:sz w:val="21"/>
        </w:rPr>
      </w:pPr>
      <w:r>
        <w:rPr>
          <w:sz w:val="21"/>
        </w:rPr>
        <w:t>医院</w:t>
      </w:r>
    </w:p>
    <w:p>
      <w:pPr>
        <w:pStyle w:val="ListParagraph"/>
        <w:numPr>
          <w:ilvl w:val="1"/>
          <w:numId w:val="8"/>
        </w:numPr>
        <w:tabs>
          <w:tab w:pos="800" w:val="left" w:leader="none"/>
        </w:tabs>
        <w:spacing w:line="240" w:lineRule="auto" w:before="105" w:after="0"/>
        <w:ind w:left="800" w:right="0" w:hanging="420"/>
        <w:jc w:val="left"/>
        <w:rPr>
          <w:sz w:val="21"/>
        </w:rPr>
      </w:pPr>
      <w:r>
        <w:rPr>
          <w:sz w:val="21"/>
        </w:rPr>
        <w:t>专科医生</w:t>
      </w:r>
    </w:p>
    <w:p>
      <w:pPr>
        <w:pStyle w:val="ListParagraph"/>
        <w:numPr>
          <w:ilvl w:val="1"/>
          <w:numId w:val="8"/>
        </w:numPr>
        <w:tabs>
          <w:tab w:pos="816" w:val="left" w:leader="none"/>
        </w:tabs>
        <w:spacing w:line="331" w:lineRule="auto" w:before="105" w:after="0"/>
        <w:ind w:left="800" w:right="1105" w:hanging="420"/>
        <w:jc w:val="left"/>
        <w:rPr>
          <w:sz w:val="21"/>
        </w:rPr>
      </w:pPr>
      <w:r>
        <w:rPr>
          <w:spacing w:val="10"/>
          <w:sz w:val="21"/>
        </w:rPr>
        <w:t>无合法有效驾驶证驾驶</w:t>
      </w:r>
    </w:p>
    <w:p>
      <w:pPr>
        <w:pStyle w:val="ListParagraph"/>
        <w:numPr>
          <w:ilvl w:val="1"/>
          <w:numId w:val="8"/>
        </w:numPr>
        <w:tabs>
          <w:tab w:pos="800" w:val="left" w:leader="none"/>
        </w:tabs>
        <w:spacing w:line="240" w:lineRule="auto" w:before="26" w:after="0"/>
        <w:ind w:left="800" w:right="0" w:hanging="420"/>
        <w:jc w:val="left"/>
        <w:rPr>
          <w:sz w:val="21"/>
        </w:rPr>
      </w:pPr>
      <w:r>
        <w:rPr>
          <w:sz w:val="21"/>
        </w:rPr>
        <w:t>无有效行驶证</w:t>
      </w:r>
    </w:p>
    <w:p>
      <w:pPr>
        <w:pStyle w:val="ListParagraph"/>
        <w:numPr>
          <w:ilvl w:val="1"/>
          <w:numId w:val="8"/>
        </w:numPr>
        <w:tabs>
          <w:tab w:pos="910" w:val="left" w:leader="none"/>
        </w:tabs>
        <w:spacing w:line="331" w:lineRule="auto" w:before="105" w:after="0"/>
        <w:ind w:left="905" w:right="1101" w:hanging="525"/>
        <w:jc w:val="left"/>
        <w:rPr>
          <w:sz w:val="21"/>
        </w:rPr>
      </w:pPr>
      <w:r>
        <w:rPr>
          <w:sz w:val="21"/>
        </w:rPr>
        <w:t>感染艾滋病病毒或患艾滋病</w:t>
      </w:r>
    </w:p>
    <w:p>
      <w:pPr>
        <w:pStyle w:val="ListParagraph"/>
        <w:numPr>
          <w:ilvl w:val="1"/>
          <w:numId w:val="8"/>
        </w:numPr>
        <w:tabs>
          <w:tab w:pos="905" w:val="left" w:leader="none"/>
        </w:tabs>
        <w:spacing w:line="240" w:lineRule="auto" w:before="25" w:after="0"/>
        <w:ind w:left="904" w:right="0" w:hanging="524"/>
        <w:jc w:val="left"/>
        <w:rPr>
          <w:sz w:val="21"/>
        </w:rPr>
      </w:pPr>
      <w:r>
        <w:rPr>
          <w:sz w:val="21"/>
        </w:rPr>
        <w:t>遗传性疾病</w:t>
      </w:r>
    </w:p>
    <w:p>
      <w:pPr>
        <w:pStyle w:val="ListParagraph"/>
        <w:numPr>
          <w:ilvl w:val="1"/>
          <w:numId w:val="8"/>
        </w:numPr>
        <w:tabs>
          <w:tab w:pos="910" w:val="left" w:leader="none"/>
        </w:tabs>
        <w:spacing w:line="331" w:lineRule="auto" w:before="105" w:after="0"/>
        <w:ind w:left="905" w:right="1101" w:hanging="525"/>
        <w:jc w:val="left"/>
        <w:rPr>
          <w:sz w:val="21"/>
        </w:rPr>
      </w:pPr>
      <w:r>
        <w:rPr>
          <w:sz w:val="21"/>
        </w:rPr>
        <w:t>先天性畸形、变形或染色体异常</w:t>
      </w:r>
    </w:p>
    <w:p>
      <w:pPr>
        <w:pStyle w:val="ListParagraph"/>
        <w:numPr>
          <w:ilvl w:val="1"/>
          <w:numId w:val="8"/>
        </w:numPr>
        <w:tabs>
          <w:tab w:pos="906" w:val="left" w:leader="none"/>
        </w:tabs>
        <w:spacing w:line="253" w:lineRule="exact" w:before="0" w:after="0"/>
        <w:ind w:left="905" w:right="0" w:hanging="525"/>
        <w:jc w:val="left"/>
        <w:rPr>
          <w:sz w:val="21"/>
        </w:rPr>
      </w:pPr>
      <w:r>
        <w:rPr>
          <w:sz w:val="21"/>
        </w:rPr>
        <w:t>本条款约定利率</w:t>
      </w:r>
    </w:p>
    <w:p>
      <w:pPr>
        <w:spacing w:after="0" w:line="253" w:lineRule="exact"/>
        <w:jc w:val="left"/>
        <w:rPr>
          <w:sz w:val="21"/>
        </w:rPr>
        <w:sectPr>
          <w:type w:val="continuous"/>
          <w:pgSz w:w="11910" w:h="16840"/>
          <w:pgMar w:top="580" w:bottom="280" w:left="740" w:right="920"/>
          <w:cols w:num="3" w:equalWidth="0">
            <w:col w:w="3697" w:space="40"/>
            <w:col w:w="2533" w:space="39"/>
            <w:col w:w="3941"/>
          </w:cols>
        </w:sectPr>
      </w:pPr>
    </w:p>
    <w:p>
      <w:pPr>
        <w:pStyle w:val="BodyText"/>
        <w:spacing w:before="0"/>
        <w:ind w:left="1000"/>
        <w:rPr>
          <w:sz w:val="20"/>
        </w:rPr>
      </w:pPr>
      <w:r>
        <w:rPr>
          <w:sz w:val="20"/>
        </w:rPr>
        <w:drawing>
          <wp:inline distT="0" distB="0" distL="0" distR="0">
            <wp:extent cx="5274564" cy="72237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5274564" cy="722376"/>
                    </a:xfrm>
                    <a:prstGeom prst="rect">
                      <a:avLst/>
                    </a:prstGeom>
                  </pic:spPr>
                </pic:pic>
              </a:graphicData>
            </a:graphic>
          </wp:inline>
        </w:drawing>
      </w:r>
      <w:r>
        <w:rPr>
          <w:sz w:val="20"/>
        </w:rPr>
      </w:r>
    </w:p>
    <w:p>
      <w:pPr>
        <w:pStyle w:val="BodyText"/>
        <w:spacing w:before="9"/>
        <w:rPr>
          <w:sz w:val="28"/>
        </w:rPr>
      </w:pPr>
    </w:p>
    <w:p>
      <w:pPr>
        <w:pStyle w:val="Heading1"/>
        <w:ind w:firstLine="0"/>
      </w:pPr>
      <w:r>
        <w:rPr/>
        <w:t>国华附加定期寿险提前给付重大疾病保险条款</w:t>
      </w:r>
    </w:p>
    <w:p>
      <w:pPr>
        <w:pStyle w:val="BodyText"/>
        <w:spacing w:before="1"/>
        <w:rPr>
          <w:rFonts w:ascii="微软雅黑"/>
          <w:b/>
          <w:sz w:val="42"/>
        </w:rPr>
      </w:pPr>
    </w:p>
    <w:p>
      <w:pPr>
        <w:pStyle w:val="BodyText"/>
        <w:spacing w:before="0"/>
        <w:ind w:left="221"/>
      </w:pPr>
      <w:r>
        <w:rPr/>
        <w:t>在本条款中，“您”指投保人，“我们”、“本公司”均指国华人寿保险股份有限公司。</w:t>
      </w:r>
    </w:p>
    <w:p>
      <w:pPr>
        <w:pStyle w:val="BodyText"/>
        <w:spacing w:before="0"/>
        <w:rPr>
          <w:sz w:val="20"/>
        </w:rPr>
      </w:pPr>
    </w:p>
    <w:p>
      <w:pPr>
        <w:pStyle w:val="BodyText"/>
        <w:spacing w:before="6"/>
        <w:rPr>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5"/>
        <w:gridCol w:w="7379"/>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75" w:type="dxa"/>
            <w:tcBorders>
              <w:bottom w:val="single" w:sz="8" w:space="0" w:color="000000"/>
            </w:tcBorders>
          </w:tcPr>
          <w:p>
            <w:pPr>
              <w:pStyle w:val="TableParagraph"/>
              <w:spacing w:before="16"/>
              <w:ind w:left="141"/>
              <w:rPr>
                <w:b/>
                <w:sz w:val="24"/>
              </w:rPr>
            </w:pPr>
            <w:r>
              <w:rPr>
                <w:b/>
                <w:w w:val="95"/>
                <w:sz w:val="24"/>
              </w:rPr>
              <w:t>您与我们的合同</w:t>
            </w:r>
          </w:p>
        </w:tc>
        <w:tc>
          <w:tcPr>
            <w:tcW w:w="7379" w:type="dxa"/>
            <w:tcBorders>
              <w:bottom w:val="single" w:sz="8" w:space="0" w:color="000000"/>
            </w:tcBorders>
          </w:tcPr>
          <w:p>
            <w:pPr>
              <w:pStyle w:val="TableParagraph"/>
              <w:rPr>
                <w:rFonts w:ascii="Times New Roman"/>
                <w:sz w:val="20"/>
              </w:rPr>
            </w:pPr>
          </w:p>
        </w:tc>
      </w:tr>
      <w:tr>
        <w:trPr>
          <w:trHeight w:val="1715" w:hRule="atLeast"/>
        </w:trPr>
        <w:tc>
          <w:tcPr>
            <w:tcW w:w="606" w:type="dxa"/>
            <w:tcBorders>
              <w:top w:val="single" w:sz="8" w:space="0" w:color="000000"/>
            </w:tcBorders>
          </w:tcPr>
          <w:p>
            <w:pPr>
              <w:pStyle w:val="TableParagraph"/>
              <w:spacing w:before="10"/>
              <w:rPr>
                <w:sz w:val="22"/>
              </w:rPr>
            </w:pPr>
          </w:p>
          <w:p>
            <w:pPr>
              <w:pStyle w:val="TableParagraph"/>
              <w:ind w:left="88" w:right="158"/>
              <w:jc w:val="center"/>
              <w:rPr>
                <w:b/>
                <w:sz w:val="21"/>
              </w:rPr>
            </w:pPr>
            <w:r>
              <w:rPr>
                <w:b/>
                <w:sz w:val="21"/>
              </w:rPr>
              <w:t>1.1</w:t>
            </w:r>
          </w:p>
        </w:tc>
        <w:tc>
          <w:tcPr>
            <w:tcW w:w="1975" w:type="dxa"/>
            <w:tcBorders>
              <w:top w:val="single" w:sz="8" w:space="0" w:color="000000"/>
            </w:tcBorders>
          </w:tcPr>
          <w:p>
            <w:pPr>
              <w:pStyle w:val="TableParagraph"/>
              <w:spacing w:before="10"/>
              <w:rPr>
                <w:sz w:val="22"/>
              </w:rPr>
            </w:pPr>
          </w:p>
          <w:p>
            <w:pPr>
              <w:pStyle w:val="TableParagraph"/>
              <w:ind w:left="140"/>
              <w:rPr>
                <w:b/>
                <w:sz w:val="21"/>
              </w:rPr>
            </w:pPr>
            <w:r>
              <w:rPr>
                <w:b/>
                <w:w w:val="95"/>
                <w:sz w:val="21"/>
              </w:rPr>
              <w:t>合同构成</w:t>
            </w:r>
          </w:p>
        </w:tc>
        <w:tc>
          <w:tcPr>
            <w:tcW w:w="7379" w:type="dxa"/>
            <w:tcBorders>
              <w:top w:val="single" w:sz="8" w:space="0" w:color="000000"/>
            </w:tcBorders>
          </w:tcPr>
          <w:p>
            <w:pPr>
              <w:pStyle w:val="TableParagraph"/>
              <w:spacing w:before="10"/>
              <w:rPr>
                <w:sz w:val="22"/>
              </w:rPr>
            </w:pPr>
          </w:p>
          <w:p>
            <w:pPr>
              <w:pStyle w:val="TableParagraph"/>
              <w:spacing w:line="273" w:lineRule="auto"/>
              <w:ind w:left="147" w:right="59"/>
              <w:rPr>
                <w:sz w:val="21"/>
              </w:rPr>
            </w:pPr>
            <w:r>
              <w:rPr>
                <w:sz w:val="21"/>
              </w:rPr>
              <w:t>本附加保险合同（以下简称“本附加合同”）附加于国华定期寿险或国华附加定期寿险合同（以下简称“被附加合同”）上。被附加合同所附条款、投保单及与本附加合同有关的其他投保文件、合法有效的声明、批注、批单和其他书面协议，凡与本附加合同相关者，均为本附加合同的构成部分。</w:t>
            </w:r>
          </w:p>
        </w:tc>
      </w:tr>
      <w:tr>
        <w:trPr>
          <w:trHeight w:val="935" w:hRule="atLeast"/>
        </w:trPr>
        <w:tc>
          <w:tcPr>
            <w:tcW w:w="606" w:type="dxa"/>
          </w:tcPr>
          <w:p>
            <w:pPr>
              <w:pStyle w:val="TableParagraph"/>
              <w:spacing w:before="142"/>
              <w:ind w:left="88" w:right="158"/>
              <w:jc w:val="center"/>
              <w:rPr>
                <w:b/>
                <w:sz w:val="21"/>
              </w:rPr>
            </w:pPr>
            <w:r>
              <w:rPr>
                <w:b/>
                <w:sz w:val="21"/>
              </w:rPr>
              <w:t>1.2</w:t>
            </w:r>
          </w:p>
        </w:tc>
        <w:tc>
          <w:tcPr>
            <w:tcW w:w="1975" w:type="dxa"/>
          </w:tcPr>
          <w:p>
            <w:pPr>
              <w:pStyle w:val="TableParagraph"/>
              <w:spacing w:before="142"/>
              <w:ind w:left="140"/>
              <w:rPr>
                <w:b/>
                <w:sz w:val="21"/>
              </w:rPr>
            </w:pPr>
            <w:r>
              <w:rPr>
                <w:b/>
                <w:w w:val="95"/>
                <w:sz w:val="21"/>
              </w:rPr>
              <w:t>合同生效</w:t>
            </w:r>
          </w:p>
        </w:tc>
        <w:tc>
          <w:tcPr>
            <w:tcW w:w="7379" w:type="dxa"/>
          </w:tcPr>
          <w:p>
            <w:pPr>
              <w:pStyle w:val="TableParagraph"/>
              <w:spacing w:line="273" w:lineRule="auto" w:before="142"/>
              <w:ind w:left="147" w:right="59"/>
              <w:rPr>
                <w:sz w:val="21"/>
              </w:rPr>
            </w:pPr>
            <w:r>
              <w:rPr>
                <w:sz w:val="21"/>
              </w:rPr>
              <w:t>如果本附加合同与被附加合同同时投保，本附加合同的生效日与被附加合同相同。</w:t>
            </w:r>
          </w:p>
        </w:tc>
      </w:tr>
      <w:tr>
        <w:trPr>
          <w:trHeight w:val="935" w:hRule="atLeast"/>
        </w:trPr>
        <w:tc>
          <w:tcPr>
            <w:tcW w:w="606" w:type="dxa"/>
          </w:tcPr>
          <w:p>
            <w:pPr>
              <w:pStyle w:val="TableParagraph"/>
              <w:rPr>
                <w:rFonts w:ascii="Times New Roman"/>
                <w:sz w:val="20"/>
              </w:rPr>
            </w:pPr>
          </w:p>
        </w:tc>
        <w:tc>
          <w:tcPr>
            <w:tcW w:w="1975" w:type="dxa"/>
          </w:tcPr>
          <w:p>
            <w:pPr>
              <w:pStyle w:val="TableParagraph"/>
              <w:rPr>
                <w:rFonts w:ascii="Times New Roman"/>
                <w:sz w:val="20"/>
              </w:rPr>
            </w:pPr>
          </w:p>
        </w:tc>
        <w:tc>
          <w:tcPr>
            <w:tcW w:w="7379" w:type="dxa"/>
          </w:tcPr>
          <w:p>
            <w:pPr>
              <w:pStyle w:val="TableParagraph"/>
              <w:spacing w:line="273" w:lineRule="auto" w:before="142"/>
              <w:ind w:left="147" w:right="59"/>
              <w:rPr>
                <w:sz w:val="21"/>
              </w:rPr>
            </w:pPr>
            <w:r>
              <w:rPr>
                <w:sz w:val="21"/>
              </w:rPr>
              <w:t>如果您在被附加合同有效期内投保本附加合同，本附加合同生效日以批注所载的日期为准。</w:t>
            </w:r>
          </w:p>
        </w:tc>
      </w:tr>
      <w:tr>
        <w:trPr>
          <w:trHeight w:val="935" w:hRule="atLeast"/>
        </w:trPr>
        <w:tc>
          <w:tcPr>
            <w:tcW w:w="606" w:type="dxa"/>
          </w:tcPr>
          <w:p>
            <w:pPr>
              <w:pStyle w:val="TableParagraph"/>
              <w:rPr>
                <w:rFonts w:ascii="Times New Roman"/>
                <w:sz w:val="20"/>
              </w:rPr>
            </w:pPr>
          </w:p>
        </w:tc>
        <w:tc>
          <w:tcPr>
            <w:tcW w:w="1975" w:type="dxa"/>
          </w:tcPr>
          <w:p>
            <w:pPr>
              <w:pStyle w:val="TableParagraph"/>
              <w:rPr>
                <w:rFonts w:ascii="Times New Roman"/>
                <w:sz w:val="20"/>
              </w:rPr>
            </w:pPr>
          </w:p>
        </w:tc>
        <w:tc>
          <w:tcPr>
            <w:tcW w:w="7379" w:type="dxa"/>
          </w:tcPr>
          <w:p>
            <w:pPr>
              <w:pStyle w:val="TableParagraph"/>
              <w:spacing w:line="273" w:lineRule="auto" w:before="142"/>
              <w:ind w:left="147" w:right="89"/>
              <w:rPr>
                <w:sz w:val="21"/>
              </w:rPr>
            </w:pPr>
            <w:r>
              <w:rPr>
                <w:sz w:val="21"/>
              </w:rPr>
              <w:t>本附加合同生效日以后每年的对应日是保单周年日。保单年度、保险费应交日均以该日期计算。如果当月无对应的同一日，则以该月最后一日作为对应日。</w:t>
            </w:r>
          </w:p>
        </w:tc>
      </w:tr>
      <w:tr>
        <w:trPr>
          <w:trHeight w:val="1585" w:hRule="atLeast"/>
        </w:trPr>
        <w:tc>
          <w:tcPr>
            <w:tcW w:w="606" w:type="dxa"/>
          </w:tcPr>
          <w:p>
            <w:pPr>
              <w:pStyle w:val="TableParagraph"/>
              <w:spacing w:before="142"/>
              <w:ind w:left="88" w:right="158"/>
              <w:jc w:val="center"/>
              <w:rPr>
                <w:b/>
                <w:sz w:val="21"/>
              </w:rPr>
            </w:pPr>
            <w:r>
              <w:rPr>
                <w:b/>
                <w:sz w:val="21"/>
              </w:rPr>
              <w:t>1.3</w:t>
            </w:r>
          </w:p>
        </w:tc>
        <w:tc>
          <w:tcPr>
            <w:tcW w:w="1975" w:type="dxa"/>
          </w:tcPr>
          <w:p>
            <w:pPr>
              <w:pStyle w:val="TableParagraph"/>
              <w:spacing w:before="142"/>
              <w:ind w:left="141"/>
              <w:rPr>
                <w:b/>
                <w:sz w:val="21"/>
              </w:rPr>
            </w:pPr>
            <w:r>
              <w:rPr>
                <w:b/>
                <w:w w:val="95"/>
                <w:sz w:val="21"/>
              </w:rPr>
              <w:t>犹豫期</w:t>
            </w:r>
          </w:p>
        </w:tc>
        <w:tc>
          <w:tcPr>
            <w:tcW w:w="7379" w:type="dxa"/>
          </w:tcPr>
          <w:p>
            <w:pPr>
              <w:pStyle w:val="TableParagraph"/>
              <w:spacing w:line="273" w:lineRule="auto" w:before="142"/>
              <w:ind w:left="147" w:right="106"/>
              <w:jc w:val="both"/>
              <w:rPr>
                <w:sz w:val="21"/>
              </w:rPr>
            </w:pPr>
            <w:r>
              <w:rPr>
                <w:spacing w:val="-1"/>
                <w:sz w:val="21"/>
              </w:rPr>
              <w:t>自您签收本附加合同之日起 </w:t>
            </w:r>
            <w:r>
              <w:rPr>
                <w:sz w:val="21"/>
              </w:rPr>
              <w:t>10</w:t>
            </w:r>
            <w:r>
              <w:rPr>
                <w:spacing w:val="-3"/>
                <w:sz w:val="21"/>
              </w:rPr>
              <w:t> 日内作为犹豫期。在此期间您可以认真审视本</w:t>
            </w:r>
            <w:r>
              <w:rPr>
                <w:spacing w:val="-6"/>
                <w:sz w:val="21"/>
              </w:rPr>
              <w:t>附加合同，若您在此期间提出解除合同，需要填写书面申请书，并提供您的保</w:t>
            </w:r>
            <w:r>
              <w:rPr>
                <w:spacing w:val="-8"/>
                <w:sz w:val="21"/>
              </w:rPr>
              <w:t>险合同及身份证明，我们会无息退还您所交的全部保险费。自您书面申请解除合同之日起，本附加合同即被解除，我们自始不承担保险责任。</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75"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我们提供的保障</w:t>
            </w:r>
          </w:p>
        </w:tc>
        <w:tc>
          <w:tcPr>
            <w:tcW w:w="7379" w:type="dxa"/>
            <w:tcBorders>
              <w:bottom w:val="single" w:sz="8" w:space="0" w:color="000000"/>
            </w:tcBorders>
          </w:tcPr>
          <w:p>
            <w:pPr>
              <w:pStyle w:val="TableParagraph"/>
              <w:rPr>
                <w:rFonts w:ascii="Times New Roman"/>
                <w:sz w:val="20"/>
              </w:rPr>
            </w:pPr>
          </w:p>
        </w:tc>
      </w:tr>
      <w:tr>
        <w:trPr>
          <w:trHeight w:val="778" w:hRule="atLeast"/>
        </w:trPr>
        <w:tc>
          <w:tcPr>
            <w:tcW w:w="606" w:type="dxa"/>
            <w:tcBorders>
              <w:top w:val="single" w:sz="8" w:space="0" w:color="000000"/>
            </w:tcBorders>
          </w:tcPr>
          <w:p>
            <w:pPr>
              <w:pStyle w:val="TableParagraph"/>
              <w:spacing w:before="8"/>
              <w:rPr>
                <w:sz w:val="22"/>
              </w:rPr>
            </w:pPr>
          </w:p>
          <w:p>
            <w:pPr>
              <w:pStyle w:val="TableParagraph"/>
              <w:spacing w:before="1"/>
              <w:ind w:left="88" w:right="158"/>
              <w:jc w:val="center"/>
              <w:rPr>
                <w:b/>
                <w:sz w:val="21"/>
              </w:rPr>
            </w:pPr>
            <w:r>
              <w:rPr>
                <w:b/>
                <w:sz w:val="21"/>
              </w:rPr>
              <w:t>2.1</w:t>
            </w:r>
          </w:p>
        </w:tc>
        <w:tc>
          <w:tcPr>
            <w:tcW w:w="1975" w:type="dxa"/>
            <w:tcBorders>
              <w:top w:val="single" w:sz="8" w:space="0" w:color="000000"/>
            </w:tcBorders>
          </w:tcPr>
          <w:p>
            <w:pPr>
              <w:pStyle w:val="TableParagraph"/>
              <w:spacing w:before="8"/>
              <w:rPr>
                <w:sz w:val="22"/>
              </w:rPr>
            </w:pPr>
          </w:p>
          <w:p>
            <w:pPr>
              <w:pStyle w:val="TableParagraph"/>
              <w:spacing w:before="1"/>
              <w:ind w:left="141"/>
              <w:rPr>
                <w:b/>
                <w:sz w:val="21"/>
              </w:rPr>
            </w:pPr>
            <w:r>
              <w:rPr>
                <w:b/>
                <w:w w:val="95"/>
                <w:sz w:val="21"/>
              </w:rPr>
              <w:t>保险期间和续保</w:t>
            </w:r>
          </w:p>
        </w:tc>
        <w:tc>
          <w:tcPr>
            <w:tcW w:w="7379" w:type="dxa"/>
            <w:tcBorders>
              <w:top w:val="single" w:sz="8" w:space="0" w:color="000000"/>
            </w:tcBorders>
          </w:tcPr>
          <w:p>
            <w:pPr>
              <w:pStyle w:val="TableParagraph"/>
              <w:spacing w:before="8"/>
              <w:rPr>
                <w:sz w:val="22"/>
              </w:rPr>
            </w:pPr>
          </w:p>
          <w:p>
            <w:pPr>
              <w:pStyle w:val="TableParagraph"/>
              <w:spacing w:before="1"/>
              <w:ind w:left="147"/>
              <w:rPr>
                <w:sz w:val="21"/>
              </w:rPr>
            </w:pPr>
            <w:r>
              <w:rPr>
                <w:sz w:val="21"/>
              </w:rPr>
              <w:t>本附加合同的保险期间由您与我们约定并在保险单上载明。</w:t>
            </w:r>
          </w:p>
        </w:tc>
      </w:tr>
      <w:tr>
        <w:trPr>
          <w:trHeight w:val="2183" w:hRule="atLeast"/>
        </w:trPr>
        <w:tc>
          <w:tcPr>
            <w:tcW w:w="606" w:type="dxa"/>
          </w:tcPr>
          <w:p>
            <w:pPr>
              <w:pStyle w:val="TableParagraph"/>
              <w:rPr>
                <w:rFonts w:ascii="Times New Roman"/>
                <w:sz w:val="20"/>
              </w:rPr>
            </w:pPr>
          </w:p>
        </w:tc>
        <w:tc>
          <w:tcPr>
            <w:tcW w:w="1975" w:type="dxa"/>
          </w:tcPr>
          <w:p>
            <w:pPr>
              <w:pStyle w:val="TableParagraph"/>
              <w:rPr>
                <w:rFonts w:ascii="Times New Roman"/>
                <w:sz w:val="20"/>
              </w:rPr>
            </w:pPr>
          </w:p>
        </w:tc>
        <w:tc>
          <w:tcPr>
            <w:tcW w:w="7379" w:type="dxa"/>
          </w:tcPr>
          <w:p>
            <w:pPr>
              <w:pStyle w:val="TableParagraph"/>
              <w:spacing w:line="273" w:lineRule="auto" w:before="142"/>
              <w:ind w:left="147" w:right="89"/>
              <w:jc w:val="both"/>
              <w:rPr>
                <w:sz w:val="21"/>
              </w:rPr>
            </w:pPr>
            <w:r>
              <w:rPr>
                <w:spacing w:val="-5"/>
                <w:sz w:val="21"/>
              </w:rPr>
              <w:t>如果您选择的保险期间为 </w:t>
            </w:r>
            <w:r>
              <w:rPr>
                <w:sz w:val="21"/>
              </w:rPr>
              <w:t>5</w:t>
            </w:r>
            <w:r>
              <w:rPr>
                <w:spacing w:val="-9"/>
                <w:sz w:val="21"/>
              </w:rPr>
              <w:t> 年，您可于每个保险期间届满时，按续保时年龄对应的当时费率向我们交纳续保保险费，若未增加基本保险金额，则被保险人无需进行体检或向我们提供近期健康状况的证明材料，本附加合同将延续有效。本附加合同的最高续保年龄为 </w:t>
            </w:r>
            <w:r>
              <w:rPr>
                <w:sz w:val="21"/>
              </w:rPr>
              <w:t>55 </w:t>
            </w:r>
            <w:r>
              <w:rPr>
                <w:b/>
                <w:sz w:val="21"/>
              </w:rPr>
              <w:t>周岁</w:t>
            </w:r>
            <w:r>
              <w:rPr>
                <w:sz w:val="21"/>
              </w:rPr>
              <w:t>（</w:t>
            </w:r>
            <w:r>
              <w:rPr>
                <w:spacing w:val="-1"/>
                <w:sz w:val="21"/>
              </w:rPr>
              <w:t>见 </w:t>
            </w:r>
            <w:r>
              <w:rPr>
                <w:sz w:val="21"/>
              </w:rPr>
              <w:t>8.1）(</w:t>
            </w:r>
            <w:r>
              <w:rPr>
                <w:spacing w:val="-28"/>
                <w:sz w:val="21"/>
              </w:rPr>
              <w:t>含 </w:t>
            </w:r>
            <w:r>
              <w:rPr>
                <w:sz w:val="21"/>
              </w:rPr>
              <w:t>55</w:t>
            </w:r>
            <w:r>
              <w:rPr>
                <w:spacing w:val="-1"/>
                <w:sz w:val="21"/>
              </w:rPr>
              <w:t> 周岁)，且不超过被</w:t>
            </w:r>
          </w:p>
          <w:p>
            <w:pPr>
              <w:pStyle w:val="TableParagraph"/>
              <w:spacing w:line="273" w:lineRule="auto" w:before="7"/>
              <w:ind w:left="147" w:right="195"/>
              <w:rPr>
                <w:sz w:val="21"/>
              </w:rPr>
            </w:pPr>
            <w:r>
              <w:rPr>
                <w:spacing w:val="-3"/>
                <w:sz w:val="21"/>
              </w:rPr>
              <w:t>附加合同的保险到期年龄；若续保时被保险人年龄超过 </w:t>
            </w:r>
            <w:r>
              <w:rPr>
                <w:sz w:val="21"/>
              </w:rPr>
              <w:t>55</w:t>
            </w:r>
            <w:r>
              <w:rPr>
                <w:spacing w:val="-9"/>
                <w:sz w:val="21"/>
              </w:rPr>
              <w:t> 周岁，我们不再接受续保。</w:t>
            </w:r>
          </w:p>
        </w:tc>
      </w:tr>
      <w:tr>
        <w:trPr>
          <w:trHeight w:val="416" w:hRule="atLeast"/>
        </w:trPr>
        <w:tc>
          <w:tcPr>
            <w:tcW w:w="606" w:type="dxa"/>
          </w:tcPr>
          <w:p>
            <w:pPr>
              <w:pStyle w:val="TableParagraph"/>
              <w:rPr>
                <w:rFonts w:ascii="Times New Roman"/>
                <w:sz w:val="20"/>
              </w:rPr>
            </w:pPr>
          </w:p>
        </w:tc>
        <w:tc>
          <w:tcPr>
            <w:tcW w:w="1975" w:type="dxa"/>
          </w:tcPr>
          <w:p>
            <w:pPr>
              <w:pStyle w:val="TableParagraph"/>
              <w:rPr>
                <w:rFonts w:ascii="Times New Roman"/>
                <w:sz w:val="20"/>
              </w:rPr>
            </w:pPr>
          </w:p>
        </w:tc>
        <w:tc>
          <w:tcPr>
            <w:tcW w:w="7379" w:type="dxa"/>
          </w:tcPr>
          <w:p>
            <w:pPr>
              <w:pStyle w:val="TableParagraph"/>
              <w:spacing w:line="255" w:lineRule="exact" w:before="142"/>
              <w:ind w:left="147"/>
              <w:rPr>
                <w:sz w:val="21"/>
              </w:rPr>
            </w:pPr>
            <w:r>
              <w:rPr>
                <w:sz w:val="21"/>
              </w:rPr>
              <w:t>非连续投保本附加合同或选择其他保险期间的，在续保时需按我们的规定提供</w:t>
            </w:r>
          </w:p>
        </w:tc>
      </w:tr>
    </w:tbl>
    <w:p>
      <w:pPr>
        <w:spacing w:after="0" w:line="255" w:lineRule="exact"/>
        <w:rPr>
          <w:sz w:val="21"/>
        </w:rPr>
        <w:sectPr>
          <w:pgSz w:w="11910" w:h="16840"/>
          <w:pgMar w:top="1180" w:bottom="280" w:left="800" w:right="920"/>
        </w:sectPr>
      </w:pPr>
    </w:p>
    <w:p>
      <w:pPr>
        <w:pStyle w:val="BodyText"/>
        <w:spacing w:line="273" w:lineRule="auto" w:before="19"/>
        <w:ind w:left="2722" w:right="132"/>
      </w:pPr>
      <w:r>
        <w:rPr/>
        <w:t>被保险人的健康声明书、我们指定医疗机构出具的体检报告书及其他相关证明文件，经我们审核同意后方可续保。</w:t>
      </w:r>
    </w:p>
    <w:p>
      <w:pPr>
        <w:pStyle w:val="BodyText"/>
        <w:spacing w:before="5"/>
        <w:rPr>
          <w:sz w:val="24"/>
        </w:rPr>
      </w:pPr>
    </w:p>
    <w:p>
      <w:pPr>
        <w:pStyle w:val="ListParagraph"/>
        <w:numPr>
          <w:ilvl w:val="1"/>
          <w:numId w:val="9"/>
        </w:numPr>
        <w:tabs>
          <w:tab w:pos="740" w:val="left" w:leader="none"/>
          <w:tab w:pos="741" w:val="left" w:leader="none"/>
          <w:tab w:pos="2721" w:val="left" w:leader="none"/>
        </w:tabs>
        <w:spacing w:line="240" w:lineRule="auto" w:before="0" w:after="0"/>
        <w:ind w:left="2722" w:right="0" w:hanging="2621"/>
        <w:jc w:val="left"/>
        <w:rPr>
          <w:sz w:val="21"/>
        </w:rPr>
      </w:pPr>
      <w:r>
        <w:rPr>
          <w:b/>
          <w:sz w:val="21"/>
        </w:rPr>
        <w:t>投保条件</w:t>
        <w:tab/>
      </w:r>
      <w:r>
        <w:rPr>
          <w:sz w:val="21"/>
        </w:rPr>
        <w:t>您和被保险人必须符合以下条件：</w:t>
      </w:r>
    </w:p>
    <w:p>
      <w:pPr>
        <w:pStyle w:val="BodyText"/>
        <w:spacing w:before="6"/>
        <w:rPr>
          <w:sz w:val="22"/>
        </w:rPr>
      </w:pPr>
    </w:p>
    <w:p>
      <w:pPr>
        <w:pStyle w:val="BodyText"/>
        <w:tabs>
          <w:tab w:pos="2721" w:val="left" w:leader="none"/>
        </w:tabs>
        <w:spacing w:line="223" w:lineRule="auto" w:before="0"/>
        <w:ind w:left="2722" w:right="179" w:hanging="1982"/>
      </w:pPr>
      <w:r>
        <w:rPr>
          <w:rFonts w:ascii="Microsoft JhengHei" w:eastAsia="Microsoft JhengHei" w:hint="eastAsia"/>
          <w:b/>
          <w:position w:val="-2"/>
          <w:sz w:val="24"/>
        </w:rPr>
        <w:t>被保险人条件</w:t>
        <w:tab/>
      </w:r>
      <w:r>
        <w:rPr/>
        <w:t>凡投保时年满</w:t>
      </w:r>
      <w:r>
        <w:rPr>
          <w:spacing w:val="-53"/>
        </w:rPr>
        <w:t> </w:t>
      </w:r>
      <w:r>
        <w:rPr/>
        <w:t>18</w:t>
      </w:r>
      <w:r>
        <w:rPr>
          <w:spacing w:val="-52"/>
        </w:rPr>
        <w:t> </w:t>
      </w:r>
      <w:r>
        <w:rPr/>
        <w:t>周岁至</w:t>
      </w:r>
      <w:r>
        <w:rPr>
          <w:spacing w:val="-54"/>
        </w:rPr>
        <w:t> </w:t>
      </w:r>
      <w:r>
        <w:rPr/>
        <w:t>55</w:t>
      </w:r>
      <w:r>
        <w:rPr>
          <w:spacing w:val="-52"/>
        </w:rPr>
        <w:t> </w:t>
      </w:r>
      <w:r>
        <w:rPr/>
        <w:t>周</w:t>
      </w:r>
      <w:r>
        <w:rPr>
          <w:spacing w:val="-7"/>
        </w:rPr>
        <w:t>岁</w:t>
      </w:r>
      <w:r>
        <w:rPr>
          <w:spacing w:val="-2"/>
        </w:rPr>
        <w:t>（</w:t>
      </w:r>
      <w:r>
        <w:rPr/>
        <w:t>含</w:t>
      </w:r>
      <w:r>
        <w:rPr>
          <w:spacing w:val="-54"/>
        </w:rPr>
        <w:t> </w:t>
      </w:r>
      <w:r>
        <w:rPr/>
        <w:t>55</w:t>
      </w:r>
      <w:r>
        <w:rPr>
          <w:spacing w:val="-52"/>
        </w:rPr>
        <w:t> </w:t>
      </w:r>
      <w:r>
        <w:rPr/>
        <w:t>周</w:t>
      </w:r>
      <w:r>
        <w:rPr>
          <w:spacing w:val="-2"/>
        </w:rPr>
        <w:t>岁</w:t>
      </w:r>
      <w:r>
        <w:rPr>
          <w:spacing w:val="-105"/>
        </w:rPr>
        <w:t>）</w:t>
      </w:r>
      <w:r>
        <w:rPr>
          <w:spacing w:val="-7"/>
        </w:rPr>
        <w:t>，</w:t>
      </w:r>
      <w:r>
        <w:rPr>
          <w:spacing w:val="-2"/>
        </w:rPr>
        <w:t>身</w:t>
      </w:r>
      <w:r>
        <w:rPr/>
        <w:t>体健康</w:t>
      </w:r>
      <w:r>
        <w:rPr>
          <w:spacing w:val="-7"/>
        </w:rPr>
        <w:t>，</w:t>
      </w:r>
      <w:r>
        <w:rPr/>
        <w:t>且符合我们承保条件的人，均可作为本保险的被保险人。</w:t>
      </w:r>
    </w:p>
    <w:p>
      <w:pPr>
        <w:pStyle w:val="BodyText"/>
        <w:spacing w:before="1"/>
        <w:rPr>
          <w:sz w:val="23"/>
        </w:rPr>
      </w:pPr>
    </w:p>
    <w:p>
      <w:pPr>
        <w:pStyle w:val="BodyText"/>
        <w:tabs>
          <w:tab w:pos="2721" w:val="left" w:leader="none"/>
        </w:tabs>
        <w:spacing w:line="223" w:lineRule="auto" w:before="1"/>
        <w:ind w:left="2722" w:right="267" w:hanging="1982"/>
      </w:pPr>
      <w:r>
        <w:rPr>
          <w:rFonts w:ascii="Microsoft JhengHei" w:eastAsia="Microsoft JhengHei" w:hint="eastAsia"/>
          <w:b/>
          <w:position w:val="-2"/>
          <w:sz w:val="24"/>
        </w:rPr>
        <w:t>投保人条件</w:t>
        <w:tab/>
      </w:r>
      <w:r>
        <w:rPr>
          <w:spacing w:val="-1"/>
        </w:rPr>
        <w:t>凡年</w:t>
      </w:r>
      <w:r>
        <w:rPr/>
        <w:t>满</w:t>
      </w:r>
      <w:r>
        <w:rPr>
          <w:spacing w:val="-53"/>
        </w:rPr>
        <w:t> </w:t>
      </w:r>
      <w:r>
        <w:rPr>
          <w:spacing w:val="-1"/>
        </w:rPr>
        <w:t>1</w:t>
      </w:r>
      <w:r>
        <w:rPr/>
        <w:t>8</w:t>
      </w:r>
      <w:r>
        <w:rPr>
          <w:spacing w:val="-52"/>
        </w:rPr>
        <w:t> </w:t>
      </w:r>
      <w:r>
        <w:rPr>
          <w:spacing w:val="-2"/>
        </w:rPr>
        <w:t>周</w:t>
      </w:r>
      <w:r>
        <w:rPr>
          <w:spacing w:val="-1"/>
        </w:rPr>
        <w:t>岁（</w:t>
      </w:r>
      <w:r>
        <w:rPr/>
        <w:t>含</w:t>
      </w:r>
      <w:r>
        <w:rPr>
          <w:spacing w:val="-53"/>
        </w:rPr>
        <w:t> </w:t>
      </w:r>
      <w:r>
        <w:rPr>
          <w:spacing w:val="-1"/>
        </w:rPr>
        <w:t>1</w:t>
      </w:r>
      <w:r>
        <w:rPr/>
        <w:t>8</w:t>
      </w:r>
      <w:r>
        <w:rPr>
          <w:spacing w:val="-52"/>
        </w:rPr>
        <w:t> </w:t>
      </w:r>
      <w:r>
        <w:rPr>
          <w:spacing w:val="-2"/>
        </w:rPr>
        <w:t>周</w:t>
      </w:r>
      <w:r>
        <w:rPr/>
        <w:t>岁</w:t>
      </w:r>
      <w:r>
        <w:rPr>
          <w:spacing w:val="-105"/>
        </w:rPr>
        <w:t>）</w:t>
      </w:r>
      <w:r>
        <w:rPr/>
        <w:t>，具有</w:t>
      </w:r>
      <w:r>
        <w:rPr>
          <w:spacing w:val="-2"/>
        </w:rPr>
        <w:t>完</w:t>
      </w:r>
      <w:r>
        <w:rPr/>
        <w:t>全民事行为能力且对被保险人具有保险利益的人，均可作为本保险的投保人。</w:t>
      </w:r>
    </w:p>
    <w:p>
      <w:pPr>
        <w:pStyle w:val="BodyText"/>
        <w:spacing w:before="9"/>
        <w:rPr>
          <w:sz w:val="26"/>
        </w:rPr>
      </w:pPr>
    </w:p>
    <w:p>
      <w:pPr>
        <w:pStyle w:val="ListParagraph"/>
        <w:numPr>
          <w:ilvl w:val="1"/>
          <w:numId w:val="9"/>
        </w:numPr>
        <w:tabs>
          <w:tab w:pos="741" w:val="left" w:leader="none"/>
        </w:tabs>
        <w:spacing w:line="273" w:lineRule="auto" w:before="0" w:after="0"/>
        <w:ind w:left="2722" w:right="178" w:hanging="2621"/>
        <w:jc w:val="both"/>
        <w:rPr>
          <w:sz w:val="21"/>
        </w:rPr>
      </w:pPr>
      <w:r>
        <w:rPr>
          <w:b/>
          <w:spacing w:val="5"/>
          <w:sz w:val="21"/>
        </w:rPr>
        <w:t>基本保险金额     </w:t>
      </w:r>
      <w:r>
        <w:rPr>
          <w:spacing w:val="-1"/>
          <w:sz w:val="21"/>
        </w:rPr>
        <w:t>本附加合同的基本保险金额由您在投保时与我们约定并在保险单上载明，投保</w:t>
      </w:r>
      <w:r>
        <w:rPr>
          <w:spacing w:val="-3"/>
          <w:sz w:val="21"/>
        </w:rPr>
        <w:t>时的基本保险金额须符合我们当时的投保规定。若该金额发生变更，则以变更后的金额为基本保险金额。</w:t>
      </w:r>
    </w:p>
    <w:p>
      <w:pPr>
        <w:pStyle w:val="BodyText"/>
        <w:spacing w:before="5"/>
        <w:rPr>
          <w:sz w:val="24"/>
        </w:rPr>
      </w:pPr>
    </w:p>
    <w:p>
      <w:pPr>
        <w:pStyle w:val="ListParagraph"/>
        <w:numPr>
          <w:ilvl w:val="1"/>
          <w:numId w:val="9"/>
        </w:numPr>
        <w:tabs>
          <w:tab w:pos="739" w:val="left" w:leader="none"/>
          <w:tab w:pos="740" w:val="left" w:leader="none"/>
          <w:tab w:pos="2721" w:val="left" w:leader="none"/>
        </w:tabs>
        <w:spacing w:line="240" w:lineRule="auto" w:before="0" w:after="0"/>
        <w:ind w:left="740" w:right="0" w:hanging="639"/>
        <w:jc w:val="left"/>
        <w:rPr>
          <w:sz w:val="21"/>
        </w:rPr>
      </w:pPr>
      <w:r>
        <w:rPr>
          <w:b/>
          <w:sz w:val="21"/>
        </w:rPr>
        <w:t>保险责任</w:t>
        <w:tab/>
      </w:r>
      <w:r>
        <w:rPr>
          <w:sz w:val="21"/>
        </w:rPr>
        <w:t>在本附加合同有效期内，我们承担如下保险责任：</w:t>
      </w:r>
    </w:p>
    <w:p>
      <w:pPr>
        <w:pStyle w:val="BodyText"/>
        <w:spacing w:before="6"/>
        <w:rPr>
          <w:sz w:val="22"/>
        </w:rPr>
      </w:pPr>
    </w:p>
    <w:p>
      <w:pPr>
        <w:pStyle w:val="BodyText"/>
        <w:tabs>
          <w:tab w:pos="2721" w:val="left" w:leader="none"/>
        </w:tabs>
        <w:spacing w:line="223" w:lineRule="auto" w:before="0"/>
        <w:ind w:left="2721" w:right="178" w:hanging="1982"/>
      </w:pPr>
      <w:r>
        <w:rPr>
          <w:rFonts w:ascii="Microsoft JhengHei" w:eastAsia="Microsoft JhengHei" w:hint="eastAsia"/>
          <w:b/>
          <w:position w:val="-2"/>
          <w:sz w:val="24"/>
        </w:rPr>
        <w:t>等待期</w:t>
        <w:tab/>
      </w:r>
      <w:r>
        <w:rPr/>
        <w:t>在本附加合同生效或最后复效日(以较迟者为准)起</w:t>
      </w:r>
      <w:r>
        <w:rPr>
          <w:spacing w:val="-69"/>
        </w:rPr>
        <w:t> </w:t>
      </w:r>
      <w:r>
        <w:rPr/>
        <w:t>180</w:t>
      </w:r>
      <w:r>
        <w:rPr>
          <w:spacing w:val="-68"/>
        </w:rPr>
        <w:t> </w:t>
      </w:r>
      <w:r>
        <w:rPr/>
        <w:t>日内</w:t>
      </w:r>
      <w:r>
        <w:rPr>
          <w:spacing w:val="-20"/>
        </w:rPr>
        <w:t>，</w:t>
      </w:r>
      <w:r>
        <w:rPr/>
        <w:t>被保险人因</w:t>
      </w:r>
      <w:r>
        <w:rPr>
          <w:b/>
        </w:rPr>
        <w:t>意外伤害事故</w:t>
      </w:r>
      <w:r>
        <w:rPr/>
        <w:t>（见</w:t>
      </w:r>
      <w:r>
        <w:rPr>
          <w:spacing w:val="-56"/>
        </w:rPr>
        <w:t> </w:t>
      </w:r>
      <w:r>
        <w:rPr/>
        <w:t>8.2）以外的原因患本附加合同约定的</w:t>
      </w:r>
      <w:r>
        <w:rPr>
          <w:b/>
        </w:rPr>
        <w:t>成人重大疾病</w:t>
      </w:r>
      <w:r>
        <w:rPr/>
        <w:t>（见</w:t>
      </w:r>
      <w:r>
        <w:rPr>
          <w:spacing w:val="-57"/>
        </w:rPr>
        <w:t> </w:t>
      </w:r>
      <w:r>
        <w:rPr/>
        <w:t>8.3）</w:t>
      </w:r>
    </w:p>
    <w:p>
      <w:pPr>
        <w:pStyle w:val="BodyText"/>
        <w:spacing w:line="273" w:lineRule="auto"/>
        <w:ind w:left="2722" w:right="179" w:hanging="1"/>
      </w:pPr>
      <w:r>
        <w:rPr/>
        <w:t>或</w:t>
      </w:r>
      <w:r>
        <w:rPr>
          <w:b/>
          <w:spacing w:val="-3"/>
          <w:w w:val="99"/>
        </w:rPr>
        <w:t>成人轻症疾病</w:t>
      </w:r>
      <w:r>
        <w:rPr>
          <w:spacing w:val="-1"/>
        </w:rPr>
        <w:t>（</w:t>
      </w:r>
      <w:r>
        <w:rPr>
          <w:spacing w:val="-27"/>
        </w:rPr>
        <w:t>见 </w:t>
      </w:r>
      <w:r>
        <w:rPr>
          <w:spacing w:val="-1"/>
        </w:rPr>
        <w:t>8.4</w:t>
      </w:r>
      <w:r>
        <w:rPr>
          <w:spacing w:val="-16"/>
        </w:rPr>
        <w:t>）的</w:t>
      </w:r>
      <w:r>
        <w:rPr>
          <w:spacing w:val="-1"/>
        </w:rPr>
        <w:t>（无论一种或多种</w:t>
      </w:r>
      <w:r>
        <w:rPr>
          <w:spacing w:val="-106"/>
        </w:rPr>
        <w:t>）</w:t>
      </w:r>
      <w:r>
        <w:rPr>
          <w:spacing w:val="-6"/>
        </w:rPr>
        <w:t>，我们不承担保险责任，退还</w:t>
      </w:r>
      <w:r>
        <w:rPr>
          <w:spacing w:val="-9"/>
        </w:rPr>
        <w:t>未满期净保费，本附加合同终止。这 </w:t>
      </w:r>
      <w:r>
        <w:rPr/>
        <w:t>180</w:t>
      </w:r>
      <w:r>
        <w:rPr>
          <w:spacing w:val="-8"/>
        </w:rPr>
        <w:t> 日的时间称为等待期。</w:t>
      </w:r>
    </w:p>
    <w:p>
      <w:pPr>
        <w:pStyle w:val="BodyText"/>
        <w:spacing w:before="8"/>
        <w:ind w:left="2722"/>
      </w:pPr>
      <w:r>
        <w:rPr/>
        <w:t>因意外伤害事故患上述疾病的无等待期。</w:t>
      </w:r>
    </w:p>
    <w:p>
      <w:pPr>
        <w:pStyle w:val="BodyText"/>
        <w:spacing w:before="8"/>
        <w:rPr>
          <w:sz w:val="26"/>
        </w:rPr>
      </w:pPr>
    </w:p>
    <w:p>
      <w:pPr>
        <w:pStyle w:val="BodyText"/>
        <w:spacing w:line="273" w:lineRule="auto" w:before="1"/>
        <w:ind w:left="2722" w:right="132"/>
      </w:pPr>
      <w:r>
        <w:rPr/>
        <w:t>如被保险人在等待期后发生本附加合同所约定的保险事故，我们按照下列方式给付保险金：</w:t>
      </w:r>
    </w:p>
    <w:p>
      <w:pPr>
        <w:pStyle w:val="BodyText"/>
        <w:spacing w:before="9"/>
      </w:pPr>
    </w:p>
    <w:p>
      <w:pPr>
        <w:spacing w:after="0"/>
        <w:sectPr>
          <w:pgSz w:w="11910" w:h="16840"/>
          <w:pgMar w:top="1100" w:bottom="280" w:left="920" w:right="960"/>
        </w:sectPr>
      </w:pPr>
    </w:p>
    <w:p>
      <w:pPr>
        <w:pStyle w:val="Heading2"/>
        <w:spacing w:line="182" w:lineRule="auto"/>
        <w:ind w:left="740"/>
      </w:pPr>
      <w:r>
        <w:rPr/>
        <w:t>成人重大疾病保险金</w:t>
      </w:r>
    </w:p>
    <w:p>
      <w:pPr>
        <w:pStyle w:val="BodyText"/>
        <w:spacing w:line="273" w:lineRule="auto" w:before="36"/>
        <w:ind w:left="260" w:right="160"/>
        <w:jc w:val="both"/>
      </w:pPr>
      <w:r>
        <w:rPr/>
        <w:br w:type="column"/>
      </w:r>
      <w:r>
        <w:rPr/>
        <w:t>被保险人</w:t>
      </w:r>
      <w:r>
        <w:rPr>
          <w:b/>
          <w:spacing w:val="-3"/>
        </w:rPr>
        <w:t>初次发生</w:t>
      </w:r>
      <w:r>
        <w:rPr/>
        <w:t>（</w:t>
      </w:r>
      <w:r>
        <w:rPr>
          <w:spacing w:val="-28"/>
        </w:rPr>
        <w:t>见 </w:t>
      </w:r>
      <w:r>
        <w:rPr>
          <w:spacing w:val="-4"/>
        </w:rPr>
        <w:t>8.5）</w:t>
      </w:r>
      <w:r>
        <w:rPr/>
        <w:t>并被</w:t>
      </w:r>
      <w:r>
        <w:rPr>
          <w:b/>
          <w:spacing w:val="-6"/>
        </w:rPr>
        <w:t>医院</w:t>
      </w:r>
      <w:r>
        <w:rPr/>
        <w:t>（</w:t>
      </w:r>
      <w:r>
        <w:rPr>
          <w:spacing w:val="-27"/>
        </w:rPr>
        <w:t>见 </w:t>
      </w:r>
      <w:r>
        <w:rPr>
          <w:spacing w:val="-4"/>
        </w:rPr>
        <w:t>8.6）</w:t>
      </w:r>
      <w:r>
        <w:rPr/>
        <w:t>的</w:t>
      </w:r>
      <w:r>
        <w:rPr>
          <w:b/>
          <w:spacing w:val="-4"/>
        </w:rPr>
        <w:t>专科医生</w:t>
      </w:r>
      <w:r>
        <w:rPr/>
        <w:t>（</w:t>
      </w:r>
      <w:r>
        <w:rPr>
          <w:spacing w:val="-27"/>
        </w:rPr>
        <w:t>见 </w:t>
      </w:r>
      <w:r>
        <w:rPr>
          <w:spacing w:val="-4"/>
        </w:rPr>
        <w:t>8.7）</w:t>
      </w:r>
      <w:r>
        <w:rPr/>
        <w:t>确诊为</w:t>
      </w:r>
      <w:r>
        <w:rPr>
          <w:spacing w:val="-2"/>
        </w:rPr>
        <w:t>本附加合同约定的成人重大疾病，我们按本附加合同当时的基本保险金额</w:t>
      </w:r>
      <w:r>
        <w:rPr/>
        <w:t>（扣除给付的轻症疾病提前给付保险金之和后的金额）给付成人重大疾病保险金， </w:t>
      </w:r>
      <w:r>
        <w:rPr>
          <w:spacing w:val="-3"/>
        </w:rPr>
        <w:t>本附加合同终止；被附加合同基本保险金额减少为扣除本附加合同基本保险金额后的金额。</w:t>
      </w:r>
    </w:p>
    <w:p>
      <w:pPr>
        <w:spacing w:after="0" w:line="273" w:lineRule="auto"/>
        <w:jc w:val="both"/>
        <w:sectPr>
          <w:type w:val="continuous"/>
          <w:pgSz w:w="11910" w:h="16840"/>
          <w:pgMar w:top="580" w:bottom="280" w:left="920" w:right="960"/>
          <w:cols w:num="2" w:equalWidth="0">
            <w:col w:w="2422" w:space="40"/>
            <w:col w:w="7568"/>
          </w:cols>
        </w:sectPr>
      </w:pPr>
    </w:p>
    <w:p>
      <w:pPr>
        <w:pStyle w:val="BodyText"/>
        <w:spacing w:before="9"/>
      </w:pPr>
    </w:p>
    <w:p>
      <w:pPr>
        <w:spacing w:after="0"/>
        <w:sectPr>
          <w:type w:val="continuous"/>
          <w:pgSz w:w="11910" w:h="16840"/>
          <w:pgMar w:top="580" w:bottom="280" w:left="920" w:right="960"/>
        </w:sectPr>
      </w:pPr>
    </w:p>
    <w:p>
      <w:pPr>
        <w:pStyle w:val="Heading2"/>
        <w:spacing w:line="182" w:lineRule="auto"/>
        <w:ind w:left="740"/>
      </w:pPr>
      <w:r>
        <w:rPr/>
        <w:t>成人轻症疾病提前给付保险金</w:t>
      </w:r>
    </w:p>
    <w:p>
      <w:pPr>
        <w:pStyle w:val="BodyText"/>
        <w:spacing w:line="273" w:lineRule="auto" w:before="36"/>
        <w:ind w:left="260" w:right="107"/>
      </w:pPr>
      <w:r>
        <w:rPr/>
        <w:br w:type="column"/>
      </w:r>
      <w:r>
        <w:rPr/>
        <w:t>被保险人初次发生并被医院的专科医生确诊为本附加合同约定的成人轻症疾 </w:t>
      </w:r>
      <w:r>
        <w:rPr>
          <w:spacing w:val="-4"/>
        </w:rPr>
        <w:t>病，我们按本附加合同基本保险金额 </w:t>
      </w:r>
      <w:r>
        <w:rPr/>
        <w:t>20％给付成人轻症疾病提前给付保险金， </w:t>
      </w:r>
      <w:r>
        <w:rPr>
          <w:spacing w:val="-6"/>
        </w:rPr>
        <w:t>但最多不超过人民币 </w:t>
      </w:r>
      <w:r>
        <w:rPr/>
        <w:t>50000</w:t>
      </w:r>
      <w:r>
        <w:rPr>
          <w:spacing w:val="-18"/>
        </w:rPr>
        <w:t> 元。</w:t>
      </w:r>
    </w:p>
    <w:p>
      <w:pPr>
        <w:pStyle w:val="BodyText"/>
        <w:spacing w:before="5"/>
        <w:rPr>
          <w:sz w:val="24"/>
        </w:rPr>
      </w:pPr>
    </w:p>
    <w:p>
      <w:pPr>
        <w:pStyle w:val="BodyText"/>
        <w:spacing w:line="273" w:lineRule="auto" w:before="0"/>
        <w:ind w:left="260" w:right="178"/>
      </w:pPr>
      <w:r>
        <w:rPr>
          <w:spacing w:val="-5"/>
        </w:rPr>
        <w:t>每种成人轻症疾病只给付 </w:t>
      </w:r>
      <w:r>
        <w:rPr/>
        <w:t>1</w:t>
      </w:r>
      <w:r>
        <w:rPr>
          <w:spacing w:val="-9"/>
        </w:rPr>
        <w:t> 次成人轻症疾病提前给付保险金，给付后该种成人轻症疾病提前给付保险金保险责任终止。</w:t>
      </w:r>
    </w:p>
    <w:p>
      <w:pPr>
        <w:pStyle w:val="BodyText"/>
        <w:spacing w:before="4"/>
        <w:rPr>
          <w:sz w:val="24"/>
        </w:rPr>
      </w:pPr>
    </w:p>
    <w:p>
      <w:pPr>
        <w:pStyle w:val="BodyText"/>
        <w:spacing w:line="273" w:lineRule="auto" w:before="1"/>
        <w:ind w:left="260" w:right="132"/>
      </w:pPr>
      <w:r>
        <w:rPr/>
        <w:t>轻症疾病提前给付保险金给付后，本附加合同的基本保险金额递减为扣除成人轻症疾病提前给付保险金后的金额，当本附加合同的基本保险金额递减为零时，本附加合同终止；被附加合同基本保险金额减少为扣除成人轻症疾病提前给付保险金之和后的金额。</w:t>
      </w:r>
    </w:p>
    <w:p>
      <w:pPr>
        <w:spacing w:after="0" w:line="273" w:lineRule="auto"/>
        <w:sectPr>
          <w:type w:val="continuous"/>
          <w:pgSz w:w="11910" w:h="16840"/>
          <w:pgMar w:top="580" w:bottom="280" w:left="920" w:right="960"/>
          <w:cols w:num="2" w:equalWidth="0">
            <w:col w:w="2422" w:space="40"/>
            <w:col w:w="7568"/>
          </w:cols>
        </w:sectPr>
      </w:pPr>
    </w:p>
    <w:p>
      <w:pPr>
        <w:pStyle w:val="BodyText"/>
        <w:spacing w:before="9"/>
      </w:pPr>
    </w:p>
    <w:p>
      <w:pPr>
        <w:spacing w:after="0"/>
        <w:sectPr>
          <w:type w:val="continuous"/>
          <w:pgSz w:w="11910" w:h="16840"/>
          <w:pgMar w:top="580" w:bottom="280" w:left="920" w:right="960"/>
        </w:sectPr>
      </w:pPr>
    </w:p>
    <w:p>
      <w:pPr>
        <w:pStyle w:val="Heading2"/>
        <w:spacing w:line="182" w:lineRule="auto"/>
        <w:ind w:left="740"/>
      </w:pPr>
      <w:r>
        <w:rPr/>
        <w:t>对被附加合同的影响</w:t>
      </w:r>
    </w:p>
    <w:p>
      <w:pPr>
        <w:pStyle w:val="BodyText"/>
        <w:spacing w:line="273" w:lineRule="auto" w:before="36"/>
        <w:ind w:left="260" w:right="132"/>
      </w:pPr>
      <w:r>
        <w:rPr/>
        <w:br w:type="column"/>
      </w:r>
      <w:r>
        <w:rPr/>
        <w:t>被附加合同约定的各项保险责任按减少或再次减少后的基本保险金额确定。当被附加合同基本保险金额减少至零时，被附加合同终止。</w:t>
      </w:r>
    </w:p>
    <w:p>
      <w:pPr>
        <w:spacing w:after="0" w:line="273" w:lineRule="auto"/>
        <w:sectPr>
          <w:type w:val="continuous"/>
          <w:pgSz w:w="11910" w:h="16840"/>
          <w:pgMar w:top="580" w:bottom="280" w:left="920" w:right="960"/>
          <w:cols w:num="2" w:equalWidth="0">
            <w:col w:w="2422" w:space="40"/>
            <w:col w:w="7568"/>
          </w:cols>
        </w:sectPr>
      </w:pPr>
    </w:p>
    <w:p>
      <w:pPr>
        <w:pStyle w:val="ListParagraph"/>
        <w:numPr>
          <w:ilvl w:val="1"/>
          <w:numId w:val="9"/>
        </w:numPr>
        <w:tabs>
          <w:tab w:pos="879" w:val="left" w:leader="none"/>
          <w:tab w:pos="880" w:val="left" w:leader="none"/>
          <w:tab w:pos="2861" w:val="left" w:leader="none"/>
        </w:tabs>
        <w:spacing w:line="273" w:lineRule="auto" w:before="11" w:after="0"/>
        <w:ind w:left="2862" w:right="114" w:hanging="2621"/>
        <w:jc w:val="left"/>
        <w:rPr>
          <w:rFonts w:ascii="黑体" w:hAnsi="黑体" w:eastAsia="黑体" w:hint="eastAsia"/>
          <w:sz w:val="21"/>
        </w:rPr>
      </w:pPr>
      <w:r>
        <w:rPr>
          <w:b/>
          <w:sz w:val="21"/>
        </w:rPr>
        <w:t>责任免除</w:t>
        <w:tab/>
      </w:r>
      <w:r>
        <w:rPr>
          <w:rFonts w:ascii="黑体" w:hAnsi="黑体" w:eastAsia="黑体" w:hint="eastAsia"/>
          <w:sz w:val="21"/>
        </w:rPr>
        <w:t>因下列情形之一</w:t>
      </w:r>
      <w:r>
        <w:rPr>
          <w:rFonts w:ascii="黑体" w:hAnsi="黑体" w:eastAsia="黑体" w:hint="eastAsia"/>
          <w:spacing w:val="-32"/>
          <w:sz w:val="21"/>
        </w:rPr>
        <w:t>，</w:t>
      </w:r>
      <w:r>
        <w:rPr>
          <w:rFonts w:ascii="黑体" w:hAnsi="黑体" w:eastAsia="黑体" w:hint="eastAsia"/>
          <w:sz w:val="21"/>
        </w:rPr>
        <w:t>导致被保险人初次发</w:t>
      </w:r>
      <w:r>
        <w:rPr>
          <w:rFonts w:ascii="黑体" w:hAnsi="黑体" w:eastAsia="黑体" w:hint="eastAsia"/>
          <w:spacing w:val="-22"/>
          <w:sz w:val="21"/>
        </w:rPr>
        <w:t>Th“</w:t>
      </w:r>
      <w:r>
        <w:rPr>
          <w:rFonts w:ascii="黑体" w:hAnsi="黑体" w:eastAsia="黑体" w:hint="eastAsia"/>
          <w:sz w:val="21"/>
        </w:rPr>
        <w:t>成人重大疾病</w:t>
      </w:r>
      <w:r>
        <w:rPr>
          <w:rFonts w:ascii="黑体" w:hAnsi="黑体" w:eastAsia="黑体" w:hint="eastAsia"/>
          <w:spacing w:val="-32"/>
          <w:sz w:val="21"/>
        </w:rPr>
        <w:t>”或</w:t>
      </w:r>
      <w:r>
        <w:rPr>
          <w:rFonts w:ascii="黑体" w:hAnsi="黑体" w:eastAsia="黑体" w:hint="eastAsia"/>
          <w:sz w:val="21"/>
        </w:rPr>
        <w:t>“成人轻症疾病” 的，我们不承担给付保险金的责任：</w:t>
      </w:r>
    </w:p>
    <w:p>
      <w:pPr>
        <w:pStyle w:val="ListParagraph"/>
        <w:numPr>
          <w:ilvl w:val="2"/>
          <w:numId w:val="9"/>
        </w:numPr>
        <w:tabs>
          <w:tab w:pos="3283" w:val="left" w:leader="none"/>
        </w:tabs>
        <w:spacing w:line="240" w:lineRule="auto" w:before="7" w:after="0"/>
        <w:ind w:left="3278" w:right="0" w:hanging="416"/>
        <w:jc w:val="left"/>
        <w:rPr>
          <w:rFonts w:ascii="黑体" w:eastAsia="黑体" w:hint="eastAsia"/>
          <w:sz w:val="21"/>
        </w:rPr>
      </w:pPr>
      <w:r>
        <w:rPr>
          <w:rFonts w:ascii="黑体" w:eastAsia="黑体" w:hint="eastAsia"/>
          <w:spacing w:val="-1"/>
          <w:sz w:val="21"/>
        </w:rPr>
        <w:t>投保人、受益人对被保险人的故意杀害、故意伤害；</w:t>
      </w:r>
    </w:p>
    <w:p>
      <w:pPr>
        <w:pStyle w:val="ListParagraph"/>
        <w:numPr>
          <w:ilvl w:val="2"/>
          <w:numId w:val="9"/>
        </w:numPr>
        <w:tabs>
          <w:tab w:pos="3283" w:val="left" w:leader="none"/>
        </w:tabs>
        <w:spacing w:line="240" w:lineRule="auto" w:before="36" w:after="0"/>
        <w:ind w:left="3282" w:right="0" w:hanging="420"/>
        <w:jc w:val="left"/>
        <w:rPr>
          <w:rFonts w:ascii="黑体" w:eastAsia="黑体" w:hint="eastAsia"/>
          <w:sz w:val="21"/>
        </w:rPr>
      </w:pPr>
      <w:r>
        <w:rPr>
          <w:rFonts w:ascii="黑体" w:eastAsia="黑体" w:hint="eastAsia"/>
          <w:spacing w:val="-1"/>
          <w:sz w:val="21"/>
        </w:rPr>
        <w:t>被保险人故意自伤、故意犯罪或拒捕；</w:t>
      </w:r>
    </w:p>
    <w:p>
      <w:pPr>
        <w:pStyle w:val="ListParagraph"/>
        <w:numPr>
          <w:ilvl w:val="2"/>
          <w:numId w:val="9"/>
        </w:numPr>
        <w:tabs>
          <w:tab w:pos="3283" w:val="left" w:leader="none"/>
        </w:tabs>
        <w:spacing w:line="240" w:lineRule="auto" w:before="36" w:after="0"/>
        <w:ind w:left="3282" w:right="0" w:hanging="420"/>
        <w:jc w:val="left"/>
        <w:rPr>
          <w:rFonts w:ascii="黑体" w:eastAsia="黑体" w:hint="eastAsia"/>
          <w:sz w:val="21"/>
        </w:rPr>
      </w:pPr>
      <w:r>
        <w:rPr>
          <w:rFonts w:ascii="黑体" w:eastAsia="黑体" w:hint="eastAsia"/>
          <w:spacing w:val="-1"/>
          <w:sz w:val="21"/>
        </w:rPr>
        <w:t>被保险人服用、吸食或注射毒品；</w:t>
      </w:r>
    </w:p>
    <w:p>
      <w:pPr>
        <w:pStyle w:val="ListParagraph"/>
        <w:numPr>
          <w:ilvl w:val="2"/>
          <w:numId w:val="9"/>
        </w:numPr>
        <w:tabs>
          <w:tab w:pos="3283" w:val="left" w:leader="none"/>
        </w:tabs>
        <w:spacing w:line="273" w:lineRule="auto" w:before="36" w:after="0"/>
        <w:ind w:left="3278" w:right="217" w:hanging="416"/>
        <w:jc w:val="left"/>
        <w:rPr>
          <w:rFonts w:ascii="黑体" w:eastAsia="黑体" w:hint="eastAsia"/>
          <w:sz w:val="21"/>
        </w:rPr>
      </w:pPr>
      <w:r>
        <w:rPr>
          <w:rFonts w:ascii="黑体" w:eastAsia="黑体" w:hint="eastAsia"/>
          <w:sz w:val="21"/>
        </w:rPr>
        <w:t>被保险人酒后驾驶、</w:t>
      </w:r>
      <w:r>
        <w:rPr>
          <w:rFonts w:ascii="黑体" w:eastAsia="黑体" w:hint="eastAsia"/>
          <w:b/>
          <w:sz w:val="21"/>
        </w:rPr>
        <w:t>无合法有效驾驶证驾驶</w:t>
      </w:r>
      <w:r>
        <w:rPr>
          <w:rFonts w:ascii="黑体" w:eastAsia="黑体" w:hint="eastAsia"/>
          <w:sz w:val="21"/>
        </w:rPr>
        <w:t>（</w:t>
      </w:r>
      <w:r>
        <w:rPr>
          <w:rFonts w:ascii="黑体" w:eastAsia="黑体" w:hint="eastAsia"/>
          <w:spacing w:val="-20"/>
          <w:sz w:val="21"/>
        </w:rPr>
        <w:t>见 </w:t>
      </w:r>
      <w:r>
        <w:rPr>
          <w:rFonts w:ascii="黑体" w:eastAsia="黑体" w:hint="eastAsia"/>
          <w:sz w:val="21"/>
        </w:rPr>
        <w:t>8.8），或驾驶</w:t>
      </w:r>
      <w:r>
        <w:rPr>
          <w:rFonts w:ascii="黑体" w:eastAsia="黑体" w:hint="eastAsia"/>
          <w:b/>
          <w:sz w:val="21"/>
        </w:rPr>
        <w:t>无有效行驶证</w:t>
      </w:r>
      <w:r>
        <w:rPr>
          <w:rFonts w:ascii="黑体" w:eastAsia="黑体" w:hint="eastAsia"/>
          <w:sz w:val="21"/>
        </w:rPr>
        <w:t>（</w:t>
      </w:r>
      <w:r>
        <w:rPr>
          <w:rFonts w:ascii="黑体" w:eastAsia="黑体" w:hint="eastAsia"/>
          <w:spacing w:val="-32"/>
          <w:sz w:val="21"/>
        </w:rPr>
        <w:t>见 </w:t>
      </w:r>
      <w:r>
        <w:rPr>
          <w:rFonts w:ascii="黑体" w:eastAsia="黑体" w:hint="eastAsia"/>
          <w:sz w:val="21"/>
        </w:rPr>
        <w:t>8.9）的机动车；</w:t>
      </w:r>
    </w:p>
    <w:p>
      <w:pPr>
        <w:pStyle w:val="ListParagraph"/>
        <w:numPr>
          <w:ilvl w:val="2"/>
          <w:numId w:val="9"/>
        </w:numPr>
        <w:tabs>
          <w:tab w:pos="3283" w:val="left" w:leader="none"/>
        </w:tabs>
        <w:spacing w:line="240" w:lineRule="auto" w:before="7" w:after="0"/>
        <w:ind w:left="3282" w:right="0" w:hanging="421"/>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29"/>
          <w:sz w:val="21"/>
        </w:rPr>
        <w:t>见 </w:t>
      </w:r>
      <w:r>
        <w:rPr>
          <w:rFonts w:ascii="黑体" w:eastAsia="黑体" w:hint="eastAsia"/>
          <w:sz w:val="21"/>
        </w:rPr>
        <w:t>8.10）；</w:t>
      </w:r>
    </w:p>
    <w:p>
      <w:pPr>
        <w:pStyle w:val="ListParagraph"/>
        <w:numPr>
          <w:ilvl w:val="2"/>
          <w:numId w:val="9"/>
        </w:numPr>
        <w:tabs>
          <w:tab w:pos="3283" w:val="left" w:leader="none"/>
        </w:tabs>
        <w:spacing w:line="240" w:lineRule="auto" w:before="37" w:after="0"/>
        <w:ind w:left="3282" w:right="0" w:hanging="421"/>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9"/>
        </w:numPr>
        <w:tabs>
          <w:tab w:pos="3283" w:val="left" w:leader="none"/>
        </w:tabs>
        <w:spacing w:line="240" w:lineRule="auto" w:before="37" w:after="0"/>
        <w:ind w:left="3282" w:right="0" w:hanging="421"/>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9"/>
        </w:numPr>
        <w:tabs>
          <w:tab w:pos="3294" w:val="left" w:leader="none"/>
        </w:tabs>
        <w:spacing w:line="544" w:lineRule="auto" w:before="37" w:after="0"/>
        <w:ind w:left="2861" w:right="278" w:firstLine="12"/>
        <w:jc w:val="left"/>
        <w:rPr>
          <w:rFonts w:ascii="黑体" w:eastAsia="黑体" w:hint="eastAsia"/>
          <w:sz w:val="21"/>
        </w:rPr>
      </w:pPr>
      <w:r>
        <w:rPr>
          <w:rFonts w:ascii="黑体" w:eastAsia="黑体" w:hint="eastAsia"/>
          <w:b/>
          <w:sz w:val="21"/>
        </w:rPr>
        <w:t>遗传性疾病</w:t>
      </w:r>
      <w:r>
        <w:rPr>
          <w:rFonts w:ascii="黑体" w:eastAsia="黑体" w:hint="eastAsia"/>
          <w:sz w:val="21"/>
        </w:rPr>
        <w:t>（</w:t>
      </w:r>
      <w:r>
        <w:rPr>
          <w:rFonts w:ascii="黑体" w:eastAsia="黑体" w:hint="eastAsia"/>
          <w:spacing w:val="-30"/>
          <w:sz w:val="21"/>
        </w:rPr>
        <w:t>见 </w:t>
      </w:r>
      <w:r>
        <w:rPr>
          <w:rFonts w:ascii="黑体" w:eastAsia="黑体" w:hint="eastAsia"/>
          <w:sz w:val="21"/>
        </w:rPr>
        <w:t>8.11），</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30"/>
          <w:sz w:val="21"/>
        </w:rPr>
        <w:t>见 </w:t>
      </w:r>
      <w:r>
        <w:rPr>
          <w:rFonts w:ascii="黑体" w:eastAsia="黑体" w:hint="eastAsia"/>
          <w:sz w:val="21"/>
        </w:rPr>
        <w:t>8.12）。发Th上述情形，本附加合同终止。</w:t>
      </w:r>
    </w:p>
    <w:p>
      <w:pPr>
        <w:pStyle w:val="Heading2"/>
        <w:tabs>
          <w:tab w:pos="880" w:val="left" w:leader="none"/>
        </w:tabs>
        <w:spacing w:before="159"/>
        <w:ind w:left="241"/>
        <w:rPr>
          <w:rFonts w:ascii="宋体" w:hAnsi="宋体" w:eastAsia="宋体" w:hint="eastAsia"/>
        </w:rPr>
      </w:pPr>
      <w:r>
        <w:rPr/>
        <w:pict>
          <v:group style="position:absolute;margin-left:45.66pt;margin-top:36.050053pt;width:497.95pt;height:1pt;mso-position-horizontal-relative:page;mso-position-vertical-relative:paragraph;z-index:1072;mso-wrap-distance-left:0;mso-wrap-distance-right:0" coordorigin="913,721" coordsize="9959,20">
            <v:line style="position:absolute" from="913,731" to="3553,731" stroked="true" strokeweight=".96002pt" strokecolor="#000000">
              <v:stroke dashstyle="solid"/>
            </v:line>
            <v:line style="position:absolute" from="3553,731" to="10872,731"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1"/>
        <w:rPr>
          <w:b/>
          <w:sz w:val="17"/>
        </w:rPr>
      </w:pPr>
    </w:p>
    <w:p>
      <w:pPr>
        <w:spacing w:after="0"/>
        <w:rPr>
          <w:sz w:val="17"/>
        </w:rPr>
        <w:sectPr>
          <w:pgSz w:w="11910" w:h="16840"/>
          <w:pgMar w:top="1420" w:bottom="280" w:left="780" w:right="920"/>
        </w:sectPr>
      </w:pPr>
    </w:p>
    <w:p>
      <w:pPr>
        <w:pStyle w:val="Heading3"/>
        <w:numPr>
          <w:ilvl w:val="1"/>
          <w:numId w:val="10"/>
        </w:numPr>
        <w:tabs>
          <w:tab w:pos="880" w:val="left" w:leader="none"/>
          <w:tab w:pos="882" w:val="left" w:leader="none"/>
        </w:tabs>
        <w:spacing w:line="273" w:lineRule="auto" w:before="35" w:after="0"/>
        <w:ind w:left="880" w:right="0" w:hanging="639"/>
        <w:jc w:val="left"/>
      </w:pPr>
      <w:r>
        <w:rPr/>
        <w:t>受益人的指定与变更</w:t>
      </w:r>
    </w:p>
    <w:p>
      <w:pPr>
        <w:pStyle w:val="BodyText"/>
        <w:spacing w:before="35"/>
        <w:ind w:left="241"/>
      </w:pPr>
      <w:r>
        <w:rPr/>
        <w:br w:type="column"/>
      </w:r>
      <w:r>
        <w:rPr/>
        <w:t>本附加合同保险金的受益人均为被保险人本人，我们不受理指定或变更。</w:t>
      </w:r>
    </w:p>
    <w:p>
      <w:pPr>
        <w:spacing w:after="0"/>
        <w:sectPr>
          <w:type w:val="continuous"/>
          <w:pgSz w:w="11910" w:h="16840"/>
          <w:pgMar w:top="580" w:bottom="280" w:left="780" w:right="920"/>
          <w:cols w:num="2" w:equalWidth="0">
            <w:col w:w="2568" w:space="53"/>
            <w:col w:w="7589"/>
          </w:cols>
        </w:sectPr>
      </w:pPr>
    </w:p>
    <w:p>
      <w:pPr>
        <w:pStyle w:val="BodyText"/>
        <w:spacing w:before="9"/>
      </w:pPr>
    </w:p>
    <w:p>
      <w:pPr>
        <w:pStyle w:val="ListParagraph"/>
        <w:numPr>
          <w:ilvl w:val="1"/>
          <w:numId w:val="10"/>
        </w:numPr>
        <w:tabs>
          <w:tab w:pos="880" w:val="left" w:leader="none"/>
          <w:tab w:pos="881" w:val="left" w:leader="none"/>
          <w:tab w:pos="2861" w:val="left" w:leader="none"/>
        </w:tabs>
        <w:spacing w:line="240" w:lineRule="auto" w:before="35" w:after="0"/>
        <w:ind w:left="880" w:right="0" w:hanging="639"/>
        <w:jc w:val="left"/>
        <w:rPr>
          <w:sz w:val="21"/>
        </w:rPr>
      </w:pPr>
      <w:r>
        <w:rPr>
          <w:b/>
          <w:sz w:val="21"/>
        </w:rPr>
        <w:t>保险金申请</w:t>
        <w:tab/>
      </w:r>
      <w:r>
        <w:rPr>
          <w:sz w:val="21"/>
        </w:rPr>
        <w:t>在申请保险金时，请按照下列方式办理：</w:t>
      </w:r>
    </w:p>
    <w:p>
      <w:pPr>
        <w:pStyle w:val="BodyText"/>
        <w:spacing w:before="12"/>
        <w:rPr>
          <w:sz w:val="23"/>
        </w:rPr>
      </w:pPr>
    </w:p>
    <w:p>
      <w:pPr>
        <w:spacing w:after="0"/>
        <w:rPr>
          <w:sz w:val="23"/>
        </w:rPr>
        <w:sectPr>
          <w:type w:val="continuous"/>
          <w:pgSz w:w="11910" w:h="16840"/>
          <w:pgMar w:top="580" w:bottom="280" w:left="780" w:right="920"/>
        </w:sectPr>
      </w:pPr>
    </w:p>
    <w:p>
      <w:pPr>
        <w:pStyle w:val="Heading2"/>
        <w:spacing w:line="182" w:lineRule="auto" w:before="49"/>
        <w:ind w:left="880"/>
      </w:pPr>
      <w:r>
        <w:rPr/>
        <w:t>重大疾病保险金申请</w:t>
      </w:r>
    </w:p>
    <w:p>
      <w:pPr>
        <w:pStyle w:val="BodyText"/>
        <w:spacing w:line="273" w:lineRule="auto" w:before="35"/>
        <w:ind w:left="260" w:right="172"/>
      </w:pPr>
      <w:r>
        <w:rPr/>
        <w:br w:type="column"/>
      </w:r>
      <w:r>
        <w:rPr/>
        <w:t>由重大疾病保险金受益人填写本公司提供的保险金给付申请书，并须提供下列证明和材料：</w:t>
      </w:r>
    </w:p>
    <w:p>
      <w:pPr>
        <w:pStyle w:val="BodyText"/>
        <w:spacing w:before="7"/>
        <w:ind w:left="260"/>
      </w:pPr>
      <w:r>
        <w:rPr/>
        <w:t>（1）保险合同；</w:t>
      </w:r>
    </w:p>
    <w:p>
      <w:pPr>
        <w:pStyle w:val="BodyText"/>
        <w:ind w:left="260"/>
      </w:pPr>
      <w:r>
        <w:rPr/>
        <w:t>（2）受益人户籍证明或身份证明；</w:t>
      </w:r>
    </w:p>
    <w:p>
      <w:pPr>
        <w:pStyle w:val="BodyText"/>
        <w:spacing w:line="273" w:lineRule="auto"/>
        <w:ind w:left="764" w:right="305" w:hanging="504"/>
      </w:pPr>
      <w:r>
        <w:rPr/>
        <w:t>（3）医院出具的附有病理显微镜检查、血液检验及其他科学方法检验报告的疾病诊断证明书；</w:t>
      </w:r>
    </w:p>
    <w:p>
      <w:pPr>
        <w:pStyle w:val="BodyText"/>
        <w:spacing w:before="7"/>
        <w:ind w:left="260"/>
      </w:pPr>
      <w:r>
        <w:rPr/>
        <w:t>（4）与确认保险事故的性质、原因等有关的其他证明和资料。</w:t>
      </w:r>
    </w:p>
    <w:p>
      <w:pPr>
        <w:spacing w:after="0"/>
        <w:sectPr>
          <w:type w:val="continuous"/>
          <w:pgSz w:w="11910" w:h="16840"/>
          <w:pgMar w:top="580" w:bottom="280" w:left="780" w:right="920"/>
          <w:cols w:num="2" w:equalWidth="0">
            <w:col w:w="2562" w:space="40"/>
            <w:col w:w="7608"/>
          </w:cols>
        </w:sectPr>
      </w:pPr>
    </w:p>
    <w:p>
      <w:pPr>
        <w:pStyle w:val="BodyText"/>
        <w:spacing w:before="12"/>
        <w:rPr>
          <w:sz w:val="23"/>
        </w:rPr>
      </w:pPr>
    </w:p>
    <w:p>
      <w:pPr>
        <w:pStyle w:val="ListParagraph"/>
        <w:numPr>
          <w:ilvl w:val="1"/>
          <w:numId w:val="10"/>
        </w:numPr>
        <w:tabs>
          <w:tab w:pos="881" w:val="left" w:leader="none"/>
        </w:tabs>
        <w:spacing w:line="273" w:lineRule="auto" w:before="35" w:after="0"/>
        <w:ind w:left="2842" w:right="219" w:hanging="2601"/>
        <w:jc w:val="both"/>
        <w:rPr>
          <w:sz w:val="21"/>
        </w:rPr>
      </w:pPr>
      <w:r>
        <w:rPr>
          <w:b/>
          <w:spacing w:val="3"/>
          <w:sz w:val="21"/>
        </w:rPr>
        <w:t>保险金的给付     </w:t>
      </w:r>
      <w:r>
        <w:rPr>
          <w:sz w:val="21"/>
        </w:rPr>
        <w:t>我们在收到受益人的保险金给付申请书及“3.2</w:t>
      </w:r>
      <w:r>
        <w:rPr>
          <w:spacing w:val="-8"/>
          <w:sz w:val="21"/>
        </w:rPr>
        <w:t> 保险金申请”中所列有关证明和材料后，对确定属于保险责任的，在与受益人达成有关给付保险金数额的协</w:t>
      </w:r>
      <w:r>
        <w:rPr>
          <w:spacing w:val="-27"/>
          <w:sz w:val="21"/>
        </w:rPr>
        <w:t>议后 </w:t>
      </w:r>
      <w:r>
        <w:rPr>
          <w:sz w:val="21"/>
        </w:rPr>
        <w:t>10</w:t>
      </w:r>
      <w:r>
        <w:rPr>
          <w:spacing w:val="-14"/>
          <w:sz w:val="21"/>
        </w:rPr>
        <w:t> 日内，履行给付保险金责任。对不属于保险责任的，向受益人发出拒绝给付保险金通知书。</w:t>
      </w:r>
    </w:p>
    <w:p>
      <w:pPr>
        <w:pStyle w:val="BodyText"/>
        <w:spacing w:before="5"/>
        <w:rPr>
          <w:sz w:val="24"/>
        </w:rPr>
      </w:pPr>
    </w:p>
    <w:p>
      <w:pPr>
        <w:pStyle w:val="BodyText"/>
        <w:spacing w:line="273" w:lineRule="auto" w:before="0"/>
        <w:ind w:left="2842" w:right="218" w:firstLine="19"/>
        <w:jc w:val="both"/>
      </w:pPr>
      <w:r>
        <w:rPr/>
        <w:t>我们自收到受益人的保险金给付申请书及“3.2</w:t>
      </w:r>
      <w:r>
        <w:rPr>
          <w:spacing w:val="-9"/>
        </w:rPr>
        <w:t> 保险金申请”中所列有关证明</w:t>
      </w:r>
      <w:r>
        <w:rPr>
          <w:spacing w:val="-16"/>
        </w:rPr>
        <w:t>和材料之日起 </w:t>
      </w:r>
      <w:r>
        <w:rPr/>
        <w:t>60</w:t>
      </w:r>
      <w:r>
        <w:rPr>
          <w:spacing w:val="-14"/>
        </w:rPr>
        <w:t> 日内，对属于保险责任而给付保险金的数额暂不能确定的，将根据已有的证明和材料，按可以确定的最低数额先予以支付，我们最终确定给付保险金数额后，给付相应的差额。</w:t>
      </w:r>
    </w:p>
    <w:p>
      <w:pPr>
        <w:pStyle w:val="BodyText"/>
        <w:spacing w:before="5"/>
        <w:rPr>
          <w:sz w:val="24"/>
        </w:rPr>
      </w:pPr>
    </w:p>
    <w:p>
      <w:pPr>
        <w:pStyle w:val="ListParagraph"/>
        <w:numPr>
          <w:ilvl w:val="1"/>
          <w:numId w:val="10"/>
        </w:numPr>
        <w:tabs>
          <w:tab w:pos="881" w:val="left" w:leader="none"/>
        </w:tabs>
        <w:spacing w:line="273" w:lineRule="auto" w:before="0" w:after="0"/>
        <w:ind w:left="2862" w:right="217" w:hanging="2621"/>
        <w:jc w:val="both"/>
        <w:rPr>
          <w:sz w:val="21"/>
        </w:rPr>
      </w:pPr>
      <w:r>
        <w:rPr>
          <w:b/>
          <w:spacing w:val="6"/>
          <w:sz w:val="21"/>
        </w:rPr>
        <w:t>保险金申请时效   </w:t>
      </w:r>
      <w:r>
        <w:rPr>
          <w:spacing w:val="-4"/>
          <w:sz w:val="21"/>
        </w:rPr>
        <w:t>受益人对我们申请给付保险金的权利，自其知道保险事故发生之日起 </w:t>
      </w:r>
      <w:r>
        <w:rPr>
          <w:sz w:val="21"/>
        </w:rPr>
        <w:t>2</w:t>
      </w:r>
      <w:r>
        <w:rPr>
          <w:spacing w:val="-14"/>
          <w:sz w:val="21"/>
        </w:rPr>
        <w:t> 年内不行使而消灭。</w:t>
      </w:r>
    </w:p>
    <w:p>
      <w:pPr>
        <w:pStyle w:val="BodyText"/>
        <w:spacing w:before="0"/>
        <w:rPr>
          <w:sz w:val="20"/>
        </w:rPr>
      </w:pPr>
    </w:p>
    <w:p>
      <w:pPr>
        <w:tabs>
          <w:tab w:pos="880" w:val="left" w:leader="none"/>
        </w:tabs>
        <w:spacing w:before="134"/>
        <w:ind w:left="241" w:right="0" w:firstLine="0"/>
        <w:jc w:val="left"/>
        <w:rPr>
          <w:b/>
          <w:sz w:val="24"/>
        </w:rPr>
      </w:pPr>
      <w:r>
        <w:rPr/>
        <w:pict>
          <v:group style="position:absolute;margin-left:44.939999pt;margin-top:34.800087pt;width:498.7pt;height:.5pt;mso-position-horizontal-relative:page;mso-position-vertical-relative:paragraph;z-index:1096;mso-wrap-distance-left:0;mso-wrap-distance-right:0" coordorigin="899,696" coordsize="9974,10">
            <v:line style="position:absolute" from="899,701" to="1553,701" stroked="true" strokeweight=".47998pt" strokecolor="#000000">
              <v:stroke dashstyle="solid"/>
            </v:line>
            <v:line style="position:absolute" from="1538,701" to="10872,701" stroked="true" strokeweight=".47998pt" strokecolor="#000000">
              <v:stroke dashstyle="solid"/>
            </v:line>
            <w10:wrap type="topAndBottom"/>
          </v:group>
        </w:pict>
      </w:r>
      <w:r>
        <w:rPr>
          <w:rFonts w:ascii="Arial" w:hAnsi="Arial" w:eastAsia="Arial"/>
          <w:b/>
          <w:position w:val="-3"/>
          <w:sz w:val="40"/>
        </w:rPr>
        <w:t></w:t>
        <w:tab/>
      </w:r>
      <w:r>
        <w:rPr>
          <w:b/>
          <w:sz w:val="24"/>
        </w:rPr>
        <w:t>如何交纳保险费</w:t>
      </w:r>
    </w:p>
    <w:p>
      <w:pPr>
        <w:spacing w:after="0"/>
        <w:jc w:val="left"/>
        <w:rPr>
          <w:sz w:val="24"/>
        </w:rPr>
        <w:sectPr>
          <w:type w:val="continuous"/>
          <w:pgSz w:w="11910" w:h="16840"/>
          <w:pgMar w:top="580" w:bottom="280" w:left="780" w:right="920"/>
        </w:sectPr>
      </w:pPr>
    </w:p>
    <w:p>
      <w:pPr>
        <w:pStyle w:val="BodyText"/>
        <w:spacing w:line="20" w:lineRule="exact" w:before="0"/>
        <w:ind w:left="108"/>
        <w:rPr>
          <w:sz w:val="2"/>
        </w:rPr>
      </w:pPr>
      <w:r>
        <w:rPr>
          <w:rFonts w:ascii="Times New Roman"/>
          <w:spacing w:val="5"/>
          <w:sz w:val="2"/>
        </w:rPr>
        <w:t> </w:t>
      </w:r>
      <w:r>
        <w:rPr>
          <w:spacing w:val="5"/>
          <w:sz w:val="2"/>
        </w:rPr>
        <w:pict>
          <v:group style="width:497.95pt;height:.5pt;mso-position-horizontal-relative:char;mso-position-vertical-relative:line" coordorigin="0,0" coordsize="9959,10">
            <v:line style="position:absolute" from="0,5" to="2630,5" stroked="true" strokeweight=".47998pt" strokecolor="#000000">
              <v:stroke dashstyle="solid"/>
            </v:line>
            <v:line style="position:absolute" from="2630,5" to="9959,5" stroked="true" strokeweight=".48pt" strokecolor="#000000">
              <v:stroke dashstyle="solid"/>
            </v:line>
          </v:group>
        </w:pict>
      </w:r>
      <w:r>
        <w:rPr>
          <w:spacing w:val="5"/>
          <w:sz w:val="2"/>
        </w:rPr>
      </w:r>
    </w:p>
    <w:p>
      <w:pPr>
        <w:pStyle w:val="ListParagraph"/>
        <w:numPr>
          <w:ilvl w:val="1"/>
          <w:numId w:val="11"/>
        </w:numPr>
        <w:tabs>
          <w:tab w:pos="860" w:val="left" w:leader="none"/>
          <w:tab w:pos="862" w:val="left" w:leader="none"/>
          <w:tab w:pos="2841" w:val="left" w:leader="none"/>
        </w:tabs>
        <w:spacing w:line="273" w:lineRule="auto" w:before="0" w:after="0"/>
        <w:ind w:left="2842" w:right="200" w:hanging="2621"/>
        <w:jc w:val="left"/>
        <w:rPr>
          <w:sz w:val="21"/>
        </w:rPr>
      </w:pPr>
      <w:r>
        <w:rPr>
          <w:b/>
          <w:sz w:val="21"/>
        </w:rPr>
        <w:t>保险费的交纳</w:t>
        <w:tab/>
      </w:r>
      <w:r>
        <w:rPr>
          <w:sz w:val="21"/>
        </w:rPr>
        <w:t>您应当按照本附加合同约定向我们交纳保险费。如果您选择分期交纳保险费，您在交纳首期保险费后，应在每期保险费应交日或之前交纳对应各期的保险 费。</w:t>
      </w:r>
    </w:p>
    <w:p>
      <w:pPr>
        <w:pStyle w:val="BodyText"/>
        <w:spacing w:before="5"/>
        <w:rPr>
          <w:sz w:val="24"/>
        </w:rPr>
      </w:pPr>
    </w:p>
    <w:p>
      <w:pPr>
        <w:pStyle w:val="BodyText"/>
        <w:spacing w:before="0"/>
        <w:ind w:left="2842"/>
      </w:pPr>
      <w:r>
        <w:rPr/>
        <w:t>本附加合同的保险费应与被附加合同保险费一并支付。</w:t>
      </w:r>
    </w:p>
    <w:p>
      <w:pPr>
        <w:pStyle w:val="BodyText"/>
        <w:spacing w:before="12"/>
        <w:rPr>
          <w:sz w:val="23"/>
        </w:rPr>
      </w:pPr>
    </w:p>
    <w:p>
      <w:pPr>
        <w:pStyle w:val="ListParagraph"/>
        <w:numPr>
          <w:ilvl w:val="1"/>
          <w:numId w:val="11"/>
        </w:numPr>
        <w:tabs>
          <w:tab w:pos="860" w:val="left" w:leader="none"/>
          <w:tab w:pos="862" w:val="left" w:leader="none"/>
          <w:tab w:pos="2841" w:val="left" w:leader="none"/>
        </w:tabs>
        <w:spacing w:line="240" w:lineRule="auto" w:before="35" w:after="0"/>
        <w:ind w:left="2842" w:right="0" w:hanging="2621"/>
        <w:jc w:val="left"/>
        <w:rPr>
          <w:sz w:val="21"/>
        </w:rPr>
      </w:pPr>
      <w:r>
        <w:rPr>
          <w:b/>
          <w:sz w:val="21"/>
        </w:rPr>
        <w:t>保险费率调整</w:t>
        <w:tab/>
      </w:r>
      <w:r>
        <w:rPr>
          <w:sz w:val="21"/>
        </w:rPr>
        <w:t>我们保留提高或降低保险费率的权利。</w:t>
      </w:r>
    </w:p>
    <w:p>
      <w:pPr>
        <w:pStyle w:val="BodyText"/>
        <w:spacing w:line="273" w:lineRule="auto" w:before="36"/>
        <w:ind w:left="2842" w:right="219"/>
        <w:jc w:val="both"/>
      </w:pPr>
      <w:r>
        <w:rPr>
          <w:spacing w:val="-2"/>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before="0"/>
        <w:ind w:left="2842" w:right="218"/>
        <w:jc w:val="both"/>
      </w:pPr>
      <w:r>
        <w:rPr>
          <w:spacing w:val="-1"/>
        </w:rPr>
        <w:t>我们进行保险费率调整并向保险监管机关备案后，您须按调整后交纳续期保险</w:t>
      </w:r>
      <w:r>
        <w:rPr>
          <w:spacing w:val="-3"/>
        </w:rPr>
        <w:t>费当时的保险费率交纳续期保险费，保险费率调整前您已经交纳的保险费不受影响。</w:t>
      </w:r>
    </w:p>
    <w:p>
      <w:pPr>
        <w:pStyle w:val="BodyText"/>
        <w:spacing w:before="0"/>
        <w:rPr>
          <w:sz w:val="20"/>
        </w:rPr>
      </w:pPr>
    </w:p>
    <w:p>
      <w:pPr>
        <w:pStyle w:val="Heading2"/>
        <w:tabs>
          <w:tab w:pos="860" w:val="left" w:leader="none"/>
        </w:tabs>
        <w:spacing w:before="135"/>
        <w:rPr>
          <w:rFonts w:ascii="宋体" w:hAnsi="宋体" w:eastAsia="宋体" w:hint="eastAsia"/>
        </w:rPr>
      </w:pPr>
      <w:r>
        <w:rPr/>
        <w:pict>
          <v:group style="position:absolute;margin-left:45.66pt;margin-top:34.850048pt;width:497.95pt;height:1pt;mso-position-horizontal-relative:page;mso-position-vertical-relative:paragraph;z-index:1144;mso-wrap-distance-left:0;mso-wrap-distance-right:0" coordorigin="913,697" coordsize="9959,20">
            <v:line style="position:absolute" from="913,707" to="3553,707" stroked="true" strokeweight=".96002pt" strokecolor="#000000">
              <v:stroke dashstyle="solid"/>
            </v:line>
            <v:line style="position:absolute" from="3553,707" to="10872,707"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如何恢复合同效力</w:t>
      </w:r>
    </w:p>
    <w:p>
      <w:pPr>
        <w:pStyle w:val="BodyText"/>
        <w:spacing w:before="11"/>
        <w:rPr>
          <w:b/>
          <w:sz w:val="17"/>
        </w:rPr>
      </w:pPr>
    </w:p>
    <w:p>
      <w:pPr>
        <w:pStyle w:val="ListParagraph"/>
        <w:numPr>
          <w:ilvl w:val="1"/>
          <w:numId w:val="12"/>
        </w:numPr>
        <w:tabs>
          <w:tab w:pos="859" w:val="left" w:leader="none"/>
          <w:tab w:pos="860" w:val="left" w:leader="none"/>
          <w:tab w:pos="2841" w:val="left" w:leader="none"/>
        </w:tabs>
        <w:spacing w:line="240" w:lineRule="auto" w:before="35" w:after="0"/>
        <w:ind w:left="2842" w:right="0" w:hanging="2621"/>
        <w:jc w:val="left"/>
        <w:rPr>
          <w:sz w:val="21"/>
        </w:rPr>
      </w:pPr>
      <w:r>
        <w:rPr>
          <w:b/>
          <w:sz w:val="21"/>
        </w:rPr>
        <w:t>效力中止</w:t>
        <w:tab/>
      </w:r>
      <w:r>
        <w:rPr>
          <w:sz w:val="21"/>
        </w:rPr>
        <w:t>本附加合同所附于的被附加合同效力中止时，本附加合同效力中止。</w:t>
      </w:r>
    </w:p>
    <w:p>
      <w:pPr>
        <w:pStyle w:val="BodyText"/>
        <w:spacing w:before="8"/>
        <w:rPr>
          <w:sz w:val="26"/>
        </w:rPr>
      </w:pPr>
    </w:p>
    <w:p>
      <w:pPr>
        <w:pStyle w:val="ListParagraph"/>
        <w:numPr>
          <w:ilvl w:val="1"/>
          <w:numId w:val="12"/>
        </w:numPr>
        <w:tabs>
          <w:tab w:pos="860" w:val="left" w:leader="none"/>
          <w:tab w:pos="2841" w:val="left" w:leader="none"/>
        </w:tabs>
        <w:spacing w:line="273" w:lineRule="auto" w:before="0" w:after="0"/>
        <w:ind w:left="2842" w:right="218" w:hanging="2621"/>
        <w:jc w:val="both"/>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9"/>
          <w:sz w:val="21"/>
        </w:rPr>
        <w:t>，</w:t>
      </w:r>
      <w:r>
        <w:rPr>
          <w:sz w:val="21"/>
        </w:rPr>
        <w:t>您可以申请恢复合同效力</w:t>
      </w:r>
      <w:r>
        <w:rPr>
          <w:spacing w:val="-10"/>
          <w:sz w:val="21"/>
        </w:rPr>
        <w:t>。</w:t>
      </w:r>
      <w:r>
        <w:rPr>
          <w:sz w:val="21"/>
        </w:rPr>
        <w:t>您应填写复效申请书</w:t>
      </w:r>
      <w:r>
        <w:rPr>
          <w:spacing w:val="-9"/>
          <w:sz w:val="21"/>
        </w:rPr>
        <w:t>，</w:t>
      </w:r>
      <w:r>
        <w:rPr>
          <w:sz w:val="21"/>
        </w:rPr>
        <w:t>并按我们的规定提供被保险人的健康声明书</w:t>
      </w:r>
      <w:r>
        <w:rPr>
          <w:spacing w:val="-9"/>
          <w:sz w:val="21"/>
        </w:rPr>
        <w:t>、</w:t>
      </w:r>
      <w:r>
        <w:rPr>
          <w:sz w:val="21"/>
        </w:rPr>
        <w:t>我们指定医院出具的体检报告书及其他相关证明文件</w:t>
      </w:r>
      <w:r>
        <w:rPr>
          <w:spacing w:val="-7"/>
          <w:sz w:val="21"/>
        </w:rPr>
        <w:t>，</w:t>
      </w:r>
      <w:r>
        <w:rPr>
          <w:sz w:val="21"/>
        </w:rPr>
        <w:t>经我们审核同意</w:t>
      </w:r>
      <w:r>
        <w:rPr>
          <w:spacing w:val="-7"/>
          <w:sz w:val="21"/>
        </w:rPr>
        <w:t>，</w:t>
      </w:r>
      <w:r>
        <w:rPr>
          <w:sz w:val="21"/>
        </w:rPr>
        <w:t>双方达成复效协议</w:t>
      </w:r>
      <w:r>
        <w:rPr>
          <w:spacing w:val="-7"/>
          <w:sz w:val="21"/>
        </w:rPr>
        <w:t>，</w:t>
      </w:r>
      <w:r>
        <w:rPr>
          <w:sz w:val="21"/>
        </w:rPr>
        <w:t>自您补交保险费</w:t>
      </w:r>
      <w:r>
        <w:rPr>
          <w:spacing w:val="-16"/>
          <w:sz w:val="21"/>
        </w:rPr>
        <w:t>、</w:t>
      </w:r>
      <w:r>
        <w:rPr>
          <w:sz w:val="21"/>
        </w:rPr>
        <w:t>利</w:t>
      </w:r>
      <w:r>
        <w:rPr>
          <w:spacing w:val="-16"/>
          <w:sz w:val="21"/>
        </w:rPr>
        <w:t>息</w:t>
      </w:r>
      <w:r>
        <w:rPr>
          <w:sz w:val="21"/>
        </w:rPr>
        <w:t>（按</w:t>
      </w:r>
      <w:r>
        <w:rPr>
          <w:b/>
          <w:sz w:val="21"/>
        </w:rPr>
        <w:t>本条款约定利</w:t>
      </w:r>
      <w:r>
        <w:rPr>
          <w:b/>
          <w:spacing w:val="-15"/>
          <w:sz w:val="21"/>
        </w:rPr>
        <w:t>率</w:t>
      </w:r>
      <w:r>
        <w:rPr>
          <w:sz w:val="21"/>
        </w:rPr>
        <w:t>（见</w:t>
      </w:r>
      <w:r>
        <w:rPr>
          <w:spacing w:val="-54"/>
          <w:sz w:val="21"/>
        </w:rPr>
        <w:t> </w:t>
      </w:r>
      <w:r>
        <w:rPr>
          <w:spacing w:val="-4"/>
          <w:sz w:val="21"/>
        </w:rPr>
        <w:t>8.13）</w:t>
      </w:r>
      <w:r>
        <w:rPr>
          <w:sz w:val="21"/>
        </w:rPr>
        <w:t>计算</w:t>
      </w:r>
      <w:r>
        <w:rPr>
          <w:spacing w:val="-16"/>
          <w:sz w:val="21"/>
        </w:rPr>
        <w:t>）</w:t>
      </w:r>
      <w:r>
        <w:rPr>
          <w:sz w:val="21"/>
        </w:rPr>
        <w:t>及其他未还款项的次日零时起，合同效力恢复。</w:t>
      </w:r>
    </w:p>
    <w:p>
      <w:pPr>
        <w:pStyle w:val="BodyText"/>
        <w:spacing w:before="5"/>
        <w:rPr>
          <w:sz w:val="24"/>
        </w:rPr>
      </w:pPr>
    </w:p>
    <w:p>
      <w:pPr>
        <w:pStyle w:val="BodyText"/>
        <w:spacing w:line="516" w:lineRule="auto" w:before="0"/>
        <w:ind w:left="2842" w:right="113" w:hanging="1"/>
      </w:pPr>
      <w:r>
        <w:rPr>
          <w:spacing w:val="-5"/>
        </w:rPr>
        <w:t>自本附加合同效力中止之日起满 </w:t>
      </w:r>
      <w:r>
        <w:rPr>
          <w:rFonts w:ascii="Times New Roman" w:eastAsia="Times New Roman"/>
        </w:rPr>
        <w:t>2 </w:t>
      </w:r>
      <w:r>
        <w:rPr>
          <w:spacing w:val="-10"/>
        </w:rPr>
        <w:t>年双方未达成协议的，本附加合同效力终止。被附加合同效力中止期间，本附加合同不得单独申请复效。</w:t>
      </w:r>
    </w:p>
    <w:p>
      <w:pPr>
        <w:pStyle w:val="BodyText"/>
        <w:spacing w:before="1"/>
        <w:rPr>
          <w:sz w:val="14"/>
        </w:rPr>
      </w:pPr>
    </w:p>
    <w:p>
      <w:pPr>
        <w:pStyle w:val="Heading2"/>
        <w:tabs>
          <w:tab w:pos="860" w:val="left" w:leader="none"/>
        </w:tabs>
        <w:spacing w:before="0"/>
        <w:rPr>
          <w:rFonts w:ascii="宋体" w:hAnsi="宋体" w:eastAsia="宋体" w:hint="eastAsia"/>
        </w:rPr>
      </w:pPr>
      <w:r>
        <w:rPr/>
        <w:pict>
          <v:group style="position:absolute;margin-left:45.66pt;margin-top:28.100079pt;width:497.95pt;height:1pt;mso-position-horizontal-relative:page;mso-position-vertical-relative:paragraph;z-index:1168;mso-wrap-distance-left:0;mso-wrap-distance-right:0" coordorigin="913,562" coordsize="9959,20">
            <v:line style="position:absolute" from="913,572" to="3553,572" stroked="true" strokeweight=".95999pt" strokecolor="#000000">
              <v:stroke dashstyle="solid"/>
            </v:line>
            <v:line style="position:absolute" from="3553,572" to="10872,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11"/>
        <w:rPr>
          <w:b/>
          <w:sz w:val="17"/>
        </w:rPr>
      </w:pPr>
    </w:p>
    <w:p>
      <w:pPr>
        <w:pStyle w:val="BodyText"/>
        <w:tabs>
          <w:tab w:pos="859" w:val="left" w:leader="none"/>
          <w:tab w:pos="2841" w:val="left" w:leader="none"/>
        </w:tabs>
        <w:spacing w:line="273" w:lineRule="auto" w:before="35"/>
        <w:ind w:left="2842" w:right="219" w:hanging="2621"/>
      </w:pPr>
      <w:r>
        <w:rPr>
          <w:b/>
        </w:rPr>
        <w:t>6.1</w:t>
        <w:tab/>
        <w:t>合同解除</w:t>
        <w:tab/>
      </w:r>
      <w:r>
        <w:rPr>
          <w:spacing w:val="-1"/>
        </w:rPr>
        <w:t>您在犹豫</w:t>
      </w:r>
      <w:r>
        <w:rPr/>
        <w:t>期后</w:t>
      </w:r>
      <w:r>
        <w:rPr>
          <w:spacing w:val="-9"/>
        </w:rPr>
        <w:t>，</w:t>
      </w:r>
      <w:r>
        <w:rPr/>
        <w:t>您可以书面通知要求解除本附加合同</w:t>
      </w:r>
      <w:r>
        <w:rPr>
          <w:spacing w:val="-9"/>
        </w:rPr>
        <w:t>，</w:t>
      </w:r>
      <w:r>
        <w:rPr/>
        <w:t>并向我们提供下列证明和资料：</w:t>
      </w:r>
    </w:p>
    <w:p>
      <w:pPr>
        <w:pStyle w:val="BodyText"/>
        <w:spacing w:before="7"/>
        <w:ind w:left="2842"/>
      </w:pPr>
      <w:r>
        <w:rPr/>
        <w:t>（1）保险合同；</w:t>
      </w:r>
    </w:p>
    <w:p>
      <w:pPr>
        <w:pStyle w:val="BodyText"/>
        <w:ind w:left="2842"/>
      </w:pPr>
      <w:r>
        <w:rPr/>
        <w:t>（2）解除合同申请书；</w:t>
      </w:r>
    </w:p>
    <w:p>
      <w:pPr>
        <w:pStyle w:val="BodyText"/>
        <w:ind w:left="2842"/>
      </w:pPr>
      <w:r>
        <w:rPr/>
        <w:t>（3）您的身份证明。</w:t>
      </w:r>
    </w:p>
    <w:p>
      <w:pPr>
        <w:pStyle w:val="BodyText"/>
        <w:ind w:left="2842"/>
      </w:pPr>
      <w:r>
        <w:rPr/>
        <w:t>自我们收到解除合同申请书之日起，本附加合同终止。</w:t>
      </w:r>
    </w:p>
    <w:p>
      <w:pPr>
        <w:pStyle w:val="BodyText"/>
        <w:spacing w:before="0"/>
        <w:rPr>
          <w:sz w:val="20"/>
        </w:rPr>
      </w:pPr>
    </w:p>
    <w:p>
      <w:pPr>
        <w:pStyle w:val="Heading2"/>
        <w:tabs>
          <w:tab w:pos="860" w:val="left" w:leader="none"/>
        </w:tabs>
        <w:spacing w:before="164"/>
        <w:rPr>
          <w:rFonts w:ascii="宋体" w:hAnsi="宋体" w:eastAsia="宋体" w:hint="eastAsia"/>
        </w:rPr>
      </w:pPr>
      <w:r>
        <w:rPr/>
        <w:pict>
          <v:group style="position:absolute;margin-left:45.66pt;margin-top:36.300167pt;width:497.95pt;height:1pt;mso-position-horizontal-relative:page;mso-position-vertical-relative:paragraph;z-index:1192;mso-wrap-distance-left:0;mso-wrap-distance-right:0" coordorigin="913,726" coordsize="9959,20">
            <v:line style="position:absolute" from="913,736" to="3553,736" stroked="true" strokeweight=".95999pt" strokecolor="#000000">
              <v:stroke dashstyle="solid"/>
            </v:line>
            <v:line style="position:absolute" from="3553,736" to="10872,736"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0"/>
        <w:rPr>
          <w:b/>
          <w:sz w:val="17"/>
        </w:rPr>
      </w:pPr>
    </w:p>
    <w:p>
      <w:pPr>
        <w:pStyle w:val="ListParagraph"/>
        <w:numPr>
          <w:ilvl w:val="1"/>
          <w:numId w:val="13"/>
        </w:numPr>
        <w:tabs>
          <w:tab w:pos="859" w:val="left" w:leader="none"/>
          <w:tab w:pos="860" w:val="left" w:leader="none"/>
          <w:tab w:pos="2841" w:val="left" w:leader="none"/>
        </w:tabs>
        <w:spacing w:line="240" w:lineRule="auto" w:before="35" w:after="0"/>
        <w:ind w:left="860" w:right="0" w:hanging="639"/>
        <w:jc w:val="left"/>
        <w:rPr>
          <w:sz w:val="21"/>
        </w:rPr>
      </w:pPr>
      <w:r>
        <w:rPr>
          <w:b/>
          <w:sz w:val="21"/>
        </w:rPr>
        <w:t>效力终止</w:t>
        <w:tab/>
      </w:r>
      <w:r>
        <w:rPr>
          <w:sz w:val="21"/>
        </w:rPr>
        <w:t>当发生下列情形之一时，本附加合同效力终止：</w:t>
      </w:r>
    </w:p>
    <w:p>
      <w:pPr>
        <w:pStyle w:val="BodyText"/>
        <w:ind w:left="2842"/>
      </w:pPr>
      <w:r>
        <w:rPr/>
        <w:t>（1）本附加合同所附于的被附加合同效力终止；</w:t>
      </w:r>
    </w:p>
    <w:p>
      <w:pPr>
        <w:pStyle w:val="BodyText"/>
        <w:ind w:left="2842"/>
      </w:pPr>
      <w:r>
        <w:rPr/>
        <w:t>（2）您申请解除本附加合同。</w:t>
      </w:r>
    </w:p>
    <w:p>
      <w:pPr>
        <w:spacing w:after="0"/>
        <w:sectPr>
          <w:pgSz w:w="11910" w:h="16840"/>
          <w:pgMar w:top="1120" w:bottom="280" w:left="800" w:right="920"/>
        </w:sectPr>
      </w:pPr>
    </w:p>
    <w:p>
      <w:pPr>
        <w:pStyle w:val="Heading3"/>
        <w:numPr>
          <w:ilvl w:val="1"/>
          <w:numId w:val="13"/>
        </w:numPr>
        <w:tabs>
          <w:tab w:pos="860" w:val="left" w:leader="none"/>
          <w:tab w:pos="862" w:val="left" w:leader="none"/>
        </w:tabs>
        <w:spacing w:line="273" w:lineRule="auto" w:before="19" w:after="0"/>
        <w:ind w:left="860" w:right="0" w:hanging="639"/>
        <w:jc w:val="left"/>
      </w:pPr>
      <w:r>
        <w:rPr/>
        <w:t>年龄计算及错误处理</w:t>
      </w:r>
    </w:p>
    <w:p>
      <w:pPr>
        <w:pStyle w:val="BodyText"/>
        <w:spacing w:before="19"/>
        <w:ind w:left="221"/>
      </w:pPr>
      <w:r>
        <w:rPr/>
        <w:br w:type="column"/>
      </w:r>
      <w:r>
        <w:rPr/>
        <w:t>被保险人的年龄以周岁计算。</w:t>
      </w:r>
    </w:p>
    <w:p>
      <w:pPr>
        <w:pStyle w:val="BodyText"/>
        <w:spacing w:before="8"/>
        <w:rPr>
          <w:sz w:val="26"/>
        </w:rPr>
      </w:pPr>
    </w:p>
    <w:p>
      <w:pPr>
        <w:pStyle w:val="BodyText"/>
        <w:spacing w:line="273" w:lineRule="auto" w:before="1"/>
        <w:ind w:left="221" w:right="173"/>
      </w:pPr>
      <w:r>
        <w:rPr/>
        <w:t>您在申请投保时，应将被保险人的真实年龄在投保单上填明，若发生错误按下列规定办理：</w:t>
      </w:r>
    </w:p>
    <w:p>
      <w:pPr>
        <w:pStyle w:val="BodyText"/>
        <w:spacing w:before="5"/>
        <w:rPr>
          <w:sz w:val="24"/>
        </w:rPr>
      </w:pPr>
    </w:p>
    <w:p>
      <w:pPr>
        <w:pStyle w:val="BodyText"/>
        <w:spacing w:line="273" w:lineRule="auto" w:before="1"/>
        <w:ind w:left="741" w:right="214" w:hanging="521"/>
        <w:jc w:val="both"/>
      </w:pPr>
      <w:r>
        <w:rPr/>
        <w:t>（1）您申报的被保险人年龄不真实，并且真实年龄不符合本附加合同约定的投保年龄限制的，我们可以解除本附加合同，但自本附加合同生效日起超过 2 年的除外。</w:t>
      </w:r>
    </w:p>
    <w:p>
      <w:pPr>
        <w:pStyle w:val="BodyText"/>
        <w:spacing w:line="273" w:lineRule="auto" w:before="8"/>
        <w:ind w:left="741" w:right="214" w:hanging="521"/>
        <w:jc w:val="both"/>
      </w:pPr>
      <w:r>
        <w:rPr/>
        <w:t>（2）您申报的被保险人年龄不真实，致使您实交保险费少于应交保险费的， 我们有权更正并要求您补交保险费和利息（按本条款约定利率计算）； 若补交保险费和利息前已发生保险事故，我们按照实交保险费与应交保险费的比例给付保险金。</w:t>
      </w:r>
    </w:p>
    <w:p>
      <w:pPr>
        <w:pStyle w:val="BodyText"/>
        <w:spacing w:line="273" w:lineRule="auto" w:before="8"/>
        <w:ind w:left="746" w:right="305" w:hanging="526"/>
        <w:jc w:val="both"/>
      </w:pPr>
      <w:r>
        <w:rPr/>
        <w:t>（3）您申报的被保险人年龄不真实，致使您实交保险费多于应交保险费的， 我们会将多收的保险费无息退还给您。</w:t>
      </w:r>
    </w:p>
    <w:p>
      <w:pPr>
        <w:spacing w:after="0" w:line="273" w:lineRule="auto"/>
        <w:jc w:val="both"/>
        <w:sectPr>
          <w:pgSz w:w="11910" w:h="16840"/>
          <w:pgMar w:top="1100" w:bottom="280" w:left="800" w:right="920"/>
          <w:cols w:num="2" w:equalWidth="0">
            <w:col w:w="2548" w:space="73"/>
            <w:col w:w="7569"/>
          </w:cols>
        </w:sectPr>
      </w:pPr>
    </w:p>
    <w:p>
      <w:pPr>
        <w:pStyle w:val="BodyText"/>
        <w:spacing w:before="5"/>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6"/>
        <w:gridCol w:w="7378"/>
      </w:tblGrid>
      <w:tr>
        <w:trPr>
          <w:trHeight w:val="572" w:hRule="atLeast"/>
        </w:trPr>
        <w:tc>
          <w:tcPr>
            <w:tcW w:w="606" w:type="dxa"/>
          </w:tcPr>
          <w:p>
            <w:pPr>
              <w:pStyle w:val="TableParagraph"/>
              <w:spacing w:line="210" w:lineRule="exact"/>
              <w:ind w:left="89" w:right="158"/>
              <w:jc w:val="center"/>
              <w:rPr>
                <w:b/>
                <w:sz w:val="21"/>
              </w:rPr>
            </w:pPr>
            <w:r>
              <w:rPr>
                <w:b/>
                <w:sz w:val="21"/>
              </w:rPr>
              <w:t>7.3</w:t>
            </w:r>
          </w:p>
        </w:tc>
        <w:tc>
          <w:tcPr>
            <w:tcW w:w="1976" w:type="dxa"/>
          </w:tcPr>
          <w:p>
            <w:pPr>
              <w:pStyle w:val="TableParagraph"/>
              <w:spacing w:line="210" w:lineRule="exact"/>
              <w:ind w:left="141"/>
              <w:rPr>
                <w:b/>
                <w:sz w:val="21"/>
              </w:rPr>
            </w:pPr>
            <w:r>
              <w:rPr>
                <w:b/>
                <w:w w:val="95"/>
                <w:sz w:val="21"/>
              </w:rPr>
              <w:t>适用所附于合同条</w:t>
            </w:r>
          </w:p>
          <w:p>
            <w:pPr>
              <w:pStyle w:val="TableParagraph"/>
              <w:spacing w:before="37"/>
              <w:ind w:left="141"/>
              <w:rPr>
                <w:b/>
                <w:sz w:val="21"/>
              </w:rPr>
            </w:pPr>
            <w:r>
              <w:rPr>
                <w:b/>
                <w:w w:val="99"/>
                <w:sz w:val="21"/>
              </w:rPr>
              <w:t>款</w:t>
            </w:r>
          </w:p>
        </w:tc>
        <w:tc>
          <w:tcPr>
            <w:tcW w:w="7378" w:type="dxa"/>
          </w:tcPr>
          <w:p>
            <w:pPr>
              <w:pStyle w:val="TableParagraph"/>
              <w:spacing w:line="210" w:lineRule="exact"/>
              <w:ind w:left="146"/>
              <w:rPr>
                <w:sz w:val="21"/>
              </w:rPr>
            </w:pPr>
            <w:r>
              <w:rPr>
                <w:sz w:val="21"/>
              </w:rPr>
              <w:t>下列各项条款，适用本附加合同所附于的被附加合同条款：</w:t>
            </w:r>
          </w:p>
          <w:p>
            <w:pPr>
              <w:pStyle w:val="TableParagraph"/>
              <w:spacing w:before="37"/>
              <w:ind w:left="146"/>
              <w:rPr>
                <w:sz w:val="21"/>
              </w:rPr>
            </w:pPr>
            <w:r>
              <w:rPr>
                <w:sz w:val="21"/>
              </w:rPr>
              <w:t>（1）保险事故通知；</w:t>
            </w:r>
          </w:p>
        </w:tc>
      </w:tr>
      <w:tr>
        <w:trPr>
          <w:trHeight w:val="1741" w:hRule="atLeast"/>
        </w:trPr>
        <w:tc>
          <w:tcPr>
            <w:tcW w:w="606" w:type="dxa"/>
          </w:tcPr>
          <w:p>
            <w:pPr>
              <w:pStyle w:val="TableParagraph"/>
              <w:rPr>
                <w:rFonts w:ascii="Times New Roman"/>
                <w:sz w:val="20"/>
              </w:rPr>
            </w:pPr>
          </w:p>
        </w:tc>
        <w:tc>
          <w:tcPr>
            <w:tcW w:w="1976" w:type="dxa"/>
          </w:tcPr>
          <w:p>
            <w:pPr>
              <w:pStyle w:val="TableParagraph"/>
              <w:rPr>
                <w:rFonts w:ascii="Times New Roman"/>
                <w:sz w:val="20"/>
              </w:rPr>
            </w:pPr>
          </w:p>
        </w:tc>
        <w:tc>
          <w:tcPr>
            <w:tcW w:w="7378" w:type="dxa"/>
          </w:tcPr>
          <w:p>
            <w:pPr>
              <w:pStyle w:val="TableParagraph"/>
              <w:spacing w:line="261" w:lineRule="exact"/>
              <w:ind w:left="146"/>
              <w:rPr>
                <w:sz w:val="21"/>
              </w:rPr>
            </w:pPr>
            <w:r>
              <w:rPr>
                <w:sz w:val="21"/>
              </w:rPr>
              <w:t>（2）宽限期；</w:t>
            </w:r>
          </w:p>
          <w:p>
            <w:pPr>
              <w:pStyle w:val="TableParagraph"/>
              <w:spacing w:before="37"/>
              <w:ind w:left="146"/>
              <w:rPr>
                <w:sz w:val="21"/>
              </w:rPr>
            </w:pPr>
            <w:r>
              <w:rPr>
                <w:sz w:val="21"/>
              </w:rPr>
              <w:t>（3）如实告知；</w:t>
            </w:r>
          </w:p>
          <w:p>
            <w:pPr>
              <w:pStyle w:val="TableParagraph"/>
              <w:spacing w:before="37"/>
              <w:ind w:left="146"/>
              <w:rPr>
                <w:sz w:val="21"/>
              </w:rPr>
            </w:pPr>
            <w:r>
              <w:rPr>
                <w:sz w:val="21"/>
              </w:rPr>
              <w:t>（4）合同内容变更；</w:t>
            </w:r>
          </w:p>
          <w:p>
            <w:pPr>
              <w:pStyle w:val="TableParagraph"/>
              <w:spacing w:before="37"/>
              <w:ind w:left="146"/>
              <w:rPr>
                <w:sz w:val="21"/>
              </w:rPr>
            </w:pPr>
            <w:r>
              <w:rPr>
                <w:sz w:val="21"/>
              </w:rPr>
              <w:t>（5）地址变更；</w:t>
            </w:r>
          </w:p>
          <w:p>
            <w:pPr>
              <w:pStyle w:val="TableParagraph"/>
              <w:spacing w:before="37"/>
              <w:ind w:left="146"/>
              <w:rPr>
                <w:sz w:val="21"/>
              </w:rPr>
            </w:pPr>
            <w:r>
              <w:rPr>
                <w:sz w:val="21"/>
              </w:rPr>
              <w:t>（6）争议处理。</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76"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释义</w:t>
            </w:r>
          </w:p>
        </w:tc>
        <w:tc>
          <w:tcPr>
            <w:tcW w:w="7378" w:type="dxa"/>
            <w:tcBorders>
              <w:bottom w:val="single" w:sz="8" w:space="0" w:color="000000"/>
            </w:tcBorders>
          </w:tcPr>
          <w:p>
            <w:pPr>
              <w:pStyle w:val="TableParagraph"/>
              <w:rPr>
                <w:rFonts w:ascii="Times New Roman"/>
                <w:sz w:val="20"/>
              </w:rPr>
            </w:pPr>
          </w:p>
        </w:tc>
      </w:tr>
      <w:tr>
        <w:trPr>
          <w:trHeight w:val="779" w:hRule="atLeast"/>
        </w:trPr>
        <w:tc>
          <w:tcPr>
            <w:tcW w:w="606" w:type="dxa"/>
            <w:tcBorders>
              <w:top w:val="single" w:sz="8" w:space="0" w:color="000000"/>
            </w:tcBorders>
          </w:tcPr>
          <w:p>
            <w:pPr>
              <w:pStyle w:val="TableParagraph"/>
              <w:spacing w:before="10"/>
              <w:rPr>
                <w:sz w:val="22"/>
              </w:rPr>
            </w:pPr>
          </w:p>
          <w:p>
            <w:pPr>
              <w:pStyle w:val="TableParagraph"/>
              <w:ind w:left="88" w:right="158"/>
              <w:jc w:val="center"/>
              <w:rPr>
                <w:b/>
                <w:sz w:val="21"/>
              </w:rPr>
            </w:pPr>
            <w:r>
              <w:rPr>
                <w:b/>
                <w:sz w:val="21"/>
              </w:rPr>
              <w:t>8.1</w:t>
            </w:r>
          </w:p>
        </w:tc>
        <w:tc>
          <w:tcPr>
            <w:tcW w:w="1976" w:type="dxa"/>
            <w:tcBorders>
              <w:top w:val="single" w:sz="8" w:space="0" w:color="000000"/>
            </w:tcBorders>
          </w:tcPr>
          <w:p>
            <w:pPr>
              <w:pStyle w:val="TableParagraph"/>
              <w:spacing w:before="10"/>
              <w:rPr>
                <w:sz w:val="22"/>
              </w:rPr>
            </w:pPr>
          </w:p>
          <w:p>
            <w:pPr>
              <w:pStyle w:val="TableParagraph"/>
              <w:ind w:left="141"/>
              <w:rPr>
                <w:b/>
                <w:sz w:val="21"/>
              </w:rPr>
            </w:pPr>
            <w:r>
              <w:rPr>
                <w:b/>
                <w:w w:val="95"/>
                <w:sz w:val="21"/>
              </w:rPr>
              <w:t>周岁</w:t>
            </w:r>
          </w:p>
        </w:tc>
        <w:tc>
          <w:tcPr>
            <w:tcW w:w="7378" w:type="dxa"/>
            <w:tcBorders>
              <w:top w:val="single" w:sz="8" w:space="0" w:color="000000"/>
            </w:tcBorders>
          </w:tcPr>
          <w:p>
            <w:pPr>
              <w:pStyle w:val="TableParagraph"/>
              <w:spacing w:before="10"/>
              <w:rPr>
                <w:sz w:val="22"/>
              </w:rPr>
            </w:pPr>
          </w:p>
          <w:p>
            <w:pPr>
              <w:pStyle w:val="TableParagraph"/>
              <w:ind w:left="146"/>
              <w:rPr>
                <w:sz w:val="21"/>
              </w:rPr>
            </w:pPr>
            <w:r>
              <w:rPr>
                <w:sz w:val="21"/>
              </w:rPr>
              <w:t>以法定身份证明文件中记载的出生日期计算。</w:t>
            </w:r>
          </w:p>
        </w:tc>
      </w:tr>
      <w:tr>
        <w:trPr>
          <w:trHeight w:val="623" w:hRule="atLeast"/>
        </w:trPr>
        <w:tc>
          <w:tcPr>
            <w:tcW w:w="606" w:type="dxa"/>
          </w:tcPr>
          <w:p>
            <w:pPr>
              <w:pStyle w:val="TableParagraph"/>
              <w:spacing w:before="142"/>
              <w:ind w:left="88" w:right="158"/>
              <w:jc w:val="center"/>
              <w:rPr>
                <w:b/>
                <w:sz w:val="21"/>
              </w:rPr>
            </w:pPr>
            <w:r>
              <w:rPr>
                <w:b/>
                <w:sz w:val="21"/>
              </w:rPr>
              <w:t>8.2</w:t>
            </w:r>
          </w:p>
        </w:tc>
        <w:tc>
          <w:tcPr>
            <w:tcW w:w="1976" w:type="dxa"/>
          </w:tcPr>
          <w:p>
            <w:pPr>
              <w:pStyle w:val="TableParagraph"/>
              <w:spacing w:before="142"/>
              <w:ind w:left="141"/>
              <w:rPr>
                <w:b/>
                <w:sz w:val="21"/>
              </w:rPr>
            </w:pPr>
            <w:r>
              <w:rPr>
                <w:b/>
                <w:w w:val="95"/>
                <w:sz w:val="21"/>
              </w:rPr>
              <w:t>意外伤害事故</w:t>
            </w:r>
          </w:p>
        </w:tc>
        <w:tc>
          <w:tcPr>
            <w:tcW w:w="7378" w:type="dxa"/>
          </w:tcPr>
          <w:p>
            <w:pPr>
              <w:pStyle w:val="TableParagraph"/>
              <w:spacing w:before="142"/>
              <w:ind w:left="146"/>
              <w:rPr>
                <w:sz w:val="21"/>
              </w:rPr>
            </w:pPr>
            <w:r>
              <w:rPr>
                <w:spacing w:val="-13"/>
                <w:sz w:val="21"/>
              </w:rPr>
              <w:t>指外来的、非本意的、突然的、非疾病的使被保险人身体受到伤害的客观事件。</w:t>
            </w:r>
          </w:p>
        </w:tc>
      </w:tr>
      <w:tr>
        <w:trPr>
          <w:trHeight w:val="935" w:hRule="atLeast"/>
        </w:trPr>
        <w:tc>
          <w:tcPr>
            <w:tcW w:w="606" w:type="dxa"/>
          </w:tcPr>
          <w:p>
            <w:pPr>
              <w:pStyle w:val="TableParagraph"/>
              <w:spacing w:before="142"/>
              <w:ind w:left="88" w:right="158"/>
              <w:jc w:val="center"/>
              <w:rPr>
                <w:b/>
                <w:sz w:val="21"/>
              </w:rPr>
            </w:pPr>
            <w:r>
              <w:rPr>
                <w:b/>
                <w:sz w:val="21"/>
              </w:rPr>
              <w:t>8.3</w:t>
            </w:r>
          </w:p>
        </w:tc>
        <w:tc>
          <w:tcPr>
            <w:tcW w:w="1976" w:type="dxa"/>
          </w:tcPr>
          <w:p>
            <w:pPr>
              <w:pStyle w:val="TableParagraph"/>
              <w:spacing w:before="142"/>
              <w:ind w:left="141"/>
              <w:rPr>
                <w:b/>
                <w:sz w:val="21"/>
              </w:rPr>
            </w:pPr>
            <w:r>
              <w:rPr>
                <w:b/>
                <w:w w:val="95"/>
                <w:sz w:val="21"/>
              </w:rPr>
              <w:t>成人重大疾病</w:t>
            </w:r>
          </w:p>
        </w:tc>
        <w:tc>
          <w:tcPr>
            <w:tcW w:w="7378" w:type="dxa"/>
          </w:tcPr>
          <w:p>
            <w:pPr>
              <w:pStyle w:val="TableParagraph"/>
              <w:spacing w:line="273" w:lineRule="auto" w:before="142"/>
              <w:ind w:left="146" w:right="299"/>
              <w:rPr>
                <w:sz w:val="21"/>
              </w:rPr>
            </w:pPr>
            <w:r>
              <w:rPr>
                <w:sz w:val="21"/>
              </w:rPr>
              <w:t>以下重大疾病定义是由中国保险行业协会与中国医师协会共同制定的重大疾病保险的疾病定义。</w:t>
            </w:r>
          </w:p>
        </w:tc>
      </w:tr>
      <w:tr>
        <w:trPr>
          <w:trHeight w:val="416" w:hRule="atLeast"/>
        </w:trPr>
        <w:tc>
          <w:tcPr>
            <w:tcW w:w="606" w:type="dxa"/>
          </w:tcPr>
          <w:p>
            <w:pPr>
              <w:pStyle w:val="TableParagraph"/>
              <w:rPr>
                <w:rFonts w:ascii="Times New Roman"/>
                <w:sz w:val="20"/>
              </w:rPr>
            </w:pPr>
          </w:p>
        </w:tc>
        <w:tc>
          <w:tcPr>
            <w:tcW w:w="1976" w:type="dxa"/>
          </w:tcPr>
          <w:p>
            <w:pPr>
              <w:pStyle w:val="TableParagraph"/>
              <w:rPr>
                <w:rFonts w:ascii="Times New Roman"/>
                <w:sz w:val="20"/>
              </w:rPr>
            </w:pPr>
          </w:p>
        </w:tc>
        <w:tc>
          <w:tcPr>
            <w:tcW w:w="7378" w:type="dxa"/>
          </w:tcPr>
          <w:p>
            <w:pPr>
              <w:pStyle w:val="TableParagraph"/>
              <w:spacing w:line="255" w:lineRule="exact" w:before="142"/>
              <w:ind w:left="146"/>
              <w:rPr>
                <w:b/>
                <w:sz w:val="21"/>
              </w:rPr>
            </w:pPr>
            <w:r>
              <w:rPr>
                <w:b/>
                <w:w w:val="95"/>
                <w:sz w:val="21"/>
              </w:rPr>
              <w:t>（一）恶性肿瘤</w:t>
            </w:r>
          </w:p>
        </w:tc>
      </w:tr>
    </w:tbl>
    <w:p>
      <w:pPr>
        <w:pStyle w:val="BodyText"/>
        <w:spacing w:line="273" w:lineRule="auto"/>
        <w:ind w:left="2842" w:right="112"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2"/>
      </w:pPr>
      <w:r>
        <w:rPr/>
        <w:t>（ICD-10）的恶性肿瘤范畴。</w:t>
      </w:r>
    </w:p>
    <w:p>
      <w:pPr>
        <w:pStyle w:val="BodyText"/>
        <w:spacing w:before="36"/>
        <w:ind w:left="3367"/>
      </w:pPr>
      <w:r>
        <w:rPr/>
        <w:t>下列疾病不在保障范围内：</w:t>
      </w:r>
    </w:p>
    <w:p>
      <w:pPr>
        <w:pStyle w:val="BodyText"/>
        <w:spacing w:before="36"/>
        <w:ind w:left="2842"/>
      </w:pPr>
      <w:r>
        <w:rPr/>
        <w:t>（1）原位癌；</w:t>
      </w:r>
    </w:p>
    <w:p>
      <w:pPr>
        <w:pStyle w:val="BodyText"/>
        <w:spacing w:before="36"/>
        <w:ind w:left="2842"/>
      </w:pPr>
      <w:r>
        <w:rPr/>
        <w:t>（2）相当于Binet 分期方案 A 期程度的慢性淋巴细胞白血病；</w:t>
      </w:r>
    </w:p>
    <w:p>
      <w:pPr>
        <w:pStyle w:val="BodyText"/>
        <w:spacing w:before="36"/>
        <w:ind w:left="2842"/>
      </w:pPr>
      <w:r>
        <w:rPr/>
        <w:t>（3）相当于Ann Arbor 分期方案 I 期程度的何杰金氏病；</w:t>
      </w:r>
    </w:p>
    <w:p>
      <w:pPr>
        <w:pStyle w:val="BodyText"/>
        <w:spacing w:before="36"/>
        <w:ind w:left="2842"/>
      </w:pPr>
      <w:r>
        <w:rPr/>
        <w:t>（4）</w:t>
      </w:r>
      <w:r>
        <w:rPr>
          <w:spacing w:val="-1"/>
        </w:rPr>
        <w:t>皮肤癌</w:t>
      </w:r>
      <w:r>
        <w:rPr/>
        <w:t>（不包括恶性黑色素瘤及已发生转移的皮肤癌</w:t>
      </w:r>
      <w:r>
        <w:rPr>
          <w:spacing w:val="-106"/>
        </w:rPr>
        <w:t>）</w:t>
      </w:r>
      <w:r>
        <w:rPr/>
        <w:t>；</w:t>
      </w:r>
    </w:p>
    <w:p>
      <w:pPr>
        <w:pStyle w:val="BodyText"/>
        <w:spacing w:before="36"/>
        <w:ind w:left="2842"/>
      </w:pPr>
      <w:r>
        <w:rPr/>
        <w:t>（5）TNM 分期为 T1N0M0 期或更轻分期的前列腺癌；</w:t>
      </w:r>
    </w:p>
    <w:p>
      <w:pPr>
        <w:pStyle w:val="BodyText"/>
        <w:spacing w:before="36"/>
        <w:ind w:left="2842"/>
      </w:pPr>
      <w:r>
        <w:rPr/>
        <w:t>（6）感染艾滋病病毒或患艾滋病期间所患恶性肿瘤。</w:t>
      </w:r>
    </w:p>
    <w:p>
      <w:pPr>
        <w:spacing w:after="0"/>
        <w:sectPr>
          <w:type w:val="continuous"/>
          <w:pgSz w:w="11910" w:h="16840"/>
          <w:pgMar w:top="580" w:bottom="280" w:left="800" w:right="920"/>
        </w:sectPr>
      </w:pPr>
    </w:p>
    <w:p>
      <w:pPr>
        <w:pStyle w:val="Heading3"/>
        <w:spacing w:before="19"/>
      </w:pPr>
      <w:r>
        <w:rPr>
          <w:w w:val="95"/>
        </w:rPr>
        <w:t>（二）急性心肌梗塞</w:t>
      </w:r>
    </w:p>
    <w:p>
      <w:pPr>
        <w:pStyle w:val="BodyText"/>
        <w:spacing w:line="273" w:lineRule="auto"/>
        <w:ind w:left="1962" w:right="218" w:firstLine="431"/>
        <w:jc w:val="both"/>
      </w:pPr>
      <w:r>
        <w:rPr>
          <w:spacing w:val="-2"/>
        </w:rPr>
        <w:t>指因冠状动脉阻塞导致的相应区域供血不足造成部分心肌坏死。须满足下列至少三项条件：</w:t>
      </w:r>
    </w:p>
    <w:p>
      <w:pPr>
        <w:pStyle w:val="BodyText"/>
        <w:spacing w:before="7"/>
        <w:ind w:left="1962"/>
      </w:pPr>
      <w:r>
        <w:rPr/>
        <w:t>（1）典型临床表现，例如急性胸痛等；</w:t>
      </w:r>
    </w:p>
    <w:p>
      <w:pPr>
        <w:pStyle w:val="BodyText"/>
        <w:spacing w:before="36"/>
        <w:ind w:left="1962"/>
      </w:pPr>
      <w:r>
        <w:rPr/>
        <w:t>（2）新近的心电图改变提示急性心肌梗塞；</w:t>
      </w:r>
    </w:p>
    <w:p>
      <w:pPr>
        <w:pStyle w:val="BodyText"/>
        <w:spacing w:line="273" w:lineRule="auto" w:before="36"/>
        <w:ind w:left="1962" w:right="216"/>
      </w:pPr>
      <w:r>
        <w:rPr/>
        <w:t>（3）心肌酶或肌钙蛋白有诊断意义的升高，或呈符合急性心肌梗塞的动态性变化；</w:t>
      </w:r>
    </w:p>
    <w:p>
      <w:pPr>
        <w:pStyle w:val="BodyText"/>
        <w:spacing w:before="7"/>
        <w:ind w:left="1962"/>
      </w:pPr>
      <w:r>
        <w:rPr>
          <w:spacing w:val="-9"/>
        </w:rPr>
        <w:t>（4）</w:t>
      </w:r>
      <w:r>
        <w:rPr>
          <w:spacing w:val="-18"/>
        </w:rPr>
        <w:t>发病 </w:t>
      </w:r>
      <w:r>
        <w:rPr/>
        <w:t>90</w:t>
      </w:r>
      <w:r>
        <w:rPr>
          <w:spacing w:val="-12"/>
        </w:rPr>
        <w:t> 天后，经检查证实左室功能降低的，如左心室射血分数低于 </w:t>
      </w:r>
      <w:r>
        <w:rPr/>
        <w:t>50%。</w:t>
      </w:r>
    </w:p>
    <w:p>
      <w:pPr>
        <w:pStyle w:val="BodyText"/>
        <w:spacing w:before="8"/>
        <w:rPr>
          <w:sz w:val="26"/>
        </w:rPr>
      </w:pPr>
    </w:p>
    <w:p>
      <w:pPr>
        <w:pStyle w:val="Heading3"/>
        <w:spacing w:before="1"/>
      </w:pPr>
      <w:r>
        <w:rPr>
          <w:w w:val="95"/>
        </w:rPr>
        <w:t>（三）脑中风后遗症</w:t>
      </w:r>
    </w:p>
    <w:p>
      <w:pPr>
        <w:pStyle w:val="BodyText"/>
        <w:spacing w:line="273" w:lineRule="auto"/>
        <w:ind w:left="1962" w:right="218"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天后，仍遗留下列一种或一种以上障碍：</w:t>
      </w:r>
    </w:p>
    <w:p>
      <w:pPr>
        <w:pStyle w:val="BodyText"/>
        <w:spacing w:before="7"/>
        <w:ind w:left="1962"/>
      </w:pPr>
      <w:r>
        <w:rPr/>
        <w:t>（1）一肢或一肢以上肢体机能完全丧失；</w:t>
      </w:r>
    </w:p>
    <w:p>
      <w:pPr>
        <w:pStyle w:val="BodyText"/>
        <w:spacing w:before="36"/>
        <w:ind w:left="1962"/>
      </w:pPr>
      <w:r>
        <w:rPr/>
        <w:t>（2）语言能力或咀嚼吞咽能力完全丧失；</w:t>
      </w:r>
    </w:p>
    <w:p>
      <w:pPr>
        <w:pStyle w:val="BodyText"/>
        <w:spacing w:line="273" w:lineRule="auto" w:before="36"/>
        <w:ind w:left="1962" w:right="216"/>
      </w:pPr>
      <w:r>
        <w:rPr/>
        <w:t>（3）自主生活能力完全丧失，无法独立完成六项基本日常生活活动中的三项或三项以上。</w:t>
      </w:r>
    </w:p>
    <w:p>
      <w:pPr>
        <w:pStyle w:val="BodyText"/>
        <w:spacing w:before="5"/>
        <w:rPr>
          <w:sz w:val="24"/>
        </w:rPr>
      </w:pPr>
    </w:p>
    <w:p>
      <w:pPr>
        <w:pStyle w:val="Heading3"/>
      </w:pPr>
      <w:r>
        <w:rPr>
          <w:w w:val="95"/>
        </w:rPr>
        <w:t>（四）重大器官移植术或造血干细胞移植术</w:t>
      </w:r>
    </w:p>
    <w:p>
      <w:pPr>
        <w:pStyle w:val="BodyText"/>
        <w:spacing w:line="273" w:lineRule="auto"/>
        <w:ind w:left="1962" w:right="218" w:firstLine="431"/>
        <w:jc w:val="both"/>
      </w:pPr>
      <w:r>
        <w:rPr>
          <w:spacing w:val="-4"/>
        </w:rPr>
        <w:t>重大器官移植术，指因相应器官功能衰竭，已经实施了肾脏、肝脏、心脏或肺脏的异体移植手术。</w:t>
      </w:r>
    </w:p>
    <w:p>
      <w:pPr>
        <w:pStyle w:val="BodyText"/>
        <w:spacing w:line="273" w:lineRule="auto" w:before="8"/>
        <w:ind w:left="1962" w:right="218" w:firstLine="431"/>
        <w:jc w:val="both"/>
      </w:pPr>
      <w:r>
        <w:rPr>
          <w:spacing w:val="-3"/>
        </w:rPr>
        <w:t>造血干细胞移植术，指因造血功能损害或造血系统恶性肿瘤，已经实施了</w:t>
      </w:r>
      <w:r>
        <w:rPr>
          <w:spacing w:val="-4"/>
        </w:rPr>
        <w:t>造血干细胞</w:t>
      </w:r>
      <w:r>
        <w:rPr/>
        <w:t>（</w:t>
      </w:r>
      <w:r>
        <w:rPr>
          <w:spacing w:val="-1"/>
        </w:rPr>
        <w:t>包括骨髓造血干细胞、外周造血干细胞和脐血造血干细胞</w:t>
      </w:r>
      <w:r>
        <w:rPr>
          <w:spacing w:val="-7"/>
        </w:rPr>
        <w:t>）</w:t>
      </w:r>
      <w:r>
        <w:rPr/>
        <w:t>的异体移植手术。</w:t>
      </w:r>
    </w:p>
    <w:p>
      <w:pPr>
        <w:pStyle w:val="BodyText"/>
        <w:spacing w:before="5"/>
        <w:rPr>
          <w:sz w:val="24"/>
        </w:rPr>
      </w:pPr>
    </w:p>
    <w:p>
      <w:pPr>
        <w:pStyle w:val="Heading3"/>
        <w:spacing w:before="1"/>
      </w:pPr>
      <w:r>
        <w:rPr>
          <w:w w:val="95"/>
        </w:rPr>
        <w:t>（五）冠状动脉搭桥术</w:t>
      </w:r>
    </w:p>
    <w:p>
      <w:pPr>
        <w:pStyle w:val="BodyText"/>
        <w:spacing w:line="273" w:lineRule="auto"/>
        <w:ind w:left="1962" w:right="218" w:firstLine="431"/>
        <w:jc w:val="both"/>
      </w:pPr>
      <w:r>
        <w:rPr>
          <w:spacing w:val="-3"/>
        </w:rPr>
        <w:t>指为治疗严重的冠心病，实际实施了开胸进行的冠状动脉血管旁路移植的</w:t>
      </w:r>
      <w:r>
        <w:rPr>
          <w:spacing w:val="-1"/>
        </w:rPr>
        <w:t>手术。</w:t>
      </w:r>
    </w:p>
    <w:p>
      <w:pPr>
        <w:pStyle w:val="BodyText"/>
        <w:spacing w:line="273" w:lineRule="auto" w:before="7"/>
        <w:ind w:left="1962" w:right="219" w:firstLine="431"/>
        <w:jc w:val="both"/>
      </w:pPr>
      <w:r>
        <w:rPr>
          <w:spacing w:val="-3"/>
        </w:rPr>
        <w:t>冠状动脉支架植入手术、心导管球囊扩张术、激光射频技术及其他非开胸的介入手术、腔镜手术不在保障范围内。</w:t>
      </w:r>
    </w:p>
    <w:p>
      <w:pPr>
        <w:pStyle w:val="BodyText"/>
        <w:spacing w:before="5"/>
        <w:rPr>
          <w:sz w:val="24"/>
        </w:rPr>
      </w:pPr>
    </w:p>
    <w:p>
      <w:pPr>
        <w:pStyle w:val="Heading3"/>
      </w:pPr>
      <w:r>
        <w:rPr>
          <w:w w:val="95"/>
        </w:rPr>
        <w:t>（六）终末期肾病</w:t>
      </w:r>
    </w:p>
    <w:p>
      <w:pPr>
        <w:pStyle w:val="BodyText"/>
        <w:ind w:left="2393"/>
      </w:pPr>
      <w:r>
        <w:rPr/>
        <w:t>指双肾功能慢性不可逆性衰竭，达到尿毒症期，经诊断后已经进行了至少</w:t>
      </w:r>
    </w:p>
    <w:p>
      <w:pPr>
        <w:pStyle w:val="BodyText"/>
        <w:ind w:left="1962"/>
      </w:pPr>
      <w:r>
        <w:rPr/>
        <w:t>90 天的规律性透析治疗或实施了肾脏移植手术。</w:t>
      </w:r>
    </w:p>
    <w:p>
      <w:pPr>
        <w:pStyle w:val="BodyText"/>
        <w:spacing w:before="8"/>
        <w:rPr>
          <w:sz w:val="26"/>
        </w:rPr>
      </w:pPr>
    </w:p>
    <w:p>
      <w:pPr>
        <w:pStyle w:val="Heading3"/>
      </w:pPr>
      <w:r>
        <w:rPr>
          <w:w w:val="95"/>
        </w:rPr>
        <w:t>（七）多个肢体缺失</w:t>
      </w:r>
    </w:p>
    <w:p>
      <w:pPr>
        <w:pStyle w:val="BodyText"/>
        <w:spacing w:line="273" w:lineRule="auto" w:before="36"/>
        <w:ind w:left="1962" w:right="218" w:firstLine="431"/>
        <w:jc w:val="both"/>
      </w:pPr>
      <w:r>
        <w:rPr>
          <w:spacing w:val="-2"/>
        </w:rPr>
        <w:t>指因疾病或意外伤害导致两个或两个以上肢体自腕关节或踝关节近端</w:t>
      </w:r>
      <w:r>
        <w:rPr/>
        <w:t>（靠</w:t>
      </w:r>
      <w:r>
        <w:rPr>
          <w:spacing w:val="-1"/>
        </w:rPr>
        <w:t>近躯干端）以上完全性断离。</w:t>
      </w:r>
    </w:p>
    <w:p>
      <w:pPr>
        <w:pStyle w:val="BodyText"/>
        <w:spacing w:before="5"/>
        <w:rPr>
          <w:sz w:val="24"/>
        </w:rPr>
      </w:pPr>
    </w:p>
    <w:p>
      <w:pPr>
        <w:pStyle w:val="Heading3"/>
      </w:pPr>
      <w:r>
        <w:rPr>
          <w:w w:val="95"/>
        </w:rPr>
        <w:t>（八）急性或亚急性重症肝炎</w:t>
      </w:r>
    </w:p>
    <w:p>
      <w:pPr>
        <w:pStyle w:val="BodyText"/>
        <w:spacing w:line="273" w:lineRule="auto"/>
        <w:ind w:left="1962" w:right="219" w:firstLine="431"/>
        <w:jc w:val="both"/>
      </w:pPr>
      <w:r>
        <w:rPr>
          <w:spacing w:val="-2"/>
        </w:rPr>
        <w:t>指因肝炎病毒感染引起肝组织弥漫性坏死，导致急性肝功能衰竭，且经血清学或病毒学检查证实，须满足下列全部条件：</w:t>
      </w:r>
    </w:p>
    <w:p>
      <w:pPr>
        <w:pStyle w:val="BodyText"/>
        <w:spacing w:before="8"/>
        <w:ind w:left="1962"/>
      </w:pPr>
      <w:r>
        <w:rPr/>
        <w:t>（1）重度黄疸或黄疸迅速加重；</w:t>
      </w:r>
    </w:p>
    <w:p>
      <w:pPr>
        <w:pStyle w:val="BodyText"/>
        <w:ind w:left="1962"/>
      </w:pPr>
      <w:r>
        <w:rPr/>
        <w:t>（2）肝性脑病；</w:t>
      </w:r>
    </w:p>
    <w:p>
      <w:pPr>
        <w:pStyle w:val="BodyText"/>
        <w:ind w:left="1962"/>
      </w:pPr>
      <w:r>
        <w:rPr/>
        <w:t>（3）B 超或其他影像学检查显示肝脏体积急速萎缩；</w:t>
      </w:r>
    </w:p>
    <w:p>
      <w:pPr>
        <w:pStyle w:val="BodyText"/>
        <w:ind w:left="1962"/>
      </w:pPr>
      <w:r>
        <w:rPr/>
        <w:t>（4）肝功能指标进行性恶化。</w:t>
      </w:r>
    </w:p>
    <w:p>
      <w:pPr>
        <w:spacing w:after="0"/>
        <w:sectPr>
          <w:pgSz w:w="11910" w:h="16840"/>
          <w:pgMar w:top="1100" w:bottom="280" w:left="1680" w:right="920"/>
        </w:sectPr>
      </w:pPr>
    </w:p>
    <w:p>
      <w:pPr>
        <w:pStyle w:val="Heading3"/>
        <w:spacing w:before="11"/>
      </w:pPr>
      <w:r>
        <w:rPr>
          <w:w w:val="95"/>
        </w:rPr>
        <w:t>（九）良性脑肿瘤</w:t>
      </w:r>
    </w:p>
    <w:p>
      <w:pPr>
        <w:pStyle w:val="BodyText"/>
        <w:spacing w:line="273" w:lineRule="auto"/>
        <w:ind w:left="1961" w:right="216" w:firstLine="431"/>
        <w:jc w:val="both"/>
      </w:pPr>
      <w:r>
        <w:rPr>
          <w:spacing w:val="-4"/>
        </w:rPr>
        <w:t>指脑的良性肿瘤，已经引起颅内压增高，临床表现为视神经乳头水肿、精</w:t>
      </w:r>
      <w:r>
        <w:rPr/>
        <w:t>神症状、癫痫及运动感觉障碍等，并危及生命。须由头颅断层扫描</w:t>
      </w:r>
      <w:r>
        <w:rPr>
          <w:spacing w:val="1"/>
        </w:rPr>
        <w:t>（</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1"/>
      </w:pPr>
      <w:r>
        <w:rPr/>
        <w:t>（1）实际实施了开颅进行的脑肿瘤完全切除或部分切除的手术；</w:t>
      </w:r>
    </w:p>
    <w:p>
      <w:pPr>
        <w:pStyle w:val="BodyText"/>
        <w:spacing w:before="36"/>
        <w:ind w:left="1961"/>
      </w:pPr>
      <w:r>
        <w:rPr/>
        <w:t>（2）实际实施了对脑肿瘤进行的放射治疗。</w:t>
      </w:r>
    </w:p>
    <w:p>
      <w:pPr>
        <w:pStyle w:val="BodyText"/>
        <w:spacing w:before="36"/>
        <w:ind w:left="2393"/>
      </w:pPr>
      <w:r>
        <w:rPr/>
        <w:t>脑垂体瘤、脑囊肿、脑血管性疾病不在保障范围内。</w:t>
      </w:r>
    </w:p>
    <w:p>
      <w:pPr>
        <w:pStyle w:val="BodyText"/>
        <w:spacing w:before="8"/>
        <w:rPr>
          <w:sz w:val="26"/>
        </w:rPr>
      </w:pPr>
    </w:p>
    <w:p>
      <w:pPr>
        <w:pStyle w:val="Heading3"/>
        <w:ind w:left="1961"/>
      </w:pPr>
      <w:r>
        <w:rPr>
          <w:w w:val="95"/>
        </w:rPr>
        <w:t>（十）慢性肝功能衰竭失代偿期</w:t>
      </w:r>
    </w:p>
    <w:p>
      <w:pPr>
        <w:pStyle w:val="BodyText"/>
        <w:ind w:left="2393"/>
      </w:pPr>
      <w:r>
        <w:rPr/>
        <w:t>指因慢性肝脏疾病导致肝功能衰竭，须满足下列全部条件：</w:t>
      </w:r>
    </w:p>
    <w:p>
      <w:pPr>
        <w:pStyle w:val="BodyText"/>
        <w:ind w:left="1961"/>
      </w:pPr>
      <w:r>
        <w:rPr/>
        <w:t>（1）持续性黄疸；</w:t>
      </w:r>
    </w:p>
    <w:p>
      <w:pPr>
        <w:pStyle w:val="BodyText"/>
        <w:ind w:left="1961"/>
      </w:pPr>
      <w:r>
        <w:rPr/>
        <w:t>（2）腹水；</w:t>
      </w:r>
    </w:p>
    <w:p>
      <w:pPr>
        <w:pStyle w:val="BodyText"/>
        <w:ind w:left="1961"/>
      </w:pPr>
      <w:r>
        <w:rPr/>
        <w:t>（3）肝性脑病；</w:t>
      </w:r>
    </w:p>
    <w:p>
      <w:pPr>
        <w:pStyle w:val="BodyText"/>
        <w:ind w:left="1961"/>
      </w:pPr>
      <w:r>
        <w:rPr/>
        <w:t>（4）充血性脾肿大伴脾功能亢进或食管胃底静脉曲张。</w:t>
      </w:r>
    </w:p>
    <w:p>
      <w:pPr>
        <w:pStyle w:val="BodyText"/>
        <w:ind w:left="2393"/>
      </w:pPr>
      <w:r>
        <w:rPr/>
        <w:t>因酗酒或药物滥用导致的肝功能衰竭不在保障范围内。</w:t>
      </w:r>
    </w:p>
    <w:p>
      <w:pPr>
        <w:pStyle w:val="BodyText"/>
        <w:spacing w:before="8"/>
        <w:rPr>
          <w:sz w:val="26"/>
        </w:rPr>
      </w:pPr>
    </w:p>
    <w:p>
      <w:pPr>
        <w:pStyle w:val="Heading3"/>
        <w:ind w:left="1961"/>
      </w:pPr>
      <w:r>
        <w:rPr>
          <w:w w:val="95"/>
        </w:rPr>
        <w:t>（十一）脑炎后遗症或脑膜炎后遗症</w:t>
      </w:r>
    </w:p>
    <w:p>
      <w:pPr>
        <w:pStyle w:val="BodyText"/>
        <w:spacing w:line="273" w:lineRule="auto" w:before="36"/>
        <w:ind w:left="1961" w:right="167" w:firstLine="431"/>
      </w:pPr>
      <w:r>
        <w:rPr/>
        <w:t>指因患脑炎或脑膜炎导致的神经系统永久性的功能障碍。神经系统永久性的功能障碍，指疾病首次确诊 180 天后，仍残留下列一种或一种以上障碍：</w:t>
      </w:r>
    </w:p>
    <w:p>
      <w:pPr>
        <w:pStyle w:val="BodyText"/>
        <w:spacing w:before="7"/>
        <w:ind w:left="1961"/>
      </w:pPr>
      <w:r>
        <w:rPr/>
        <w:t>（1）一肢或一肢以上肢体机能完全丧失；</w:t>
      </w:r>
    </w:p>
    <w:p>
      <w:pPr>
        <w:pStyle w:val="BodyText"/>
        <w:ind w:left="1961"/>
      </w:pPr>
      <w:r>
        <w:rPr/>
        <w:t>（2）语言能力或咀嚼吞咽能力完全丧失；</w:t>
      </w:r>
    </w:p>
    <w:p>
      <w:pPr>
        <w:pStyle w:val="BodyText"/>
        <w:spacing w:line="273" w:lineRule="auto"/>
        <w:ind w:left="1961" w:right="216"/>
      </w:pPr>
      <w:r>
        <w:rPr/>
        <w:t>（3）自主生活能力完全丧失，无法独立完成六项基本日常生活活动中的三项或三项以上。</w:t>
      </w:r>
    </w:p>
    <w:p>
      <w:pPr>
        <w:pStyle w:val="BodyText"/>
        <w:spacing w:before="5"/>
        <w:rPr>
          <w:sz w:val="24"/>
        </w:rPr>
      </w:pPr>
    </w:p>
    <w:p>
      <w:pPr>
        <w:pStyle w:val="Heading3"/>
        <w:ind w:left="1961"/>
      </w:pPr>
      <w:r>
        <w:rPr>
          <w:w w:val="95"/>
        </w:rPr>
        <w:t>（十二）深度昏迷</w:t>
      </w:r>
    </w:p>
    <w:p>
      <w:pPr>
        <w:pStyle w:val="BodyText"/>
        <w:spacing w:line="273" w:lineRule="auto" w:before="36"/>
        <w:ind w:left="1961" w:right="113" w:firstLine="431"/>
      </w:pPr>
      <w:r>
        <w:rPr/>
        <w:t>指因疾病或意外伤害导致意识丧失,对外界刺激和体内需求均无反应，昏</w:t>
      </w:r>
      <w:r>
        <w:rPr>
          <w:spacing w:val="-1"/>
        </w:rPr>
        <w:t>迷程度按照格拉斯哥昏迷分级</w:t>
      </w:r>
      <w:r>
        <w:rPr/>
        <w:t>（Glasgow</w:t>
      </w:r>
      <w:r>
        <w:rPr>
          <w:spacing w:val="-55"/>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3"/>
      </w:pPr>
      <w:r>
        <w:rPr/>
        <w:t>由于酗酒或药物滥用导致的深度昏迷不在保障范围内。</w:t>
      </w:r>
    </w:p>
    <w:p>
      <w:pPr>
        <w:pStyle w:val="BodyText"/>
        <w:spacing w:before="8"/>
        <w:rPr>
          <w:sz w:val="26"/>
        </w:rPr>
      </w:pPr>
    </w:p>
    <w:p>
      <w:pPr>
        <w:pStyle w:val="Heading3"/>
        <w:spacing w:before="1"/>
      </w:pPr>
      <w:r>
        <w:rPr>
          <w:w w:val="95"/>
        </w:rPr>
        <w:t>（十三）双耳失聪</w:t>
      </w:r>
    </w:p>
    <w:p>
      <w:pPr>
        <w:pStyle w:val="BodyText"/>
        <w:ind w:left="2393"/>
      </w:pPr>
      <w:r>
        <w:rPr/>
        <w:t>指因疾病或意外伤害导致双耳听力永久不可逆性丧失，在 500 赫兹、1000</w:t>
      </w:r>
    </w:p>
    <w:p>
      <w:pPr>
        <w:pStyle w:val="BodyText"/>
        <w:spacing w:line="273" w:lineRule="auto"/>
        <w:ind w:left="1962" w:right="220"/>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3"/>
      </w:pPr>
      <w:r>
        <w:rPr>
          <w:w w:val="95"/>
        </w:rPr>
        <w:t>（十四）双目失明</w:t>
      </w:r>
    </w:p>
    <w:p>
      <w:pPr>
        <w:pStyle w:val="BodyText"/>
        <w:spacing w:line="273" w:lineRule="auto" w:before="36"/>
        <w:ind w:left="1962" w:right="172" w:firstLine="420"/>
      </w:pPr>
      <w:r>
        <w:rPr/>
        <w:t>指因疾病或意外伤害导致双目视力永久不可逆性丧失，双眼中较好眼须满足下列至少一项条件：</w:t>
      </w:r>
    </w:p>
    <w:p>
      <w:pPr>
        <w:pStyle w:val="BodyText"/>
        <w:spacing w:before="7"/>
        <w:ind w:left="1962"/>
      </w:pPr>
      <w:r>
        <w:rPr/>
        <w:t>（1）眼球缺失或摘除；</w:t>
      </w:r>
    </w:p>
    <w:p>
      <w:pPr>
        <w:pStyle w:val="BodyText"/>
        <w:spacing w:line="273" w:lineRule="auto"/>
        <w:ind w:left="1962" w:right="219"/>
      </w:pPr>
      <w:r>
        <w:rPr/>
        <w:t>（2）</w:t>
      </w:r>
      <w:r>
        <w:rPr>
          <w:spacing w:val="-3"/>
        </w:rPr>
        <w:t>矫正视力低于 </w:t>
      </w:r>
      <w:r>
        <w:rPr/>
        <w:t>0.02（采用国际标准视力表，如果使用其他视力表应进行换算</w:t>
      </w:r>
      <w:r>
        <w:rPr>
          <w:spacing w:val="-105"/>
        </w:rPr>
        <w:t>）</w:t>
      </w:r>
      <w:r>
        <w:rPr/>
        <w:t>；</w:t>
      </w:r>
    </w:p>
    <w:p>
      <w:pPr>
        <w:pStyle w:val="BodyText"/>
        <w:spacing w:before="8"/>
        <w:ind w:left="1962"/>
      </w:pPr>
      <w:r>
        <w:rPr/>
        <w:t>（3）视野半径小于 5 度。</w:t>
      </w:r>
    </w:p>
    <w:p>
      <w:pPr>
        <w:pStyle w:val="BodyText"/>
        <w:spacing w:before="8"/>
        <w:rPr>
          <w:sz w:val="26"/>
        </w:rPr>
      </w:pPr>
    </w:p>
    <w:p>
      <w:pPr>
        <w:pStyle w:val="Heading3"/>
        <w:spacing w:before="1"/>
      </w:pPr>
      <w:r>
        <w:rPr>
          <w:w w:val="95"/>
        </w:rPr>
        <w:t>（十五）瘫痪</w:t>
      </w:r>
    </w:p>
    <w:p>
      <w:pPr>
        <w:spacing w:after="0"/>
        <w:sectPr>
          <w:pgSz w:w="11910" w:h="16840"/>
          <w:pgMar w:top="1420" w:bottom="280" w:left="1680" w:right="920"/>
        </w:sectPr>
      </w:pPr>
    </w:p>
    <w:p>
      <w:pPr>
        <w:pStyle w:val="BodyText"/>
        <w:spacing w:line="273" w:lineRule="auto" w:before="19"/>
        <w:ind w:left="1962" w:right="138" w:firstLine="431"/>
        <w:jc w:val="both"/>
      </w:pPr>
      <w:r>
        <w:rPr>
          <w:spacing w:val="-2"/>
        </w:rPr>
        <w:t>指因疾病或意外伤害导致两肢或两肢以上肢体机能永久完全丧失。肢体机</w:t>
      </w:r>
      <w:r>
        <w:rPr>
          <w:spacing w:val="-7"/>
        </w:rPr>
        <w:t>能永久完全丧失，指疾病确诊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5"/>
        <w:rPr>
          <w:sz w:val="24"/>
        </w:rPr>
      </w:pPr>
    </w:p>
    <w:p>
      <w:pPr>
        <w:pStyle w:val="Heading3"/>
      </w:pPr>
      <w:r>
        <w:rPr>
          <w:w w:val="95"/>
        </w:rPr>
        <w:t>（十六）心脏瓣膜手术</w:t>
      </w:r>
    </w:p>
    <w:p>
      <w:pPr>
        <w:pStyle w:val="BodyText"/>
        <w:spacing w:before="36"/>
        <w:ind w:left="2393"/>
      </w:pPr>
      <w:r>
        <w:rPr/>
        <w:t>指为治疗心脏瓣膜疾病，实际实施了开胸进行的心脏瓣膜置换或修复的手</w:t>
      </w:r>
    </w:p>
    <w:p>
      <w:pPr>
        <w:pStyle w:val="BodyText"/>
        <w:spacing w:before="36"/>
        <w:ind w:left="1962"/>
      </w:pPr>
      <w:r>
        <w:rPr/>
        <w:t>术。</w:t>
      </w:r>
    </w:p>
    <w:p>
      <w:pPr>
        <w:pStyle w:val="BodyText"/>
        <w:spacing w:before="8"/>
        <w:rPr>
          <w:sz w:val="26"/>
        </w:rPr>
      </w:pPr>
    </w:p>
    <w:p>
      <w:pPr>
        <w:pStyle w:val="Heading3"/>
      </w:pPr>
      <w:r>
        <w:rPr>
          <w:w w:val="95"/>
        </w:rPr>
        <w:t>（十七）严重阿尔茨海默病</w:t>
      </w:r>
    </w:p>
    <w:p>
      <w:pPr>
        <w:pStyle w:val="BodyText"/>
        <w:spacing w:line="273" w:lineRule="auto"/>
        <w:ind w:left="1962" w:right="139" w:firstLine="431"/>
        <w:jc w:val="both"/>
      </w:pPr>
      <w:r>
        <w:rPr>
          <w:spacing w:val="-3"/>
        </w:rPr>
        <w:t>指因大脑进行性、不可逆性改变导致智能严重衰退或丧失，临床表现为明</w:t>
      </w:r>
      <w:r>
        <w:rPr>
          <w:spacing w:val="-5"/>
        </w:rPr>
        <w:t>显的认知能力障碍、行为异常和社交能力减退，其日常生活必须持续受到他人</w:t>
      </w:r>
      <w:r>
        <w:rPr>
          <w:spacing w:val="-3"/>
        </w:rPr>
        <w:t>监护。须由头颅断层扫描</w:t>
      </w:r>
      <w:r>
        <w:rPr>
          <w:spacing w:val="-1"/>
        </w:rPr>
        <w:t>（CT</w:t>
      </w:r>
      <w:r>
        <w:rPr>
          <w:spacing w:val="-104"/>
        </w:rPr>
        <w:t>）</w:t>
      </w:r>
      <w:r>
        <w:rPr>
          <w:spacing w:val="-3"/>
        </w:rPr>
        <w:t>、核磁共振检查</w:t>
      </w:r>
      <w:r>
        <w:rPr/>
        <w:t>（MRI</w:t>
      </w:r>
      <w:r>
        <w:rPr>
          <w:spacing w:val="-4"/>
        </w:rPr>
        <w:t>）</w:t>
      </w:r>
      <w:r>
        <w:rPr>
          <w:spacing w:val="-1"/>
        </w:rPr>
        <w:t>或正电子发射断层扫描</w:t>
      </w:r>
    </w:p>
    <w:p>
      <w:pPr>
        <w:pStyle w:val="BodyText"/>
        <w:spacing w:line="273" w:lineRule="auto" w:before="8"/>
        <w:ind w:left="1962" w:right="138"/>
      </w:pPr>
      <w:r>
        <w:rPr/>
        <w:t>（PET）等影像学检查证实，自主生活能力完全丧失，无法独立完成六项基本日常生活活动中的三项或三项以上。</w:t>
      </w:r>
    </w:p>
    <w:p>
      <w:pPr>
        <w:pStyle w:val="BodyText"/>
        <w:spacing w:before="8"/>
        <w:ind w:left="2394"/>
      </w:pPr>
      <w:r>
        <w:rPr/>
        <w:t>神经官能症和精神疾病不在保障范围内。</w:t>
      </w:r>
    </w:p>
    <w:p>
      <w:pPr>
        <w:pStyle w:val="BodyText"/>
        <w:spacing w:before="9"/>
        <w:rPr>
          <w:sz w:val="26"/>
        </w:rPr>
      </w:pPr>
    </w:p>
    <w:p>
      <w:pPr>
        <w:pStyle w:val="Heading3"/>
      </w:pPr>
      <w:r>
        <w:rPr>
          <w:w w:val="95"/>
        </w:rPr>
        <w:t>（十八）严重脑损伤</w:t>
      </w:r>
    </w:p>
    <w:p>
      <w:pPr>
        <w:pStyle w:val="BodyText"/>
        <w:spacing w:line="273" w:lineRule="auto"/>
        <w:ind w:left="1962" w:right="136" w:firstLine="431"/>
        <w:jc w:val="both"/>
      </w:pPr>
      <w:r>
        <w:rPr>
          <w:spacing w:val="-3"/>
        </w:rPr>
        <w:t>指因头部遭受机械性外力，引起脑重要部位损伤，导致神经系统永久性的功能障碍。须由头颅断层扫描</w:t>
      </w:r>
      <w:r>
        <w:rPr>
          <w:spacing w:val="-1"/>
        </w:rPr>
        <w:t>（CT</w:t>
      </w:r>
      <w:r>
        <w:rPr>
          <w:spacing w:val="-106"/>
        </w:rPr>
        <w:t>）</w:t>
      </w:r>
      <w:r>
        <w:rPr>
          <w:spacing w:val="-3"/>
        </w:rPr>
        <w:t>、核磁共振检查</w:t>
      </w:r>
      <w:r>
        <w:rPr/>
        <w:t>（MRI</w:t>
      </w:r>
      <w:r>
        <w:rPr>
          <w:spacing w:val="-5"/>
        </w:rPr>
        <w:t>）</w:t>
      </w:r>
      <w:r>
        <w:rPr/>
        <w:t>或正电子发射断层扫描（PET）</w:t>
      </w:r>
      <w:r>
        <w:rPr>
          <w:spacing w:val="1"/>
        </w:rPr>
        <w:t>等影像学检查证实。神经系统永久性的功能障碍，指脑损伤 </w:t>
      </w:r>
      <w:r>
        <w:rPr/>
        <w:t>180 天后，仍遗留下列一种或一种以上障碍：</w:t>
      </w:r>
    </w:p>
    <w:p>
      <w:pPr>
        <w:pStyle w:val="BodyText"/>
        <w:spacing w:before="7"/>
        <w:ind w:left="1962"/>
      </w:pPr>
      <w:r>
        <w:rPr/>
        <w:t>（1）一肢或一肢以上肢体机能完全丧失；</w:t>
      </w:r>
    </w:p>
    <w:p>
      <w:pPr>
        <w:pStyle w:val="BodyText"/>
        <w:spacing w:before="36"/>
        <w:ind w:left="1962"/>
      </w:pPr>
      <w:r>
        <w:rPr/>
        <w:t>（2）语言能力或咀嚼吞咽能力完全丧失；</w:t>
      </w:r>
    </w:p>
    <w:p>
      <w:pPr>
        <w:pStyle w:val="BodyText"/>
        <w:spacing w:line="273" w:lineRule="auto" w:before="36"/>
        <w:ind w:left="1962" w:right="136"/>
      </w:pPr>
      <w:r>
        <w:rPr/>
        <w:t>（3）自主生活能力完全丧失，无法独立完成六项基本日常生活活动中的三项或三项以上。</w:t>
      </w:r>
    </w:p>
    <w:p>
      <w:pPr>
        <w:pStyle w:val="BodyText"/>
        <w:spacing w:before="5"/>
        <w:rPr>
          <w:sz w:val="24"/>
        </w:rPr>
      </w:pPr>
    </w:p>
    <w:p>
      <w:pPr>
        <w:pStyle w:val="Heading3"/>
      </w:pPr>
      <w:r>
        <w:rPr>
          <w:w w:val="95"/>
        </w:rPr>
        <w:t>（十九）严重帕金森病</w:t>
      </w:r>
    </w:p>
    <w:p>
      <w:pPr>
        <w:pStyle w:val="BodyText"/>
        <w:spacing w:line="273" w:lineRule="auto"/>
        <w:ind w:left="1962" w:right="108" w:firstLine="431"/>
        <w:jc w:val="both"/>
      </w:pPr>
      <w:r>
        <w:rPr/>
        <w:t>指一种中枢神经系统的退行性疾病，临床表现为震颤麻痹、共济失调等。须满足下列全部条件：</w:t>
      </w:r>
    </w:p>
    <w:p>
      <w:pPr>
        <w:pStyle w:val="BodyText"/>
        <w:spacing w:before="7"/>
        <w:ind w:left="1962"/>
      </w:pPr>
      <w:r>
        <w:rPr/>
        <w:t>（1）药物治疗无法控制病情；</w:t>
      </w:r>
    </w:p>
    <w:p>
      <w:pPr>
        <w:pStyle w:val="BodyText"/>
        <w:spacing w:line="273" w:lineRule="auto" w:before="36"/>
        <w:ind w:left="1962" w:right="136"/>
      </w:pPr>
      <w:r>
        <w:rPr/>
        <w:t>（2）自主生活能力完全丧失，无法独立完成六项基本日常生活活动中的三项或三项以上。</w:t>
      </w:r>
    </w:p>
    <w:p>
      <w:pPr>
        <w:pStyle w:val="BodyText"/>
        <w:spacing w:before="7"/>
        <w:ind w:left="2682"/>
      </w:pPr>
      <w:r>
        <w:rPr/>
        <w:t>继发性帕金森综合征不在保障范围内。</w:t>
      </w:r>
    </w:p>
    <w:p>
      <w:pPr>
        <w:pStyle w:val="BodyText"/>
        <w:spacing w:before="8"/>
        <w:rPr>
          <w:sz w:val="26"/>
        </w:rPr>
      </w:pPr>
    </w:p>
    <w:p>
      <w:pPr>
        <w:pStyle w:val="Heading3"/>
      </w:pPr>
      <w:r>
        <w:rPr/>
        <w:t>（二十）严重 III 度烧伤</w:t>
      </w:r>
    </w:p>
    <w:p>
      <w:pPr>
        <w:pStyle w:val="BodyText"/>
        <w:spacing w:line="273" w:lineRule="auto" w:before="36"/>
        <w:ind w:left="1962" w:right="137" w:firstLine="431"/>
        <w:jc w:val="both"/>
      </w:pPr>
      <w:r>
        <w:rPr>
          <w:spacing w:val="-1"/>
        </w:rPr>
        <w:t>指烧伤程度为Ⅲ度，且Ⅲ度烧伤面积达到全身体表面积的 </w:t>
      </w:r>
      <w:r>
        <w:rPr/>
        <w:t>20％</w:t>
      </w:r>
      <w:r>
        <w:rPr>
          <w:spacing w:val="-9"/>
        </w:rPr>
        <w:t>或 </w:t>
      </w:r>
      <w:r>
        <w:rPr/>
        <w:t>20％以</w:t>
      </w:r>
      <w:r>
        <w:rPr>
          <w:spacing w:val="-1"/>
        </w:rPr>
        <w:t>上。体表面积根据 《中国新九分法》计算。</w:t>
      </w:r>
    </w:p>
    <w:p>
      <w:pPr>
        <w:pStyle w:val="BodyText"/>
        <w:spacing w:before="5"/>
        <w:rPr>
          <w:sz w:val="24"/>
        </w:rPr>
      </w:pPr>
    </w:p>
    <w:p>
      <w:pPr>
        <w:pStyle w:val="Heading3"/>
      </w:pPr>
      <w:r>
        <w:rPr>
          <w:w w:val="95"/>
        </w:rPr>
        <w:t>（二十一）严重原发性肺动脉高压</w:t>
      </w:r>
    </w:p>
    <w:p>
      <w:pPr>
        <w:pStyle w:val="BodyText"/>
        <w:spacing w:line="273" w:lineRule="auto"/>
        <w:ind w:left="1962" w:right="138" w:firstLine="431"/>
        <w:jc w:val="both"/>
      </w:pPr>
      <w:r>
        <w:rPr>
          <w:spacing w:val="-2"/>
        </w:rPr>
        <w:t>指不明原因的肺动脉压力持续性增高，进行性发展而导致的慢性疾病，已</w:t>
      </w:r>
      <w:r>
        <w:rPr>
          <w:spacing w:val="-3"/>
        </w:rPr>
        <w:t>经造成永久不可逆性的体力活动能力受限，达到美国纽约心脏病学会心功能状</w:t>
      </w:r>
      <w:r>
        <w:rPr>
          <w:spacing w:val="-18"/>
        </w:rPr>
        <w:t>态分级 </w:t>
      </w:r>
      <w:r>
        <w:rPr/>
        <w:t>IV</w:t>
      </w:r>
      <w:r>
        <w:rPr>
          <w:spacing w:val="-12"/>
        </w:rPr>
        <w:t> 级，静息状态下肺动脉平均压超过 </w:t>
      </w:r>
      <w:r>
        <w:rPr/>
        <w:t>30mmHg。</w:t>
      </w:r>
    </w:p>
    <w:p>
      <w:pPr>
        <w:pStyle w:val="BodyText"/>
        <w:spacing w:before="5"/>
        <w:rPr>
          <w:sz w:val="24"/>
        </w:rPr>
      </w:pPr>
    </w:p>
    <w:p>
      <w:pPr>
        <w:pStyle w:val="Heading3"/>
        <w:spacing w:before="1"/>
        <w:ind w:left="1961"/>
      </w:pPr>
      <w:r>
        <w:rPr>
          <w:w w:val="95"/>
        </w:rPr>
        <w:t>（二十二）严重运动神经元病</w:t>
      </w:r>
    </w:p>
    <w:p>
      <w:pPr>
        <w:pStyle w:val="BodyText"/>
        <w:spacing w:line="273" w:lineRule="auto"/>
        <w:ind w:left="1961" w:right="138" w:firstLine="431"/>
        <w:jc w:val="both"/>
      </w:pPr>
      <w:r>
        <w:rPr>
          <w:spacing w:val="-2"/>
        </w:rPr>
        <w:t>是一组中枢神经系统运动神经元的进行性变性疾病，包括进行性脊肌萎缩</w:t>
      </w:r>
      <w:r>
        <w:rPr>
          <w:spacing w:val="-5"/>
        </w:rPr>
        <w:t>症、进行性延髓麻痹症、原发性侧索硬化症、肌萎缩性侧索硬化症。须满足自</w:t>
      </w:r>
    </w:p>
    <w:p>
      <w:pPr>
        <w:spacing w:after="0" w:line="273" w:lineRule="auto"/>
        <w:jc w:val="both"/>
        <w:sectPr>
          <w:pgSz w:w="11910" w:h="16840"/>
          <w:pgMar w:top="1100" w:bottom="280" w:left="1680" w:right="1000"/>
        </w:sectPr>
      </w:pPr>
    </w:p>
    <w:p>
      <w:pPr>
        <w:pStyle w:val="BodyText"/>
        <w:spacing w:line="273" w:lineRule="auto" w:before="19"/>
        <w:ind w:left="1962" w:right="92"/>
      </w:pPr>
      <w:r>
        <w:rPr/>
        <w:t>主生活能力完全丧失，无法独立完成六项基本日常生活活动中的三项或三项以上。</w:t>
      </w:r>
    </w:p>
    <w:p>
      <w:pPr>
        <w:pStyle w:val="BodyText"/>
        <w:spacing w:before="5"/>
        <w:rPr>
          <w:sz w:val="24"/>
        </w:rPr>
      </w:pPr>
    </w:p>
    <w:p>
      <w:pPr>
        <w:pStyle w:val="Heading3"/>
      </w:pPr>
      <w:r>
        <w:rPr>
          <w:w w:val="95"/>
        </w:rPr>
        <w:t>（二十三）语言能力丧失</w:t>
      </w:r>
    </w:p>
    <w:p>
      <w:pPr>
        <w:pStyle w:val="BodyText"/>
        <w:spacing w:before="36"/>
        <w:ind w:left="2393"/>
      </w:pPr>
      <w:r>
        <w:rPr/>
        <w:t>指因疾病或意外伤害导致完全丧失语言能力，经过积极治疗至少 12 个月</w:t>
      </w:r>
    </w:p>
    <w:p>
      <w:pPr>
        <w:pStyle w:val="BodyText"/>
        <w:spacing w:line="273" w:lineRule="auto" w:before="36"/>
        <w:ind w:left="2394" w:right="1065"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7"/>
        <w:rPr>
          <w:sz w:val="26"/>
        </w:rPr>
      </w:pPr>
    </w:p>
    <w:p>
      <w:pPr>
        <w:pStyle w:val="Heading3"/>
      </w:pPr>
      <w:r>
        <w:rPr>
          <w:w w:val="95"/>
        </w:rPr>
        <w:t>（二十四）重型再生障碍性贫血</w:t>
      </w:r>
    </w:p>
    <w:p>
      <w:pPr>
        <w:pStyle w:val="BodyText"/>
        <w:spacing w:line="273" w:lineRule="auto" w:before="36"/>
        <w:ind w:left="1962" w:right="87" w:firstLine="431"/>
      </w:pPr>
      <w:r>
        <w:rPr/>
        <w:t>指因骨髓造血功能慢性持续性衰竭导致的贫血、中性粒细胞减少及血小板减少，须满足下列全部条件：</w:t>
      </w:r>
    </w:p>
    <w:p>
      <w:pPr>
        <w:pStyle w:val="BodyText"/>
        <w:spacing w:before="7"/>
        <w:ind w:left="1962"/>
      </w:pPr>
      <w:r>
        <w:rPr/>
        <w:t>（1）骨髓穿刺检查或骨髓活检结果支持诊断；</w:t>
      </w:r>
    </w:p>
    <w:p>
      <w:pPr>
        <w:pStyle w:val="BodyText"/>
        <w:ind w:left="1962"/>
      </w:pPr>
      <w:r>
        <w:rPr/>
        <w:t>（2）外周血象必须具备以下三项条件：</w:t>
      </w:r>
    </w:p>
    <w:p>
      <w:pPr>
        <w:pStyle w:val="BodyText"/>
        <w:ind w:left="2606" w:right="3168"/>
        <w:jc w:val="center"/>
      </w:pPr>
      <w:r>
        <w:rPr/>
        <w:t>① 中性粒细胞绝对值≤0.5×10</w:t>
      </w:r>
      <w:r>
        <w:rPr>
          <w:position w:val="11"/>
          <w:sz w:val="11"/>
        </w:rPr>
        <w:t>9</w:t>
      </w:r>
      <w:r>
        <w:rPr/>
        <w:t>/L；</w:t>
      </w:r>
    </w:p>
    <w:p>
      <w:pPr>
        <w:pStyle w:val="BodyText"/>
        <w:ind w:left="2622"/>
      </w:pPr>
      <w:r>
        <w:rPr/>
        <w:t>② 网织红细胞＜1%；</w:t>
      </w:r>
    </w:p>
    <w:p>
      <w:pPr>
        <w:pStyle w:val="BodyText"/>
        <w:ind w:left="2622"/>
      </w:pPr>
      <w:r>
        <w:rPr/>
        <w:t>③ 血小板绝对值≤20×10</w:t>
      </w:r>
      <w:r>
        <w:rPr>
          <w:position w:val="11"/>
          <w:sz w:val="11"/>
        </w:rPr>
        <w:t>9</w:t>
      </w:r>
      <w:r>
        <w:rPr/>
        <w:t>/L。</w:t>
      </w:r>
    </w:p>
    <w:p>
      <w:pPr>
        <w:pStyle w:val="BodyText"/>
        <w:spacing w:before="8"/>
        <w:rPr>
          <w:sz w:val="26"/>
        </w:rPr>
      </w:pPr>
    </w:p>
    <w:p>
      <w:pPr>
        <w:pStyle w:val="Heading3"/>
        <w:ind w:left="1961"/>
      </w:pPr>
      <w:r>
        <w:rPr>
          <w:w w:val="95"/>
        </w:rPr>
        <w:t>（二十五）主动脉手术</w:t>
      </w:r>
    </w:p>
    <w:p>
      <w:pPr>
        <w:pStyle w:val="BodyText"/>
        <w:spacing w:line="273" w:lineRule="auto" w:before="36"/>
        <w:ind w:left="1961" w:right="138" w:firstLine="431"/>
        <w:jc w:val="both"/>
      </w:pPr>
      <w:r>
        <w:rPr>
          <w:spacing w:val="-3"/>
        </w:rPr>
        <w:t>指为治疗主动脉疾病，实际实施了开胸或开腹进行的切除、置换、修补病</w:t>
      </w:r>
      <w:r>
        <w:rPr>
          <w:spacing w:val="-5"/>
        </w:rPr>
        <w:t>损主动脉血管的手术。主动脉指胸主动脉和腹主动脉，不包括胸主动脉和腹主</w:t>
      </w:r>
      <w:r>
        <w:rPr>
          <w:spacing w:val="-1"/>
        </w:rPr>
        <w:t>动脉的分支血管。</w:t>
      </w:r>
    </w:p>
    <w:p>
      <w:pPr>
        <w:pStyle w:val="BodyText"/>
        <w:spacing w:before="7"/>
        <w:ind w:left="2393"/>
      </w:pPr>
      <w:r>
        <w:rPr/>
        <w:t>动脉内血管成形术不在保障范围内。</w:t>
      </w:r>
    </w:p>
    <w:p>
      <w:pPr>
        <w:pStyle w:val="BodyText"/>
        <w:spacing w:before="8"/>
        <w:rPr>
          <w:sz w:val="26"/>
        </w:rPr>
      </w:pPr>
    </w:p>
    <w:p>
      <w:pPr>
        <w:pStyle w:val="BodyText"/>
        <w:spacing w:line="273" w:lineRule="auto" w:before="0"/>
        <w:ind w:left="1961" w:right="132"/>
      </w:pPr>
      <w:r>
        <w:rPr/>
        <w:t>以下重大疾病定义是本公司在中国保险行业协会与中国医师协会共同制定的重大疾病保险的疾病种类范围以外增加的疾病定义。</w:t>
      </w:r>
    </w:p>
    <w:p>
      <w:pPr>
        <w:pStyle w:val="BodyText"/>
        <w:spacing w:before="4"/>
        <w:rPr>
          <w:sz w:val="24"/>
        </w:rPr>
      </w:pPr>
    </w:p>
    <w:p>
      <w:pPr>
        <w:pStyle w:val="Heading3"/>
        <w:spacing w:before="1"/>
        <w:ind w:left="1961"/>
      </w:pPr>
      <w:r>
        <w:rPr>
          <w:w w:val="95"/>
        </w:rPr>
        <w:t>（二十六）慢性呼吸功能衰竭</w:t>
      </w:r>
    </w:p>
    <w:p>
      <w:pPr>
        <w:pStyle w:val="BodyText"/>
        <w:spacing w:line="273" w:lineRule="auto"/>
        <w:ind w:left="1961" w:right="87" w:firstLine="431"/>
      </w:pPr>
      <w:r>
        <w:rPr/>
        <w:t>慢性肺部疾病导致永久不可逆性的慢性呼吸功能衰竭，必须由呼吸专科医师确认并符合下列所有条件：</w:t>
      </w:r>
    </w:p>
    <w:p>
      <w:pPr>
        <w:pStyle w:val="BodyText"/>
        <w:spacing w:before="7"/>
        <w:ind w:left="2393"/>
      </w:pPr>
      <w:r>
        <w:rPr/>
        <w:t>（1）休息时出现呼吸困难；</w:t>
      </w:r>
    </w:p>
    <w:p>
      <w:pPr>
        <w:pStyle w:val="BodyText"/>
        <w:spacing w:before="36"/>
        <w:ind w:left="2393"/>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ind w:left="2393"/>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393"/>
      </w:pPr>
      <w:r>
        <w:rPr/>
        <w:t>（4）因缺氧必须接受持续的输氧治疗。</w:t>
      </w:r>
    </w:p>
    <w:p>
      <w:pPr>
        <w:pStyle w:val="BodyText"/>
        <w:spacing w:before="8"/>
        <w:rPr>
          <w:sz w:val="26"/>
        </w:rPr>
      </w:pPr>
    </w:p>
    <w:p>
      <w:pPr>
        <w:pStyle w:val="Heading3"/>
      </w:pPr>
      <w:r>
        <w:rPr>
          <w:w w:val="95"/>
        </w:rPr>
        <w:t>（二十七）严重多发性硬化</w:t>
      </w:r>
    </w:p>
    <w:p>
      <w:pPr>
        <w:pStyle w:val="BodyText"/>
        <w:spacing w:line="273" w:lineRule="auto"/>
        <w:ind w:left="1962" w:right="108"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8"/>
        <w:ind w:left="2393"/>
      </w:pPr>
      <w:r>
        <w:rPr/>
        <w:t>（1）移动：自己从一个房间移动到另一个房间；或者</w:t>
      </w:r>
    </w:p>
    <w:p>
      <w:pPr>
        <w:pStyle w:val="BodyText"/>
        <w:ind w:left="2393"/>
      </w:pPr>
      <w:r>
        <w:rPr/>
        <w:t>（2）进食：自己从已准备好的碗或碟中取食物放入口中。</w:t>
      </w:r>
    </w:p>
    <w:p>
      <w:pPr>
        <w:pStyle w:val="BodyText"/>
        <w:spacing w:before="8"/>
        <w:rPr>
          <w:sz w:val="26"/>
        </w:rPr>
      </w:pPr>
    </w:p>
    <w:p>
      <w:pPr>
        <w:pStyle w:val="Heading3"/>
      </w:pPr>
      <w:r>
        <w:rPr>
          <w:w w:val="95"/>
        </w:rPr>
        <w:t>（二十八）严重冠心病</w:t>
      </w:r>
    </w:p>
    <w:p>
      <w:pPr>
        <w:pStyle w:val="BodyText"/>
        <w:spacing w:line="273" w:lineRule="auto" w:before="36"/>
        <w:ind w:left="1962" w:right="136" w:firstLine="431"/>
        <w:jc w:val="both"/>
      </w:pPr>
      <w:r>
        <w:rPr>
          <w:spacing w:val="-2"/>
        </w:rPr>
        <w:t>指经心脏科专科医师根据冠状动脉造影检查结果确诊的三支主要血管</w:t>
      </w:r>
      <w:r>
        <w:rPr/>
        <w:t>（左</w:t>
      </w:r>
      <w:r>
        <w:rPr>
          <w:spacing w:val="-2"/>
        </w:rPr>
        <w:t>冠状动脉主干和右冠状动脉，或前降支、左旋支和右冠状动脉</w:t>
      </w:r>
      <w:r>
        <w:rPr>
          <w:spacing w:val="-7"/>
        </w:rPr>
        <w:t>）</w:t>
      </w:r>
      <w:r>
        <w:rPr/>
        <w:t>严重狭窄性病变（</w:t>
      </w:r>
      <w:r>
        <w:rPr>
          <w:spacing w:val="-1"/>
        </w:rPr>
        <w:t>至少一支血管管腔直径减少 </w:t>
      </w:r>
      <w:r>
        <w:rPr/>
        <w:t>75％</w:t>
      </w:r>
      <w:r>
        <w:rPr>
          <w:spacing w:val="-1"/>
        </w:rPr>
        <w:t>以上和其他两支血管管腔直径减少 </w:t>
      </w:r>
      <w:r>
        <w:rPr/>
        <w:t>60％ 以上</w:t>
      </w:r>
      <w:r>
        <w:rPr>
          <w:spacing w:val="-102"/>
        </w:rPr>
        <w:t>）</w:t>
      </w:r>
      <w:r>
        <w:rPr/>
        <w:t>。前降支、左旋支及右冠状动脉的分支血管的狭窄不作为本保障的衡量</w:t>
      </w:r>
    </w:p>
    <w:p>
      <w:pPr>
        <w:spacing w:after="0" w:line="273" w:lineRule="auto"/>
        <w:jc w:val="both"/>
        <w:sectPr>
          <w:pgSz w:w="11910" w:h="16840"/>
          <w:pgMar w:top="1100" w:bottom="280" w:left="1680" w:right="1000"/>
        </w:sectPr>
      </w:pPr>
    </w:p>
    <w:p>
      <w:pPr>
        <w:pStyle w:val="BodyText"/>
        <w:spacing w:before="19"/>
        <w:ind w:left="1962"/>
      </w:pPr>
      <w:r>
        <w:rPr/>
        <w:t>指标。</w:t>
      </w:r>
    </w:p>
    <w:p>
      <w:pPr>
        <w:pStyle w:val="BodyText"/>
        <w:spacing w:before="8"/>
        <w:rPr>
          <w:sz w:val="26"/>
        </w:rPr>
      </w:pPr>
    </w:p>
    <w:p>
      <w:pPr>
        <w:pStyle w:val="Heading3"/>
        <w:spacing w:before="1"/>
      </w:pPr>
      <w:r>
        <w:rPr>
          <w:w w:val="95"/>
        </w:rPr>
        <w:t>（二十九）严重心肌病</w:t>
      </w:r>
    </w:p>
    <w:p>
      <w:pPr>
        <w:pStyle w:val="BodyText"/>
        <w:spacing w:line="273" w:lineRule="auto"/>
        <w:ind w:left="1962" w:right="108" w:firstLine="431"/>
        <w:jc w:val="both"/>
      </w:pPr>
      <w:r>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5"/>
        <w:rPr>
          <w:sz w:val="24"/>
        </w:rPr>
      </w:pPr>
    </w:p>
    <w:p>
      <w:pPr>
        <w:pStyle w:val="Heading3"/>
      </w:pPr>
      <w:r>
        <w:rPr/>
        <w:t>（三十）系统性红斑狼疮 － III 型或 III 型以上狼疮性肾炎</w:t>
      </w:r>
    </w:p>
    <w:p>
      <w:pPr>
        <w:pStyle w:val="BodyText"/>
        <w:spacing w:line="273" w:lineRule="auto"/>
        <w:ind w:left="1962" w:right="87" w:firstLine="431"/>
      </w:pPr>
      <w:r>
        <w:rPr/>
        <w:t>系统性红斑狼疮是由多种因素引起，累及多系统的自身免疫性疾病。其特点是生成自身抗体对抗多种自身抗原。多见于育龄妇女。</w:t>
      </w:r>
    </w:p>
    <w:p>
      <w:pPr>
        <w:pStyle w:val="BodyText"/>
        <w:spacing w:before="8"/>
        <w:ind w:left="2393"/>
      </w:pPr>
      <w:r>
        <w:rPr/>
        <w:t>本保单所指的系统性红斑狼疮仅限于累及肾脏（经肾脏活检确认的，符合</w:t>
      </w:r>
    </w:p>
    <w:p>
      <w:pPr>
        <w:pStyle w:val="BodyText"/>
        <w:spacing w:line="273" w:lineRule="auto"/>
        <w:ind w:left="1962" w:right="139"/>
        <w:jc w:val="both"/>
      </w:pPr>
      <w:r>
        <w:rPr/>
        <w:t>WHO</w:t>
      </w:r>
      <w:r>
        <w:rPr>
          <w:spacing w:val="-16"/>
        </w:rPr>
        <w:t> 诊断标准定义 </w:t>
      </w:r>
      <w:r>
        <w:rPr/>
        <w:t>III</w:t>
      </w:r>
      <w:r>
        <w:rPr>
          <w:spacing w:val="-30"/>
        </w:rPr>
        <w:t> 型或 </w:t>
      </w:r>
      <w:r>
        <w:rPr/>
        <w:t>III</w:t>
      </w:r>
      <w:r>
        <w:rPr>
          <w:spacing w:val="-8"/>
        </w:rPr>
        <w:t> 型以上狼疮性肾炎</w:t>
      </w:r>
      <w:r>
        <w:rPr/>
        <w:t>）的系统性红斑狼疮。其他</w:t>
      </w:r>
      <w:r>
        <w:rPr>
          <w:spacing w:val="-2"/>
        </w:rPr>
        <w:t>类型的红斑性狼疮，如盘状狼疮、仅累及血液及关节的狼疮不在本保单保障范围內。</w:t>
      </w:r>
    </w:p>
    <w:p>
      <w:pPr>
        <w:pStyle w:val="BodyText"/>
        <w:spacing w:before="7"/>
        <w:ind w:left="2393"/>
      </w:pPr>
      <w:r>
        <w:rPr/>
        <w:t>本病必须由免疫和风湿科专家医师确诊。</w:t>
      </w:r>
    </w:p>
    <w:p>
      <w:pPr>
        <w:pStyle w:val="BodyText"/>
        <w:spacing w:before="8"/>
        <w:rPr>
          <w:sz w:val="26"/>
        </w:rPr>
      </w:pPr>
    </w:p>
    <w:p>
      <w:pPr>
        <w:pStyle w:val="BodyText"/>
        <w:spacing w:before="0"/>
        <w:ind w:left="1962"/>
      </w:pPr>
      <w:r>
        <w:rPr>
          <w:u w:val="single"/>
        </w:rPr>
        <w:t>世界卫生组织（WHO）狼疮性肾炎分型：</w:t>
      </w:r>
    </w:p>
    <w:p>
      <w:pPr>
        <w:pStyle w:val="ListParagraph"/>
        <w:numPr>
          <w:ilvl w:val="0"/>
          <w:numId w:val="14"/>
        </w:numPr>
        <w:tabs>
          <w:tab w:pos="2509" w:val="left" w:leader="none"/>
          <w:tab w:pos="4020" w:val="left" w:leader="none"/>
        </w:tabs>
        <w:spacing w:line="240" w:lineRule="auto" w:before="37" w:after="0"/>
        <w:ind w:left="2508" w:right="0" w:hanging="210"/>
        <w:jc w:val="left"/>
        <w:rPr>
          <w:sz w:val="21"/>
        </w:rPr>
      </w:pPr>
      <w:r>
        <w:rPr>
          <w:sz w:val="21"/>
        </w:rPr>
        <w:t>型</w:t>
        <w:tab/>
        <w:t>微小病变型</w:t>
      </w:r>
    </w:p>
    <w:p>
      <w:pPr>
        <w:pStyle w:val="ListParagraph"/>
        <w:numPr>
          <w:ilvl w:val="0"/>
          <w:numId w:val="14"/>
        </w:numPr>
        <w:tabs>
          <w:tab w:pos="2490" w:val="left" w:leader="none"/>
          <w:tab w:pos="4020" w:val="left" w:leader="none"/>
        </w:tabs>
        <w:spacing w:line="240" w:lineRule="auto" w:before="37" w:after="0"/>
        <w:ind w:left="2489" w:right="0" w:hanging="315"/>
        <w:jc w:val="left"/>
        <w:rPr>
          <w:sz w:val="21"/>
        </w:rPr>
      </w:pPr>
      <w:r>
        <w:rPr>
          <w:sz w:val="21"/>
        </w:rPr>
        <w:t>型</w:t>
        <w:tab/>
        <w:t>系膜病变型</w:t>
      </w:r>
    </w:p>
    <w:p>
      <w:pPr>
        <w:pStyle w:val="ListParagraph"/>
        <w:numPr>
          <w:ilvl w:val="0"/>
          <w:numId w:val="14"/>
        </w:numPr>
        <w:tabs>
          <w:tab w:pos="2509" w:val="left" w:leader="none"/>
          <w:tab w:pos="4020" w:val="left" w:leader="none"/>
        </w:tabs>
        <w:spacing w:line="240" w:lineRule="auto" w:before="37" w:after="0"/>
        <w:ind w:left="2508" w:right="0" w:hanging="420"/>
        <w:jc w:val="left"/>
        <w:rPr>
          <w:sz w:val="21"/>
        </w:rPr>
      </w:pPr>
      <w:r>
        <w:rPr>
          <w:sz w:val="21"/>
        </w:rPr>
        <w:t>型</w:t>
        <w:tab/>
        <w:t>局灶及节段增生型</w:t>
      </w:r>
    </w:p>
    <w:p>
      <w:pPr>
        <w:pStyle w:val="ListParagraph"/>
        <w:numPr>
          <w:ilvl w:val="0"/>
          <w:numId w:val="14"/>
        </w:numPr>
        <w:tabs>
          <w:tab w:pos="2490" w:val="left" w:leader="none"/>
          <w:tab w:pos="4020" w:val="left" w:leader="none"/>
        </w:tabs>
        <w:spacing w:line="240" w:lineRule="auto" w:before="37" w:after="0"/>
        <w:ind w:left="2489" w:right="0" w:hanging="315"/>
        <w:jc w:val="left"/>
        <w:rPr>
          <w:sz w:val="21"/>
        </w:rPr>
      </w:pPr>
      <w:r>
        <w:rPr>
          <w:sz w:val="21"/>
        </w:rPr>
        <w:t>型</w:t>
        <w:tab/>
        <w:t>弥漫增生型</w:t>
      </w:r>
    </w:p>
    <w:p>
      <w:pPr>
        <w:pStyle w:val="ListParagraph"/>
        <w:numPr>
          <w:ilvl w:val="0"/>
          <w:numId w:val="14"/>
        </w:numPr>
        <w:tabs>
          <w:tab w:pos="2509" w:val="left" w:leader="none"/>
          <w:tab w:pos="4020" w:val="left" w:leader="none"/>
        </w:tabs>
        <w:spacing w:line="240" w:lineRule="auto" w:before="37" w:after="0"/>
        <w:ind w:left="2508" w:right="0" w:hanging="210"/>
        <w:jc w:val="left"/>
        <w:rPr>
          <w:sz w:val="21"/>
        </w:rPr>
      </w:pPr>
      <w:r>
        <w:rPr>
          <w:sz w:val="21"/>
        </w:rPr>
        <w:t>型</w:t>
        <w:tab/>
        <w:t>膜型</w:t>
      </w:r>
    </w:p>
    <w:p>
      <w:pPr>
        <w:pStyle w:val="ListParagraph"/>
        <w:numPr>
          <w:ilvl w:val="0"/>
          <w:numId w:val="14"/>
        </w:numPr>
        <w:tabs>
          <w:tab w:pos="2490" w:val="left" w:leader="none"/>
          <w:tab w:pos="4020" w:val="left" w:leader="none"/>
        </w:tabs>
        <w:spacing w:line="240" w:lineRule="auto" w:before="37" w:after="0"/>
        <w:ind w:left="2489" w:right="0" w:hanging="315"/>
        <w:jc w:val="left"/>
        <w:rPr>
          <w:sz w:val="21"/>
        </w:rPr>
      </w:pPr>
      <w:r>
        <w:rPr>
          <w:sz w:val="21"/>
        </w:rPr>
        <w:t>型</w:t>
        <w:tab/>
        <w:t>肾小球硬化型</w:t>
      </w:r>
    </w:p>
    <w:p>
      <w:pPr>
        <w:pStyle w:val="BodyText"/>
        <w:spacing w:before="8"/>
        <w:rPr>
          <w:sz w:val="26"/>
        </w:rPr>
      </w:pPr>
    </w:p>
    <w:p>
      <w:pPr>
        <w:pStyle w:val="Heading3"/>
      </w:pPr>
      <w:r>
        <w:rPr>
          <w:w w:val="95"/>
        </w:rPr>
        <w:t>（三十一）经输血导致的人类免疫缺陷病毒感染</w:t>
      </w:r>
    </w:p>
    <w:p>
      <w:pPr>
        <w:pStyle w:val="BodyText"/>
        <w:spacing w:before="36"/>
        <w:ind w:left="2394"/>
      </w:pPr>
      <w:r>
        <w:rPr/>
        <w:t>被保险人感染上人类免疫缺陷病毒（HIV）并且满足下列全部条件：</w:t>
      </w:r>
    </w:p>
    <w:p>
      <w:pPr>
        <w:pStyle w:val="BodyText"/>
        <w:spacing w:before="36"/>
        <w:ind w:left="2387"/>
      </w:pPr>
      <w:r>
        <w:rPr/>
        <w:t>（1）在保障起始日或复效日之后，被保险人因输血而感染 HIV；</w:t>
      </w:r>
    </w:p>
    <w:p>
      <w:pPr>
        <w:pStyle w:val="BodyText"/>
        <w:spacing w:line="273" w:lineRule="auto" w:before="36"/>
        <w:ind w:left="1961" w:right="137" w:firstLine="426"/>
      </w:pPr>
      <w:r>
        <w:rPr/>
        <w:t>（2）提供输血治疗的输血中心或医院出具该项输血感染属医疗责任事故的报告，或者法院终审裁定为医疗责任并且不准上诉；</w:t>
      </w:r>
    </w:p>
    <w:p>
      <w:pPr>
        <w:pStyle w:val="BodyText"/>
        <w:spacing w:before="7"/>
        <w:ind w:left="2387"/>
      </w:pPr>
      <w:r>
        <w:rPr/>
        <w:t>（3）受感染的被保险人不是血友病患者。</w:t>
      </w:r>
    </w:p>
    <w:p>
      <w:pPr>
        <w:pStyle w:val="BodyText"/>
        <w:spacing w:line="273" w:lineRule="auto"/>
        <w:ind w:left="1961" w:right="137" w:firstLine="426"/>
      </w:pPr>
      <w:r>
        <w:rPr>
          <w:spacing w:val="-2"/>
        </w:rPr>
        <w:t>在任何治愈艾滋病</w:t>
      </w:r>
      <w:r>
        <w:rPr/>
        <w:t>（AIDS）</w:t>
      </w:r>
      <w:r>
        <w:rPr>
          <w:spacing w:val="-15"/>
        </w:rPr>
        <w:t>或阻止 </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8"/>
        <w:ind w:left="1961" w:right="138" w:firstLine="426"/>
        <w:jc w:val="both"/>
      </w:pPr>
      <w:r>
        <w:rPr>
          <w:spacing w:val="-1"/>
        </w:rPr>
        <w:t>任何因其他传播方式</w:t>
      </w:r>
      <w:r>
        <w:rPr/>
        <w:t>（</w:t>
      </w:r>
      <w:r>
        <w:rPr>
          <w:spacing w:val="-3"/>
        </w:rPr>
        <w:t>包括：性传播或静脉注射毒品</w:t>
      </w:r>
      <w:r>
        <w:rPr>
          <w:spacing w:val="-9"/>
        </w:rPr>
        <w:t>）</w:t>
      </w:r>
      <w:r>
        <w:rPr>
          <w:spacing w:val="-14"/>
        </w:rPr>
        <w:t>导致的 </w:t>
      </w:r>
      <w:r>
        <w:rPr/>
        <w:t>HIV</w:t>
      </w:r>
      <w:r>
        <w:rPr>
          <w:spacing w:val="-14"/>
        </w:rPr>
        <w:t> 感染不</w:t>
      </w:r>
      <w:r>
        <w:rPr>
          <w:spacing w:val="-12"/>
        </w:rPr>
        <w:t>在本保单保障范围内。保险公司必须拥有获得使用被保险人的所有血液样本的权利和能够对这些样本进行独立检验的权利。</w:t>
      </w:r>
    </w:p>
    <w:p>
      <w:pPr>
        <w:pStyle w:val="BodyText"/>
        <w:spacing w:before="5"/>
        <w:rPr>
          <w:sz w:val="24"/>
        </w:rPr>
      </w:pPr>
    </w:p>
    <w:p>
      <w:pPr>
        <w:pStyle w:val="Heading3"/>
        <w:spacing w:before="1"/>
        <w:ind w:left="1961"/>
      </w:pPr>
      <w:r>
        <w:rPr>
          <w:w w:val="95"/>
        </w:rPr>
        <w:t>（三十二）因职业关系导致的人类免疫缺陷病毒（HIV）感染</w:t>
      </w:r>
    </w:p>
    <w:p>
      <w:pPr>
        <w:pStyle w:val="BodyText"/>
        <w:spacing w:line="273" w:lineRule="auto"/>
        <w:ind w:left="1961" w:right="87" w:firstLine="431"/>
      </w:pPr>
      <w:r>
        <w:rPr/>
        <w:t>被保险人在其常规职业工作过程中遭遇外伤，或者职业需要处理血液或者其他体液时感染上人类免疫缺陷病毒（HIV）。</w:t>
      </w:r>
    </w:p>
    <w:p>
      <w:pPr>
        <w:pStyle w:val="BodyText"/>
        <w:spacing w:before="7"/>
        <w:ind w:left="2393"/>
      </w:pPr>
      <w:r>
        <w:rPr/>
        <w:t>必须满足下列全部条件：</w:t>
      </w:r>
    </w:p>
    <w:p>
      <w:pPr>
        <w:pStyle w:val="BodyText"/>
        <w:spacing w:line="273" w:lineRule="auto" w:before="36"/>
        <w:ind w:left="1961" w:right="213" w:firstLine="431"/>
      </w:pPr>
      <w:r>
        <w:rPr/>
        <w:t>（1）感染必须是在被保险人正在从事其职业工作中发生，该职业必须属于以下列表内的职业；</w:t>
      </w:r>
    </w:p>
    <w:p>
      <w:pPr>
        <w:pStyle w:val="BodyText"/>
        <w:spacing w:before="7"/>
        <w:ind w:left="2393"/>
      </w:pPr>
      <w:r>
        <w:rPr/>
        <w:t>（2）血清转化必须出现在事故发生后的 6 个月以内；</w:t>
      </w:r>
    </w:p>
    <w:p>
      <w:pPr>
        <w:pStyle w:val="BodyText"/>
        <w:spacing w:line="273" w:lineRule="auto"/>
        <w:ind w:left="1961" w:right="214" w:firstLine="431"/>
      </w:pPr>
      <w:r>
        <w:rPr/>
        <w:t>（3）</w:t>
      </w:r>
      <w:r>
        <w:rPr>
          <w:spacing w:val="-3"/>
        </w:rPr>
        <w:t>必须提供被保险人在所报事故发生后的 </w:t>
      </w:r>
      <w:r>
        <w:rPr/>
        <w:t>5</w:t>
      </w:r>
      <w:r>
        <w:rPr>
          <w:spacing w:val="-8"/>
        </w:rPr>
        <w:t> 天以内进行的检查报告， </w:t>
      </w:r>
      <w:r>
        <w:rPr>
          <w:spacing w:val="-12"/>
        </w:rPr>
        <w:t>该报告必须显示被保险人血液 </w:t>
      </w:r>
      <w:r>
        <w:rPr/>
        <w:t>HIV</w:t>
      </w:r>
      <w:r>
        <w:rPr>
          <w:spacing w:val="-10"/>
        </w:rPr>
        <w:t> 病毒阴性和</w:t>
      </w:r>
      <w:r>
        <w:rPr/>
        <w:t>/</w:t>
      </w:r>
      <w:r>
        <w:rPr>
          <w:spacing w:val="-30"/>
        </w:rPr>
        <w:t>或 </w:t>
      </w:r>
      <w:r>
        <w:rPr/>
        <w:t>HIV</w:t>
      </w:r>
      <w:r>
        <w:rPr>
          <w:spacing w:val="-10"/>
        </w:rPr>
        <w:t> 抗体阴性；</w:t>
      </w:r>
    </w:p>
    <w:p>
      <w:pPr>
        <w:pStyle w:val="BodyText"/>
        <w:spacing w:before="7"/>
        <w:ind w:left="2393"/>
      </w:pPr>
      <w:r>
        <w:rPr>
          <w:spacing w:val="-11"/>
        </w:rPr>
        <w:t>（4）</w:t>
      </w:r>
      <w:r>
        <w:rPr>
          <w:spacing w:val="-7"/>
        </w:rPr>
        <w:t>必须在事故发生后的 </w:t>
      </w:r>
      <w:r>
        <w:rPr/>
        <w:t>12</w:t>
      </w:r>
      <w:r>
        <w:rPr>
          <w:spacing w:val="-12"/>
        </w:rPr>
        <w:t> 个月内证实被保险人体内存在 </w:t>
      </w:r>
      <w:r>
        <w:rPr/>
        <w:t>HIV</w:t>
      </w:r>
      <w:r>
        <w:rPr>
          <w:spacing w:val="-12"/>
        </w:rPr>
        <w:t> 病毒或者</w:t>
      </w:r>
    </w:p>
    <w:p>
      <w:pPr>
        <w:spacing w:after="0"/>
        <w:sectPr>
          <w:pgSz w:w="11910" w:h="16840"/>
          <w:pgMar w:top="1100" w:bottom="280" w:left="1680" w:right="1000"/>
        </w:sectPr>
      </w:pPr>
    </w:p>
    <w:p>
      <w:pPr>
        <w:pStyle w:val="BodyText"/>
        <w:spacing w:before="19"/>
        <w:ind w:left="2722"/>
      </w:pPr>
      <w:r>
        <w:rPr/>
        <w:t>HIV 抗体。</w:t>
      </w:r>
    </w:p>
    <w:p>
      <w:pPr>
        <w:pStyle w:val="BodyText"/>
        <w:ind w:left="3153"/>
      </w:pPr>
      <w:r>
        <w:rPr/>
        <w:t>职业限制如下所示:</w:t>
      </w:r>
    </w:p>
    <w:p>
      <w:pPr>
        <w:pStyle w:val="BodyText"/>
        <w:tabs>
          <w:tab w:pos="6785" w:val="left" w:leader="none"/>
        </w:tabs>
        <w:ind w:left="3223"/>
      </w:pPr>
      <w:r>
        <w:rPr/>
        <w:t>医生和牙科医生</w:t>
        <w:tab/>
        <w:t>护士</w:t>
      </w:r>
    </w:p>
    <w:p>
      <w:pPr>
        <w:pStyle w:val="BodyText"/>
        <w:tabs>
          <w:tab w:pos="6785" w:val="left" w:leader="none"/>
        </w:tabs>
        <w:ind w:left="3223"/>
      </w:pPr>
      <w:r>
        <w:rPr/>
        <w:t>实验室工作人员</w:t>
        <w:tab/>
        <w:t>医院护工</w:t>
      </w:r>
    </w:p>
    <w:p>
      <w:pPr>
        <w:pStyle w:val="BodyText"/>
        <w:tabs>
          <w:tab w:pos="6785" w:val="left" w:leader="none"/>
        </w:tabs>
        <w:ind w:left="3223"/>
      </w:pPr>
      <w:r>
        <w:rPr/>
        <w:t>医生助理和牙医助理</w:t>
        <w:tab/>
        <w:t>救护车工作人员</w:t>
      </w:r>
    </w:p>
    <w:p>
      <w:pPr>
        <w:pStyle w:val="BodyText"/>
        <w:tabs>
          <w:tab w:pos="6785" w:val="left" w:leader="none"/>
        </w:tabs>
        <w:ind w:left="3223"/>
      </w:pPr>
      <w:r>
        <w:rPr/>
        <w:t>助产士</w:t>
        <w:tab/>
        <w:t>消防队员</w:t>
      </w:r>
    </w:p>
    <w:p>
      <w:pPr>
        <w:pStyle w:val="BodyText"/>
        <w:tabs>
          <w:tab w:pos="6785" w:val="left" w:leader="none"/>
        </w:tabs>
        <w:ind w:left="3223"/>
      </w:pPr>
      <w:r>
        <w:rPr/>
        <w:t>警察</w:t>
        <w:tab/>
        <w:t>狱警</w:t>
      </w:r>
    </w:p>
    <w:p>
      <w:pPr>
        <w:pStyle w:val="BodyText"/>
        <w:spacing w:before="8"/>
        <w:rPr>
          <w:sz w:val="26"/>
        </w:rPr>
      </w:pPr>
    </w:p>
    <w:p>
      <w:pPr>
        <w:pStyle w:val="Heading3"/>
        <w:spacing w:before="1"/>
        <w:ind w:left="2721"/>
      </w:pPr>
      <w:r>
        <w:rPr>
          <w:w w:val="95"/>
        </w:rPr>
        <w:t>（三十三）脊髓灰质炎</w:t>
      </w:r>
    </w:p>
    <w:p>
      <w:pPr>
        <w:pStyle w:val="BodyText"/>
        <w:spacing w:line="273" w:lineRule="auto"/>
        <w:ind w:left="2721" w:right="112"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5"/>
        </w:rPr>
        <w:t>成的神经系统功能损害导致被保险人一肢或一肢以上肢体机能永久完全丧失</w:t>
      </w:r>
      <w:r>
        <w:rPr>
          <w:spacing w:val="-5"/>
        </w:rPr>
        <w:t>的情况予以理赔。肢体机能永久完全丧失，指疾病确诊 </w:t>
      </w:r>
      <w:r>
        <w:rPr/>
        <w:t>180</w:t>
      </w:r>
      <w:r>
        <w:rPr>
          <w:spacing w:val="-8"/>
        </w:rPr>
        <w:t> 天后，每肢三大关节中的两大关节仍然完全僵硬，或不能随意识活动。</w:t>
      </w:r>
    </w:p>
    <w:p>
      <w:pPr>
        <w:pStyle w:val="BodyText"/>
        <w:spacing w:before="0"/>
        <w:rPr>
          <w:sz w:val="20"/>
        </w:rPr>
      </w:pPr>
    </w:p>
    <w:p>
      <w:pPr>
        <w:pStyle w:val="BodyText"/>
        <w:spacing w:before="3"/>
        <w:rPr>
          <w:sz w:val="28"/>
        </w:rPr>
      </w:pPr>
    </w:p>
    <w:p>
      <w:pPr>
        <w:pStyle w:val="Heading3"/>
        <w:numPr>
          <w:ilvl w:val="1"/>
          <w:numId w:val="15"/>
        </w:numPr>
        <w:tabs>
          <w:tab w:pos="741" w:val="left" w:leader="none"/>
          <w:tab w:pos="742" w:val="left" w:leader="none"/>
          <w:tab w:pos="2722" w:val="left" w:leader="none"/>
        </w:tabs>
        <w:spacing w:line="240" w:lineRule="auto" w:before="0" w:after="0"/>
        <w:ind w:left="2722" w:right="0" w:hanging="2621"/>
        <w:jc w:val="left"/>
      </w:pPr>
      <w:r>
        <w:rPr/>
        <w:t>成人轻症疾病</w:t>
        <w:tab/>
      </w:r>
      <w:r>
        <w:rPr>
          <w:w w:val="95"/>
        </w:rPr>
        <w:t>（一）非危及生命的恶性病变</w:t>
      </w:r>
    </w:p>
    <w:p>
      <w:pPr>
        <w:pStyle w:val="BodyText"/>
        <w:spacing w:line="273" w:lineRule="auto"/>
        <w:ind w:left="2721" w:right="111" w:firstLine="420"/>
      </w:pPr>
      <w:r>
        <w:rPr/>
        <w:t>指经组织病理学检查被明确诊断为下列恶性病变，并且接受了相应的治疗。</w:t>
      </w:r>
    </w:p>
    <w:p>
      <w:pPr>
        <w:pStyle w:val="BodyText"/>
        <w:spacing w:before="8"/>
        <w:ind w:left="2941"/>
      </w:pPr>
      <w:r>
        <w:rPr/>
        <w:t>（1）原位癌；</w:t>
      </w:r>
    </w:p>
    <w:p>
      <w:pPr>
        <w:pStyle w:val="BodyText"/>
        <w:ind w:left="2941"/>
      </w:pPr>
      <w:r>
        <w:rPr/>
        <w:t>（2）相当于Binet 分期方案 A 期程度的慢性淋巴细胞白血病；</w:t>
      </w:r>
    </w:p>
    <w:p>
      <w:pPr>
        <w:pStyle w:val="BodyText"/>
        <w:ind w:left="2941"/>
      </w:pPr>
      <w:r>
        <w:rPr/>
        <w:t>（3）相当于Ann Arbor 分期方案 I 期程度的何杰金氏病；</w:t>
      </w:r>
    </w:p>
    <w:p>
      <w:pPr>
        <w:pStyle w:val="BodyText"/>
        <w:ind w:left="2941"/>
      </w:pPr>
      <w:r>
        <w:rPr/>
        <w:t>（4）皮肤癌；</w:t>
      </w:r>
    </w:p>
    <w:p>
      <w:pPr>
        <w:pStyle w:val="BodyText"/>
        <w:ind w:left="2941"/>
      </w:pPr>
      <w:r>
        <w:rPr/>
        <w:t>（5）TNM 分期为 T1N0M0 期或更轻分期的前列腺癌。</w:t>
      </w:r>
    </w:p>
    <w:p>
      <w:pPr>
        <w:pStyle w:val="BodyText"/>
        <w:spacing w:before="9"/>
        <w:rPr>
          <w:sz w:val="26"/>
        </w:rPr>
      </w:pPr>
    </w:p>
    <w:p>
      <w:pPr>
        <w:pStyle w:val="Heading3"/>
        <w:ind w:left="2721"/>
      </w:pPr>
      <w:r>
        <w:rPr>
          <w:w w:val="95"/>
        </w:rPr>
        <w:t>（二）不典型的急性心肌梗塞</w:t>
      </w:r>
    </w:p>
    <w:p>
      <w:pPr>
        <w:pStyle w:val="BodyText"/>
        <w:spacing w:line="273" w:lineRule="auto"/>
        <w:ind w:left="2733" w:right="111" w:firstLine="408"/>
      </w:pPr>
      <w:r>
        <w:rPr/>
        <w:t>指被临床诊断为急性心肌梗塞并接受了急性心肌梗塞治疗虽然未达到重大疾病“急性心肌梗塞”的给付标准，但满足下列全部条件：</w:t>
      </w:r>
    </w:p>
    <w:p>
      <w:pPr>
        <w:pStyle w:val="BodyText"/>
        <w:spacing w:before="7"/>
        <w:ind w:left="2953"/>
      </w:pPr>
      <w:r>
        <w:rPr/>
        <w:t>（1）肌钙蛋白有诊断意义的升高；</w:t>
      </w:r>
    </w:p>
    <w:p>
      <w:pPr>
        <w:pStyle w:val="BodyText"/>
        <w:spacing w:before="36"/>
        <w:ind w:left="2953"/>
      </w:pPr>
      <w:r>
        <w:rPr/>
        <w:t>（2）心电图有损伤性的ST段改变但未出现病理Q波。</w:t>
      </w:r>
    </w:p>
    <w:p>
      <w:pPr>
        <w:pStyle w:val="BodyText"/>
        <w:spacing w:before="8"/>
        <w:rPr>
          <w:sz w:val="26"/>
        </w:rPr>
      </w:pPr>
    </w:p>
    <w:p>
      <w:pPr>
        <w:pStyle w:val="Heading3"/>
        <w:ind w:left="2721"/>
      </w:pPr>
      <w:r>
        <w:rPr>
          <w:w w:val="95"/>
        </w:rPr>
        <w:t>（三）心脏瓣膜介入治疗</w:t>
      </w:r>
    </w:p>
    <w:p>
      <w:pPr>
        <w:pStyle w:val="BodyText"/>
        <w:spacing w:line="273" w:lineRule="auto" w:before="36"/>
        <w:ind w:left="2721" w:right="73" w:firstLine="420"/>
      </w:pPr>
      <w:r>
        <w:rPr/>
        <w:t>为了治疗心脏瓣膜疾病，实际实施了非开胸的经胸壁打孔内镜手术或经皮经导管介入手术进行的心脏瓣膜置换或修复手术。</w:t>
      </w:r>
    </w:p>
    <w:p>
      <w:pPr>
        <w:pStyle w:val="BodyText"/>
        <w:spacing w:before="4"/>
        <w:rPr>
          <w:sz w:val="24"/>
        </w:rPr>
      </w:pPr>
    </w:p>
    <w:p>
      <w:pPr>
        <w:pStyle w:val="Heading3"/>
        <w:spacing w:before="1"/>
        <w:ind w:left="2721"/>
      </w:pPr>
      <w:r>
        <w:rPr>
          <w:w w:val="95"/>
        </w:rPr>
        <w:t>（四）视力严重受损</w:t>
      </w:r>
    </w:p>
    <w:p>
      <w:pPr>
        <w:pStyle w:val="BodyText"/>
        <w:spacing w:line="273" w:lineRule="auto"/>
        <w:ind w:left="2721" w:right="73" w:firstLine="420"/>
      </w:pPr>
      <w:r>
        <w:rPr/>
        <w:t>指因疾病或意外伤害导致双目视力永久不可逆性丧失，虽然未达到重大疾病“双目失明”的给付标准，但满足下列全部条件：</w:t>
      </w:r>
    </w:p>
    <w:p>
      <w:pPr>
        <w:pStyle w:val="BodyText"/>
        <w:spacing w:line="273" w:lineRule="auto" w:before="7"/>
        <w:ind w:left="2721" w:right="119" w:firstLine="420"/>
      </w:pPr>
      <w:r>
        <w:rPr>
          <w:spacing w:val="-9"/>
        </w:rPr>
        <w:t>（1）</w:t>
      </w:r>
      <w:r>
        <w:rPr>
          <w:spacing w:val="-4"/>
        </w:rPr>
        <w:t>双眼中较好眼矫正视力低于 </w:t>
      </w:r>
      <w:r>
        <w:rPr>
          <w:spacing w:val="-7"/>
        </w:rPr>
        <w:t>0.1（</w:t>
      </w:r>
      <w:r>
        <w:rPr>
          <w:spacing w:val="-3"/>
        </w:rPr>
        <w:t>采用国际标准视力表，如果使用其他视力表应进行换算</w:t>
      </w:r>
      <w:r>
        <w:rPr>
          <w:spacing w:val="-105"/>
        </w:rPr>
        <w:t>）</w:t>
      </w:r>
      <w:r>
        <w:rPr/>
        <w:t>；</w:t>
      </w:r>
    </w:p>
    <w:p>
      <w:pPr>
        <w:pStyle w:val="BodyText"/>
        <w:spacing w:before="7"/>
        <w:ind w:left="3141"/>
      </w:pPr>
      <w:r>
        <w:rPr/>
        <w:t>（2）视野半径小于 20 度。</w:t>
      </w:r>
    </w:p>
    <w:p>
      <w:pPr>
        <w:pStyle w:val="BodyText"/>
        <w:spacing w:before="8"/>
        <w:rPr>
          <w:sz w:val="26"/>
        </w:rPr>
      </w:pPr>
    </w:p>
    <w:p>
      <w:pPr>
        <w:pStyle w:val="Heading3"/>
        <w:ind w:left="2721"/>
      </w:pPr>
      <w:r>
        <w:rPr>
          <w:w w:val="95"/>
        </w:rPr>
        <w:t>（五）脑垂体瘤、脑囊肿、脑动脉瘤及脑血管瘤</w:t>
      </w:r>
    </w:p>
    <w:p>
      <w:pPr>
        <w:pStyle w:val="BodyText"/>
        <w:spacing w:line="273" w:lineRule="auto" w:before="36"/>
        <w:ind w:left="2721" w:right="118" w:firstLine="420"/>
      </w:pPr>
      <w:r>
        <w:rPr>
          <w:spacing w:val="-1"/>
        </w:rPr>
        <w:t>指经头颅断层扫描</w:t>
      </w:r>
      <w:r>
        <w:rPr/>
        <w:t>（CT</w:t>
      </w:r>
      <w:r>
        <w:rPr>
          <w:spacing w:val="-106"/>
        </w:rPr>
        <w:t>）</w:t>
      </w:r>
      <w:r>
        <w:rPr>
          <w:spacing w:val="-3"/>
        </w:rPr>
        <w:t>、核磁共振</w:t>
      </w:r>
      <w:r>
        <w:rPr/>
        <w:t>（MRI</w:t>
      </w:r>
      <w:r>
        <w:rPr>
          <w:spacing w:val="-5"/>
        </w:rPr>
        <w:t>）</w:t>
      </w:r>
      <w:r>
        <w:rPr>
          <w:spacing w:val="-1"/>
        </w:rPr>
        <w:t>或其他影像学检查被确诊为下列病变，并实际接受了手术切除治疗或放射治疗。</w:t>
      </w:r>
    </w:p>
    <w:p>
      <w:pPr>
        <w:pStyle w:val="BodyText"/>
        <w:spacing w:before="7"/>
        <w:ind w:left="2941"/>
      </w:pPr>
      <w:r>
        <w:rPr/>
        <w:t>（1）脑垂体瘤；</w:t>
      </w:r>
    </w:p>
    <w:p>
      <w:pPr>
        <w:spacing w:after="0"/>
        <w:sectPr>
          <w:pgSz w:w="11910" w:h="16840"/>
          <w:pgMar w:top="1100" w:bottom="280" w:left="920" w:right="1020"/>
        </w:sectPr>
      </w:pPr>
    </w:p>
    <w:p>
      <w:pPr>
        <w:pStyle w:val="BodyText"/>
        <w:spacing w:before="19"/>
        <w:ind w:left="2941"/>
      </w:pPr>
      <w:r>
        <w:rPr/>
        <w:t>（2）脑囊肿；</w:t>
      </w:r>
    </w:p>
    <w:p>
      <w:pPr>
        <w:pStyle w:val="BodyText"/>
        <w:ind w:left="2941"/>
      </w:pPr>
      <w:r>
        <w:rPr/>
        <w:t>（3）脑动脉瘤、脑血管瘤。</w:t>
      </w:r>
    </w:p>
    <w:p>
      <w:pPr>
        <w:pStyle w:val="BodyText"/>
        <w:spacing w:before="0"/>
        <w:rPr>
          <w:sz w:val="20"/>
        </w:rPr>
      </w:pPr>
    </w:p>
    <w:p>
      <w:pPr>
        <w:pStyle w:val="BodyText"/>
        <w:spacing w:before="0"/>
        <w:rPr>
          <w:sz w:val="20"/>
        </w:rPr>
      </w:pPr>
    </w:p>
    <w:p>
      <w:pPr>
        <w:pStyle w:val="ListParagraph"/>
        <w:numPr>
          <w:ilvl w:val="1"/>
          <w:numId w:val="15"/>
        </w:numPr>
        <w:tabs>
          <w:tab w:pos="741" w:val="left" w:leader="none"/>
          <w:tab w:pos="2721" w:val="left" w:leader="none"/>
        </w:tabs>
        <w:spacing w:line="247" w:lineRule="auto" w:before="137" w:after="0"/>
        <w:ind w:left="2722" w:right="218" w:hanging="2621"/>
        <w:jc w:val="both"/>
        <w:rPr>
          <w:sz w:val="21"/>
        </w:rPr>
      </w:pPr>
      <w:r>
        <w:rPr>
          <w:b/>
          <w:position w:val="-2"/>
          <w:sz w:val="21"/>
        </w:rPr>
        <w:t>初次发生</w:t>
        <w:tab/>
      </w:r>
      <w:r>
        <w:rPr>
          <w:sz w:val="21"/>
        </w:rPr>
        <w:t>指被保险人首次出现重大疾病的前兆或异常的身体状况</w:t>
      </w:r>
      <w:r>
        <w:rPr>
          <w:spacing w:val="-18"/>
          <w:sz w:val="21"/>
        </w:rPr>
        <w:t>，</w:t>
      </w:r>
      <w:r>
        <w:rPr>
          <w:sz w:val="21"/>
        </w:rPr>
        <w:t>包括与重大疾病相关的症状及体征。</w:t>
      </w:r>
    </w:p>
    <w:p>
      <w:pPr>
        <w:pStyle w:val="BodyText"/>
        <w:spacing w:before="1"/>
        <w:rPr>
          <w:sz w:val="26"/>
        </w:rPr>
      </w:pPr>
    </w:p>
    <w:p>
      <w:pPr>
        <w:pStyle w:val="ListParagraph"/>
        <w:numPr>
          <w:ilvl w:val="1"/>
          <w:numId w:val="15"/>
        </w:numPr>
        <w:tabs>
          <w:tab w:pos="741" w:val="left" w:leader="none"/>
          <w:tab w:pos="2721" w:val="left" w:leader="none"/>
        </w:tabs>
        <w:spacing w:line="273" w:lineRule="auto" w:before="1" w:after="0"/>
        <w:ind w:left="2722" w:right="218" w:hanging="2621"/>
        <w:jc w:val="both"/>
        <w:rPr>
          <w:sz w:val="21"/>
        </w:rPr>
      </w:pPr>
      <w:r>
        <w:rPr>
          <w:b/>
          <w:sz w:val="21"/>
        </w:rPr>
        <w:t>医院</w:t>
        <w:tab/>
      </w:r>
      <w:r>
        <w:rPr>
          <w:sz w:val="21"/>
        </w:rPr>
        <w:t>指国家卫生部医院等级分类中的二级或二级以上的公立医院</w:t>
      </w:r>
      <w:r>
        <w:rPr>
          <w:spacing w:val="-18"/>
          <w:sz w:val="21"/>
        </w:rPr>
        <w:t>，</w:t>
      </w:r>
      <w:r>
        <w:rPr>
          <w:sz w:val="21"/>
        </w:rPr>
        <w:t>但不包括附属于前述医院或单独作为诊所</w:t>
      </w:r>
      <w:r>
        <w:rPr>
          <w:spacing w:val="-4"/>
          <w:sz w:val="21"/>
        </w:rPr>
        <w:t>、</w:t>
      </w:r>
      <w:r>
        <w:rPr>
          <w:sz w:val="21"/>
        </w:rPr>
        <w:t>康复</w:t>
      </w:r>
      <w:r>
        <w:rPr>
          <w:spacing w:val="-4"/>
          <w:sz w:val="21"/>
        </w:rPr>
        <w:t>、</w:t>
      </w:r>
      <w:r>
        <w:rPr>
          <w:sz w:val="21"/>
        </w:rPr>
        <w:t>护理</w:t>
      </w:r>
      <w:r>
        <w:rPr>
          <w:spacing w:val="-4"/>
          <w:sz w:val="21"/>
        </w:rPr>
        <w:t>、</w:t>
      </w:r>
      <w:r>
        <w:rPr>
          <w:sz w:val="21"/>
        </w:rPr>
        <w:t>疗养</w:t>
      </w:r>
      <w:r>
        <w:rPr>
          <w:spacing w:val="-4"/>
          <w:sz w:val="21"/>
        </w:rPr>
        <w:t>、</w:t>
      </w:r>
      <w:r>
        <w:rPr>
          <w:sz w:val="21"/>
        </w:rPr>
        <w:t>戒酒</w:t>
      </w:r>
      <w:r>
        <w:rPr>
          <w:spacing w:val="-4"/>
          <w:sz w:val="21"/>
        </w:rPr>
        <w:t>、</w:t>
      </w:r>
      <w:r>
        <w:rPr>
          <w:sz w:val="21"/>
        </w:rPr>
        <w:t>戒毒等或相类似的医疗机构</w:t>
      </w:r>
      <w:r>
        <w:rPr>
          <w:spacing w:val="-9"/>
          <w:sz w:val="21"/>
        </w:rPr>
        <w:t>。</w:t>
      </w:r>
      <w:r>
        <w:rPr>
          <w:sz w:val="21"/>
        </w:rPr>
        <w:t>同时该医院必须具有符合有关医院管理规定设置标准的医疗设备</w:t>
      </w:r>
      <w:r>
        <w:rPr>
          <w:spacing w:val="-9"/>
          <w:sz w:val="21"/>
        </w:rPr>
        <w:t>，</w:t>
      </w:r>
      <w:r>
        <w:rPr>
          <w:sz w:val="21"/>
        </w:rPr>
        <w:t>并且全天二十四小时有合格医师及护士驻院提供医疗和护理等服务。</w:t>
      </w:r>
    </w:p>
    <w:p>
      <w:pPr>
        <w:pStyle w:val="BodyText"/>
        <w:spacing w:before="5"/>
        <w:rPr>
          <w:sz w:val="24"/>
        </w:rPr>
      </w:pPr>
    </w:p>
    <w:p>
      <w:pPr>
        <w:pStyle w:val="ListParagraph"/>
        <w:numPr>
          <w:ilvl w:val="1"/>
          <w:numId w:val="15"/>
        </w:numPr>
        <w:tabs>
          <w:tab w:pos="740" w:val="left" w:leader="none"/>
          <w:tab w:pos="741" w:val="left" w:leader="none"/>
          <w:tab w:pos="2721" w:val="left" w:leader="none"/>
        </w:tabs>
        <w:spacing w:line="240" w:lineRule="auto" w:before="0" w:after="0"/>
        <w:ind w:left="740" w:right="0" w:hanging="639"/>
        <w:jc w:val="left"/>
        <w:rPr>
          <w:sz w:val="21"/>
        </w:rPr>
      </w:pPr>
      <w:r>
        <w:rPr>
          <w:b/>
          <w:position w:val="-2"/>
          <w:sz w:val="21"/>
        </w:rPr>
        <w:t>专科医生</w:t>
        <w:tab/>
      </w:r>
      <w:r>
        <w:rPr>
          <w:sz w:val="21"/>
        </w:rPr>
        <w:t>专科医生应当同时满足以下四项资格条件：</w:t>
      </w:r>
    </w:p>
    <w:p>
      <w:pPr>
        <w:pStyle w:val="BodyText"/>
        <w:spacing w:before="6"/>
        <w:ind w:left="2722"/>
      </w:pPr>
      <w:r>
        <w:rPr/>
        <w:t>（1）具有有效的中华人民共和国《医师资格证书》；</w:t>
      </w:r>
    </w:p>
    <w:p>
      <w:pPr>
        <w:pStyle w:val="BodyText"/>
        <w:spacing w:line="273" w:lineRule="auto" w:before="36"/>
        <w:ind w:left="3245" w:right="218" w:hanging="526"/>
      </w:pPr>
      <w:r>
        <w:rPr>
          <w:spacing w:val="-1"/>
        </w:rPr>
        <w:t>（2）</w:t>
      </w:r>
      <w:r>
        <w:rPr>
          <w:spacing w:val="-7"/>
        </w:rPr>
        <w:t>具有有效的中华人民共和国《医师执业证书》，并按期到相关部门登记注</w:t>
      </w:r>
      <w:r>
        <w:rPr>
          <w:spacing w:val="-1"/>
        </w:rPr>
        <w:t>册；</w:t>
      </w:r>
    </w:p>
    <w:p>
      <w:pPr>
        <w:pStyle w:val="BodyText"/>
        <w:spacing w:line="273" w:lineRule="auto" w:before="7"/>
        <w:ind w:left="3247" w:right="216" w:hanging="526"/>
      </w:pPr>
      <w:r>
        <w:rPr/>
        <w:t>（3）具有有效的中华人民共和国主治医师或主治医师以上职称的《医师职称证书》；</w:t>
      </w:r>
    </w:p>
    <w:p>
      <w:pPr>
        <w:pStyle w:val="BodyText"/>
        <w:spacing w:before="7"/>
        <w:ind w:left="2722"/>
      </w:pPr>
      <w:r>
        <w:rPr/>
        <w:t>（4）在二级或二级以上医院的相应科室从事临床工作三年以上。</w:t>
      </w:r>
    </w:p>
    <w:p>
      <w:pPr>
        <w:pStyle w:val="BodyText"/>
        <w:spacing w:before="12"/>
        <w:rPr>
          <w:sz w:val="23"/>
        </w:rPr>
      </w:pPr>
    </w:p>
    <w:p>
      <w:pPr>
        <w:spacing w:after="0"/>
        <w:rPr>
          <w:sz w:val="23"/>
        </w:rPr>
        <w:sectPr>
          <w:pgSz w:w="11910" w:h="16840"/>
          <w:pgMar w:top="1100" w:bottom="280" w:left="920" w:right="920"/>
        </w:sectPr>
      </w:pPr>
    </w:p>
    <w:p>
      <w:pPr>
        <w:pStyle w:val="Heading3"/>
        <w:numPr>
          <w:ilvl w:val="1"/>
          <w:numId w:val="15"/>
        </w:numPr>
        <w:tabs>
          <w:tab w:pos="741" w:val="left" w:leader="none"/>
          <w:tab w:pos="742" w:val="left" w:leader="none"/>
        </w:tabs>
        <w:spacing w:line="273" w:lineRule="auto" w:before="35" w:after="0"/>
        <w:ind w:left="740" w:right="0" w:hanging="639"/>
        <w:jc w:val="left"/>
      </w:pPr>
      <w:r>
        <w:rPr/>
        <w:t>无合法有效驾驶证驾驶</w:t>
      </w:r>
    </w:p>
    <w:p>
      <w:pPr>
        <w:pStyle w:val="BodyText"/>
        <w:spacing w:before="35"/>
        <w:ind w:left="101"/>
      </w:pPr>
      <w:r>
        <w:rPr/>
        <w:br w:type="column"/>
      </w:r>
      <w:r>
        <w:rPr/>
        <w:t>指下列情形之一：</w:t>
      </w:r>
    </w:p>
    <w:p>
      <w:pPr>
        <w:pStyle w:val="BodyText"/>
        <w:spacing w:before="36"/>
        <w:ind w:left="101"/>
      </w:pPr>
      <w:r>
        <w:rPr/>
        <w:t>（1）没有驾驶证驾驶；</w:t>
      </w:r>
    </w:p>
    <w:p>
      <w:pPr>
        <w:pStyle w:val="BodyText"/>
        <w:spacing w:before="36"/>
        <w:ind w:left="101"/>
      </w:pPr>
      <w:r>
        <w:rPr/>
        <w:t>（2）驾驶与驾驶证准驾车型不相符合的车辆；</w:t>
      </w:r>
    </w:p>
    <w:p>
      <w:pPr>
        <w:pStyle w:val="BodyText"/>
        <w:spacing w:before="36"/>
        <w:ind w:left="101"/>
      </w:pPr>
      <w:r>
        <w:rPr/>
        <w:t>（3）持审验不合格的驾驶证驾驶；</w:t>
      </w:r>
    </w:p>
    <w:p>
      <w:pPr>
        <w:pStyle w:val="BodyText"/>
        <w:spacing w:before="36"/>
        <w:ind w:left="101"/>
      </w:pPr>
      <w:r>
        <w:rPr/>
        <w:t>（4）未经公安交通管理部门同意，持未审验的驾驶证驾驶；</w:t>
      </w:r>
    </w:p>
    <w:p>
      <w:pPr>
        <w:pStyle w:val="BodyText"/>
        <w:spacing w:line="273" w:lineRule="auto" w:before="36"/>
        <w:ind w:left="626" w:right="305" w:hanging="526"/>
      </w:pPr>
      <w:r>
        <w:rPr/>
        <w:t>（5）持学习驾驶证学习驾车时，无教练员随车指导，或不按指定时间、路线学习驾车；</w:t>
      </w:r>
    </w:p>
    <w:p>
      <w:pPr>
        <w:pStyle w:val="BodyText"/>
        <w:spacing w:before="7"/>
        <w:ind w:left="101"/>
      </w:pPr>
      <w:r>
        <w:rPr/>
        <w:t>（6）公安交通管理部门规定的其他无有效驾驶证驾驶的情况。</w:t>
      </w:r>
    </w:p>
    <w:p>
      <w:pPr>
        <w:spacing w:after="0"/>
        <w:sectPr>
          <w:type w:val="continuous"/>
          <w:pgSz w:w="11910" w:h="16840"/>
          <w:pgMar w:top="580" w:bottom="280" w:left="920" w:right="920"/>
          <w:cols w:num="2" w:equalWidth="0">
            <w:col w:w="2428" w:space="193"/>
            <w:col w:w="7449"/>
          </w:cols>
        </w:sectPr>
      </w:pPr>
    </w:p>
    <w:p>
      <w:pPr>
        <w:pStyle w:val="BodyText"/>
        <w:spacing w:before="12"/>
        <w:rPr>
          <w:sz w:val="23"/>
        </w:rPr>
      </w:pPr>
    </w:p>
    <w:p>
      <w:pPr>
        <w:pStyle w:val="ListParagraph"/>
        <w:numPr>
          <w:ilvl w:val="1"/>
          <w:numId w:val="15"/>
        </w:numPr>
        <w:tabs>
          <w:tab w:pos="740" w:val="left" w:leader="none"/>
          <w:tab w:pos="742" w:val="left" w:leader="none"/>
          <w:tab w:pos="2721" w:val="left" w:leader="none"/>
        </w:tabs>
        <w:spacing w:line="240" w:lineRule="auto" w:before="36" w:after="0"/>
        <w:ind w:left="741" w:right="0" w:hanging="640"/>
        <w:jc w:val="left"/>
        <w:rPr>
          <w:sz w:val="21"/>
        </w:rPr>
      </w:pPr>
      <w:r>
        <w:rPr>
          <w:b/>
          <w:sz w:val="21"/>
        </w:rPr>
        <w:t>无有效行驶证</w:t>
        <w:tab/>
      </w:r>
      <w:r>
        <w:rPr>
          <w:sz w:val="21"/>
        </w:rPr>
        <w:t>指下列情形之一：</w:t>
      </w:r>
    </w:p>
    <w:p>
      <w:pPr>
        <w:pStyle w:val="BodyText"/>
        <w:ind w:left="2722"/>
      </w:pPr>
      <w:r>
        <w:rPr/>
        <w:t>（1）没有机动车行驶证；</w:t>
      </w:r>
    </w:p>
    <w:p>
      <w:pPr>
        <w:pStyle w:val="BodyText"/>
        <w:ind w:left="2722"/>
      </w:pPr>
      <w:r>
        <w:rPr/>
        <w:t>（2）未在道路交通安全法规规定期限内按时进行或通过安全技术检验。</w:t>
      </w:r>
    </w:p>
    <w:p>
      <w:pPr>
        <w:pStyle w:val="BodyText"/>
        <w:spacing w:before="12"/>
        <w:rPr>
          <w:sz w:val="23"/>
        </w:rPr>
      </w:pPr>
    </w:p>
    <w:p>
      <w:pPr>
        <w:spacing w:after="0"/>
        <w:rPr>
          <w:sz w:val="23"/>
        </w:rPr>
        <w:sectPr>
          <w:type w:val="continuous"/>
          <w:pgSz w:w="11910" w:h="16840"/>
          <w:pgMar w:top="580" w:bottom="280" w:left="920" w:right="920"/>
        </w:sectPr>
      </w:pPr>
    </w:p>
    <w:p>
      <w:pPr>
        <w:pStyle w:val="Heading3"/>
        <w:numPr>
          <w:ilvl w:val="1"/>
          <w:numId w:val="15"/>
        </w:numPr>
        <w:tabs>
          <w:tab w:pos="740" w:val="left" w:leader="none"/>
          <w:tab w:pos="741" w:val="left" w:leader="none"/>
        </w:tabs>
        <w:spacing w:line="273" w:lineRule="auto" w:before="36" w:after="0"/>
        <w:ind w:left="740" w:right="0" w:hanging="639"/>
        <w:jc w:val="left"/>
      </w:pPr>
      <w:r>
        <w:rPr>
          <w:spacing w:val="10"/>
        </w:rPr>
        <w:t>感染艾滋病病毒或</w:t>
      </w:r>
      <w:r>
        <w:rPr/>
        <w:t>患艾滋病</w:t>
      </w:r>
    </w:p>
    <w:p>
      <w:pPr>
        <w:pStyle w:val="BodyText"/>
        <w:spacing w:line="273" w:lineRule="auto" w:before="36"/>
        <w:ind w:left="101" w:right="253"/>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01" w:right="218"/>
        <w:jc w:val="both"/>
      </w:pPr>
      <w:r>
        <w:rPr>
          <w:spacing w:val="-1"/>
        </w:rPr>
        <w:t>在人体血液或其它样本中检测到艾滋病病毒或其抗体呈阳性，没有出现临床症</w:t>
      </w:r>
      <w:r>
        <w:rPr>
          <w:spacing w:val="-4"/>
        </w:rPr>
        <w:t>状或体征的，为感染艾滋病病毒；如果同时出现了明显临床症状或体征的，为患艾滋病。</w:t>
      </w:r>
    </w:p>
    <w:p>
      <w:pPr>
        <w:spacing w:after="0" w:line="273" w:lineRule="auto"/>
        <w:jc w:val="both"/>
        <w:sectPr>
          <w:type w:val="continuous"/>
          <w:pgSz w:w="11910" w:h="16840"/>
          <w:pgMar w:top="580" w:bottom="280" w:left="920" w:right="920"/>
          <w:cols w:num="2" w:equalWidth="0">
            <w:col w:w="2517" w:space="103"/>
            <w:col w:w="7450"/>
          </w:cols>
        </w:sectPr>
      </w:pPr>
    </w:p>
    <w:p>
      <w:pPr>
        <w:pStyle w:val="BodyText"/>
        <w:spacing w:before="9"/>
      </w:pPr>
    </w:p>
    <w:p>
      <w:pPr>
        <w:pStyle w:val="ListParagraph"/>
        <w:numPr>
          <w:ilvl w:val="1"/>
          <w:numId w:val="15"/>
        </w:numPr>
        <w:tabs>
          <w:tab w:pos="740" w:val="left" w:leader="none"/>
          <w:tab w:pos="741" w:val="left" w:leader="none"/>
          <w:tab w:pos="2721" w:val="left" w:leader="none"/>
        </w:tabs>
        <w:spacing w:line="273" w:lineRule="auto" w:before="35" w:after="0"/>
        <w:ind w:left="2722" w:right="219" w:hanging="2621"/>
        <w:jc w:val="left"/>
        <w:rPr>
          <w:sz w:val="21"/>
        </w:rPr>
      </w:pPr>
      <w:r>
        <w:rPr>
          <w:b/>
          <w:sz w:val="21"/>
        </w:rPr>
        <w:t>遗传性疾病</w:t>
        <w:tab/>
      </w:r>
      <w:r>
        <w:rPr>
          <w:sz w:val="21"/>
        </w:rPr>
        <w:t>指生殖细胞或受精卵的遗传物</w:t>
      </w:r>
      <w:r>
        <w:rPr>
          <w:spacing w:val="-5"/>
          <w:sz w:val="21"/>
        </w:rPr>
        <w:t>质</w:t>
      </w:r>
      <w:r>
        <w:rPr>
          <w:sz w:val="21"/>
        </w:rPr>
        <w:t>（染色体和基因</w:t>
      </w:r>
      <w:r>
        <w:rPr>
          <w:spacing w:val="-5"/>
          <w:sz w:val="21"/>
        </w:rPr>
        <w:t>）</w:t>
      </w:r>
      <w:r>
        <w:rPr>
          <w:sz w:val="21"/>
        </w:rPr>
        <w:t>发生突</w:t>
      </w:r>
      <w:r>
        <w:rPr>
          <w:spacing w:val="-5"/>
          <w:sz w:val="21"/>
        </w:rPr>
        <w:t>变</w:t>
      </w:r>
      <w:r>
        <w:rPr>
          <w:sz w:val="21"/>
        </w:rPr>
        <w:t>（或畸变</w:t>
      </w:r>
      <w:r>
        <w:rPr>
          <w:spacing w:val="-5"/>
          <w:sz w:val="21"/>
        </w:rPr>
        <w:t>）</w:t>
      </w:r>
      <w:r>
        <w:rPr>
          <w:sz w:val="21"/>
        </w:rPr>
        <w:t>所引起的疾病，通常具有由亲代传至后代的垂直传递的特征。</w:t>
      </w:r>
    </w:p>
    <w:p>
      <w:pPr>
        <w:pStyle w:val="BodyText"/>
        <w:spacing w:before="9"/>
      </w:pPr>
    </w:p>
    <w:p>
      <w:pPr>
        <w:spacing w:after="0"/>
        <w:sectPr>
          <w:type w:val="continuous"/>
          <w:pgSz w:w="11910" w:h="16840"/>
          <w:pgMar w:top="580" w:bottom="280" w:left="920" w:right="920"/>
        </w:sectPr>
      </w:pPr>
    </w:p>
    <w:p>
      <w:pPr>
        <w:pStyle w:val="Heading3"/>
        <w:numPr>
          <w:ilvl w:val="1"/>
          <w:numId w:val="15"/>
        </w:numPr>
        <w:tabs>
          <w:tab w:pos="740" w:val="left" w:leader="none"/>
          <w:tab w:pos="741" w:val="left" w:leader="none"/>
        </w:tabs>
        <w:spacing w:line="273" w:lineRule="auto" w:before="35" w:after="0"/>
        <w:ind w:left="740" w:right="0" w:hanging="639"/>
        <w:jc w:val="left"/>
      </w:pPr>
      <w:r>
        <w:rPr>
          <w:spacing w:val="10"/>
        </w:rPr>
        <w:t>先天性畸形、变形</w:t>
      </w:r>
      <w:r>
        <w:rPr>
          <w:w w:val="95"/>
        </w:rPr>
        <w:t>或染色体异常</w:t>
      </w:r>
    </w:p>
    <w:p>
      <w:pPr>
        <w:pStyle w:val="BodyText"/>
        <w:spacing w:line="273" w:lineRule="auto" w:before="35"/>
        <w:ind w:left="101" w:right="11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3"/>
        </w:rPr>
        <w:t>》</w:t>
      </w:r>
      <w:r>
        <w:rPr/>
        <w:t>（ICD-10） 确定。</w:t>
      </w:r>
    </w:p>
    <w:p>
      <w:pPr>
        <w:spacing w:after="0" w:line="273" w:lineRule="auto"/>
        <w:sectPr>
          <w:type w:val="continuous"/>
          <w:pgSz w:w="11910" w:h="16840"/>
          <w:pgMar w:top="580" w:bottom="280" w:left="920" w:right="920"/>
          <w:cols w:num="2" w:equalWidth="0">
            <w:col w:w="2517" w:space="103"/>
            <w:col w:w="7450"/>
          </w:cols>
        </w:sectPr>
      </w:pPr>
    </w:p>
    <w:p>
      <w:pPr>
        <w:pStyle w:val="ListParagraph"/>
        <w:numPr>
          <w:ilvl w:val="1"/>
          <w:numId w:val="15"/>
        </w:numPr>
        <w:tabs>
          <w:tab w:pos="740" w:val="left" w:leader="none"/>
          <w:tab w:pos="741" w:val="left" w:leader="none"/>
          <w:tab w:pos="2721" w:val="left" w:leader="none"/>
        </w:tabs>
        <w:spacing w:line="273" w:lineRule="auto" w:before="11" w:after="0"/>
        <w:ind w:left="2722" w:right="117" w:hanging="2621"/>
        <w:jc w:val="left"/>
        <w:rPr>
          <w:sz w:val="21"/>
        </w:rPr>
      </w:pPr>
      <w:r>
        <w:rPr>
          <w:b/>
          <w:sz w:val="21"/>
        </w:rPr>
        <w:t>本条款约定利率</w:t>
        <w:tab/>
      </w:r>
      <w:r>
        <w:rPr>
          <w:sz w:val="21"/>
        </w:rPr>
        <w:t>复效时补交保险费及年龄误告补交保险费的利息均按本约定利率计算</w:t>
      </w:r>
      <w:r>
        <w:rPr>
          <w:spacing w:val="-7"/>
          <w:sz w:val="20"/>
        </w:rPr>
        <w:t>，</w:t>
      </w:r>
      <w:r>
        <w:rPr>
          <w:sz w:val="21"/>
        </w:rPr>
        <w:t>该利率以中国人民银行公布的同期一年期贷款利率+0.5%为限，我们将于每月第一个营业日调整该利率。</w:t>
      </w:r>
    </w:p>
    <w:sectPr>
      <w:pgSz w:w="11910" w:h="16840"/>
      <w:pgMar w:top="1420" w:bottom="280" w:left="9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2508" w:hanging="211"/>
        <w:jc w:val="right"/>
      </w:pPr>
      <w:rPr>
        <w:rFonts w:hint="default" w:ascii="宋体" w:hAnsi="宋体" w:eastAsia="宋体" w:cs="宋体"/>
        <w:w w:val="100"/>
        <w:sz w:val="21"/>
        <w:szCs w:val="21"/>
      </w:rPr>
    </w:lvl>
    <w:lvl w:ilvl="1">
      <w:start w:val="0"/>
      <w:numFmt w:val="bullet"/>
      <w:lvlText w:val="•"/>
      <w:lvlJc w:val="left"/>
      <w:pPr>
        <w:ind w:left="3172" w:hanging="211"/>
      </w:pPr>
      <w:rPr>
        <w:rFonts w:hint="default"/>
      </w:rPr>
    </w:lvl>
    <w:lvl w:ilvl="2">
      <w:start w:val="0"/>
      <w:numFmt w:val="bullet"/>
      <w:lvlText w:val="•"/>
      <w:lvlJc w:val="left"/>
      <w:pPr>
        <w:ind w:left="3844" w:hanging="211"/>
      </w:pPr>
      <w:rPr>
        <w:rFonts w:hint="default"/>
      </w:rPr>
    </w:lvl>
    <w:lvl w:ilvl="3">
      <w:start w:val="0"/>
      <w:numFmt w:val="bullet"/>
      <w:lvlText w:val="•"/>
      <w:lvlJc w:val="left"/>
      <w:pPr>
        <w:ind w:left="4517" w:hanging="211"/>
      </w:pPr>
      <w:rPr>
        <w:rFonts w:hint="default"/>
      </w:rPr>
    </w:lvl>
    <w:lvl w:ilvl="4">
      <w:start w:val="0"/>
      <w:numFmt w:val="bullet"/>
      <w:lvlText w:val="•"/>
      <w:lvlJc w:val="left"/>
      <w:pPr>
        <w:ind w:left="5189" w:hanging="211"/>
      </w:pPr>
      <w:rPr>
        <w:rFonts w:hint="default"/>
      </w:rPr>
    </w:lvl>
    <w:lvl w:ilvl="5">
      <w:start w:val="0"/>
      <w:numFmt w:val="bullet"/>
      <w:lvlText w:val="•"/>
      <w:lvlJc w:val="left"/>
      <w:pPr>
        <w:ind w:left="5862" w:hanging="211"/>
      </w:pPr>
      <w:rPr>
        <w:rFonts w:hint="default"/>
      </w:rPr>
    </w:lvl>
    <w:lvl w:ilvl="6">
      <w:start w:val="0"/>
      <w:numFmt w:val="bullet"/>
      <w:lvlText w:val="•"/>
      <w:lvlJc w:val="left"/>
      <w:pPr>
        <w:ind w:left="6534" w:hanging="211"/>
      </w:pPr>
      <w:rPr>
        <w:rFonts w:hint="default"/>
      </w:rPr>
    </w:lvl>
    <w:lvl w:ilvl="7">
      <w:start w:val="0"/>
      <w:numFmt w:val="bullet"/>
      <w:lvlText w:val="•"/>
      <w:lvlJc w:val="left"/>
      <w:pPr>
        <w:ind w:left="7207" w:hanging="211"/>
      </w:pPr>
      <w:rPr>
        <w:rFonts w:hint="default"/>
      </w:rPr>
    </w:lvl>
    <w:lvl w:ilvl="8">
      <w:start w:val="0"/>
      <w:numFmt w:val="bullet"/>
      <w:lvlText w:val="•"/>
      <w:lvlJc w:val="left"/>
      <w:pPr>
        <w:ind w:left="7879" w:hanging="211"/>
      </w:pPr>
      <w:rPr>
        <w:rFonts w:hint="default"/>
      </w:rPr>
    </w:lvl>
  </w:abstractNum>
  <w:abstractNum w:abstractNumId="14">
    <w:multiLevelType w:val="hybridMultilevel"/>
    <w:lvl w:ilvl="0">
      <w:start w:val="8"/>
      <w:numFmt w:val="decimal"/>
      <w:lvlText w:val="%1"/>
      <w:lvlJc w:val="left"/>
      <w:pPr>
        <w:ind w:left="2722" w:hanging="640"/>
        <w:jc w:val="left"/>
      </w:pPr>
      <w:rPr>
        <w:rFonts w:hint="default"/>
      </w:rPr>
    </w:lvl>
    <w:lvl w:ilvl="1">
      <w:start w:val="4"/>
      <w:numFmt w:val="decimal"/>
      <w:lvlText w:val="%1.%2"/>
      <w:lvlJc w:val="left"/>
      <w:pPr>
        <w:ind w:left="2722" w:hanging="640"/>
        <w:jc w:val="left"/>
      </w:pPr>
      <w:rPr>
        <w:rFonts w:hint="default" w:ascii="宋体" w:hAnsi="宋体" w:eastAsia="宋体" w:cs="宋体"/>
        <w:b/>
        <w:bCs/>
        <w:spacing w:val="0"/>
        <w:w w:val="99"/>
        <w:sz w:val="21"/>
        <w:szCs w:val="21"/>
      </w:rPr>
    </w:lvl>
    <w:lvl w:ilvl="2">
      <w:start w:val="0"/>
      <w:numFmt w:val="bullet"/>
      <w:lvlText w:val="•"/>
      <w:lvlJc w:val="left"/>
      <w:pPr>
        <w:ind w:left="4168" w:hanging="640"/>
      </w:pPr>
      <w:rPr>
        <w:rFonts w:hint="default"/>
      </w:rPr>
    </w:lvl>
    <w:lvl w:ilvl="3">
      <w:start w:val="0"/>
      <w:numFmt w:val="bullet"/>
      <w:lvlText w:val="•"/>
      <w:lvlJc w:val="left"/>
      <w:pPr>
        <w:ind w:left="4893" w:hanging="640"/>
      </w:pPr>
      <w:rPr>
        <w:rFonts w:hint="default"/>
      </w:rPr>
    </w:lvl>
    <w:lvl w:ilvl="4">
      <w:start w:val="0"/>
      <w:numFmt w:val="bullet"/>
      <w:lvlText w:val="•"/>
      <w:lvlJc w:val="left"/>
      <w:pPr>
        <w:ind w:left="5617" w:hanging="640"/>
      </w:pPr>
      <w:rPr>
        <w:rFonts w:hint="default"/>
      </w:rPr>
    </w:lvl>
    <w:lvl w:ilvl="5">
      <w:start w:val="0"/>
      <w:numFmt w:val="bullet"/>
      <w:lvlText w:val="•"/>
      <w:lvlJc w:val="left"/>
      <w:pPr>
        <w:ind w:left="6342" w:hanging="640"/>
      </w:pPr>
      <w:rPr>
        <w:rFonts w:hint="default"/>
      </w:rPr>
    </w:lvl>
    <w:lvl w:ilvl="6">
      <w:start w:val="0"/>
      <w:numFmt w:val="bullet"/>
      <w:lvlText w:val="•"/>
      <w:lvlJc w:val="left"/>
      <w:pPr>
        <w:ind w:left="7066" w:hanging="640"/>
      </w:pPr>
      <w:rPr>
        <w:rFonts w:hint="default"/>
      </w:rPr>
    </w:lvl>
    <w:lvl w:ilvl="7">
      <w:start w:val="0"/>
      <w:numFmt w:val="bullet"/>
      <w:lvlText w:val="•"/>
      <w:lvlJc w:val="left"/>
      <w:pPr>
        <w:ind w:left="7791" w:hanging="640"/>
      </w:pPr>
      <w:rPr>
        <w:rFonts w:hint="default"/>
      </w:rPr>
    </w:lvl>
    <w:lvl w:ilvl="8">
      <w:start w:val="0"/>
      <w:numFmt w:val="bullet"/>
      <w:lvlText w:val="•"/>
      <w:lvlJc w:val="left"/>
      <w:pPr>
        <w:ind w:left="8515" w:hanging="640"/>
      </w:pPr>
      <w:rPr>
        <w:rFonts w:hint="default"/>
      </w:rPr>
    </w:lvl>
  </w:abstractNum>
  <w:abstractNum w:abstractNumId="12">
    <w:multiLevelType w:val="hybridMultilevel"/>
    <w:lvl w:ilvl="0">
      <w:start w:val="7"/>
      <w:numFmt w:val="decimal"/>
      <w:lvlText w:val="%1"/>
      <w:lvlJc w:val="left"/>
      <w:pPr>
        <w:ind w:left="860" w:hanging="639"/>
        <w:jc w:val="left"/>
      </w:pPr>
      <w:rPr>
        <w:rFonts w:hint="default"/>
      </w:rPr>
    </w:lvl>
    <w:lvl w:ilvl="1">
      <w:start w:val="1"/>
      <w:numFmt w:val="decimal"/>
      <w:lvlText w:val="%1.%2"/>
      <w:lvlJc w:val="left"/>
      <w:pPr>
        <w:ind w:left="860" w:hanging="639"/>
        <w:jc w:val="left"/>
      </w:pPr>
      <w:rPr>
        <w:rFonts w:hint="default" w:ascii="宋体" w:hAnsi="宋体" w:eastAsia="宋体" w:cs="宋体"/>
        <w:b/>
        <w:bCs/>
        <w:w w:val="99"/>
        <w:sz w:val="21"/>
        <w:szCs w:val="21"/>
      </w:rPr>
    </w:lvl>
    <w:lvl w:ilvl="2">
      <w:start w:val="0"/>
      <w:numFmt w:val="bullet"/>
      <w:lvlText w:val="•"/>
      <w:lvlJc w:val="left"/>
      <w:pPr>
        <w:ind w:left="3460" w:hanging="639"/>
      </w:pPr>
      <w:rPr>
        <w:rFonts w:hint="default"/>
      </w:rPr>
    </w:lvl>
    <w:lvl w:ilvl="3">
      <w:start w:val="0"/>
      <w:numFmt w:val="bullet"/>
      <w:lvlText w:val="•"/>
      <w:lvlJc w:val="left"/>
      <w:pPr>
        <w:ind w:left="4273" w:hanging="639"/>
      </w:pPr>
      <w:rPr>
        <w:rFonts w:hint="default"/>
      </w:rPr>
    </w:lvl>
    <w:lvl w:ilvl="4">
      <w:start w:val="0"/>
      <w:numFmt w:val="bullet"/>
      <w:lvlText w:val="•"/>
      <w:lvlJc w:val="left"/>
      <w:pPr>
        <w:ind w:left="5086" w:hanging="639"/>
      </w:pPr>
      <w:rPr>
        <w:rFonts w:hint="default"/>
      </w:rPr>
    </w:lvl>
    <w:lvl w:ilvl="5">
      <w:start w:val="0"/>
      <w:numFmt w:val="bullet"/>
      <w:lvlText w:val="•"/>
      <w:lvlJc w:val="left"/>
      <w:pPr>
        <w:ind w:left="5899" w:hanging="639"/>
      </w:pPr>
      <w:rPr>
        <w:rFonts w:hint="default"/>
      </w:rPr>
    </w:lvl>
    <w:lvl w:ilvl="6">
      <w:start w:val="0"/>
      <w:numFmt w:val="bullet"/>
      <w:lvlText w:val="•"/>
      <w:lvlJc w:val="left"/>
      <w:pPr>
        <w:ind w:left="6712" w:hanging="639"/>
      </w:pPr>
      <w:rPr>
        <w:rFonts w:hint="default"/>
      </w:rPr>
    </w:lvl>
    <w:lvl w:ilvl="7">
      <w:start w:val="0"/>
      <w:numFmt w:val="bullet"/>
      <w:lvlText w:val="•"/>
      <w:lvlJc w:val="left"/>
      <w:pPr>
        <w:ind w:left="7525" w:hanging="639"/>
      </w:pPr>
      <w:rPr>
        <w:rFonts w:hint="default"/>
      </w:rPr>
    </w:lvl>
    <w:lvl w:ilvl="8">
      <w:start w:val="0"/>
      <w:numFmt w:val="bullet"/>
      <w:lvlText w:val="•"/>
      <w:lvlJc w:val="left"/>
      <w:pPr>
        <w:ind w:left="8338" w:hanging="639"/>
      </w:pPr>
      <w:rPr>
        <w:rFonts w:hint="default"/>
      </w:rPr>
    </w:lvl>
  </w:abstractNum>
  <w:abstractNum w:abstractNumId="11">
    <w:multiLevelType w:val="hybridMultilevel"/>
    <w:lvl w:ilvl="0">
      <w:start w:val="5"/>
      <w:numFmt w:val="decimal"/>
      <w:lvlText w:val="%1"/>
      <w:lvlJc w:val="left"/>
      <w:pPr>
        <w:ind w:left="2842" w:hanging="639"/>
        <w:jc w:val="left"/>
      </w:pPr>
      <w:rPr>
        <w:rFonts w:hint="default"/>
      </w:rPr>
    </w:lvl>
    <w:lvl w:ilvl="1">
      <w:start w:val="1"/>
      <w:numFmt w:val="decimal"/>
      <w:lvlText w:val="%1.%2"/>
      <w:lvlJc w:val="left"/>
      <w:pPr>
        <w:ind w:left="2842" w:hanging="639"/>
        <w:jc w:val="left"/>
      </w:pPr>
      <w:rPr>
        <w:rFonts w:hint="default" w:ascii="宋体" w:hAnsi="宋体" w:eastAsia="宋体" w:cs="宋体"/>
        <w:b/>
        <w:bCs/>
        <w:w w:val="99"/>
        <w:sz w:val="21"/>
        <w:szCs w:val="21"/>
      </w:rPr>
    </w:lvl>
    <w:lvl w:ilvl="2">
      <w:start w:val="0"/>
      <w:numFmt w:val="bullet"/>
      <w:lvlText w:val="•"/>
      <w:lvlJc w:val="left"/>
      <w:pPr>
        <w:ind w:left="4308" w:hanging="639"/>
      </w:pPr>
      <w:rPr>
        <w:rFonts w:hint="default"/>
      </w:rPr>
    </w:lvl>
    <w:lvl w:ilvl="3">
      <w:start w:val="0"/>
      <w:numFmt w:val="bullet"/>
      <w:lvlText w:val="•"/>
      <w:lvlJc w:val="left"/>
      <w:pPr>
        <w:ind w:left="5043" w:hanging="639"/>
      </w:pPr>
      <w:rPr>
        <w:rFonts w:hint="default"/>
      </w:rPr>
    </w:lvl>
    <w:lvl w:ilvl="4">
      <w:start w:val="0"/>
      <w:numFmt w:val="bullet"/>
      <w:lvlText w:val="•"/>
      <w:lvlJc w:val="left"/>
      <w:pPr>
        <w:ind w:left="5777" w:hanging="639"/>
      </w:pPr>
      <w:rPr>
        <w:rFonts w:hint="default"/>
      </w:rPr>
    </w:lvl>
    <w:lvl w:ilvl="5">
      <w:start w:val="0"/>
      <w:numFmt w:val="bullet"/>
      <w:lvlText w:val="•"/>
      <w:lvlJc w:val="left"/>
      <w:pPr>
        <w:ind w:left="6512" w:hanging="639"/>
      </w:pPr>
      <w:rPr>
        <w:rFonts w:hint="default"/>
      </w:rPr>
    </w:lvl>
    <w:lvl w:ilvl="6">
      <w:start w:val="0"/>
      <w:numFmt w:val="bullet"/>
      <w:lvlText w:val="•"/>
      <w:lvlJc w:val="left"/>
      <w:pPr>
        <w:ind w:left="7246" w:hanging="639"/>
      </w:pPr>
      <w:rPr>
        <w:rFonts w:hint="default"/>
      </w:rPr>
    </w:lvl>
    <w:lvl w:ilvl="7">
      <w:start w:val="0"/>
      <w:numFmt w:val="bullet"/>
      <w:lvlText w:val="•"/>
      <w:lvlJc w:val="left"/>
      <w:pPr>
        <w:ind w:left="7981" w:hanging="639"/>
      </w:pPr>
      <w:rPr>
        <w:rFonts w:hint="default"/>
      </w:rPr>
    </w:lvl>
    <w:lvl w:ilvl="8">
      <w:start w:val="0"/>
      <w:numFmt w:val="bullet"/>
      <w:lvlText w:val="•"/>
      <w:lvlJc w:val="left"/>
      <w:pPr>
        <w:ind w:left="8715" w:hanging="639"/>
      </w:pPr>
      <w:rPr>
        <w:rFonts w:hint="default"/>
      </w:rPr>
    </w:lvl>
  </w:abstractNum>
  <w:abstractNum w:abstractNumId="10">
    <w:multiLevelType w:val="hybridMultilevel"/>
    <w:lvl w:ilvl="0">
      <w:start w:val="4"/>
      <w:numFmt w:val="decimal"/>
      <w:lvlText w:val="%1"/>
      <w:lvlJc w:val="left"/>
      <w:pPr>
        <w:ind w:left="2842" w:hanging="640"/>
        <w:jc w:val="left"/>
      </w:pPr>
      <w:rPr>
        <w:rFonts w:hint="default"/>
      </w:rPr>
    </w:lvl>
    <w:lvl w:ilvl="1">
      <w:start w:val="1"/>
      <w:numFmt w:val="decimal"/>
      <w:lvlText w:val="%1.%2"/>
      <w:lvlJc w:val="left"/>
      <w:pPr>
        <w:ind w:left="2842"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9">
    <w:multiLevelType w:val="hybridMultilevel"/>
    <w:lvl w:ilvl="0">
      <w:start w:val="3"/>
      <w:numFmt w:val="decimal"/>
      <w:lvlText w:val="%1"/>
      <w:lvlJc w:val="left"/>
      <w:pPr>
        <w:ind w:left="880" w:hanging="640"/>
        <w:jc w:val="left"/>
      </w:pPr>
      <w:rPr>
        <w:rFonts w:hint="default"/>
      </w:rPr>
    </w:lvl>
    <w:lvl w:ilvl="1">
      <w:start w:val="1"/>
      <w:numFmt w:val="decimal"/>
      <w:lvlText w:val="%1.%2"/>
      <w:lvlJc w:val="left"/>
      <w:pPr>
        <w:ind w:left="880" w:hanging="640"/>
        <w:jc w:val="left"/>
      </w:pPr>
      <w:rPr>
        <w:rFonts w:hint="default" w:ascii="宋体" w:hAnsi="宋体" w:eastAsia="宋体" w:cs="宋体"/>
        <w:b/>
        <w:bCs/>
        <w:spacing w:val="0"/>
        <w:w w:val="99"/>
        <w:sz w:val="21"/>
        <w:szCs w:val="21"/>
      </w:rPr>
    </w:lvl>
    <w:lvl w:ilvl="2">
      <w:start w:val="0"/>
      <w:numFmt w:val="bullet"/>
      <w:lvlText w:val="•"/>
      <w:lvlJc w:val="left"/>
      <w:pPr>
        <w:ind w:left="1217" w:hanging="640"/>
      </w:pPr>
      <w:rPr>
        <w:rFonts w:hint="default"/>
      </w:rPr>
    </w:lvl>
    <w:lvl w:ilvl="3">
      <w:start w:val="0"/>
      <w:numFmt w:val="bullet"/>
      <w:lvlText w:val="•"/>
      <w:lvlJc w:val="left"/>
      <w:pPr>
        <w:ind w:left="1386" w:hanging="640"/>
      </w:pPr>
      <w:rPr>
        <w:rFonts w:hint="default"/>
      </w:rPr>
    </w:lvl>
    <w:lvl w:ilvl="4">
      <w:start w:val="0"/>
      <w:numFmt w:val="bullet"/>
      <w:lvlText w:val="•"/>
      <w:lvlJc w:val="left"/>
      <w:pPr>
        <w:ind w:left="1555" w:hanging="640"/>
      </w:pPr>
      <w:rPr>
        <w:rFonts w:hint="default"/>
      </w:rPr>
    </w:lvl>
    <w:lvl w:ilvl="5">
      <w:start w:val="0"/>
      <w:numFmt w:val="bullet"/>
      <w:lvlText w:val="•"/>
      <w:lvlJc w:val="left"/>
      <w:pPr>
        <w:ind w:left="1723" w:hanging="640"/>
      </w:pPr>
      <w:rPr>
        <w:rFonts w:hint="default"/>
      </w:rPr>
    </w:lvl>
    <w:lvl w:ilvl="6">
      <w:start w:val="0"/>
      <w:numFmt w:val="bullet"/>
      <w:lvlText w:val="•"/>
      <w:lvlJc w:val="left"/>
      <w:pPr>
        <w:ind w:left="1892" w:hanging="640"/>
      </w:pPr>
      <w:rPr>
        <w:rFonts w:hint="default"/>
      </w:rPr>
    </w:lvl>
    <w:lvl w:ilvl="7">
      <w:start w:val="0"/>
      <w:numFmt w:val="bullet"/>
      <w:lvlText w:val="•"/>
      <w:lvlJc w:val="left"/>
      <w:pPr>
        <w:ind w:left="2061" w:hanging="640"/>
      </w:pPr>
      <w:rPr>
        <w:rFonts w:hint="default"/>
      </w:rPr>
    </w:lvl>
    <w:lvl w:ilvl="8">
      <w:start w:val="0"/>
      <w:numFmt w:val="bullet"/>
      <w:lvlText w:val="•"/>
      <w:lvlJc w:val="left"/>
      <w:pPr>
        <w:ind w:left="2230" w:hanging="640"/>
      </w:pPr>
      <w:rPr>
        <w:rFonts w:hint="default"/>
      </w:rPr>
    </w:lvl>
  </w:abstractNum>
  <w:abstractNum w:abstractNumId="8">
    <w:multiLevelType w:val="hybridMultilevel"/>
    <w:lvl w:ilvl="0">
      <w:start w:val="2"/>
      <w:numFmt w:val="decimal"/>
      <w:lvlText w:val="%1"/>
      <w:lvlJc w:val="left"/>
      <w:pPr>
        <w:ind w:left="2722" w:hanging="640"/>
        <w:jc w:val="left"/>
      </w:pPr>
      <w:rPr>
        <w:rFonts w:hint="default"/>
      </w:rPr>
    </w:lvl>
    <w:lvl w:ilvl="1">
      <w:start w:val="2"/>
      <w:numFmt w:val="decimal"/>
      <w:lvlText w:val="%1.%2"/>
      <w:lvlJc w:val="left"/>
      <w:pPr>
        <w:ind w:left="2722" w:hanging="640"/>
        <w:jc w:val="right"/>
      </w:pPr>
      <w:rPr>
        <w:rFonts w:hint="default" w:ascii="宋体" w:hAnsi="宋体" w:eastAsia="宋体" w:cs="宋体"/>
        <w:b/>
        <w:bCs/>
        <w:spacing w:val="0"/>
        <w:w w:val="99"/>
        <w:sz w:val="21"/>
        <w:szCs w:val="21"/>
      </w:rPr>
    </w:lvl>
    <w:lvl w:ilvl="2">
      <w:start w:val="1"/>
      <w:numFmt w:val="decimal"/>
      <w:lvlText w:val="(%3)"/>
      <w:lvlJc w:val="left"/>
      <w:pPr>
        <w:ind w:left="3278" w:hanging="421"/>
        <w:jc w:val="left"/>
      </w:pPr>
      <w:rPr>
        <w:rFonts w:hint="default" w:ascii="黑体" w:hAnsi="黑体" w:eastAsia="黑体" w:cs="黑体"/>
        <w:spacing w:val="-2"/>
        <w:w w:val="100"/>
        <w:sz w:val="21"/>
        <w:szCs w:val="21"/>
      </w:rPr>
    </w:lvl>
    <w:lvl w:ilvl="3">
      <w:start w:val="0"/>
      <w:numFmt w:val="bullet"/>
      <w:lvlText w:val="•"/>
      <w:lvlJc w:val="left"/>
      <w:pPr>
        <w:ind w:left="4778" w:hanging="421"/>
      </w:pPr>
      <w:rPr>
        <w:rFonts w:hint="default"/>
      </w:rPr>
    </w:lvl>
    <w:lvl w:ilvl="4">
      <w:start w:val="0"/>
      <w:numFmt w:val="bullet"/>
      <w:lvlText w:val="•"/>
      <w:lvlJc w:val="left"/>
      <w:pPr>
        <w:ind w:left="5528" w:hanging="421"/>
      </w:pPr>
      <w:rPr>
        <w:rFonts w:hint="default"/>
      </w:rPr>
    </w:lvl>
    <w:lvl w:ilvl="5">
      <w:start w:val="0"/>
      <w:numFmt w:val="bullet"/>
      <w:lvlText w:val="•"/>
      <w:lvlJc w:val="left"/>
      <w:pPr>
        <w:ind w:left="6277" w:hanging="421"/>
      </w:pPr>
      <w:rPr>
        <w:rFonts w:hint="default"/>
      </w:rPr>
    </w:lvl>
    <w:lvl w:ilvl="6">
      <w:start w:val="0"/>
      <w:numFmt w:val="bullet"/>
      <w:lvlText w:val="•"/>
      <w:lvlJc w:val="left"/>
      <w:pPr>
        <w:ind w:left="7026" w:hanging="421"/>
      </w:pPr>
      <w:rPr>
        <w:rFonts w:hint="default"/>
      </w:rPr>
    </w:lvl>
    <w:lvl w:ilvl="7">
      <w:start w:val="0"/>
      <w:numFmt w:val="bullet"/>
      <w:lvlText w:val="•"/>
      <w:lvlJc w:val="left"/>
      <w:pPr>
        <w:ind w:left="7776" w:hanging="421"/>
      </w:pPr>
      <w:rPr>
        <w:rFonts w:hint="default"/>
      </w:rPr>
    </w:lvl>
    <w:lvl w:ilvl="8">
      <w:start w:val="0"/>
      <w:numFmt w:val="bullet"/>
      <w:lvlText w:val="•"/>
      <w:lvlJc w:val="left"/>
      <w:pPr>
        <w:ind w:left="8525" w:hanging="421"/>
      </w:pPr>
      <w:rPr>
        <w:rFonts w:hint="default"/>
      </w:rPr>
    </w:lvl>
  </w:abstractNum>
  <w:abstractNum w:abstractNumId="7">
    <w:multiLevelType w:val="hybridMultilevel"/>
    <w:lvl w:ilvl="0">
      <w:start w:val="8"/>
      <w:numFmt w:val="decimal"/>
      <w:lvlText w:val="%1"/>
      <w:lvlJc w:val="left"/>
      <w:pPr>
        <w:ind w:left="642" w:hanging="420"/>
        <w:jc w:val="left"/>
      </w:pPr>
      <w:rPr>
        <w:rFonts w:hint="default"/>
      </w:rPr>
    </w:lvl>
    <w:lvl w:ilvl="1">
      <w:start w:val="1"/>
      <w:numFmt w:val="decimal"/>
      <w:lvlText w:val="%1.%2"/>
      <w:lvlJc w:val="left"/>
      <w:pPr>
        <w:ind w:left="800" w:hanging="420"/>
        <w:jc w:val="right"/>
      </w:pPr>
      <w:rPr>
        <w:rFonts w:hint="default" w:ascii="宋体" w:hAnsi="宋体" w:eastAsia="宋体" w:cs="宋体"/>
        <w:spacing w:val="-1"/>
        <w:w w:val="100"/>
        <w:sz w:val="21"/>
        <w:szCs w:val="21"/>
      </w:rPr>
    </w:lvl>
    <w:lvl w:ilvl="2">
      <w:start w:val="0"/>
      <w:numFmt w:val="bullet"/>
      <w:lvlText w:val="•"/>
      <w:lvlJc w:val="left"/>
      <w:pPr>
        <w:ind w:left="992" w:hanging="420"/>
      </w:pPr>
      <w:rPr>
        <w:rFonts w:hint="default"/>
      </w:rPr>
    </w:lvl>
    <w:lvl w:ilvl="3">
      <w:start w:val="0"/>
      <w:numFmt w:val="bullet"/>
      <w:lvlText w:val="•"/>
      <w:lvlJc w:val="left"/>
      <w:pPr>
        <w:ind w:left="1185" w:hanging="420"/>
      </w:pPr>
      <w:rPr>
        <w:rFonts w:hint="default"/>
      </w:rPr>
    </w:lvl>
    <w:lvl w:ilvl="4">
      <w:start w:val="0"/>
      <w:numFmt w:val="bullet"/>
      <w:lvlText w:val="•"/>
      <w:lvlJc w:val="left"/>
      <w:pPr>
        <w:ind w:left="1377" w:hanging="420"/>
      </w:pPr>
      <w:rPr>
        <w:rFonts w:hint="default"/>
      </w:rPr>
    </w:lvl>
    <w:lvl w:ilvl="5">
      <w:start w:val="0"/>
      <w:numFmt w:val="bullet"/>
      <w:lvlText w:val="•"/>
      <w:lvlJc w:val="left"/>
      <w:pPr>
        <w:ind w:left="1570" w:hanging="420"/>
      </w:pPr>
      <w:rPr>
        <w:rFonts w:hint="default"/>
      </w:rPr>
    </w:lvl>
    <w:lvl w:ilvl="6">
      <w:start w:val="0"/>
      <w:numFmt w:val="bullet"/>
      <w:lvlText w:val="•"/>
      <w:lvlJc w:val="left"/>
      <w:pPr>
        <w:ind w:left="1762" w:hanging="420"/>
      </w:pPr>
      <w:rPr>
        <w:rFonts w:hint="default"/>
      </w:rPr>
    </w:lvl>
    <w:lvl w:ilvl="7">
      <w:start w:val="0"/>
      <w:numFmt w:val="bullet"/>
      <w:lvlText w:val="•"/>
      <w:lvlJc w:val="left"/>
      <w:pPr>
        <w:ind w:left="1955" w:hanging="420"/>
      </w:pPr>
      <w:rPr>
        <w:rFonts w:hint="default"/>
      </w:rPr>
    </w:lvl>
    <w:lvl w:ilvl="8">
      <w:start w:val="0"/>
      <w:numFmt w:val="bullet"/>
      <w:lvlText w:val="•"/>
      <w:lvlJc w:val="left"/>
      <w:pPr>
        <w:ind w:left="2147" w:hanging="420"/>
      </w:pPr>
      <w:rPr>
        <w:rFonts w:hint="default"/>
      </w:rPr>
    </w:lvl>
  </w:abstractNum>
  <w:abstractNum w:abstractNumId="6">
    <w:multiLevelType w:val="hybridMultilevel"/>
    <w:lvl w:ilvl="0">
      <w:start w:val="7"/>
      <w:numFmt w:val="decimal"/>
      <w:lvlText w:val="%1"/>
      <w:lvlJc w:val="left"/>
      <w:pPr>
        <w:ind w:left="642" w:hanging="420"/>
        <w:jc w:val="left"/>
      </w:pPr>
      <w:rPr>
        <w:rFonts w:hint="default"/>
      </w:rPr>
    </w:lvl>
    <w:lvl w:ilvl="1">
      <w:start w:val="1"/>
      <w:numFmt w:val="decimal"/>
      <w:lvlText w:val="%1.%2"/>
      <w:lvlJc w:val="left"/>
      <w:pPr>
        <w:ind w:left="642" w:hanging="420"/>
        <w:jc w:val="left"/>
      </w:pPr>
      <w:rPr>
        <w:rFonts w:hint="default" w:ascii="宋体" w:hAnsi="宋体" w:eastAsia="宋体" w:cs="宋体"/>
        <w:spacing w:val="-1"/>
        <w:w w:val="100"/>
        <w:sz w:val="21"/>
        <w:szCs w:val="21"/>
      </w:rPr>
    </w:lvl>
    <w:lvl w:ilvl="2">
      <w:start w:val="0"/>
      <w:numFmt w:val="bullet"/>
      <w:lvlText w:val="•"/>
      <w:lvlJc w:val="left"/>
      <w:pPr>
        <w:ind w:left="1018" w:hanging="420"/>
      </w:pPr>
      <w:rPr>
        <w:rFonts w:hint="default"/>
      </w:rPr>
    </w:lvl>
    <w:lvl w:ilvl="3">
      <w:start w:val="0"/>
      <w:numFmt w:val="bullet"/>
      <w:lvlText w:val="•"/>
      <w:lvlJc w:val="left"/>
      <w:pPr>
        <w:ind w:left="1207" w:hanging="420"/>
      </w:pPr>
      <w:rPr>
        <w:rFonts w:hint="default"/>
      </w:rPr>
    </w:lvl>
    <w:lvl w:ilvl="4">
      <w:start w:val="0"/>
      <w:numFmt w:val="bullet"/>
      <w:lvlText w:val="•"/>
      <w:lvlJc w:val="left"/>
      <w:pPr>
        <w:ind w:left="1397" w:hanging="420"/>
      </w:pPr>
      <w:rPr>
        <w:rFonts w:hint="default"/>
      </w:rPr>
    </w:lvl>
    <w:lvl w:ilvl="5">
      <w:start w:val="0"/>
      <w:numFmt w:val="bullet"/>
      <w:lvlText w:val="•"/>
      <w:lvlJc w:val="left"/>
      <w:pPr>
        <w:ind w:left="1586" w:hanging="420"/>
      </w:pPr>
      <w:rPr>
        <w:rFonts w:hint="default"/>
      </w:rPr>
    </w:lvl>
    <w:lvl w:ilvl="6">
      <w:start w:val="0"/>
      <w:numFmt w:val="bullet"/>
      <w:lvlText w:val="•"/>
      <w:lvlJc w:val="left"/>
      <w:pPr>
        <w:ind w:left="1775" w:hanging="420"/>
      </w:pPr>
      <w:rPr>
        <w:rFonts w:hint="default"/>
      </w:rPr>
    </w:lvl>
    <w:lvl w:ilvl="7">
      <w:start w:val="0"/>
      <w:numFmt w:val="bullet"/>
      <w:lvlText w:val="•"/>
      <w:lvlJc w:val="left"/>
      <w:pPr>
        <w:ind w:left="1964" w:hanging="420"/>
      </w:pPr>
      <w:rPr>
        <w:rFonts w:hint="default"/>
      </w:rPr>
    </w:lvl>
    <w:lvl w:ilvl="8">
      <w:start w:val="0"/>
      <w:numFmt w:val="bullet"/>
      <w:lvlText w:val="•"/>
      <w:lvlJc w:val="left"/>
      <w:pPr>
        <w:ind w:left="2154" w:hanging="420"/>
      </w:pPr>
      <w:rPr>
        <w:rFonts w:hint="default"/>
      </w:rPr>
    </w:lvl>
  </w:abstractNum>
  <w:abstractNum w:abstractNumId="5">
    <w:multiLevelType w:val="hybridMultilevel"/>
    <w:lvl w:ilvl="0">
      <w:start w:val="5"/>
      <w:numFmt w:val="decimal"/>
      <w:lvlText w:val="%1"/>
      <w:lvlJc w:val="left"/>
      <w:pPr>
        <w:ind w:left="642" w:hanging="420"/>
        <w:jc w:val="left"/>
      </w:pPr>
      <w:rPr>
        <w:rFonts w:hint="default"/>
      </w:rPr>
    </w:lvl>
    <w:lvl w:ilvl="1">
      <w:start w:val="1"/>
      <w:numFmt w:val="decimal"/>
      <w:lvlText w:val="%1.%2"/>
      <w:lvlJc w:val="left"/>
      <w:pPr>
        <w:ind w:left="642" w:hanging="420"/>
        <w:jc w:val="left"/>
      </w:pPr>
      <w:rPr>
        <w:rFonts w:hint="default" w:ascii="宋体" w:hAnsi="宋体" w:eastAsia="宋体" w:cs="宋体"/>
        <w:spacing w:val="-1"/>
        <w:w w:val="100"/>
        <w:sz w:val="21"/>
        <w:szCs w:val="21"/>
      </w:rPr>
    </w:lvl>
    <w:lvl w:ilvl="2">
      <w:start w:val="0"/>
      <w:numFmt w:val="bullet"/>
      <w:lvlText w:val="•"/>
      <w:lvlJc w:val="left"/>
      <w:pPr>
        <w:ind w:left="1018" w:hanging="420"/>
      </w:pPr>
      <w:rPr>
        <w:rFonts w:hint="default"/>
      </w:rPr>
    </w:lvl>
    <w:lvl w:ilvl="3">
      <w:start w:val="0"/>
      <w:numFmt w:val="bullet"/>
      <w:lvlText w:val="•"/>
      <w:lvlJc w:val="left"/>
      <w:pPr>
        <w:ind w:left="1207" w:hanging="420"/>
      </w:pPr>
      <w:rPr>
        <w:rFonts w:hint="default"/>
      </w:rPr>
    </w:lvl>
    <w:lvl w:ilvl="4">
      <w:start w:val="0"/>
      <w:numFmt w:val="bullet"/>
      <w:lvlText w:val="•"/>
      <w:lvlJc w:val="left"/>
      <w:pPr>
        <w:ind w:left="1397" w:hanging="420"/>
      </w:pPr>
      <w:rPr>
        <w:rFonts w:hint="default"/>
      </w:rPr>
    </w:lvl>
    <w:lvl w:ilvl="5">
      <w:start w:val="0"/>
      <w:numFmt w:val="bullet"/>
      <w:lvlText w:val="•"/>
      <w:lvlJc w:val="left"/>
      <w:pPr>
        <w:ind w:left="1586" w:hanging="420"/>
      </w:pPr>
      <w:rPr>
        <w:rFonts w:hint="default"/>
      </w:rPr>
    </w:lvl>
    <w:lvl w:ilvl="6">
      <w:start w:val="0"/>
      <w:numFmt w:val="bullet"/>
      <w:lvlText w:val="•"/>
      <w:lvlJc w:val="left"/>
      <w:pPr>
        <w:ind w:left="1775" w:hanging="420"/>
      </w:pPr>
      <w:rPr>
        <w:rFonts w:hint="default"/>
      </w:rPr>
    </w:lvl>
    <w:lvl w:ilvl="7">
      <w:start w:val="0"/>
      <w:numFmt w:val="bullet"/>
      <w:lvlText w:val="•"/>
      <w:lvlJc w:val="left"/>
      <w:pPr>
        <w:ind w:left="1964" w:hanging="420"/>
      </w:pPr>
      <w:rPr>
        <w:rFonts w:hint="default"/>
      </w:rPr>
    </w:lvl>
    <w:lvl w:ilvl="8">
      <w:start w:val="0"/>
      <w:numFmt w:val="bullet"/>
      <w:lvlText w:val="•"/>
      <w:lvlJc w:val="left"/>
      <w:pPr>
        <w:ind w:left="2154" w:hanging="420"/>
      </w:pPr>
      <w:rPr>
        <w:rFonts w:hint="default"/>
      </w:rPr>
    </w:lvl>
  </w:abstractNum>
  <w:abstractNum w:abstractNumId="4">
    <w:multiLevelType w:val="hybridMultilevel"/>
    <w:lvl w:ilvl="0">
      <w:start w:val="4"/>
      <w:numFmt w:val="decimal"/>
      <w:lvlText w:val="%1"/>
      <w:lvlJc w:val="left"/>
      <w:pPr>
        <w:ind w:left="642" w:hanging="420"/>
        <w:jc w:val="left"/>
      </w:pPr>
      <w:rPr>
        <w:rFonts w:hint="default"/>
      </w:rPr>
    </w:lvl>
    <w:lvl w:ilvl="1">
      <w:start w:val="1"/>
      <w:numFmt w:val="decimal"/>
      <w:lvlText w:val="%1.%2"/>
      <w:lvlJc w:val="left"/>
      <w:pPr>
        <w:ind w:left="642" w:hanging="420"/>
        <w:jc w:val="left"/>
      </w:pPr>
      <w:rPr>
        <w:rFonts w:hint="default" w:ascii="宋体" w:hAnsi="宋体" w:eastAsia="宋体" w:cs="宋体"/>
        <w:spacing w:val="-1"/>
        <w:w w:val="100"/>
        <w:sz w:val="21"/>
        <w:szCs w:val="21"/>
      </w:rPr>
    </w:lvl>
    <w:lvl w:ilvl="2">
      <w:start w:val="0"/>
      <w:numFmt w:val="bullet"/>
      <w:lvlText w:val="•"/>
      <w:lvlJc w:val="left"/>
      <w:pPr>
        <w:ind w:left="1018" w:hanging="420"/>
      </w:pPr>
      <w:rPr>
        <w:rFonts w:hint="default"/>
      </w:rPr>
    </w:lvl>
    <w:lvl w:ilvl="3">
      <w:start w:val="0"/>
      <w:numFmt w:val="bullet"/>
      <w:lvlText w:val="•"/>
      <w:lvlJc w:val="left"/>
      <w:pPr>
        <w:ind w:left="1207" w:hanging="420"/>
      </w:pPr>
      <w:rPr>
        <w:rFonts w:hint="default"/>
      </w:rPr>
    </w:lvl>
    <w:lvl w:ilvl="4">
      <w:start w:val="0"/>
      <w:numFmt w:val="bullet"/>
      <w:lvlText w:val="•"/>
      <w:lvlJc w:val="left"/>
      <w:pPr>
        <w:ind w:left="1397" w:hanging="420"/>
      </w:pPr>
      <w:rPr>
        <w:rFonts w:hint="default"/>
      </w:rPr>
    </w:lvl>
    <w:lvl w:ilvl="5">
      <w:start w:val="0"/>
      <w:numFmt w:val="bullet"/>
      <w:lvlText w:val="•"/>
      <w:lvlJc w:val="left"/>
      <w:pPr>
        <w:ind w:left="1586" w:hanging="420"/>
      </w:pPr>
      <w:rPr>
        <w:rFonts w:hint="default"/>
      </w:rPr>
    </w:lvl>
    <w:lvl w:ilvl="6">
      <w:start w:val="0"/>
      <w:numFmt w:val="bullet"/>
      <w:lvlText w:val="•"/>
      <w:lvlJc w:val="left"/>
      <w:pPr>
        <w:ind w:left="1775" w:hanging="420"/>
      </w:pPr>
      <w:rPr>
        <w:rFonts w:hint="default"/>
      </w:rPr>
    </w:lvl>
    <w:lvl w:ilvl="7">
      <w:start w:val="0"/>
      <w:numFmt w:val="bullet"/>
      <w:lvlText w:val="•"/>
      <w:lvlJc w:val="left"/>
      <w:pPr>
        <w:ind w:left="1964" w:hanging="420"/>
      </w:pPr>
      <w:rPr>
        <w:rFonts w:hint="default"/>
      </w:rPr>
    </w:lvl>
    <w:lvl w:ilvl="8">
      <w:start w:val="0"/>
      <w:numFmt w:val="bullet"/>
      <w:lvlText w:val="•"/>
      <w:lvlJc w:val="left"/>
      <w:pPr>
        <w:ind w:left="2154" w:hanging="420"/>
      </w:pPr>
      <w:rPr>
        <w:rFonts w:hint="default"/>
      </w:rPr>
    </w:lvl>
  </w:abstractNum>
  <w:abstractNum w:abstractNumId="3">
    <w:multiLevelType w:val="hybridMultilevel"/>
    <w:lvl w:ilvl="0">
      <w:start w:val="3"/>
      <w:numFmt w:val="decimal"/>
      <w:lvlText w:val="%1"/>
      <w:lvlJc w:val="left"/>
      <w:pPr>
        <w:ind w:left="1806" w:hanging="368"/>
        <w:jc w:val="left"/>
      </w:pPr>
      <w:rPr>
        <w:rFonts w:hint="default"/>
      </w:rPr>
    </w:lvl>
    <w:lvl w:ilvl="1">
      <w:start w:val="1"/>
      <w:numFmt w:val="decimal"/>
      <w:lvlText w:val="%1.%2"/>
      <w:lvlJc w:val="left"/>
      <w:pPr>
        <w:ind w:left="1806" w:hanging="368"/>
        <w:jc w:val="left"/>
      </w:pPr>
      <w:rPr>
        <w:rFonts w:hint="default" w:ascii="宋体" w:hAnsi="宋体" w:eastAsia="宋体" w:cs="宋体"/>
        <w:spacing w:val="-1"/>
        <w:w w:val="100"/>
        <w:sz w:val="21"/>
        <w:szCs w:val="21"/>
      </w:rPr>
    </w:lvl>
    <w:lvl w:ilvl="2">
      <w:start w:val="0"/>
      <w:numFmt w:val="bullet"/>
      <w:lvlText w:val="•"/>
      <w:lvlJc w:val="left"/>
      <w:pPr>
        <w:ind w:left="2179" w:hanging="368"/>
      </w:pPr>
      <w:rPr>
        <w:rFonts w:hint="default"/>
      </w:rPr>
    </w:lvl>
    <w:lvl w:ilvl="3">
      <w:start w:val="0"/>
      <w:numFmt w:val="bullet"/>
      <w:lvlText w:val="•"/>
      <w:lvlJc w:val="left"/>
      <w:pPr>
        <w:ind w:left="2368" w:hanging="368"/>
      </w:pPr>
      <w:rPr>
        <w:rFonts w:hint="default"/>
      </w:rPr>
    </w:lvl>
    <w:lvl w:ilvl="4">
      <w:start w:val="0"/>
      <w:numFmt w:val="bullet"/>
      <w:lvlText w:val="•"/>
      <w:lvlJc w:val="left"/>
      <w:pPr>
        <w:ind w:left="2558" w:hanging="368"/>
      </w:pPr>
      <w:rPr>
        <w:rFonts w:hint="default"/>
      </w:rPr>
    </w:lvl>
    <w:lvl w:ilvl="5">
      <w:start w:val="0"/>
      <w:numFmt w:val="bullet"/>
      <w:lvlText w:val="•"/>
      <w:lvlJc w:val="left"/>
      <w:pPr>
        <w:ind w:left="2748" w:hanging="368"/>
      </w:pPr>
      <w:rPr>
        <w:rFonts w:hint="default"/>
      </w:rPr>
    </w:lvl>
    <w:lvl w:ilvl="6">
      <w:start w:val="0"/>
      <w:numFmt w:val="bullet"/>
      <w:lvlText w:val="•"/>
      <w:lvlJc w:val="left"/>
      <w:pPr>
        <w:ind w:left="2937" w:hanging="368"/>
      </w:pPr>
      <w:rPr>
        <w:rFonts w:hint="default"/>
      </w:rPr>
    </w:lvl>
    <w:lvl w:ilvl="7">
      <w:start w:val="0"/>
      <w:numFmt w:val="bullet"/>
      <w:lvlText w:val="•"/>
      <w:lvlJc w:val="left"/>
      <w:pPr>
        <w:ind w:left="3127" w:hanging="368"/>
      </w:pPr>
      <w:rPr>
        <w:rFonts w:hint="default"/>
      </w:rPr>
    </w:lvl>
    <w:lvl w:ilvl="8">
      <w:start w:val="0"/>
      <w:numFmt w:val="bullet"/>
      <w:lvlText w:val="•"/>
      <w:lvlJc w:val="left"/>
      <w:pPr>
        <w:ind w:left="3317" w:hanging="368"/>
      </w:pPr>
      <w:rPr>
        <w:rFonts w:hint="default"/>
      </w:rPr>
    </w:lvl>
  </w:abstractNum>
  <w:abstractNum w:abstractNumId="2">
    <w:multiLevelType w:val="hybridMultilevel"/>
    <w:lvl w:ilvl="0">
      <w:start w:val="2"/>
      <w:numFmt w:val="decimal"/>
      <w:lvlText w:val="%1"/>
      <w:lvlJc w:val="left"/>
      <w:pPr>
        <w:ind w:left="1806" w:hanging="368"/>
        <w:jc w:val="left"/>
      </w:pPr>
      <w:rPr>
        <w:rFonts w:hint="default"/>
      </w:rPr>
    </w:lvl>
    <w:lvl w:ilvl="1">
      <w:start w:val="1"/>
      <w:numFmt w:val="decimal"/>
      <w:lvlText w:val="%1.%2"/>
      <w:lvlJc w:val="left"/>
      <w:pPr>
        <w:ind w:left="1806" w:hanging="368"/>
        <w:jc w:val="left"/>
      </w:pPr>
      <w:rPr>
        <w:rFonts w:hint="default" w:ascii="宋体" w:hAnsi="宋体" w:eastAsia="宋体" w:cs="宋体"/>
        <w:spacing w:val="-1"/>
        <w:w w:val="100"/>
        <w:sz w:val="21"/>
        <w:szCs w:val="21"/>
      </w:rPr>
    </w:lvl>
    <w:lvl w:ilvl="2">
      <w:start w:val="0"/>
      <w:numFmt w:val="bullet"/>
      <w:lvlText w:val="•"/>
      <w:lvlJc w:val="left"/>
      <w:pPr>
        <w:ind w:left="2179" w:hanging="368"/>
      </w:pPr>
      <w:rPr>
        <w:rFonts w:hint="default"/>
      </w:rPr>
    </w:lvl>
    <w:lvl w:ilvl="3">
      <w:start w:val="0"/>
      <w:numFmt w:val="bullet"/>
      <w:lvlText w:val="•"/>
      <w:lvlJc w:val="left"/>
      <w:pPr>
        <w:ind w:left="2368" w:hanging="368"/>
      </w:pPr>
      <w:rPr>
        <w:rFonts w:hint="default"/>
      </w:rPr>
    </w:lvl>
    <w:lvl w:ilvl="4">
      <w:start w:val="0"/>
      <w:numFmt w:val="bullet"/>
      <w:lvlText w:val="•"/>
      <w:lvlJc w:val="left"/>
      <w:pPr>
        <w:ind w:left="2558" w:hanging="368"/>
      </w:pPr>
      <w:rPr>
        <w:rFonts w:hint="default"/>
      </w:rPr>
    </w:lvl>
    <w:lvl w:ilvl="5">
      <w:start w:val="0"/>
      <w:numFmt w:val="bullet"/>
      <w:lvlText w:val="•"/>
      <w:lvlJc w:val="left"/>
      <w:pPr>
        <w:ind w:left="2748" w:hanging="368"/>
      </w:pPr>
      <w:rPr>
        <w:rFonts w:hint="default"/>
      </w:rPr>
    </w:lvl>
    <w:lvl w:ilvl="6">
      <w:start w:val="0"/>
      <w:numFmt w:val="bullet"/>
      <w:lvlText w:val="•"/>
      <w:lvlJc w:val="left"/>
      <w:pPr>
        <w:ind w:left="2937" w:hanging="368"/>
      </w:pPr>
      <w:rPr>
        <w:rFonts w:hint="default"/>
      </w:rPr>
    </w:lvl>
    <w:lvl w:ilvl="7">
      <w:start w:val="0"/>
      <w:numFmt w:val="bullet"/>
      <w:lvlText w:val="•"/>
      <w:lvlJc w:val="left"/>
      <w:pPr>
        <w:ind w:left="3127" w:hanging="368"/>
      </w:pPr>
      <w:rPr>
        <w:rFonts w:hint="default"/>
      </w:rPr>
    </w:lvl>
    <w:lvl w:ilvl="8">
      <w:start w:val="0"/>
      <w:numFmt w:val="bullet"/>
      <w:lvlText w:val="•"/>
      <w:lvlJc w:val="left"/>
      <w:pPr>
        <w:ind w:left="3317" w:hanging="368"/>
      </w:pPr>
      <w:rPr>
        <w:rFonts w:hint="default"/>
      </w:rPr>
    </w:lvl>
  </w:abstractNum>
  <w:abstractNum w:abstractNumId="1">
    <w:multiLevelType w:val="hybridMultilevel"/>
    <w:lvl w:ilvl="0">
      <w:start w:val="1"/>
      <w:numFmt w:val="decimal"/>
      <w:lvlText w:val="%1"/>
      <w:lvlJc w:val="left"/>
      <w:pPr>
        <w:ind w:left="1806" w:hanging="368"/>
        <w:jc w:val="left"/>
      </w:pPr>
      <w:rPr>
        <w:rFonts w:hint="default"/>
      </w:rPr>
    </w:lvl>
    <w:lvl w:ilvl="1">
      <w:start w:val="1"/>
      <w:numFmt w:val="decimal"/>
      <w:lvlText w:val="%1.%2"/>
      <w:lvlJc w:val="left"/>
      <w:pPr>
        <w:ind w:left="1806" w:hanging="368"/>
        <w:jc w:val="left"/>
      </w:pPr>
      <w:rPr>
        <w:rFonts w:hint="default" w:ascii="宋体" w:hAnsi="宋体" w:eastAsia="宋体" w:cs="宋体"/>
        <w:spacing w:val="-1"/>
        <w:w w:val="100"/>
        <w:sz w:val="21"/>
        <w:szCs w:val="21"/>
      </w:rPr>
    </w:lvl>
    <w:lvl w:ilvl="2">
      <w:start w:val="0"/>
      <w:numFmt w:val="bullet"/>
      <w:lvlText w:val="•"/>
      <w:lvlJc w:val="left"/>
      <w:pPr>
        <w:ind w:left="2179" w:hanging="368"/>
      </w:pPr>
      <w:rPr>
        <w:rFonts w:hint="default"/>
      </w:rPr>
    </w:lvl>
    <w:lvl w:ilvl="3">
      <w:start w:val="0"/>
      <w:numFmt w:val="bullet"/>
      <w:lvlText w:val="•"/>
      <w:lvlJc w:val="left"/>
      <w:pPr>
        <w:ind w:left="2368" w:hanging="368"/>
      </w:pPr>
      <w:rPr>
        <w:rFonts w:hint="default"/>
      </w:rPr>
    </w:lvl>
    <w:lvl w:ilvl="4">
      <w:start w:val="0"/>
      <w:numFmt w:val="bullet"/>
      <w:lvlText w:val="•"/>
      <w:lvlJc w:val="left"/>
      <w:pPr>
        <w:ind w:left="2558" w:hanging="368"/>
      </w:pPr>
      <w:rPr>
        <w:rFonts w:hint="default"/>
      </w:rPr>
    </w:lvl>
    <w:lvl w:ilvl="5">
      <w:start w:val="0"/>
      <w:numFmt w:val="bullet"/>
      <w:lvlText w:val="•"/>
      <w:lvlJc w:val="left"/>
      <w:pPr>
        <w:ind w:left="2748" w:hanging="368"/>
      </w:pPr>
      <w:rPr>
        <w:rFonts w:hint="default"/>
      </w:rPr>
    </w:lvl>
    <w:lvl w:ilvl="6">
      <w:start w:val="0"/>
      <w:numFmt w:val="bullet"/>
      <w:lvlText w:val="•"/>
      <w:lvlJc w:val="left"/>
      <w:pPr>
        <w:ind w:left="2937" w:hanging="368"/>
      </w:pPr>
      <w:rPr>
        <w:rFonts w:hint="default"/>
      </w:rPr>
    </w:lvl>
    <w:lvl w:ilvl="7">
      <w:start w:val="0"/>
      <w:numFmt w:val="bullet"/>
      <w:lvlText w:val="•"/>
      <w:lvlJc w:val="left"/>
      <w:pPr>
        <w:ind w:left="3127" w:hanging="368"/>
      </w:pPr>
      <w:rPr>
        <w:rFonts w:hint="default"/>
      </w:rPr>
    </w:lvl>
    <w:lvl w:ilvl="8">
      <w:start w:val="0"/>
      <w:numFmt w:val="bullet"/>
      <w:lvlText w:val="•"/>
      <w:lvlJc w:val="left"/>
      <w:pPr>
        <w:ind w:left="3317" w:hanging="368"/>
      </w:pPr>
      <w:rPr>
        <w:rFonts w:hint="default"/>
      </w:rPr>
    </w:lvl>
  </w:abstractNum>
  <w:abstractNum w:abstractNumId="0">
    <w:multiLevelType w:val="hybridMultilevel"/>
    <w:lvl w:ilvl="0">
      <w:start w:val="0"/>
      <w:numFmt w:val="bullet"/>
      <w:lvlText w:val=""/>
      <w:lvlJc w:val="left"/>
      <w:pPr>
        <w:ind w:left="1673" w:hanging="423"/>
      </w:pPr>
      <w:rPr>
        <w:rFonts w:hint="default" w:ascii="Wingdings" w:hAnsi="Wingdings" w:eastAsia="Wingdings" w:cs="Wingdings"/>
        <w:w w:val="100"/>
        <w:sz w:val="21"/>
        <w:szCs w:val="21"/>
      </w:rPr>
    </w:lvl>
    <w:lvl w:ilvl="1">
      <w:start w:val="0"/>
      <w:numFmt w:val="bullet"/>
      <w:lvlText w:val="•"/>
      <w:lvlJc w:val="left"/>
      <w:pPr>
        <w:ind w:left="2536" w:hanging="423"/>
      </w:pPr>
      <w:rPr>
        <w:rFonts w:hint="default"/>
      </w:rPr>
    </w:lvl>
    <w:lvl w:ilvl="2">
      <w:start w:val="0"/>
      <w:numFmt w:val="bullet"/>
      <w:lvlText w:val="•"/>
      <w:lvlJc w:val="left"/>
      <w:pPr>
        <w:ind w:left="3392" w:hanging="423"/>
      </w:pPr>
      <w:rPr>
        <w:rFonts w:hint="default"/>
      </w:rPr>
    </w:lvl>
    <w:lvl w:ilvl="3">
      <w:start w:val="0"/>
      <w:numFmt w:val="bullet"/>
      <w:lvlText w:val="•"/>
      <w:lvlJc w:val="left"/>
      <w:pPr>
        <w:ind w:left="4249" w:hanging="423"/>
      </w:pPr>
      <w:rPr>
        <w:rFonts w:hint="default"/>
      </w:rPr>
    </w:lvl>
    <w:lvl w:ilvl="4">
      <w:start w:val="0"/>
      <w:numFmt w:val="bullet"/>
      <w:lvlText w:val="•"/>
      <w:lvlJc w:val="left"/>
      <w:pPr>
        <w:ind w:left="5105" w:hanging="423"/>
      </w:pPr>
      <w:rPr>
        <w:rFonts w:hint="default"/>
      </w:rPr>
    </w:lvl>
    <w:lvl w:ilvl="5">
      <w:start w:val="0"/>
      <w:numFmt w:val="bullet"/>
      <w:lvlText w:val="•"/>
      <w:lvlJc w:val="left"/>
      <w:pPr>
        <w:ind w:left="5962" w:hanging="423"/>
      </w:pPr>
      <w:rPr>
        <w:rFonts w:hint="default"/>
      </w:rPr>
    </w:lvl>
    <w:lvl w:ilvl="6">
      <w:start w:val="0"/>
      <w:numFmt w:val="bullet"/>
      <w:lvlText w:val="•"/>
      <w:lvlJc w:val="left"/>
      <w:pPr>
        <w:ind w:left="6818" w:hanging="423"/>
      </w:pPr>
      <w:rPr>
        <w:rFonts w:hint="default"/>
      </w:rPr>
    </w:lvl>
    <w:lvl w:ilvl="7">
      <w:start w:val="0"/>
      <w:numFmt w:val="bullet"/>
      <w:lvlText w:val="•"/>
      <w:lvlJc w:val="left"/>
      <w:pPr>
        <w:ind w:left="7675" w:hanging="423"/>
      </w:pPr>
      <w:rPr>
        <w:rFonts w:hint="default"/>
      </w:rPr>
    </w:lvl>
    <w:lvl w:ilvl="8">
      <w:start w:val="0"/>
      <w:numFmt w:val="bullet"/>
      <w:lvlText w:val="•"/>
      <w:lvlJc w:val="left"/>
      <w:pPr>
        <w:ind w:left="8531" w:hanging="423"/>
      </w:pPr>
      <w:rPr>
        <w:rFonts w:hint="default"/>
      </w:rPr>
    </w:lvl>
  </w:abstractNum>
  <w:num w:numId="14">
    <w:abstractNumId w:val="13"/>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07" w:lineRule="exact"/>
      <w:ind w:left="1949" w:hanging="2324"/>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0"/>
      <w:ind w:left="221"/>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962"/>
      <w:outlineLvl w:val="3"/>
    </w:pPr>
    <w:rPr>
      <w:rFonts w:ascii="宋体" w:hAnsi="宋体" w:eastAsia="宋体" w:cs="宋体"/>
      <w:b/>
      <w:bCs/>
      <w:sz w:val="21"/>
      <w:szCs w:val="21"/>
    </w:rPr>
  </w:style>
  <w:style w:styleId="ListParagraph" w:type="paragraph">
    <w:name w:val="List Paragraph"/>
    <w:basedOn w:val="Normal"/>
    <w:uiPriority w:val="1"/>
    <w:qFormat/>
    <w:pPr>
      <w:spacing w:before="105"/>
      <w:ind w:left="180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&lt;4D6963726F736F667420576F7264202D20332D322EB9FABBAAB8BDBCD3B6A8C6DACAD9CFD5CCE1C7B0B8F8B8B6D6D8B4F3BCB2B2A1B1A3CFD5CCF5BFEEA3A86C6F676FB1E4B8FCA3A9A3A8B6FECEACC2EBA3A95FB9FABBAACAD9B7A25B323030395D39BAC55F&gt;</dc:title>
  <dcterms:created xsi:type="dcterms:W3CDTF">2018-10-20T00:21:15Z</dcterms:created>
  <dcterms:modified xsi:type="dcterms:W3CDTF">2018-10-20T00:21:15Z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PScript5.dll Version 5.2.2</vt:lpwstr>
  </property>
  <property fmtid="{D5CDD505-2E9C-101B-9397-08002B2CF9AE}" pid="4" name="LastSaved">
    <vt:filetime>2018-10-19T00:00:00Z</vt:filetime>
  </property>
</Properties>
</file>