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spacing w:before="80"/>
        <w:ind w:left="0" w:right="105" w:firstLine="0"/>
        <w:jc w:val="right"/>
        <w:rPr>
          <w:sz w:val="12"/>
        </w:rPr>
      </w:pPr>
      <w:r>
        <w:rPr/>
        <w:drawing>
          <wp:anchor distT="0" distB="0" distL="0" distR="0" allowOverlap="1" layoutInCell="1" locked="0" behindDoc="0" simplePos="0" relativeHeight="1072">
            <wp:simplePos x="0" y="0"/>
            <wp:positionH relativeFrom="page">
              <wp:posOffset>6110286</wp:posOffset>
            </wp:positionH>
            <wp:positionV relativeFrom="paragraph">
              <wp:posOffset>207935</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2"/>
        </w:rPr>
        <w:t>汇丰人寿[2010]重大疾病保险 030 号-4</w:t>
      </w:r>
    </w:p>
    <w:p>
      <w:pPr>
        <w:pStyle w:val="BodyText"/>
        <w:spacing w:before="1"/>
        <w:rPr>
          <w:sz w:val="28"/>
        </w:rPr>
      </w:pPr>
    </w:p>
    <w:p>
      <w:pPr>
        <w:spacing w:after="0"/>
        <w:rPr>
          <w:sz w:val="28"/>
        </w:rPr>
        <w:sectPr>
          <w:type w:val="continuous"/>
          <w:pgSz w:w="11910" w:h="16840"/>
          <w:pgMar w:top="780" w:bottom="280" w:left="580" w:right="560"/>
        </w:sectPr>
      </w:pPr>
    </w:p>
    <w:p>
      <w:pPr>
        <w:pStyle w:val="Heading1"/>
        <w:ind w:left="3307"/>
      </w:pPr>
      <w:bookmarkStart w:name="汇丰附加团体重大疾病保险条款" w:id="1"/>
      <w:bookmarkEnd w:id="1"/>
      <w:r>
        <w:rPr>
          <w:b w:val="0"/>
        </w:rPr>
      </w:r>
      <w:r>
        <w:rPr>
          <w:w w:val="95"/>
        </w:rPr>
        <w:t>汇丰附加团体重大疾病保险条款</w:t>
      </w:r>
    </w:p>
    <w:p>
      <w:pPr>
        <w:spacing w:before="67"/>
        <w:ind w:left="3306" w:right="95"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rPr>
          <w:rFonts w:ascii="Microsoft JhengHei"/>
          <w:b/>
          <w:sz w:val="12"/>
        </w:rPr>
      </w:pPr>
      <w:r>
        <w:rPr/>
        <w:br w:type="column"/>
      </w:r>
      <w:r>
        <w:rPr>
          <w:rFonts w:ascii="Microsoft JhengHei"/>
          <w:b/>
          <w:sz w:val="12"/>
        </w:rPr>
      </w:r>
    </w:p>
    <w:p>
      <w:pPr>
        <w:pStyle w:val="BodyText"/>
        <w:rPr>
          <w:rFonts w:ascii="Microsoft JhengHei"/>
          <w:b/>
          <w:sz w:val="12"/>
        </w:rPr>
      </w:pPr>
    </w:p>
    <w:p>
      <w:pPr>
        <w:pStyle w:val="BodyText"/>
        <w:rPr>
          <w:rFonts w:ascii="Microsoft JhengHei"/>
          <w:b/>
          <w:sz w:val="12"/>
        </w:rPr>
      </w:pPr>
    </w:p>
    <w:p>
      <w:pPr>
        <w:pStyle w:val="BodyText"/>
        <w:spacing w:before="5"/>
        <w:rPr>
          <w:rFonts w:ascii="Microsoft JhengHei"/>
          <w:b/>
          <w:sz w:val="15"/>
        </w:rPr>
      </w:pPr>
    </w:p>
    <w:p>
      <w:pPr>
        <w:spacing w:before="0"/>
        <w:ind w:left="1291" w:right="0" w:firstLine="0"/>
        <w:jc w:val="left"/>
        <w:rPr>
          <w:sz w:val="12"/>
        </w:rPr>
      </w:pPr>
      <w:r>
        <w:rPr>
          <w:sz w:val="12"/>
        </w:rPr>
        <w:t>请扫描以查询验证条款</w:t>
      </w:r>
    </w:p>
    <w:p>
      <w:pPr>
        <w:spacing w:after="0"/>
        <w:jc w:val="left"/>
        <w:rPr>
          <w:sz w:val="12"/>
        </w:rPr>
        <w:sectPr>
          <w:type w:val="continuous"/>
          <w:pgSz w:w="11910" w:h="16840"/>
          <w:pgMar w:top="780" w:bottom="280" w:left="580" w:right="560"/>
          <w:cols w:num="2" w:equalWidth="0">
            <w:col w:w="7698" w:space="40"/>
            <w:col w:w="3032"/>
          </w:cols>
        </w:sectPr>
      </w:pPr>
    </w:p>
    <w:p>
      <w:pPr>
        <w:pStyle w:val="BodyText"/>
        <w:spacing w:before="2"/>
        <w:rPr>
          <w:sz w:val="28"/>
        </w:rPr>
      </w:pPr>
    </w:p>
    <w:p>
      <w:pPr>
        <w:pStyle w:val="BodyText"/>
        <w:spacing w:before="37"/>
        <w:ind w:left="2115"/>
      </w:pPr>
      <w:r>
        <w:rPr/>
        <w:drawing>
          <wp:anchor distT="0" distB="0" distL="0" distR="0" allowOverlap="1" layoutInCell="1" locked="0" behindDoc="1" simplePos="0" relativeHeight="268398815">
            <wp:simplePos x="0" y="0"/>
            <wp:positionH relativeFrom="page">
              <wp:posOffset>473963</wp:posOffset>
            </wp:positionH>
            <wp:positionV relativeFrom="paragraph">
              <wp:posOffset>270695</wp:posOffset>
            </wp:positionV>
            <wp:extent cx="6469379" cy="722680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69379" cy="722680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1315" w:val="left" w:leader="none"/>
        </w:tabs>
        <w:spacing w:before="82"/>
        <w:ind w:left="362" w:right="0" w:firstLine="0"/>
        <w:jc w:val="left"/>
        <w:rPr>
          <w:b/>
          <w:sz w:val="21"/>
        </w:rPr>
      </w:pPr>
      <w:r>
        <w:rPr>
          <w:rFonts w:ascii="Arial" w:eastAsia="Arial"/>
          <w:b/>
          <w:position w:val="-11"/>
          <w:sz w:val="52"/>
        </w:rPr>
        <w:t>C</w:t>
        <w:tab/>
      </w:r>
      <w:r>
        <w:rPr>
          <w:b/>
          <w:spacing w:val="-1"/>
          <w:sz w:val="21"/>
        </w:rPr>
        <w:t>您拥有的重要权益</w:t>
      </w:r>
    </w:p>
    <w:p>
      <w:pPr>
        <w:pStyle w:val="ListParagraph"/>
        <w:numPr>
          <w:ilvl w:val="0"/>
          <w:numId w:val="1"/>
        </w:numPr>
        <w:tabs>
          <w:tab w:pos="1697" w:val="left" w:leader="none"/>
          <w:tab w:pos="1698" w:val="left" w:leader="none"/>
          <w:tab w:pos="9048" w:val="right" w:leader="dot"/>
        </w:tabs>
        <w:spacing w:line="240" w:lineRule="auto" w:before="26" w:after="0"/>
        <w:ind w:left="1697"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r>
      <w:r>
        <w:rPr>
          <w:rFonts w:ascii="Times New Roman" w:eastAsia="Times New Roman"/>
          <w:sz w:val="21"/>
        </w:rPr>
        <w:t>2.3</w:t>
      </w:r>
    </w:p>
    <w:p>
      <w:pPr>
        <w:pStyle w:val="ListParagraph"/>
        <w:numPr>
          <w:ilvl w:val="0"/>
          <w:numId w:val="1"/>
        </w:numPr>
        <w:tabs>
          <w:tab w:pos="1697" w:val="left" w:leader="none"/>
          <w:tab w:pos="1698" w:val="left" w:leader="none"/>
          <w:tab w:pos="9043" w:val="right" w:leader="dot"/>
        </w:tabs>
        <w:spacing w:line="240" w:lineRule="auto" w:before="21" w:after="0"/>
        <w:ind w:left="1697" w:right="0" w:hanging="420"/>
        <w:jc w:val="left"/>
        <w:rPr>
          <w:rFonts w:ascii="Times New Roman" w:eastAsia="Times New Roman"/>
          <w:sz w:val="21"/>
        </w:rPr>
      </w:pPr>
      <w:r>
        <w:rPr>
          <w:sz w:val="21"/>
        </w:rPr>
        <w:t>您有</w:t>
      </w:r>
      <w:r>
        <w:rPr>
          <w:spacing w:val="-3"/>
          <w:sz w:val="21"/>
        </w:rPr>
        <w:t>退</w:t>
      </w:r>
      <w:r>
        <w:rPr>
          <w:sz w:val="21"/>
        </w:rPr>
        <w:t>保</w:t>
      </w:r>
      <w:r>
        <w:rPr>
          <w:spacing w:val="-3"/>
          <w:sz w:val="21"/>
        </w:rPr>
        <w:t>的</w:t>
      </w:r>
      <w:r>
        <w:rPr>
          <w:sz w:val="21"/>
        </w:rPr>
        <w:t>权利</w:t>
        <w:tab/>
      </w:r>
      <w:r>
        <w:rPr>
          <w:rFonts w:ascii="Times New Roman" w:eastAsia="Times New Roman"/>
          <w:sz w:val="21"/>
        </w:rPr>
        <w:t>6.1</w:t>
      </w:r>
    </w:p>
    <w:p>
      <w:pPr>
        <w:tabs>
          <w:tab w:pos="1315" w:val="left" w:leader="none"/>
        </w:tabs>
        <w:spacing w:line="597" w:lineRule="exact" w:before="21"/>
        <w:ind w:left="362" w:right="0" w:firstLine="0"/>
        <w:jc w:val="left"/>
        <w:rPr>
          <w:b/>
          <w:sz w:val="21"/>
        </w:rPr>
      </w:pPr>
      <w:r>
        <w:rPr>
          <w:rFonts w:ascii="Arial" w:eastAsia="Arial"/>
          <w:b/>
          <w:position w:val="-11"/>
          <w:sz w:val="52"/>
        </w:rPr>
        <w:t>C</w:t>
        <w:tab/>
      </w:r>
      <w:r>
        <w:rPr>
          <w:b/>
          <w:spacing w:val="-1"/>
          <w:sz w:val="21"/>
        </w:rPr>
        <w:t>您应当特别注意的事项</w:t>
      </w:r>
    </w:p>
    <w:p>
      <w:pPr>
        <w:pStyle w:val="ListParagraph"/>
        <w:numPr>
          <w:ilvl w:val="0"/>
          <w:numId w:val="2"/>
        </w:numPr>
        <w:tabs>
          <w:tab w:pos="1697" w:val="left" w:leader="none"/>
          <w:tab w:pos="1698" w:val="left" w:leader="none"/>
          <w:tab w:pos="9055" w:val="right" w:leader="dot"/>
        </w:tabs>
        <w:spacing w:line="325" w:lineRule="exact" w:before="0" w:after="0"/>
        <w:ind w:left="1697"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2.4</w:t>
      </w:r>
    </w:p>
    <w:p>
      <w:pPr>
        <w:pStyle w:val="ListParagraph"/>
        <w:numPr>
          <w:ilvl w:val="0"/>
          <w:numId w:val="2"/>
        </w:numPr>
        <w:tabs>
          <w:tab w:pos="1697" w:val="left" w:leader="none"/>
          <w:tab w:pos="1698" w:val="left" w:leader="none"/>
          <w:tab w:pos="9049" w:val="right" w:leader="dot"/>
        </w:tabs>
        <w:spacing w:line="240" w:lineRule="auto" w:before="14" w:after="0"/>
        <w:ind w:left="1697" w:right="0" w:hanging="420"/>
        <w:jc w:val="left"/>
        <w:rPr>
          <w:rFonts w:ascii="Times New Roman" w:eastAsia="Times New Roman"/>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r>
      <w:r>
        <w:rPr>
          <w:rFonts w:ascii="Times New Roman" w:eastAsia="Times New Roman"/>
          <w:sz w:val="21"/>
        </w:rPr>
        <w:t>3.1</w:t>
      </w:r>
    </w:p>
    <w:p>
      <w:pPr>
        <w:pStyle w:val="ListParagraph"/>
        <w:numPr>
          <w:ilvl w:val="0"/>
          <w:numId w:val="2"/>
        </w:numPr>
        <w:tabs>
          <w:tab w:pos="1697" w:val="left" w:leader="none"/>
          <w:tab w:pos="1698" w:val="left" w:leader="none"/>
          <w:tab w:pos="9048" w:val="right" w:leader="dot"/>
        </w:tabs>
        <w:spacing w:line="240" w:lineRule="auto" w:before="21" w:after="0"/>
        <w:ind w:left="1697" w:right="0" w:hanging="420"/>
        <w:jc w:val="left"/>
        <w:rPr>
          <w:rFonts w:ascii="Times New Roman" w:eastAsia="Times New Roman"/>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6.1</w:t>
      </w:r>
    </w:p>
    <w:p>
      <w:pPr>
        <w:pStyle w:val="ListParagraph"/>
        <w:numPr>
          <w:ilvl w:val="0"/>
          <w:numId w:val="2"/>
        </w:numPr>
        <w:tabs>
          <w:tab w:pos="1697" w:val="left" w:leader="none"/>
          <w:tab w:pos="1698" w:val="left" w:leader="none"/>
          <w:tab w:pos="9043" w:val="right" w:leader="dot"/>
        </w:tabs>
        <w:spacing w:line="240" w:lineRule="auto" w:before="21" w:after="0"/>
        <w:ind w:left="1697" w:right="0" w:hanging="420"/>
        <w:jc w:val="left"/>
        <w:rPr>
          <w:rFonts w:ascii="Times New Roman" w:eastAsia="Times New Roman"/>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Times New Roman" w:eastAsia="Times New Roman"/>
          <w:sz w:val="21"/>
        </w:rPr>
        <w:t>7.1</w:t>
      </w:r>
    </w:p>
    <w:p>
      <w:pPr>
        <w:pStyle w:val="ListParagraph"/>
        <w:numPr>
          <w:ilvl w:val="0"/>
          <w:numId w:val="2"/>
        </w:numPr>
        <w:tabs>
          <w:tab w:pos="1697" w:val="left" w:leader="none"/>
          <w:tab w:pos="1698" w:val="left" w:leader="none"/>
          <w:tab w:pos="8998" w:val="right" w:leader="dot"/>
        </w:tabs>
        <w:spacing w:line="240" w:lineRule="auto" w:before="21" w:after="0"/>
        <w:ind w:left="1697"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10</w:t>
      </w:r>
    </w:p>
    <w:p>
      <w:pPr>
        <w:tabs>
          <w:tab w:pos="1315" w:val="left" w:leader="none"/>
        </w:tabs>
        <w:spacing w:before="21"/>
        <w:ind w:left="362" w:right="0" w:firstLine="0"/>
        <w:jc w:val="left"/>
        <w:rPr>
          <w:b/>
          <w:sz w:val="21"/>
        </w:rPr>
      </w:pPr>
      <w:r>
        <w:rPr>
          <w:rFonts w:ascii="Arial" w:eastAsia="Arial"/>
          <w:b/>
          <w:position w:val="-11"/>
          <w:sz w:val="52"/>
        </w:rPr>
        <w:t>C</w:t>
        <w:tab/>
      </w:r>
      <w:r>
        <w:rPr>
          <w:b/>
          <w:spacing w:val="-3"/>
          <w:sz w:val="21"/>
        </w:rPr>
        <w:t>条款是保险合同的重要内容，为充分保障您的权益，请您仔细阅读本条款。</w:t>
      </w:r>
    </w:p>
    <w:p>
      <w:pPr>
        <w:tabs>
          <w:tab w:pos="1315" w:val="left" w:leader="none"/>
        </w:tabs>
        <w:spacing w:before="25" w:after="51"/>
        <w:ind w:left="362" w:right="0" w:firstLine="0"/>
        <w:jc w:val="left"/>
        <w:rPr>
          <w:b/>
          <w:sz w:val="21"/>
        </w:rPr>
      </w:pPr>
      <w:r>
        <w:rPr>
          <w:rFonts w:ascii="Arial" w:eastAsia="Arial"/>
          <w:b/>
          <w:position w:val="-11"/>
          <w:sz w:val="52"/>
        </w:rPr>
        <w:t>C</w:t>
        <w:tab/>
      </w:r>
      <w:r>
        <w:rPr>
          <w:b/>
          <w:sz w:val="21"/>
        </w:rPr>
        <w:t>条款目录</w:t>
      </w: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1"/>
        <w:gridCol w:w="2926"/>
        <w:gridCol w:w="4258"/>
      </w:tblGrid>
      <w:tr>
        <w:trPr>
          <w:trHeight w:val="246" w:hRule="atLeast"/>
        </w:trPr>
        <w:tc>
          <w:tcPr>
            <w:tcW w:w="2491" w:type="dxa"/>
          </w:tcPr>
          <w:p>
            <w:pPr>
              <w:pStyle w:val="TableParagraph"/>
              <w:spacing w:line="227" w:lineRule="exact"/>
              <w:ind w:left="200"/>
              <w:rPr>
                <w:b/>
                <w:sz w:val="21"/>
              </w:rPr>
            </w:pPr>
            <w:r>
              <w:rPr>
                <w:rFonts w:ascii="Times New Roman" w:eastAsia="Times New Roman"/>
                <w:b/>
                <w:sz w:val="21"/>
              </w:rPr>
              <w:t>1.  </w:t>
            </w:r>
            <w:r>
              <w:rPr>
                <w:b/>
                <w:sz w:val="21"/>
              </w:rPr>
              <w:t>您与我们订立的合同</w:t>
            </w:r>
          </w:p>
        </w:tc>
        <w:tc>
          <w:tcPr>
            <w:tcW w:w="2926" w:type="dxa"/>
          </w:tcPr>
          <w:p>
            <w:pPr>
              <w:pStyle w:val="TableParagraph"/>
              <w:spacing w:line="227" w:lineRule="exact"/>
              <w:ind w:left="128"/>
              <w:rPr>
                <w:b/>
                <w:sz w:val="21"/>
              </w:rPr>
            </w:pPr>
            <w:r>
              <w:rPr>
                <w:rFonts w:ascii="Times New Roman" w:eastAsia="Times New Roman"/>
                <w:b/>
                <w:sz w:val="21"/>
              </w:rPr>
              <w:t>6</w:t>
            </w:r>
            <w:r>
              <w:rPr>
                <w:b/>
                <w:sz w:val="21"/>
              </w:rPr>
              <w:t>．合同解除</w:t>
            </w:r>
          </w:p>
        </w:tc>
        <w:tc>
          <w:tcPr>
            <w:tcW w:w="4258" w:type="dxa"/>
          </w:tcPr>
          <w:p>
            <w:pPr>
              <w:pStyle w:val="TableParagraph"/>
              <w:spacing w:line="227" w:lineRule="exact"/>
              <w:ind w:left="535"/>
              <w:rPr>
                <w:sz w:val="21"/>
              </w:rPr>
            </w:pPr>
            <w:r>
              <w:rPr>
                <w:rFonts w:ascii="Times New Roman" w:eastAsia="Times New Roman"/>
                <w:sz w:val="21"/>
              </w:rPr>
              <w:t>10.7  </w:t>
            </w:r>
            <w:r>
              <w:rPr>
                <w:sz w:val="21"/>
              </w:rPr>
              <w:t>专科医生</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1.1  </w:t>
            </w:r>
            <w:r>
              <w:rPr>
                <w:sz w:val="21"/>
              </w:rPr>
              <w:t>合同构成</w:t>
            </w:r>
          </w:p>
        </w:tc>
        <w:tc>
          <w:tcPr>
            <w:tcW w:w="2926" w:type="dxa"/>
          </w:tcPr>
          <w:p>
            <w:pPr>
              <w:pStyle w:val="TableParagraph"/>
              <w:spacing w:line="236" w:lineRule="exact"/>
              <w:ind w:right="534"/>
              <w:jc w:val="right"/>
              <w:rPr>
                <w:sz w:val="21"/>
              </w:rPr>
            </w:pPr>
            <w:r>
              <w:rPr>
                <w:rFonts w:ascii="Times New Roman" w:eastAsia="Times New Roman"/>
                <w:sz w:val="21"/>
              </w:rPr>
              <w:t>6.1  </w:t>
            </w:r>
            <w:r>
              <w:rPr>
                <w:sz w:val="21"/>
              </w:rPr>
              <w:t>您解除合同的手续</w:t>
            </w:r>
          </w:p>
        </w:tc>
        <w:tc>
          <w:tcPr>
            <w:tcW w:w="4258" w:type="dxa"/>
          </w:tcPr>
          <w:p>
            <w:pPr>
              <w:pStyle w:val="TableParagraph"/>
              <w:spacing w:line="236" w:lineRule="exact"/>
              <w:ind w:left="535"/>
              <w:rPr>
                <w:sz w:val="21"/>
              </w:rPr>
            </w:pPr>
            <w:r>
              <w:rPr>
                <w:rFonts w:ascii="Times New Roman" w:eastAsia="Times New Roman"/>
                <w:sz w:val="21"/>
              </w:rPr>
              <w:t>10.8  </w:t>
            </w:r>
            <w:r>
              <w:rPr>
                <w:sz w:val="21"/>
              </w:rPr>
              <w:t>医院</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1.2  </w:t>
            </w:r>
            <w:r>
              <w:rPr>
                <w:sz w:val="21"/>
              </w:rPr>
              <w:t>合同成立与生效</w:t>
            </w:r>
          </w:p>
        </w:tc>
        <w:tc>
          <w:tcPr>
            <w:tcW w:w="2926" w:type="dxa"/>
          </w:tcPr>
          <w:p>
            <w:pPr>
              <w:pStyle w:val="TableParagraph"/>
              <w:spacing w:line="234" w:lineRule="exact"/>
              <w:ind w:left="128"/>
              <w:rPr>
                <w:b/>
                <w:sz w:val="21"/>
              </w:rPr>
            </w:pPr>
            <w:r>
              <w:rPr>
                <w:rFonts w:ascii="Times New Roman" w:eastAsia="Times New Roman"/>
                <w:b/>
                <w:sz w:val="21"/>
              </w:rPr>
              <w:t>7</w:t>
            </w:r>
            <w:r>
              <w:rPr>
                <w:b/>
                <w:sz w:val="21"/>
              </w:rPr>
              <w:t>．如实告知</w:t>
            </w:r>
          </w:p>
        </w:tc>
        <w:tc>
          <w:tcPr>
            <w:tcW w:w="4258" w:type="dxa"/>
          </w:tcPr>
          <w:p>
            <w:pPr>
              <w:pStyle w:val="TableParagraph"/>
              <w:spacing w:line="234" w:lineRule="exact"/>
              <w:ind w:left="535"/>
              <w:rPr>
                <w:sz w:val="21"/>
              </w:rPr>
            </w:pPr>
            <w:r>
              <w:rPr>
                <w:rFonts w:ascii="Times New Roman" w:eastAsia="Times New Roman"/>
                <w:sz w:val="21"/>
              </w:rPr>
              <w:t>10.9  </w:t>
            </w:r>
            <w:r>
              <w:rPr>
                <w:sz w:val="21"/>
              </w:rPr>
              <w:t>毒品</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1.3  </w:t>
            </w:r>
            <w:r>
              <w:rPr>
                <w:sz w:val="21"/>
              </w:rPr>
              <w:t>合同终止</w:t>
            </w:r>
          </w:p>
        </w:tc>
        <w:tc>
          <w:tcPr>
            <w:tcW w:w="2926" w:type="dxa"/>
          </w:tcPr>
          <w:p>
            <w:pPr>
              <w:pStyle w:val="TableParagraph"/>
              <w:spacing w:line="234" w:lineRule="exact"/>
              <w:ind w:left="339"/>
              <w:rPr>
                <w:sz w:val="21"/>
              </w:rPr>
            </w:pPr>
            <w:r>
              <w:rPr>
                <w:rFonts w:ascii="Times New Roman" w:eastAsia="Times New Roman"/>
                <w:sz w:val="21"/>
              </w:rPr>
              <w:t>7.1  </w:t>
            </w:r>
            <w:r>
              <w:rPr>
                <w:sz w:val="21"/>
              </w:rPr>
              <w:t>如实告知</w:t>
            </w:r>
          </w:p>
        </w:tc>
        <w:tc>
          <w:tcPr>
            <w:tcW w:w="4258" w:type="dxa"/>
          </w:tcPr>
          <w:p>
            <w:pPr>
              <w:pStyle w:val="TableParagraph"/>
              <w:spacing w:line="234" w:lineRule="exact"/>
              <w:ind w:left="535"/>
              <w:rPr>
                <w:sz w:val="21"/>
              </w:rPr>
            </w:pPr>
            <w:r>
              <w:rPr>
                <w:rFonts w:ascii="Times New Roman" w:eastAsia="Times New Roman"/>
                <w:sz w:val="21"/>
              </w:rPr>
              <w:t>10.10  </w:t>
            </w:r>
            <w:r>
              <w:rPr>
                <w:sz w:val="21"/>
              </w:rPr>
              <w:t>酒后驾驶</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1.4  </w:t>
            </w:r>
            <w:r>
              <w:rPr>
                <w:sz w:val="21"/>
              </w:rPr>
              <w:t>投保范围</w:t>
            </w:r>
          </w:p>
        </w:tc>
        <w:tc>
          <w:tcPr>
            <w:tcW w:w="2926" w:type="dxa"/>
          </w:tcPr>
          <w:p>
            <w:pPr>
              <w:pStyle w:val="TableParagraph"/>
              <w:spacing w:line="236" w:lineRule="exact"/>
              <w:ind w:right="534"/>
              <w:jc w:val="right"/>
              <w:rPr>
                <w:sz w:val="21"/>
              </w:rPr>
            </w:pPr>
            <w:r>
              <w:rPr>
                <w:rFonts w:ascii="Times New Roman" w:eastAsia="Times New Roman"/>
                <w:sz w:val="21"/>
              </w:rPr>
              <w:t>7.2  </w:t>
            </w:r>
            <w:r>
              <w:rPr>
                <w:sz w:val="21"/>
              </w:rPr>
              <w:t>不如实告知的后果</w:t>
            </w:r>
          </w:p>
        </w:tc>
        <w:tc>
          <w:tcPr>
            <w:tcW w:w="4258" w:type="dxa"/>
          </w:tcPr>
          <w:p>
            <w:pPr>
              <w:pStyle w:val="TableParagraph"/>
              <w:spacing w:line="236" w:lineRule="exact"/>
              <w:ind w:left="535"/>
              <w:rPr>
                <w:sz w:val="21"/>
              </w:rPr>
            </w:pPr>
            <w:r>
              <w:rPr>
                <w:rFonts w:ascii="Times New Roman" w:eastAsia="Times New Roman"/>
                <w:sz w:val="21"/>
              </w:rPr>
              <w:t>10.11  </w:t>
            </w:r>
            <w:r>
              <w:rPr>
                <w:sz w:val="21"/>
              </w:rPr>
              <w:t>无合法有效驾驶证驾驶</w:t>
            </w:r>
          </w:p>
        </w:tc>
      </w:tr>
      <w:tr>
        <w:trPr>
          <w:trHeight w:val="255" w:hRule="atLeast"/>
        </w:trPr>
        <w:tc>
          <w:tcPr>
            <w:tcW w:w="2491" w:type="dxa"/>
          </w:tcPr>
          <w:p>
            <w:pPr>
              <w:pStyle w:val="TableParagraph"/>
              <w:spacing w:line="236" w:lineRule="exact"/>
              <w:ind w:left="200"/>
              <w:rPr>
                <w:b/>
                <w:sz w:val="21"/>
              </w:rPr>
            </w:pPr>
            <w:r>
              <w:rPr>
                <w:rFonts w:ascii="Times New Roman" w:eastAsia="Times New Roman"/>
                <w:b/>
                <w:sz w:val="21"/>
              </w:rPr>
              <w:t>2.  </w:t>
            </w:r>
            <w:r>
              <w:rPr>
                <w:b/>
                <w:sz w:val="21"/>
              </w:rPr>
              <w:t>我们提供的保障</w:t>
            </w:r>
          </w:p>
        </w:tc>
        <w:tc>
          <w:tcPr>
            <w:tcW w:w="2926" w:type="dxa"/>
          </w:tcPr>
          <w:p>
            <w:pPr>
              <w:pStyle w:val="TableParagraph"/>
              <w:spacing w:line="236" w:lineRule="exact"/>
              <w:ind w:left="128"/>
              <w:rPr>
                <w:b/>
                <w:sz w:val="21"/>
              </w:rPr>
            </w:pPr>
            <w:r>
              <w:rPr>
                <w:rFonts w:ascii="Times New Roman" w:eastAsia="Times New Roman"/>
                <w:b/>
                <w:sz w:val="21"/>
              </w:rPr>
              <w:t>8</w:t>
            </w:r>
            <w:r>
              <w:rPr>
                <w:b/>
                <w:sz w:val="21"/>
              </w:rPr>
              <w:t>．其他需要关注的事项</w:t>
            </w:r>
          </w:p>
        </w:tc>
        <w:tc>
          <w:tcPr>
            <w:tcW w:w="4258" w:type="dxa"/>
          </w:tcPr>
          <w:p>
            <w:pPr>
              <w:pStyle w:val="TableParagraph"/>
              <w:spacing w:line="236" w:lineRule="exact"/>
              <w:ind w:left="535"/>
              <w:rPr>
                <w:sz w:val="21"/>
              </w:rPr>
            </w:pPr>
            <w:r>
              <w:rPr>
                <w:rFonts w:ascii="Times New Roman" w:eastAsia="Times New Roman"/>
                <w:sz w:val="21"/>
              </w:rPr>
              <w:t>10.12  </w:t>
            </w:r>
            <w:r>
              <w:rPr>
                <w:sz w:val="21"/>
              </w:rPr>
              <w:t>无有效行驶证</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2.1  </w:t>
            </w:r>
            <w:r>
              <w:rPr>
                <w:sz w:val="21"/>
              </w:rPr>
              <w:t>基本保险金额</w:t>
            </w:r>
          </w:p>
        </w:tc>
        <w:tc>
          <w:tcPr>
            <w:tcW w:w="2926" w:type="dxa"/>
          </w:tcPr>
          <w:p>
            <w:pPr>
              <w:pStyle w:val="TableParagraph"/>
              <w:spacing w:line="234" w:lineRule="exact"/>
              <w:ind w:left="339"/>
              <w:rPr>
                <w:sz w:val="21"/>
              </w:rPr>
            </w:pPr>
            <w:r>
              <w:rPr>
                <w:rFonts w:ascii="Times New Roman" w:eastAsia="Times New Roman"/>
                <w:sz w:val="21"/>
              </w:rPr>
              <w:t>8.1  </w:t>
            </w:r>
            <w:r>
              <w:rPr>
                <w:sz w:val="21"/>
              </w:rPr>
              <w:t>年龄性别错误</w:t>
            </w:r>
          </w:p>
        </w:tc>
        <w:tc>
          <w:tcPr>
            <w:tcW w:w="4258" w:type="dxa"/>
          </w:tcPr>
          <w:p>
            <w:pPr>
              <w:pStyle w:val="TableParagraph"/>
              <w:spacing w:line="234" w:lineRule="exact"/>
              <w:ind w:left="535"/>
              <w:rPr>
                <w:sz w:val="21"/>
              </w:rPr>
            </w:pPr>
            <w:r>
              <w:rPr>
                <w:rFonts w:ascii="Times New Roman" w:eastAsia="Times New Roman"/>
                <w:sz w:val="21"/>
              </w:rPr>
              <w:t>10.13  </w:t>
            </w:r>
            <w:r>
              <w:rPr>
                <w:sz w:val="21"/>
              </w:rPr>
              <w:t>感染艾滋病病毒或患艾滋病</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2.2  </w:t>
            </w:r>
            <w:r>
              <w:rPr>
                <w:sz w:val="21"/>
              </w:rPr>
              <w:t>保险期间与续保</w:t>
            </w:r>
          </w:p>
        </w:tc>
        <w:tc>
          <w:tcPr>
            <w:tcW w:w="2926" w:type="dxa"/>
          </w:tcPr>
          <w:p>
            <w:pPr>
              <w:pStyle w:val="TableParagraph"/>
              <w:spacing w:line="234" w:lineRule="exact"/>
              <w:ind w:left="339"/>
              <w:rPr>
                <w:sz w:val="21"/>
              </w:rPr>
            </w:pPr>
            <w:r>
              <w:rPr>
                <w:rFonts w:ascii="Times New Roman" w:eastAsia="Times New Roman"/>
                <w:sz w:val="21"/>
              </w:rPr>
              <w:t>8.2  </w:t>
            </w:r>
            <w:r>
              <w:rPr>
                <w:sz w:val="21"/>
              </w:rPr>
              <w:t>合同内容变更</w:t>
            </w:r>
          </w:p>
        </w:tc>
        <w:tc>
          <w:tcPr>
            <w:tcW w:w="4258" w:type="dxa"/>
          </w:tcPr>
          <w:p>
            <w:pPr>
              <w:pStyle w:val="TableParagraph"/>
              <w:spacing w:line="234" w:lineRule="exact"/>
              <w:ind w:left="535"/>
              <w:rPr>
                <w:sz w:val="21"/>
              </w:rPr>
            </w:pPr>
            <w:r>
              <w:rPr>
                <w:rFonts w:ascii="Times New Roman" w:eastAsia="Times New Roman"/>
                <w:sz w:val="21"/>
              </w:rPr>
              <w:t>10.14  </w:t>
            </w:r>
            <w:r>
              <w:rPr>
                <w:sz w:val="21"/>
              </w:rPr>
              <w:t>遗传性疾病</w:t>
            </w:r>
          </w:p>
        </w:tc>
      </w:tr>
      <w:tr>
        <w:trPr>
          <w:trHeight w:val="251" w:hRule="atLeast"/>
        </w:trPr>
        <w:tc>
          <w:tcPr>
            <w:tcW w:w="2491" w:type="dxa"/>
          </w:tcPr>
          <w:p>
            <w:pPr>
              <w:pStyle w:val="TableParagraph"/>
              <w:spacing w:line="232" w:lineRule="exact"/>
              <w:ind w:left="411"/>
              <w:rPr>
                <w:sz w:val="21"/>
              </w:rPr>
            </w:pPr>
            <w:r>
              <w:rPr>
                <w:rFonts w:ascii="Times New Roman" w:eastAsia="Times New Roman"/>
                <w:sz w:val="21"/>
              </w:rPr>
              <w:t>2.3  </w:t>
            </w:r>
            <w:r>
              <w:rPr>
                <w:sz w:val="21"/>
              </w:rPr>
              <w:t>保险责任</w:t>
            </w:r>
          </w:p>
        </w:tc>
        <w:tc>
          <w:tcPr>
            <w:tcW w:w="2926" w:type="dxa"/>
          </w:tcPr>
          <w:p>
            <w:pPr>
              <w:pStyle w:val="TableParagraph"/>
              <w:spacing w:line="232" w:lineRule="exact"/>
              <w:ind w:left="339"/>
              <w:rPr>
                <w:sz w:val="21"/>
              </w:rPr>
            </w:pPr>
            <w:r>
              <w:rPr>
                <w:rFonts w:ascii="Times New Roman" w:eastAsia="Times New Roman"/>
                <w:sz w:val="21"/>
              </w:rPr>
              <w:t>8.3  </w:t>
            </w:r>
            <w:r>
              <w:rPr>
                <w:sz w:val="21"/>
              </w:rPr>
              <w:t>联系方式变更</w:t>
            </w:r>
          </w:p>
        </w:tc>
        <w:tc>
          <w:tcPr>
            <w:tcW w:w="4258" w:type="dxa"/>
          </w:tcPr>
          <w:p>
            <w:pPr>
              <w:pStyle w:val="TableParagraph"/>
              <w:spacing w:line="232" w:lineRule="exact"/>
              <w:ind w:left="535"/>
              <w:rPr>
                <w:sz w:val="21"/>
              </w:rPr>
            </w:pPr>
            <w:r>
              <w:rPr>
                <w:rFonts w:ascii="Times New Roman" w:eastAsia="Times New Roman"/>
                <w:sz w:val="21"/>
              </w:rPr>
              <w:t>10.15  </w:t>
            </w:r>
            <w:r>
              <w:rPr>
                <w:sz w:val="21"/>
              </w:rPr>
              <w:t>先天性畸形、变形或染色体异常</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2.4  </w:t>
            </w:r>
            <w:r>
              <w:rPr>
                <w:sz w:val="21"/>
              </w:rPr>
              <w:t>责任免除</w:t>
            </w:r>
          </w:p>
        </w:tc>
        <w:tc>
          <w:tcPr>
            <w:tcW w:w="2926" w:type="dxa"/>
          </w:tcPr>
          <w:p>
            <w:pPr>
              <w:pStyle w:val="TableParagraph"/>
              <w:spacing w:line="234" w:lineRule="exact"/>
              <w:ind w:left="339"/>
              <w:rPr>
                <w:sz w:val="21"/>
              </w:rPr>
            </w:pPr>
            <w:r>
              <w:rPr>
                <w:rFonts w:ascii="Times New Roman" w:eastAsia="Times New Roman"/>
                <w:sz w:val="21"/>
              </w:rPr>
              <w:t>8.4  </w:t>
            </w:r>
            <w:r>
              <w:rPr>
                <w:sz w:val="21"/>
              </w:rPr>
              <w:t>争议处理</w:t>
            </w:r>
          </w:p>
        </w:tc>
        <w:tc>
          <w:tcPr>
            <w:tcW w:w="4258" w:type="dxa"/>
          </w:tcPr>
          <w:p>
            <w:pPr>
              <w:pStyle w:val="TableParagraph"/>
              <w:spacing w:line="234" w:lineRule="exact"/>
              <w:ind w:left="535"/>
              <w:rPr>
                <w:sz w:val="21"/>
              </w:rPr>
            </w:pPr>
            <w:r>
              <w:rPr>
                <w:rFonts w:ascii="Times New Roman" w:eastAsia="Times New Roman"/>
                <w:sz w:val="21"/>
              </w:rPr>
              <w:t>10.16  </w:t>
            </w:r>
            <w:r>
              <w:rPr>
                <w:sz w:val="21"/>
              </w:rPr>
              <w:t>未满期净保险费</w:t>
            </w:r>
          </w:p>
        </w:tc>
      </w:tr>
      <w:tr>
        <w:trPr>
          <w:trHeight w:val="254" w:hRule="atLeast"/>
        </w:trPr>
        <w:tc>
          <w:tcPr>
            <w:tcW w:w="2491" w:type="dxa"/>
          </w:tcPr>
          <w:p>
            <w:pPr>
              <w:pStyle w:val="TableParagraph"/>
              <w:spacing w:line="234" w:lineRule="exact"/>
              <w:ind w:left="200"/>
              <w:rPr>
                <w:b/>
                <w:sz w:val="21"/>
              </w:rPr>
            </w:pPr>
            <w:r>
              <w:rPr>
                <w:rFonts w:ascii="Times New Roman" w:eastAsia="Times New Roman"/>
                <w:b/>
                <w:sz w:val="21"/>
              </w:rPr>
              <w:t>3.  </w:t>
            </w:r>
            <w:r>
              <w:rPr>
                <w:b/>
                <w:sz w:val="21"/>
              </w:rPr>
              <w:t>保险金的申请</w:t>
            </w:r>
          </w:p>
        </w:tc>
        <w:tc>
          <w:tcPr>
            <w:tcW w:w="2926" w:type="dxa"/>
          </w:tcPr>
          <w:p>
            <w:pPr>
              <w:pStyle w:val="TableParagraph"/>
              <w:spacing w:line="234" w:lineRule="exact"/>
              <w:ind w:left="128"/>
              <w:rPr>
                <w:b/>
                <w:sz w:val="21"/>
              </w:rPr>
            </w:pPr>
            <w:r>
              <w:rPr>
                <w:rFonts w:ascii="Times New Roman" w:eastAsia="Times New Roman"/>
                <w:b/>
                <w:sz w:val="21"/>
              </w:rPr>
              <w:t>9</w:t>
            </w:r>
            <w:r>
              <w:rPr>
                <w:b/>
                <w:sz w:val="21"/>
              </w:rPr>
              <w:t>．重大疾病释义</w:t>
            </w:r>
          </w:p>
        </w:tc>
        <w:tc>
          <w:tcPr>
            <w:tcW w:w="4258" w:type="dxa"/>
          </w:tcPr>
          <w:p>
            <w:pPr>
              <w:pStyle w:val="TableParagraph"/>
              <w:spacing w:line="234" w:lineRule="exact"/>
              <w:ind w:left="535"/>
              <w:rPr>
                <w:sz w:val="21"/>
              </w:rPr>
            </w:pPr>
            <w:r>
              <w:rPr>
                <w:rFonts w:ascii="Times New Roman" w:eastAsia="Times New Roman"/>
                <w:sz w:val="21"/>
              </w:rPr>
              <w:t>10.17  </w:t>
            </w:r>
            <w:r>
              <w:rPr>
                <w:sz w:val="21"/>
              </w:rPr>
              <w:t>离职</w:t>
            </w:r>
          </w:p>
        </w:tc>
      </w:tr>
      <w:tr>
        <w:trPr>
          <w:trHeight w:val="254" w:hRule="atLeast"/>
        </w:trPr>
        <w:tc>
          <w:tcPr>
            <w:tcW w:w="2491" w:type="dxa"/>
          </w:tcPr>
          <w:p>
            <w:pPr>
              <w:pStyle w:val="TableParagraph"/>
              <w:spacing w:line="234" w:lineRule="exact"/>
              <w:ind w:left="411"/>
              <w:rPr>
                <w:sz w:val="21"/>
              </w:rPr>
            </w:pPr>
            <w:r>
              <w:rPr>
                <w:rFonts w:ascii="Times New Roman" w:eastAsia="Times New Roman"/>
                <w:sz w:val="21"/>
              </w:rPr>
              <w:t>3.1  </w:t>
            </w:r>
            <w:r>
              <w:rPr>
                <w:sz w:val="21"/>
              </w:rPr>
              <w:t>保险事故通知</w:t>
            </w:r>
          </w:p>
        </w:tc>
        <w:tc>
          <w:tcPr>
            <w:tcW w:w="2926" w:type="dxa"/>
          </w:tcPr>
          <w:p>
            <w:pPr>
              <w:pStyle w:val="TableParagraph"/>
              <w:spacing w:line="234" w:lineRule="exact"/>
              <w:ind w:left="339"/>
              <w:rPr>
                <w:sz w:val="21"/>
              </w:rPr>
            </w:pPr>
            <w:r>
              <w:rPr>
                <w:rFonts w:ascii="Times New Roman" w:eastAsia="Times New Roman"/>
                <w:sz w:val="21"/>
              </w:rPr>
              <w:t>9.1  </w:t>
            </w:r>
            <w:r>
              <w:rPr>
                <w:sz w:val="21"/>
              </w:rPr>
              <w:t>重大疾病</w:t>
            </w:r>
          </w:p>
        </w:tc>
        <w:tc>
          <w:tcPr>
            <w:tcW w:w="4258" w:type="dxa"/>
          </w:tcPr>
          <w:p>
            <w:pPr>
              <w:pStyle w:val="TableParagraph"/>
              <w:spacing w:line="234" w:lineRule="exact"/>
              <w:ind w:left="535"/>
              <w:rPr>
                <w:sz w:val="21"/>
              </w:rPr>
            </w:pPr>
            <w:r>
              <w:rPr>
                <w:rFonts w:ascii="Times New Roman" w:eastAsia="Times New Roman"/>
                <w:sz w:val="21"/>
              </w:rPr>
              <w:t>10.18  </w:t>
            </w:r>
            <w:r>
              <w:rPr>
                <w:sz w:val="21"/>
              </w:rPr>
              <w:t>周岁</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3.2  </w:t>
            </w:r>
            <w:r>
              <w:rPr>
                <w:sz w:val="21"/>
              </w:rPr>
              <w:t>保险金申请</w:t>
            </w:r>
          </w:p>
        </w:tc>
        <w:tc>
          <w:tcPr>
            <w:tcW w:w="2926" w:type="dxa"/>
          </w:tcPr>
          <w:p>
            <w:pPr>
              <w:pStyle w:val="TableParagraph"/>
              <w:spacing w:line="236" w:lineRule="exact"/>
              <w:ind w:left="128"/>
              <w:rPr>
                <w:b/>
                <w:sz w:val="21"/>
              </w:rPr>
            </w:pPr>
            <w:r>
              <w:rPr>
                <w:rFonts w:ascii="Times New Roman" w:eastAsia="Times New Roman"/>
                <w:b/>
                <w:sz w:val="21"/>
              </w:rPr>
              <w:t>10</w:t>
            </w:r>
            <w:r>
              <w:rPr>
                <w:b/>
                <w:sz w:val="21"/>
              </w:rPr>
              <w:t>．释义</w:t>
            </w:r>
          </w:p>
        </w:tc>
        <w:tc>
          <w:tcPr>
            <w:tcW w:w="4258" w:type="dxa"/>
          </w:tcPr>
          <w:p>
            <w:pPr>
              <w:pStyle w:val="TableParagraph"/>
              <w:spacing w:line="236" w:lineRule="exact"/>
              <w:ind w:left="535"/>
              <w:rPr>
                <w:sz w:val="21"/>
              </w:rPr>
            </w:pPr>
            <w:r>
              <w:rPr>
                <w:rFonts w:ascii="Times New Roman" w:eastAsia="Times New Roman"/>
                <w:sz w:val="21"/>
              </w:rPr>
              <w:t>10.19  </w:t>
            </w:r>
            <w:r>
              <w:rPr>
                <w:sz w:val="21"/>
              </w:rPr>
              <w:t>法定身份证明</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3.3  </w:t>
            </w:r>
            <w:r>
              <w:rPr>
                <w:sz w:val="21"/>
              </w:rPr>
              <w:t>保险金给付</w:t>
            </w:r>
          </w:p>
        </w:tc>
        <w:tc>
          <w:tcPr>
            <w:tcW w:w="2926" w:type="dxa"/>
          </w:tcPr>
          <w:p>
            <w:pPr>
              <w:pStyle w:val="TableParagraph"/>
              <w:spacing w:line="236" w:lineRule="exact"/>
              <w:ind w:left="339"/>
              <w:rPr>
                <w:sz w:val="21"/>
              </w:rPr>
            </w:pPr>
            <w:r>
              <w:rPr>
                <w:rFonts w:ascii="Times New Roman" w:eastAsia="Times New Roman"/>
                <w:sz w:val="21"/>
              </w:rPr>
              <w:t>10.1  </w:t>
            </w:r>
            <w:r>
              <w:rPr>
                <w:sz w:val="21"/>
              </w:rPr>
              <w:t>被保险人</w:t>
            </w:r>
          </w:p>
        </w:tc>
        <w:tc>
          <w:tcPr>
            <w:tcW w:w="4258" w:type="dxa"/>
          </w:tcPr>
          <w:p>
            <w:pPr>
              <w:pStyle w:val="TableParagraph"/>
              <w:spacing w:line="236" w:lineRule="exact"/>
              <w:ind w:left="535"/>
              <w:rPr>
                <w:sz w:val="21"/>
              </w:rPr>
            </w:pPr>
            <w:r>
              <w:rPr>
                <w:rFonts w:ascii="Times New Roman" w:eastAsia="Times New Roman"/>
                <w:sz w:val="21"/>
              </w:rPr>
              <w:t>10.20  </w:t>
            </w:r>
            <w:r>
              <w:rPr>
                <w:sz w:val="21"/>
              </w:rPr>
              <w:t>肢体机能完全丧失</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3.4  </w:t>
            </w:r>
            <w:r>
              <w:rPr>
                <w:sz w:val="21"/>
              </w:rPr>
              <w:t>诉讼时效</w:t>
            </w:r>
          </w:p>
        </w:tc>
        <w:tc>
          <w:tcPr>
            <w:tcW w:w="2926" w:type="dxa"/>
          </w:tcPr>
          <w:p>
            <w:pPr>
              <w:pStyle w:val="TableParagraph"/>
              <w:spacing w:line="236" w:lineRule="exact"/>
              <w:ind w:left="339"/>
              <w:rPr>
                <w:sz w:val="21"/>
              </w:rPr>
            </w:pPr>
            <w:r>
              <w:rPr>
                <w:rFonts w:ascii="Times New Roman" w:eastAsia="Times New Roman"/>
                <w:sz w:val="21"/>
              </w:rPr>
              <w:t>10.2  </w:t>
            </w:r>
            <w:r>
              <w:rPr>
                <w:sz w:val="21"/>
              </w:rPr>
              <w:t>团体</w:t>
            </w:r>
          </w:p>
        </w:tc>
        <w:tc>
          <w:tcPr>
            <w:tcW w:w="4258" w:type="dxa"/>
          </w:tcPr>
          <w:p>
            <w:pPr>
              <w:pStyle w:val="TableParagraph"/>
              <w:spacing w:line="236" w:lineRule="exact"/>
              <w:ind w:left="535"/>
              <w:rPr>
                <w:sz w:val="21"/>
              </w:rPr>
            </w:pPr>
            <w:r>
              <w:rPr>
                <w:rFonts w:ascii="Times New Roman" w:eastAsia="Times New Roman"/>
                <w:sz w:val="21"/>
              </w:rPr>
              <w:t>10.21  </w:t>
            </w:r>
            <w:r>
              <w:rPr>
                <w:sz w:val="21"/>
              </w:rPr>
              <w:t>语言能力完全丧失</w:t>
            </w:r>
          </w:p>
        </w:tc>
      </w:tr>
      <w:tr>
        <w:trPr>
          <w:trHeight w:val="254" w:hRule="atLeast"/>
        </w:trPr>
        <w:tc>
          <w:tcPr>
            <w:tcW w:w="2491" w:type="dxa"/>
          </w:tcPr>
          <w:p>
            <w:pPr>
              <w:pStyle w:val="TableParagraph"/>
              <w:spacing w:line="234" w:lineRule="exact"/>
              <w:ind w:left="200"/>
              <w:rPr>
                <w:b/>
                <w:sz w:val="21"/>
              </w:rPr>
            </w:pPr>
            <w:r>
              <w:rPr>
                <w:rFonts w:ascii="Times New Roman" w:eastAsia="Times New Roman"/>
                <w:b/>
                <w:sz w:val="21"/>
              </w:rPr>
              <w:t>4</w:t>
            </w:r>
            <w:r>
              <w:rPr>
                <w:b/>
                <w:sz w:val="21"/>
              </w:rPr>
              <w:t>．保险费的交纳</w:t>
            </w:r>
          </w:p>
        </w:tc>
        <w:tc>
          <w:tcPr>
            <w:tcW w:w="2926" w:type="dxa"/>
          </w:tcPr>
          <w:p>
            <w:pPr>
              <w:pStyle w:val="TableParagraph"/>
              <w:spacing w:line="234" w:lineRule="exact"/>
              <w:ind w:left="339"/>
              <w:rPr>
                <w:sz w:val="21"/>
              </w:rPr>
            </w:pPr>
            <w:r>
              <w:rPr>
                <w:rFonts w:ascii="Times New Roman" w:eastAsia="Times New Roman"/>
                <w:sz w:val="21"/>
              </w:rPr>
              <w:t>10.3  </w:t>
            </w:r>
            <w:r>
              <w:rPr>
                <w:sz w:val="21"/>
              </w:rPr>
              <w:t>成员</w:t>
            </w:r>
          </w:p>
        </w:tc>
        <w:tc>
          <w:tcPr>
            <w:tcW w:w="4258" w:type="dxa"/>
          </w:tcPr>
          <w:p>
            <w:pPr>
              <w:pStyle w:val="TableParagraph"/>
              <w:spacing w:line="234" w:lineRule="exact"/>
              <w:ind w:left="535"/>
              <w:rPr>
                <w:sz w:val="21"/>
              </w:rPr>
            </w:pPr>
            <w:r>
              <w:rPr>
                <w:rFonts w:ascii="Times New Roman" w:eastAsia="Times New Roman"/>
                <w:sz w:val="21"/>
              </w:rPr>
              <w:t>10.22  </w:t>
            </w:r>
            <w:r>
              <w:rPr>
                <w:sz w:val="21"/>
              </w:rPr>
              <w:t>咀嚼吞咽能力完全丧失</w:t>
            </w:r>
          </w:p>
        </w:tc>
      </w:tr>
      <w:tr>
        <w:trPr>
          <w:trHeight w:val="255" w:hRule="atLeast"/>
        </w:trPr>
        <w:tc>
          <w:tcPr>
            <w:tcW w:w="2491" w:type="dxa"/>
          </w:tcPr>
          <w:p>
            <w:pPr>
              <w:pStyle w:val="TableParagraph"/>
              <w:spacing w:line="236" w:lineRule="exact"/>
              <w:ind w:left="411"/>
              <w:rPr>
                <w:sz w:val="21"/>
              </w:rPr>
            </w:pPr>
            <w:r>
              <w:rPr>
                <w:rFonts w:ascii="Times New Roman" w:eastAsia="Times New Roman"/>
                <w:sz w:val="21"/>
              </w:rPr>
              <w:t>4.1  </w:t>
            </w:r>
            <w:r>
              <w:rPr>
                <w:sz w:val="21"/>
              </w:rPr>
              <w:t>保险费的交纳</w:t>
            </w:r>
          </w:p>
        </w:tc>
        <w:tc>
          <w:tcPr>
            <w:tcW w:w="2926" w:type="dxa"/>
          </w:tcPr>
          <w:p>
            <w:pPr>
              <w:pStyle w:val="TableParagraph"/>
              <w:spacing w:line="236" w:lineRule="exact"/>
              <w:ind w:left="339"/>
              <w:rPr>
                <w:sz w:val="21"/>
              </w:rPr>
            </w:pPr>
            <w:r>
              <w:rPr>
                <w:rFonts w:ascii="Times New Roman" w:eastAsia="Times New Roman"/>
                <w:sz w:val="21"/>
              </w:rPr>
              <w:t>10.4  </w:t>
            </w:r>
            <w:r>
              <w:rPr>
                <w:sz w:val="21"/>
              </w:rPr>
              <w:t>配偶</w:t>
            </w:r>
          </w:p>
        </w:tc>
        <w:tc>
          <w:tcPr>
            <w:tcW w:w="4258" w:type="dxa"/>
          </w:tcPr>
          <w:p>
            <w:pPr>
              <w:pStyle w:val="TableParagraph"/>
              <w:spacing w:line="236" w:lineRule="exact"/>
              <w:ind w:left="535"/>
              <w:rPr>
                <w:sz w:val="21"/>
              </w:rPr>
            </w:pPr>
            <w:r>
              <w:rPr>
                <w:rFonts w:ascii="Times New Roman" w:eastAsia="Times New Roman"/>
                <w:sz w:val="21"/>
              </w:rPr>
              <w:t>10.23  </w:t>
            </w:r>
            <w:r>
              <w:rPr>
                <w:sz w:val="21"/>
              </w:rPr>
              <w:t>六项基本日常生活活动</w:t>
            </w:r>
          </w:p>
        </w:tc>
      </w:tr>
      <w:tr>
        <w:trPr>
          <w:trHeight w:val="255" w:hRule="atLeast"/>
        </w:trPr>
        <w:tc>
          <w:tcPr>
            <w:tcW w:w="2491" w:type="dxa"/>
          </w:tcPr>
          <w:p>
            <w:pPr>
              <w:pStyle w:val="TableParagraph"/>
              <w:spacing w:line="236" w:lineRule="exact"/>
              <w:ind w:left="200"/>
              <w:rPr>
                <w:b/>
                <w:sz w:val="21"/>
              </w:rPr>
            </w:pPr>
            <w:r>
              <w:rPr>
                <w:rFonts w:ascii="Times New Roman" w:eastAsia="Times New Roman"/>
                <w:b/>
                <w:sz w:val="21"/>
              </w:rPr>
              <w:t>5</w:t>
            </w:r>
            <w:r>
              <w:rPr>
                <w:b/>
                <w:sz w:val="21"/>
              </w:rPr>
              <w:t>．被保险人变动</w:t>
            </w:r>
          </w:p>
        </w:tc>
        <w:tc>
          <w:tcPr>
            <w:tcW w:w="2926" w:type="dxa"/>
          </w:tcPr>
          <w:p>
            <w:pPr>
              <w:pStyle w:val="TableParagraph"/>
              <w:spacing w:line="236" w:lineRule="exact"/>
              <w:ind w:left="339"/>
              <w:rPr>
                <w:sz w:val="21"/>
              </w:rPr>
            </w:pPr>
            <w:r>
              <w:rPr>
                <w:rFonts w:ascii="Times New Roman" w:eastAsia="Times New Roman"/>
                <w:sz w:val="21"/>
              </w:rPr>
              <w:t>10.5  </w:t>
            </w:r>
            <w:r>
              <w:rPr>
                <w:sz w:val="21"/>
              </w:rPr>
              <w:t>子女</w:t>
            </w:r>
          </w:p>
        </w:tc>
        <w:tc>
          <w:tcPr>
            <w:tcW w:w="4258" w:type="dxa"/>
          </w:tcPr>
          <w:p>
            <w:pPr>
              <w:pStyle w:val="TableParagraph"/>
              <w:spacing w:line="236" w:lineRule="exact"/>
              <w:ind w:left="535"/>
              <w:rPr>
                <w:sz w:val="21"/>
              </w:rPr>
            </w:pPr>
            <w:r>
              <w:rPr>
                <w:rFonts w:ascii="Times New Roman" w:eastAsia="Times New Roman"/>
                <w:sz w:val="21"/>
              </w:rPr>
              <w:t>10.24  </w:t>
            </w:r>
            <w:r>
              <w:rPr>
                <w:sz w:val="21"/>
              </w:rPr>
              <w:t>永久不可逆</w:t>
            </w:r>
          </w:p>
        </w:tc>
      </w:tr>
      <w:tr>
        <w:trPr>
          <w:trHeight w:val="244" w:hRule="atLeast"/>
        </w:trPr>
        <w:tc>
          <w:tcPr>
            <w:tcW w:w="2491" w:type="dxa"/>
          </w:tcPr>
          <w:p>
            <w:pPr>
              <w:pStyle w:val="TableParagraph"/>
              <w:spacing w:line="224" w:lineRule="exact"/>
              <w:ind w:left="411"/>
              <w:rPr>
                <w:sz w:val="21"/>
              </w:rPr>
            </w:pPr>
            <w:r>
              <w:rPr>
                <w:rFonts w:ascii="Times New Roman" w:eastAsia="Times New Roman"/>
                <w:sz w:val="21"/>
              </w:rPr>
              <w:t>5.1  </w:t>
            </w:r>
            <w:r>
              <w:rPr>
                <w:sz w:val="21"/>
              </w:rPr>
              <w:t>被保险人变动</w:t>
            </w:r>
          </w:p>
        </w:tc>
        <w:tc>
          <w:tcPr>
            <w:tcW w:w="2926" w:type="dxa"/>
          </w:tcPr>
          <w:p>
            <w:pPr>
              <w:pStyle w:val="TableParagraph"/>
              <w:spacing w:line="224" w:lineRule="exact"/>
              <w:ind w:left="339"/>
              <w:rPr>
                <w:sz w:val="21"/>
              </w:rPr>
            </w:pPr>
            <w:r>
              <w:rPr>
                <w:rFonts w:ascii="Times New Roman" w:eastAsia="Times New Roman"/>
                <w:sz w:val="21"/>
              </w:rPr>
              <w:t>10.6  </w:t>
            </w:r>
            <w:r>
              <w:rPr>
                <w:sz w:val="21"/>
              </w:rPr>
              <w:t>等待期</w:t>
            </w:r>
          </w:p>
        </w:tc>
        <w:tc>
          <w:tcPr>
            <w:tcW w:w="4258" w:type="dxa"/>
          </w:tcPr>
          <w:p>
            <w:pPr>
              <w:pStyle w:val="TableParagraph"/>
              <w:rPr>
                <w:rFonts w:ascii="Times New Roman"/>
                <w:sz w:val="16"/>
              </w:rPr>
            </w:pPr>
          </w:p>
        </w:tc>
      </w:tr>
    </w:tbl>
    <w:p>
      <w:pPr>
        <w:pStyle w:val="BodyText"/>
        <w:rPr>
          <w:b/>
          <w:sz w:val="58"/>
        </w:rPr>
      </w:pPr>
    </w:p>
    <w:p>
      <w:pPr>
        <w:pStyle w:val="BodyText"/>
        <w:rPr>
          <w:b/>
          <w:sz w:val="58"/>
        </w:rPr>
      </w:pPr>
    </w:p>
    <w:p>
      <w:pPr>
        <w:pStyle w:val="BodyText"/>
        <w:rPr>
          <w:b/>
          <w:sz w:val="58"/>
        </w:rPr>
      </w:pPr>
    </w:p>
    <w:p>
      <w:pPr>
        <w:pStyle w:val="BodyText"/>
        <w:spacing w:before="3"/>
        <w:rPr>
          <w:b/>
          <w:sz w:val="72"/>
        </w:rPr>
      </w:pPr>
    </w:p>
    <w:p>
      <w:pPr>
        <w:spacing w:before="1"/>
        <w:ind w:left="140" w:right="0" w:firstLine="0"/>
        <w:jc w:val="left"/>
        <w:rPr>
          <w:rFonts w:ascii="Times New Roman"/>
          <w:sz w:val="18"/>
        </w:rPr>
      </w:pPr>
      <w:r>
        <w:rPr>
          <w:rFonts w:ascii="Times New Roman"/>
          <w:sz w:val="18"/>
        </w:rPr>
        <w:t>PUBLIC</w:t>
      </w:r>
    </w:p>
    <w:p>
      <w:pPr>
        <w:spacing w:after="0"/>
        <w:jc w:val="left"/>
        <w:rPr>
          <w:rFonts w:ascii="Times New Roman"/>
          <w:sz w:val="18"/>
        </w:rPr>
        <w:sectPr>
          <w:type w:val="continuous"/>
          <w:pgSz w:w="11910" w:h="16840"/>
          <w:pgMar w:top="780" w:bottom="280" w:left="580" w:right="560"/>
        </w:sectPr>
      </w:pPr>
    </w:p>
    <w:p>
      <w:pPr>
        <w:pStyle w:val="BodyText"/>
        <w:spacing w:line="20" w:lineRule="exact"/>
        <w:ind w:left="18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pStyle w:val="BodyText"/>
        <w:spacing w:before="6"/>
        <w:rPr>
          <w:rFonts w:ascii="Times New Roman"/>
          <w:sz w:val="19"/>
        </w:rPr>
      </w:pPr>
    </w:p>
    <w:p>
      <w:pPr>
        <w:pStyle w:val="Heading1"/>
        <w:ind w:right="0"/>
        <w:jc w:val="left"/>
      </w:pPr>
      <w:bookmarkStart w:name="汇丰附加团体重大疾病保险条款" w:id="2"/>
      <w:bookmarkEnd w:id="2"/>
      <w:r>
        <w:rPr>
          <w:b w:val="0"/>
        </w:rPr>
      </w:r>
      <w:r>
        <w:rPr/>
        <w:t>汇丰附加团体重大疾病保险条款</w:t>
      </w:r>
    </w:p>
    <w:p>
      <w:pPr>
        <w:pStyle w:val="BodyText"/>
        <w:spacing w:line="256" w:lineRule="auto" w:before="91"/>
        <w:ind w:left="220" w:right="132" w:hanging="1"/>
      </w:pPr>
      <w:r>
        <w:rPr>
          <w:spacing w:val="-23"/>
          <w:w w:val="100"/>
        </w:rPr>
        <w:t>在本条款中，“您”指投保人，“我们”、“本公司”均指汇丰人寿保险有限公司，</w:t>
      </w:r>
      <w:r>
        <w:rPr>
          <w:rFonts w:ascii="Times New Roman" w:hAnsi="Times New Roman" w:eastAsia="Times New Roman"/>
          <w:spacing w:val="-1"/>
          <w:w w:val="100"/>
        </w:rPr>
        <w:t>“</w:t>
      </w:r>
      <w:r>
        <w:rPr>
          <w:spacing w:val="-3"/>
          <w:w w:val="100"/>
        </w:rPr>
        <w:t>本附加合同</w:t>
      </w:r>
      <w:r>
        <w:rPr>
          <w:rFonts w:ascii="Times New Roman" w:hAnsi="Times New Roman" w:eastAsia="Times New Roman"/>
          <w:spacing w:val="-1"/>
          <w:w w:val="100"/>
        </w:rPr>
        <w:t>”</w:t>
      </w:r>
      <w:r>
        <w:rPr>
          <w:spacing w:val="-3"/>
          <w:w w:val="100"/>
        </w:rPr>
        <w:t>指您与我们之间订立</w:t>
      </w:r>
      <w:r>
        <w:rPr>
          <w:spacing w:val="-10"/>
        </w:rPr>
        <w:t>的“汇丰附加团体重大疾病保险合同”。</w:t>
      </w:r>
    </w:p>
    <w:p>
      <w:pPr>
        <w:pStyle w:val="BodyText"/>
        <w:rPr>
          <w:sz w:val="20"/>
        </w:rPr>
      </w:pPr>
    </w:p>
    <w:p>
      <w:pPr>
        <w:pStyle w:val="BodyText"/>
        <w:spacing w:before="4"/>
        <w:rPr>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92"/>
        <w:gridCol w:w="7344"/>
      </w:tblGrid>
      <w:tr>
        <w:trPr>
          <w:trHeight w:val="547" w:hRule="atLeast"/>
        </w:trPr>
        <w:tc>
          <w:tcPr>
            <w:tcW w:w="853" w:type="dxa"/>
            <w:tcBorders>
              <w:bottom w:val="single" w:sz="8" w:space="0" w:color="000000"/>
            </w:tcBorders>
          </w:tcPr>
          <w:p>
            <w:pPr>
              <w:pStyle w:val="TableParagraph"/>
              <w:spacing w:line="448" w:lineRule="exact"/>
              <w:ind w:right="251"/>
              <w:jc w:val="right"/>
              <w:rPr>
                <w:rFonts w:ascii="Arial"/>
                <w:b/>
                <w:sz w:val="40"/>
              </w:rPr>
            </w:pPr>
            <w:r>
              <w:rPr>
                <w:rFonts w:ascii="Arial"/>
                <w:b/>
                <w:w w:val="91"/>
                <w:sz w:val="40"/>
              </w:rPr>
              <w:t>u</w:t>
            </w:r>
          </w:p>
        </w:tc>
        <w:tc>
          <w:tcPr>
            <w:tcW w:w="9236" w:type="dxa"/>
            <w:gridSpan w:val="2"/>
            <w:tcBorders>
              <w:bottom w:val="single" w:sz="8" w:space="0" w:color="000000"/>
            </w:tcBorders>
          </w:tcPr>
          <w:p>
            <w:pPr>
              <w:pStyle w:val="TableParagraph"/>
              <w:spacing w:before="39"/>
              <w:ind w:left="231"/>
              <w:rPr>
                <w:b/>
                <w:sz w:val="24"/>
              </w:rPr>
            </w:pPr>
            <w:r>
              <w:rPr>
                <w:b/>
                <w:w w:val="95"/>
                <w:sz w:val="24"/>
              </w:rPr>
              <w:t>您与我们订立的合同</w:t>
            </w:r>
          </w:p>
        </w:tc>
      </w:tr>
      <w:tr>
        <w:trPr>
          <w:trHeight w:val="1721" w:hRule="atLeast"/>
        </w:trPr>
        <w:tc>
          <w:tcPr>
            <w:tcW w:w="853" w:type="dxa"/>
            <w:tcBorders>
              <w:top w:val="single" w:sz="8" w:space="0" w:color="000000"/>
            </w:tcBorders>
          </w:tcPr>
          <w:p>
            <w:pPr>
              <w:pStyle w:val="TableParagraph"/>
              <w:spacing w:before="8"/>
              <w:rPr>
                <w:sz w:val="26"/>
              </w:rPr>
            </w:pPr>
          </w:p>
          <w:p>
            <w:pPr>
              <w:pStyle w:val="TableParagraph"/>
              <w:ind w:right="229"/>
              <w:jc w:val="right"/>
              <w:rPr>
                <w:rFonts w:ascii="Times New Roman"/>
                <w:b/>
                <w:sz w:val="21"/>
              </w:rPr>
            </w:pPr>
            <w:r>
              <w:rPr>
                <w:rFonts w:ascii="Times New Roman"/>
                <w:b/>
                <w:sz w:val="21"/>
              </w:rPr>
              <w:t>1.1</w:t>
            </w:r>
          </w:p>
        </w:tc>
        <w:tc>
          <w:tcPr>
            <w:tcW w:w="1892" w:type="dxa"/>
            <w:tcBorders>
              <w:top w:val="single" w:sz="8" w:space="0" w:color="000000"/>
            </w:tcBorders>
          </w:tcPr>
          <w:p>
            <w:pPr>
              <w:pStyle w:val="TableParagraph"/>
              <w:spacing w:before="11"/>
              <w:rPr>
                <w:sz w:val="22"/>
              </w:rPr>
            </w:pPr>
          </w:p>
          <w:p>
            <w:pPr>
              <w:pStyle w:val="TableParagraph"/>
              <w:ind w:left="231"/>
              <w:rPr>
                <w:b/>
                <w:sz w:val="21"/>
              </w:rPr>
            </w:pPr>
            <w:r>
              <w:rPr>
                <w:b/>
                <w:sz w:val="21"/>
              </w:rPr>
              <w:t>合同构成</w:t>
            </w:r>
          </w:p>
        </w:tc>
        <w:tc>
          <w:tcPr>
            <w:tcW w:w="7344" w:type="dxa"/>
            <w:tcBorders>
              <w:top w:val="single" w:sz="8" w:space="0" w:color="000000"/>
            </w:tcBorders>
          </w:tcPr>
          <w:p>
            <w:pPr>
              <w:pStyle w:val="TableParagraph"/>
              <w:spacing w:before="11"/>
              <w:rPr>
                <w:sz w:val="22"/>
              </w:rPr>
            </w:pPr>
          </w:p>
          <w:p>
            <w:pPr>
              <w:pStyle w:val="TableParagraph"/>
              <w:spacing w:line="273" w:lineRule="auto"/>
              <w:ind w:left="192" w:right="100"/>
              <w:jc w:val="both"/>
              <w:rPr>
                <w:sz w:val="21"/>
              </w:rPr>
            </w:pPr>
            <w:r>
              <w:rPr>
                <w:spacing w:val="-9"/>
                <w:sz w:val="21"/>
              </w:rPr>
              <w:t>本附加合同由您提出申请，经我们同意而订立。本附加合同须附加于主合同方</w:t>
            </w:r>
            <w:r>
              <w:rPr>
                <w:spacing w:val="-13"/>
                <w:sz w:val="21"/>
              </w:rPr>
              <w:t>可生效。主合同的条款也适用于本附加合同，若主合同与本附加合同的条款互</w:t>
            </w:r>
            <w:r>
              <w:rPr>
                <w:spacing w:val="-6"/>
                <w:sz w:val="21"/>
              </w:rPr>
              <w:t>有冲突，则以本附加合同为准。</w:t>
            </w:r>
            <w:r>
              <w:rPr>
                <w:sz w:val="21"/>
              </w:rPr>
              <w:t> </w:t>
            </w:r>
          </w:p>
          <w:p>
            <w:pPr>
              <w:pStyle w:val="TableParagraph"/>
              <w:spacing w:before="7"/>
              <w:ind w:left="192"/>
              <w:jc w:val="both"/>
              <w:rPr>
                <w:sz w:val="21"/>
              </w:rPr>
            </w:pPr>
            <w:r>
              <w:rPr>
                <w:sz w:val="21"/>
              </w:rPr>
              <w:t>本附加合同的英文代码</w:t>
            </w:r>
            <w:r>
              <w:rPr>
                <w:rFonts w:ascii="Times New Roman" w:eastAsia="Times New Roman"/>
                <w:sz w:val="21"/>
              </w:rPr>
              <w:t>GMI</w:t>
            </w:r>
            <w:r>
              <w:rPr>
                <w:sz w:val="21"/>
              </w:rPr>
              <w:t>。</w:t>
            </w:r>
          </w:p>
        </w:tc>
      </w:tr>
      <w:tr>
        <w:trPr>
          <w:trHeight w:val="624" w:hRule="atLeast"/>
        </w:trPr>
        <w:tc>
          <w:tcPr>
            <w:tcW w:w="853" w:type="dxa"/>
          </w:tcPr>
          <w:p>
            <w:pPr>
              <w:pStyle w:val="TableParagraph"/>
              <w:spacing w:before="187"/>
              <w:ind w:right="229"/>
              <w:jc w:val="right"/>
              <w:rPr>
                <w:rFonts w:ascii="Times New Roman"/>
                <w:b/>
                <w:sz w:val="21"/>
              </w:rPr>
            </w:pPr>
            <w:r>
              <w:rPr>
                <w:rFonts w:ascii="Times New Roman"/>
                <w:b/>
                <w:sz w:val="21"/>
              </w:rPr>
              <w:t>1.2</w:t>
            </w:r>
          </w:p>
        </w:tc>
        <w:tc>
          <w:tcPr>
            <w:tcW w:w="1892" w:type="dxa"/>
          </w:tcPr>
          <w:p>
            <w:pPr>
              <w:pStyle w:val="TableParagraph"/>
              <w:spacing w:before="138"/>
              <w:ind w:left="231"/>
              <w:rPr>
                <w:b/>
                <w:sz w:val="21"/>
              </w:rPr>
            </w:pPr>
            <w:r>
              <w:rPr>
                <w:b/>
                <w:sz w:val="21"/>
              </w:rPr>
              <w:t>合同成立与生效</w:t>
            </w:r>
          </w:p>
        </w:tc>
        <w:tc>
          <w:tcPr>
            <w:tcW w:w="7344" w:type="dxa"/>
          </w:tcPr>
          <w:p>
            <w:pPr>
              <w:pStyle w:val="TableParagraph"/>
              <w:spacing w:before="138"/>
              <w:ind w:left="192"/>
              <w:rPr>
                <w:sz w:val="21"/>
              </w:rPr>
            </w:pPr>
            <w:r>
              <w:rPr>
                <w:sz w:val="21"/>
              </w:rPr>
              <w:t>本附加合同与主合同同时投保，本附加合同的生效日与主合同相同。 </w:t>
            </w:r>
          </w:p>
        </w:tc>
      </w:tr>
      <w:tr>
        <w:trPr>
          <w:trHeight w:val="1871" w:hRule="atLeast"/>
        </w:trPr>
        <w:tc>
          <w:tcPr>
            <w:tcW w:w="853" w:type="dxa"/>
          </w:tcPr>
          <w:p>
            <w:pPr>
              <w:pStyle w:val="TableParagraph"/>
              <w:spacing w:before="187"/>
              <w:ind w:right="229"/>
              <w:jc w:val="right"/>
              <w:rPr>
                <w:rFonts w:ascii="Times New Roman"/>
                <w:b/>
                <w:sz w:val="21"/>
              </w:rPr>
            </w:pPr>
            <w:r>
              <w:rPr>
                <w:rFonts w:ascii="Times New Roman"/>
                <w:b/>
                <w:sz w:val="21"/>
              </w:rPr>
              <w:t>1.3</w:t>
            </w:r>
          </w:p>
        </w:tc>
        <w:tc>
          <w:tcPr>
            <w:tcW w:w="1892" w:type="dxa"/>
          </w:tcPr>
          <w:p>
            <w:pPr>
              <w:pStyle w:val="TableParagraph"/>
              <w:spacing w:before="138"/>
              <w:ind w:left="231"/>
              <w:rPr>
                <w:b/>
                <w:sz w:val="21"/>
              </w:rPr>
            </w:pPr>
            <w:r>
              <w:rPr>
                <w:b/>
                <w:sz w:val="21"/>
              </w:rPr>
              <w:t>合同终止</w:t>
            </w:r>
          </w:p>
        </w:tc>
        <w:tc>
          <w:tcPr>
            <w:tcW w:w="7344" w:type="dxa"/>
          </w:tcPr>
          <w:p>
            <w:pPr>
              <w:pStyle w:val="TableParagraph"/>
              <w:spacing w:before="138"/>
              <w:ind w:left="192"/>
              <w:rPr>
                <w:sz w:val="21"/>
              </w:rPr>
            </w:pPr>
            <w:r>
              <w:rPr>
                <w:sz w:val="21"/>
              </w:rPr>
              <w:t>发生下列情况之一时，本附加合同效力即时终止：</w:t>
            </w:r>
          </w:p>
          <w:p>
            <w:pPr>
              <w:pStyle w:val="TableParagraph"/>
              <w:spacing w:before="37"/>
              <w:ind w:left="182"/>
              <w:rPr>
                <w:sz w:val="21"/>
              </w:rPr>
            </w:pPr>
            <w:r>
              <w:rPr>
                <w:sz w:val="21"/>
              </w:rPr>
              <w:t>（</w:t>
            </w:r>
            <w:r>
              <w:rPr>
                <w:rFonts w:ascii="Times New Roman" w:eastAsia="Times New Roman"/>
                <w:sz w:val="21"/>
              </w:rPr>
              <w:t>1</w:t>
            </w:r>
            <w:r>
              <w:rPr>
                <w:sz w:val="21"/>
              </w:rPr>
              <w:t>） 主合同效力终止；</w:t>
            </w:r>
          </w:p>
          <w:p>
            <w:pPr>
              <w:pStyle w:val="TableParagraph"/>
              <w:spacing w:before="21"/>
              <w:ind w:left="183"/>
              <w:rPr>
                <w:sz w:val="21"/>
              </w:rPr>
            </w:pPr>
            <w:r>
              <w:rPr>
                <w:sz w:val="21"/>
              </w:rPr>
              <w:t>（</w:t>
            </w:r>
            <w:r>
              <w:rPr>
                <w:rFonts w:ascii="Times New Roman" w:eastAsia="Times New Roman"/>
                <w:sz w:val="21"/>
              </w:rPr>
              <w:t>2</w:t>
            </w:r>
            <w:r>
              <w:rPr>
                <w:sz w:val="21"/>
              </w:rPr>
              <w:t>） 您于合同有效期内向我们申请解除本附加合同；</w:t>
            </w:r>
          </w:p>
          <w:p>
            <w:pPr>
              <w:pStyle w:val="TableParagraph"/>
              <w:spacing w:before="21"/>
              <w:ind w:left="183"/>
              <w:rPr>
                <w:sz w:val="21"/>
              </w:rPr>
            </w:pPr>
            <w:r>
              <w:rPr>
                <w:sz w:val="21"/>
              </w:rPr>
              <w:t>（</w:t>
            </w:r>
            <w:r>
              <w:rPr>
                <w:rFonts w:ascii="Times New Roman" w:eastAsia="Times New Roman"/>
                <w:sz w:val="21"/>
              </w:rPr>
              <w:t>3</w:t>
            </w:r>
            <w:r>
              <w:rPr>
                <w:sz w:val="21"/>
              </w:rPr>
              <w:t>） 本附加合同保险期间届满，我们决定不予续保的；</w:t>
            </w:r>
          </w:p>
          <w:p>
            <w:pPr>
              <w:pStyle w:val="TableParagraph"/>
              <w:spacing w:before="21"/>
              <w:ind w:left="183"/>
              <w:rPr>
                <w:sz w:val="21"/>
              </w:rPr>
            </w:pPr>
            <w:r>
              <w:rPr>
                <w:sz w:val="21"/>
              </w:rPr>
              <w:t>（</w:t>
            </w:r>
            <w:r>
              <w:rPr>
                <w:rFonts w:ascii="Times New Roman" w:eastAsia="Times New Roman"/>
                <w:sz w:val="21"/>
              </w:rPr>
              <w:t>4</w:t>
            </w:r>
            <w:r>
              <w:rPr>
                <w:sz w:val="21"/>
              </w:rPr>
              <w:t>） 本附加合同约定的其他效力终止的情况。</w:t>
            </w:r>
          </w:p>
        </w:tc>
      </w:tr>
      <w:tr>
        <w:trPr>
          <w:trHeight w:val="1256" w:hRule="atLeast"/>
        </w:trPr>
        <w:tc>
          <w:tcPr>
            <w:tcW w:w="853" w:type="dxa"/>
          </w:tcPr>
          <w:p>
            <w:pPr>
              <w:pStyle w:val="TableParagraph"/>
              <w:spacing w:before="187"/>
              <w:ind w:right="228"/>
              <w:jc w:val="right"/>
              <w:rPr>
                <w:rFonts w:ascii="Times New Roman"/>
                <w:b/>
                <w:sz w:val="21"/>
              </w:rPr>
            </w:pPr>
            <w:r>
              <w:rPr>
                <w:rFonts w:ascii="Times New Roman"/>
                <w:b/>
                <w:sz w:val="21"/>
              </w:rPr>
              <w:t>1.4</w:t>
            </w:r>
          </w:p>
        </w:tc>
        <w:tc>
          <w:tcPr>
            <w:tcW w:w="1892" w:type="dxa"/>
          </w:tcPr>
          <w:p>
            <w:pPr>
              <w:pStyle w:val="TableParagraph"/>
              <w:spacing w:before="138"/>
              <w:ind w:left="231"/>
              <w:rPr>
                <w:b/>
                <w:sz w:val="21"/>
              </w:rPr>
            </w:pPr>
            <w:r>
              <w:rPr>
                <w:b/>
                <w:sz w:val="21"/>
              </w:rPr>
              <w:t>投保范围</w:t>
            </w:r>
          </w:p>
        </w:tc>
        <w:tc>
          <w:tcPr>
            <w:tcW w:w="7344" w:type="dxa"/>
          </w:tcPr>
          <w:p>
            <w:pPr>
              <w:pStyle w:val="TableParagraph"/>
              <w:spacing w:line="273" w:lineRule="auto" w:before="138"/>
              <w:ind w:left="192" w:right="3"/>
              <w:rPr>
                <w:sz w:val="21"/>
              </w:rPr>
            </w:pPr>
            <w:r>
              <w:rPr>
                <w:b/>
                <w:sz w:val="21"/>
              </w:rPr>
              <w:t>团体</w:t>
            </w:r>
            <w:r>
              <w:rPr>
                <w:spacing w:val="-9"/>
                <w:sz w:val="21"/>
              </w:rPr>
              <w:t>可以作为投保人，以其</w:t>
            </w:r>
            <w:r>
              <w:rPr>
                <w:b/>
                <w:sz w:val="21"/>
              </w:rPr>
              <w:t>成员</w:t>
            </w:r>
            <w:r>
              <w:rPr>
                <w:spacing w:val="-6"/>
                <w:sz w:val="21"/>
              </w:rPr>
              <w:t>为被保险人向本公司投保本保险。经与我们约</w:t>
            </w:r>
            <w:r>
              <w:rPr>
                <w:spacing w:val="-3"/>
                <w:sz w:val="21"/>
              </w:rPr>
              <w:t>定，您也可以为参保成员的</w:t>
            </w:r>
            <w:r>
              <w:rPr>
                <w:b/>
                <w:sz w:val="21"/>
              </w:rPr>
              <w:t>配偶</w:t>
            </w:r>
            <w:r>
              <w:rPr>
                <w:spacing w:val="-3"/>
                <w:sz w:val="21"/>
              </w:rPr>
              <w:t>与</w:t>
            </w:r>
            <w:r>
              <w:rPr>
                <w:b/>
                <w:sz w:val="21"/>
              </w:rPr>
              <w:t>子女</w:t>
            </w:r>
            <w:r>
              <w:rPr>
                <w:spacing w:val="-3"/>
                <w:sz w:val="21"/>
              </w:rPr>
              <w:t>投保本保险。您与本公司另有约定的， 按约定内容执行。</w:t>
            </w:r>
          </w:p>
        </w:tc>
      </w:tr>
      <w:tr>
        <w:trPr>
          <w:trHeight w:val="766" w:hRule="atLeast"/>
        </w:trPr>
        <w:tc>
          <w:tcPr>
            <w:tcW w:w="853" w:type="dxa"/>
            <w:tcBorders>
              <w:bottom w:val="single" w:sz="8" w:space="0" w:color="000000"/>
            </w:tcBorders>
          </w:tcPr>
          <w:p>
            <w:pPr>
              <w:pStyle w:val="TableParagraph"/>
              <w:spacing w:before="206"/>
              <w:ind w:right="262"/>
              <w:jc w:val="right"/>
              <w:rPr>
                <w:rFonts w:ascii="Arial"/>
                <w:b/>
                <w:sz w:val="40"/>
              </w:rPr>
            </w:pPr>
            <w:r>
              <w:rPr>
                <w:rFonts w:ascii="Arial"/>
                <w:b/>
                <w:w w:val="90"/>
                <w:sz w:val="40"/>
              </w:rPr>
              <w:t>v</w:t>
            </w:r>
          </w:p>
        </w:tc>
        <w:tc>
          <w:tcPr>
            <w:tcW w:w="1892" w:type="dxa"/>
            <w:tcBorders>
              <w:bottom w:val="single" w:sz="8" w:space="0" w:color="000000"/>
            </w:tcBorders>
          </w:tcPr>
          <w:p>
            <w:pPr>
              <w:pStyle w:val="TableParagraph"/>
              <w:spacing w:before="9"/>
              <w:rPr>
                <w:sz w:val="19"/>
              </w:rPr>
            </w:pPr>
          </w:p>
          <w:p>
            <w:pPr>
              <w:pStyle w:val="TableParagraph"/>
              <w:ind w:left="231" w:right="-29"/>
              <w:rPr>
                <w:b/>
                <w:sz w:val="24"/>
              </w:rPr>
            </w:pPr>
            <w:r>
              <w:rPr>
                <w:b/>
                <w:w w:val="95"/>
                <w:sz w:val="24"/>
              </w:rPr>
              <w:t>我们提供的保障</w:t>
            </w:r>
          </w:p>
        </w:tc>
        <w:tc>
          <w:tcPr>
            <w:tcW w:w="7344" w:type="dxa"/>
            <w:tcBorders>
              <w:bottom w:val="single" w:sz="8" w:space="0" w:color="000000"/>
            </w:tcBorders>
          </w:tcPr>
          <w:p>
            <w:pPr>
              <w:pStyle w:val="TableParagraph"/>
              <w:rPr>
                <w:rFonts w:ascii="Times New Roman"/>
                <w:sz w:val="20"/>
              </w:rPr>
            </w:pPr>
          </w:p>
        </w:tc>
      </w:tr>
      <w:tr>
        <w:trPr>
          <w:trHeight w:val="1089" w:hRule="atLeast"/>
        </w:trPr>
        <w:tc>
          <w:tcPr>
            <w:tcW w:w="853" w:type="dxa"/>
            <w:tcBorders>
              <w:top w:val="single" w:sz="8" w:space="0" w:color="000000"/>
            </w:tcBorders>
          </w:tcPr>
          <w:p>
            <w:pPr>
              <w:pStyle w:val="TableParagraph"/>
              <w:spacing w:before="8"/>
              <w:rPr>
                <w:sz w:val="26"/>
              </w:rPr>
            </w:pPr>
          </w:p>
          <w:p>
            <w:pPr>
              <w:pStyle w:val="TableParagraph"/>
              <w:ind w:right="229"/>
              <w:jc w:val="right"/>
              <w:rPr>
                <w:rFonts w:ascii="Times New Roman"/>
                <w:b/>
                <w:sz w:val="21"/>
              </w:rPr>
            </w:pPr>
            <w:r>
              <w:rPr>
                <w:rFonts w:ascii="Times New Roman"/>
                <w:b/>
                <w:sz w:val="21"/>
              </w:rPr>
              <w:t>2.1</w:t>
            </w:r>
          </w:p>
        </w:tc>
        <w:tc>
          <w:tcPr>
            <w:tcW w:w="1892" w:type="dxa"/>
            <w:tcBorders>
              <w:top w:val="single" w:sz="8" w:space="0" w:color="000000"/>
            </w:tcBorders>
          </w:tcPr>
          <w:p>
            <w:pPr>
              <w:pStyle w:val="TableParagraph"/>
              <w:spacing w:before="11"/>
              <w:rPr>
                <w:sz w:val="22"/>
              </w:rPr>
            </w:pPr>
          </w:p>
          <w:p>
            <w:pPr>
              <w:pStyle w:val="TableParagraph"/>
              <w:ind w:left="231"/>
              <w:rPr>
                <w:b/>
                <w:sz w:val="21"/>
              </w:rPr>
            </w:pPr>
            <w:r>
              <w:rPr>
                <w:b/>
                <w:sz w:val="21"/>
              </w:rPr>
              <w:t>基本保险金额</w:t>
            </w:r>
          </w:p>
        </w:tc>
        <w:tc>
          <w:tcPr>
            <w:tcW w:w="7344" w:type="dxa"/>
            <w:tcBorders>
              <w:top w:val="single" w:sz="8" w:space="0" w:color="000000"/>
            </w:tcBorders>
          </w:tcPr>
          <w:p>
            <w:pPr>
              <w:pStyle w:val="TableParagraph"/>
              <w:spacing w:before="11"/>
              <w:rPr>
                <w:sz w:val="22"/>
              </w:rPr>
            </w:pPr>
          </w:p>
          <w:p>
            <w:pPr>
              <w:pStyle w:val="TableParagraph"/>
              <w:spacing w:line="273" w:lineRule="auto"/>
              <w:ind w:left="192" w:right="100"/>
              <w:rPr>
                <w:sz w:val="21"/>
              </w:rPr>
            </w:pPr>
            <w:r>
              <w:rPr>
                <w:spacing w:val="-7"/>
                <w:sz w:val="21"/>
              </w:rPr>
              <w:t>本附加合同各被保险人的基本保险金额由您于投保时和我们约定，并于保险单</w:t>
            </w:r>
            <w:r>
              <w:rPr>
                <w:spacing w:val="-5"/>
                <w:sz w:val="21"/>
              </w:rPr>
              <w:t>上载明。本附加合同保险期间内，我们不接受您变更基本保险金额的申请。</w:t>
            </w:r>
          </w:p>
        </w:tc>
      </w:tr>
      <w:tr>
        <w:trPr>
          <w:trHeight w:val="1247" w:hRule="atLeast"/>
        </w:trPr>
        <w:tc>
          <w:tcPr>
            <w:tcW w:w="853" w:type="dxa"/>
          </w:tcPr>
          <w:p>
            <w:pPr>
              <w:pStyle w:val="TableParagraph"/>
              <w:spacing w:before="195"/>
              <w:ind w:right="229"/>
              <w:jc w:val="right"/>
              <w:rPr>
                <w:rFonts w:ascii="Times New Roman"/>
                <w:b/>
                <w:sz w:val="21"/>
              </w:rPr>
            </w:pPr>
            <w:r>
              <w:rPr>
                <w:rFonts w:ascii="Times New Roman"/>
                <w:b/>
                <w:sz w:val="21"/>
              </w:rPr>
              <w:t>2.2</w:t>
            </w:r>
          </w:p>
        </w:tc>
        <w:tc>
          <w:tcPr>
            <w:tcW w:w="1892" w:type="dxa"/>
          </w:tcPr>
          <w:p>
            <w:pPr>
              <w:pStyle w:val="TableParagraph"/>
              <w:spacing w:before="146"/>
              <w:ind w:left="231"/>
              <w:rPr>
                <w:b/>
                <w:sz w:val="21"/>
              </w:rPr>
            </w:pPr>
            <w:r>
              <w:rPr>
                <w:b/>
                <w:sz w:val="21"/>
              </w:rPr>
              <w:t>保险期间与续保</w:t>
            </w:r>
          </w:p>
        </w:tc>
        <w:tc>
          <w:tcPr>
            <w:tcW w:w="7344" w:type="dxa"/>
          </w:tcPr>
          <w:p>
            <w:pPr>
              <w:pStyle w:val="TableParagraph"/>
              <w:spacing w:before="146"/>
              <w:ind w:left="192"/>
              <w:rPr>
                <w:sz w:val="21"/>
              </w:rPr>
            </w:pPr>
            <w:r>
              <w:rPr>
                <w:sz w:val="21"/>
              </w:rPr>
              <w:t>本附加合同的保险期间为一年。</w:t>
            </w:r>
          </w:p>
          <w:p>
            <w:pPr>
              <w:pStyle w:val="TableParagraph"/>
              <w:spacing w:line="273" w:lineRule="auto" w:before="37"/>
              <w:ind w:left="192" w:right="104"/>
              <w:rPr>
                <w:sz w:val="21"/>
              </w:rPr>
            </w:pPr>
            <w:r>
              <w:rPr>
                <w:spacing w:val="-8"/>
                <w:sz w:val="21"/>
              </w:rPr>
              <w:t>在本附加合同保险期间届满之前，您可以向我们申请续保。经我们审核同意且</w:t>
            </w:r>
            <w:r>
              <w:rPr>
                <w:spacing w:val="-3"/>
                <w:sz w:val="21"/>
              </w:rPr>
              <w:t>收取足额续保保险费后，本附加合同将延续有效一年。</w:t>
            </w:r>
            <w:r>
              <w:rPr>
                <w:sz w:val="21"/>
              </w:rPr>
              <w:t> </w:t>
            </w:r>
          </w:p>
        </w:tc>
      </w:tr>
      <w:tr>
        <w:trPr>
          <w:trHeight w:val="635" w:hRule="atLeast"/>
        </w:trPr>
        <w:tc>
          <w:tcPr>
            <w:tcW w:w="853" w:type="dxa"/>
          </w:tcPr>
          <w:p>
            <w:pPr>
              <w:pStyle w:val="TableParagraph"/>
              <w:spacing w:before="195"/>
              <w:ind w:right="229"/>
              <w:jc w:val="right"/>
              <w:rPr>
                <w:rFonts w:ascii="Times New Roman"/>
                <w:b/>
                <w:sz w:val="21"/>
              </w:rPr>
            </w:pPr>
            <w:r>
              <w:rPr>
                <w:rFonts w:ascii="Times New Roman"/>
                <w:b/>
                <w:sz w:val="21"/>
              </w:rPr>
              <w:t>2.3</w:t>
            </w:r>
          </w:p>
        </w:tc>
        <w:tc>
          <w:tcPr>
            <w:tcW w:w="1892" w:type="dxa"/>
          </w:tcPr>
          <w:p>
            <w:pPr>
              <w:pStyle w:val="TableParagraph"/>
              <w:spacing w:before="146"/>
              <w:ind w:left="231"/>
              <w:rPr>
                <w:b/>
                <w:sz w:val="21"/>
              </w:rPr>
            </w:pPr>
            <w:r>
              <w:rPr>
                <w:b/>
                <w:sz w:val="21"/>
              </w:rPr>
              <w:t>保险责任</w:t>
            </w:r>
          </w:p>
        </w:tc>
        <w:tc>
          <w:tcPr>
            <w:tcW w:w="7344" w:type="dxa"/>
          </w:tcPr>
          <w:p>
            <w:pPr>
              <w:pStyle w:val="TableParagraph"/>
              <w:spacing w:before="146"/>
              <w:ind w:left="192"/>
              <w:rPr>
                <w:sz w:val="21"/>
              </w:rPr>
            </w:pPr>
            <w:r>
              <w:rPr>
                <w:sz w:val="21"/>
              </w:rPr>
              <w:t>在本附加合同有效期内，我们承担下列保险责任：</w:t>
            </w:r>
          </w:p>
        </w:tc>
      </w:tr>
      <w:tr>
        <w:trPr>
          <w:trHeight w:val="1345" w:hRule="atLeast"/>
        </w:trPr>
        <w:tc>
          <w:tcPr>
            <w:tcW w:w="853" w:type="dxa"/>
          </w:tcPr>
          <w:p>
            <w:pPr>
              <w:pStyle w:val="TableParagraph"/>
              <w:rPr>
                <w:rFonts w:ascii="Times New Roman"/>
                <w:sz w:val="20"/>
              </w:rPr>
            </w:pPr>
          </w:p>
        </w:tc>
        <w:tc>
          <w:tcPr>
            <w:tcW w:w="1892" w:type="dxa"/>
          </w:tcPr>
          <w:p>
            <w:pPr>
              <w:pStyle w:val="TableParagraph"/>
              <w:spacing w:before="134"/>
              <w:ind w:left="231"/>
              <w:rPr>
                <w:b/>
                <w:sz w:val="21"/>
              </w:rPr>
            </w:pPr>
            <w:r>
              <w:rPr>
                <w:b/>
                <w:sz w:val="21"/>
              </w:rPr>
              <w:t>重大疾病保险金</w:t>
            </w:r>
          </w:p>
        </w:tc>
        <w:tc>
          <w:tcPr>
            <w:tcW w:w="7344" w:type="dxa"/>
          </w:tcPr>
          <w:p>
            <w:pPr>
              <w:pStyle w:val="TableParagraph"/>
              <w:spacing w:line="310" w:lineRule="atLeast" w:before="99"/>
              <w:ind w:left="192" w:right="100" w:hanging="1"/>
              <w:jc w:val="both"/>
              <w:rPr>
                <w:sz w:val="21"/>
              </w:rPr>
            </w:pPr>
            <w:r>
              <w:rPr>
                <w:spacing w:val="-3"/>
                <w:sz w:val="21"/>
              </w:rPr>
              <w:t>若被保险人在</w:t>
            </w:r>
            <w:r>
              <w:rPr>
                <w:b/>
                <w:sz w:val="21"/>
              </w:rPr>
              <w:t>等待期</w:t>
            </w:r>
            <w:r>
              <w:rPr>
                <w:spacing w:val="-12"/>
                <w:sz w:val="21"/>
              </w:rPr>
              <w:t>后首次出现疾病或症状，且被</w:t>
            </w:r>
            <w:r>
              <w:rPr>
                <w:b/>
                <w:spacing w:val="-2"/>
                <w:sz w:val="21"/>
              </w:rPr>
              <w:t>专科医生</w:t>
            </w:r>
            <w:r>
              <w:rPr>
                <w:spacing w:val="-3"/>
                <w:sz w:val="21"/>
              </w:rPr>
              <w:t>确诊患有本附加合</w:t>
            </w:r>
            <w:r>
              <w:rPr>
                <w:spacing w:val="-3"/>
                <w:w w:val="100"/>
                <w:sz w:val="21"/>
              </w:rPr>
              <w:t>同所定义的重大疾病</w:t>
            </w:r>
            <w:r>
              <w:rPr>
                <w:w w:val="100"/>
                <w:sz w:val="21"/>
              </w:rPr>
              <w:t>（</w:t>
            </w:r>
            <w:r>
              <w:rPr>
                <w:spacing w:val="-3"/>
                <w:w w:val="100"/>
                <w:sz w:val="21"/>
              </w:rPr>
              <w:t>无论一种或多种</w:t>
            </w:r>
            <w:r>
              <w:rPr>
                <w:spacing w:val="-109"/>
                <w:w w:val="100"/>
                <w:sz w:val="21"/>
              </w:rPr>
              <w:t>）</w:t>
            </w:r>
            <w:r>
              <w:rPr>
                <w:spacing w:val="-3"/>
                <w:w w:val="100"/>
                <w:sz w:val="21"/>
              </w:rPr>
              <w:t>，则我们将按该被保险人对应的基本</w:t>
            </w:r>
            <w:r>
              <w:rPr>
                <w:spacing w:val="-12"/>
                <w:sz w:val="21"/>
              </w:rPr>
              <w:t>保险金额给付“重大疾病保险金”予被保险人，本附加合同对该被保险人的保</w:t>
            </w:r>
            <w:r>
              <w:rPr>
                <w:spacing w:val="-2"/>
                <w:sz w:val="21"/>
              </w:rPr>
              <w:t>险责任终止。</w:t>
            </w:r>
          </w:p>
        </w:tc>
      </w:tr>
    </w:tbl>
    <w:p>
      <w:pPr>
        <w:spacing w:after="0" w:line="310" w:lineRule="atLeast"/>
        <w:jc w:val="both"/>
        <w:rPr>
          <w:sz w:val="21"/>
        </w:rPr>
        <w:sectPr>
          <w:footerReference w:type="default" r:id="rId7"/>
          <w:pgSz w:w="11910" w:h="16840"/>
          <w:pgMar w:footer="545" w:header="0" w:top="780" w:bottom="74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873"/>
        <w:gridCol w:w="7853"/>
      </w:tblGrid>
      <w:tr>
        <w:trPr>
          <w:trHeight w:val="4542" w:hRule="atLeast"/>
        </w:trPr>
        <w:tc>
          <w:tcPr>
            <w:tcW w:w="877" w:type="dxa"/>
            <w:tcBorders>
              <w:top w:val="single" w:sz="6" w:space="0" w:color="000000"/>
            </w:tcBorders>
          </w:tcPr>
          <w:p>
            <w:pPr>
              <w:pStyle w:val="TableParagraph"/>
              <w:spacing w:line="269" w:lineRule="exact"/>
              <w:ind w:left="286" w:right="187"/>
              <w:jc w:val="center"/>
              <w:rPr>
                <w:rFonts w:ascii="黑体"/>
                <w:b/>
                <w:sz w:val="24"/>
              </w:rPr>
            </w:pPr>
            <w:r>
              <w:rPr>
                <w:rFonts w:ascii="黑体"/>
                <w:b/>
                <w:sz w:val="24"/>
              </w:rPr>
              <w:t>2.4</w:t>
            </w:r>
          </w:p>
        </w:tc>
        <w:tc>
          <w:tcPr>
            <w:tcW w:w="1873" w:type="dxa"/>
            <w:tcBorders>
              <w:top w:val="single" w:sz="6" w:space="0" w:color="000000"/>
            </w:tcBorders>
          </w:tcPr>
          <w:p>
            <w:pPr>
              <w:pStyle w:val="TableParagraph"/>
              <w:spacing w:line="269" w:lineRule="exact"/>
              <w:ind w:left="207"/>
              <w:rPr>
                <w:rFonts w:ascii="黑体" w:eastAsia="黑体" w:hint="eastAsia"/>
                <w:b/>
                <w:sz w:val="24"/>
              </w:rPr>
            </w:pPr>
            <w:r>
              <w:rPr>
                <w:rFonts w:ascii="黑体" w:eastAsia="黑体" w:hint="eastAsia"/>
                <w:b/>
                <w:sz w:val="24"/>
              </w:rPr>
              <w:t>责任免除</w:t>
            </w:r>
          </w:p>
        </w:tc>
        <w:tc>
          <w:tcPr>
            <w:tcW w:w="7853" w:type="dxa"/>
            <w:tcBorders>
              <w:top w:val="single" w:sz="6" w:space="0" w:color="000000"/>
            </w:tcBorders>
          </w:tcPr>
          <w:p>
            <w:pPr>
              <w:pStyle w:val="TableParagraph"/>
              <w:spacing w:line="268" w:lineRule="exact"/>
              <w:ind w:left="187"/>
              <w:jc w:val="both"/>
              <w:rPr>
                <w:rFonts w:ascii="黑体" w:eastAsia="黑体" w:hint="eastAsia"/>
                <w:sz w:val="24"/>
              </w:rPr>
            </w:pPr>
            <w:r>
              <w:rPr>
                <w:rFonts w:ascii="黑体" w:eastAsia="黑体" w:hint="eastAsia"/>
                <w:sz w:val="24"/>
              </w:rPr>
              <w:t>因下列情形之一，导致被保险人发生疾病、达到疾病状态或进行手</w:t>
            </w:r>
          </w:p>
          <w:p>
            <w:pPr>
              <w:pStyle w:val="TableParagraph"/>
              <w:spacing w:line="312" w:lineRule="exact"/>
              <w:ind w:left="187"/>
              <w:jc w:val="both"/>
              <w:rPr>
                <w:rFonts w:ascii="黑体" w:eastAsia="黑体" w:hint="eastAsia"/>
                <w:sz w:val="24"/>
              </w:rPr>
            </w:pPr>
            <w:r>
              <w:rPr>
                <w:rFonts w:ascii="黑体" w:eastAsia="黑体" w:hint="eastAsia"/>
                <w:sz w:val="24"/>
              </w:rPr>
              <w:t>术的，我们不承担给付重大疾病保险金的责任：</w:t>
            </w:r>
          </w:p>
          <w:p>
            <w:pPr>
              <w:pStyle w:val="TableParagraph"/>
              <w:spacing w:line="312" w:lineRule="exact"/>
              <w:ind w:left="187"/>
              <w:jc w:val="both"/>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187"/>
              <w:jc w:val="both"/>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312" w:lineRule="exact"/>
              <w:ind w:left="187"/>
              <w:jc w:val="both"/>
              <w:rPr>
                <w:rFonts w:ascii="黑体" w:eastAsia="黑体" w:hint="eastAsia"/>
                <w:sz w:val="24"/>
              </w:rPr>
            </w:pPr>
            <w:r>
              <w:rPr>
                <w:rFonts w:ascii="黑体" w:eastAsia="黑体" w:hint="eastAsia"/>
                <w:sz w:val="24"/>
              </w:rPr>
              <w:t>（3）被保险人主动吸食或注射</w:t>
            </w:r>
            <w:r>
              <w:rPr>
                <w:rFonts w:ascii="黑体" w:eastAsia="黑体" w:hint="eastAsia"/>
                <w:b/>
                <w:sz w:val="24"/>
              </w:rPr>
              <w:t>毒品</w:t>
            </w:r>
            <w:r>
              <w:rPr>
                <w:rFonts w:ascii="黑体" w:eastAsia="黑体" w:hint="eastAsia"/>
                <w:sz w:val="24"/>
              </w:rPr>
              <w:t>；</w:t>
            </w:r>
          </w:p>
          <w:p>
            <w:pPr>
              <w:pStyle w:val="TableParagraph"/>
              <w:spacing w:line="237" w:lineRule="auto" w:before="2"/>
              <w:ind w:left="187" w:right="554"/>
              <w:rPr>
                <w:rFonts w:ascii="黑体" w:eastAsia="黑体" w:hint="eastAsia"/>
                <w:sz w:val="24"/>
              </w:rPr>
            </w:pPr>
            <w:r>
              <w:rPr>
                <w:rFonts w:ascii="黑体" w:eastAsia="黑体" w:hint="eastAsia"/>
                <w:sz w:val="24"/>
              </w:rPr>
              <w:t>（4）被保险人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，或驾驶</w:t>
            </w:r>
            <w:r>
              <w:rPr>
                <w:rFonts w:ascii="黑体" w:eastAsia="黑体" w:hint="eastAsia"/>
                <w:b/>
                <w:sz w:val="24"/>
              </w:rPr>
              <w:t>无有效行驶证</w:t>
            </w:r>
            <w:r>
              <w:rPr>
                <w:rFonts w:ascii="黑体" w:eastAsia="黑体" w:hint="eastAsia"/>
                <w:sz w:val="24"/>
              </w:rPr>
              <w:t>的机动车；</w:t>
            </w:r>
          </w:p>
          <w:p>
            <w:pPr>
              <w:pStyle w:val="TableParagraph"/>
              <w:spacing w:line="311" w:lineRule="exact"/>
              <w:ind w:left="187"/>
              <w:jc w:val="both"/>
              <w:rPr>
                <w:rFonts w:ascii="黑体" w:eastAsia="黑体" w:hint="eastAsia"/>
                <w:sz w:val="24"/>
              </w:rPr>
            </w:pPr>
            <w:r>
              <w:rPr>
                <w:rFonts w:ascii="黑体" w:eastAsia="黑体" w:hint="eastAsia"/>
                <w:sz w:val="24"/>
              </w:rPr>
              <w:t>（5）被保险人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187"/>
              <w:jc w:val="both"/>
              <w:rPr>
                <w:rFonts w:ascii="黑体" w:eastAsia="黑体" w:hint="eastAsia"/>
                <w:sz w:val="24"/>
              </w:rPr>
            </w:pPr>
            <w:r>
              <w:rPr>
                <w:rFonts w:ascii="黑体" w:eastAsia="黑体" w:hint="eastAsia"/>
                <w:sz w:val="24"/>
              </w:rPr>
              <w:t>（6）战争、军事冲突、暴乱或武装叛乱；</w:t>
            </w:r>
          </w:p>
          <w:p>
            <w:pPr>
              <w:pStyle w:val="TableParagraph"/>
              <w:spacing w:line="312" w:lineRule="exact"/>
              <w:ind w:left="187"/>
              <w:jc w:val="both"/>
              <w:rPr>
                <w:rFonts w:ascii="黑体" w:eastAsia="黑体" w:hint="eastAsia"/>
                <w:sz w:val="24"/>
              </w:rPr>
            </w:pPr>
            <w:r>
              <w:rPr>
                <w:rFonts w:ascii="黑体" w:eastAsia="黑体" w:hint="eastAsia"/>
                <w:sz w:val="24"/>
              </w:rPr>
              <w:t>（7）核爆炸、核辐射或核污染；</w:t>
            </w:r>
          </w:p>
          <w:p>
            <w:pPr>
              <w:pStyle w:val="TableParagraph"/>
              <w:spacing w:line="312" w:lineRule="exact"/>
              <w:ind w:left="187"/>
              <w:jc w:val="both"/>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187" w:right="703"/>
              <w:jc w:val="both"/>
              <w:rPr>
                <w:rFonts w:ascii="黑体" w:eastAsia="黑体" w:hint="eastAsia"/>
                <w:sz w:val="24"/>
              </w:rPr>
            </w:pPr>
            <w:r>
              <w:rPr>
                <w:rFonts w:ascii="黑体" w:eastAsia="黑体" w:hint="eastAsia"/>
                <w:sz w:val="24"/>
              </w:rPr>
              <w:t>发生上述情形，导致被保险人发生疾病、达到疾病状态或进行手术的，本附加合同对该被保险人的保险责任终止，我们将退还该被保</w:t>
            </w:r>
            <w:r>
              <w:rPr>
                <w:rFonts w:ascii="黑体" w:eastAsia="黑体" w:hint="eastAsia"/>
                <w:w w:val="95"/>
                <w:sz w:val="24"/>
              </w:rPr>
              <w:t>险人的</w:t>
            </w:r>
            <w:r>
              <w:rPr>
                <w:rFonts w:ascii="黑体" w:eastAsia="黑体" w:hint="eastAsia"/>
                <w:b/>
                <w:w w:val="95"/>
                <w:sz w:val="24"/>
              </w:rPr>
              <w:t>未满期净保险费</w:t>
            </w:r>
            <w:r>
              <w:rPr>
                <w:rFonts w:ascii="黑体" w:eastAsia="黑体" w:hint="eastAsia"/>
                <w:w w:val="95"/>
                <w:sz w:val="24"/>
              </w:rPr>
              <w:t>。</w:t>
            </w:r>
          </w:p>
        </w:tc>
      </w:tr>
      <w:tr>
        <w:trPr>
          <w:trHeight w:val="760" w:hRule="atLeast"/>
        </w:trPr>
        <w:tc>
          <w:tcPr>
            <w:tcW w:w="877" w:type="dxa"/>
            <w:tcBorders>
              <w:bottom w:val="single" w:sz="8" w:space="0" w:color="000000"/>
            </w:tcBorders>
          </w:tcPr>
          <w:p>
            <w:pPr>
              <w:pStyle w:val="TableParagraph"/>
              <w:spacing w:before="197"/>
              <w:ind w:left="99"/>
              <w:jc w:val="center"/>
              <w:rPr>
                <w:rFonts w:ascii="Arial"/>
                <w:b/>
                <w:sz w:val="40"/>
              </w:rPr>
            </w:pPr>
            <w:r>
              <w:rPr>
                <w:rFonts w:ascii="Arial"/>
                <w:b/>
                <w:w w:val="93"/>
                <w:sz w:val="40"/>
              </w:rPr>
              <w:t>w</w:t>
            </w:r>
          </w:p>
        </w:tc>
        <w:tc>
          <w:tcPr>
            <w:tcW w:w="1873" w:type="dxa"/>
            <w:tcBorders>
              <w:bottom w:val="single" w:sz="8" w:space="0" w:color="000000"/>
            </w:tcBorders>
          </w:tcPr>
          <w:p>
            <w:pPr>
              <w:pStyle w:val="TableParagraph"/>
              <w:spacing w:before="13"/>
              <w:rPr>
                <w:sz w:val="18"/>
              </w:rPr>
            </w:pPr>
          </w:p>
          <w:p>
            <w:pPr>
              <w:pStyle w:val="TableParagraph"/>
              <w:ind w:left="207"/>
              <w:rPr>
                <w:b/>
                <w:sz w:val="24"/>
              </w:rPr>
            </w:pPr>
            <w:r>
              <w:rPr>
                <w:b/>
                <w:w w:val="95"/>
                <w:sz w:val="24"/>
              </w:rPr>
              <w:t>保险金的申请</w:t>
            </w:r>
          </w:p>
        </w:tc>
        <w:tc>
          <w:tcPr>
            <w:tcW w:w="7853" w:type="dxa"/>
            <w:tcBorders>
              <w:bottom w:val="single" w:sz="8" w:space="0" w:color="000000"/>
            </w:tcBorders>
          </w:tcPr>
          <w:p>
            <w:pPr>
              <w:pStyle w:val="TableParagraph"/>
              <w:rPr>
                <w:rFonts w:ascii="Times New Roman"/>
                <w:sz w:val="22"/>
              </w:rPr>
            </w:pPr>
          </w:p>
        </w:tc>
      </w:tr>
      <w:tr>
        <w:trPr>
          <w:trHeight w:val="2649" w:hRule="atLeast"/>
        </w:trPr>
        <w:tc>
          <w:tcPr>
            <w:tcW w:w="877" w:type="dxa"/>
            <w:tcBorders>
              <w:top w:val="single" w:sz="8" w:space="0" w:color="000000"/>
            </w:tcBorders>
          </w:tcPr>
          <w:p>
            <w:pPr>
              <w:pStyle w:val="TableParagraph"/>
              <w:spacing w:before="4"/>
              <w:rPr>
                <w:sz w:val="26"/>
              </w:rPr>
            </w:pPr>
          </w:p>
          <w:p>
            <w:pPr>
              <w:pStyle w:val="TableParagraph"/>
              <w:ind w:left="286" w:right="184"/>
              <w:jc w:val="center"/>
              <w:rPr>
                <w:rFonts w:ascii="Times New Roman"/>
                <w:b/>
                <w:sz w:val="21"/>
              </w:rPr>
            </w:pPr>
            <w:r>
              <w:rPr>
                <w:rFonts w:ascii="Times New Roman"/>
                <w:b/>
                <w:sz w:val="21"/>
              </w:rPr>
              <w:t>3.1</w:t>
            </w:r>
          </w:p>
        </w:tc>
        <w:tc>
          <w:tcPr>
            <w:tcW w:w="1873" w:type="dxa"/>
            <w:tcBorders>
              <w:top w:val="single" w:sz="8" w:space="0" w:color="000000"/>
            </w:tcBorders>
          </w:tcPr>
          <w:p>
            <w:pPr>
              <w:pStyle w:val="TableParagraph"/>
              <w:spacing w:before="7"/>
              <w:rPr>
                <w:sz w:val="22"/>
              </w:rPr>
            </w:pPr>
          </w:p>
          <w:p>
            <w:pPr>
              <w:pStyle w:val="TableParagraph"/>
              <w:ind w:left="207"/>
              <w:rPr>
                <w:b/>
                <w:sz w:val="21"/>
              </w:rPr>
            </w:pPr>
            <w:r>
              <w:rPr>
                <w:b/>
                <w:sz w:val="21"/>
              </w:rPr>
              <w:t>保险事故通知</w:t>
            </w:r>
          </w:p>
        </w:tc>
        <w:tc>
          <w:tcPr>
            <w:tcW w:w="7853" w:type="dxa"/>
            <w:tcBorders>
              <w:top w:val="single" w:sz="8" w:space="0" w:color="000000"/>
            </w:tcBorders>
          </w:tcPr>
          <w:p>
            <w:pPr>
              <w:pStyle w:val="TableParagraph"/>
              <w:spacing w:before="7"/>
              <w:rPr>
                <w:sz w:val="22"/>
              </w:rPr>
            </w:pPr>
          </w:p>
          <w:p>
            <w:pPr>
              <w:pStyle w:val="TableParagraph"/>
              <w:spacing w:line="273" w:lineRule="auto"/>
              <w:ind w:left="187" w:right="626" w:hanging="1"/>
              <w:rPr>
                <w:sz w:val="21"/>
              </w:rPr>
            </w:pPr>
            <w:r>
              <w:rPr>
                <w:spacing w:val="-5"/>
                <w:sz w:val="21"/>
              </w:rPr>
              <w:t>您、被保险人或其他有权领取保险金的人知道保险事故后应当在 </w:t>
            </w:r>
            <w:r>
              <w:rPr>
                <w:sz w:val="21"/>
              </w:rPr>
              <w:t>10</w:t>
            </w:r>
            <w:r>
              <w:rPr>
                <w:spacing w:val="-11"/>
                <w:sz w:val="21"/>
              </w:rPr>
              <w:t> 日内通知</w:t>
            </w:r>
            <w:r>
              <w:rPr>
                <w:spacing w:val="-1"/>
                <w:sz w:val="21"/>
              </w:rPr>
              <w:t>我们。</w:t>
            </w:r>
            <w:r>
              <w:rPr>
                <w:sz w:val="21"/>
              </w:rPr>
              <w:t> </w:t>
            </w:r>
          </w:p>
          <w:p>
            <w:pPr>
              <w:pStyle w:val="TableParagraph"/>
              <w:spacing w:line="273" w:lineRule="auto" w:before="7"/>
              <w:ind w:left="187" w:right="518"/>
              <w:rPr>
                <w:sz w:val="21"/>
              </w:rPr>
            </w:pPr>
            <w:r>
              <w:rPr>
                <w:spacing w:val="-3"/>
                <w:sz w:val="21"/>
              </w:rPr>
              <w:t>如果您、被保险人或其他有权领取保险金的人故意或者因重大过失未及时通 </w:t>
            </w:r>
            <w:r>
              <w:rPr>
                <w:spacing w:val="-12"/>
                <w:sz w:val="21"/>
              </w:rPr>
              <w:t>知，致使保险事故的性质、原因、损失程度等难以确定的，我们对无法确定的</w:t>
            </w:r>
            <w:r>
              <w:rPr>
                <w:spacing w:val="-11"/>
                <w:sz w:val="21"/>
              </w:rPr>
              <w:t>部分，不承担给付保险金的责任，但我们通过其他途径已经及时知道或者应当</w:t>
            </w:r>
            <w:r>
              <w:rPr>
                <w:spacing w:val="-6"/>
                <w:sz w:val="21"/>
              </w:rPr>
              <w:t>及时知道保险事故发生或者虽未及时通知但不影响我们确定保险事故的性质、</w:t>
            </w:r>
            <w:r>
              <w:rPr>
                <w:spacing w:val="-4"/>
                <w:sz w:val="21"/>
              </w:rPr>
              <w:t>原因、损失程度的除外。</w:t>
            </w:r>
            <w:r>
              <w:rPr>
                <w:sz w:val="21"/>
              </w:rPr>
              <w:t> </w:t>
            </w:r>
          </w:p>
        </w:tc>
      </w:tr>
      <w:tr>
        <w:trPr>
          <w:trHeight w:val="635" w:hRule="atLeast"/>
        </w:trPr>
        <w:tc>
          <w:tcPr>
            <w:tcW w:w="877" w:type="dxa"/>
          </w:tcPr>
          <w:p>
            <w:pPr>
              <w:pStyle w:val="TableParagraph"/>
              <w:spacing w:before="191"/>
              <w:ind w:left="286" w:right="184"/>
              <w:jc w:val="center"/>
              <w:rPr>
                <w:rFonts w:ascii="Times New Roman"/>
                <w:b/>
                <w:sz w:val="21"/>
              </w:rPr>
            </w:pPr>
            <w:r>
              <w:rPr>
                <w:rFonts w:ascii="Times New Roman"/>
                <w:b/>
                <w:sz w:val="21"/>
              </w:rPr>
              <w:t>3.2</w:t>
            </w:r>
          </w:p>
        </w:tc>
        <w:tc>
          <w:tcPr>
            <w:tcW w:w="1873" w:type="dxa"/>
          </w:tcPr>
          <w:p>
            <w:pPr>
              <w:pStyle w:val="TableParagraph"/>
              <w:spacing w:before="142"/>
              <w:ind w:left="207"/>
              <w:rPr>
                <w:b/>
                <w:sz w:val="21"/>
              </w:rPr>
            </w:pPr>
            <w:r>
              <w:rPr>
                <w:b/>
                <w:sz w:val="21"/>
              </w:rPr>
              <w:t>保险金申请</w:t>
            </w:r>
          </w:p>
        </w:tc>
        <w:tc>
          <w:tcPr>
            <w:tcW w:w="7853" w:type="dxa"/>
          </w:tcPr>
          <w:p>
            <w:pPr>
              <w:pStyle w:val="TableParagraph"/>
              <w:spacing w:before="142"/>
              <w:ind w:left="187"/>
              <w:rPr>
                <w:sz w:val="21"/>
              </w:rPr>
            </w:pPr>
            <w:r>
              <w:rPr>
                <w:sz w:val="21"/>
              </w:rPr>
              <w:t>在申请保险金时，请按照下列方式办理：</w:t>
            </w:r>
          </w:p>
        </w:tc>
      </w:tr>
      <w:tr>
        <w:trPr>
          <w:trHeight w:val="3464" w:hRule="atLeast"/>
        </w:trPr>
        <w:tc>
          <w:tcPr>
            <w:tcW w:w="877" w:type="dxa"/>
          </w:tcPr>
          <w:p>
            <w:pPr>
              <w:pStyle w:val="TableParagraph"/>
              <w:rPr>
                <w:rFonts w:ascii="Times New Roman"/>
                <w:sz w:val="22"/>
              </w:rPr>
            </w:pPr>
          </w:p>
        </w:tc>
        <w:tc>
          <w:tcPr>
            <w:tcW w:w="1873" w:type="dxa"/>
          </w:tcPr>
          <w:p>
            <w:pPr>
              <w:pStyle w:val="TableParagraph"/>
              <w:spacing w:line="280" w:lineRule="auto" w:before="154"/>
              <w:ind w:left="207" w:right="184"/>
              <w:rPr>
                <w:b/>
                <w:sz w:val="21"/>
              </w:rPr>
            </w:pPr>
            <w:r>
              <w:rPr>
                <w:b/>
                <w:sz w:val="21"/>
              </w:rPr>
              <w:t>重大疾病保险金申请</w:t>
            </w:r>
            <w:r>
              <w:rPr>
                <w:b/>
                <w:w w:val="99"/>
                <w:sz w:val="21"/>
              </w:rPr>
              <w:t> </w:t>
            </w:r>
          </w:p>
        </w:tc>
        <w:tc>
          <w:tcPr>
            <w:tcW w:w="7853" w:type="dxa"/>
          </w:tcPr>
          <w:p>
            <w:pPr>
              <w:pStyle w:val="TableParagraph"/>
              <w:spacing w:line="273" w:lineRule="auto" w:before="130"/>
              <w:ind w:left="187" w:right="616"/>
              <w:rPr>
                <w:sz w:val="21"/>
              </w:rPr>
            </w:pPr>
            <w:r>
              <w:rPr>
                <w:spacing w:val="-8"/>
                <w:sz w:val="21"/>
              </w:rPr>
              <w:t>由保险金申请人填写保险金给付申请书，并凭下列证明、资料原件向我们申请</w:t>
            </w:r>
            <w:r>
              <w:rPr>
                <w:spacing w:val="-6"/>
                <w:sz w:val="21"/>
              </w:rPr>
              <w:t>给付保险金：</w:t>
            </w:r>
            <w:r>
              <w:rPr>
                <w:sz w:val="21"/>
              </w:rPr>
              <w:t> </w:t>
            </w:r>
          </w:p>
          <w:p>
            <w:pPr>
              <w:pStyle w:val="TableParagraph"/>
              <w:spacing w:line="260" w:lineRule="exact"/>
              <w:ind w:left="187"/>
              <w:rPr>
                <w:sz w:val="21"/>
              </w:rPr>
            </w:pPr>
            <w:r>
              <w:rPr>
                <w:sz w:val="21"/>
              </w:rPr>
              <w:t>（1） 保险合同或保险凭证； </w:t>
            </w:r>
          </w:p>
          <w:p>
            <w:pPr>
              <w:pStyle w:val="TableParagraph"/>
              <w:spacing w:line="272" w:lineRule="exact"/>
              <w:ind w:left="187"/>
              <w:rPr>
                <w:sz w:val="21"/>
              </w:rPr>
            </w:pPr>
            <w:r>
              <w:rPr>
                <w:sz w:val="21"/>
              </w:rPr>
              <w:t>（2） 被保险人的法定身份证明； </w:t>
            </w:r>
          </w:p>
          <w:p>
            <w:pPr>
              <w:pStyle w:val="TableParagraph"/>
              <w:spacing w:line="272" w:lineRule="exact"/>
              <w:ind w:left="188"/>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8"/>
                <w:w w:val="100"/>
                <w:sz w:val="21"/>
              </w:rPr>
              <w:t>）</w:t>
            </w:r>
            <w:r>
              <w:rPr>
                <w:spacing w:val="-4"/>
                <w:w w:val="100"/>
                <w:sz w:val="21"/>
              </w:rPr>
              <w:t>；</w:t>
            </w:r>
            <w:r>
              <w:rPr>
                <w:w w:val="100"/>
                <w:sz w:val="21"/>
              </w:rPr>
              <w:t> </w:t>
            </w:r>
          </w:p>
          <w:p>
            <w:pPr>
              <w:pStyle w:val="TableParagraph"/>
              <w:spacing w:line="237" w:lineRule="auto" w:before="3"/>
              <w:ind w:left="729" w:right="507" w:hanging="543"/>
              <w:rPr>
                <w:sz w:val="21"/>
              </w:rPr>
            </w:pPr>
            <w:r>
              <w:rPr>
                <w:sz w:val="21"/>
              </w:rPr>
              <w:t>（4）</w:t>
            </w:r>
            <w:r>
              <w:rPr>
                <w:spacing w:val="-11"/>
                <w:sz w:val="21"/>
              </w:rPr>
              <w:t> 由专科医生出具的疾病诊断书及相关所必需的检查结果证明</w:t>
            </w:r>
            <w:r>
              <w:rPr>
                <w:spacing w:val="-3"/>
                <w:sz w:val="21"/>
              </w:rPr>
              <w:t>（如病理检</w:t>
            </w:r>
            <w:r>
              <w:rPr>
                <w:spacing w:val="-4"/>
                <w:w w:val="100"/>
                <w:sz w:val="21"/>
              </w:rPr>
              <w:t>查报告、血液检查报告、超声波、影像学及其它医学诊断检查报告等</w:t>
            </w:r>
            <w:r>
              <w:rPr>
                <w:spacing w:val="-108"/>
                <w:w w:val="100"/>
                <w:sz w:val="21"/>
              </w:rPr>
              <w:t>）</w:t>
            </w:r>
            <w:r>
              <w:rPr>
                <w:w w:val="100"/>
                <w:sz w:val="21"/>
              </w:rPr>
              <w:t>，</w:t>
            </w:r>
            <w:r>
              <w:rPr>
                <w:spacing w:val="-4"/>
                <w:sz w:val="21"/>
              </w:rPr>
              <w:t>若接受外科手术者，还需提供外科手术证明文件；</w:t>
            </w:r>
            <w:r>
              <w:rPr>
                <w:sz w:val="21"/>
              </w:rPr>
              <w:t> </w:t>
            </w:r>
          </w:p>
          <w:p>
            <w:pPr>
              <w:pStyle w:val="TableParagraph"/>
              <w:ind w:left="730" w:right="615" w:hanging="543"/>
              <w:rPr>
                <w:sz w:val="21"/>
              </w:rPr>
            </w:pPr>
            <w:r>
              <w:rPr>
                <w:sz w:val="21"/>
              </w:rPr>
              <w:t>（5）</w:t>
            </w:r>
            <w:r>
              <w:rPr>
                <w:spacing w:val="-10"/>
                <w:sz w:val="21"/>
              </w:rPr>
              <w:t> 所能提供的与确认保险事故的性质、原因、伤害程度等有关的其它证明</w:t>
            </w:r>
            <w:r>
              <w:rPr>
                <w:spacing w:val="-2"/>
                <w:sz w:val="21"/>
              </w:rPr>
              <w:t>和资料。</w:t>
            </w:r>
            <w:r>
              <w:rPr>
                <w:sz w:val="21"/>
              </w:rPr>
              <w:t> </w:t>
            </w:r>
          </w:p>
          <w:p>
            <w:pPr>
              <w:pStyle w:val="TableParagraph"/>
              <w:spacing w:line="274" w:lineRule="exact" w:before="26"/>
              <w:ind w:left="187" w:right="613"/>
              <w:rPr>
                <w:sz w:val="21"/>
              </w:rPr>
            </w:pPr>
            <w:r>
              <w:rPr>
                <w:spacing w:val="-11"/>
                <w:sz w:val="21"/>
              </w:rPr>
              <w:t>以上证明和资料不完整的，本公司将及时一次性通知申请人补充提供有关证明</w:t>
            </w:r>
            <w:r>
              <w:rPr>
                <w:spacing w:val="-8"/>
                <w:sz w:val="21"/>
              </w:rPr>
              <w:t>和资料。</w:t>
            </w:r>
            <w:r>
              <w:rPr>
                <w:sz w:val="21"/>
              </w:rPr>
              <w:t> </w:t>
            </w:r>
          </w:p>
        </w:tc>
      </w:tr>
    </w:tbl>
    <w:p>
      <w:pPr>
        <w:spacing w:after="0" w:line="274"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991"/>
        <w:gridCol w:w="7695"/>
      </w:tblGrid>
      <w:tr>
        <w:trPr>
          <w:trHeight w:val="3432" w:hRule="atLeast"/>
        </w:trPr>
        <w:tc>
          <w:tcPr>
            <w:tcW w:w="918" w:type="dxa"/>
            <w:tcBorders>
              <w:top w:val="single" w:sz="6" w:space="0" w:color="000000"/>
            </w:tcBorders>
          </w:tcPr>
          <w:p>
            <w:pPr>
              <w:pStyle w:val="TableParagraph"/>
              <w:spacing w:before="32"/>
              <w:ind w:left="357"/>
              <w:rPr>
                <w:rFonts w:ascii="Times New Roman"/>
                <w:b/>
                <w:sz w:val="21"/>
              </w:rPr>
            </w:pPr>
            <w:r>
              <w:rPr>
                <w:rFonts w:ascii="Times New Roman"/>
                <w:b/>
                <w:sz w:val="21"/>
              </w:rPr>
              <w:t>3.3</w:t>
            </w:r>
          </w:p>
        </w:tc>
        <w:tc>
          <w:tcPr>
            <w:tcW w:w="1991" w:type="dxa"/>
            <w:tcBorders>
              <w:top w:val="single" w:sz="6" w:space="0" w:color="000000"/>
            </w:tcBorders>
          </w:tcPr>
          <w:p>
            <w:pPr>
              <w:pStyle w:val="TableParagraph"/>
              <w:spacing w:line="258" w:lineRule="exact"/>
              <w:ind w:left="166"/>
              <w:rPr>
                <w:b/>
                <w:sz w:val="21"/>
              </w:rPr>
            </w:pPr>
            <w:r>
              <w:rPr>
                <w:b/>
                <w:sz w:val="21"/>
              </w:rPr>
              <w:t>保险金给付</w:t>
            </w:r>
          </w:p>
        </w:tc>
        <w:tc>
          <w:tcPr>
            <w:tcW w:w="7695" w:type="dxa"/>
            <w:tcBorders>
              <w:top w:val="single" w:sz="6" w:space="0" w:color="000000"/>
            </w:tcBorders>
          </w:tcPr>
          <w:p>
            <w:pPr>
              <w:pStyle w:val="TableParagraph"/>
              <w:spacing w:line="258" w:lineRule="exact"/>
              <w:ind w:left="28"/>
              <w:rPr>
                <w:sz w:val="21"/>
              </w:rPr>
            </w:pPr>
            <w:r>
              <w:rPr>
                <w:sz w:val="21"/>
              </w:rPr>
              <w:t>我们在收到保险金给付申请书及合同约定的证明和资料后，将在 5 日内（遇法</w:t>
            </w:r>
          </w:p>
          <w:p>
            <w:pPr>
              <w:pStyle w:val="TableParagraph"/>
              <w:spacing w:before="37"/>
              <w:ind w:left="28"/>
              <w:rPr>
                <w:sz w:val="21"/>
              </w:rPr>
            </w:pPr>
            <w:r>
              <w:rPr>
                <w:sz w:val="21"/>
              </w:rPr>
              <w:t>定节假日顺延）作出核定；情形复杂的，在 30 日内作出核定。对属于保险责</w:t>
            </w:r>
          </w:p>
          <w:p>
            <w:pPr>
              <w:pStyle w:val="TableParagraph"/>
              <w:spacing w:line="273" w:lineRule="auto" w:before="37"/>
              <w:ind w:left="28" w:right="629"/>
              <w:jc w:val="both"/>
              <w:rPr>
                <w:sz w:val="21"/>
              </w:rPr>
            </w:pPr>
            <w:r>
              <w:rPr>
                <w:spacing w:val="-5"/>
                <w:sz w:val="21"/>
              </w:rPr>
              <w:t>任的，我们在与被保险人达成给付保险金的协议后 </w:t>
            </w:r>
            <w:r>
              <w:rPr>
                <w:sz w:val="21"/>
              </w:rPr>
              <w:t>10</w:t>
            </w:r>
            <w:r>
              <w:rPr>
                <w:spacing w:val="-8"/>
                <w:sz w:val="21"/>
              </w:rPr>
              <w:t> 日内，履行给付保险金</w:t>
            </w:r>
            <w:r>
              <w:rPr>
                <w:spacing w:val="-1"/>
                <w:sz w:val="21"/>
              </w:rPr>
              <w:t>义务。</w:t>
            </w:r>
            <w:r>
              <w:rPr>
                <w:sz w:val="21"/>
              </w:rPr>
              <w:t> </w:t>
            </w:r>
          </w:p>
          <w:p>
            <w:pPr>
              <w:pStyle w:val="TableParagraph"/>
              <w:spacing w:line="273" w:lineRule="auto" w:before="8"/>
              <w:ind w:left="28" w:right="614"/>
              <w:jc w:val="both"/>
              <w:rPr>
                <w:sz w:val="21"/>
              </w:rPr>
            </w:pPr>
            <w:r>
              <w:rPr>
                <w:spacing w:val="-8"/>
                <w:sz w:val="21"/>
              </w:rPr>
              <w:t>我们未及时履行前款规定义务的，除支付保险金外，应当赔偿被保险人因此受</w:t>
            </w:r>
            <w:r>
              <w:rPr>
                <w:spacing w:val="-6"/>
                <w:sz w:val="21"/>
              </w:rPr>
              <w:t>到的损失。</w:t>
            </w:r>
            <w:r>
              <w:rPr>
                <w:sz w:val="21"/>
              </w:rPr>
              <w:t> </w:t>
            </w:r>
          </w:p>
          <w:p>
            <w:pPr>
              <w:pStyle w:val="TableParagraph"/>
              <w:spacing w:line="273" w:lineRule="auto" w:before="8"/>
              <w:ind w:left="28" w:right="615"/>
              <w:jc w:val="both"/>
              <w:rPr>
                <w:sz w:val="21"/>
              </w:rPr>
            </w:pPr>
            <w:r>
              <w:rPr>
                <w:spacing w:val="-14"/>
                <w:sz w:val="21"/>
              </w:rPr>
              <w:t>对不属于保险责任的，我们自作出核定之日起 </w:t>
            </w:r>
            <w:r>
              <w:rPr>
                <w:sz w:val="21"/>
              </w:rPr>
              <w:t>3</w:t>
            </w:r>
            <w:r>
              <w:rPr>
                <w:spacing w:val="-7"/>
                <w:sz w:val="21"/>
              </w:rPr>
              <w:t> 日内向被保险人发出拒绝给付</w:t>
            </w:r>
            <w:r>
              <w:rPr>
                <w:spacing w:val="-5"/>
                <w:sz w:val="21"/>
              </w:rPr>
              <w:t>保险金通知书并说明理由。 </w:t>
            </w:r>
          </w:p>
          <w:p>
            <w:pPr>
              <w:pStyle w:val="TableParagraph"/>
              <w:spacing w:line="273" w:lineRule="auto" w:before="8"/>
              <w:ind w:left="28" w:right="616"/>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10"/>
                <w:sz w:val="21"/>
              </w:rPr>
              <w:t>金的数额不能确定的，根据已有证明和资料可以确定的数额先予支付；我们最</w:t>
            </w:r>
            <w:r>
              <w:rPr>
                <w:spacing w:val="-5"/>
                <w:sz w:val="21"/>
              </w:rPr>
              <w:t>终确定给付保险金的数额后，将支付相应的差额。</w:t>
            </w:r>
            <w:r>
              <w:rPr>
                <w:sz w:val="21"/>
              </w:rPr>
              <w:t> </w:t>
            </w:r>
          </w:p>
        </w:tc>
      </w:tr>
      <w:tr>
        <w:trPr>
          <w:trHeight w:val="308" w:hRule="atLeast"/>
        </w:trPr>
        <w:tc>
          <w:tcPr>
            <w:tcW w:w="918" w:type="dxa"/>
          </w:tcPr>
          <w:p>
            <w:pPr>
              <w:pStyle w:val="TableParagraph"/>
              <w:rPr>
                <w:rFonts w:ascii="Times New Roman"/>
                <w:sz w:val="20"/>
              </w:rPr>
            </w:pPr>
          </w:p>
        </w:tc>
        <w:tc>
          <w:tcPr>
            <w:tcW w:w="1991" w:type="dxa"/>
          </w:tcPr>
          <w:p>
            <w:pPr>
              <w:pStyle w:val="TableParagraph"/>
              <w:rPr>
                <w:rFonts w:ascii="Times New Roman"/>
                <w:sz w:val="20"/>
              </w:rPr>
            </w:pPr>
          </w:p>
        </w:tc>
        <w:tc>
          <w:tcPr>
            <w:tcW w:w="7695" w:type="dxa"/>
          </w:tcPr>
          <w:p>
            <w:pPr>
              <w:pStyle w:val="TableParagraph"/>
              <w:spacing w:line="257" w:lineRule="exact"/>
              <w:ind w:left="28"/>
              <w:rPr>
                <w:sz w:val="21"/>
              </w:rPr>
            </w:pPr>
            <w:r>
              <w:rPr>
                <w:w w:val="100"/>
                <w:sz w:val="21"/>
              </w:rPr>
              <w:t> </w:t>
            </w:r>
          </w:p>
        </w:tc>
      </w:tr>
      <w:tr>
        <w:trPr>
          <w:trHeight w:val="939" w:hRule="atLeast"/>
        </w:trPr>
        <w:tc>
          <w:tcPr>
            <w:tcW w:w="918" w:type="dxa"/>
          </w:tcPr>
          <w:p>
            <w:pPr>
              <w:pStyle w:val="TableParagraph"/>
              <w:spacing w:before="35"/>
              <w:ind w:left="357"/>
              <w:rPr>
                <w:rFonts w:ascii="Times New Roman"/>
                <w:b/>
                <w:sz w:val="21"/>
              </w:rPr>
            </w:pPr>
            <w:r>
              <w:rPr>
                <w:rFonts w:ascii="Times New Roman"/>
                <w:b/>
                <w:sz w:val="21"/>
              </w:rPr>
              <w:t>3.4</w:t>
            </w:r>
          </w:p>
        </w:tc>
        <w:tc>
          <w:tcPr>
            <w:tcW w:w="1991" w:type="dxa"/>
          </w:tcPr>
          <w:p>
            <w:pPr>
              <w:pStyle w:val="TableParagraph"/>
              <w:spacing w:line="261" w:lineRule="exact"/>
              <w:ind w:left="166"/>
              <w:rPr>
                <w:b/>
                <w:sz w:val="21"/>
              </w:rPr>
            </w:pPr>
            <w:r>
              <w:rPr>
                <w:b/>
                <w:sz w:val="21"/>
              </w:rPr>
              <w:t>诉讼时效</w:t>
            </w:r>
            <w:r>
              <w:rPr>
                <w:b/>
                <w:w w:val="99"/>
                <w:sz w:val="21"/>
              </w:rPr>
              <w:t>         </w:t>
            </w:r>
          </w:p>
        </w:tc>
        <w:tc>
          <w:tcPr>
            <w:tcW w:w="7695" w:type="dxa"/>
          </w:tcPr>
          <w:p>
            <w:pPr>
              <w:pStyle w:val="TableParagraph"/>
              <w:spacing w:line="261" w:lineRule="exact"/>
              <w:ind w:left="28"/>
              <w:rPr>
                <w:sz w:val="21"/>
              </w:rPr>
            </w:pPr>
            <w:r>
              <w:rPr>
                <w:sz w:val="21"/>
              </w:rPr>
              <w:t>被保险人或其他有权领取重大疾病保险金的人向本公司请求给付重大疾病保</w:t>
            </w:r>
          </w:p>
          <w:p>
            <w:pPr>
              <w:pStyle w:val="TableParagraph"/>
              <w:spacing w:line="273" w:lineRule="auto" w:before="37"/>
              <w:ind w:left="28" w:right="727" w:hanging="1"/>
              <w:rPr>
                <w:sz w:val="21"/>
              </w:rPr>
            </w:pPr>
            <w:r>
              <w:rPr>
                <w:spacing w:val="-6"/>
                <w:sz w:val="21"/>
              </w:rPr>
              <w:t>险金的诉讼时效期间为 </w:t>
            </w:r>
            <w:r>
              <w:rPr>
                <w:sz w:val="21"/>
              </w:rPr>
              <w:t>2</w:t>
            </w:r>
            <w:r>
              <w:rPr>
                <w:spacing w:val="-8"/>
                <w:sz w:val="21"/>
              </w:rPr>
              <w:t> 年，自其知道或者应当知道保险事故发生之日起计</w:t>
            </w:r>
            <w:r>
              <w:rPr>
                <w:spacing w:val="-6"/>
                <w:sz w:val="21"/>
              </w:rPr>
              <w:t>算。</w:t>
            </w:r>
            <w:r>
              <w:rPr>
                <w:sz w:val="21"/>
              </w:rPr>
              <w:t> </w:t>
            </w:r>
          </w:p>
        </w:tc>
      </w:tr>
      <w:tr>
        <w:trPr>
          <w:trHeight w:val="324" w:hRule="atLeast"/>
        </w:trPr>
        <w:tc>
          <w:tcPr>
            <w:tcW w:w="918" w:type="dxa"/>
          </w:tcPr>
          <w:p>
            <w:pPr>
              <w:pStyle w:val="TableParagraph"/>
              <w:spacing w:line="257" w:lineRule="exact"/>
              <w:ind w:left="162"/>
              <w:jc w:val="center"/>
              <w:rPr>
                <w:sz w:val="21"/>
              </w:rPr>
            </w:pPr>
            <w:r>
              <w:rPr>
                <w:w w:val="100"/>
                <w:sz w:val="21"/>
              </w:rPr>
              <w:t> </w:t>
            </w:r>
          </w:p>
        </w:tc>
        <w:tc>
          <w:tcPr>
            <w:tcW w:w="1991" w:type="dxa"/>
          </w:tcPr>
          <w:p>
            <w:pPr>
              <w:pStyle w:val="TableParagraph"/>
              <w:spacing w:line="257" w:lineRule="exact"/>
              <w:ind w:left="167"/>
              <w:rPr>
                <w:sz w:val="21"/>
              </w:rPr>
            </w:pPr>
            <w:r>
              <w:rPr>
                <w:w w:val="100"/>
                <w:sz w:val="21"/>
              </w:rPr>
              <w:t> </w:t>
            </w:r>
          </w:p>
        </w:tc>
        <w:tc>
          <w:tcPr>
            <w:tcW w:w="7695" w:type="dxa"/>
          </w:tcPr>
          <w:p>
            <w:pPr>
              <w:pStyle w:val="TableParagraph"/>
              <w:rPr>
                <w:rFonts w:ascii="Times New Roman"/>
                <w:sz w:val="20"/>
              </w:rPr>
            </w:pPr>
          </w:p>
        </w:tc>
      </w:tr>
      <w:tr>
        <w:trPr>
          <w:trHeight w:val="610" w:hRule="atLeast"/>
        </w:trPr>
        <w:tc>
          <w:tcPr>
            <w:tcW w:w="918" w:type="dxa"/>
            <w:tcBorders>
              <w:bottom w:val="single" w:sz="4" w:space="0" w:color="000000"/>
            </w:tcBorders>
          </w:tcPr>
          <w:p>
            <w:pPr>
              <w:pStyle w:val="TableParagraph"/>
              <w:spacing w:before="46"/>
              <w:ind w:left="388"/>
              <w:rPr>
                <w:rFonts w:ascii="Arial"/>
                <w:sz w:val="40"/>
              </w:rPr>
            </w:pPr>
            <w:r>
              <w:rPr>
                <w:rFonts w:ascii="Arial"/>
                <w:w w:val="100"/>
                <w:sz w:val="40"/>
              </w:rPr>
              <w:t>x</w:t>
            </w:r>
          </w:p>
        </w:tc>
        <w:tc>
          <w:tcPr>
            <w:tcW w:w="9686" w:type="dxa"/>
            <w:gridSpan w:val="2"/>
          </w:tcPr>
          <w:p>
            <w:pPr>
              <w:pStyle w:val="TableParagraph"/>
              <w:spacing w:before="98"/>
              <w:ind w:left="166"/>
              <w:rPr>
                <w:b/>
                <w:sz w:val="24"/>
              </w:rPr>
            </w:pPr>
            <w:r>
              <w:rPr>
                <w:b/>
                <w:sz w:val="24"/>
              </w:rPr>
              <w:t>保险费的交纳</w:t>
            </w:r>
            <w:r>
              <w:rPr>
                <w:b/>
                <w:w w:val="99"/>
                <w:sz w:val="24"/>
              </w:rPr>
              <w:t>                                                               </w:t>
            </w:r>
          </w:p>
        </w:tc>
      </w:tr>
      <w:tr>
        <w:trPr>
          <w:trHeight w:val="312" w:hRule="atLeast"/>
        </w:trPr>
        <w:tc>
          <w:tcPr>
            <w:tcW w:w="918" w:type="dxa"/>
            <w:tcBorders>
              <w:top w:val="single" w:sz="4" w:space="0" w:color="000000"/>
            </w:tcBorders>
          </w:tcPr>
          <w:p>
            <w:pPr>
              <w:pStyle w:val="TableParagraph"/>
              <w:spacing w:line="258" w:lineRule="exact"/>
              <w:ind w:left="162"/>
              <w:jc w:val="center"/>
              <w:rPr>
                <w:sz w:val="21"/>
              </w:rPr>
            </w:pPr>
            <w:r>
              <w:rPr>
                <w:w w:val="100"/>
                <w:sz w:val="21"/>
              </w:rPr>
              <w:t> </w:t>
            </w:r>
          </w:p>
        </w:tc>
        <w:tc>
          <w:tcPr>
            <w:tcW w:w="1991" w:type="dxa"/>
            <w:tcBorders>
              <w:top w:val="single" w:sz="4" w:space="0" w:color="000000"/>
            </w:tcBorders>
          </w:tcPr>
          <w:p>
            <w:pPr>
              <w:pStyle w:val="TableParagraph"/>
              <w:spacing w:line="258" w:lineRule="exact"/>
              <w:ind w:left="166"/>
              <w:rPr>
                <w:sz w:val="21"/>
              </w:rPr>
            </w:pPr>
            <w:r>
              <w:rPr>
                <w:w w:val="100"/>
                <w:sz w:val="21"/>
              </w:rPr>
              <w:t> </w:t>
            </w:r>
          </w:p>
        </w:tc>
        <w:tc>
          <w:tcPr>
            <w:tcW w:w="7695" w:type="dxa"/>
            <w:tcBorders>
              <w:top w:val="single" w:sz="4" w:space="0" w:color="000000"/>
            </w:tcBorders>
          </w:tcPr>
          <w:p>
            <w:pPr>
              <w:pStyle w:val="TableParagraph"/>
              <w:spacing w:line="258" w:lineRule="exact"/>
              <w:ind w:left="28"/>
              <w:rPr>
                <w:sz w:val="21"/>
              </w:rPr>
            </w:pPr>
            <w:r>
              <w:rPr>
                <w:w w:val="100"/>
                <w:sz w:val="21"/>
              </w:rPr>
              <w:t> </w:t>
            </w:r>
          </w:p>
        </w:tc>
      </w:tr>
      <w:tr>
        <w:trPr>
          <w:trHeight w:val="935" w:hRule="atLeast"/>
        </w:trPr>
        <w:tc>
          <w:tcPr>
            <w:tcW w:w="918" w:type="dxa"/>
          </w:tcPr>
          <w:p>
            <w:pPr>
              <w:pStyle w:val="TableParagraph"/>
              <w:spacing w:line="257" w:lineRule="exact"/>
              <w:ind w:left="328"/>
              <w:rPr>
                <w:b/>
                <w:sz w:val="21"/>
              </w:rPr>
            </w:pPr>
            <w:r>
              <w:rPr>
                <w:b/>
                <w:sz w:val="21"/>
              </w:rPr>
              <w:t>4.1 </w:t>
            </w:r>
          </w:p>
        </w:tc>
        <w:tc>
          <w:tcPr>
            <w:tcW w:w="1991" w:type="dxa"/>
          </w:tcPr>
          <w:p>
            <w:pPr>
              <w:pStyle w:val="TableParagraph"/>
              <w:spacing w:line="257" w:lineRule="exact"/>
              <w:ind w:left="166"/>
              <w:rPr>
                <w:b/>
                <w:sz w:val="21"/>
              </w:rPr>
            </w:pPr>
            <w:r>
              <w:rPr>
                <w:b/>
                <w:sz w:val="21"/>
              </w:rPr>
              <w:t>保险费的交纳</w:t>
            </w:r>
          </w:p>
        </w:tc>
        <w:tc>
          <w:tcPr>
            <w:tcW w:w="7695" w:type="dxa"/>
          </w:tcPr>
          <w:p>
            <w:pPr>
              <w:pStyle w:val="TableParagraph"/>
              <w:spacing w:line="257" w:lineRule="exact"/>
              <w:ind w:left="28"/>
              <w:rPr>
                <w:sz w:val="21"/>
              </w:rPr>
            </w:pPr>
            <w:r>
              <w:rPr>
                <w:sz w:val="21"/>
              </w:rPr>
              <w:t>您应于投保时向我们足额交纳本附加合同的保险费。在本附加合同保险期间届</w:t>
            </w:r>
          </w:p>
          <w:p>
            <w:pPr>
              <w:pStyle w:val="TableParagraph"/>
              <w:spacing w:line="273" w:lineRule="auto" w:before="37"/>
              <w:ind w:left="28" w:right="620" w:hanging="1"/>
              <w:rPr>
                <w:sz w:val="20"/>
              </w:rPr>
            </w:pPr>
            <w:r>
              <w:rPr>
                <w:spacing w:val="-10"/>
                <w:sz w:val="21"/>
              </w:rPr>
              <w:t>满时，若您申请续保且经我们审核同意续保的，则您应当按照约定交纳续保保</w:t>
            </w:r>
            <w:r>
              <w:rPr>
                <w:spacing w:val="-1"/>
                <w:sz w:val="21"/>
              </w:rPr>
              <w:t>险费。</w:t>
            </w:r>
            <w:r>
              <w:rPr>
                <w:w w:val="99"/>
                <w:sz w:val="20"/>
              </w:rPr>
              <w:t> </w:t>
            </w:r>
          </w:p>
        </w:tc>
      </w:tr>
      <w:tr>
        <w:trPr>
          <w:trHeight w:val="324" w:hRule="atLeast"/>
        </w:trPr>
        <w:tc>
          <w:tcPr>
            <w:tcW w:w="918" w:type="dxa"/>
          </w:tcPr>
          <w:p>
            <w:pPr>
              <w:pStyle w:val="TableParagraph"/>
              <w:spacing w:line="257" w:lineRule="exact"/>
              <w:ind w:left="162"/>
              <w:jc w:val="center"/>
              <w:rPr>
                <w:b/>
                <w:sz w:val="21"/>
              </w:rPr>
            </w:pPr>
            <w:r>
              <w:rPr>
                <w:b/>
                <w:w w:val="99"/>
                <w:sz w:val="21"/>
              </w:rPr>
              <w:t> </w:t>
            </w:r>
          </w:p>
        </w:tc>
        <w:tc>
          <w:tcPr>
            <w:tcW w:w="1991" w:type="dxa"/>
          </w:tcPr>
          <w:p>
            <w:pPr>
              <w:pStyle w:val="TableParagraph"/>
              <w:spacing w:line="257" w:lineRule="exact"/>
              <w:ind w:left="166"/>
              <w:rPr>
                <w:b/>
                <w:sz w:val="21"/>
              </w:rPr>
            </w:pPr>
            <w:r>
              <w:rPr>
                <w:b/>
                <w:w w:val="99"/>
                <w:sz w:val="21"/>
              </w:rPr>
              <w:t> </w:t>
            </w:r>
          </w:p>
        </w:tc>
        <w:tc>
          <w:tcPr>
            <w:tcW w:w="7695" w:type="dxa"/>
          </w:tcPr>
          <w:p>
            <w:pPr>
              <w:pStyle w:val="TableParagraph"/>
              <w:rPr>
                <w:rFonts w:ascii="Times New Roman"/>
                <w:sz w:val="20"/>
              </w:rPr>
            </w:pPr>
          </w:p>
        </w:tc>
      </w:tr>
      <w:tr>
        <w:trPr>
          <w:trHeight w:val="610" w:hRule="atLeast"/>
        </w:trPr>
        <w:tc>
          <w:tcPr>
            <w:tcW w:w="918" w:type="dxa"/>
            <w:tcBorders>
              <w:bottom w:val="single" w:sz="4" w:space="0" w:color="000000"/>
            </w:tcBorders>
          </w:tcPr>
          <w:p>
            <w:pPr>
              <w:pStyle w:val="TableParagraph"/>
              <w:spacing w:before="46"/>
              <w:ind w:left="388"/>
              <w:rPr>
                <w:rFonts w:ascii="Arial"/>
                <w:sz w:val="40"/>
              </w:rPr>
            </w:pPr>
            <w:r>
              <w:rPr>
                <w:rFonts w:ascii="Arial"/>
                <w:w w:val="100"/>
                <w:sz w:val="40"/>
              </w:rPr>
              <w:t>y</w:t>
            </w:r>
          </w:p>
        </w:tc>
        <w:tc>
          <w:tcPr>
            <w:tcW w:w="9686" w:type="dxa"/>
            <w:gridSpan w:val="2"/>
          </w:tcPr>
          <w:p>
            <w:pPr>
              <w:pStyle w:val="TableParagraph"/>
              <w:spacing w:before="98"/>
              <w:ind w:left="166"/>
              <w:rPr>
                <w:b/>
                <w:sz w:val="24"/>
              </w:rPr>
            </w:pPr>
            <w:r>
              <w:rPr>
                <w:b/>
                <w:sz w:val="24"/>
              </w:rPr>
              <w:t>被保险人变动</w:t>
            </w:r>
            <w:r>
              <w:rPr>
                <w:b/>
                <w:w w:val="99"/>
                <w:sz w:val="24"/>
              </w:rPr>
              <w:t>                                                               </w:t>
            </w:r>
          </w:p>
        </w:tc>
      </w:tr>
      <w:tr>
        <w:trPr>
          <w:trHeight w:val="312" w:hRule="atLeast"/>
        </w:trPr>
        <w:tc>
          <w:tcPr>
            <w:tcW w:w="918" w:type="dxa"/>
            <w:tcBorders>
              <w:top w:val="single" w:sz="4" w:space="0" w:color="000000"/>
            </w:tcBorders>
          </w:tcPr>
          <w:p>
            <w:pPr>
              <w:pStyle w:val="TableParagraph"/>
              <w:spacing w:line="258" w:lineRule="exact"/>
              <w:ind w:left="162"/>
              <w:jc w:val="center"/>
              <w:rPr>
                <w:b/>
                <w:sz w:val="21"/>
              </w:rPr>
            </w:pPr>
            <w:r>
              <w:rPr>
                <w:b/>
                <w:w w:val="99"/>
                <w:sz w:val="21"/>
              </w:rPr>
              <w:t> </w:t>
            </w:r>
          </w:p>
        </w:tc>
        <w:tc>
          <w:tcPr>
            <w:tcW w:w="1991" w:type="dxa"/>
            <w:tcBorders>
              <w:top w:val="single" w:sz="4" w:space="0" w:color="000000"/>
            </w:tcBorders>
          </w:tcPr>
          <w:p>
            <w:pPr>
              <w:pStyle w:val="TableParagraph"/>
              <w:spacing w:line="258" w:lineRule="exact"/>
              <w:ind w:left="166"/>
              <w:rPr>
                <w:b/>
                <w:sz w:val="21"/>
              </w:rPr>
            </w:pPr>
            <w:r>
              <w:rPr>
                <w:b/>
                <w:w w:val="99"/>
                <w:sz w:val="21"/>
              </w:rPr>
              <w:t> </w:t>
            </w:r>
          </w:p>
        </w:tc>
        <w:tc>
          <w:tcPr>
            <w:tcW w:w="7695" w:type="dxa"/>
            <w:tcBorders>
              <w:top w:val="single" w:sz="4" w:space="0" w:color="000000"/>
            </w:tcBorders>
          </w:tcPr>
          <w:p>
            <w:pPr>
              <w:pStyle w:val="TableParagraph"/>
              <w:rPr>
                <w:rFonts w:ascii="Times New Roman"/>
                <w:sz w:val="20"/>
              </w:rPr>
            </w:pPr>
          </w:p>
        </w:tc>
      </w:tr>
      <w:tr>
        <w:trPr>
          <w:trHeight w:val="3119" w:hRule="atLeast"/>
        </w:trPr>
        <w:tc>
          <w:tcPr>
            <w:tcW w:w="918" w:type="dxa"/>
          </w:tcPr>
          <w:p>
            <w:pPr>
              <w:pStyle w:val="TableParagraph"/>
              <w:spacing w:line="257" w:lineRule="exact"/>
              <w:ind w:left="328"/>
              <w:rPr>
                <w:b/>
                <w:sz w:val="21"/>
              </w:rPr>
            </w:pPr>
            <w:r>
              <w:rPr>
                <w:b/>
                <w:sz w:val="21"/>
              </w:rPr>
              <w:t>5.1 </w:t>
            </w:r>
          </w:p>
        </w:tc>
        <w:tc>
          <w:tcPr>
            <w:tcW w:w="1991" w:type="dxa"/>
          </w:tcPr>
          <w:p>
            <w:pPr>
              <w:pStyle w:val="TableParagraph"/>
              <w:spacing w:line="257" w:lineRule="exact"/>
              <w:ind w:left="166"/>
              <w:rPr>
                <w:b/>
                <w:sz w:val="21"/>
              </w:rPr>
            </w:pPr>
            <w:r>
              <w:rPr>
                <w:b/>
                <w:sz w:val="21"/>
              </w:rPr>
              <w:t>被保险人变动</w:t>
            </w:r>
            <w:r>
              <w:rPr>
                <w:b/>
                <w:w w:val="99"/>
                <w:sz w:val="21"/>
              </w:rPr>
              <w:t> </w:t>
            </w:r>
          </w:p>
        </w:tc>
        <w:tc>
          <w:tcPr>
            <w:tcW w:w="7695" w:type="dxa"/>
          </w:tcPr>
          <w:p>
            <w:pPr>
              <w:pStyle w:val="TableParagraph"/>
              <w:spacing w:line="257" w:lineRule="exact"/>
              <w:ind w:left="28"/>
              <w:rPr>
                <w:sz w:val="21"/>
              </w:rPr>
            </w:pPr>
            <w:r>
              <w:rPr>
                <w:sz w:val="21"/>
              </w:rPr>
              <w:t>投保人因参保的团体成员变动需要加保的，应书面通知本公司，经我们审核同</w:t>
            </w:r>
          </w:p>
          <w:p>
            <w:pPr>
              <w:pStyle w:val="TableParagraph"/>
              <w:spacing w:before="37"/>
              <w:ind w:left="28"/>
              <w:rPr>
                <w:sz w:val="21"/>
              </w:rPr>
            </w:pPr>
            <w:r>
              <w:rPr>
                <w:sz w:val="21"/>
              </w:rPr>
              <w:t>意、收取相应保险费并在批注或批单上载明后，开始承担保险责任。</w:t>
            </w:r>
          </w:p>
          <w:p>
            <w:pPr>
              <w:pStyle w:val="TableParagraph"/>
              <w:spacing w:line="273" w:lineRule="auto" w:before="37"/>
              <w:ind w:left="28" w:right="617"/>
              <w:jc w:val="both"/>
              <w:rPr>
                <w:sz w:val="21"/>
              </w:rPr>
            </w:pPr>
            <w:r>
              <w:rPr>
                <w:spacing w:val="-8"/>
                <w:sz w:val="21"/>
              </w:rPr>
              <w:t>本附加合同有效期内，参加本保险的团体成员</w:t>
            </w:r>
            <w:r>
              <w:rPr>
                <w:b/>
                <w:spacing w:val="-2"/>
                <w:sz w:val="21"/>
              </w:rPr>
              <w:t>离职</w:t>
            </w:r>
            <w:r>
              <w:rPr>
                <w:spacing w:val="-8"/>
                <w:sz w:val="21"/>
              </w:rPr>
              <w:t>或丧失会员资格的，投保人</w:t>
            </w:r>
            <w:r>
              <w:rPr>
                <w:spacing w:val="-7"/>
                <w:sz w:val="21"/>
              </w:rPr>
              <w:t>应在该成员离职或丧失会员资格之日书面通知本公司，本公司对相应被保险人</w:t>
            </w:r>
          </w:p>
          <w:p>
            <w:pPr>
              <w:pStyle w:val="TableParagraph"/>
              <w:spacing w:line="273" w:lineRule="auto" w:before="7"/>
              <w:ind w:left="28" w:right="614"/>
              <w:jc w:val="both"/>
              <w:rPr>
                <w:sz w:val="21"/>
              </w:rPr>
            </w:pPr>
            <w:r>
              <w:rPr>
                <w:sz w:val="21"/>
              </w:rPr>
              <w:t>（</w:t>
            </w:r>
            <w:r>
              <w:rPr>
                <w:spacing w:val="-3"/>
                <w:sz w:val="21"/>
              </w:rPr>
              <w:t>含参加本保险的团体成员及其参加本保险的配偶和子女</w:t>
            </w:r>
            <w:r>
              <w:rPr>
                <w:spacing w:val="-97"/>
                <w:sz w:val="21"/>
              </w:rPr>
              <w:t>）</w:t>
            </w:r>
            <w:r>
              <w:rPr>
                <w:spacing w:val="-3"/>
                <w:sz w:val="21"/>
              </w:rPr>
              <w:t>的保险责任自该成</w:t>
            </w:r>
            <w:r>
              <w:rPr>
                <w:spacing w:val="-9"/>
                <w:sz w:val="21"/>
              </w:rPr>
              <w:t>员离职或会员资格丧失之日起终止。本公司向投保人退还相应被保险人的未满</w:t>
            </w:r>
            <w:r>
              <w:rPr>
                <w:spacing w:val="-5"/>
                <w:sz w:val="21"/>
              </w:rPr>
              <w:t>期净保险费。</w:t>
            </w:r>
          </w:p>
          <w:p>
            <w:pPr>
              <w:pStyle w:val="TableParagraph"/>
              <w:spacing w:line="264" w:lineRule="auto" w:before="7"/>
              <w:ind w:left="28" w:right="613"/>
              <w:jc w:val="both"/>
              <w:rPr>
                <w:sz w:val="21"/>
              </w:rPr>
            </w:pPr>
            <w:r>
              <w:rPr>
                <w:spacing w:val="-12"/>
                <w:sz w:val="21"/>
              </w:rPr>
              <w:t>本附加合同有效期内，若参加本保险的团体成员人数少于有资格参加本保险的</w:t>
            </w:r>
            <w:r>
              <w:rPr>
                <w:spacing w:val="-5"/>
                <w:sz w:val="21"/>
              </w:rPr>
              <w:t>团体成员人数的 </w:t>
            </w:r>
            <w:r>
              <w:rPr>
                <w:rFonts w:ascii="Times New Roman" w:eastAsia="Times New Roman"/>
                <w:sz w:val="21"/>
              </w:rPr>
              <w:t>75%</w:t>
            </w:r>
            <w:r>
              <w:rPr>
                <w:sz w:val="21"/>
              </w:rPr>
              <w:t>时，本公司有权解除本附加合同，并向投保人退还本附</w:t>
            </w:r>
            <w:r>
              <w:rPr>
                <w:spacing w:val="-3"/>
                <w:sz w:val="21"/>
              </w:rPr>
              <w:t>加合同的未满期净保险费。</w:t>
            </w:r>
          </w:p>
        </w:tc>
      </w:tr>
      <w:tr>
        <w:trPr>
          <w:trHeight w:val="324" w:hRule="atLeast"/>
        </w:trPr>
        <w:tc>
          <w:tcPr>
            <w:tcW w:w="918" w:type="dxa"/>
          </w:tcPr>
          <w:p>
            <w:pPr>
              <w:pStyle w:val="TableParagraph"/>
              <w:spacing w:line="257" w:lineRule="exact"/>
              <w:ind w:left="162"/>
              <w:jc w:val="center"/>
              <w:rPr>
                <w:b/>
                <w:sz w:val="21"/>
              </w:rPr>
            </w:pPr>
            <w:r>
              <w:rPr>
                <w:b/>
                <w:w w:val="99"/>
                <w:sz w:val="21"/>
              </w:rPr>
              <w:t> </w:t>
            </w:r>
          </w:p>
        </w:tc>
        <w:tc>
          <w:tcPr>
            <w:tcW w:w="1991" w:type="dxa"/>
          </w:tcPr>
          <w:p>
            <w:pPr>
              <w:pStyle w:val="TableParagraph"/>
              <w:spacing w:line="257" w:lineRule="exact"/>
              <w:ind w:left="166"/>
              <w:rPr>
                <w:b/>
                <w:sz w:val="21"/>
              </w:rPr>
            </w:pPr>
            <w:r>
              <w:rPr>
                <w:b/>
                <w:w w:val="99"/>
                <w:sz w:val="21"/>
              </w:rPr>
              <w:t> </w:t>
            </w:r>
          </w:p>
        </w:tc>
        <w:tc>
          <w:tcPr>
            <w:tcW w:w="7695" w:type="dxa"/>
          </w:tcPr>
          <w:p>
            <w:pPr>
              <w:pStyle w:val="TableParagraph"/>
              <w:rPr>
                <w:rFonts w:ascii="Times New Roman"/>
                <w:sz w:val="20"/>
              </w:rPr>
            </w:pPr>
          </w:p>
        </w:tc>
      </w:tr>
      <w:tr>
        <w:trPr>
          <w:trHeight w:val="610" w:hRule="atLeast"/>
        </w:trPr>
        <w:tc>
          <w:tcPr>
            <w:tcW w:w="918" w:type="dxa"/>
            <w:tcBorders>
              <w:bottom w:val="single" w:sz="8" w:space="0" w:color="000000"/>
            </w:tcBorders>
          </w:tcPr>
          <w:p>
            <w:pPr>
              <w:pStyle w:val="TableParagraph"/>
              <w:spacing w:before="46"/>
              <w:ind w:left="388"/>
              <w:rPr>
                <w:rFonts w:ascii="Arial"/>
                <w:sz w:val="40"/>
              </w:rPr>
            </w:pPr>
            <w:r>
              <w:rPr>
                <w:rFonts w:ascii="Arial"/>
                <w:w w:val="100"/>
                <w:sz w:val="40"/>
              </w:rPr>
              <w:t>z</w:t>
            </w:r>
          </w:p>
        </w:tc>
        <w:tc>
          <w:tcPr>
            <w:tcW w:w="1991" w:type="dxa"/>
            <w:tcBorders>
              <w:bottom w:val="single" w:sz="8" w:space="0" w:color="000000"/>
            </w:tcBorders>
          </w:tcPr>
          <w:p>
            <w:pPr>
              <w:pStyle w:val="TableParagraph"/>
              <w:spacing w:before="98"/>
              <w:ind w:left="166"/>
              <w:rPr>
                <w:b/>
                <w:sz w:val="24"/>
              </w:rPr>
            </w:pPr>
            <w:r>
              <w:rPr>
                <w:b/>
                <w:sz w:val="24"/>
              </w:rPr>
              <w:t>合同解除</w:t>
            </w:r>
          </w:p>
        </w:tc>
        <w:tc>
          <w:tcPr>
            <w:tcW w:w="7695" w:type="dxa"/>
            <w:tcBorders>
              <w:bottom w:val="single" w:sz="8" w:space="0" w:color="000000"/>
            </w:tcBorders>
          </w:tcPr>
          <w:p>
            <w:pPr>
              <w:pStyle w:val="TableParagraph"/>
              <w:rPr>
                <w:rFonts w:ascii="Times New Roman"/>
                <w:sz w:val="20"/>
              </w:rPr>
            </w:pPr>
          </w:p>
        </w:tc>
      </w:tr>
      <w:tr>
        <w:trPr>
          <w:trHeight w:val="2760" w:hRule="atLeast"/>
        </w:trPr>
        <w:tc>
          <w:tcPr>
            <w:tcW w:w="918" w:type="dxa"/>
            <w:tcBorders>
              <w:top w:val="single" w:sz="8" w:space="0" w:color="000000"/>
            </w:tcBorders>
          </w:tcPr>
          <w:p>
            <w:pPr>
              <w:pStyle w:val="TableParagraph"/>
              <w:spacing w:before="6"/>
              <w:rPr>
                <w:sz w:val="26"/>
              </w:rPr>
            </w:pPr>
          </w:p>
          <w:p>
            <w:pPr>
              <w:pStyle w:val="TableParagraph"/>
              <w:ind w:left="357"/>
              <w:rPr>
                <w:rFonts w:ascii="Times New Roman"/>
                <w:b/>
                <w:sz w:val="21"/>
              </w:rPr>
            </w:pPr>
            <w:r>
              <w:rPr>
                <w:rFonts w:ascii="Times New Roman"/>
                <w:b/>
                <w:sz w:val="21"/>
              </w:rPr>
              <w:t>6.1</w:t>
            </w:r>
          </w:p>
        </w:tc>
        <w:tc>
          <w:tcPr>
            <w:tcW w:w="1991" w:type="dxa"/>
            <w:tcBorders>
              <w:top w:val="single" w:sz="8" w:space="0" w:color="000000"/>
            </w:tcBorders>
          </w:tcPr>
          <w:p>
            <w:pPr>
              <w:pStyle w:val="TableParagraph"/>
              <w:spacing w:before="9"/>
              <w:rPr>
                <w:sz w:val="22"/>
              </w:rPr>
            </w:pPr>
          </w:p>
          <w:p>
            <w:pPr>
              <w:pStyle w:val="TableParagraph"/>
              <w:spacing w:line="273" w:lineRule="auto"/>
              <w:ind w:left="166" w:right="343"/>
              <w:rPr>
                <w:b/>
                <w:sz w:val="21"/>
              </w:rPr>
            </w:pPr>
            <w:r>
              <w:rPr>
                <w:b/>
                <w:sz w:val="21"/>
              </w:rPr>
              <w:t>您解除合同的手续</w:t>
            </w:r>
          </w:p>
        </w:tc>
        <w:tc>
          <w:tcPr>
            <w:tcW w:w="7695" w:type="dxa"/>
            <w:tcBorders>
              <w:top w:val="single" w:sz="8" w:space="0" w:color="000000"/>
            </w:tcBorders>
          </w:tcPr>
          <w:p>
            <w:pPr>
              <w:pStyle w:val="TableParagraph"/>
              <w:spacing w:before="9"/>
              <w:rPr>
                <w:sz w:val="22"/>
              </w:rPr>
            </w:pPr>
          </w:p>
          <w:p>
            <w:pPr>
              <w:pStyle w:val="TableParagraph"/>
              <w:spacing w:line="273" w:lineRule="auto"/>
              <w:ind w:left="28" w:right="727"/>
              <w:rPr>
                <w:sz w:val="21"/>
              </w:rPr>
            </w:pPr>
            <w:r>
              <w:rPr>
                <w:spacing w:val="-3"/>
                <w:sz w:val="21"/>
              </w:rPr>
              <w:t>在本附加合同有效期内，您可以随时向我们提出书面申请解除合同</w:t>
            </w:r>
            <w:r>
              <w:rPr>
                <w:sz w:val="21"/>
              </w:rPr>
              <w:t>（</w:t>
            </w:r>
            <w:r>
              <w:rPr>
                <w:spacing w:val="-2"/>
                <w:sz w:val="21"/>
              </w:rPr>
              <w:t>简称退</w:t>
            </w:r>
            <w:r>
              <w:rPr>
                <w:spacing w:val="-2"/>
                <w:w w:val="100"/>
                <w:sz w:val="21"/>
              </w:rPr>
              <w:t>保</w:t>
            </w:r>
            <w:r>
              <w:rPr>
                <w:spacing w:val="-106"/>
                <w:w w:val="100"/>
                <w:sz w:val="21"/>
              </w:rPr>
              <w:t>）</w:t>
            </w:r>
            <w:r>
              <w:rPr>
                <w:spacing w:val="-3"/>
                <w:w w:val="100"/>
                <w:sz w:val="21"/>
              </w:rPr>
              <w:t>，并向我们提供下列证明和资料原件：</w:t>
            </w:r>
            <w:r>
              <w:rPr>
                <w:w w:val="100"/>
                <w:sz w:val="21"/>
              </w:rPr>
              <w:t> </w:t>
            </w:r>
          </w:p>
          <w:p>
            <w:pPr>
              <w:pStyle w:val="TableParagraph"/>
              <w:spacing w:before="7"/>
              <w:ind w:left="28"/>
              <w:rPr>
                <w:sz w:val="21"/>
              </w:rPr>
            </w:pPr>
            <w:r>
              <w:rPr>
                <w:sz w:val="21"/>
              </w:rPr>
              <w:t>（1）保险合同； </w:t>
            </w:r>
          </w:p>
          <w:p>
            <w:pPr>
              <w:pStyle w:val="TableParagraph"/>
              <w:spacing w:before="37"/>
              <w:ind w:left="28"/>
              <w:rPr>
                <w:sz w:val="21"/>
              </w:rPr>
            </w:pPr>
            <w:r>
              <w:rPr>
                <w:sz w:val="21"/>
              </w:rPr>
              <w:t>（2）解除合同申请书； </w:t>
            </w:r>
          </w:p>
          <w:p>
            <w:pPr>
              <w:pStyle w:val="TableParagraph"/>
              <w:spacing w:before="37"/>
              <w:ind w:left="28"/>
              <w:rPr>
                <w:sz w:val="21"/>
              </w:rPr>
            </w:pPr>
            <w:r>
              <w:rPr>
                <w:sz w:val="21"/>
              </w:rPr>
              <w:t>（3）您的法定身份证明； </w:t>
            </w:r>
          </w:p>
          <w:p>
            <w:pPr>
              <w:pStyle w:val="TableParagraph"/>
              <w:spacing w:before="37"/>
              <w:ind w:left="28"/>
              <w:rPr>
                <w:sz w:val="21"/>
              </w:rPr>
            </w:pPr>
            <w:r>
              <w:rPr>
                <w:sz w:val="21"/>
              </w:rPr>
              <w:t>（4）其他本公司要求提供的证明和资料。 </w:t>
            </w:r>
          </w:p>
          <w:p>
            <w:pPr>
              <w:pStyle w:val="TableParagraph"/>
              <w:spacing w:line="310" w:lineRule="atLeast" w:before="2"/>
              <w:ind w:left="28" w:right="521"/>
              <w:rPr>
                <w:sz w:val="21"/>
              </w:rPr>
            </w:pPr>
            <w:r>
              <w:rPr>
                <w:spacing w:val="-9"/>
                <w:sz w:val="21"/>
              </w:rPr>
              <w:t>自我们收到解除合同申请书时起，本附加合同效力终止。我们自收到解除合同</w:t>
            </w:r>
            <w:r>
              <w:rPr>
                <w:spacing w:val="-7"/>
                <w:sz w:val="21"/>
              </w:rPr>
              <w:t>申请书之日起 </w:t>
            </w:r>
            <w:r>
              <w:rPr>
                <w:sz w:val="21"/>
              </w:rPr>
              <w:t>30</w:t>
            </w:r>
            <w:r>
              <w:rPr>
                <w:spacing w:val="-8"/>
                <w:sz w:val="21"/>
              </w:rPr>
              <w:t> 日内向您退还本附加合同效力终止之日的未满期净保险费。</w:t>
            </w:r>
            <w:r>
              <w:rPr>
                <w:sz w:val="21"/>
              </w:rPr>
              <w:t> </w:t>
            </w:r>
          </w:p>
        </w:tc>
      </w:tr>
    </w:tbl>
    <w:p>
      <w:pPr>
        <w:spacing w:after="0" w:line="310" w:lineRule="atLeas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96"/>
        <w:gridCol w:w="7338"/>
      </w:tblGrid>
      <w:tr>
        <w:trPr>
          <w:trHeight w:val="942" w:hRule="atLeast"/>
        </w:trPr>
        <w:tc>
          <w:tcPr>
            <w:tcW w:w="853" w:type="dxa"/>
            <w:tcBorders>
              <w:bottom w:val="single" w:sz="8" w:space="0" w:color="000000"/>
            </w:tcBorders>
          </w:tcPr>
          <w:p>
            <w:pPr>
              <w:pStyle w:val="TableParagraph"/>
              <w:spacing w:before="383"/>
              <w:ind w:left="123"/>
              <w:jc w:val="center"/>
              <w:rPr>
                <w:rFonts w:ascii="Arial"/>
                <w:b/>
                <w:sz w:val="40"/>
              </w:rPr>
            </w:pPr>
            <w:r>
              <w:rPr>
                <w:rFonts w:ascii="Arial"/>
                <w:b/>
                <w:w w:val="85"/>
                <w:sz w:val="40"/>
              </w:rPr>
              <w:t>{</w:t>
            </w:r>
          </w:p>
        </w:tc>
        <w:tc>
          <w:tcPr>
            <w:tcW w:w="1896" w:type="dxa"/>
            <w:tcBorders>
              <w:bottom w:val="single" w:sz="8" w:space="0" w:color="000000"/>
            </w:tcBorders>
          </w:tcPr>
          <w:p>
            <w:pPr>
              <w:pStyle w:val="TableParagraph"/>
              <w:spacing w:before="3"/>
              <w:rPr>
                <w:sz w:val="33"/>
              </w:rPr>
            </w:pPr>
          </w:p>
          <w:p>
            <w:pPr>
              <w:pStyle w:val="TableParagraph"/>
              <w:ind w:left="231"/>
              <w:rPr>
                <w:b/>
                <w:sz w:val="24"/>
              </w:rPr>
            </w:pPr>
            <w:r>
              <w:rPr>
                <w:b/>
                <w:sz w:val="24"/>
              </w:rPr>
              <w:t>如实告知</w:t>
            </w:r>
          </w:p>
        </w:tc>
        <w:tc>
          <w:tcPr>
            <w:tcW w:w="7338" w:type="dxa"/>
            <w:tcBorders>
              <w:bottom w:val="single" w:sz="8" w:space="0" w:color="000000"/>
            </w:tcBorders>
          </w:tcPr>
          <w:p>
            <w:pPr>
              <w:pStyle w:val="TableParagraph"/>
              <w:rPr>
                <w:rFonts w:ascii="Times New Roman"/>
                <w:sz w:val="20"/>
              </w:rPr>
            </w:pPr>
          </w:p>
        </w:tc>
      </w:tr>
      <w:tr>
        <w:trPr>
          <w:trHeight w:val="2496" w:hRule="atLeast"/>
        </w:trPr>
        <w:tc>
          <w:tcPr>
            <w:tcW w:w="853" w:type="dxa"/>
            <w:tcBorders>
              <w:top w:val="single" w:sz="8" w:space="0" w:color="000000"/>
            </w:tcBorders>
          </w:tcPr>
          <w:p>
            <w:pPr>
              <w:pStyle w:val="TableParagraph"/>
              <w:spacing w:before="8"/>
              <w:rPr>
                <w:sz w:val="26"/>
              </w:rPr>
            </w:pPr>
          </w:p>
          <w:p>
            <w:pPr>
              <w:pStyle w:val="TableParagraph"/>
              <w:ind w:left="337" w:right="211"/>
              <w:jc w:val="center"/>
              <w:rPr>
                <w:rFonts w:ascii="Times New Roman"/>
                <w:b/>
                <w:sz w:val="21"/>
              </w:rPr>
            </w:pPr>
            <w:r>
              <w:rPr>
                <w:rFonts w:ascii="Times New Roman"/>
                <w:b/>
                <w:sz w:val="21"/>
              </w:rPr>
              <w:t>7.1</w:t>
            </w:r>
          </w:p>
        </w:tc>
        <w:tc>
          <w:tcPr>
            <w:tcW w:w="1896" w:type="dxa"/>
            <w:tcBorders>
              <w:top w:val="single" w:sz="8" w:space="0" w:color="000000"/>
            </w:tcBorders>
          </w:tcPr>
          <w:p>
            <w:pPr>
              <w:pStyle w:val="TableParagraph"/>
              <w:spacing w:before="11"/>
              <w:rPr>
                <w:sz w:val="22"/>
              </w:rPr>
            </w:pPr>
          </w:p>
          <w:p>
            <w:pPr>
              <w:pStyle w:val="TableParagraph"/>
              <w:ind w:left="231"/>
              <w:rPr>
                <w:b/>
                <w:sz w:val="21"/>
              </w:rPr>
            </w:pPr>
            <w:r>
              <w:rPr>
                <w:b/>
                <w:sz w:val="21"/>
              </w:rPr>
              <w:t>如实告知</w:t>
            </w:r>
          </w:p>
        </w:tc>
        <w:tc>
          <w:tcPr>
            <w:tcW w:w="7338" w:type="dxa"/>
            <w:tcBorders>
              <w:top w:val="single" w:sz="8" w:space="0" w:color="000000"/>
            </w:tcBorders>
          </w:tcPr>
          <w:p>
            <w:pPr>
              <w:pStyle w:val="TableParagraph"/>
              <w:spacing w:before="11"/>
              <w:rPr>
                <w:sz w:val="22"/>
              </w:rPr>
            </w:pPr>
          </w:p>
          <w:p>
            <w:pPr>
              <w:pStyle w:val="TableParagraph"/>
              <w:ind w:left="188"/>
              <w:rPr>
                <w:sz w:val="21"/>
              </w:rPr>
            </w:pPr>
            <w:r>
              <w:rPr>
                <w:sz w:val="21"/>
              </w:rPr>
              <w:t>订立本附加合同时，我们会向您说明本附加合同的内容。 </w:t>
            </w:r>
          </w:p>
          <w:p>
            <w:pPr>
              <w:pStyle w:val="TableParagraph"/>
              <w:spacing w:line="273" w:lineRule="auto" w:before="37"/>
              <w:ind w:left="188" w:right="4"/>
              <w:rPr>
                <w:sz w:val="21"/>
              </w:rPr>
            </w:pPr>
            <w:r>
              <w:rPr>
                <w:spacing w:val="-3"/>
                <w:sz w:val="21"/>
              </w:rPr>
              <w:t>对保险条款中免除我们责任的条款，我们在订立本附加合同时会在投保文件、</w:t>
            </w:r>
            <w:r>
              <w:rPr>
                <w:spacing w:val="-7"/>
                <w:sz w:val="21"/>
              </w:rPr>
              <w:t>保险单或者其他保险凭证上作出足以引起您注意的提示，并对该条款的内容以</w:t>
            </w:r>
            <w:r>
              <w:rPr>
                <w:spacing w:val="-10"/>
                <w:sz w:val="21"/>
              </w:rPr>
              <w:t>书面或者口头形式向您作出明确说明，未作提示或者明确说明的，该条款不产</w:t>
            </w:r>
            <w:r>
              <w:rPr>
                <w:spacing w:val="-7"/>
                <w:sz w:val="21"/>
              </w:rPr>
              <w:t>生效力。</w:t>
            </w:r>
            <w:r>
              <w:rPr>
                <w:sz w:val="21"/>
              </w:rPr>
              <w:t> </w:t>
            </w:r>
          </w:p>
          <w:p>
            <w:pPr>
              <w:pStyle w:val="TableParagraph"/>
              <w:spacing w:line="273" w:lineRule="auto" w:before="8"/>
              <w:ind w:left="188" w:right="98"/>
              <w:rPr>
                <w:sz w:val="21"/>
              </w:rPr>
            </w:pPr>
            <w:r>
              <w:rPr>
                <w:spacing w:val="-8"/>
                <w:sz w:val="21"/>
              </w:rPr>
              <w:t>投保及申请变更被保险人或变更本附加合同内容时，我们会就您和被保险人的</w:t>
            </w:r>
            <w:r>
              <w:rPr>
                <w:spacing w:val="-5"/>
                <w:sz w:val="21"/>
              </w:rPr>
              <w:t>有关情况提出书面询问，您应当如实告知。</w:t>
            </w:r>
            <w:r>
              <w:rPr>
                <w:sz w:val="21"/>
              </w:rPr>
              <w:t> </w:t>
            </w:r>
          </w:p>
        </w:tc>
      </w:tr>
      <w:tr>
        <w:trPr>
          <w:trHeight w:val="308" w:hRule="atLeast"/>
        </w:trPr>
        <w:tc>
          <w:tcPr>
            <w:tcW w:w="853" w:type="dxa"/>
          </w:tcPr>
          <w:p>
            <w:pPr>
              <w:pStyle w:val="TableParagraph"/>
              <w:rPr>
                <w:rFonts w:ascii="Times New Roman"/>
                <w:sz w:val="20"/>
              </w:rPr>
            </w:pPr>
          </w:p>
        </w:tc>
        <w:tc>
          <w:tcPr>
            <w:tcW w:w="1896" w:type="dxa"/>
          </w:tcPr>
          <w:p>
            <w:pPr>
              <w:pStyle w:val="TableParagraph"/>
              <w:rPr>
                <w:rFonts w:ascii="Times New Roman"/>
                <w:sz w:val="20"/>
              </w:rPr>
            </w:pPr>
          </w:p>
        </w:tc>
        <w:tc>
          <w:tcPr>
            <w:tcW w:w="7338" w:type="dxa"/>
          </w:tcPr>
          <w:p>
            <w:pPr>
              <w:pStyle w:val="TableParagraph"/>
              <w:spacing w:line="261" w:lineRule="exact"/>
              <w:ind w:left="188"/>
              <w:rPr>
                <w:sz w:val="21"/>
              </w:rPr>
            </w:pPr>
            <w:r>
              <w:rPr>
                <w:w w:val="100"/>
                <w:sz w:val="21"/>
              </w:rPr>
              <w:t> </w:t>
            </w:r>
          </w:p>
        </w:tc>
      </w:tr>
      <w:tr>
        <w:trPr>
          <w:trHeight w:val="3915" w:hRule="atLeast"/>
        </w:trPr>
        <w:tc>
          <w:tcPr>
            <w:tcW w:w="853" w:type="dxa"/>
          </w:tcPr>
          <w:p>
            <w:pPr>
              <w:pStyle w:val="TableParagraph"/>
              <w:spacing w:before="39"/>
              <w:ind w:left="337" w:right="211"/>
              <w:jc w:val="center"/>
              <w:rPr>
                <w:rFonts w:ascii="Times New Roman"/>
                <w:b/>
                <w:sz w:val="21"/>
              </w:rPr>
            </w:pPr>
            <w:r>
              <w:rPr>
                <w:rFonts w:ascii="Times New Roman"/>
                <w:b/>
                <w:sz w:val="21"/>
              </w:rPr>
              <w:t>7.2</w:t>
            </w:r>
          </w:p>
        </w:tc>
        <w:tc>
          <w:tcPr>
            <w:tcW w:w="1896" w:type="dxa"/>
          </w:tcPr>
          <w:p>
            <w:pPr>
              <w:pStyle w:val="TableParagraph"/>
              <w:spacing w:line="273" w:lineRule="auto"/>
              <w:ind w:left="231" w:right="183"/>
              <w:rPr>
                <w:b/>
                <w:sz w:val="21"/>
              </w:rPr>
            </w:pPr>
            <w:r>
              <w:rPr>
                <w:b/>
                <w:sz w:val="21"/>
              </w:rPr>
              <w:t>不如实告知的后果</w:t>
            </w:r>
          </w:p>
        </w:tc>
        <w:tc>
          <w:tcPr>
            <w:tcW w:w="7338" w:type="dxa"/>
          </w:tcPr>
          <w:p>
            <w:pPr>
              <w:pStyle w:val="TableParagraph"/>
              <w:spacing w:line="273" w:lineRule="auto"/>
              <w:ind w:left="188" w:right="97"/>
              <w:rPr>
                <w:sz w:val="21"/>
              </w:rPr>
            </w:pPr>
            <w:r>
              <w:rPr>
                <w:spacing w:val="-8"/>
                <w:sz w:val="21"/>
              </w:rPr>
              <w:t>您故意或者因重大过失未履行如实告知义务，足以影响我们决定是否同意承保</w:t>
            </w:r>
            <w:r>
              <w:rPr>
                <w:spacing w:val="-5"/>
                <w:sz w:val="21"/>
              </w:rPr>
              <w:t>或者提高保险费率的，我们有权解除本附加合同或取消该被保险人的保险资</w:t>
            </w:r>
            <w:r>
              <w:rPr>
                <w:spacing w:val="-4"/>
                <w:sz w:val="21"/>
              </w:rPr>
              <w:t>格。</w:t>
            </w:r>
            <w:r>
              <w:rPr>
                <w:sz w:val="21"/>
              </w:rPr>
              <w:t> </w:t>
            </w:r>
          </w:p>
          <w:p>
            <w:pPr>
              <w:pStyle w:val="TableParagraph"/>
              <w:spacing w:line="273" w:lineRule="auto" w:before="18"/>
              <w:ind w:left="188" w:right="110" w:hanging="1"/>
              <w:rPr>
                <w:sz w:val="21"/>
              </w:rPr>
            </w:pPr>
            <w:r>
              <w:rPr>
                <w:spacing w:val="-5"/>
                <w:sz w:val="21"/>
              </w:rPr>
              <w:t>前款规定的合同解除权，自我们知道有解除事由之日起，超过 </w:t>
            </w:r>
            <w:r>
              <w:rPr>
                <w:sz w:val="21"/>
              </w:rPr>
              <w:t>30</w:t>
            </w:r>
            <w:r>
              <w:rPr>
                <w:spacing w:val="-9"/>
                <w:sz w:val="21"/>
              </w:rPr>
              <w:t> 日不行使而</w:t>
            </w:r>
            <w:r>
              <w:rPr>
                <w:spacing w:val="-1"/>
                <w:sz w:val="21"/>
              </w:rPr>
              <w:t>消灭。</w:t>
            </w:r>
            <w:r>
              <w:rPr>
                <w:sz w:val="21"/>
              </w:rPr>
              <w:t> </w:t>
            </w:r>
          </w:p>
          <w:p>
            <w:pPr>
              <w:pStyle w:val="TableParagraph"/>
              <w:spacing w:line="273" w:lineRule="auto" w:before="8"/>
              <w:ind w:left="188" w:right="97"/>
              <w:rPr>
                <w:sz w:val="21"/>
              </w:rPr>
            </w:pPr>
            <w:r>
              <w:rPr>
                <w:spacing w:val="-10"/>
                <w:sz w:val="21"/>
              </w:rPr>
              <w:t>您故意不履行如实告知义务的，我们对于解除保险合同或取消该被保险人的保</w:t>
            </w:r>
            <w:r>
              <w:rPr>
                <w:spacing w:val="-5"/>
                <w:sz w:val="21"/>
              </w:rPr>
              <w:t>险资格前发生的保险事故，不承担给付保险金的责任，并不退还保险费。  </w:t>
            </w:r>
            <w:r>
              <w:rPr>
                <w:spacing w:val="-9"/>
                <w:sz w:val="21"/>
              </w:rPr>
              <w:t>您因重大过失未履行如实告知义务，对保险事故的发生有严重影响的，我们对于解除保险合同或取消该被保险人的保险资格前发生的保险事故，不承担给付</w:t>
            </w:r>
            <w:r>
              <w:rPr>
                <w:spacing w:val="-5"/>
                <w:sz w:val="21"/>
              </w:rPr>
              <w:t>保险金的责任，但按有关法律法规退还保险费。</w:t>
            </w:r>
            <w:r>
              <w:rPr>
                <w:sz w:val="21"/>
              </w:rPr>
              <w:t> </w:t>
            </w:r>
          </w:p>
          <w:p>
            <w:pPr>
              <w:pStyle w:val="TableParagraph"/>
              <w:spacing w:line="273" w:lineRule="auto" w:before="8"/>
              <w:ind w:left="188" w:right="97"/>
              <w:rPr>
                <w:sz w:val="21"/>
              </w:rPr>
            </w:pPr>
            <w:r>
              <w:rPr>
                <w:spacing w:val="-8"/>
                <w:sz w:val="21"/>
              </w:rPr>
              <w:t>我们在合同订立时已经知道您未如实告知的情况的，我们不得解除合同或取消</w:t>
            </w:r>
            <w:r>
              <w:rPr>
                <w:spacing w:val="-5"/>
                <w:sz w:val="21"/>
              </w:rPr>
              <w:t>该被保险人的保险资格；发生保险事故的，我们承担给付保险金的责任。</w:t>
            </w:r>
            <w:r>
              <w:rPr>
                <w:sz w:val="21"/>
              </w:rPr>
              <w:t> </w:t>
            </w:r>
          </w:p>
        </w:tc>
      </w:tr>
      <w:tr>
        <w:trPr>
          <w:trHeight w:val="766" w:hRule="atLeast"/>
        </w:trPr>
        <w:tc>
          <w:tcPr>
            <w:tcW w:w="853" w:type="dxa"/>
            <w:tcBorders>
              <w:bottom w:val="single" w:sz="8" w:space="0" w:color="000000"/>
            </w:tcBorders>
          </w:tcPr>
          <w:p>
            <w:pPr>
              <w:pStyle w:val="TableParagraph"/>
              <w:spacing w:before="206"/>
              <w:ind w:left="123"/>
              <w:jc w:val="center"/>
              <w:rPr>
                <w:rFonts w:ascii="Arial"/>
                <w:b/>
                <w:sz w:val="40"/>
              </w:rPr>
            </w:pPr>
            <w:r>
              <w:rPr>
                <w:rFonts w:ascii="Arial"/>
                <w:b/>
                <w:w w:val="93"/>
                <w:sz w:val="40"/>
              </w:rPr>
              <w:t>|</w:t>
            </w:r>
          </w:p>
        </w:tc>
        <w:tc>
          <w:tcPr>
            <w:tcW w:w="9234" w:type="dxa"/>
            <w:gridSpan w:val="2"/>
            <w:tcBorders>
              <w:bottom w:val="single" w:sz="8" w:space="0" w:color="000000"/>
            </w:tcBorders>
          </w:tcPr>
          <w:p>
            <w:pPr>
              <w:pStyle w:val="TableParagraph"/>
              <w:spacing w:before="9"/>
              <w:rPr>
                <w:sz w:val="19"/>
              </w:rPr>
            </w:pPr>
          </w:p>
          <w:p>
            <w:pPr>
              <w:pStyle w:val="TableParagraph"/>
              <w:ind w:left="231"/>
              <w:rPr>
                <w:b/>
                <w:sz w:val="24"/>
              </w:rPr>
            </w:pPr>
            <w:r>
              <w:rPr>
                <w:b/>
                <w:w w:val="95"/>
                <w:sz w:val="24"/>
              </w:rPr>
              <w:t>其他需要关注的事项</w:t>
            </w:r>
          </w:p>
        </w:tc>
      </w:tr>
      <w:tr>
        <w:trPr>
          <w:trHeight w:val="4523" w:hRule="atLeast"/>
        </w:trPr>
        <w:tc>
          <w:tcPr>
            <w:tcW w:w="853" w:type="dxa"/>
            <w:tcBorders>
              <w:top w:val="single" w:sz="8" w:space="0" w:color="000000"/>
            </w:tcBorders>
          </w:tcPr>
          <w:p>
            <w:pPr>
              <w:pStyle w:val="TableParagraph"/>
              <w:spacing w:before="10"/>
              <w:rPr>
                <w:sz w:val="26"/>
              </w:rPr>
            </w:pPr>
          </w:p>
          <w:p>
            <w:pPr>
              <w:pStyle w:val="TableParagraph"/>
              <w:ind w:left="337" w:right="211"/>
              <w:jc w:val="center"/>
              <w:rPr>
                <w:rFonts w:ascii="Times New Roman"/>
                <w:b/>
                <w:sz w:val="21"/>
              </w:rPr>
            </w:pPr>
            <w:r>
              <w:rPr>
                <w:rFonts w:ascii="Times New Roman"/>
                <w:b/>
                <w:sz w:val="21"/>
              </w:rPr>
              <w:t>8.1</w:t>
            </w:r>
          </w:p>
        </w:tc>
        <w:tc>
          <w:tcPr>
            <w:tcW w:w="1896" w:type="dxa"/>
            <w:tcBorders>
              <w:top w:val="single" w:sz="8" w:space="0" w:color="000000"/>
            </w:tcBorders>
          </w:tcPr>
          <w:p>
            <w:pPr>
              <w:pStyle w:val="TableParagraph"/>
              <w:rPr>
                <w:sz w:val="23"/>
              </w:rPr>
            </w:pPr>
          </w:p>
          <w:p>
            <w:pPr>
              <w:pStyle w:val="TableParagraph"/>
              <w:ind w:left="231"/>
              <w:rPr>
                <w:b/>
                <w:sz w:val="21"/>
              </w:rPr>
            </w:pPr>
            <w:r>
              <w:rPr>
                <w:b/>
                <w:sz w:val="21"/>
              </w:rPr>
              <w:t>年龄性别错误</w:t>
            </w:r>
          </w:p>
        </w:tc>
        <w:tc>
          <w:tcPr>
            <w:tcW w:w="7338" w:type="dxa"/>
            <w:tcBorders>
              <w:top w:val="single" w:sz="8" w:space="0" w:color="000000"/>
            </w:tcBorders>
          </w:tcPr>
          <w:p>
            <w:pPr>
              <w:pStyle w:val="TableParagraph"/>
              <w:rPr>
                <w:sz w:val="23"/>
              </w:rPr>
            </w:pPr>
          </w:p>
          <w:p>
            <w:pPr>
              <w:pStyle w:val="TableParagraph"/>
              <w:spacing w:line="273" w:lineRule="auto"/>
              <w:ind w:left="188" w:right="97" w:firstLine="2"/>
              <w:jc w:val="both"/>
              <w:rPr>
                <w:sz w:val="21"/>
              </w:rPr>
            </w:pPr>
            <w:r>
              <w:rPr>
                <w:spacing w:val="-3"/>
                <w:sz w:val="21"/>
              </w:rPr>
              <w:t>被保险人的年龄以</w:t>
            </w:r>
            <w:r>
              <w:rPr>
                <w:b/>
                <w:sz w:val="21"/>
              </w:rPr>
              <w:t>周岁</w:t>
            </w:r>
            <w:r>
              <w:rPr>
                <w:spacing w:val="-13"/>
                <w:sz w:val="21"/>
              </w:rPr>
              <w:t>计算。您在申请投保时，应将与</w:t>
            </w:r>
            <w:r>
              <w:rPr>
                <w:b/>
                <w:sz w:val="21"/>
              </w:rPr>
              <w:t>法定身份证明</w:t>
            </w:r>
            <w:r>
              <w:rPr>
                <w:spacing w:val="-2"/>
                <w:sz w:val="21"/>
              </w:rPr>
              <w:t>相符的被</w:t>
            </w:r>
            <w:r>
              <w:rPr>
                <w:spacing w:val="-8"/>
                <w:sz w:val="21"/>
              </w:rPr>
              <w:t>保险人的出生日期和性别在被保险人名册上填明，如果发生错误按照下列方式</w:t>
            </w:r>
            <w:r>
              <w:rPr>
                <w:spacing w:val="-7"/>
                <w:sz w:val="21"/>
              </w:rPr>
              <w:t>办理：</w:t>
            </w:r>
            <w:r>
              <w:rPr>
                <w:sz w:val="21"/>
              </w:rPr>
              <w:t> </w:t>
            </w:r>
          </w:p>
          <w:p>
            <w:pPr>
              <w:pStyle w:val="TableParagraph"/>
              <w:spacing w:line="273" w:lineRule="auto" w:before="7"/>
              <w:ind w:left="188" w:right="1" w:firstLine="2"/>
              <w:rPr>
                <w:sz w:val="21"/>
              </w:rPr>
            </w:pPr>
            <w:r>
              <w:rPr>
                <w:sz w:val="21"/>
              </w:rPr>
              <w:t>（1）</w:t>
            </w:r>
            <w:r>
              <w:rPr>
                <w:spacing w:val="-3"/>
                <w:sz w:val="21"/>
              </w:rPr>
              <w:t>您申报的被保险人年龄不真实，并且其真实年龄不符合本附加合同约定</w:t>
            </w:r>
            <w:r>
              <w:rPr>
                <w:spacing w:val="-12"/>
                <w:sz w:val="21"/>
              </w:rPr>
              <w:t>投保年龄限制的，我们有权终止该被保险人</w:t>
            </w:r>
            <w:r>
              <w:rPr>
                <w:spacing w:val="-3"/>
                <w:sz w:val="21"/>
              </w:rPr>
              <w:t>（含参加本保险的团体成员及其参加本保险的配偶和子女</w:t>
            </w:r>
            <w:r>
              <w:rPr>
                <w:spacing w:val="-51"/>
                <w:sz w:val="21"/>
              </w:rPr>
              <w:t>）</w:t>
            </w:r>
            <w:r>
              <w:rPr>
                <w:spacing w:val="-8"/>
                <w:sz w:val="21"/>
              </w:rPr>
              <w:t>的保险资格，并向您退还相应被保险人的未满期净保</w:t>
            </w:r>
            <w:r>
              <w:rPr>
                <w:spacing w:val="-3"/>
                <w:sz w:val="21"/>
              </w:rPr>
              <w:t>险费。对该被保险人保险资格终止前发生的保险事故，我们不承担保险责任。</w:t>
            </w:r>
            <w:r>
              <w:rPr>
                <w:spacing w:val="-5"/>
                <w:sz w:val="21"/>
              </w:rPr>
              <w:t>我们行使合同解除权的，适用本附加合同第 </w:t>
            </w:r>
            <w:r>
              <w:rPr>
                <w:sz w:val="21"/>
              </w:rPr>
              <w:t>7.2</w:t>
            </w:r>
            <w:r>
              <w:rPr>
                <w:spacing w:val="-9"/>
                <w:sz w:val="21"/>
              </w:rPr>
              <w:t> 条的相关规定。</w:t>
            </w:r>
            <w:r>
              <w:rPr>
                <w:sz w:val="21"/>
              </w:rPr>
              <w:t> </w:t>
            </w:r>
          </w:p>
          <w:p>
            <w:pPr>
              <w:pStyle w:val="TableParagraph"/>
              <w:spacing w:line="273" w:lineRule="auto" w:before="7"/>
              <w:ind w:left="188" w:right="104" w:firstLine="2"/>
              <w:jc w:val="both"/>
              <w:rPr>
                <w:sz w:val="21"/>
              </w:rPr>
            </w:pPr>
            <w:r>
              <w:rPr>
                <w:sz w:val="21"/>
              </w:rPr>
              <w:t>（2）</w:t>
            </w:r>
            <w:r>
              <w:rPr>
                <w:spacing w:val="-3"/>
                <w:sz w:val="21"/>
              </w:rPr>
              <w:t>您申报的被保险人年龄或性别不真实，致使您实付保险费少于应付保险</w:t>
            </w:r>
            <w:r>
              <w:rPr>
                <w:spacing w:val="-10"/>
                <w:sz w:val="21"/>
              </w:rPr>
              <w:t>费的，我们有权更正并要求您补交保险费。若已经发生保险事故，在给付保险</w:t>
            </w:r>
            <w:r>
              <w:rPr>
                <w:spacing w:val="-3"/>
                <w:sz w:val="21"/>
              </w:rPr>
              <w:t>金时按实付保险费和应付保险费的比例给付。</w:t>
            </w:r>
            <w:r>
              <w:rPr>
                <w:sz w:val="21"/>
              </w:rPr>
              <w:t> </w:t>
            </w:r>
          </w:p>
          <w:p>
            <w:pPr>
              <w:pStyle w:val="TableParagraph"/>
              <w:spacing w:line="273" w:lineRule="auto" w:before="7"/>
              <w:ind w:left="188" w:right="104" w:firstLine="2"/>
              <w:jc w:val="both"/>
              <w:rPr>
                <w:sz w:val="21"/>
              </w:rPr>
            </w:pPr>
            <w:r>
              <w:rPr>
                <w:sz w:val="21"/>
              </w:rPr>
              <w:t>（3）您申报的被保险人年龄或性别不真实，致使您实付保险费多于应付保险费的，我们会将多收的保险费无息退还给您。 </w:t>
            </w:r>
          </w:p>
        </w:tc>
      </w:tr>
      <w:tr>
        <w:trPr>
          <w:trHeight w:val="1045" w:hRule="atLeast"/>
        </w:trPr>
        <w:tc>
          <w:tcPr>
            <w:tcW w:w="853" w:type="dxa"/>
          </w:tcPr>
          <w:p>
            <w:pPr>
              <w:pStyle w:val="TableParagraph"/>
              <w:spacing w:before="195"/>
              <w:ind w:left="338" w:right="211"/>
              <w:jc w:val="center"/>
              <w:rPr>
                <w:rFonts w:ascii="Times New Roman"/>
                <w:b/>
                <w:sz w:val="21"/>
              </w:rPr>
            </w:pPr>
            <w:r>
              <w:rPr>
                <w:rFonts w:ascii="Times New Roman"/>
                <w:b/>
                <w:sz w:val="21"/>
              </w:rPr>
              <w:t>8.2</w:t>
            </w:r>
          </w:p>
        </w:tc>
        <w:tc>
          <w:tcPr>
            <w:tcW w:w="1896" w:type="dxa"/>
          </w:tcPr>
          <w:p>
            <w:pPr>
              <w:pStyle w:val="TableParagraph"/>
              <w:spacing w:before="146"/>
              <w:ind w:left="231"/>
              <w:rPr>
                <w:b/>
                <w:sz w:val="21"/>
              </w:rPr>
            </w:pPr>
            <w:r>
              <w:rPr>
                <w:b/>
                <w:sz w:val="21"/>
              </w:rPr>
              <w:t>合同内容变更</w:t>
            </w:r>
          </w:p>
        </w:tc>
        <w:tc>
          <w:tcPr>
            <w:tcW w:w="7338" w:type="dxa"/>
          </w:tcPr>
          <w:p>
            <w:pPr>
              <w:pStyle w:val="TableParagraph"/>
              <w:spacing w:line="310" w:lineRule="atLeast" w:before="111"/>
              <w:ind w:left="188" w:right="97"/>
              <w:jc w:val="both"/>
              <w:rPr>
                <w:sz w:val="21"/>
              </w:rPr>
            </w:pPr>
            <w:r>
              <w:rPr>
                <w:spacing w:val="-10"/>
                <w:sz w:val="21"/>
              </w:rPr>
              <w:t>在本附加合同有效期内，经您与我们协商一致，可以变更本附加合同的有关内</w:t>
            </w:r>
            <w:r>
              <w:rPr>
                <w:spacing w:val="-12"/>
                <w:sz w:val="21"/>
              </w:rPr>
              <w:t>容。变更本附加合同的，应当由我们在保险单或者其他保险凭证上批注或者附</w:t>
            </w:r>
            <w:r>
              <w:rPr>
                <w:spacing w:val="-6"/>
                <w:sz w:val="21"/>
              </w:rPr>
              <w:t>贴批单，或者由您与我们订立书面的变更协议。</w:t>
            </w:r>
          </w:p>
        </w:tc>
      </w:tr>
    </w:tbl>
    <w:p>
      <w:pPr>
        <w:rPr>
          <w:sz w:val="2"/>
          <w:szCs w:val="2"/>
        </w:rPr>
      </w:pPr>
      <w:r>
        <w:rPr/>
        <w:pict>
          <v:line style="position:absolute;mso-position-horizontal-relative:page;mso-position-vertical-relative:page;z-index:-36568" from="34.560001pt,40.079983pt" to="560.760001pt,40.079983pt" stroked="true" strokeweight=".72pt" strokecolor="#000000">
            <v:stroke dashstyle="solid"/>
            <w10:wrap type="none"/>
          </v:line>
        </w:pict>
      </w:r>
    </w:p>
    <w:p>
      <w:pPr>
        <w:spacing w:after="0"/>
        <w:rPr>
          <w:sz w:val="2"/>
          <w:szCs w:val="2"/>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933"/>
        <w:gridCol w:w="7752"/>
      </w:tblGrid>
      <w:tr>
        <w:trPr>
          <w:trHeight w:val="1401" w:hRule="atLeast"/>
        </w:trPr>
        <w:tc>
          <w:tcPr>
            <w:tcW w:w="918" w:type="dxa"/>
            <w:tcBorders>
              <w:top w:val="single" w:sz="6" w:space="0" w:color="000000"/>
            </w:tcBorders>
          </w:tcPr>
          <w:p>
            <w:pPr>
              <w:pStyle w:val="TableParagraph"/>
              <w:spacing w:before="32"/>
              <w:ind w:left="357"/>
              <w:rPr>
                <w:rFonts w:ascii="Times New Roman"/>
                <w:b/>
                <w:sz w:val="21"/>
              </w:rPr>
            </w:pPr>
            <w:r>
              <w:rPr>
                <w:rFonts w:ascii="Times New Roman"/>
                <w:b/>
                <w:sz w:val="21"/>
              </w:rPr>
              <w:t>8.3</w:t>
            </w:r>
          </w:p>
        </w:tc>
        <w:tc>
          <w:tcPr>
            <w:tcW w:w="1933" w:type="dxa"/>
            <w:tcBorders>
              <w:top w:val="single" w:sz="6" w:space="0" w:color="000000"/>
            </w:tcBorders>
          </w:tcPr>
          <w:p>
            <w:pPr>
              <w:pStyle w:val="TableParagraph"/>
              <w:spacing w:line="258" w:lineRule="exact"/>
              <w:ind w:left="166"/>
              <w:rPr>
                <w:b/>
                <w:sz w:val="21"/>
              </w:rPr>
            </w:pPr>
            <w:r>
              <w:rPr>
                <w:b/>
                <w:sz w:val="21"/>
              </w:rPr>
              <w:t>联系方式变更</w:t>
            </w:r>
          </w:p>
        </w:tc>
        <w:tc>
          <w:tcPr>
            <w:tcW w:w="7752" w:type="dxa"/>
            <w:tcBorders>
              <w:top w:val="single" w:sz="6" w:space="0" w:color="000000"/>
            </w:tcBorders>
          </w:tcPr>
          <w:p>
            <w:pPr>
              <w:pStyle w:val="TableParagraph"/>
              <w:spacing w:line="258" w:lineRule="exact"/>
              <w:ind w:left="86"/>
              <w:rPr>
                <w:sz w:val="21"/>
              </w:rPr>
            </w:pPr>
            <w:r>
              <w:rPr>
                <w:sz w:val="21"/>
              </w:rPr>
              <w:t>为了保障您的合法权益，您的住所、通讯地址或电话等联系方式变更时，请及</w:t>
            </w:r>
          </w:p>
          <w:p>
            <w:pPr>
              <w:pStyle w:val="TableParagraph"/>
              <w:spacing w:line="273" w:lineRule="auto" w:before="37"/>
              <w:ind w:left="86" w:right="613"/>
              <w:jc w:val="both"/>
              <w:rPr>
                <w:sz w:val="21"/>
              </w:rPr>
            </w:pPr>
            <w:r>
              <w:rPr>
                <w:spacing w:val="-8"/>
                <w:sz w:val="21"/>
              </w:rPr>
              <w:t>时以书面形式或双方认可的其他形式通知我们。若您未以书面形式或双方认可</w:t>
            </w:r>
            <w:r>
              <w:rPr>
                <w:spacing w:val="-13"/>
                <w:sz w:val="21"/>
              </w:rPr>
              <w:t>的其他形式通知我们，我们按本附加合同载明的最后住所或通讯地址发送的有</w:t>
            </w:r>
            <w:r>
              <w:rPr>
                <w:spacing w:val="-6"/>
                <w:sz w:val="21"/>
              </w:rPr>
              <w:t>关通知，均视为已送达给您。</w:t>
            </w:r>
          </w:p>
        </w:tc>
      </w:tr>
      <w:tr>
        <w:trPr>
          <w:trHeight w:val="951" w:hRule="atLeast"/>
        </w:trPr>
        <w:tc>
          <w:tcPr>
            <w:tcW w:w="918" w:type="dxa"/>
          </w:tcPr>
          <w:p>
            <w:pPr>
              <w:pStyle w:val="TableParagraph"/>
              <w:spacing w:before="191"/>
              <w:ind w:left="357"/>
              <w:rPr>
                <w:rFonts w:ascii="Times New Roman"/>
                <w:b/>
                <w:sz w:val="21"/>
              </w:rPr>
            </w:pPr>
            <w:r>
              <w:rPr>
                <w:rFonts w:ascii="Times New Roman"/>
                <w:b/>
                <w:sz w:val="21"/>
              </w:rPr>
              <w:t>8.4</w:t>
            </w:r>
          </w:p>
        </w:tc>
        <w:tc>
          <w:tcPr>
            <w:tcW w:w="1933" w:type="dxa"/>
          </w:tcPr>
          <w:p>
            <w:pPr>
              <w:pStyle w:val="TableParagraph"/>
              <w:spacing w:before="142"/>
              <w:ind w:left="166"/>
              <w:rPr>
                <w:b/>
                <w:sz w:val="21"/>
              </w:rPr>
            </w:pPr>
            <w:r>
              <w:rPr>
                <w:b/>
                <w:sz w:val="21"/>
              </w:rPr>
              <w:t>争议处理</w:t>
            </w:r>
          </w:p>
        </w:tc>
        <w:tc>
          <w:tcPr>
            <w:tcW w:w="7752" w:type="dxa"/>
          </w:tcPr>
          <w:p>
            <w:pPr>
              <w:pStyle w:val="TableParagraph"/>
              <w:spacing w:line="273" w:lineRule="auto" w:before="142"/>
              <w:ind w:left="86" w:right="618"/>
              <w:rPr>
                <w:sz w:val="21"/>
              </w:rPr>
            </w:pPr>
            <w:r>
              <w:rPr>
                <w:spacing w:val="-8"/>
                <w:sz w:val="21"/>
              </w:rPr>
              <w:t>本附加合同履行过程中发生争议时，由双方协商解决，协商不成的，依法向人</w:t>
            </w:r>
            <w:r>
              <w:rPr>
                <w:spacing w:val="-3"/>
                <w:sz w:val="21"/>
              </w:rPr>
              <w:t>民法院起诉。</w:t>
            </w:r>
            <w:r>
              <w:rPr>
                <w:sz w:val="21"/>
              </w:rPr>
              <w:t> </w:t>
            </w:r>
          </w:p>
        </w:tc>
      </w:tr>
      <w:tr>
        <w:trPr>
          <w:trHeight w:val="766" w:hRule="atLeast"/>
        </w:trPr>
        <w:tc>
          <w:tcPr>
            <w:tcW w:w="918" w:type="dxa"/>
            <w:tcBorders>
              <w:bottom w:val="single" w:sz="4" w:space="0" w:color="000000"/>
            </w:tcBorders>
          </w:tcPr>
          <w:p>
            <w:pPr>
              <w:pStyle w:val="TableParagraph"/>
              <w:spacing w:before="202"/>
              <w:ind w:left="421"/>
              <w:rPr>
                <w:rFonts w:ascii="Arial"/>
                <w:b/>
                <w:sz w:val="40"/>
              </w:rPr>
            </w:pPr>
            <w:r>
              <w:rPr>
                <w:rFonts w:ascii="Arial"/>
                <w:b/>
                <w:w w:val="85"/>
                <w:sz w:val="40"/>
              </w:rPr>
              <w:t>}</w:t>
            </w:r>
          </w:p>
        </w:tc>
        <w:tc>
          <w:tcPr>
            <w:tcW w:w="1933" w:type="dxa"/>
            <w:tcBorders>
              <w:bottom w:val="single" w:sz="4" w:space="0" w:color="000000"/>
            </w:tcBorders>
          </w:tcPr>
          <w:p>
            <w:pPr>
              <w:pStyle w:val="TableParagraph"/>
              <w:spacing w:before="5"/>
              <w:rPr>
                <w:sz w:val="19"/>
              </w:rPr>
            </w:pPr>
          </w:p>
          <w:p>
            <w:pPr>
              <w:pStyle w:val="TableParagraph"/>
              <w:ind w:left="166"/>
              <w:rPr>
                <w:b/>
                <w:sz w:val="24"/>
              </w:rPr>
            </w:pPr>
            <w:r>
              <w:rPr>
                <w:b/>
                <w:w w:val="95"/>
                <w:sz w:val="24"/>
              </w:rPr>
              <w:t>重大疾病释义</w:t>
            </w:r>
          </w:p>
        </w:tc>
        <w:tc>
          <w:tcPr>
            <w:tcW w:w="7752" w:type="dxa"/>
            <w:tcBorders>
              <w:bottom w:val="single" w:sz="4" w:space="0" w:color="000000"/>
            </w:tcBorders>
          </w:tcPr>
          <w:p>
            <w:pPr>
              <w:pStyle w:val="TableParagraph"/>
              <w:rPr>
                <w:rFonts w:ascii="Times New Roman"/>
                <w:sz w:val="20"/>
              </w:rPr>
            </w:pPr>
          </w:p>
        </w:tc>
      </w:tr>
      <w:tr>
        <w:trPr>
          <w:trHeight w:val="2729" w:hRule="atLeast"/>
        </w:trPr>
        <w:tc>
          <w:tcPr>
            <w:tcW w:w="918" w:type="dxa"/>
            <w:tcBorders>
              <w:top w:val="single" w:sz="4" w:space="0" w:color="000000"/>
            </w:tcBorders>
          </w:tcPr>
          <w:p>
            <w:pPr>
              <w:pStyle w:val="TableParagraph"/>
              <w:spacing w:before="7"/>
              <w:rPr>
                <w:sz w:val="22"/>
              </w:rPr>
            </w:pPr>
          </w:p>
          <w:p>
            <w:pPr>
              <w:pStyle w:val="TableParagraph"/>
              <w:ind w:left="328"/>
              <w:rPr>
                <w:b/>
                <w:sz w:val="21"/>
              </w:rPr>
            </w:pPr>
            <w:r>
              <w:rPr>
                <w:b/>
                <w:sz w:val="21"/>
              </w:rPr>
              <w:t>9.1 </w:t>
            </w:r>
          </w:p>
        </w:tc>
        <w:tc>
          <w:tcPr>
            <w:tcW w:w="1933" w:type="dxa"/>
            <w:tcBorders>
              <w:top w:val="single" w:sz="4" w:space="0" w:color="000000"/>
            </w:tcBorders>
          </w:tcPr>
          <w:p>
            <w:pPr>
              <w:pStyle w:val="TableParagraph"/>
              <w:spacing w:before="5"/>
              <w:rPr>
                <w:sz w:val="24"/>
              </w:rPr>
            </w:pPr>
          </w:p>
          <w:p>
            <w:pPr>
              <w:pStyle w:val="TableParagraph"/>
              <w:ind w:left="166"/>
              <w:rPr>
                <w:b/>
                <w:sz w:val="21"/>
              </w:rPr>
            </w:pPr>
            <w:r>
              <w:rPr>
                <w:b/>
                <w:sz w:val="21"/>
              </w:rPr>
              <w:t>重大疾病</w:t>
            </w:r>
            <w:r>
              <w:rPr>
                <w:b/>
                <w:w w:val="99"/>
                <w:sz w:val="21"/>
              </w:rPr>
              <w:t> </w:t>
            </w:r>
          </w:p>
        </w:tc>
        <w:tc>
          <w:tcPr>
            <w:tcW w:w="7752" w:type="dxa"/>
            <w:tcBorders>
              <w:top w:val="single" w:sz="4" w:space="0" w:color="000000"/>
            </w:tcBorders>
          </w:tcPr>
          <w:p>
            <w:pPr>
              <w:pStyle w:val="TableParagraph"/>
              <w:spacing w:before="5"/>
              <w:rPr>
                <w:sz w:val="24"/>
              </w:rPr>
            </w:pPr>
          </w:p>
          <w:p>
            <w:pPr>
              <w:pStyle w:val="TableParagraph"/>
              <w:spacing w:line="278" w:lineRule="auto"/>
              <w:ind w:left="86" w:right="513"/>
              <w:rPr>
                <w:sz w:val="21"/>
              </w:rPr>
            </w:pPr>
            <w:r>
              <w:rPr>
                <w:spacing w:val="-7"/>
                <w:sz w:val="21"/>
              </w:rPr>
              <w:t>本附加合同所指的重大疾病共有 </w:t>
            </w:r>
            <w:r>
              <w:rPr>
                <w:sz w:val="21"/>
              </w:rPr>
              <w:t>25</w:t>
            </w:r>
            <w:r>
              <w:rPr>
                <w:spacing w:val="-15"/>
                <w:sz w:val="21"/>
              </w:rPr>
              <w:t> 种，全部采用中国保险行业协会 </w:t>
            </w:r>
            <w:r>
              <w:rPr>
                <w:sz w:val="21"/>
              </w:rPr>
              <w:t>2007</w:t>
            </w:r>
            <w:r>
              <w:rPr>
                <w:spacing w:val="-34"/>
                <w:sz w:val="21"/>
              </w:rPr>
              <w:t> 年 </w:t>
            </w:r>
            <w:r>
              <w:rPr>
                <w:sz w:val="21"/>
              </w:rPr>
              <w:t>3 </w:t>
            </w:r>
            <w:r>
              <w:rPr>
                <w:spacing w:val="-20"/>
                <w:sz w:val="21"/>
              </w:rPr>
              <w:t>月发布的《重大疾病保险的疾病定义使用规范》中规定的重大疾病种类及定义。</w:t>
            </w:r>
            <w:r>
              <w:rPr>
                <w:spacing w:val="-7"/>
                <w:sz w:val="21"/>
              </w:rPr>
              <w:t>本附加合同的重大疾病定义可能与临床医学在概念和范围上有所不同，您投保</w:t>
            </w:r>
            <w:r>
              <w:rPr>
                <w:spacing w:val="-3"/>
                <w:sz w:val="21"/>
              </w:rPr>
              <w:t>本附加合同即表明其认可并遵从本附加合同条款中对重大疾病的定义。</w:t>
            </w:r>
            <w:r>
              <w:rPr>
                <w:sz w:val="21"/>
              </w:rPr>
              <w:t> </w:t>
            </w:r>
          </w:p>
          <w:p>
            <w:pPr>
              <w:pStyle w:val="TableParagraph"/>
              <w:spacing w:line="278" w:lineRule="auto" w:before="13"/>
              <w:ind w:left="86" w:right="614"/>
              <w:jc w:val="both"/>
              <w:rPr>
                <w:sz w:val="21"/>
              </w:rPr>
            </w:pPr>
            <w:r>
              <w:rPr>
                <w:spacing w:val="-5"/>
                <w:sz w:val="21"/>
              </w:rPr>
              <w:t>本附加合同所指的重大疾病为符合下列定义的 </w:t>
            </w:r>
            <w:r>
              <w:rPr>
                <w:sz w:val="21"/>
              </w:rPr>
              <w:t>25</w:t>
            </w:r>
            <w:r>
              <w:rPr>
                <w:spacing w:val="-7"/>
                <w:sz w:val="21"/>
              </w:rPr>
              <w:t> 种疾病、疾病状态或手术。</w:t>
            </w:r>
            <w:r>
              <w:rPr>
                <w:spacing w:val="-9"/>
                <w:sz w:val="21"/>
              </w:rPr>
              <w:t>被保险人发生符合以下疾病定义所述条件的重大疾病，应当由专科医生明确诊</w:t>
            </w:r>
            <w:r>
              <w:rPr>
                <w:spacing w:val="-6"/>
                <w:sz w:val="21"/>
              </w:rPr>
              <w:t>断。</w:t>
            </w:r>
            <w:r>
              <w:rPr>
                <w:sz w:val="21"/>
              </w:rPr>
              <w:t> </w:t>
            </w:r>
          </w:p>
        </w:tc>
      </w:tr>
      <w:tr>
        <w:trPr>
          <w:trHeight w:val="3677" w:hRule="atLeast"/>
        </w:trPr>
        <w:tc>
          <w:tcPr>
            <w:tcW w:w="918" w:type="dxa"/>
          </w:tcPr>
          <w:p>
            <w:pPr>
              <w:pStyle w:val="TableParagraph"/>
              <w:rPr>
                <w:rFonts w:ascii="Times New Roman"/>
                <w:sz w:val="20"/>
              </w:rPr>
            </w:pPr>
          </w:p>
        </w:tc>
        <w:tc>
          <w:tcPr>
            <w:tcW w:w="1933" w:type="dxa"/>
          </w:tcPr>
          <w:p>
            <w:pPr>
              <w:pStyle w:val="TableParagraph"/>
              <w:spacing w:before="143"/>
              <w:ind w:left="166"/>
              <w:rPr>
                <w:sz w:val="21"/>
              </w:rPr>
            </w:pPr>
            <w:r>
              <w:rPr>
                <w:sz w:val="21"/>
              </w:rPr>
              <w:t>1、恶性肿瘤 </w:t>
            </w:r>
          </w:p>
        </w:tc>
        <w:tc>
          <w:tcPr>
            <w:tcW w:w="7752" w:type="dxa"/>
          </w:tcPr>
          <w:p>
            <w:pPr>
              <w:pStyle w:val="TableParagraph"/>
              <w:spacing w:line="278" w:lineRule="auto" w:before="143"/>
              <w:ind w:left="86" w:right="616"/>
              <w:jc w:val="both"/>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before="12"/>
              <w:ind w:left="86"/>
              <w:jc w:val="both"/>
              <w:rPr>
                <w:sz w:val="21"/>
              </w:rPr>
            </w:pPr>
            <w:r>
              <w:rPr>
                <w:sz w:val="21"/>
              </w:rPr>
              <w:t>（ICD-10）的恶性肿瘤范畴。                                          </w:t>
            </w:r>
          </w:p>
          <w:p>
            <w:pPr>
              <w:pStyle w:val="TableParagraph"/>
              <w:spacing w:before="8"/>
              <w:ind w:left="86"/>
              <w:jc w:val="both"/>
              <w:rPr>
                <w:rFonts w:ascii="黑体" w:eastAsia="黑体" w:hint="eastAsia"/>
                <w:b/>
                <w:sz w:val="24"/>
              </w:rPr>
            </w:pPr>
            <w:r>
              <w:rPr>
                <w:rFonts w:ascii="黑体" w:eastAsia="黑体" w:hint="eastAsia"/>
                <w:b/>
                <w:w w:val="95"/>
                <w:sz w:val="24"/>
              </w:rPr>
              <w:t>下列疾病不在保障范围内：</w:t>
            </w:r>
          </w:p>
          <w:p>
            <w:pPr>
              <w:pStyle w:val="TableParagraph"/>
              <w:spacing w:before="4"/>
              <w:ind w:left="86"/>
              <w:jc w:val="both"/>
              <w:rPr>
                <w:rFonts w:ascii="黑体" w:eastAsia="黑体" w:hint="eastAsia"/>
                <w:b/>
                <w:sz w:val="24"/>
              </w:rPr>
            </w:pPr>
            <w:r>
              <w:rPr>
                <w:rFonts w:ascii="黑体" w:eastAsia="黑体" w:hint="eastAsia"/>
                <w:b/>
                <w:w w:val="95"/>
                <w:sz w:val="24"/>
              </w:rPr>
              <w:t>（1）原位癌；</w:t>
            </w:r>
          </w:p>
          <w:p>
            <w:pPr>
              <w:pStyle w:val="TableParagraph"/>
              <w:spacing w:before="7"/>
              <w:ind w:left="86"/>
              <w:jc w:val="both"/>
              <w:rPr>
                <w:rFonts w:ascii="黑体" w:eastAsia="黑体" w:hint="eastAsia"/>
                <w:b/>
                <w:sz w:val="24"/>
              </w:rPr>
            </w:pPr>
            <w:r>
              <w:rPr>
                <w:rFonts w:ascii="黑体" w:eastAsia="黑体" w:hint="eastAsia"/>
                <w:b/>
                <w:sz w:val="24"/>
              </w:rPr>
              <w:t>（2）相当于 Binet 分期方案 A 期程度的慢性淋巴细胞白血病；</w:t>
            </w:r>
          </w:p>
          <w:p>
            <w:pPr>
              <w:pStyle w:val="TableParagraph"/>
              <w:spacing w:before="5"/>
              <w:ind w:left="86"/>
              <w:jc w:val="both"/>
              <w:rPr>
                <w:rFonts w:ascii="黑体" w:eastAsia="黑体" w:hint="eastAsia"/>
                <w:b/>
                <w:sz w:val="24"/>
              </w:rPr>
            </w:pPr>
            <w:r>
              <w:rPr>
                <w:rFonts w:ascii="黑体" w:eastAsia="黑体" w:hint="eastAsia"/>
                <w:b/>
                <w:sz w:val="24"/>
              </w:rPr>
              <w:t>（3）相当于 Ann Arbor 分期方案 I 期程度的何杰金氏病；</w:t>
            </w:r>
          </w:p>
          <w:p>
            <w:pPr>
              <w:pStyle w:val="TableParagraph"/>
              <w:spacing w:before="5"/>
              <w:ind w:left="86"/>
              <w:jc w:val="both"/>
              <w:rPr>
                <w:rFonts w:ascii="黑体" w:eastAsia="黑体" w:hint="eastAsia"/>
                <w:b/>
                <w:sz w:val="24"/>
              </w:rPr>
            </w:pPr>
            <w:r>
              <w:rPr>
                <w:rFonts w:ascii="黑体" w:eastAsia="黑体" w:hint="eastAsia"/>
                <w:b/>
                <w:spacing w:val="1"/>
                <w:w w:val="99"/>
                <w:sz w:val="24"/>
              </w:rPr>
              <w:t>（</w:t>
            </w:r>
            <w:r>
              <w:rPr>
                <w:rFonts w:ascii="黑体" w:eastAsia="黑体" w:hint="eastAsia"/>
                <w:b/>
                <w:w w:val="99"/>
                <w:sz w:val="24"/>
              </w:rPr>
              <w:t>4</w:t>
            </w:r>
            <w:r>
              <w:rPr>
                <w:rFonts w:ascii="黑体" w:eastAsia="黑体" w:hint="eastAsia"/>
                <w:b/>
                <w:spacing w:val="1"/>
                <w:w w:val="99"/>
                <w:sz w:val="24"/>
              </w:rPr>
              <w:t>）</w:t>
            </w:r>
            <w:r>
              <w:rPr>
                <w:rFonts w:ascii="黑体" w:eastAsia="黑体" w:hint="eastAsia"/>
                <w:b/>
                <w:w w:val="99"/>
                <w:sz w:val="24"/>
              </w:rPr>
              <w:t>皮肤癌（不包括恶性黑色素瘤及已发生转移的皮肤癌</w:t>
            </w:r>
            <w:r>
              <w:rPr>
                <w:rFonts w:ascii="黑体" w:eastAsia="黑体" w:hint="eastAsia"/>
                <w:b/>
                <w:spacing w:val="-120"/>
                <w:w w:val="99"/>
                <w:sz w:val="24"/>
              </w:rPr>
              <w:t>）</w:t>
            </w:r>
            <w:r>
              <w:rPr>
                <w:rFonts w:ascii="黑体" w:eastAsia="黑体" w:hint="eastAsia"/>
                <w:b/>
                <w:w w:val="99"/>
                <w:sz w:val="24"/>
              </w:rPr>
              <w:t>；</w:t>
            </w:r>
          </w:p>
          <w:p>
            <w:pPr>
              <w:pStyle w:val="TableParagraph"/>
              <w:spacing w:before="6"/>
              <w:ind w:left="86"/>
              <w:jc w:val="both"/>
              <w:rPr>
                <w:rFonts w:ascii="黑体" w:eastAsia="黑体" w:hint="eastAsia"/>
                <w:b/>
                <w:sz w:val="24"/>
              </w:rPr>
            </w:pPr>
            <w:r>
              <w:rPr>
                <w:rFonts w:ascii="黑体" w:eastAsia="黑体" w:hint="eastAsia"/>
                <w:b/>
                <w:position w:val="2"/>
                <w:sz w:val="24"/>
              </w:rPr>
              <w:t>（5）TNM 分期为 T</w:t>
            </w:r>
            <w:r>
              <w:rPr>
                <w:rFonts w:ascii="黑体" w:eastAsia="黑体" w:hint="eastAsia"/>
                <w:b/>
                <w:sz w:val="12"/>
              </w:rPr>
              <w:t>1</w:t>
            </w:r>
            <w:r>
              <w:rPr>
                <w:rFonts w:ascii="黑体" w:eastAsia="黑体" w:hint="eastAsia"/>
                <w:b/>
                <w:position w:val="2"/>
                <w:sz w:val="24"/>
              </w:rPr>
              <w:t>N</w:t>
            </w:r>
            <w:r>
              <w:rPr>
                <w:rFonts w:ascii="黑体" w:eastAsia="黑体" w:hint="eastAsia"/>
                <w:b/>
                <w:sz w:val="12"/>
              </w:rPr>
              <w:t>0</w:t>
            </w:r>
            <w:r>
              <w:rPr>
                <w:rFonts w:ascii="黑体" w:eastAsia="黑体" w:hint="eastAsia"/>
                <w:b/>
                <w:position w:val="2"/>
                <w:sz w:val="24"/>
              </w:rPr>
              <w:t>M</w:t>
            </w:r>
            <w:r>
              <w:rPr>
                <w:rFonts w:ascii="黑体" w:eastAsia="黑体" w:hint="eastAsia"/>
                <w:b/>
                <w:sz w:val="12"/>
              </w:rPr>
              <w:t>0 </w:t>
            </w:r>
            <w:r>
              <w:rPr>
                <w:rFonts w:ascii="黑体" w:eastAsia="黑体" w:hint="eastAsia"/>
                <w:b/>
                <w:position w:val="2"/>
                <w:sz w:val="24"/>
              </w:rPr>
              <w:t>期或更轻分期的前列腺癌；</w:t>
            </w:r>
          </w:p>
          <w:p>
            <w:pPr>
              <w:pStyle w:val="TableParagraph"/>
              <w:spacing w:before="2"/>
              <w:ind w:left="86"/>
              <w:jc w:val="both"/>
              <w:rPr>
                <w:sz w:val="21"/>
              </w:rPr>
            </w:pPr>
            <w:r>
              <w:rPr>
                <w:rFonts w:ascii="黑体" w:eastAsia="黑体" w:hint="eastAsia"/>
                <w:b/>
                <w:w w:val="95"/>
                <w:sz w:val="24"/>
              </w:rPr>
              <w:t>（6）感染艾滋病病毒或患艾滋病期间所患恶性肿瘤。</w:t>
            </w:r>
            <w:r>
              <w:rPr>
                <w:w w:val="100"/>
                <w:sz w:val="21"/>
              </w:rPr>
              <w:t> </w:t>
            </w:r>
          </w:p>
        </w:tc>
      </w:tr>
      <w:tr>
        <w:trPr>
          <w:trHeight w:val="306" w:hRule="atLeast"/>
        </w:trPr>
        <w:tc>
          <w:tcPr>
            <w:tcW w:w="918" w:type="dxa"/>
          </w:tcPr>
          <w:p>
            <w:pPr>
              <w:pStyle w:val="TableParagraph"/>
              <w:rPr>
                <w:rFonts w:ascii="Times New Roman"/>
                <w:sz w:val="20"/>
              </w:rPr>
            </w:pPr>
          </w:p>
        </w:tc>
        <w:tc>
          <w:tcPr>
            <w:tcW w:w="1933" w:type="dxa"/>
          </w:tcPr>
          <w:p>
            <w:pPr>
              <w:pStyle w:val="TableParagraph"/>
              <w:spacing w:line="259" w:lineRule="exact"/>
              <w:ind w:left="166"/>
              <w:rPr>
                <w:sz w:val="21"/>
              </w:rPr>
            </w:pPr>
            <w:r>
              <w:rPr>
                <w:w w:val="100"/>
                <w:sz w:val="21"/>
              </w:rPr>
              <w:t> </w:t>
            </w:r>
          </w:p>
        </w:tc>
        <w:tc>
          <w:tcPr>
            <w:tcW w:w="7752" w:type="dxa"/>
          </w:tcPr>
          <w:p>
            <w:pPr>
              <w:pStyle w:val="TableParagraph"/>
              <w:spacing w:line="259" w:lineRule="exact"/>
              <w:ind w:left="86"/>
              <w:rPr>
                <w:sz w:val="21"/>
              </w:rPr>
            </w:pPr>
            <w:r>
              <w:rPr>
                <w:w w:val="100"/>
                <w:sz w:val="21"/>
              </w:rPr>
              <w:t> </w:t>
            </w:r>
          </w:p>
        </w:tc>
      </w:tr>
      <w:tr>
        <w:trPr>
          <w:trHeight w:val="2252" w:hRule="atLeast"/>
        </w:trPr>
        <w:tc>
          <w:tcPr>
            <w:tcW w:w="918" w:type="dxa"/>
          </w:tcPr>
          <w:p>
            <w:pPr>
              <w:pStyle w:val="TableParagraph"/>
              <w:rPr>
                <w:rFonts w:ascii="Times New Roman"/>
                <w:sz w:val="20"/>
              </w:rPr>
            </w:pPr>
          </w:p>
        </w:tc>
        <w:tc>
          <w:tcPr>
            <w:tcW w:w="1933" w:type="dxa"/>
          </w:tcPr>
          <w:p>
            <w:pPr>
              <w:pStyle w:val="TableParagraph"/>
              <w:spacing w:line="250" w:lineRule="exact"/>
              <w:ind w:left="166"/>
              <w:rPr>
                <w:sz w:val="21"/>
              </w:rPr>
            </w:pPr>
            <w:r>
              <w:rPr>
                <w:sz w:val="21"/>
              </w:rPr>
              <w:t>2、急性心肌梗塞 </w:t>
            </w:r>
          </w:p>
        </w:tc>
        <w:tc>
          <w:tcPr>
            <w:tcW w:w="7752" w:type="dxa"/>
          </w:tcPr>
          <w:p>
            <w:pPr>
              <w:pStyle w:val="TableParagraph"/>
              <w:spacing w:line="278" w:lineRule="auto"/>
              <w:ind w:left="86" w:right="613"/>
              <w:rPr>
                <w:sz w:val="21"/>
              </w:rPr>
            </w:pPr>
            <w:r>
              <w:rPr>
                <w:spacing w:val="-7"/>
                <w:sz w:val="21"/>
              </w:rPr>
              <w:t>指因冠状动脉阻塞导致的相应区域供血不足造成部分心肌坏死。须满足下列至</w:t>
            </w:r>
            <w:r>
              <w:rPr>
                <w:spacing w:val="-5"/>
                <w:sz w:val="21"/>
              </w:rPr>
              <w:t>少三项条件：</w:t>
            </w:r>
            <w:r>
              <w:rPr>
                <w:spacing w:val="-3"/>
                <w:sz w:val="21"/>
              </w:rPr>
              <w:t> </w:t>
            </w:r>
            <w:r>
              <w:rPr>
                <w:sz w:val="21"/>
              </w:rPr>
              <w:t> </w:t>
            </w:r>
          </w:p>
          <w:p>
            <w:pPr>
              <w:pStyle w:val="TableParagraph"/>
              <w:spacing w:before="11"/>
              <w:ind w:left="86"/>
              <w:rPr>
                <w:sz w:val="21"/>
              </w:rPr>
            </w:pPr>
            <w:r>
              <w:rPr>
                <w:sz w:val="21"/>
              </w:rPr>
              <w:t>（1）典型临床表现，例如急性胸痛等；  </w:t>
            </w:r>
          </w:p>
          <w:p>
            <w:pPr>
              <w:pStyle w:val="TableParagraph"/>
              <w:spacing w:before="46"/>
              <w:ind w:left="86"/>
              <w:rPr>
                <w:sz w:val="21"/>
              </w:rPr>
            </w:pPr>
            <w:r>
              <w:rPr>
                <w:sz w:val="21"/>
              </w:rPr>
              <w:t>（2）新近的心电图改变提示急性心肌梗塞；  </w:t>
            </w:r>
          </w:p>
          <w:p>
            <w:pPr>
              <w:pStyle w:val="TableParagraph"/>
              <w:spacing w:line="278" w:lineRule="auto" w:before="44"/>
              <w:ind w:left="629" w:right="622" w:hanging="543"/>
              <w:rPr>
                <w:sz w:val="21"/>
              </w:rPr>
            </w:pPr>
            <w:r>
              <w:rPr>
                <w:sz w:val="21"/>
              </w:rPr>
              <w:t>（3）心肌酶或肌钙蛋白有诊断意义的升高，或呈符合急性心肌梗塞的动态性变化；  </w:t>
            </w:r>
          </w:p>
          <w:p>
            <w:pPr>
              <w:pStyle w:val="TableParagraph"/>
              <w:spacing w:before="13"/>
              <w:ind w:left="86"/>
              <w:rPr>
                <w:sz w:val="21"/>
              </w:rPr>
            </w:pPr>
            <w:r>
              <w:rPr>
                <w:spacing w:val="-17"/>
                <w:sz w:val="21"/>
              </w:rPr>
              <w:t>（4）</w:t>
            </w:r>
            <w:r>
              <w:rPr>
                <w:spacing w:val="-15"/>
                <w:sz w:val="21"/>
              </w:rPr>
              <w:t>发病 </w:t>
            </w:r>
            <w:r>
              <w:rPr>
                <w:sz w:val="21"/>
              </w:rPr>
              <w:t>90</w:t>
            </w:r>
            <w:r>
              <w:rPr>
                <w:spacing w:val="-15"/>
                <w:sz w:val="21"/>
              </w:rPr>
              <w:t> 天后，经检查证实左心室功能降低，如左心室射血分数低于 </w:t>
            </w:r>
            <w:r>
              <w:rPr>
                <w:sz w:val="21"/>
              </w:rPr>
              <w:t>50</w:t>
            </w:r>
            <w:r>
              <w:rPr>
                <w:spacing w:val="-54"/>
                <w:sz w:val="21"/>
              </w:rPr>
              <w:t>%。</w:t>
            </w:r>
            <w:r>
              <w:rPr>
                <w:sz w:val="21"/>
              </w:rPr>
              <w:t> </w:t>
            </w:r>
          </w:p>
        </w:tc>
      </w:tr>
      <w:tr>
        <w:trPr>
          <w:trHeight w:val="307" w:hRule="atLeast"/>
        </w:trPr>
        <w:tc>
          <w:tcPr>
            <w:tcW w:w="918" w:type="dxa"/>
          </w:tcPr>
          <w:p>
            <w:pPr>
              <w:pStyle w:val="TableParagraph"/>
              <w:rPr>
                <w:rFonts w:ascii="Times New Roman"/>
                <w:sz w:val="20"/>
              </w:rPr>
            </w:pPr>
          </w:p>
        </w:tc>
        <w:tc>
          <w:tcPr>
            <w:tcW w:w="1933" w:type="dxa"/>
          </w:tcPr>
          <w:p>
            <w:pPr>
              <w:pStyle w:val="TableParagraph"/>
              <w:spacing w:line="261" w:lineRule="exact"/>
              <w:ind w:left="166"/>
              <w:rPr>
                <w:sz w:val="21"/>
              </w:rPr>
            </w:pPr>
            <w:r>
              <w:rPr>
                <w:w w:val="100"/>
                <w:sz w:val="21"/>
              </w:rPr>
              <w:t> </w:t>
            </w:r>
          </w:p>
        </w:tc>
        <w:tc>
          <w:tcPr>
            <w:tcW w:w="7752" w:type="dxa"/>
          </w:tcPr>
          <w:p>
            <w:pPr>
              <w:pStyle w:val="TableParagraph"/>
              <w:spacing w:line="261" w:lineRule="exact"/>
              <w:ind w:left="86"/>
              <w:rPr>
                <w:sz w:val="21"/>
              </w:rPr>
            </w:pPr>
            <w:r>
              <w:rPr>
                <w:w w:val="100"/>
                <w:sz w:val="21"/>
              </w:rPr>
              <w:t> </w:t>
            </w:r>
          </w:p>
        </w:tc>
      </w:tr>
      <w:tr>
        <w:trPr>
          <w:trHeight w:val="2212" w:hRule="atLeast"/>
        </w:trPr>
        <w:tc>
          <w:tcPr>
            <w:tcW w:w="918" w:type="dxa"/>
          </w:tcPr>
          <w:p>
            <w:pPr>
              <w:pStyle w:val="TableParagraph"/>
              <w:rPr>
                <w:rFonts w:ascii="Times New Roman"/>
                <w:sz w:val="20"/>
              </w:rPr>
            </w:pPr>
          </w:p>
        </w:tc>
        <w:tc>
          <w:tcPr>
            <w:tcW w:w="1933" w:type="dxa"/>
          </w:tcPr>
          <w:p>
            <w:pPr>
              <w:pStyle w:val="TableParagraph"/>
              <w:spacing w:line="273" w:lineRule="exact"/>
              <w:ind w:left="166"/>
              <w:rPr>
                <w:sz w:val="21"/>
              </w:rPr>
            </w:pPr>
            <w:r>
              <w:rPr>
                <w:sz w:val="21"/>
              </w:rPr>
              <w:t>3. 脑中风后遗症 </w:t>
            </w:r>
          </w:p>
        </w:tc>
        <w:tc>
          <w:tcPr>
            <w:tcW w:w="7752" w:type="dxa"/>
          </w:tcPr>
          <w:p>
            <w:pPr>
              <w:pStyle w:val="TableParagraph"/>
              <w:spacing w:line="249" w:lineRule="exact"/>
              <w:ind w:left="86"/>
              <w:rPr>
                <w:sz w:val="21"/>
              </w:rPr>
            </w:pPr>
            <w:r>
              <w:rPr>
                <w:sz w:val="21"/>
              </w:rPr>
              <w:t>指因脑血管的突发病变引起脑血管出血、栓塞或梗塞，并导致神经系统永久性</w:t>
            </w:r>
          </w:p>
          <w:p>
            <w:pPr>
              <w:pStyle w:val="TableParagraph"/>
              <w:spacing w:line="273" w:lineRule="auto" w:before="37"/>
              <w:ind w:left="86" w:right="614"/>
              <w:rPr>
                <w:sz w:val="21"/>
              </w:rPr>
            </w:pPr>
            <w:r>
              <w:rPr>
                <w:sz w:val="21"/>
              </w:rPr>
              <w:t>的功能障碍。神经系统永久性的功能障碍，指疾病确诊180天后，仍遗留下列一种或一种以上障碍：  </w:t>
            </w:r>
          </w:p>
          <w:p>
            <w:pPr>
              <w:pStyle w:val="TableParagraph"/>
              <w:spacing w:before="7"/>
              <w:ind w:left="86"/>
              <w:rPr>
                <w:sz w:val="21"/>
              </w:rPr>
            </w:pPr>
            <w:r>
              <w:rPr>
                <w:sz w:val="21"/>
              </w:rPr>
              <w:t>（1）一肢或一肢以上</w:t>
            </w:r>
            <w:r>
              <w:rPr>
                <w:b/>
                <w:sz w:val="21"/>
              </w:rPr>
              <w:t>肢体机能完全丧失</w:t>
            </w:r>
            <w:r>
              <w:rPr>
                <w:sz w:val="21"/>
              </w:rPr>
              <w:t>；  </w:t>
            </w:r>
          </w:p>
          <w:p>
            <w:pPr>
              <w:pStyle w:val="TableParagraph"/>
              <w:spacing w:before="36"/>
              <w:ind w:left="86"/>
              <w:rPr>
                <w:sz w:val="21"/>
              </w:rPr>
            </w:pPr>
            <w:r>
              <w:rPr>
                <w:sz w:val="21"/>
              </w:rPr>
              <w:t>（2）</w:t>
            </w:r>
            <w:r>
              <w:rPr>
                <w:b/>
                <w:sz w:val="21"/>
              </w:rPr>
              <w:t>语言能力或咀嚼吞咽能力完全丧失</w:t>
            </w:r>
            <w:r>
              <w:rPr>
                <w:sz w:val="21"/>
              </w:rPr>
              <w:t>；  </w:t>
            </w:r>
          </w:p>
          <w:p>
            <w:pPr>
              <w:pStyle w:val="TableParagraph"/>
              <w:spacing w:line="280" w:lineRule="auto" w:before="60"/>
              <w:ind w:left="86" w:right="616" w:hanging="1"/>
              <w:rPr>
                <w:sz w:val="21"/>
              </w:rPr>
            </w:pPr>
            <w:r>
              <w:rPr>
                <w:sz w:val="21"/>
              </w:rPr>
              <w:t>（3）自主生活能力完全丧失，无法独立完成</w:t>
            </w:r>
            <w:r>
              <w:rPr>
                <w:b/>
                <w:sz w:val="21"/>
              </w:rPr>
              <w:t>六项基本日常生活活动</w:t>
            </w:r>
            <w:r>
              <w:rPr>
                <w:sz w:val="21"/>
              </w:rPr>
              <w:t>中的三项或三项以上。 </w:t>
            </w:r>
          </w:p>
        </w:tc>
      </w:tr>
      <w:tr>
        <w:trPr>
          <w:trHeight w:val="265" w:hRule="atLeast"/>
        </w:trPr>
        <w:tc>
          <w:tcPr>
            <w:tcW w:w="918" w:type="dxa"/>
          </w:tcPr>
          <w:p>
            <w:pPr>
              <w:pStyle w:val="TableParagraph"/>
              <w:rPr>
                <w:rFonts w:ascii="Times New Roman"/>
                <w:sz w:val="18"/>
              </w:rPr>
            </w:pPr>
          </w:p>
        </w:tc>
        <w:tc>
          <w:tcPr>
            <w:tcW w:w="1933" w:type="dxa"/>
          </w:tcPr>
          <w:p>
            <w:pPr>
              <w:pStyle w:val="TableParagraph"/>
              <w:spacing w:line="245" w:lineRule="exact"/>
              <w:ind w:left="166"/>
              <w:rPr>
                <w:sz w:val="21"/>
              </w:rPr>
            </w:pPr>
            <w:r>
              <w:rPr>
                <w:w w:val="100"/>
                <w:sz w:val="21"/>
              </w:rPr>
              <w:t> </w:t>
            </w:r>
          </w:p>
        </w:tc>
        <w:tc>
          <w:tcPr>
            <w:tcW w:w="7752" w:type="dxa"/>
          </w:tcPr>
          <w:p>
            <w:pPr>
              <w:pStyle w:val="TableParagraph"/>
              <w:spacing w:line="245" w:lineRule="exact"/>
              <w:ind w:left="86"/>
              <w:rPr>
                <w:sz w:val="21"/>
              </w:rPr>
            </w:pPr>
            <w:r>
              <w:rPr>
                <w:w w:val="100"/>
                <w:sz w:val="21"/>
              </w:rPr>
              <w:t> </w:t>
            </w:r>
          </w:p>
        </w:tc>
      </w:tr>
    </w:tbl>
    <w:p>
      <w:pPr>
        <w:spacing w:after="0" w:line="245"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3"/>
        <w:gridCol w:w="7721"/>
      </w:tblGrid>
      <w:tr>
        <w:trPr>
          <w:trHeight w:val="1605" w:hRule="atLeast"/>
        </w:trPr>
        <w:tc>
          <w:tcPr>
            <w:tcW w:w="2803" w:type="dxa"/>
            <w:tcBorders>
              <w:top w:val="single" w:sz="6" w:space="0" w:color="000000"/>
            </w:tcBorders>
          </w:tcPr>
          <w:p>
            <w:pPr>
              <w:pStyle w:val="TableParagraph"/>
              <w:spacing w:line="280" w:lineRule="auto" w:before="7"/>
              <w:ind w:left="1005" w:right="220"/>
              <w:rPr>
                <w:sz w:val="21"/>
              </w:rPr>
            </w:pPr>
            <w:r>
              <w:rPr>
                <w:sz w:val="21"/>
              </w:rPr>
              <w:t>4. 重大器官移植术或造血干细胞移植术 </w:t>
            </w:r>
          </w:p>
        </w:tc>
        <w:tc>
          <w:tcPr>
            <w:tcW w:w="7721" w:type="dxa"/>
            <w:tcBorders>
              <w:top w:val="single" w:sz="6" w:space="0" w:color="000000"/>
            </w:tcBorders>
          </w:tcPr>
          <w:p>
            <w:pPr>
              <w:pStyle w:val="TableParagraph"/>
              <w:spacing w:line="258" w:lineRule="exact"/>
              <w:ind w:left="55"/>
              <w:rPr>
                <w:sz w:val="21"/>
              </w:rPr>
            </w:pPr>
            <w:r>
              <w:rPr>
                <w:sz w:val="21"/>
              </w:rPr>
              <w:t>重大器官移植术，指因相应器官功能衰竭，已经实施了肾脏、肝脏、心脏或肺</w:t>
            </w:r>
          </w:p>
          <w:p>
            <w:pPr>
              <w:pStyle w:val="TableParagraph"/>
              <w:spacing w:before="37"/>
              <w:ind w:left="55"/>
              <w:rPr>
                <w:sz w:val="21"/>
              </w:rPr>
            </w:pPr>
            <w:r>
              <w:rPr>
                <w:sz w:val="21"/>
              </w:rPr>
              <w:t>脏的异体移植手术。  </w:t>
            </w:r>
          </w:p>
          <w:p>
            <w:pPr>
              <w:pStyle w:val="TableParagraph"/>
              <w:spacing w:line="280" w:lineRule="auto" w:before="61"/>
              <w:ind w:left="55" w:right="616"/>
              <w:jc w:val="both"/>
              <w:rPr>
                <w:sz w:val="21"/>
              </w:rPr>
            </w:pPr>
            <w:r>
              <w:rPr>
                <w:spacing w:val="-11"/>
                <w:sz w:val="21"/>
              </w:rPr>
              <w:t>造血干细胞移植术，指因造血功能损害或造血系统恶性肿瘤，已经实施了造血</w:t>
            </w:r>
            <w:r>
              <w:rPr>
                <w:spacing w:val="-19"/>
                <w:sz w:val="21"/>
              </w:rPr>
              <w:t>干细胞</w:t>
            </w:r>
            <w:r>
              <w:rPr>
                <w:spacing w:val="-3"/>
                <w:sz w:val="21"/>
              </w:rPr>
              <w:t>（</w:t>
            </w:r>
            <w:r>
              <w:rPr>
                <w:spacing w:val="-6"/>
                <w:sz w:val="21"/>
              </w:rPr>
              <w:t>包括骨髓造血干细胞、外周血造血干细胞和脐血造血干细胞</w:t>
            </w:r>
            <w:r>
              <w:rPr>
                <w:spacing w:val="-32"/>
                <w:sz w:val="21"/>
              </w:rPr>
              <w:t>）</w:t>
            </w:r>
            <w:r>
              <w:rPr>
                <w:spacing w:val="-3"/>
                <w:sz w:val="21"/>
              </w:rPr>
              <w:t>的异体</w:t>
            </w:r>
            <w:r>
              <w:rPr>
                <w:spacing w:val="-2"/>
                <w:sz w:val="21"/>
              </w:rPr>
              <w:t>移植手术。</w:t>
            </w:r>
            <w:r>
              <w:rPr>
                <w:sz w:val="21"/>
              </w:rPr>
              <w:t> </w:t>
            </w:r>
          </w:p>
        </w:tc>
      </w:tr>
      <w:tr>
        <w:trPr>
          <w:trHeight w:val="307" w:hRule="atLeast"/>
        </w:trPr>
        <w:tc>
          <w:tcPr>
            <w:tcW w:w="2803" w:type="dxa"/>
          </w:tcPr>
          <w:p>
            <w:pPr>
              <w:pStyle w:val="TableParagraph"/>
              <w:spacing w:line="261" w:lineRule="exact"/>
              <w:ind w:left="1005"/>
              <w:rPr>
                <w:sz w:val="21"/>
              </w:rPr>
            </w:pPr>
            <w:r>
              <w:rPr>
                <w:w w:val="100"/>
                <w:sz w:val="21"/>
              </w:rPr>
              <w:t> </w:t>
            </w:r>
          </w:p>
        </w:tc>
        <w:tc>
          <w:tcPr>
            <w:tcW w:w="7721" w:type="dxa"/>
          </w:tcPr>
          <w:p>
            <w:pPr>
              <w:pStyle w:val="TableParagraph"/>
              <w:spacing w:line="261" w:lineRule="exact"/>
              <w:ind w:left="55"/>
              <w:rPr>
                <w:sz w:val="21"/>
              </w:rPr>
            </w:pPr>
            <w:r>
              <w:rPr>
                <w:w w:val="100"/>
                <w:sz w:val="21"/>
              </w:rPr>
              <w:t> </w:t>
            </w:r>
          </w:p>
        </w:tc>
      </w:tr>
      <w:tr>
        <w:trPr>
          <w:trHeight w:val="1245" w:hRule="atLeast"/>
        </w:trPr>
        <w:tc>
          <w:tcPr>
            <w:tcW w:w="2803" w:type="dxa"/>
          </w:tcPr>
          <w:p>
            <w:pPr>
              <w:pStyle w:val="TableParagraph"/>
              <w:spacing w:line="249" w:lineRule="exact"/>
              <w:ind w:left="1005"/>
              <w:rPr>
                <w:sz w:val="21"/>
              </w:rPr>
            </w:pPr>
            <w:r>
              <w:rPr>
                <w:sz w:val="21"/>
              </w:rPr>
              <w:t>5. 冠状动脉搭桥</w:t>
            </w:r>
          </w:p>
          <w:p>
            <w:pPr>
              <w:pStyle w:val="TableParagraph"/>
              <w:spacing w:line="273" w:lineRule="auto" w:before="37"/>
              <w:ind w:left="1005" w:right="97"/>
              <w:rPr>
                <w:sz w:val="21"/>
              </w:rPr>
            </w:pPr>
            <w:r>
              <w:rPr>
                <w:sz w:val="21"/>
              </w:rPr>
              <w:t>术（或称冠状动脉旁路移植术） </w:t>
            </w:r>
          </w:p>
        </w:tc>
        <w:tc>
          <w:tcPr>
            <w:tcW w:w="7721" w:type="dxa"/>
          </w:tcPr>
          <w:p>
            <w:pPr>
              <w:pStyle w:val="TableParagraph"/>
              <w:spacing w:line="249" w:lineRule="exact"/>
              <w:ind w:left="55"/>
              <w:rPr>
                <w:sz w:val="21"/>
              </w:rPr>
            </w:pPr>
            <w:r>
              <w:rPr>
                <w:sz w:val="21"/>
              </w:rPr>
              <w:t>指为治疗严重的冠心病，实际实施了开胸进行的冠状动脉血管旁路移植的手</w:t>
            </w:r>
          </w:p>
          <w:p>
            <w:pPr>
              <w:pStyle w:val="TableParagraph"/>
              <w:spacing w:before="37"/>
              <w:ind w:left="55"/>
              <w:rPr>
                <w:sz w:val="21"/>
              </w:rPr>
            </w:pPr>
            <w:r>
              <w:rPr>
                <w:sz w:val="21"/>
              </w:rPr>
              <w:t>术。  </w:t>
            </w:r>
          </w:p>
          <w:p>
            <w:pPr>
              <w:pStyle w:val="TableParagraph"/>
              <w:spacing w:line="237" w:lineRule="auto" w:before="12"/>
              <w:ind w:left="55" w:right="614"/>
              <w:rPr>
                <w:sz w:val="24"/>
              </w:rPr>
            </w:pPr>
            <w:r>
              <w:rPr>
                <w:rFonts w:ascii="黑体" w:eastAsia="黑体" w:hint="eastAsia"/>
                <w:b/>
                <w:sz w:val="24"/>
              </w:rPr>
              <w:t>冠状动脉支架植入术、心导管球囊扩张术、激光射频技术及其它非</w:t>
            </w:r>
            <w:r>
              <w:rPr>
                <w:rFonts w:ascii="黑体" w:eastAsia="黑体" w:hint="eastAsia"/>
                <w:b/>
                <w:w w:val="95"/>
                <w:sz w:val="24"/>
              </w:rPr>
              <w:t>开胸的介入手术、腔镜手术不在保障范围内。</w:t>
            </w:r>
            <w:r>
              <w:rPr>
                <w:sz w:val="24"/>
              </w:rPr>
              <w:t> </w:t>
            </w:r>
          </w:p>
        </w:tc>
      </w:tr>
      <w:tr>
        <w:trPr>
          <w:trHeight w:val="306" w:hRule="atLeast"/>
        </w:trPr>
        <w:tc>
          <w:tcPr>
            <w:tcW w:w="2803" w:type="dxa"/>
          </w:tcPr>
          <w:p>
            <w:pPr>
              <w:pStyle w:val="TableParagraph"/>
              <w:spacing w:line="252" w:lineRule="exact"/>
              <w:ind w:left="1005"/>
              <w:rPr>
                <w:sz w:val="21"/>
              </w:rPr>
            </w:pPr>
            <w:r>
              <w:rPr>
                <w:w w:val="100"/>
                <w:sz w:val="21"/>
              </w:rPr>
              <w:t> </w:t>
            </w:r>
          </w:p>
        </w:tc>
        <w:tc>
          <w:tcPr>
            <w:tcW w:w="7721" w:type="dxa"/>
          </w:tcPr>
          <w:p>
            <w:pPr>
              <w:pStyle w:val="TableParagraph"/>
              <w:spacing w:line="252" w:lineRule="exact"/>
              <w:ind w:left="55"/>
              <w:rPr>
                <w:sz w:val="21"/>
              </w:rPr>
            </w:pPr>
            <w:r>
              <w:rPr>
                <w:w w:val="100"/>
                <w:sz w:val="21"/>
              </w:rPr>
              <w:t> </w:t>
            </w:r>
          </w:p>
        </w:tc>
      </w:tr>
      <w:tr>
        <w:trPr>
          <w:trHeight w:val="935" w:hRule="atLeast"/>
        </w:trPr>
        <w:tc>
          <w:tcPr>
            <w:tcW w:w="2803" w:type="dxa"/>
          </w:tcPr>
          <w:p>
            <w:pPr>
              <w:pStyle w:val="TableParagraph"/>
              <w:spacing w:line="258" w:lineRule="exact"/>
              <w:ind w:left="1005"/>
              <w:rPr>
                <w:sz w:val="21"/>
              </w:rPr>
            </w:pPr>
            <w:r>
              <w:rPr>
                <w:sz w:val="21"/>
              </w:rPr>
              <w:t>6. 终末期 肾病 </w:t>
            </w:r>
          </w:p>
          <w:p>
            <w:pPr>
              <w:pStyle w:val="TableParagraph"/>
              <w:spacing w:line="273" w:lineRule="auto" w:before="37"/>
              <w:ind w:left="1005" w:right="54"/>
              <w:rPr>
                <w:sz w:val="21"/>
              </w:rPr>
            </w:pPr>
            <w:r>
              <w:rPr>
                <w:sz w:val="21"/>
              </w:rPr>
              <w:t>（或称慢性肾功能衰竭尿毒症期） </w:t>
            </w:r>
          </w:p>
        </w:tc>
        <w:tc>
          <w:tcPr>
            <w:tcW w:w="7721" w:type="dxa"/>
          </w:tcPr>
          <w:p>
            <w:pPr>
              <w:pStyle w:val="TableParagraph"/>
              <w:spacing w:line="257" w:lineRule="exact"/>
              <w:ind w:left="55"/>
              <w:rPr>
                <w:sz w:val="21"/>
              </w:rPr>
            </w:pPr>
            <w:r>
              <w:rPr>
                <w:sz w:val="21"/>
              </w:rPr>
              <w:t>指双肾功能慢性不可逆性衰竭，达到尿毒症期，经诊断后已经进行了至少90</w:t>
            </w:r>
          </w:p>
          <w:p>
            <w:pPr>
              <w:pStyle w:val="TableParagraph"/>
              <w:spacing w:before="37"/>
              <w:ind w:left="55"/>
              <w:rPr>
                <w:sz w:val="21"/>
              </w:rPr>
            </w:pPr>
            <w:r>
              <w:rPr>
                <w:sz w:val="21"/>
              </w:rPr>
              <w:t>天的规律性透析治疗或实施了肾脏移植手术。 </w:t>
            </w:r>
          </w:p>
        </w:tc>
      </w:tr>
      <w:tr>
        <w:trPr>
          <w:trHeight w:val="312" w:hRule="atLeast"/>
        </w:trPr>
        <w:tc>
          <w:tcPr>
            <w:tcW w:w="2803" w:type="dxa"/>
          </w:tcPr>
          <w:p>
            <w:pPr>
              <w:pStyle w:val="TableParagraph"/>
              <w:spacing w:line="257" w:lineRule="exact"/>
              <w:ind w:left="1005"/>
              <w:rPr>
                <w:sz w:val="21"/>
              </w:rPr>
            </w:pPr>
            <w:r>
              <w:rPr>
                <w:w w:val="100"/>
                <w:sz w:val="21"/>
              </w:rPr>
              <w:t> </w:t>
            </w:r>
          </w:p>
        </w:tc>
        <w:tc>
          <w:tcPr>
            <w:tcW w:w="7721" w:type="dxa"/>
          </w:tcPr>
          <w:p>
            <w:pPr>
              <w:pStyle w:val="TableParagraph"/>
              <w:spacing w:line="257" w:lineRule="exact"/>
              <w:ind w:left="55"/>
              <w:rPr>
                <w:sz w:val="21"/>
              </w:rPr>
            </w:pPr>
            <w:r>
              <w:rPr>
                <w:w w:val="100"/>
                <w:sz w:val="21"/>
              </w:rPr>
              <w:t> </w:t>
            </w:r>
          </w:p>
        </w:tc>
      </w:tr>
      <w:tr>
        <w:trPr>
          <w:trHeight w:val="624" w:hRule="atLeast"/>
        </w:trPr>
        <w:tc>
          <w:tcPr>
            <w:tcW w:w="2803" w:type="dxa"/>
          </w:tcPr>
          <w:p>
            <w:pPr>
              <w:pStyle w:val="TableParagraph"/>
              <w:spacing w:line="258" w:lineRule="exact"/>
              <w:ind w:left="1005"/>
              <w:rPr>
                <w:sz w:val="21"/>
              </w:rPr>
            </w:pPr>
            <w:r>
              <w:rPr>
                <w:sz w:val="21"/>
              </w:rPr>
              <w:t>7. 多个肢体缺失 </w:t>
            </w:r>
          </w:p>
        </w:tc>
        <w:tc>
          <w:tcPr>
            <w:tcW w:w="7721" w:type="dxa"/>
          </w:tcPr>
          <w:p>
            <w:pPr>
              <w:pStyle w:val="TableParagraph"/>
              <w:spacing w:line="258" w:lineRule="exact"/>
              <w:ind w:left="55"/>
              <w:rPr>
                <w:sz w:val="21"/>
              </w:rPr>
            </w:pPr>
            <w:r>
              <w:rPr>
                <w:sz w:val="21"/>
              </w:rPr>
              <w:t>指因疾病或意外伤害导致两个或两个以上肢体自腕关节或踝关节近端（靠近躯</w:t>
            </w:r>
          </w:p>
          <w:p>
            <w:pPr>
              <w:pStyle w:val="TableParagraph"/>
              <w:spacing w:before="37"/>
              <w:ind w:left="55"/>
              <w:rPr>
                <w:sz w:val="21"/>
              </w:rPr>
            </w:pPr>
            <w:r>
              <w:rPr>
                <w:sz w:val="21"/>
              </w:rPr>
              <w:t>干端）以上完全性断离。 </w:t>
            </w:r>
          </w:p>
        </w:tc>
      </w:tr>
      <w:tr>
        <w:trPr>
          <w:trHeight w:val="311" w:hRule="atLeast"/>
        </w:trPr>
        <w:tc>
          <w:tcPr>
            <w:tcW w:w="2803" w:type="dxa"/>
          </w:tcPr>
          <w:p>
            <w:pPr>
              <w:pStyle w:val="TableParagraph"/>
              <w:spacing w:line="257" w:lineRule="exact"/>
              <w:ind w:left="1005"/>
              <w:rPr>
                <w:sz w:val="21"/>
              </w:rPr>
            </w:pPr>
            <w:r>
              <w:rPr>
                <w:w w:val="100"/>
                <w:sz w:val="21"/>
              </w:rPr>
              <w:t> </w:t>
            </w:r>
          </w:p>
        </w:tc>
        <w:tc>
          <w:tcPr>
            <w:tcW w:w="7721" w:type="dxa"/>
          </w:tcPr>
          <w:p>
            <w:pPr>
              <w:pStyle w:val="TableParagraph"/>
              <w:spacing w:line="257" w:lineRule="exact"/>
              <w:ind w:left="55"/>
              <w:rPr>
                <w:sz w:val="21"/>
              </w:rPr>
            </w:pPr>
            <w:r>
              <w:rPr>
                <w:w w:val="100"/>
                <w:sz w:val="21"/>
              </w:rPr>
              <w:t> </w:t>
            </w:r>
          </w:p>
        </w:tc>
      </w:tr>
      <w:tr>
        <w:trPr>
          <w:trHeight w:val="1871" w:hRule="atLeast"/>
        </w:trPr>
        <w:tc>
          <w:tcPr>
            <w:tcW w:w="2803" w:type="dxa"/>
          </w:tcPr>
          <w:p>
            <w:pPr>
              <w:pStyle w:val="TableParagraph"/>
              <w:spacing w:line="257" w:lineRule="exact"/>
              <w:ind w:left="1005"/>
              <w:rPr>
                <w:sz w:val="21"/>
              </w:rPr>
            </w:pPr>
            <w:r>
              <w:rPr>
                <w:sz w:val="21"/>
              </w:rPr>
              <w:t>8. 急性或亚急性</w:t>
            </w:r>
          </w:p>
          <w:p>
            <w:pPr>
              <w:pStyle w:val="TableParagraph"/>
              <w:spacing w:before="37"/>
              <w:ind w:left="1005"/>
              <w:rPr>
                <w:sz w:val="21"/>
              </w:rPr>
            </w:pPr>
            <w:r>
              <w:rPr>
                <w:sz w:val="21"/>
              </w:rPr>
              <w:t>重症肝炎 </w:t>
            </w:r>
          </w:p>
        </w:tc>
        <w:tc>
          <w:tcPr>
            <w:tcW w:w="7721" w:type="dxa"/>
          </w:tcPr>
          <w:p>
            <w:pPr>
              <w:pStyle w:val="TableParagraph"/>
              <w:spacing w:line="257" w:lineRule="exact"/>
              <w:ind w:left="55"/>
              <w:rPr>
                <w:sz w:val="21"/>
              </w:rPr>
            </w:pPr>
            <w:r>
              <w:rPr>
                <w:sz w:val="21"/>
              </w:rPr>
              <w:t>指因肝炎病毒感染引起肝脏组织弥漫性坏死，导致急性肝功能衰竭，且经血清</w:t>
            </w:r>
          </w:p>
          <w:p>
            <w:pPr>
              <w:pStyle w:val="TableParagraph"/>
              <w:spacing w:before="37"/>
              <w:ind w:left="55"/>
              <w:rPr>
                <w:sz w:val="21"/>
              </w:rPr>
            </w:pPr>
            <w:r>
              <w:rPr>
                <w:sz w:val="21"/>
              </w:rPr>
              <w:t>学或病毒学检查证实，并须满足下列全部条件：  </w:t>
            </w:r>
          </w:p>
          <w:p>
            <w:pPr>
              <w:pStyle w:val="TableParagraph"/>
              <w:spacing w:before="37"/>
              <w:ind w:left="55"/>
              <w:rPr>
                <w:sz w:val="21"/>
              </w:rPr>
            </w:pPr>
            <w:r>
              <w:rPr>
                <w:sz w:val="21"/>
              </w:rPr>
              <w:t>（1）重度黄疸或黄疸迅速加重；  </w:t>
            </w:r>
          </w:p>
          <w:p>
            <w:pPr>
              <w:pStyle w:val="TableParagraph"/>
              <w:spacing w:before="37"/>
              <w:ind w:left="55"/>
              <w:rPr>
                <w:sz w:val="21"/>
              </w:rPr>
            </w:pPr>
            <w:r>
              <w:rPr>
                <w:sz w:val="21"/>
              </w:rPr>
              <w:t>（2）肝性脑病；  </w:t>
            </w:r>
          </w:p>
          <w:p>
            <w:pPr>
              <w:pStyle w:val="TableParagraph"/>
              <w:spacing w:before="37"/>
              <w:ind w:left="55"/>
              <w:rPr>
                <w:sz w:val="21"/>
              </w:rPr>
            </w:pPr>
            <w:r>
              <w:rPr>
                <w:sz w:val="21"/>
              </w:rPr>
              <w:t>（3）B超或其它影像学检查显示肝脏体积急速萎缩；  </w:t>
            </w:r>
          </w:p>
          <w:p>
            <w:pPr>
              <w:pStyle w:val="TableParagraph"/>
              <w:spacing w:before="37"/>
              <w:ind w:left="55"/>
              <w:rPr>
                <w:sz w:val="21"/>
              </w:rPr>
            </w:pPr>
            <w:r>
              <w:rPr>
                <w:sz w:val="21"/>
              </w:rPr>
              <w:t>（4）肝功能指标进行性恶化。 </w:t>
            </w:r>
          </w:p>
        </w:tc>
      </w:tr>
      <w:tr>
        <w:trPr>
          <w:trHeight w:val="312" w:hRule="atLeast"/>
        </w:trPr>
        <w:tc>
          <w:tcPr>
            <w:tcW w:w="2803" w:type="dxa"/>
          </w:tcPr>
          <w:p>
            <w:pPr>
              <w:pStyle w:val="TableParagraph"/>
              <w:spacing w:line="257" w:lineRule="exact"/>
              <w:ind w:left="1005"/>
              <w:rPr>
                <w:sz w:val="21"/>
              </w:rPr>
            </w:pPr>
            <w:r>
              <w:rPr>
                <w:w w:val="100"/>
                <w:sz w:val="21"/>
              </w:rPr>
              <w:t> </w:t>
            </w:r>
          </w:p>
        </w:tc>
        <w:tc>
          <w:tcPr>
            <w:tcW w:w="7721" w:type="dxa"/>
          </w:tcPr>
          <w:p>
            <w:pPr>
              <w:pStyle w:val="TableParagraph"/>
              <w:spacing w:line="257" w:lineRule="exact"/>
              <w:ind w:left="55"/>
              <w:rPr>
                <w:sz w:val="21"/>
              </w:rPr>
            </w:pPr>
            <w:r>
              <w:rPr>
                <w:w w:val="100"/>
                <w:sz w:val="21"/>
              </w:rPr>
              <w:t> </w:t>
            </w:r>
          </w:p>
        </w:tc>
      </w:tr>
      <w:tr>
        <w:trPr>
          <w:trHeight w:val="2189" w:hRule="atLeast"/>
        </w:trPr>
        <w:tc>
          <w:tcPr>
            <w:tcW w:w="2803" w:type="dxa"/>
          </w:tcPr>
          <w:p>
            <w:pPr>
              <w:pStyle w:val="TableParagraph"/>
              <w:spacing w:line="258" w:lineRule="exact"/>
              <w:ind w:left="1005"/>
              <w:rPr>
                <w:sz w:val="21"/>
              </w:rPr>
            </w:pPr>
            <w:r>
              <w:rPr>
                <w:sz w:val="21"/>
              </w:rPr>
              <w:t>9. 良性脑肿瘤 </w:t>
            </w:r>
          </w:p>
        </w:tc>
        <w:tc>
          <w:tcPr>
            <w:tcW w:w="7721" w:type="dxa"/>
          </w:tcPr>
          <w:p>
            <w:pPr>
              <w:pStyle w:val="TableParagraph"/>
              <w:spacing w:line="258" w:lineRule="exact"/>
              <w:ind w:left="55"/>
              <w:rPr>
                <w:sz w:val="21"/>
              </w:rPr>
            </w:pPr>
            <w:r>
              <w:rPr>
                <w:sz w:val="21"/>
              </w:rPr>
              <w:t>指脑的良性肿瘤，已经引起颅内压增高，临床表现为视神经乳头水肿、精神症</w:t>
            </w:r>
          </w:p>
          <w:p>
            <w:pPr>
              <w:pStyle w:val="TableParagraph"/>
              <w:spacing w:line="273" w:lineRule="auto" w:before="37"/>
              <w:ind w:left="55" w:right="616"/>
              <w:jc w:val="both"/>
              <w:rPr>
                <w:sz w:val="21"/>
              </w:rPr>
            </w:pPr>
            <w:r>
              <w:rPr>
                <w:spacing w:val="-8"/>
                <w:sz w:val="21"/>
              </w:rPr>
              <w:t>状、癫痫及运动感觉障碍等，并危及生命。须由头颅断层扫描</w:t>
            </w:r>
            <w:r>
              <w:rPr>
                <w:spacing w:val="-5"/>
                <w:sz w:val="21"/>
              </w:rPr>
              <w:t>（CT）</w:t>
            </w:r>
            <w:r>
              <w:rPr>
                <w:spacing w:val="-6"/>
                <w:sz w:val="21"/>
              </w:rPr>
              <w:t>、核磁共</w:t>
            </w:r>
            <w:r>
              <w:rPr>
                <w:spacing w:val="-12"/>
                <w:sz w:val="21"/>
              </w:rPr>
              <w:t>振检查</w:t>
            </w:r>
            <w:r>
              <w:rPr>
                <w:spacing w:val="-6"/>
                <w:sz w:val="21"/>
              </w:rPr>
              <w:t>（MRI）</w:t>
            </w:r>
            <w:r>
              <w:rPr>
                <w:spacing w:val="-5"/>
                <w:sz w:val="21"/>
              </w:rPr>
              <w:t>或正电子发射断层扫描</w:t>
            </w:r>
            <w:r>
              <w:rPr>
                <w:spacing w:val="-6"/>
                <w:sz w:val="21"/>
              </w:rPr>
              <w:t>（PET）</w:t>
            </w:r>
            <w:r>
              <w:rPr>
                <w:spacing w:val="-5"/>
                <w:sz w:val="21"/>
              </w:rPr>
              <w:t>等影像学检查证实，并须满足下</w:t>
            </w:r>
            <w:r>
              <w:rPr>
                <w:spacing w:val="-4"/>
                <w:sz w:val="21"/>
              </w:rPr>
              <w:t>列至少一项条件：</w:t>
            </w:r>
            <w:r>
              <w:rPr>
                <w:spacing w:val="-3"/>
                <w:sz w:val="21"/>
              </w:rPr>
              <w:t> </w:t>
            </w:r>
            <w:r>
              <w:rPr>
                <w:sz w:val="21"/>
              </w:rPr>
              <w:t> </w:t>
            </w:r>
          </w:p>
          <w:p>
            <w:pPr>
              <w:pStyle w:val="TableParagraph"/>
              <w:spacing w:before="7"/>
              <w:ind w:left="55"/>
              <w:jc w:val="both"/>
              <w:rPr>
                <w:sz w:val="21"/>
              </w:rPr>
            </w:pPr>
            <w:r>
              <w:rPr>
                <w:sz w:val="21"/>
              </w:rPr>
              <w:t>（1）实际实施了开颅进行的脑肿瘤完全切除或部分切除的手术；  </w:t>
            </w:r>
          </w:p>
          <w:p>
            <w:pPr>
              <w:pStyle w:val="TableParagraph"/>
              <w:spacing w:before="36"/>
              <w:ind w:left="55"/>
              <w:jc w:val="both"/>
              <w:rPr>
                <w:sz w:val="21"/>
              </w:rPr>
            </w:pPr>
            <w:r>
              <w:rPr>
                <w:sz w:val="21"/>
              </w:rPr>
              <w:t>（2）实际实施了对脑肿瘤进行的放射治疗。  </w:t>
            </w:r>
          </w:p>
          <w:p>
            <w:pPr>
              <w:pStyle w:val="TableParagraph"/>
              <w:spacing w:before="9"/>
              <w:ind w:left="55"/>
              <w:jc w:val="both"/>
              <w:rPr>
                <w:sz w:val="21"/>
              </w:rPr>
            </w:pPr>
            <w:r>
              <w:rPr>
                <w:rFonts w:ascii="黑体" w:eastAsia="黑体" w:hint="eastAsia"/>
                <w:b/>
                <w:w w:val="95"/>
                <w:sz w:val="24"/>
              </w:rPr>
              <w:t>脑垂体瘤、脑囊肿、脑血管性疾病不在保障范围内。</w:t>
            </w:r>
            <w:r>
              <w:rPr>
                <w:w w:val="100"/>
                <w:sz w:val="21"/>
              </w:rPr>
              <w:t> </w:t>
            </w:r>
          </w:p>
        </w:tc>
      </w:tr>
      <w:tr>
        <w:trPr>
          <w:trHeight w:val="306" w:hRule="atLeast"/>
        </w:trPr>
        <w:tc>
          <w:tcPr>
            <w:tcW w:w="2803" w:type="dxa"/>
          </w:tcPr>
          <w:p>
            <w:pPr>
              <w:pStyle w:val="TableParagraph"/>
              <w:spacing w:line="252" w:lineRule="exact"/>
              <w:ind w:left="1005"/>
              <w:rPr>
                <w:sz w:val="21"/>
              </w:rPr>
            </w:pPr>
            <w:r>
              <w:rPr>
                <w:w w:val="100"/>
                <w:sz w:val="21"/>
              </w:rPr>
              <w:t> </w:t>
            </w:r>
          </w:p>
        </w:tc>
        <w:tc>
          <w:tcPr>
            <w:tcW w:w="7721" w:type="dxa"/>
          </w:tcPr>
          <w:p>
            <w:pPr>
              <w:pStyle w:val="TableParagraph"/>
              <w:spacing w:line="252" w:lineRule="exact"/>
              <w:ind w:left="55"/>
              <w:rPr>
                <w:sz w:val="21"/>
              </w:rPr>
            </w:pPr>
            <w:r>
              <w:rPr>
                <w:w w:val="100"/>
                <w:sz w:val="21"/>
              </w:rPr>
              <w:t> </w:t>
            </w:r>
          </w:p>
        </w:tc>
      </w:tr>
      <w:tr>
        <w:trPr>
          <w:trHeight w:val="1877" w:hRule="atLeast"/>
        </w:trPr>
        <w:tc>
          <w:tcPr>
            <w:tcW w:w="2803" w:type="dxa"/>
          </w:tcPr>
          <w:p>
            <w:pPr>
              <w:pStyle w:val="TableParagraph"/>
              <w:spacing w:line="257" w:lineRule="exact"/>
              <w:ind w:left="1005"/>
              <w:rPr>
                <w:sz w:val="21"/>
              </w:rPr>
            </w:pPr>
            <w:r>
              <w:rPr>
                <w:sz w:val="21"/>
              </w:rPr>
              <w:t>10. 慢性肝功能</w:t>
            </w:r>
          </w:p>
          <w:p>
            <w:pPr>
              <w:pStyle w:val="TableParagraph"/>
              <w:spacing w:before="37"/>
              <w:ind w:left="1005"/>
              <w:rPr>
                <w:sz w:val="21"/>
              </w:rPr>
            </w:pPr>
            <w:r>
              <w:rPr>
                <w:sz w:val="21"/>
              </w:rPr>
              <w:t>衰竭失代偿期 </w:t>
            </w:r>
          </w:p>
        </w:tc>
        <w:tc>
          <w:tcPr>
            <w:tcW w:w="7721" w:type="dxa"/>
          </w:tcPr>
          <w:p>
            <w:pPr>
              <w:pStyle w:val="TableParagraph"/>
              <w:spacing w:line="257" w:lineRule="exact"/>
              <w:ind w:left="55"/>
              <w:rPr>
                <w:sz w:val="21"/>
              </w:rPr>
            </w:pPr>
            <w:r>
              <w:rPr>
                <w:sz w:val="21"/>
              </w:rPr>
              <w:t>指因慢性肝脏疾病导致肝功能衰竭。须满足下列全部条件：  </w:t>
            </w:r>
          </w:p>
          <w:p>
            <w:pPr>
              <w:pStyle w:val="TableParagraph"/>
              <w:spacing w:before="37"/>
              <w:ind w:left="55"/>
              <w:rPr>
                <w:sz w:val="21"/>
              </w:rPr>
            </w:pPr>
            <w:r>
              <w:rPr>
                <w:sz w:val="21"/>
              </w:rPr>
              <w:t>（1）持续性黄疸；  </w:t>
            </w:r>
          </w:p>
          <w:p>
            <w:pPr>
              <w:pStyle w:val="TableParagraph"/>
              <w:spacing w:before="37"/>
              <w:ind w:left="55"/>
              <w:rPr>
                <w:sz w:val="21"/>
              </w:rPr>
            </w:pPr>
            <w:r>
              <w:rPr>
                <w:sz w:val="21"/>
              </w:rPr>
              <w:t>（2）腹水；  </w:t>
            </w:r>
          </w:p>
          <w:p>
            <w:pPr>
              <w:pStyle w:val="TableParagraph"/>
              <w:spacing w:before="37"/>
              <w:ind w:left="55"/>
              <w:rPr>
                <w:sz w:val="21"/>
              </w:rPr>
            </w:pPr>
            <w:r>
              <w:rPr>
                <w:sz w:val="21"/>
              </w:rPr>
              <w:t>（3）肝性脑病；  </w:t>
            </w:r>
          </w:p>
          <w:p>
            <w:pPr>
              <w:pStyle w:val="TableParagraph"/>
              <w:spacing w:before="37"/>
              <w:ind w:left="55"/>
              <w:rPr>
                <w:sz w:val="21"/>
              </w:rPr>
            </w:pPr>
            <w:r>
              <w:rPr>
                <w:sz w:val="21"/>
              </w:rPr>
              <w:t>（4）充血性脾肿大伴脾功能亢进或食管胃底静脉曲张。  </w:t>
            </w:r>
          </w:p>
          <w:p>
            <w:pPr>
              <w:pStyle w:val="TableParagraph"/>
              <w:spacing w:before="9"/>
              <w:ind w:left="55"/>
              <w:rPr>
                <w:sz w:val="24"/>
              </w:rPr>
            </w:pPr>
            <w:r>
              <w:rPr>
                <w:rFonts w:ascii="黑体" w:eastAsia="黑体" w:hint="eastAsia"/>
                <w:b/>
                <w:w w:val="95"/>
                <w:sz w:val="24"/>
              </w:rPr>
              <w:t>因酗酒或药物滥用导致的肝功能衰竭不在保障范围内。</w:t>
            </w:r>
            <w:r>
              <w:rPr>
                <w:sz w:val="24"/>
              </w:rPr>
              <w:t> </w:t>
            </w:r>
          </w:p>
        </w:tc>
      </w:tr>
      <w:tr>
        <w:trPr>
          <w:trHeight w:val="306" w:hRule="atLeast"/>
        </w:trPr>
        <w:tc>
          <w:tcPr>
            <w:tcW w:w="2803" w:type="dxa"/>
          </w:tcPr>
          <w:p>
            <w:pPr>
              <w:pStyle w:val="TableParagraph"/>
              <w:spacing w:line="252" w:lineRule="exact"/>
              <w:ind w:left="1005"/>
              <w:rPr>
                <w:sz w:val="21"/>
              </w:rPr>
            </w:pPr>
            <w:r>
              <w:rPr>
                <w:w w:val="100"/>
                <w:sz w:val="21"/>
              </w:rPr>
              <w:t> </w:t>
            </w:r>
          </w:p>
        </w:tc>
        <w:tc>
          <w:tcPr>
            <w:tcW w:w="7721" w:type="dxa"/>
          </w:tcPr>
          <w:p>
            <w:pPr>
              <w:pStyle w:val="TableParagraph"/>
              <w:spacing w:line="252" w:lineRule="exact"/>
              <w:ind w:left="55"/>
              <w:rPr>
                <w:sz w:val="21"/>
              </w:rPr>
            </w:pPr>
            <w:r>
              <w:rPr>
                <w:w w:val="100"/>
                <w:sz w:val="21"/>
              </w:rPr>
              <w:t> </w:t>
            </w:r>
          </w:p>
        </w:tc>
      </w:tr>
      <w:tr>
        <w:trPr>
          <w:trHeight w:val="1871" w:hRule="atLeast"/>
        </w:trPr>
        <w:tc>
          <w:tcPr>
            <w:tcW w:w="2803" w:type="dxa"/>
          </w:tcPr>
          <w:p>
            <w:pPr>
              <w:pStyle w:val="TableParagraph"/>
              <w:spacing w:line="257" w:lineRule="exact"/>
              <w:ind w:left="1005"/>
              <w:rPr>
                <w:sz w:val="21"/>
              </w:rPr>
            </w:pPr>
            <w:r>
              <w:rPr>
                <w:sz w:val="21"/>
              </w:rPr>
              <w:t>11. 脑炎后遗症</w:t>
            </w:r>
          </w:p>
          <w:p>
            <w:pPr>
              <w:pStyle w:val="TableParagraph"/>
              <w:spacing w:before="37"/>
              <w:ind w:left="1005"/>
              <w:rPr>
                <w:sz w:val="21"/>
              </w:rPr>
            </w:pPr>
            <w:r>
              <w:rPr>
                <w:sz w:val="21"/>
              </w:rPr>
              <w:t>或脑膜炎后遗症 </w:t>
            </w:r>
          </w:p>
        </w:tc>
        <w:tc>
          <w:tcPr>
            <w:tcW w:w="7721" w:type="dxa"/>
          </w:tcPr>
          <w:p>
            <w:pPr>
              <w:pStyle w:val="TableParagraph"/>
              <w:spacing w:line="257" w:lineRule="exact"/>
              <w:ind w:left="55"/>
              <w:rPr>
                <w:sz w:val="21"/>
              </w:rPr>
            </w:pPr>
            <w:r>
              <w:rPr>
                <w:sz w:val="21"/>
              </w:rPr>
              <w:t>指因患脑炎或脑膜炎导致的神经系统永久性的功能障碍。神经系统永久性的功</w:t>
            </w:r>
          </w:p>
          <w:p>
            <w:pPr>
              <w:pStyle w:val="TableParagraph"/>
              <w:spacing w:before="37"/>
              <w:ind w:left="55"/>
              <w:rPr>
                <w:sz w:val="21"/>
              </w:rPr>
            </w:pPr>
            <w:r>
              <w:rPr>
                <w:sz w:val="21"/>
              </w:rPr>
              <w:t>能障碍，指疾病确诊180天后，仍遗留下列一种或一种以上障碍：  </w:t>
            </w:r>
          </w:p>
          <w:p>
            <w:pPr>
              <w:pStyle w:val="TableParagraph"/>
              <w:spacing w:before="37"/>
              <w:ind w:left="55"/>
              <w:rPr>
                <w:sz w:val="21"/>
              </w:rPr>
            </w:pPr>
            <w:r>
              <w:rPr>
                <w:sz w:val="21"/>
              </w:rPr>
              <w:t>（1）一肢或一肢以上肢体机能完全丧失；  </w:t>
            </w:r>
          </w:p>
          <w:p>
            <w:pPr>
              <w:pStyle w:val="TableParagraph"/>
              <w:spacing w:before="37"/>
              <w:ind w:left="55"/>
              <w:rPr>
                <w:sz w:val="21"/>
              </w:rPr>
            </w:pPr>
            <w:r>
              <w:rPr>
                <w:sz w:val="21"/>
              </w:rPr>
              <w:t>（2）语言能力或咀嚼吞咽能力完全丧失；  </w:t>
            </w:r>
          </w:p>
          <w:p>
            <w:pPr>
              <w:pStyle w:val="TableParagraph"/>
              <w:spacing w:line="273" w:lineRule="auto" w:before="37"/>
              <w:ind w:left="55" w:right="613"/>
              <w:rPr>
                <w:sz w:val="21"/>
              </w:rPr>
            </w:pPr>
            <w:r>
              <w:rPr>
                <w:sz w:val="21"/>
              </w:rPr>
              <w:t>（3）自主生活能力完全丧失，无法独立完成六项基本日常生活活动中的三项或三项以上。 </w:t>
            </w:r>
          </w:p>
        </w:tc>
      </w:tr>
      <w:tr>
        <w:trPr>
          <w:trHeight w:val="261" w:hRule="atLeast"/>
        </w:trPr>
        <w:tc>
          <w:tcPr>
            <w:tcW w:w="2803" w:type="dxa"/>
          </w:tcPr>
          <w:p>
            <w:pPr>
              <w:pStyle w:val="TableParagraph"/>
              <w:spacing w:line="242" w:lineRule="exact"/>
              <w:ind w:left="1005"/>
              <w:rPr>
                <w:sz w:val="21"/>
              </w:rPr>
            </w:pPr>
            <w:r>
              <w:rPr>
                <w:w w:val="100"/>
                <w:sz w:val="21"/>
              </w:rPr>
              <w:t> </w:t>
            </w:r>
          </w:p>
        </w:tc>
        <w:tc>
          <w:tcPr>
            <w:tcW w:w="7721" w:type="dxa"/>
          </w:tcPr>
          <w:p>
            <w:pPr>
              <w:pStyle w:val="TableParagraph"/>
              <w:spacing w:line="242" w:lineRule="exact"/>
              <w:ind w:left="55"/>
              <w:rPr>
                <w:sz w:val="21"/>
              </w:rPr>
            </w:pPr>
            <w:r>
              <w:rPr>
                <w:w w:val="100"/>
                <w:sz w:val="21"/>
              </w:rPr>
              <w:t> </w:t>
            </w:r>
          </w:p>
        </w:tc>
      </w:tr>
    </w:tbl>
    <w:p>
      <w:pPr>
        <w:spacing w:after="0" w:line="242"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7"/>
        <w:gridCol w:w="7757"/>
      </w:tblGrid>
      <w:tr>
        <w:trPr>
          <w:trHeight w:val="1254" w:hRule="atLeast"/>
        </w:trPr>
        <w:tc>
          <w:tcPr>
            <w:tcW w:w="2767" w:type="dxa"/>
            <w:tcBorders>
              <w:top w:val="single" w:sz="6" w:space="0" w:color="000000"/>
            </w:tcBorders>
          </w:tcPr>
          <w:p>
            <w:pPr>
              <w:pStyle w:val="TableParagraph"/>
              <w:spacing w:line="258" w:lineRule="exact"/>
              <w:ind w:left="1005"/>
              <w:rPr>
                <w:sz w:val="21"/>
              </w:rPr>
            </w:pPr>
            <w:r>
              <w:rPr>
                <w:sz w:val="21"/>
              </w:rPr>
              <w:t>12. 深度昏迷 </w:t>
            </w:r>
          </w:p>
        </w:tc>
        <w:tc>
          <w:tcPr>
            <w:tcW w:w="7757" w:type="dxa"/>
            <w:tcBorders>
              <w:top w:val="single" w:sz="6" w:space="0" w:color="000000"/>
            </w:tcBorders>
          </w:tcPr>
          <w:p>
            <w:pPr>
              <w:pStyle w:val="TableParagraph"/>
              <w:spacing w:line="258" w:lineRule="exact"/>
              <w:ind w:left="91"/>
              <w:rPr>
                <w:sz w:val="21"/>
              </w:rPr>
            </w:pPr>
            <w:r>
              <w:rPr>
                <w:sz w:val="21"/>
              </w:rPr>
              <w:t>指因疾病或意外伤害导致意识丧失,对外界刺激和体内需求均无反应,昏迷程</w:t>
            </w:r>
          </w:p>
          <w:p>
            <w:pPr>
              <w:pStyle w:val="TableParagraph"/>
              <w:spacing w:line="273" w:lineRule="auto" w:before="37"/>
              <w:ind w:left="91" w:right="561"/>
              <w:rPr>
                <w:sz w:val="21"/>
              </w:rPr>
            </w:pPr>
            <w:r>
              <w:rPr>
                <w:spacing w:val="-3"/>
                <w:sz w:val="21"/>
              </w:rPr>
              <w:t>度按照格拉斯哥昏迷分级</w:t>
            </w:r>
            <w:r>
              <w:rPr>
                <w:sz w:val="21"/>
              </w:rPr>
              <w:t>（Glasgow coma scale）</w:t>
            </w:r>
            <w:r>
              <w:rPr>
                <w:spacing w:val="-2"/>
                <w:sz w:val="21"/>
              </w:rPr>
              <w:t>结果为</w:t>
            </w:r>
            <w:r>
              <w:rPr>
                <w:spacing w:val="-3"/>
                <w:sz w:val="21"/>
              </w:rPr>
              <w:t>5</w:t>
            </w:r>
            <w:r>
              <w:rPr>
                <w:sz w:val="21"/>
              </w:rPr>
              <w:t>分或</w:t>
            </w:r>
            <w:r>
              <w:rPr>
                <w:spacing w:val="-3"/>
                <w:sz w:val="21"/>
              </w:rPr>
              <w:t>5分以下，且已经持续使用呼吸机及其它生命维持系统</w:t>
            </w:r>
            <w:r>
              <w:rPr>
                <w:sz w:val="21"/>
              </w:rPr>
              <w:t>96</w:t>
            </w:r>
            <w:r>
              <w:rPr>
                <w:spacing w:val="-3"/>
                <w:sz w:val="21"/>
              </w:rPr>
              <w:t>小时以上。 </w:t>
            </w:r>
            <w:r>
              <w:rPr>
                <w:sz w:val="21"/>
              </w:rPr>
              <w:t> </w:t>
            </w:r>
          </w:p>
          <w:p>
            <w:pPr>
              <w:pStyle w:val="TableParagraph"/>
              <w:spacing w:line="294" w:lineRule="exact"/>
              <w:ind w:left="91"/>
              <w:rPr>
                <w:sz w:val="21"/>
              </w:rPr>
            </w:pPr>
            <w:r>
              <w:rPr>
                <w:rFonts w:ascii="黑体" w:eastAsia="黑体" w:hint="eastAsia"/>
                <w:b/>
                <w:w w:val="95"/>
                <w:sz w:val="24"/>
              </w:rPr>
              <w:t>因酗酒或药物滥用导致的深度昏迷不在保障范围内。</w:t>
            </w:r>
            <w:r>
              <w:rPr>
                <w:w w:val="100"/>
                <w:sz w:val="21"/>
              </w:rPr>
              <w:t> </w:t>
            </w:r>
          </w:p>
        </w:tc>
      </w:tr>
      <w:tr>
        <w:trPr>
          <w:trHeight w:val="306" w:hRule="atLeast"/>
        </w:trPr>
        <w:tc>
          <w:tcPr>
            <w:tcW w:w="2767" w:type="dxa"/>
          </w:tcPr>
          <w:p>
            <w:pPr>
              <w:pStyle w:val="TableParagraph"/>
              <w:spacing w:line="252" w:lineRule="exact"/>
              <w:ind w:left="1005"/>
              <w:rPr>
                <w:sz w:val="21"/>
              </w:rPr>
            </w:pPr>
            <w:r>
              <w:rPr>
                <w:w w:val="100"/>
                <w:sz w:val="21"/>
              </w:rPr>
              <w:t> </w:t>
            </w:r>
          </w:p>
        </w:tc>
        <w:tc>
          <w:tcPr>
            <w:tcW w:w="7757" w:type="dxa"/>
          </w:tcPr>
          <w:p>
            <w:pPr>
              <w:pStyle w:val="TableParagraph"/>
              <w:spacing w:line="252" w:lineRule="exact"/>
              <w:ind w:left="91"/>
              <w:rPr>
                <w:sz w:val="21"/>
              </w:rPr>
            </w:pPr>
            <w:r>
              <w:rPr>
                <w:w w:val="100"/>
                <w:sz w:val="21"/>
              </w:rPr>
              <w:t> </w:t>
            </w:r>
          </w:p>
        </w:tc>
      </w:tr>
      <w:tr>
        <w:trPr>
          <w:trHeight w:val="1248" w:hRule="atLeast"/>
        </w:trPr>
        <w:tc>
          <w:tcPr>
            <w:tcW w:w="2767" w:type="dxa"/>
          </w:tcPr>
          <w:p>
            <w:pPr>
              <w:pStyle w:val="TableParagraph"/>
              <w:spacing w:line="257" w:lineRule="exact"/>
              <w:ind w:left="1005"/>
              <w:rPr>
                <w:sz w:val="21"/>
              </w:rPr>
            </w:pPr>
            <w:r>
              <w:rPr>
                <w:sz w:val="21"/>
              </w:rPr>
              <w:t>13. 双耳失聪 </w:t>
            </w:r>
          </w:p>
        </w:tc>
        <w:tc>
          <w:tcPr>
            <w:tcW w:w="7757" w:type="dxa"/>
          </w:tcPr>
          <w:p>
            <w:pPr>
              <w:pStyle w:val="TableParagraph"/>
              <w:spacing w:line="257" w:lineRule="exact"/>
              <w:ind w:left="91"/>
              <w:rPr>
                <w:sz w:val="21"/>
              </w:rPr>
            </w:pPr>
            <w:r>
              <w:rPr>
                <w:sz w:val="21"/>
              </w:rPr>
              <w:t>指因疾病或意外伤害导致双耳听力</w:t>
            </w:r>
            <w:r>
              <w:rPr>
                <w:b/>
                <w:sz w:val="21"/>
              </w:rPr>
              <w:t>永久不可逆性</w:t>
            </w:r>
            <w:r>
              <w:rPr>
                <w:sz w:val="21"/>
              </w:rPr>
              <w:t>丧失，在500赫兹、1000赫兹</w:t>
            </w:r>
          </w:p>
          <w:p>
            <w:pPr>
              <w:pStyle w:val="TableParagraph"/>
              <w:spacing w:line="273" w:lineRule="auto" w:before="37"/>
              <w:ind w:left="91" w:right="621" w:hanging="1"/>
              <w:rPr>
                <w:sz w:val="21"/>
              </w:rPr>
            </w:pPr>
            <w:r>
              <w:rPr>
                <w:sz w:val="21"/>
              </w:rPr>
              <w:t>和2000</w:t>
            </w:r>
            <w:r>
              <w:rPr>
                <w:spacing w:val="-7"/>
                <w:sz w:val="21"/>
              </w:rPr>
              <w:t>赫兹语音频率下，平均听阈大于</w:t>
            </w:r>
            <w:r>
              <w:rPr>
                <w:sz w:val="21"/>
              </w:rPr>
              <w:t>90</w:t>
            </w:r>
            <w:r>
              <w:rPr>
                <w:spacing w:val="-10"/>
                <w:sz w:val="21"/>
              </w:rPr>
              <w:t>分贝，且经纯音听力测试、声导抗检</w:t>
            </w:r>
            <w:r>
              <w:rPr>
                <w:spacing w:val="-3"/>
                <w:sz w:val="21"/>
              </w:rPr>
              <w:t>测或听觉诱发电位检测等证实。</w:t>
            </w:r>
            <w:r>
              <w:rPr>
                <w:sz w:val="21"/>
              </w:rPr>
              <w:t> </w:t>
            </w:r>
          </w:p>
          <w:p>
            <w:pPr>
              <w:pStyle w:val="TableParagraph"/>
              <w:spacing w:before="7"/>
              <w:ind w:left="91"/>
              <w:rPr>
                <w:sz w:val="21"/>
              </w:rPr>
            </w:pPr>
            <w:r>
              <w:rPr>
                <w:sz w:val="21"/>
              </w:rPr>
              <w:t>我们仅向该重大疾病确诊时年满三周岁的被保险人给付“重大疾病保险金”。</w:t>
            </w:r>
          </w:p>
        </w:tc>
      </w:tr>
      <w:tr>
        <w:trPr>
          <w:trHeight w:val="311" w:hRule="atLeast"/>
        </w:trPr>
        <w:tc>
          <w:tcPr>
            <w:tcW w:w="2767" w:type="dxa"/>
          </w:tcPr>
          <w:p>
            <w:pPr>
              <w:pStyle w:val="TableParagraph"/>
              <w:spacing w:line="257" w:lineRule="exact"/>
              <w:ind w:left="1005"/>
              <w:rPr>
                <w:sz w:val="21"/>
              </w:rPr>
            </w:pPr>
            <w:r>
              <w:rPr>
                <w:w w:val="100"/>
                <w:sz w:val="21"/>
              </w:rPr>
              <w:t> </w:t>
            </w:r>
          </w:p>
        </w:tc>
        <w:tc>
          <w:tcPr>
            <w:tcW w:w="7757" w:type="dxa"/>
          </w:tcPr>
          <w:p>
            <w:pPr>
              <w:pStyle w:val="TableParagraph"/>
              <w:spacing w:line="257" w:lineRule="exact"/>
              <w:ind w:left="91"/>
              <w:rPr>
                <w:sz w:val="21"/>
              </w:rPr>
            </w:pPr>
            <w:r>
              <w:rPr>
                <w:w w:val="100"/>
                <w:sz w:val="21"/>
              </w:rPr>
              <w:t> </w:t>
            </w:r>
          </w:p>
        </w:tc>
      </w:tr>
      <w:tr>
        <w:trPr>
          <w:trHeight w:val="2183" w:hRule="atLeast"/>
        </w:trPr>
        <w:tc>
          <w:tcPr>
            <w:tcW w:w="2767" w:type="dxa"/>
          </w:tcPr>
          <w:p>
            <w:pPr>
              <w:pStyle w:val="TableParagraph"/>
              <w:spacing w:line="257" w:lineRule="exact"/>
              <w:ind w:left="1005"/>
              <w:rPr>
                <w:sz w:val="21"/>
              </w:rPr>
            </w:pPr>
            <w:r>
              <w:rPr>
                <w:sz w:val="21"/>
              </w:rPr>
              <w:t>14. 双目失明 </w:t>
            </w:r>
          </w:p>
        </w:tc>
        <w:tc>
          <w:tcPr>
            <w:tcW w:w="7757" w:type="dxa"/>
          </w:tcPr>
          <w:p>
            <w:pPr>
              <w:pStyle w:val="TableParagraph"/>
              <w:spacing w:line="257" w:lineRule="exact"/>
              <w:ind w:left="91"/>
              <w:rPr>
                <w:sz w:val="21"/>
              </w:rPr>
            </w:pPr>
            <w:r>
              <w:rPr>
                <w:sz w:val="21"/>
              </w:rPr>
              <w:t>指因疾病或意外伤害导致双眼视力永久不可逆性丧失，双眼中较好眼须满足下</w:t>
            </w:r>
          </w:p>
          <w:p>
            <w:pPr>
              <w:pStyle w:val="TableParagraph"/>
              <w:spacing w:before="37"/>
              <w:ind w:left="91"/>
              <w:rPr>
                <w:sz w:val="21"/>
              </w:rPr>
            </w:pPr>
            <w:r>
              <w:rPr>
                <w:sz w:val="21"/>
              </w:rPr>
              <w:t>列至少一项条件： </w:t>
            </w:r>
          </w:p>
          <w:p>
            <w:pPr>
              <w:pStyle w:val="TableParagraph"/>
              <w:spacing w:before="37"/>
              <w:ind w:left="91"/>
              <w:rPr>
                <w:sz w:val="21"/>
              </w:rPr>
            </w:pPr>
            <w:r>
              <w:rPr>
                <w:sz w:val="21"/>
              </w:rPr>
              <w:t>（1）眼球缺失或摘除；  </w:t>
            </w:r>
          </w:p>
          <w:p>
            <w:pPr>
              <w:pStyle w:val="TableParagraph"/>
              <w:spacing w:line="273" w:lineRule="auto" w:before="37"/>
              <w:ind w:left="91" w:right="613"/>
              <w:rPr>
                <w:sz w:val="21"/>
              </w:rPr>
            </w:pPr>
            <w:r>
              <w:rPr>
                <w:sz w:val="21"/>
              </w:rPr>
              <w:t>（2）矫正视力低于0.02（采用国际标准视力表，如果使用其它视力表应进行换算）；  </w:t>
            </w:r>
          </w:p>
          <w:p>
            <w:pPr>
              <w:pStyle w:val="TableParagraph"/>
              <w:spacing w:before="7"/>
              <w:ind w:left="91"/>
              <w:rPr>
                <w:sz w:val="21"/>
              </w:rPr>
            </w:pPr>
            <w:r>
              <w:rPr>
                <w:sz w:val="21"/>
              </w:rPr>
              <w:t>（3）视野半径小于 5 度。 </w:t>
            </w:r>
          </w:p>
          <w:p>
            <w:pPr>
              <w:pStyle w:val="TableParagraph"/>
              <w:spacing w:before="36"/>
              <w:ind w:left="91"/>
              <w:rPr>
                <w:sz w:val="21"/>
              </w:rPr>
            </w:pPr>
            <w:r>
              <w:rPr>
                <w:sz w:val="21"/>
              </w:rPr>
              <w:t>我们仅向该重大疾病确诊时年满三周岁的被保险人给付“重大疾病保险金”。 </w:t>
            </w:r>
          </w:p>
        </w:tc>
      </w:tr>
      <w:tr>
        <w:trPr>
          <w:trHeight w:val="311" w:hRule="atLeast"/>
        </w:trPr>
        <w:tc>
          <w:tcPr>
            <w:tcW w:w="2767" w:type="dxa"/>
          </w:tcPr>
          <w:p>
            <w:pPr>
              <w:pStyle w:val="TableParagraph"/>
              <w:spacing w:line="257" w:lineRule="exact"/>
              <w:ind w:left="1005"/>
              <w:rPr>
                <w:sz w:val="21"/>
              </w:rPr>
            </w:pPr>
            <w:r>
              <w:rPr>
                <w:w w:val="100"/>
                <w:sz w:val="21"/>
              </w:rPr>
              <w:t> </w:t>
            </w:r>
          </w:p>
        </w:tc>
        <w:tc>
          <w:tcPr>
            <w:tcW w:w="7757" w:type="dxa"/>
          </w:tcPr>
          <w:p>
            <w:pPr>
              <w:pStyle w:val="TableParagraph"/>
              <w:spacing w:line="257" w:lineRule="exact"/>
              <w:ind w:left="91"/>
              <w:rPr>
                <w:sz w:val="21"/>
              </w:rPr>
            </w:pPr>
            <w:r>
              <w:rPr>
                <w:w w:val="100"/>
                <w:sz w:val="21"/>
              </w:rPr>
              <w:t> </w:t>
            </w:r>
          </w:p>
        </w:tc>
      </w:tr>
      <w:tr>
        <w:trPr>
          <w:trHeight w:val="936" w:hRule="atLeast"/>
        </w:trPr>
        <w:tc>
          <w:tcPr>
            <w:tcW w:w="2767" w:type="dxa"/>
          </w:tcPr>
          <w:p>
            <w:pPr>
              <w:pStyle w:val="TableParagraph"/>
              <w:spacing w:line="257" w:lineRule="exact"/>
              <w:ind w:left="1005"/>
              <w:rPr>
                <w:sz w:val="21"/>
              </w:rPr>
            </w:pPr>
            <w:r>
              <w:rPr>
                <w:sz w:val="21"/>
              </w:rPr>
              <w:t>15. 瘫痪 </w:t>
            </w:r>
          </w:p>
        </w:tc>
        <w:tc>
          <w:tcPr>
            <w:tcW w:w="7757" w:type="dxa"/>
          </w:tcPr>
          <w:p>
            <w:pPr>
              <w:pStyle w:val="TableParagraph"/>
              <w:spacing w:line="258" w:lineRule="exact"/>
              <w:ind w:left="91"/>
              <w:rPr>
                <w:sz w:val="21"/>
              </w:rPr>
            </w:pPr>
            <w:r>
              <w:rPr>
                <w:sz w:val="21"/>
              </w:rPr>
              <w:t>指因疾病或意外伤害导致两肢或两肢以上肢体机能永久完全丧失。肢体机能永</w:t>
            </w:r>
          </w:p>
          <w:p>
            <w:pPr>
              <w:pStyle w:val="TableParagraph"/>
              <w:spacing w:line="273" w:lineRule="auto" w:before="37"/>
              <w:ind w:left="91" w:right="614" w:hanging="1"/>
              <w:rPr>
                <w:sz w:val="21"/>
              </w:rPr>
            </w:pPr>
            <w:r>
              <w:rPr>
                <w:spacing w:val="-9"/>
                <w:sz w:val="21"/>
              </w:rPr>
              <w:t>久完全丧失，指疾病确诊</w:t>
            </w:r>
            <w:r>
              <w:rPr>
                <w:sz w:val="21"/>
              </w:rPr>
              <w:t>180</w:t>
            </w:r>
            <w:r>
              <w:rPr>
                <w:spacing w:val="-3"/>
                <w:sz w:val="21"/>
              </w:rPr>
              <w:t>天后或意外伤害发生</w:t>
            </w:r>
            <w:r>
              <w:rPr>
                <w:sz w:val="21"/>
              </w:rPr>
              <w:t>180</w:t>
            </w:r>
            <w:r>
              <w:rPr>
                <w:spacing w:val="-8"/>
                <w:sz w:val="21"/>
              </w:rPr>
              <w:t>天后，每肢三大关节中的</w:t>
            </w:r>
            <w:r>
              <w:rPr>
                <w:spacing w:val="-5"/>
                <w:sz w:val="21"/>
              </w:rPr>
              <w:t>两大关节仍然完全僵硬，或不能随意识活动。</w:t>
            </w:r>
            <w:r>
              <w:rPr>
                <w:sz w:val="21"/>
              </w:rPr>
              <w:t> </w:t>
            </w:r>
          </w:p>
        </w:tc>
      </w:tr>
      <w:tr>
        <w:trPr>
          <w:trHeight w:val="299" w:hRule="atLeast"/>
        </w:trPr>
        <w:tc>
          <w:tcPr>
            <w:tcW w:w="2767" w:type="dxa"/>
          </w:tcPr>
          <w:p>
            <w:pPr>
              <w:pStyle w:val="TableParagraph"/>
              <w:spacing w:line="257" w:lineRule="exact"/>
              <w:ind w:left="1005"/>
              <w:rPr>
                <w:sz w:val="21"/>
              </w:rPr>
            </w:pPr>
            <w:r>
              <w:rPr>
                <w:w w:val="100"/>
                <w:sz w:val="21"/>
              </w:rPr>
              <w:t> </w:t>
            </w:r>
          </w:p>
        </w:tc>
        <w:tc>
          <w:tcPr>
            <w:tcW w:w="7757" w:type="dxa"/>
          </w:tcPr>
          <w:p>
            <w:pPr>
              <w:pStyle w:val="TableParagraph"/>
              <w:spacing w:line="257" w:lineRule="exact"/>
              <w:ind w:left="91"/>
              <w:rPr>
                <w:sz w:val="21"/>
              </w:rPr>
            </w:pPr>
            <w:r>
              <w:rPr>
                <w:w w:val="100"/>
                <w:sz w:val="21"/>
              </w:rPr>
              <w:t> </w:t>
            </w:r>
          </w:p>
        </w:tc>
      </w:tr>
      <w:tr>
        <w:trPr>
          <w:trHeight w:val="636" w:hRule="atLeast"/>
        </w:trPr>
        <w:tc>
          <w:tcPr>
            <w:tcW w:w="2767" w:type="dxa"/>
          </w:tcPr>
          <w:p>
            <w:pPr>
              <w:pStyle w:val="TableParagraph"/>
              <w:spacing w:line="273" w:lineRule="auto"/>
              <w:ind w:left="1005" w:right="88"/>
              <w:rPr>
                <w:sz w:val="21"/>
              </w:rPr>
            </w:pPr>
            <w:r>
              <w:rPr>
                <w:sz w:val="21"/>
              </w:rPr>
              <w:t>16. 心脏瓣膜手术 </w:t>
            </w:r>
          </w:p>
        </w:tc>
        <w:tc>
          <w:tcPr>
            <w:tcW w:w="7757" w:type="dxa"/>
          </w:tcPr>
          <w:p>
            <w:pPr>
              <w:pStyle w:val="TableParagraph"/>
              <w:spacing w:line="270" w:lineRule="exact"/>
              <w:ind w:left="91"/>
              <w:rPr>
                <w:sz w:val="24"/>
              </w:rPr>
            </w:pPr>
            <w:r>
              <w:rPr>
                <w:sz w:val="21"/>
              </w:rPr>
              <w:t>指为治疗心脏瓣膜疾病，实际实施了开胸进行的心脏瓣膜置换或修复的手术。</w:t>
            </w:r>
            <w:r>
              <w:rPr>
                <w:sz w:val="24"/>
              </w:rPr>
              <w:t> </w:t>
            </w:r>
          </w:p>
        </w:tc>
      </w:tr>
      <w:tr>
        <w:trPr>
          <w:trHeight w:val="312" w:hRule="atLeast"/>
        </w:trPr>
        <w:tc>
          <w:tcPr>
            <w:tcW w:w="2767" w:type="dxa"/>
          </w:tcPr>
          <w:p>
            <w:pPr>
              <w:pStyle w:val="TableParagraph"/>
              <w:spacing w:line="257" w:lineRule="exact"/>
              <w:ind w:left="1005"/>
              <w:rPr>
                <w:sz w:val="21"/>
              </w:rPr>
            </w:pPr>
            <w:r>
              <w:rPr>
                <w:w w:val="100"/>
                <w:sz w:val="21"/>
              </w:rPr>
              <w:t> </w:t>
            </w:r>
          </w:p>
        </w:tc>
        <w:tc>
          <w:tcPr>
            <w:tcW w:w="7757" w:type="dxa"/>
          </w:tcPr>
          <w:p>
            <w:pPr>
              <w:pStyle w:val="TableParagraph"/>
              <w:spacing w:line="257" w:lineRule="exact"/>
              <w:ind w:left="91"/>
              <w:rPr>
                <w:sz w:val="21"/>
              </w:rPr>
            </w:pPr>
            <w:r>
              <w:rPr>
                <w:w w:val="100"/>
                <w:sz w:val="21"/>
              </w:rPr>
              <w:t> </w:t>
            </w:r>
          </w:p>
        </w:tc>
      </w:tr>
      <w:tr>
        <w:trPr>
          <w:trHeight w:val="1877" w:hRule="atLeast"/>
        </w:trPr>
        <w:tc>
          <w:tcPr>
            <w:tcW w:w="2767" w:type="dxa"/>
          </w:tcPr>
          <w:p>
            <w:pPr>
              <w:pStyle w:val="TableParagraph"/>
              <w:spacing w:line="257" w:lineRule="exact"/>
              <w:ind w:left="1005"/>
              <w:rPr>
                <w:sz w:val="21"/>
              </w:rPr>
            </w:pPr>
            <w:r>
              <w:rPr>
                <w:sz w:val="21"/>
              </w:rPr>
              <w:t>17. 严重阿尔茨</w:t>
            </w:r>
          </w:p>
          <w:p>
            <w:pPr>
              <w:pStyle w:val="TableParagraph"/>
              <w:spacing w:before="37"/>
              <w:ind w:left="1039" w:right="1056"/>
              <w:jc w:val="center"/>
              <w:rPr>
                <w:sz w:val="21"/>
              </w:rPr>
            </w:pPr>
            <w:r>
              <w:rPr>
                <w:sz w:val="21"/>
              </w:rPr>
              <w:t>海默病 </w:t>
            </w:r>
          </w:p>
        </w:tc>
        <w:tc>
          <w:tcPr>
            <w:tcW w:w="7757" w:type="dxa"/>
          </w:tcPr>
          <w:p>
            <w:pPr>
              <w:pStyle w:val="TableParagraph"/>
              <w:spacing w:line="257" w:lineRule="exact"/>
              <w:ind w:left="91"/>
              <w:rPr>
                <w:sz w:val="21"/>
              </w:rPr>
            </w:pPr>
            <w:r>
              <w:rPr>
                <w:sz w:val="21"/>
              </w:rPr>
              <w:t>指因大脑进行性、不可逆性改变导致智能严重衰退或丧失，临床表现为明显的</w:t>
            </w:r>
          </w:p>
          <w:p>
            <w:pPr>
              <w:pStyle w:val="TableParagraph"/>
              <w:spacing w:line="273" w:lineRule="auto" w:before="37"/>
              <w:ind w:left="91" w:right="509"/>
              <w:rPr>
                <w:sz w:val="21"/>
              </w:rPr>
            </w:pPr>
            <w:r>
              <w:rPr>
                <w:spacing w:val="-17"/>
                <w:sz w:val="21"/>
              </w:rPr>
              <w:t>认知能力障碍、行为异常和社交能力减退，其日常生活必须持续受到他人监护。</w:t>
            </w:r>
            <w:r>
              <w:rPr>
                <w:spacing w:val="-12"/>
                <w:sz w:val="21"/>
              </w:rPr>
              <w:t>须由头颅断层扫描</w:t>
            </w:r>
            <w:r>
              <w:rPr>
                <w:spacing w:val="-10"/>
                <w:sz w:val="21"/>
              </w:rPr>
              <w:t>（CT）</w:t>
            </w:r>
            <w:r>
              <w:rPr>
                <w:spacing w:val="-12"/>
                <w:sz w:val="21"/>
              </w:rPr>
              <w:t>、核磁共振检查</w:t>
            </w:r>
            <w:r>
              <w:rPr>
                <w:spacing w:val="-8"/>
                <w:sz w:val="21"/>
              </w:rPr>
              <w:t>（MRI）</w:t>
            </w:r>
            <w:r>
              <w:rPr>
                <w:spacing w:val="-7"/>
                <w:sz w:val="21"/>
              </w:rPr>
              <w:t>或正电子发射断层扫描</w:t>
            </w:r>
            <w:r>
              <w:rPr>
                <w:sz w:val="21"/>
              </w:rPr>
              <w:t>（PET） </w:t>
            </w:r>
            <w:r>
              <w:rPr>
                <w:spacing w:val="-11"/>
                <w:sz w:val="21"/>
              </w:rPr>
              <w:t>等影像学检查证实，且自主生活能力完全丧失，无法独立完成六项基本日常生</w:t>
            </w:r>
            <w:r>
              <w:rPr>
                <w:spacing w:val="-6"/>
                <w:sz w:val="21"/>
              </w:rPr>
              <w:t>活活动中的三项或三项以上。</w:t>
            </w:r>
            <w:r>
              <w:rPr>
                <w:spacing w:val="-3"/>
                <w:sz w:val="21"/>
              </w:rPr>
              <w:t> </w:t>
            </w:r>
            <w:r>
              <w:rPr>
                <w:sz w:val="21"/>
              </w:rPr>
              <w:t> </w:t>
            </w:r>
          </w:p>
          <w:p>
            <w:pPr>
              <w:pStyle w:val="TableParagraph"/>
              <w:spacing w:line="294" w:lineRule="exact"/>
              <w:ind w:left="91"/>
              <w:rPr>
                <w:sz w:val="24"/>
              </w:rPr>
            </w:pPr>
            <w:r>
              <w:rPr>
                <w:rFonts w:ascii="黑体" w:eastAsia="黑体" w:hint="eastAsia"/>
                <w:b/>
                <w:w w:val="95"/>
                <w:sz w:val="24"/>
              </w:rPr>
              <w:t>神经官能症和精神疾病不在保障范围内。</w:t>
            </w:r>
            <w:r>
              <w:rPr>
                <w:sz w:val="24"/>
              </w:rPr>
              <w:t> </w:t>
            </w:r>
          </w:p>
        </w:tc>
      </w:tr>
      <w:tr>
        <w:trPr>
          <w:trHeight w:val="306" w:hRule="atLeast"/>
        </w:trPr>
        <w:tc>
          <w:tcPr>
            <w:tcW w:w="2767" w:type="dxa"/>
          </w:tcPr>
          <w:p>
            <w:pPr>
              <w:pStyle w:val="TableParagraph"/>
              <w:spacing w:line="252" w:lineRule="exact"/>
              <w:ind w:left="1005"/>
              <w:rPr>
                <w:sz w:val="21"/>
              </w:rPr>
            </w:pPr>
            <w:r>
              <w:rPr>
                <w:w w:val="100"/>
                <w:sz w:val="21"/>
              </w:rPr>
              <w:t> </w:t>
            </w:r>
          </w:p>
        </w:tc>
        <w:tc>
          <w:tcPr>
            <w:tcW w:w="7757" w:type="dxa"/>
          </w:tcPr>
          <w:p>
            <w:pPr>
              <w:pStyle w:val="TableParagraph"/>
              <w:spacing w:line="252" w:lineRule="exact"/>
              <w:ind w:left="91"/>
              <w:rPr>
                <w:sz w:val="21"/>
              </w:rPr>
            </w:pPr>
            <w:r>
              <w:rPr>
                <w:w w:val="100"/>
                <w:sz w:val="21"/>
              </w:rPr>
              <w:t> </w:t>
            </w:r>
          </w:p>
        </w:tc>
      </w:tr>
      <w:tr>
        <w:trPr>
          <w:trHeight w:val="2495" w:hRule="atLeast"/>
        </w:trPr>
        <w:tc>
          <w:tcPr>
            <w:tcW w:w="2767" w:type="dxa"/>
          </w:tcPr>
          <w:p>
            <w:pPr>
              <w:pStyle w:val="TableParagraph"/>
              <w:spacing w:line="257" w:lineRule="exact"/>
              <w:ind w:left="1005"/>
              <w:rPr>
                <w:sz w:val="21"/>
              </w:rPr>
            </w:pPr>
            <w:r>
              <w:rPr>
                <w:sz w:val="21"/>
              </w:rPr>
              <w:t>18. 严重脑损伤 </w:t>
            </w:r>
          </w:p>
        </w:tc>
        <w:tc>
          <w:tcPr>
            <w:tcW w:w="7757" w:type="dxa"/>
          </w:tcPr>
          <w:p>
            <w:pPr>
              <w:pStyle w:val="TableParagraph"/>
              <w:spacing w:line="257" w:lineRule="exact"/>
              <w:ind w:left="91"/>
              <w:rPr>
                <w:sz w:val="21"/>
              </w:rPr>
            </w:pPr>
            <w:r>
              <w:rPr>
                <w:sz w:val="21"/>
              </w:rPr>
              <w:t>指因头部遭受机械性外力，引起脑重要部位损伤，导致神经系统永久性的功能</w:t>
            </w:r>
          </w:p>
          <w:p>
            <w:pPr>
              <w:pStyle w:val="TableParagraph"/>
              <w:spacing w:line="273" w:lineRule="auto" w:before="37"/>
              <w:ind w:left="91" w:right="513"/>
              <w:rPr>
                <w:sz w:val="21"/>
              </w:rPr>
            </w:pPr>
            <w:r>
              <w:rPr>
                <w:spacing w:val="-3"/>
                <w:sz w:val="21"/>
              </w:rPr>
              <w:t>障碍。须由头颅断层扫描</w:t>
            </w:r>
            <w:r>
              <w:rPr>
                <w:sz w:val="21"/>
              </w:rPr>
              <w:t>（CT）</w:t>
            </w:r>
            <w:r>
              <w:rPr>
                <w:spacing w:val="-3"/>
                <w:sz w:val="21"/>
              </w:rPr>
              <w:t>、核磁共振检查</w:t>
            </w:r>
            <w:r>
              <w:rPr>
                <w:sz w:val="21"/>
              </w:rPr>
              <w:t>（MRI）</w:t>
            </w:r>
            <w:r>
              <w:rPr>
                <w:spacing w:val="-3"/>
                <w:sz w:val="21"/>
              </w:rPr>
              <w:t>或正电子发射断层扫</w:t>
            </w:r>
            <w:r>
              <w:rPr>
                <w:spacing w:val="-51"/>
                <w:sz w:val="21"/>
              </w:rPr>
              <w:t>描</w:t>
            </w:r>
            <w:r>
              <w:rPr>
                <w:spacing w:val="-11"/>
                <w:sz w:val="21"/>
              </w:rPr>
              <w:t>（PET）等影像学检查证实。神经系统永久性的功能障碍，指脑损伤</w:t>
            </w:r>
            <w:r>
              <w:rPr>
                <w:sz w:val="21"/>
              </w:rPr>
              <w:t>180</w:t>
            </w:r>
            <w:r>
              <w:rPr>
                <w:spacing w:val="-3"/>
                <w:sz w:val="21"/>
              </w:rPr>
              <w:t>天后， 仍遗留下列一种或一种以上障碍： </w:t>
            </w:r>
            <w:r>
              <w:rPr>
                <w:sz w:val="21"/>
              </w:rPr>
              <w:t> </w:t>
            </w:r>
          </w:p>
          <w:p>
            <w:pPr>
              <w:pStyle w:val="TableParagraph"/>
              <w:spacing w:before="7"/>
              <w:ind w:left="91"/>
              <w:rPr>
                <w:sz w:val="21"/>
              </w:rPr>
            </w:pPr>
            <w:r>
              <w:rPr>
                <w:sz w:val="21"/>
              </w:rPr>
              <w:t>（1）一肢或一肢以上肢体机能完全丧失；  </w:t>
            </w:r>
          </w:p>
          <w:p>
            <w:pPr>
              <w:pStyle w:val="TableParagraph"/>
              <w:spacing w:before="36"/>
              <w:ind w:left="91"/>
              <w:rPr>
                <w:sz w:val="21"/>
              </w:rPr>
            </w:pPr>
            <w:r>
              <w:rPr>
                <w:sz w:val="21"/>
              </w:rPr>
              <w:t>（2）语言能力或咀嚼吞咽能力完全丧失；  </w:t>
            </w:r>
          </w:p>
          <w:p>
            <w:pPr>
              <w:pStyle w:val="TableParagraph"/>
              <w:spacing w:line="273" w:lineRule="auto" w:before="36"/>
              <w:ind w:left="91" w:right="613"/>
              <w:rPr>
                <w:sz w:val="21"/>
              </w:rPr>
            </w:pPr>
            <w:r>
              <w:rPr>
                <w:sz w:val="21"/>
              </w:rPr>
              <w:t>（3）自主生活能力完全丧失，无法独立完成六项基本日常生活活动中的三项或三项以上。 </w:t>
            </w:r>
          </w:p>
        </w:tc>
      </w:tr>
      <w:tr>
        <w:trPr>
          <w:trHeight w:val="312" w:hRule="atLeast"/>
        </w:trPr>
        <w:tc>
          <w:tcPr>
            <w:tcW w:w="2767" w:type="dxa"/>
          </w:tcPr>
          <w:p>
            <w:pPr>
              <w:pStyle w:val="TableParagraph"/>
              <w:spacing w:line="257" w:lineRule="exact"/>
              <w:ind w:left="1005"/>
              <w:rPr>
                <w:sz w:val="21"/>
              </w:rPr>
            </w:pPr>
            <w:r>
              <w:rPr>
                <w:w w:val="100"/>
                <w:sz w:val="21"/>
              </w:rPr>
              <w:t> </w:t>
            </w:r>
          </w:p>
        </w:tc>
        <w:tc>
          <w:tcPr>
            <w:tcW w:w="7757" w:type="dxa"/>
          </w:tcPr>
          <w:p>
            <w:pPr>
              <w:pStyle w:val="TableParagraph"/>
              <w:spacing w:line="257" w:lineRule="exact"/>
              <w:ind w:left="91"/>
              <w:rPr>
                <w:sz w:val="21"/>
              </w:rPr>
            </w:pPr>
            <w:r>
              <w:rPr>
                <w:w w:val="100"/>
                <w:sz w:val="21"/>
              </w:rPr>
              <w:t> </w:t>
            </w:r>
          </w:p>
        </w:tc>
      </w:tr>
      <w:tr>
        <w:trPr>
          <w:trHeight w:val="1877" w:hRule="atLeast"/>
        </w:trPr>
        <w:tc>
          <w:tcPr>
            <w:tcW w:w="2767" w:type="dxa"/>
          </w:tcPr>
          <w:p>
            <w:pPr>
              <w:pStyle w:val="TableParagraph"/>
              <w:spacing w:line="258" w:lineRule="exact"/>
              <w:ind w:left="1005"/>
              <w:rPr>
                <w:sz w:val="21"/>
              </w:rPr>
            </w:pPr>
            <w:r>
              <w:rPr>
                <w:sz w:val="21"/>
              </w:rPr>
              <w:t>19. 严重帕金森</w:t>
            </w:r>
          </w:p>
          <w:p>
            <w:pPr>
              <w:pStyle w:val="TableParagraph"/>
              <w:spacing w:before="37"/>
              <w:ind w:left="619" w:right="1057"/>
              <w:jc w:val="center"/>
              <w:rPr>
                <w:sz w:val="21"/>
              </w:rPr>
            </w:pPr>
            <w:r>
              <w:rPr>
                <w:sz w:val="21"/>
              </w:rPr>
              <w:t>病 </w:t>
            </w:r>
          </w:p>
        </w:tc>
        <w:tc>
          <w:tcPr>
            <w:tcW w:w="7757" w:type="dxa"/>
          </w:tcPr>
          <w:p>
            <w:pPr>
              <w:pStyle w:val="TableParagraph"/>
              <w:spacing w:line="258" w:lineRule="exact"/>
              <w:ind w:left="91"/>
              <w:rPr>
                <w:sz w:val="21"/>
              </w:rPr>
            </w:pPr>
            <w:r>
              <w:rPr>
                <w:sz w:val="21"/>
              </w:rPr>
              <w:t>是一种中枢神经系统的退行性疾病，临床表现为震颤麻痹、共济失调等。须满</w:t>
            </w:r>
          </w:p>
          <w:p>
            <w:pPr>
              <w:pStyle w:val="TableParagraph"/>
              <w:spacing w:before="37"/>
              <w:ind w:left="91"/>
              <w:rPr>
                <w:sz w:val="21"/>
              </w:rPr>
            </w:pPr>
            <w:r>
              <w:rPr>
                <w:sz w:val="21"/>
              </w:rPr>
              <w:t>足下列全部条件：  </w:t>
            </w:r>
          </w:p>
          <w:p>
            <w:pPr>
              <w:pStyle w:val="TableParagraph"/>
              <w:spacing w:before="37"/>
              <w:ind w:left="91"/>
              <w:rPr>
                <w:sz w:val="21"/>
              </w:rPr>
            </w:pPr>
            <w:r>
              <w:rPr>
                <w:sz w:val="21"/>
              </w:rPr>
              <w:t>（1）药物治疗无法控制病情；  </w:t>
            </w:r>
          </w:p>
          <w:p>
            <w:pPr>
              <w:pStyle w:val="TableParagraph"/>
              <w:spacing w:line="273" w:lineRule="auto" w:before="37"/>
              <w:ind w:left="91" w:right="622"/>
              <w:rPr>
                <w:sz w:val="21"/>
              </w:rPr>
            </w:pPr>
            <w:r>
              <w:rPr>
                <w:sz w:val="21"/>
              </w:rPr>
              <w:t>（2）自主生活能力完全丧失，无法独立完成六项基本日常生活活动中的三项或三项以上。  </w:t>
            </w:r>
          </w:p>
          <w:p>
            <w:pPr>
              <w:pStyle w:val="TableParagraph"/>
              <w:spacing w:line="294" w:lineRule="exact"/>
              <w:ind w:left="91"/>
              <w:rPr>
                <w:sz w:val="24"/>
              </w:rPr>
            </w:pPr>
            <w:r>
              <w:rPr>
                <w:rFonts w:ascii="黑体" w:eastAsia="黑体" w:hint="eastAsia"/>
                <w:b/>
                <w:w w:val="95"/>
                <w:sz w:val="24"/>
              </w:rPr>
              <w:t>继发性帕金森综合征不在保障范围内。</w:t>
            </w:r>
            <w:r>
              <w:rPr>
                <w:sz w:val="24"/>
              </w:rPr>
              <w:t> </w:t>
            </w:r>
          </w:p>
        </w:tc>
      </w:tr>
      <w:tr>
        <w:trPr>
          <w:trHeight w:val="255" w:hRule="atLeast"/>
        </w:trPr>
        <w:tc>
          <w:tcPr>
            <w:tcW w:w="2767" w:type="dxa"/>
          </w:tcPr>
          <w:p>
            <w:pPr>
              <w:pStyle w:val="TableParagraph"/>
              <w:spacing w:line="236" w:lineRule="exact"/>
              <w:ind w:left="1005"/>
              <w:rPr>
                <w:sz w:val="21"/>
              </w:rPr>
            </w:pPr>
            <w:r>
              <w:rPr>
                <w:w w:val="100"/>
                <w:sz w:val="21"/>
              </w:rPr>
              <w:t> </w:t>
            </w:r>
          </w:p>
        </w:tc>
        <w:tc>
          <w:tcPr>
            <w:tcW w:w="7757" w:type="dxa"/>
          </w:tcPr>
          <w:p>
            <w:pPr>
              <w:pStyle w:val="TableParagraph"/>
              <w:spacing w:line="236" w:lineRule="exact"/>
              <w:ind w:left="91"/>
              <w:rPr>
                <w:sz w:val="21"/>
              </w:rPr>
            </w:pPr>
            <w:r>
              <w:rPr>
                <w:w w:val="100"/>
                <w:sz w:val="21"/>
              </w:rPr>
              <w:t> </w:t>
            </w:r>
          </w:p>
        </w:tc>
      </w:tr>
    </w:tbl>
    <w:p>
      <w:pPr>
        <w:spacing w:after="0" w:line="236"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2001"/>
        <w:gridCol w:w="7756"/>
      </w:tblGrid>
      <w:tr>
        <w:trPr>
          <w:trHeight w:val="624" w:hRule="atLeast"/>
        </w:trPr>
        <w:tc>
          <w:tcPr>
            <w:tcW w:w="845" w:type="dxa"/>
            <w:tcBorders>
              <w:top w:val="single" w:sz="6" w:space="0" w:color="000000"/>
            </w:tcBorders>
          </w:tcPr>
          <w:p>
            <w:pPr>
              <w:pStyle w:val="TableParagraph"/>
              <w:rPr>
                <w:rFonts w:ascii="Times New Roman"/>
                <w:sz w:val="20"/>
              </w:rPr>
            </w:pPr>
          </w:p>
        </w:tc>
        <w:tc>
          <w:tcPr>
            <w:tcW w:w="2001" w:type="dxa"/>
            <w:tcBorders>
              <w:top w:val="single" w:sz="6" w:space="0" w:color="000000"/>
            </w:tcBorders>
          </w:tcPr>
          <w:p>
            <w:pPr>
              <w:pStyle w:val="TableParagraph"/>
              <w:spacing w:line="258" w:lineRule="exact"/>
              <w:ind w:left="239"/>
              <w:rPr>
                <w:sz w:val="21"/>
              </w:rPr>
            </w:pPr>
            <w:r>
              <w:rPr>
                <w:sz w:val="21"/>
              </w:rPr>
              <w:t>20. 严重Ⅲ 度烧</w:t>
            </w:r>
          </w:p>
          <w:p>
            <w:pPr>
              <w:pStyle w:val="TableParagraph"/>
              <w:spacing w:before="37"/>
              <w:ind w:left="239"/>
              <w:rPr>
                <w:sz w:val="21"/>
              </w:rPr>
            </w:pPr>
            <w:r>
              <w:rPr>
                <w:sz w:val="21"/>
              </w:rPr>
              <w:t>伤 </w:t>
            </w:r>
          </w:p>
        </w:tc>
        <w:tc>
          <w:tcPr>
            <w:tcW w:w="7756" w:type="dxa"/>
            <w:tcBorders>
              <w:top w:val="single" w:sz="6" w:space="0" w:color="000000"/>
            </w:tcBorders>
          </w:tcPr>
          <w:p>
            <w:pPr>
              <w:pStyle w:val="TableParagraph"/>
              <w:spacing w:line="258" w:lineRule="exact"/>
              <w:ind w:left="91"/>
              <w:rPr>
                <w:sz w:val="21"/>
              </w:rPr>
            </w:pPr>
            <w:r>
              <w:rPr>
                <w:sz w:val="21"/>
              </w:rPr>
              <w:t>指烧伤程度为Ⅲ度，且Ⅲ度烧伤的面积达到全身体表面积的20％或20％以上。</w:t>
            </w:r>
          </w:p>
          <w:p>
            <w:pPr>
              <w:pStyle w:val="TableParagraph"/>
              <w:spacing w:before="37"/>
              <w:ind w:left="91"/>
              <w:rPr>
                <w:sz w:val="21"/>
              </w:rPr>
            </w:pPr>
            <w:r>
              <w:rPr>
                <w:sz w:val="21"/>
              </w:rPr>
              <w:t>体表面积根据《中国新九分法》计算。 </w:t>
            </w:r>
          </w:p>
        </w:tc>
      </w:tr>
      <w:tr>
        <w:trPr>
          <w:trHeight w:val="311" w:hRule="atLeast"/>
        </w:trPr>
        <w:tc>
          <w:tcPr>
            <w:tcW w:w="845" w:type="dxa"/>
          </w:tcPr>
          <w:p>
            <w:pPr>
              <w:pStyle w:val="TableParagraph"/>
              <w:rPr>
                <w:rFonts w:ascii="Times New Roman"/>
                <w:sz w:val="20"/>
              </w:rPr>
            </w:pPr>
          </w:p>
        </w:tc>
        <w:tc>
          <w:tcPr>
            <w:tcW w:w="2001" w:type="dxa"/>
          </w:tcPr>
          <w:p>
            <w:pPr>
              <w:pStyle w:val="TableParagraph"/>
              <w:spacing w:line="257" w:lineRule="exact"/>
              <w:ind w:left="239"/>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936" w:hRule="atLeast"/>
        </w:trPr>
        <w:tc>
          <w:tcPr>
            <w:tcW w:w="845" w:type="dxa"/>
          </w:tcPr>
          <w:p>
            <w:pPr>
              <w:pStyle w:val="TableParagraph"/>
              <w:rPr>
                <w:rFonts w:ascii="Times New Roman"/>
                <w:sz w:val="20"/>
              </w:rPr>
            </w:pPr>
          </w:p>
        </w:tc>
        <w:tc>
          <w:tcPr>
            <w:tcW w:w="2001" w:type="dxa"/>
          </w:tcPr>
          <w:p>
            <w:pPr>
              <w:pStyle w:val="TableParagraph"/>
              <w:spacing w:line="257" w:lineRule="exact"/>
              <w:ind w:left="239"/>
              <w:rPr>
                <w:sz w:val="21"/>
              </w:rPr>
            </w:pPr>
            <w:r>
              <w:rPr>
                <w:sz w:val="21"/>
              </w:rPr>
              <w:t>21. 严重原发性</w:t>
            </w:r>
          </w:p>
          <w:p>
            <w:pPr>
              <w:pStyle w:val="TableParagraph"/>
              <w:spacing w:before="37"/>
              <w:ind w:left="239"/>
              <w:rPr>
                <w:sz w:val="21"/>
              </w:rPr>
            </w:pPr>
            <w:r>
              <w:rPr>
                <w:sz w:val="21"/>
              </w:rPr>
              <w:t>肺动脉高压 </w:t>
            </w:r>
          </w:p>
        </w:tc>
        <w:tc>
          <w:tcPr>
            <w:tcW w:w="7756" w:type="dxa"/>
          </w:tcPr>
          <w:p>
            <w:pPr>
              <w:pStyle w:val="TableParagraph"/>
              <w:spacing w:line="258" w:lineRule="exact"/>
              <w:ind w:left="91"/>
              <w:rPr>
                <w:sz w:val="21"/>
              </w:rPr>
            </w:pPr>
            <w:r>
              <w:rPr>
                <w:sz w:val="21"/>
              </w:rPr>
              <w:t>指不明原因的肺动脉压力持续性增高，进行性发展而导致的慢性疾病，已经造</w:t>
            </w:r>
          </w:p>
          <w:p>
            <w:pPr>
              <w:pStyle w:val="TableParagraph"/>
              <w:spacing w:line="273" w:lineRule="auto" w:before="37"/>
              <w:ind w:left="91" w:right="612"/>
              <w:rPr>
                <w:sz w:val="21"/>
              </w:rPr>
            </w:pPr>
            <w:r>
              <w:rPr>
                <w:spacing w:val="-9"/>
                <w:sz w:val="21"/>
              </w:rPr>
              <w:t>成永久不可逆性的体力活动能力受限，达到美国纽约心脏病学会心功能状态分</w:t>
            </w:r>
            <w:r>
              <w:rPr>
                <w:spacing w:val="-1"/>
                <w:sz w:val="21"/>
              </w:rPr>
              <w:t>级IV</w:t>
            </w:r>
            <w:r>
              <w:rPr>
                <w:spacing w:val="-3"/>
                <w:sz w:val="21"/>
              </w:rPr>
              <w:t>级，且静息状态下肺动脉平均压超过</w:t>
            </w:r>
            <w:r>
              <w:rPr>
                <w:sz w:val="21"/>
              </w:rPr>
              <w:t>30mmHg</w:t>
            </w:r>
            <w:r>
              <w:rPr>
                <w:spacing w:val="-3"/>
                <w:sz w:val="21"/>
              </w:rPr>
              <w:t>。</w:t>
            </w:r>
            <w:r>
              <w:rPr>
                <w:sz w:val="21"/>
              </w:rPr>
              <w:t> </w:t>
            </w:r>
          </w:p>
        </w:tc>
      </w:tr>
      <w:tr>
        <w:trPr>
          <w:trHeight w:val="311" w:hRule="atLeast"/>
        </w:trPr>
        <w:tc>
          <w:tcPr>
            <w:tcW w:w="845" w:type="dxa"/>
          </w:tcPr>
          <w:p>
            <w:pPr>
              <w:pStyle w:val="TableParagraph"/>
              <w:rPr>
                <w:rFonts w:ascii="Times New Roman"/>
                <w:sz w:val="20"/>
              </w:rPr>
            </w:pPr>
          </w:p>
        </w:tc>
        <w:tc>
          <w:tcPr>
            <w:tcW w:w="2001" w:type="dxa"/>
          </w:tcPr>
          <w:p>
            <w:pPr>
              <w:pStyle w:val="TableParagraph"/>
              <w:spacing w:line="257" w:lineRule="exact"/>
              <w:ind w:left="239"/>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1248" w:hRule="atLeast"/>
        </w:trPr>
        <w:tc>
          <w:tcPr>
            <w:tcW w:w="845" w:type="dxa"/>
          </w:tcPr>
          <w:p>
            <w:pPr>
              <w:pStyle w:val="TableParagraph"/>
              <w:rPr>
                <w:rFonts w:ascii="Times New Roman"/>
                <w:sz w:val="20"/>
              </w:rPr>
            </w:pPr>
          </w:p>
        </w:tc>
        <w:tc>
          <w:tcPr>
            <w:tcW w:w="2001" w:type="dxa"/>
          </w:tcPr>
          <w:p>
            <w:pPr>
              <w:pStyle w:val="TableParagraph"/>
              <w:spacing w:line="257" w:lineRule="exact"/>
              <w:ind w:left="239"/>
              <w:rPr>
                <w:sz w:val="21"/>
              </w:rPr>
            </w:pPr>
            <w:r>
              <w:rPr>
                <w:sz w:val="21"/>
              </w:rPr>
              <w:t>22. 严重运动神</w:t>
            </w:r>
          </w:p>
          <w:p>
            <w:pPr>
              <w:pStyle w:val="TableParagraph"/>
              <w:spacing w:before="37"/>
              <w:ind w:left="239"/>
              <w:rPr>
                <w:sz w:val="21"/>
              </w:rPr>
            </w:pPr>
            <w:r>
              <w:rPr>
                <w:sz w:val="21"/>
              </w:rPr>
              <w:t>经元病 </w:t>
            </w:r>
          </w:p>
        </w:tc>
        <w:tc>
          <w:tcPr>
            <w:tcW w:w="7756" w:type="dxa"/>
          </w:tcPr>
          <w:p>
            <w:pPr>
              <w:pStyle w:val="TableParagraph"/>
              <w:spacing w:line="257" w:lineRule="exact"/>
              <w:ind w:left="91"/>
              <w:rPr>
                <w:sz w:val="21"/>
              </w:rPr>
            </w:pPr>
            <w:r>
              <w:rPr>
                <w:sz w:val="21"/>
              </w:rPr>
              <w:t>是一组中枢神经系统运动神经元的进行性变性疾病，包括进行性脊肌萎缩症、</w:t>
            </w:r>
          </w:p>
          <w:p>
            <w:pPr>
              <w:pStyle w:val="TableParagraph"/>
              <w:spacing w:line="273" w:lineRule="auto" w:before="37"/>
              <w:ind w:left="91" w:right="612"/>
              <w:jc w:val="both"/>
              <w:rPr>
                <w:sz w:val="21"/>
              </w:rPr>
            </w:pPr>
            <w:r>
              <w:rPr>
                <w:spacing w:val="-10"/>
                <w:sz w:val="21"/>
              </w:rPr>
              <w:t>进行性延髓麻痹症、原发性侧索硬化症、肌萎缩性侧索硬化症。须满足自主生</w:t>
            </w:r>
            <w:r>
              <w:rPr>
                <w:spacing w:val="-12"/>
                <w:sz w:val="21"/>
              </w:rPr>
              <w:t>活能力完全丧失，无法独立完成六项基本日常生活活动中的三项或三项以上的</w:t>
            </w:r>
            <w:r>
              <w:rPr>
                <w:spacing w:val="-9"/>
                <w:sz w:val="21"/>
              </w:rPr>
              <w:t>条件。</w:t>
            </w:r>
            <w:r>
              <w:rPr>
                <w:sz w:val="21"/>
              </w:rPr>
              <w:t> </w:t>
            </w:r>
          </w:p>
        </w:tc>
      </w:tr>
      <w:tr>
        <w:trPr>
          <w:trHeight w:val="311" w:hRule="atLeast"/>
        </w:trPr>
        <w:tc>
          <w:tcPr>
            <w:tcW w:w="845" w:type="dxa"/>
          </w:tcPr>
          <w:p>
            <w:pPr>
              <w:pStyle w:val="TableParagraph"/>
              <w:rPr>
                <w:rFonts w:ascii="Times New Roman"/>
                <w:sz w:val="20"/>
              </w:rPr>
            </w:pPr>
          </w:p>
        </w:tc>
        <w:tc>
          <w:tcPr>
            <w:tcW w:w="2001" w:type="dxa"/>
          </w:tcPr>
          <w:p>
            <w:pPr>
              <w:pStyle w:val="TableParagraph"/>
              <w:spacing w:line="257" w:lineRule="exact"/>
              <w:ind w:left="239"/>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1248" w:hRule="atLeast"/>
        </w:trPr>
        <w:tc>
          <w:tcPr>
            <w:tcW w:w="845" w:type="dxa"/>
          </w:tcPr>
          <w:p>
            <w:pPr>
              <w:pStyle w:val="TableParagraph"/>
              <w:rPr>
                <w:rFonts w:ascii="Times New Roman"/>
                <w:sz w:val="20"/>
              </w:rPr>
            </w:pPr>
          </w:p>
        </w:tc>
        <w:tc>
          <w:tcPr>
            <w:tcW w:w="2001" w:type="dxa"/>
          </w:tcPr>
          <w:p>
            <w:pPr>
              <w:pStyle w:val="TableParagraph"/>
              <w:spacing w:line="257" w:lineRule="exact"/>
              <w:ind w:left="239"/>
              <w:rPr>
                <w:sz w:val="21"/>
              </w:rPr>
            </w:pPr>
            <w:r>
              <w:rPr>
                <w:sz w:val="21"/>
              </w:rPr>
              <w:t>23. 语言能力丧</w:t>
            </w:r>
          </w:p>
          <w:p>
            <w:pPr>
              <w:pStyle w:val="TableParagraph"/>
              <w:spacing w:before="37"/>
              <w:ind w:left="239"/>
              <w:rPr>
                <w:sz w:val="21"/>
              </w:rPr>
            </w:pPr>
            <w:r>
              <w:rPr>
                <w:sz w:val="21"/>
              </w:rPr>
              <w:t>失 </w:t>
            </w:r>
          </w:p>
        </w:tc>
        <w:tc>
          <w:tcPr>
            <w:tcW w:w="7756" w:type="dxa"/>
          </w:tcPr>
          <w:p>
            <w:pPr>
              <w:pStyle w:val="TableParagraph"/>
              <w:spacing w:line="257" w:lineRule="exact"/>
              <w:ind w:left="91"/>
              <w:rPr>
                <w:sz w:val="21"/>
              </w:rPr>
            </w:pPr>
            <w:r>
              <w:rPr>
                <w:sz w:val="21"/>
              </w:rPr>
              <w:t>指因疾病或意外伤害导致完全丧失语言能力，经过积极治疗至少12个月（声带</w:t>
            </w:r>
          </w:p>
          <w:p>
            <w:pPr>
              <w:pStyle w:val="TableParagraph"/>
              <w:spacing w:before="37"/>
              <w:ind w:left="91"/>
              <w:rPr>
                <w:sz w:val="21"/>
              </w:rPr>
            </w:pPr>
            <w:r>
              <w:rPr>
                <w:sz w:val="21"/>
              </w:rPr>
              <w:t>完全切除不受此时间限制），仍无法通过现有医疗手段恢复。  </w:t>
            </w:r>
          </w:p>
          <w:p>
            <w:pPr>
              <w:pStyle w:val="TableParagraph"/>
              <w:spacing w:before="9"/>
              <w:ind w:left="91"/>
              <w:rPr>
                <w:rFonts w:ascii="黑体" w:eastAsia="黑体" w:hint="eastAsia"/>
                <w:b/>
                <w:sz w:val="24"/>
              </w:rPr>
            </w:pPr>
            <w:r>
              <w:rPr>
                <w:rFonts w:ascii="黑体" w:eastAsia="黑体" w:hint="eastAsia"/>
                <w:b/>
                <w:w w:val="95"/>
                <w:sz w:val="24"/>
              </w:rPr>
              <w:t>精神心理因素所致的语言能力丧失不在保障范围内。</w:t>
            </w:r>
          </w:p>
          <w:p>
            <w:pPr>
              <w:pStyle w:val="TableParagraph"/>
              <w:spacing w:before="25"/>
              <w:ind w:left="91"/>
              <w:rPr>
                <w:sz w:val="21"/>
              </w:rPr>
            </w:pPr>
            <w:r>
              <w:rPr>
                <w:sz w:val="21"/>
              </w:rPr>
              <w:t>我们仅向该重大疾病确诊时年满三周岁的被保险人给付“重大疾病保险金”。</w:t>
            </w:r>
          </w:p>
        </w:tc>
      </w:tr>
      <w:tr>
        <w:trPr>
          <w:trHeight w:val="311" w:hRule="atLeast"/>
        </w:trPr>
        <w:tc>
          <w:tcPr>
            <w:tcW w:w="845" w:type="dxa"/>
          </w:tcPr>
          <w:p>
            <w:pPr>
              <w:pStyle w:val="TableParagraph"/>
              <w:rPr>
                <w:rFonts w:ascii="Times New Roman"/>
                <w:sz w:val="20"/>
              </w:rPr>
            </w:pPr>
          </w:p>
        </w:tc>
        <w:tc>
          <w:tcPr>
            <w:tcW w:w="2001" w:type="dxa"/>
          </w:tcPr>
          <w:p>
            <w:pPr>
              <w:pStyle w:val="TableParagraph"/>
              <w:spacing w:line="257" w:lineRule="exact"/>
              <w:ind w:left="239"/>
              <w:rPr>
                <w:sz w:val="21"/>
              </w:rPr>
            </w:pPr>
            <w:r>
              <w:rPr>
                <w:w w:val="100"/>
                <w:sz w:val="21"/>
              </w:rPr>
              <w:t> </w:t>
            </w:r>
          </w:p>
        </w:tc>
        <w:tc>
          <w:tcPr>
            <w:tcW w:w="7756" w:type="dxa"/>
          </w:tcPr>
          <w:p>
            <w:pPr>
              <w:pStyle w:val="TableParagraph"/>
              <w:spacing w:line="257" w:lineRule="exact"/>
              <w:ind w:left="91"/>
              <w:rPr>
                <w:sz w:val="21"/>
              </w:rPr>
            </w:pPr>
            <w:r>
              <w:rPr>
                <w:w w:val="100"/>
                <w:sz w:val="21"/>
              </w:rPr>
              <w:t> </w:t>
            </w:r>
          </w:p>
        </w:tc>
      </w:tr>
      <w:tr>
        <w:trPr>
          <w:trHeight w:val="2744" w:hRule="atLeast"/>
        </w:trPr>
        <w:tc>
          <w:tcPr>
            <w:tcW w:w="845" w:type="dxa"/>
          </w:tcPr>
          <w:p>
            <w:pPr>
              <w:pStyle w:val="TableParagraph"/>
              <w:rPr>
                <w:rFonts w:ascii="Times New Roman"/>
                <w:sz w:val="20"/>
              </w:rPr>
            </w:pPr>
          </w:p>
        </w:tc>
        <w:tc>
          <w:tcPr>
            <w:tcW w:w="2001" w:type="dxa"/>
          </w:tcPr>
          <w:p>
            <w:pPr>
              <w:pStyle w:val="TableParagraph"/>
              <w:spacing w:line="257" w:lineRule="exact"/>
              <w:ind w:left="239"/>
              <w:rPr>
                <w:sz w:val="21"/>
              </w:rPr>
            </w:pPr>
            <w:r>
              <w:rPr>
                <w:sz w:val="21"/>
              </w:rPr>
              <w:t>24. 重型再生障</w:t>
            </w:r>
          </w:p>
          <w:p>
            <w:pPr>
              <w:pStyle w:val="TableParagraph"/>
              <w:spacing w:before="37"/>
              <w:ind w:left="239"/>
              <w:rPr>
                <w:sz w:val="21"/>
              </w:rPr>
            </w:pPr>
            <w:r>
              <w:rPr>
                <w:sz w:val="21"/>
              </w:rPr>
              <w:t>碍性贫血 </w:t>
            </w:r>
          </w:p>
        </w:tc>
        <w:tc>
          <w:tcPr>
            <w:tcW w:w="7756" w:type="dxa"/>
          </w:tcPr>
          <w:p>
            <w:pPr>
              <w:pStyle w:val="TableParagraph"/>
              <w:spacing w:line="257" w:lineRule="exact"/>
              <w:ind w:left="91"/>
              <w:rPr>
                <w:sz w:val="21"/>
              </w:rPr>
            </w:pPr>
            <w:r>
              <w:rPr>
                <w:sz w:val="21"/>
              </w:rPr>
              <w:t>指因骨髓造血功能慢性持续性衰竭导致的贫血、中性粒细胞减少及血小板减</w:t>
            </w:r>
          </w:p>
          <w:p>
            <w:pPr>
              <w:pStyle w:val="TableParagraph"/>
              <w:spacing w:before="37"/>
              <w:ind w:left="91"/>
              <w:rPr>
                <w:sz w:val="21"/>
              </w:rPr>
            </w:pPr>
            <w:r>
              <w:rPr>
                <w:sz w:val="21"/>
              </w:rPr>
              <w:t>少。须满足下列全部条件：  </w:t>
            </w:r>
          </w:p>
          <w:p>
            <w:pPr>
              <w:pStyle w:val="TableParagraph"/>
              <w:spacing w:before="37"/>
              <w:ind w:left="91"/>
              <w:rPr>
                <w:sz w:val="21"/>
              </w:rPr>
            </w:pPr>
            <w:r>
              <w:rPr>
                <w:sz w:val="21"/>
              </w:rPr>
              <w:t>（1）骨髓穿刺检查或骨髓活检结果支持诊断；  </w:t>
            </w:r>
          </w:p>
          <w:p>
            <w:pPr>
              <w:pStyle w:val="TableParagraph"/>
              <w:spacing w:before="37"/>
              <w:ind w:left="91"/>
              <w:rPr>
                <w:sz w:val="21"/>
              </w:rPr>
            </w:pPr>
            <w:r>
              <w:rPr>
                <w:sz w:val="21"/>
              </w:rPr>
              <w:t>（2）外周血象须具备以下三项条件：  </w:t>
            </w:r>
          </w:p>
          <w:p>
            <w:pPr>
              <w:pStyle w:val="TableParagraph"/>
              <w:spacing w:line="99" w:lineRule="exact" w:before="168"/>
              <w:ind w:right="579"/>
              <w:jc w:val="center"/>
              <w:rPr>
                <w:sz w:val="11"/>
              </w:rPr>
            </w:pPr>
            <w:r>
              <w:rPr>
                <w:w w:val="100"/>
                <w:sz w:val="11"/>
              </w:rPr>
              <w:t>9</w:t>
            </w:r>
          </w:p>
          <w:p>
            <w:pPr>
              <w:pStyle w:val="TableParagraph"/>
              <w:spacing w:line="230" w:lineRule="exact"/>
              <w:ind w:left="91"/>
              <w:rPr>
                <w:sz w:val="21"/>
              </w:rPr>
            </w:pPr>
            <w:r>
              <w:rPr>
                <w:w w:val="100"/>
                <w:sz w:val="21"/>
              </w:rPr>
              <w:t>     </w:t>
            </w:r>
            <w:r>
              <w:rPr>
                <w:sz w:val="21"/>
              </w:rPr>
              <w:t>① 中性粒细胞绝对值≤0.5×10 /L ；  </w:t>
            </w:r>
          </w:p>
          <w:p>
            <w:pPr>
              <w:pStyle w:val="TableParagraph"/>
              <w:spacing w:before="165"/>
              <w:ind w:left="91"/>
              <w:rPr>
                <w:sz w:val="21"/>
              </w:rPr>
            </w:pPr>
            <w:r>
              <w:rPr>
                <w:w w:val="100"/>
                <w:sz w:val="21"/>
              </w:rPr>
              <w:t>     </w:t>
            </w:r>
            <w:r>
              <w:rPr>
                <w:sz w:val="21"/>
              </w:rPr>
              <w:t>② 网织红细胞＜1%；  </w:t>
            </w:r>
          </w:p>
          <w:p>
            <w:pPr>
              <w:pStyle w:val="TableParagraph"/>
              <w:spacing w:line="99" w:lineRule="exact" w:before="168"/>
              <w:ind w:right="1630"/>
              <w:jc w:val="center"/>
              <w:rPr>
                <w:sz w:val="11"/>
              </w:rPr>
            </w:pPr>
            <w:r>
              <w:rPr>
                <w:w w:val="100"/>
                <w:sz w:val="11"/>
              </w:rPr>
              <w:t>9</w:t>
            </w:r>
          </w:p>
          <w:p>
            <w:pPr>
              <w:pStyle w:val="TableParagraph"/>
              <w:spacing w:line="230" w:lineRule="exact"/>
              <w:ind w:left="91"/>
              <w:rPr>
                <w:sz w:val="21"/>
              </w:rPr>
            </w:pPr>
            <w:r>
              <w:rPr>
                <w:w w:val="100"/>
                <w:sz w:val="21"/>
              </w:rPr>
              <w:t>     </w:t>
            </w:r>
            <w:r>
              <w:rPr>
                <w:spacing w:val="-2"/>
                <w:sz w:val="21"/>
              </w:rPr>
              <w:t>③ 血小板绝对值</w:t>
            </w:r>
            <w:r>
              <w:rPr>
                <w:sz w:val="21"/>
              </w:rPr>
              <w:t>≤20×10</w:t>
            </w:r>
            <w:r>
              <w:rPr>
                <w:spacing w:val="-51"/>
                <w:sz w:val="21"/>
              </w:rPr>
              <w:t> </w:t>
            </w:r>
            <w:r>
              <w:rPr>
                <w:sz w:val="21"/>
              </w:rPr>
              <w:t>/L</w:t>
            </w:r>
            <w:r>
              <w:rPr>
                <w:spacing w:val="-3"/>
                <w:sz w:val="21"/>
              </w:rPr>
              <w:t>。</w:t>
            </w:r>
            <w:r>
              <w:rPr>
                <w:sz w:val="21"/>
              </w:rPr>
              <w:t> </w:t>
            </w:r>
          </w:p>
        </w:tc>
      </w:tr>
      <w:tr>
        <w:trPr>
          <w:trHeight w:val="375" w:hRule="atLeast"/>
        </w:trPr>
        <w:tc>
          <w:tcPr>
            <w:tcW w:w="845" w:type="dxa"/>
          </w:tcPr>
          <w:p>
            <w:pPr>
              <w:pStyle w:val="TableParagraph"/>
              <w:rPr>
                <w:rFonts w:ascii="Times New Roman"/>
                <w:sz w:val="20"/>
              </w:rPr>
            </w:pPr>
          </w:p>
        </w:tc>
        <w:tc>
          <w:tcPr>
            <w:tcW w:w="2001" w:type="dxa"/>
          </w:tcPr>
          <w:p>
            <w:pPr>
              <w:pStyle w:val="TableParagraph"/>
              <w:spacing w:before="46"/>
              <w:ind w:left="239"/>
              <w:rPr>
                <w:sz w:val="21"/>
              </w:rPr>
            </w:pPr>
            <w:r>
              <w:rPr>
                <w:w w:val="100"/>
                <w:sz w:val="21"/>
              </w:rPr>
              <w:t> </w:t>
            </w:r>
          </w:p>
        </w:tc>
        <w:tc>
          <w:tcPr>
            <w:tcW w:w="7756" w:type="dxa"/>
          </w:tcPr>
          <w:p>
            <w:pPr>
              <w:pStyle w:val="TableParagraph"/>
              <w:spacing w:before="46"/>
              <w:ind w:left="91"/>
              <w:rPr>
                <w:sz w:val="21"/>
              </w:rPr>
            </w:pPr>
            <w:r>
              <w:rPr>
                <w:w w:val="100"/>
                <w:sz w:val="21"/>
              </w:rPr>
              <w:t> </w:t>
            </w:r>
          </w:p>
        </w:tc>
      </w:tr>
      <w:tr>
        <w:trPr>
          <w:trHeight w:val="1422" w:hRule="atLeast"/>
        </w:trPr>
        <w:tc>
          <w:tcPr>
            <w:tcW w:w="845" w:type="dxa"/>
          </w:tcPr>
          <w:p>
            <w:pPr>
              <w:pStyle w:val="TableParagraph"/>
              <w:rPr>
                <w:rFonts w:ascii="Times New Roman"/>
                <w:sz w:val="20"/>
              </w:rPr>
            </w:pPr>
          </w:p>
        </w:tc>
        <w:tc>
          <w:tcPr>
            <w:tcW w:w="2001" w:type="dxa"/>
          </w:tcPr>
          <w:p>
            <w:pPr>
              <w:pStyle w:val="TableParagraph"/>
              <w:spacing w:line="257" w:lineRule="exact"/>
              <w:ind w:left="239"/>
              <w:rPr>
                <w:sz w:val="21"/>
              </w:rPr>
            </w:pPr>
            <w:r>
              <w:rPr>
                <w:sz w:val="21"/>
              </w:rPr>
              <w:t>25. 主动脉手术 </w:t>
            </w:r>
          </w:p>
        </w:tc>
        <w:tc>
          <w:tcPr>
            <w:tcW w:w="7756" w:type="dxa"/>
          </w:tcPr>
          <w:p>
            <w:pPr>
              <w:pStyle w:val="TableParagraph"/>
              <w:spacing w:line="257" w:lineRule="exact"/>
              <w:ind w:left="91"/>
              <w:rPr>
                <w:sz w:val="21"/>
              </w:rPr>
            </w:pPr>
            <w:r>
              <w:rPr>
                <w:sz w:val="21"/>
              </w:rPr>
              <w:t>指为治疗主动脉疾病，实际实施了开胸或开腹进行的切除、置换、修补病损主</w:t>
            </w:r>
          </w:p>
          <w:p>
            <w:pPr>
              <w:pStyle w:val="TableParagraph"/>
              <w:spacing w:line="273" w:lineRule="auto" w:before="37"/>
              <w:ind w:left="91" w:right="614"/>
              <w:rPr>
                <w:sz w:val="21"/>
              </w:rPr>
            </w:pPr>
            <w:r>
              <w:rPr>
                <w:spacing w:val="-11"/>
                <w:sz w:val="21"/>
              </w:rPr>
              <w:t>动脉血管的手术。主动脉指胸主动脉和腹主动脉，不包括胸主动脉和腹主动脉</w:t>
            </w:r>
            <w:r>
              <w:rPr>
                <w:spacing w:val="-6"/>
                <w:sz w:val="21"/>
              </w:rPr>
              <w:t>的分支血管。</w:t>
            </w:r>
            <w:r>
              <w:rPr>
                <w:spacing w:val="-3"/>
                <w:sz w:val="21"/>
              </w:rPr>
              <w:t> </w:t>
            </w:r>
            <w:r>
              <w:rPr>
                <w:sz w:val="21"/>
              </w:rPr>
              <w:t> </w:t>
            </w:r>
          </w:p>
          <w:p>
            <w:pPr>
              <w:pStyle w:val="TableParagraph"/>
              <w:spacing w:line="294" w:lineRule="exact"/>
              <w:ind w:left="91"/>
              <w:rPr>
                <w:sz w:val="24"/>
              </w:rPr>
            </w:pPr>
            <w:r>
              <w:rPr>
                <w:rFonts w:ascii="黑体" w:eastAsia="黑体" w:hint="eastAsia"/>
                <w:b/>
                <w:w w:val="95"/>
                <w:sz w:val="24"/>
              </w:rPr>
              <w:t>动脉内血管成形术不在保障范围内。</w:t>
            </w:r>
            <w:r>
              <w:rPr>
                <w:sz w:val="24"/>
              </w:rPr>
              <w:t> </w:t>
            </w:r>
          </w:p>
        </w:tc>
      </w:tr>
      <w:tr>
        <w:trPr>
          <w:trHeight w:val="760" w:hRule="atLeast"/>
        </w:trPr>
        <w:tc>
          <w:tcPr>
            <w:tcW w:w="845" w:type="dxa"/>
            <w:tcBorders>
              <w:bottom w:val="single" w:sz="4" w:space="0" w:color="000000"/>
            </w:tcBorders>
          </w:tcPr>
          <w:p>
            <w:pPr>
              <w:pStyle w:val="TableParagraph"/>
              <w:spacing w:before="197"/>
              <w:ind w:right="237"/>
              <w:jc w:val="right"/>
              <w:rPr>
                <w:rFonts w:ascii="Arial"/>
                <w:b/>
                <w:sz w:val="40"/>
              </w:rPr>
            </w:pPr>
            <w:r>
              <w:rPr>
                <w:rFonts w:ascii="Arial"/>
                <w:b/>
                <w:w w:val="100"/>
                <w:sz w:val="40"/>
              </w:rPr>
              <w:t>~</w:t>
            </w:r>
          </w:p>
        </w:tc>
        <w:tc>
          <w:tcPr>
            <w:tcW w:w="2001" w:type="dxa"/>
            <w:tcBorders>
              <w:bottom w:val="single" w:sz="4" w:space="0" w:color="000000"/>
            </w:tcBorders>
          </w:tcPr>
          <w:p>
            <w:pPr>
              <w:pStyle w:val="TableParagraph"/>
              <w:spacing w:before="13"/>
              <w:rPr>
                <w:sz w:val="18"/>
              </w:rPr>
            </w:pPr>
          </w:p>
          <w:p>
            <w:pPr>
              <w:pStyle w:val="TableParagraph"/>
              <w:ind w:left="239"/>
              <w:rPr>
                <w:b/>
                <w:sz w:val="24"/>
              </w:rPr>
            </w:pPr>
            <w:r>
              <w:rPr>
                <w:b/>
                <w:sz w:val="24"/>
              </w:rPr>
              <w:t>释义</w:t>
            </w:r>
          </w:p>
        </w:tc>
        <w:tc>
          <w:tcPr>
            <w:tcW w:w="7756" w:type="dxa"/>
            <w:tcBorders>
              <w:bottom w:val="single" w:sz="4" w:space="0" w:color="000000"/>
            </w:tcBorders>
          </w:tcPr>
          <w:p>
            <w:pPr>
              <w:pStyle w:val="TableParagraph"/>
              <w:rPr>
                <w:rFonts w:ascii="Times New Roman"/>
                <w:sz w:val="20"/>
              </w:rPr>
            </w:pPr>
          </w:p>
        </w:tc>
      </w:tr>
      <w:tr>
        <w:trPr>
          <w:trHeight w:val="785" w:hRule="atLeast"/>
        </w:trPr>
        <w:tc>
          <w:tcPr>
            <w:tcW w:w="845" w:type="dxa"/>
            <w:tcBorders>
              <w:top w:val="single" w:sz="4" w:space="0" w:color="000000"/>
            </w:tcBorders>
          </w:tcPr>
          <w:p>
            <w:pPr>
              <w:pStyle w:val="TableParagraph"/>
              <w:spacing w:before="4"/>
              <w:rPr>
                <w:sz w:val="26"/>
              </w:rPr>
            </w:pPr>
          </w:p>
          <w:p>
            <w:pPr>
              <w:pStyle w:val="TableParagraph"/>
              <w:ind w:right="252"/>
              <w:jc w:val="right"/>
              <w:rPr>
                <w:rFonts w:ascii="Times New Roman"/>
                <w:b/>
                <w:sz w:val="21"/>
              </w:rPr>
            </w:pPr>
            <w:r>
              <w:rPr>
                <w:rFonts w:ascii="Times New Roman"/>
                <w:b/>
                <w:sz w:val="21"/>
              </w:rPr>
              <w:t>10.1</w:t>
            </w:r>
          </w:p>
        </w:tc>
        <w:tc>
          <w:tcPr>
            <w:tcW w:w="2001" w:type="dxa"/>
            <w:tcBorders>
              <w:top w:val="single" w:sz="4" w:space="0" w:color="000000"/>
            </w:tcBorders>
          </w:tcPr>
          <w:p>
            <w:pPr>
              <w:pStyle w:val="TableParagraph"/>
              <w:spacing w:before="7"/>
              <w:rPr>
                <w:sz w:val="22"/>
              </w:rPr>
            </w:pPr>
          </w:p>
          <w:p>
            <w:pPr>
              <w:pStyle w:val="TableParagraph"/>
              <w:ind w:left="239"/>
              <w:rPr>
                <w:b/>
                <w:sz w:val="21"/>
              </w:rPr>
            </w:pPr>
            <w:r>
              <w:rPr>
                <w:b/>
                <w:sz w:val="21"/>
              </w:rPr>
              <w:t>被保险人</w:t>
            </w:r>
          </w:p>
        </w:tc>
        <w:tc>
          <w:tcPr>
            <w:tcW w:w="7756" w:type="dxa"/>
            <w:tcBorders>
              <w:top w:val="single" w:sz="4" w:space="0" w:color="000000"/>
            </w:tcBorders>
          </w:tcPr>
          <w:p>
            <w:pPr>
              <w:pStyle w:val="TableParagraph"/>
              <w:spacing w:before="7"/>
              <w:rPr>
                <w:sz w:val="22"/>
              </w:rPr>
            </w:pPr>
          </w:p>
          <w:p>
            <w:pPr>
              <w:pStyle w:val="TableParagraph"/>
              <w:ind w:left="91"/>
              <w:rPr>
                <w:sz w:val="21"/>
              </w:rPr>
            </w:pPr>
            <w:r>
              <w:rPr>
                <w:sz w:val="21"/>
              </w:rPr>
              <w:t>指本附加合同所附被保险人名册中所载人员。</w:t>
            </w:r>
          </w:p>
        </w:tc>
      </w:tr>
      <w:tr>
        <w:trPr>
          <w:trHeight w:val="927" w:hRule="atLeast"/>
        </w:trPr>
        <w:tc>
          <w:tcPr>
            <w:tcW w:w="845" w:type="dxa"/>
          </w:tcPr>
          <w:p>
            <w:pPr>
              <w:pStyle w:val="TableParagraph"/>
              <w:spacing w:before="183"/>
              <w:ind w:right="252"/>
              <w:jc w:val="right"/>
              <w:rPr>
                <w:rFonts w:ascii="Times New Roman"/>
                <w:b/>
                <w:sz w:val="21"/>
              </w:rPr>
            </w:pPr>
            <w:r>
              <w:rPr>
                <w:rFonts w:ascii="Times New Roman"/>
                <w:b/>
                <w:sz w:val="21"/>
              </w:rPr>
              <w:t>10.2</w:t>
            </w:r>
          </w:p>
        </w:tc>
        <w:tc>
          <w:tcPr>
            <w:tcW w:w="2001" w:type="dxa"/>
          </w:tcPr>
          <w:p>
            <w:pPr>
              <w:pStyle w:val="TableParagraph"/>
              <w:spacing w:before="134"/>
              <w:ind w:left="239"/>
              <w:rPr>
                <w:b/>
                <w:sz w:val="21"/>
              </w:rPr>
            </w:pPr>
            <w:r>
              <w:rPr>
                <w:b/>
                <w:sz w:val="21"/>
              </w:rPr>
              <w:t>团体</w:t>
            </w:r>
          </w:p>
        </w:tc>
        <w:tc>
          <w:tcPr>
            <w:tcW w:w="7756" w:type="dxa"/>
          </w:tcPr>
          <w:p>
            <w:pPr>
              <w:pStyle w:val="TableParagraph"/>
              <w:spacing w:line="256" w:lineRule="auto" w:before="134"/>
              <w:ind w:left="91" w:right="612"/>
              <w:rPr>
                <w:sz w:val="21"/>
              </w:rPr>
            </w:pPr>
            <w:r>
              <w:rPr>
                <w:spacing w:val="-7"/>
                <w:sz w:val="21"/>
              </w:rPr>
              <w:t>指中华人民共和国境内具有 </w:t>
            </w:r>
            <w:r>
              <w:rPr>
                <w:rFonts w:ascii="Times New Roman" w:eastAsia="Times New Roman"/>
                <w:sz w:val="21"/>
              </w:rPr>
              <w:t>5 </w:t>
            </w:r>
            <w:r>
              <w:rPr>
                <w:spacing w:val="-19"/>
                <w:sz w:val="21"/>
              </w:rPr>
              <w:t>名以上</w:t>
            </w:r>
            <w:r>
              <w:rPr>
                <w:sz w:val="21"/>
              </w:rPr>
              <w:t>（</w:t>
            </w:r>
            <w:r>
              <w:rPr>
                <w:spacing w:val="-24"/>
                <w:sz w:val="21"/>
              </w:rPr>
              <w:t>含 </w:t>
            </w:r>
            <w:r>
              <w:rPr>
                <w:rFonts w:ascii="Times New Roman" w:eastAsia="Times New Roman"/>
                <w:sz w:val="21"/>
              </w:rPr>
              <w:t>5 </w:t>
            </w:r>
            <w:r>
              <w:rPr>
                <w:spacing w:val="-3"/>
                <w:sz w:val="21"/>
              </w:rPr>
              <w:t>名</w:t>
            </w:r>
            <w:r>
              <w:rPr>
                <w:spacing w:val="-48"/>
                <w:sz w:val="21"/>
              </w:rPr>
              <w:t>）</w:t>
            </w:r>
            <w:r>
              <w:rPr>
                <w:spacing w:val="-3"/>
                <w:sz w:val="21"/>
              </w:rPr>
              <w:t>成员且非因购买保险而组织的合法团体。包括机关、企事业单位和社会团体等。</w:t>
            </w:r>
          </w:p>
        </w:tc>
      </w:tr>
      <w:tr>
        <w:trPr>
          <w:trHeight w:val="936" w:hRule="atLeast"/>
        </w:trPr>
        <w:tc>
          <w:tcPr>
            <w:tcW w:w="845" w:type="dxa"/>
          </w:tcPr>
          <w:p>
            <w:pPr>
              <w:pStyle w:val="TableParagraph"/>
              <w:spacing w:before="191"/>
              <w:ind w:right="252"/>
              <w:jc w:val="right"/>
              <w:rPr>
                <w:rFonts w:ascii="Times New Roman"/>
                <w:b/>
                <w:sz w:val="21"/>
              </w:rPr>
            </w:pPr>
            <w:r>
              <w:rPr>
                <w:rFonts w:ascii="Times New Roman"/>
                <w:b/>
                <w:sz w:val="21"/>
              </w:rPr>
              <w:t>10.3</w:t>
            </w:r>
          </w:p>
        </w:tc>
        <w:tc>
          <w:tcPr>
            <w:tcW w:w="2001" w:type="dxa"/>
          </w:tcPr>
          <w:p>
            <w:pPr>
              <w:pStyle w:val="TableParagraph"/>
              <w:spacing w:before="142"/>
              <w:ind w:left="239"/>
              <w:rPr>
                <w:b/>
                <w:sz w:val="21"/>
              </w:rPr>
            </w:pPr>
            <w:r>
              <w:rPr>
                <w:b/>
                <w:sz w:val="21"/>
              </w:rPr>
              <w:t>成员</w:t>
            </w:r>
          </w:p>
        </w:tc>
        <w:tc>
          <w:tcPr>
            <w:tcW w:w="7756" w:type="dxa"/>
          </w:tcPr>
          <w:p>
            <w:pPr>
              <w:pStyle w:val="TableParagraph"/>
              <w:spacing w:line="273" w:lineRule="auto" w:before="142"/>
              <w:ind w:left="91" w:right="506"/>
              <w:rPr>
                <w:sz w:val="21"/>
              </w:rPr>
            </w:pPr>
            <w:r>
              <w:rPr>
                <w:spacing w:val="-15"/>
                <w:sz w:val="21"/>
              </w:rPr>
              <w:t>团体为机关或企事业单位的，成员指该团体中身体健康、正常工作的在职员工； </w:t>
            </w:r>
            <w:r>
              <w:rPr>
                <w:spacing w:val="-7"/>
                <w:sz w:val="21"/>
              </w:rPr>
              <w:t>团体为社会团体的，成员指该团体的会员以及正式工作人员。</w:t>
            </w:r>
          </w:p>
        </w:tc>
      </w:tr>
      <w:tr>
        <w:trPr>
          <w:trHeight w:val="631" w:hRule="atLeast"/>
        </w:trPr>
        <w:tc>
          <w:tcPr>
            <w:tcW w:w="845" w:type="dxa"/>
          </w:tcPr>
          <w:p>
            <w:pPr>
              <w:pStyle w:val="TableParagraph"/>
              <w:spacing w:before="191"/>
              <w:ind w:right="252"/>
              <w:jc w:val="right"/>
              <w:rPr>
                <w:rFonts w:ascii="Times New Roman"/>
                <w:b/>
                <w:sz w:val="21"/>
              </w:rPr>
            </w:pPr>
            <w:r>
              <w:rPr>
                <w:rFonts w:ascii="Times New Roman"/>
                <w:b/>
                <w:sz w:val="21"/>
              </w:rPr>
              <w:t>10.4</w:t>
            </w:r>
          </w:p>
        </w:tc>
        <w:tc>
          <w:tcPr>
            <w:tcW w:w="2001" w:type="dxa"/>
          </w:tcPr>
          <w:p>
            <w:pPr>
              <w:pStyle w:val="TableParagraph"/>
              <w:spacing w:before="142"/>
              <w:ind w:left="239"/>
              <w:rPr>
                <w:b/>
                <w:sz w:val="21"/>
              </w:rPr>
            </w:pPr>
            <w:r>
              <w:rPr>
                <w:b/>
                <w:sz w:val="21"/>
              </w:rPr>
              <w:t>配偶</w:t>
            </w:r>
          </w:p>
        </w:tc>
        <w:tc>
          <w:tcPr>
            <w:tcW w:w="7756" w:type="dxa"/>
          </w:tcPr>
          <w:p>
            <w:pPr>
              <w:pStyle w:val="TableParagraph"/>
              <w:spacing w:before="142"/>
              <w:ind w:left="91"/>
              <w:rPr>
                <w:sz w:val="21"/>
              </w:rPr>
            </w:pPr>
            <w:r>
              <w:rPr>
                <w:sz w:val="21"/>
              </w:rPr>
              <w:t>指投保时与被保险人存在合法婚姻关系的丈夫或妻子。</w:t>
            </w:r>
          </w:p>
        </w:tc>
      </w:tr>
      <w:tr>
        <w:trPr>
          <w:trHeight w:val="724" w:hRule="atLeast"/>
        </w:trPr>
        <w:tc>
          <w:tcPr>
            <w:tcW w:w="845" w:type="dxa"/>
          </w:tcPr>
          <w:p>
            <w:pPr>
              <w:pStyle w:val="TableParagraph"/>
              <w:spacing w:before="183"/>
              <w:ind w:right="252"/>
              <w:jc w:val="right"/>
              <w:rPr>
                <w:rFonts w:ascii="Times New Roman"/>
                <w:b/>
                <w:sz w:val="21"/>
              </w:rPr>
            </w:pPr>
            <w:r>
              <w:rPr>
                <w:rFonts w:ascii="Times New Roman"/>
                <w:b/>
                <w:sz w:val="21"/>
              </w:rPr>
              <w:t>10.5</w:t>
            </w:r>
          </w:p>
        </w:tc>
        <w:tc>
          <w:tcPr>
            <w:tcW w:w="2001" w:type="dxa"/>
          </w:tcPr>
          <w:p>
            <w:pPr>
              <w:pStyle w:val="TableParagraph"/>
              <w:spacing w:before="134"/>
              <w:ind w:left="239"/>
              <w:rPr>
                <w:b/>
                <w:sz w:val="21"/>
              </w:rPr>
            </w:pPr>
            <w:r>
              <w:rPr>
                <w:b/>
                <w:sz w:val="21"/>
              </w:rPr>
              <w:t>子女</w:t>
            </w:r>
          </w:p>
        </w:tc>
        <w:tc>
          <w:tcPr>
            <w:tcW w:w="7756" w:type="dxa"/>
          </w:tcPr>
          <w:p>
            <w:pPr>
              <w:pStyle w:val="TableParagraph"/>
              <w:spacing w:before="134"/>
              <w:ind w:left="91"/>
              <w:rPr>
                <w:sz w:val="21"/>
              </w:rPr>
            </w:pPr>
            <w:r>
              <w:rPr>
                <w:sz w:val="21"/>
              </w:rPr>
              <w:t>指投保时被保险人的出生满 </w:t>
            </w:r>
            <w:r>
              <w:rPr>
                <w:rFonts w:ascii="Times New Roman" w:eastAsia="Times New Roman"/>
                <w:sz w:val="21"/>
              </w:rPr>
              <w:t>30 </w:t>
            </w:r>
            <w:r>
              <w:rPr>
                <w:sz w:val="21"/>
              </w:rPr>
              <w:t>天且已健康出院的，未满 </w:t>
            </w:r>
            <w:r>
              <w:rPr>
                <w:rFonts w:ascii="Times New Roman" w:eastAsia="Times New Roman"/>
                <w:sz w:val="21"/>
              </w:rPr>
              <w:t>23 </w:t>
            </w:r>
            <w:r>
              <w:rPr>
                <w:sz w:val="21"/>
              </w:rPr>
              <w:t>周岁且未婚的子女</w:t>
            </w:r>
          </w:p>
          <w:p>
            <w:pPr>
              <w:pStyle w:val="TableParagraph"/>
              <w:spacing w:line="259" w:lineRule="exact" w:before="21"/>
              <w:ind w:left="91"/>
              <w:rPr>
                <w:sz w:val="21"/>
              </w:rPr>
            </w:pPr>
            <w:r>
              <w:rPr>
                <w:sz w:val="21"/>
              </w:rPr>
              <w:t>（</w:t>
            </w:r>
            <w:r>
              <w:rPr>
                <w:spacing w:val="-3"/>
                <w:sz w:val="21"/>
              </w:rPr>
              <w:t>包括婚生子女、非婚生子女、合法收养的子女和有抚养关系的继子女</w:t>
            </w:r>
            <w:r>
              <w:rPr>
                <w:spacing w:val="-106"/>
                <w:sz w:val="21"/>
              </w:rPr>
              <w:t>）</w:t>
            </w:r>
            <w:r>
              <w:rPr>
                <w:sz w:val="21"/>
              </w:rPr>
              <w:t>。</w:t>
            </w:r>
          </w:p>
        </w:tc>
      </w:tr>
    </w:tbl>
    <w:p>
      <w:pPr>
        <w:spacing w:after="0" w:line="259" w:lineRule="exact"/>
        <w:rPr>
          <w:sz w:val="21"/>
        </w:rPr>
        <w:sectPr>
          <w:pgSz w:w="11910" w:h="16840"/>
          <w:pgMar w:header="0" w:footer="545" w:top="780" w:bottom="74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805"/>
        <w:gridCol w:w="7908"/>
      </w:tblGrid>
      <w:tr>
        <w:trPr>
          <w:trHeight w:val="1713" w:hRule="atLeast"/>
        </w:trPr>
        <w:tc>
          <w:tcPr>
            <w:tcW w:w="811" w:type="dxa"/>
            <w:tcBorders>
              <w:top w:val="single" w:sz="6" w:space="0" w:color="000000"/>
            </w:tcBorders>
          </w:tcPr>
          <w:p>
            <w:pPr>
              <w:pStyle w:val="TableParagraph"/>
              <w:spacing w:before="32"/>
              <w:ind w:left="141"/>
              <w:rPr>
                <w:rFonts w:ascii="Times New Roman"/>
                <w:b/>
                <w:sz w:val="21"/>
              </w:rPr>
            </w:pPr>
            <w:r>
              <w:rPr>
                <w:rFonts w:ascii="Times New Roman"/>
                <w:b/>
                <w:sz w:val="21"/>
              </w:rPr>
              <w:t>10.6</w:t>
            </w:r>
          </w:p>
        </w:tc>
        <w:tc>
          <w:tcPr>
            <w:tcW w:w="1805" w:type="dxa"/>
            <w:tcBorders>
              <w:top w:val="single" w:sz="6" w:space="0" w:color="000000"/>
            </w:tcBorders>
          </w:tcPr>
          <w:p>
            <w:pPr>
              <w:pStyle w:val="TableParagraph"/>
              <w:spacing w:line="258" w:lineRule="exact"/>
              <w:ind w:left="194"/>
              <w:rPr>
                <w:b/>
                <w:sz w:val="21"/>
              </w:rPr>
            </w:pPr>
            <w:r>
              <w:rPr>
                <w:b/>
                <w:sz w:val="21"/>
              </w:rPr>
              <w:t>等待期</w:t>
            </w:r>
          </w:p>
        </w:tc>
        <w:tc>
          <w:tcPr>
            <w:tcW w:w="7908" w:type="dxa"/>
            <w:tcBorders>
              <w:top w:val="single" w:sz="6" w:space="0" w:color="000000"/>
            </w:tcBorders>
          </w:tcPr>
          <w:p>
            <w:pPr>
              <w:pStyle w:val="TableParagraph"/>
              <w:spacing w:line="258" w:lineRule="exact"/>
              <w:ind w:left="242"/>
              <w:rPr>
                <w:sz w:val="21"/>
              </w:rPr>
            </w:pPr>
            <w:r>
              <w:rPr>
                <w:sz w:val="21"/>
              </w:rPr>
              <w:t>本附加合同生效之日起 30 天内为等待期。若本附加合同有效期内增加被保险</w:t>
            </w:r>
          </w:p>
          <w:p>
            <w:pPr>
              <w:pStyle w:val="TableParagraph"/>
              <w:spacing w:before="37"/>
              <w:ind w:left="242"/>
              <w:rPr>
                <w:sz w:val="21"/>
              </w:rPr>
            </w:pPr>
            <w:r>
              <w:rPr>
                <w:sz w:val="21"/>
              </w:rPr>
              <w:t>人的，则自该被保险人加入本保险之日起 30 天内为等待期。 </w:t>
            </w:r>
          </w:p>
          <w:p>
            <w:pPr>
              <w:pStyle w:val="TableParagraph"/>
              <w:spacing w:line="273" w:lineRule="auto" w:before="37"/>
              <w:ind w:left="242" w:right="616"/>
              <w:jc w:val="both"/>
              <w:rPr>
                <w:sz w:val="21"/>
              </w:rPr>
            </w:pPr>
            <w:r>
              <w:rPr>
                <w:spacing w:val="-8"/>
                <w:sz w:val="21"/>
              </w:rPr>
              <w:t>若您为被保险人连续投保本保险，且经我们审核同意续保的，则该被保险人续</w:t>
            </w:r>
            <w:r>
              <w:rPr>
                <w:spacing w:val="-12"/>
                <w:sz w:val="21"/>
              </w:rPr>
              <w:t>保无等待期；但若续保时基本保险金额增加的，增加部分对应的等待期自续保</w:t>
            </w:r>
            <w:r>
              <w:rPr>
                <w:spacing w:val="-3"/>
                <w:sz w:val="21"/>
              </w:rPr>
              <w:t>之日起重新计算。</w:t>
            </w:r>
            <w:r>
              <w:rPr>
                <w:sz w:val="21"/>
              </w:rPr>
              <w:t> </w:t>
            </w:r>
          </w:p>
        </w:tc>
      </w:tr>
      <w:tr>
        <w:trPr>
          <w:trHeight w:val="1871" w:hRule="atLeast"/>
        </w:trPr>
        <w:tc>
          <w:tcPr>
            <w:tcW w:w="811" w:type="dxa"/>
          </w:tcPr>
          <w:p>
            <w:pPr>
              <w:pStyle w:val="TableParagraph"/>
              <w:spacing w:before="191"/>
              <w:ind w:left="141"/>
              <w:rPr>
                <w:rFonts w:ascii="Times New Roman"/>
                <w:b/>
                <w:sz w:val="21"/>
              </w:rPr>
            </w:pPr>
            <w:r>
              <w:rPr>
                <w:rFonts w:ascii="Times New Roman"/>
                <w:b/>
                <w:sz w:val="21"/>
              </w:rPr>
              <w:t>10.7</w:t>
            </w:r>
          </w:p>
        </w:tc>
        <w:tc>
          <w:tcPr>
            <w:tcW w:w="1805" w:type="dxa"/>
          </w:tcPr>
          <w:p>
            <w:pPr>
              <w:pStyle w:val="TableParagraph"/>
              <w:spacing w:before="142"/>
              <w:ind w:left="194"/>
              <w:rPr>
                <w:b/>
                <w:sz w:val="21"/>
              </w:rPr>
            </w:pPr>
            <w:r>
              <w:rPr>
                <w:b/>
                <w:sz w:val="21"/>
              </w:rPr>
              <w:t>专科医生</w:t>
            </w:r>
            <w:r>
              <w:rPr>
                <w:b/>
                <w:w w:val="99"/>
                <w:sz w:val="21"/>
              </w:rPr>
              <w:t> </w:t>
            </w:r>
          </w:p>
        </w:tc>
        <w:tc>
          <w:tcPr>
            <w:tcW w:w="7908" w:type="dxa"/>
          </w:tcPr>
          <w:p>
            <w:pPr>
              <w:pStyle w:val="TableParagraph"/>
              <w:spacing w:line="273" w:lineRule="auto" w:before="142"/>
              <w:ind w:left="242" w:right="613"/>
              <w:jc w:val="both"/>
              <w:rPr>
                <w:sz w:val="21"/>
              </w:rPr>
            </w:pPr>
            <w:r>
              <w:rPr>
                <w:spacing w:val="-3"/>
                <w:w w:val="100"/>
                <w:sz w:val="21"/>
              </w:rPr>
              <w:t>专科医生应当同时满足以下四项资格条件</w:t>
            </w:r>
            <w:r>
              <w:rPr>
                <w:spacing w:val="-209"/>
                <w:w w:val="100"/>
                <w:sz w:val="21"/>
              </w:rPr>
              <w:t>：</w:t>
            </w:r>
            <w:r>
              <w:rPr>
                <w:w w:val="100"/>
                <w:sz w:val="21"/>
              </w:rPr>
              <w:t>（</w:t>
            </w:r>
            <w:r>
              <w:rPr>
                <w:spacing w:val="-3"/>
                <w:w w:val="100"/>
                <w:sz w:val="21"/>
              </w:rPr>
              <w:t>1</w:t>
            </w:r>
            <w:r>
              <w:rPr>
                <w:spacing w:val="-101"/>
                <w:w w:val="100"/>
                <w:sz w:val="21"/>
              </w:rPr>
              <w:t>）</w:t>
            </w:r>
            <w:r>
              <w:rPr>
                <w:spacing w:val="-12"/>
                <w:w w:val="100"/>
                <w:sz w:val="21"/>
              </w:rPr>
              <w:t>具有有效的中华人民共和国《医</w:t>
            </w:r>
            <w:r>
              <w:rPr>
                <w:spacing w:val="-40"/>
                <w:w w:val="100"/>
                <w:sz w:val="21"/>
              </w:rPr>
              <w:t>师资格证书》；</w:t>
            </w:r>
            <w:r>
              <w:rPr>
                <w:spacing w:val="-3"/>
                <w:w w:val="100"/>
                <w:sz w:val="21"/>
              </w:rPr>
              <w:t>（</w:t>
            </w:r>
            <w:r>
              <w:rPr>
                <w:w w:val="100"/>
                <w:sz w:val="21"/>
              </w:rPr>
              <w:t>2</w:t>
            </w:r>
            <w:r>
              <w:rPr>
                <w:spacing w:val="-25"/>
                <w:w w:val="100"/>
                <w:sz w:val="21"/>
              </w:rPr>
              <w:t>）</w:t>
            </w:r>
            <w:r>
              <w:rPr>
                <w:spacing w:val="-12"/>
                <w:w w:val="100"/>
                <w:sz w:val="21"/>
              </w:rPr>
              <w:t>具有有效的中华人民共和国《医师执业证书》，并按期到相</w:t>
            </w:r>
            <w:r>
              <w:rPr>
                <w:spacing w:val="-3"/>
                <w:w w:val="100"/>
                <w:sz w:val="21"/>
              </w:rPr>
              <w:t>关部门登记注册</w:t>
            </w:r>
            <w:r>
              <w:rPr>
                <w:spacing w:val="-154"/>
                <w:w w:val="100"/>
                <w:sz w:val="21"/>
              </w:rPr>
              <w:t>；</w:t>
            </w:r>
            <w:r>
              <w:rPr>
                <w:w w:val="100"/>
                <w:sz w:val="21"/>
              </w:rPr>
              <w:t>（</w:t>
            </w:r>
            <w:r>
              <w:rPr>
                <w:spacing w:val="-3"/>
                <w:w w:val="100"/>
                <w:sz w:val="21"/>
              </w:rPr>
              <w:t>3</w:t>
            </w:r>
            <w:r>
              <w:rPr>
                <w:spacing w:val="-48"/>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w:t>
            </w:r>
            <w:r>
              <w:rPr>
                <w:b/>
                <w:spacing w:val="-2"/>
                <w:w w:val="100"/>
                <w:sz w:val="21"/>
              </w:rPr>
              <w:t>医院</w:t>
            </w:r>
            <w:r>
              <w:rPr>
                <w:spacing w:val="-3"/>
                <w:w w:val="100"/>
                <w:sz w:val="21"/>
              </w:rPr>
              <w:t>的相应科室从事临床工作</w:t>
            </w:r>
            <w:r>
              <w:rPr>
                <w:spacing w:val="-3"/>
                <w:sz w:val="21"/>
              </w:rPr>
              <w:t>三年以上。</w:t>
            </w:r>
            <w:r>
              <w:rPr>
                <w:sz w:val="21"/>
              </w:rPr>
              <w:t> </w:t>
            </w:r>
          </w:p>
        </w:tc>
      </w:tr>
      <w:tr>
        <w:trPr>
          <w:trHeight w:val="2184" w:hRule="atLeast"/>
        </w:trPr>
        <w:tc>
          <w:tcPr>
            <w:tcW w:w="811" w:type="dxa"/>
          </w:tcPr>
          <w:p>
            <w:pPr>
              <w:pStyle w:val="TableParagraph"/>
              <w:spacing w:before="191"/>
              <w:ind w:left="141"/>
              <w:rPr>
                <w:rFonts w:ascii="Times New Roman"/>
                <w:b/>
                <w:sz w:val="21"/>
              </w:rPr>
            </w:pPr>
            <w:r>
              <w:rPr>
                <w:rFonts w:ascii="Times New Roman"/>
                <w:b/>
                <w:sz w:val="21"/>
              </w:rPr>
              <w:t>10.8</w:t>
            </w:r>
          </w:p>
        </w:tc>
        <w:tc>
          <w:tcPr>
            <w:tcW w:w="1805" w:type="dxa"/>
          </w:tcPr>
          <w:p>
            <w:pPr>
              <w:pStyle w:val="TableParagraph"/>
              <w:spacing w:before="142"/>
              <w:ind w:left="194"/>
              <w:rPr>
                <w:b/>
                <w:sz w:val="21"/>
              </w:rPr>
            </w:pPr>
            <w:r>
              <w:rPr>
                <w:b/>
                <w:sz w:val="21"/>
              </w:rPr>
              <w:t>医院</w:t>
            </w:r>
          </w:p>
        </w:tc>
        <w:tc>
          <w:tcPr>
            <w:tcW w:w="7908" w:type="dxa"/>
          </w:tcPr>
          <w:p>
            <w:pPr>
              <w:pStyle w:val="TableParagraph"/>
              <w:spacing w:before="142"/>
              <w:ind w:left="242"/>
              <w:rPr>
                <w:sz w:val="21"/>
              </w:rPr>
            </w:pPr>
            <w:r>
              <w:rPr>
                <w:sz w:val="21"/>
              </w:rPr>
              <w:t>是指符合下列所有条件之机构：</w:t>
            </w:r>
          </w:p>
          <w:p>
            <w:pPr>
              <w:pStyle w:val="TableParagraph"/>
              <w:spacing w:before="37"/>
              <w:ind w:left="131"/>
              <w:rPr>
                <w:sz w:val="21"/>
              </w:rPr>
            </w:pPr>
            <w:r>
              <w:rPr>
                <w:sz w:val="21"/>
              </w:rPr>
              <w:t>（</w:t>
            </w:r>
            <w:r>
              <w:rPr>
                <w:rFonts w:ascii="Times New Roman" w:eastAsia="Times New Roman"/>
                <w:sz w:val="21"/>
              </w:rPr>
              <w:t>1</w:t>
            </w:r>
            <w:r>
              <w:rPr>
                <w:sz w:val="21"/>
              </w:rPr>
              <w:t>）拥有合法经营执照；</w:t>
            </w:r>
          </w:p>
          <w:p>
            <w:pPr>
              <w:pStyle w:val="TableParagraph"/>
              <w:spacing w:before="21"/>
              <w:ind w:left="131"/>
              <w:rPr>
                <w:sz w:val="21"/>
              </w:rPr>
            </w:pPr>
            <w:r>
              <w:rPr>
                <w:sz w:val="21"/>
              </w:rPr>
              <w:t>（</w:t>
            </w:r>
            <w:r>
              <w:rPr>
                <w:rFonts w:ascii="Times New Roman" w:eastAsia="Times New Roman"/>
                <w:sz w:val="21"/>
              </w:rPr>
              <w:t>2</w:t>
            </w:r>
            <w:r>
              <w:rPr>
                <w:sz w:val="21"/>
              </w:rPr>
              <w:t>）设立的主要目的为向受伤者和患病者提供住院治疗；</w:t>
            </w:r>
          </w:p>
          <w:p>
            <w:pPr>
              <w:pStyle w:val="TableParagraph"/>
              <w:spacing w:before="21"/>
              <w:ind w:left="131"/>
              <w:rPr>
                <w:sz w:val="21"/>
              </w:rPr>
            </w:pPr>
            <w:r>
              <w:rPr>
                <w:sz w:val="21"/>
              </w:rPr>
              <w:t>（</w:t>
            </w:r>
            <w:r>
              <w:rPr>
                <w:rFonts w:ascii="Times New Roman" w:eastAsia="Times New Roman"/>
                <w:sz w:val="21"/>
              </w:rPr>
              <w:t>3</w:t>
            </w:r>
            <w:r>
              <w:rPr>
                <w:sz w:val="21"/>
              </w:rPr>
              <w:t>）有合格的医生和护士提供全日 </w:t>
            </w:r>
            <w:r>
              <w:rPr>
                <w:rFonts w:ascii="Times New Roman" w:eastAsia="Times New Roman"/>
                <w:sz w:val="21"/>
              </w:rPr>
              <w:t>24 </w:t>
            </w:r>
            <w:r>
              <w:rPr>
                <w:sz w:val="21"/>
              </w:rPr>
              <w:t>小时的医疗和护理服务；</w:t>
            </w:r>
          </w:p>
          <w:p>
            <w:pPr>
              <w:pStyle w:val="TableParagraph"/>
              <w:spacing w:line="256" w:lineRule="auto" w:before="21"/>
              <w:ind w:left="242" w:right="727" w:hanging="108"/>
              <w:rPr>
                <w:sz w:val="21"/>
              </w:rPr>
            </w:pPr>
            <w:r>
              <w:rPr>
                <w:sz w:val="21"/>
              </w:rPr>
              <w:t>（</w:t>
            </w:r>
            <w:r>
              <w:rPr>
                <w:rFonts w:ascii="Times New Roman" w:eastAsia="Times New Roman"/>
                <w:sz w:val="21"/>
              </w:rPr>
              <w:t>4</w:t>
            </w:r>
            <w:r>
              <w:rPr>
                <w:sz w:val="21"/>
              </w:rPr>
              <w:t>）</w:t>
            </w:r>
            <w:r>
              <w:rPr>
                <w:spacing w:val="-12"/>
                <w:sz w:val="21"/>
              </w:rPr>
              <w:t> 非主要作为诊所，或康复、护理、疗养、戒酒、戒毒、或类似的医院。</w:t>
            </w:r>
            <w:r>
              <w:rPr>
                <w:spacing w:val="-6"/>
                <w:sz w:val="21"/>
              </w:rPr>
              <w:t>在中国大陆境内需为国家卫生行政部门认定的二级或二级以上医院。</w:t>
            </w:r>
          </w:p>
        </w:tc>
      </w:tr>
      <w:tr>
        <w:trPr>
          <w:trHeight w:val="1560" w:hRule="atLeast"/>
        </w:trPr>
        <w:tc>
          <w:tcPr>
            <w:tcW w:w="811" w:type="dxa"/>
          </w:tcPr>
          <w:p>
            <w:pPr>
              <w:pStyle w:val="TableParagraph"/>
              <w:spacing w:before="191"/>
              <w:ind w:left="141"/>
              <w:rPr>
                <w:rFonts w:ascii="Times New Roman"/>
                <w:b/>
                <w:sz w:val="21"/>
              </w:rPr>
            </w:pPr>
            <w:r>
              <w:rPr>
                <w:rFonts w:ascii="Times New Roman"/>
                <w:b/>
                <w:sz w:val="21"/>
              </w:rPr>
              <w:t>10.9</w:t>
            </w:r>
          </w:p>
        </w:tc>
        <w:tc>
          <w:tcPr>
            <w:tcW w:w="1805" w:type="dxa"/>
          </w:tcPr>
          <w:p>
            <w:pPr>
              <w:pStyle w:val="TableParagraph"/>
              <w:spacing w:before="142"/>
              <w:ind w:left="194"/>
              <w:rPr>
                <w:b/>
                <w:sz w:val="21"/>
              </w:rPr>
            </w:pPr>
            <w:r>
              <w:rPr>
                <w:b/>
                <w:sz w:val="21"/>
              </w:rPr>
              <w:t>毒品</w:t>
            </w:r>
          </w:p>
        </w:tc>
        <w:tc>
          <w:tcPr>
            <w:tcW w:w="7908" w:type="dxa"/>
          </w:tcPr>
          <w:p>
            <w:pPr>
              <w:pStyle w:val="TableParagraph"/>
              <w:spacing w:line="273" w:lineRule="auto" w:before="142"/>
              <w:ind w:left="242" w:right="61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2"/>
                <w:sz w:val="21"/>
              </w:rPr>
              <w:t>品，但不包括由医生开具并遵医嘱使用的用于治疗疾病但含有毒品成分的处方药品。</w:t>
            </w:r>
          </w:p>
        </w:tc>
      </w:tr>
      <w:tr>
        <w:trPr>
          <w:trHeight w:val="1247" w:hRule="atLeast"/>
        </w:trPr>
        <w:tc>
          <w:tcPr>
            <w:tcW w:w="811" w:type="dxa"/>
          </w:tcPr>
          <w:p>
            <w:pPr>
              <w:pStyle w:val="TableParagraph"/>
              <w:spacing w:before="191"/>
              <w:ind w:left="141"/>
              <w:rPr>
                <w:rFonts w:ascii="Times New Roman"/>
                <w:b/>
                <w:sz w:val="21"/>
              </w:rPr>
            </w:pPr>
            <w:r>
              <w:rPr>
                <w:rFonts w:ascii="Times New Roman"/>
                <w:b/>
                <w:sz w:val="21"/>
              </w:rPr>
              <w:t>10.10</w:t>
            </w:r>
          </w:p>
        </w:tc>
        <w:tc>
          <w:tcPr>
            <w:tcW w:w="1805" w:type="dxa"/>
          </w:tcPr>
          <w:p>
            <w:pPr>
              <w:pStyle w:val="TableParagraph"/>
              <w:spacing w:before="142"/>
              <w:ind w:left="194"/>
              <w:rPr>
                <w:b/>
                <w:sz w:val="21"/>
              </w:rPr>
            </w:pPr>
            <w:r>
              <w:rPr>
                <w:b/>
                <w:sz w:val="21"/>
              </w:rPr>
              <w:t>酒后驾驶</w:t>
            </w:r>
            <w:r>
              <w:rPr>
                <w:b/>
                <w:w w:val="99"/>
                <w:sz w:val="21"/>
              </w:rPr>
              <w:t> </w:t>
            </w:r>
          </w:p>
        </w:tc>
        <w:tc>
          <w:tcPr>
            <w:tcW w:w="7908" w:type="dxa"/>
          </w:tcPr>
          <w:p>
            <w:pPr>
              <w:pStyle w:val="TableParagraph"/>
              <w:spacing w:line="273" w:lineRule="auto" w:before="142"/>
              <w:ind w:left="242" w:right="613"/>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r>
              <w:rPr>
                <w:sz w:val="21"/>
              </w:rPr>
              <w:t> </w:t>
            </w:r>
          </w:p>
        </w:tc>
      </w:tr>
      <w:tr>
        <w:trPr>
          <w:trHeight w:val="2031" w:hRule="atLeast"/>
        </w:trPr>
        <w:tc>
          <w:tcPr>
            <w:tcW w:w="811" w:type="dxa"/>
          </w:tcPr>
          <w:p>
            <w:pPr>
              <w:pStyle w:val="TableParagraph"/>
              <w:spacing w:before="191"/>
              <w:ind w:left="141"/>
              <w:rPr>
                <w:rFonts w:ascii="Times New Roman"/>
                <w:b/>
                <w:sz w:val="21"/>
              </w:rPr>
            </w:pPr>
            <w:r>
              <w:rPr>
                <w:rFonts w:ascii="Times New Roman"/>
                <w:b/>
                <w:sz w:val="21"/>
              </w:rPr>
              <w:t>10.11</w:t>
            </w:r>
          </w:p>
        </w:tc>
        <w:tc>
          <w:tcPr>
            <w:tcW w:w="1805" w:type="dxa"/>
          </w:tcPr>
          <w:p>
            <w:pPr>
              <w:pStyle w:val="TableParagraph"/>
              <w:spacing w:line="273" w:lineRule="auto" w:before="142"/>
              <w:ind w:left="194" w:right="131"/>
              <w:rPr>
                <w:b/>
                <w:sz w:val="21"/>
              </w:rPr>
            </w:pPr>
            <w:r>
              <w:rPr>
                <w:b/>
                <w:sz w:val="21"/>
              </w:rPr>
              <w:t>无合法有效驾驶证驾驶</w:t>
            </w:r>
          </w:p>
        </w:tc>
        <w:tc>
          <w:tcPr>
            <w:tcW w:w="7908" w:type="dxa"/>
          </w:tcPr>
          <w:p>
            <w:pPr>
              <w:pStyle w:val="TableParagraph"/>
              <w:spacing w:before="142"/>
              <w:ind w:left="242"/>
              <w:rPr>
                <w:sz w:val="21"/>
              </w:rPr>
            </w:pPr>
            <w:r>
              <w:rPr>
                <w:sz w:val="21"/>
              </w:rPr>
              <w:t>指下列情形之一： </w:t>
            </w:r>
          </w:p>
          <w:p>
            <w:pPr>
              <w:pStyle w:val="TableParagraph"/>
              <w:spacing w:before="37"/>
              <w:ind w:left="242"/>
              <w:rPr>
                <w:sz w:val="21"/>
              </w:rPr>
            </w:pPr>
            <w:r>
              <w:rPr>
                <w:sz w:val="21"/>
              </w:rPr>
              <w:t>（1）没有取得驾驶资格； </w:t>
            </w:r>
          </w:p>
          <w:p>
            <w:pPr>
              <w:pStyle w:val="TableParagraph"/>
              <w:spacing w:before="37"/>
              <w:ind w:left="242"/>
              <w:rPr>
                <w:sz w:val="21"/>
              </w:rPr>
            </w:pPr>
            <w:r>
              <w:rPr>
                <w:sz w:val="21"/>
              </w:rPr>
              <w:t>（2）驾驶与驾驶证准驾车型不相符合的车辆； </w:t>
            </w:r>
          </w:p>
          <w:p>
            <w:pPr>
              <w:pStyle w:val="TableParagraph"/>
              <w:spacing w:before="37"/>
              <w:ind w:left="242"/>
              <w:rPr>
                <w:sz w:val="21"/>
              </w:rPr>
            </w:pPr>
            <w:r>
              <w:rPr>
                <w:sz w:val="21"/>
              </w:rPr>
              <w:t>（3）持审验不合格的驾驶证驾驶； </w:t>
            </w:r>
          </w:p>
          <w:p>
            <w:pPr>
              <w:pStyle w:val="TableParagraph"/>
              <w:spacing w:line="273" w:lineRule="auto" w:before="37"/>
              <w:ind w:left="242" w:right="623"/>
              <w:rPr>
                <w:sz w:val="21"/>
              </w:rPr>
            </w:pPr>
            <w:r>
              <w:rPr>
                <w:sz w:val="21"/>
              </w:rPr>
              <w:t>（4）持学习驾驶证学习驾车时，无教练员随车指导，或不按指定时间、路线学习驾车。 </w:t>
            </w:r>
          </w:p>
        </w:tc>
      </w:tr>
      <w:tr>
        <w:trPr>
          <w:trHeight w:val="308" w:hRule="atLeast"/>
        </w:trPr>
        <w:tc>
          <w:tcPr>
            <w:tcW w:w="811" w:type="dxa"/>
          </w:tcPr>
          <w:p>
            <w:pPr>
              <w:pStyle w:val="TableParagraph"/>
              <w:rPr>
                <w:rFonts w:ascii="Times New Roman"/>
                <w:sz w:val="20"/>
              </w:rPr>
            </w:pPr>
          </w:p>
        </w:tc>
        <w:tc>
          <w:tcPr>
            <w:tcW w:w="1805" w:type="dxa"/>
          </w:tcPr>
          <w:p>
            <w:pPr>
              <w:pStyle w:val="TableParagraph"/>
              <w:rPr>
                <w:rFonts w:ascii="Times New Roman"/>
                <w:sz w:val="20"/>
              </w:rPr>
            </w:pPr>
          </w:p>
        </w:tc>
        <w:tc>
          <w:tcPr>
            <w:tcW w:w="7908" w:type="dxa"/>
          </w:tcPr>
          <w:p>
            <w:pPr>
              <w:pStyle w:val="TableParagraph"/>
              <w:spacing w:line="258" w:lineRule="exact"/>
              <w:ind w:left="242"/>
              <w:rPr>
                <w:sz w:val="21"/>
              </w:rPr>
            </w:pPr>
            <w:r>
              <w:rPr>
                <w:w w:val="100"/>
                <w:sz w:val="21"/>
              </w:rPr>
              <w:t> </w:t>
            </w:r>
          </w:p>
        </w:tc>
      </w:tr>
      <w:tr>
        <w:trPr>
          <w:trHeight w:val="1091" w:hRule="atLeast"/>
        </w:trPr>
        <w:tc>
          <w:tcPr>
            <w:tcW w:w="811" w:type="dxa"/>
          </w:tcPr>
          <w:p>
            <w:pPr>
              <w:pStyle w:val="TableParagraph"/>
              <w:spacing w:before="35"/>
              <w:ind w:left="141"/>
              <w:rPr>
                <w:rFonts w:ascii="Times New Roman"/>
                <w:b/>
                <w:sz w:val="21"/>
              </w:rPr>
            </w:pPr>
            <w:r>
              <w:rPr>
                <w:rFonts w:ascii="Times New Roman"/>
                <w:b/>
                <w:sz w:val="21"/>
              </w:rPr>
              <w:t>10.12</w:t>
            </w:r>
          </w:p>
        </w:tc>
        <w:tc>
          <w:tcPr>
            <w:tcW w:w="1805" w:type="dxa"/>
          </w:tcPr>
          <w:p>
            <w:pPr>
              <w:pStyle w:val="TableParagraph"/>
              <w:spacing w:line="261" w:lineRule="exact"/>
              <w:ind w:left="194"/>
              <w:rPr>
                <w:b/>
                <w:sz w:val="21"/>
              </w:rPr>
            </w:pPr>
            <w:r>
              <w:rPr>
                <w:b/>
                <w:sz w:val="21"/>
              </w:rPr>
              <w:t>无有效行驶证</w:t>
            </w:r>
          </w:p>
        </w:tc>
        <w:tc>
          <w:tcPr>
            <w:tcW w:w="7908" w:type="dxa"/>
          </w:tcPr>
          <w:p>
            <w:pPr>
              <w:pStyle w:val="TableParagraph"/>
              <w:spacing w:line="261" w:lineRule="exact"/>
              <w:ind w:left="242"/>
              <w:rPr>
                <w:sz w:val="21"/>
              </w:rPr>
            </w:pPr>
            <w:r>
              <w:rPr>
                <w:sz w:val="21"/>
              </w:rPr>
              <w:t>指下列情形之一： </w:t>
            </w:r>
          </w:p>
          <w:p>
            <w:pPr>
              <w:pStyle w:val="TableParagraph"/>
              <w:spacing w:before="37"/>
              <w:ind w:left="242"/>
              <w:rPr>
                <w:sz w:val="21"/>
              </w:rPr>
            </w:pPr>
            <w:r>
              <w:rPr>
                <w:sz w:val="21"/>
              </w:rPr>
              <w:t>（1）机动车被依法注销登记的；  </w:t>
            </w:r>
          </w:p>
          <w:p>
            <w:pPr>
              <w:pStyle w:val="TableParagraph"/>
              <w:spacing w:before="37"/>
              <w:ind w:left="242"/>
              <w:rPr>
                <w:sz w:val="21"/>
              </w:rPr>
            </w:pPr>
            <w:r>
              <w:rPr>
                <w:sz w:val="21"/>
              </w:rPr>
              <w:t>（2）未依法按时进行或通过机动车安全技术检验。 </w:t>
            </w:r>
          </w:p>
        </w:tc>
      </w:tr>
      <w:tr>
        <w:trPr>
          <w:trHeight w:val="1719" w:hRule="atLeast"/>
        </w:trPr>
        <w:tc>
          <w:tcPr>
            <w:tcW w:w="811" w:type="dxa"/>
          </w:tcPr>
          <w:p>
            <w:pPr>
              <w:pStyle w:val="TableParagraph"/>
              <w:spacing w:before="191"/>
              <w:ind w:left="141"/>
              <w:rPr>
                <w:rFonts w:ascii="Times New Roman"/>
                <w:b/>
                <w:sz w:val="21"/>
              </w:rPr>
            </w:pPr>
            <w:r>
              <w:rPr>
                <w:rFonts w:ascii="Times New Roman"/>
                <w:b/>
                <w:sz w:val="21"/>
              </w:rPr>
              <w:t>10.13</w:t>
            </w:r>
          </w:p>
        </w:tc>
        <w:tc>
          <w:tcPr>
            <w:tcW w:w="1805" w:type="dxa"/>
          </w:tcPr>
          <w:p>
            <w:pPr>
              <w:pStyle w:val="TableParagraph"/>
              <w:spacing w:line="273" w:lineRule="auto" w:before="142"/>
              <w:ind w:left="194" w:right="131"/>
              <w:rPr>
                <w:b/>
                <w:sz w:val="21"/>
              </w:rPr>
            </w:pPr>
            <w:r>
              <w:rPr>
                <w:b/>
                <w:sz w:val="21"/>
              </w:rPr>
              <w:t>感染艾滋病病毒或患艾滋病</w:t>
            </w:r>
            <w:r>
              <w:rPr>
                <w:b/>
                <w:w w:val="99"/>
                <w:sz w:val="21"/>
              </w:rPr>
              <w:t> </w:t>
            </w:r>
          </w:p>
        </w:tc>
        <w:tc>
          <w:tcPr>
            <w:tcW w:w="7908" w:type="dxa"/>
          </w:tcPr>
          <w:p>
            <w:pPr>
              <w:pStyle w:val="TableParagraph"/>
              <w:spacing w:line="273" w:lineRule="auto" w:before="142"/>
              <w:ind w:left="242" w:right="614"/>
              <w:jc w:val="both"/>
              <w:rPr>
                <w:sz w:val="21"/>
              </w:rPr>
            </w:pPr>
            <w:r>
              <w:rPr>
                <w:spacing w:val="-7"/>
                <w:sz w:val="21"/>
              </w:rPr>
              <w:t>艾滋病病毒指人类免疫缺陷病毒，英文缩写为 </w:t>
            </w:r>
            <w:r>
              <w:rPr>
                <w:sz w:val="21"/>
              </w:rPr>
              <w:t>HIV</w:t>
            </w:r>
            <w:r>
              <w:rPr>
                <w:spacing w:val="-6"/>
                <w:sz w:val="21"/>
              </w:rPr>
              <w:t>。艾滋病指人类免疫缺陷病</w:t>
            </w:r>
            <w:r>
              <w:rPr>
                <w:spacing w:val="-2"/>
                <w:sz w:val="21"/>
              </w:rPr>
              <w:t>毒引起的获得性免疫缺陷综合征，英文缩写为</w:t>
            </w:r>
            <w:r>
              <w:rPr>
                <w:sz w:val="21"/>
              </w:rPr>
              <w:t>AIDS。 </w:t>
            </w:r>
          </w:p>
          <w:p>
            <w:pPr>
              <w:pStyle w:val="TableParagraph"/>
              <w:spacing w:line="273" w:lineRule="auto" w:before="8"/>
              <w:ind w:left="242" w:right="613"/>
              <w:jc w:val="both"/>
              <w:rPr>
                <w:sz w:val="21"/>
              </w:rPr>
            </w:pPr>
            <w:r>
              <w:rPr>
                <w:spacing w:val="-7"/>
                <w:sz w:val="21"/>
              </w:rPr>
              <w:t>在人体血液或其他样本中检测到艾滋病病毒或其抗体呈阳性，没有出现临床症</w:t>
            </w:r>
            <w:r>
              <w:rPr>
                <w:spacing w:val="-11"/>
                <w:sz w:val="21"/>
              </w:rPr>
              <w:t>状或体征的，为感染艾滋病病毒；如果同时出现了明显临床症状或体征的，为</w:t>
            </w:r>
            <w:r>
              <w:rPr>
                <w:spacing w:val="-7"/>
                <w:sz w:val="21"/>
              </w:rPr>
              <w:t>患艾滋病。</w:t>
            </w:r>
            <w:r>
              <w:rPr>
                <w:sz w:val="21"/>
              </w:rPr>
              <w:t> </w:t>
            </w:r>
          </w:p>
        </w:tc>
      </w:tr>
      <w:tr>
        <w:trPr>
          <w:trHeight w:val="308" w:hRule="atLeast"/>
        </w:trPr>
        <w:tc>
          <w:tcPr>
            <w:tcW w:w="811" w:type="dxa"/>
          </w:tcPr>
          <w:p>
            <w:pPr>
              <w:pStyle w:val="TableParagraph"/>
              <w:rPr>
                <w:rFonts w:ascii="Times New Roman"/>
                <w:sz w:val="20"/>
              </w:rPr>
            </w:pPr>
          </w:p>
        </w:tc>
        <w:tc>
          <w:tcPr>
            <w:tcW w:w="1805" w:type="dxa"/>
          </w:tcPr>
          <w:p>
            <w:pPr>
              <w:pStyle w:val="TableParagraph"/>
              <w:spacing w:line="257" w:lineRule="exact"/>
              <w:ind w:left="194"/>
              <w:rPr>
                <w:sz w:val="21"/>
              </w:rPr>
            </w:pPr>
            <w:r>
              <w:rPr>
                <w:w w:val="100"/>
                <w:sz w:val="21"/>
              </w:rPr>
              <w:t> </w:t>
            </w:r>
          </w:p>
        </w:tc>
        <w:tc>
          <w:tcPr>
            <w:tcW w:w="7908" w:type="dxa"/>
          </w:tcPr>
          <w:p>
            <w:pPr>
              <w:pStyle w:val="TableParagraph"/>
              <w:spacing w:line="257" w:lineRule="exact"/>
              <w:ind w:left="242"/>
              <w:rPr>
                <w:sz w:val="21"/>
              </w:rPr>
            </w:pPr>
            <w:r>
              <w:rPr>
                <w:w w:val="100"/>
                <w:sz w:val="21"/>
              </w:rPr>
              <w:t> </w:t>
            </w:r>
          </w:p>
        </w:tc>
      </w:tr>
      <w:tr>
        <w:trPr>
          <w:trHeight w:val="627" w:hRule="atLeast"/>
        </w:trPr>
        <w:tc>
          <w:tcPr>
            <w:tcW w:w="811" w:type="dxa"/>
          </w:tcPr>
          <w:p>
            <w:pPr>
              <w:pStyle w:val="TableParagraph"/>
              <w:spacing w:before="35"/>
              <w:ind w:left="141"/>
              <w:rPr>
                <w:rFonts w:ascii="Times New Roman"/>
                <w:b/>
                <w:sz w:val="21"/>
              </w:rPr>
            </w:pPr>
            <w:r>
              <w:rPr>
                <w:rFonts w:ascii="Times New Roman"/>
                <w:b/>
                <w:sz w:val="21"/>
              </w:rPr>
              <w:t>10.14</w:t>
            </w:r>
          </w:p>
        </w:tc>
        <w:tc>
          <w:tcPr>
            <w:tcW w:w="1805" w:type="dxa"/>
          </w:tcPr>
          <w:p>
            <w:pPr>
              <w:pStyle w:val="TableParagraph"/>
              <w:spacing w:line="261" w:lineRule="exact"/>
              <w:ind w:left="194"/>
              <w:rPr>
                <w:b/>
                <w:sz w:val="21"/>
              </w:rPr>
            </w:pPr>
            <w:r>
              <w:rPr>
                <w:b/>
                <w:sz w:val="21"/>
              </w:rPr>
              <w:t>遗传性疾病</w:t>
            </w:r>
            <w:r>
              <w:rPr>
                <w:b/>
                <w:w w:val="99"/>
                <w:sz w:val="21"/>
              </w:rPr>
              <w:t> </w:t>
            </w:r>
          </w:p>
        </w:tc>
        <w:tc>
          <w:tcPr>
            <w:tcW w:w="7908" w:type="dxa"/>
          </w:tcPr>
          <w:p>
            <w:pPr>
              <w:pStyle w:val="TableParagraph"/>
              <w:spacing w:line="261" w:lineRule="exact"/>
              <w:ind w:left="242"/>
              <w:rPr>
                <w:sz w:val="21"/>
              </w:rPr>
            </w:pPr>
            <w:r>
              <w:rPr>
                <w:sz w:val="21"/>
              </w:rPr>
              <w:t>指生殖细胞或受精卵的遗传物质（染色体和基因）发生突变或畸变所引起的疾</w:t>
            </w:r>
          </w:p>
          <w:p>
            <w:pPr>
              <w:pStyle w:val="TableParagraph"/>
              <w:spacing w:before="37"/>
              <w:ind w:left="242"/>
              <w:rPr>
                <w:sz w:val="21"/>
              </w:rPr>
            </w:pPr>
            <w:r>
              <w:rPr>
                <w:sz w:val="21"/>
              </w:rPr>
              <w:t>病，通常具有由亲代传至后代的垂直传递的特征。 </w:t>
            </w:r>
          </w:p>
        </w:tc>
      </w:tr>
      <w:tr>
        <w:trPr>
          <w:trHeight w:val="261" w:hRule="atLeast"/>
        </w:trPr>
        <w:tc>
          <w:tcPr>
            <w:tcW w:w="811" w:type="dxa"/>
          </w:tcPr>
          <w:p>
            <w:pPr>
              <w:pStyle w:val="TableParagraph"/>
              <w:rPr>
                <w:rFonts w:ascii="Times New Roman"/>
                <w:sz w:val="18"/>
              </w:rPr>
            </w:pPr>
          </w:p>
        </w:tc>
        <w:tc>
          <w:tcPr>
            <w:tcW w:w="1805" w:type="dxa"/>
          </w:tcPr>
          <w:p>
            <w:pPr>
              <w:pStyle w:val="TableParagraph"/>
              <w:spacing w:line="242" w:lineRule="exact"/>
              <w:ind w:left="194"/>
              <w:rPr>
                <w:sz w:val="21"/>
              </w:rPr>
            </w:pPr>
            <w:r>
              <w:rPr>
                <w:w w:val="100"/>
                <w:sz w:val="21"/>
              </w:rPr>
              <w:t> </w:t>
            </w:r>
          </w:p>
        </w:tc>
        <w:tc>
          <w:tcPr>
            <w:tcW w:w="7908" w:type="dxa"/>
          </w:tcPr>
          <w:p>
            <w:pPr>
              <w:pStyle w:val="TableParagraph"/>
              <w:spacing w:line="242" w:lineRule="exact"/>
              <w:ind w:left="242"/>
              <w:rPr>
                <w:sz w:val="21"/>
              </w:rPr>
            </w:pPr>
            <w:r>
              <w:rPr>
                <w:w w:val="100"/>
                <w:sz w:val="21"/>
              </w:rPr>
              <w:t> </w:t>
            </w:r>
          </w:p>
        </w:tc>
      </w:tr>
    </w:tbl>
    <w:p>
      <w:pPr>
        <w:spacing w:after="0" w:line="242" w:lineRule="exact"/>
        <w:rPr>
          <w:sz w:val="21"/>
        </w:rPr>
        <w:sectPr>
          <w:pgSz w:w="11910" w:h="16840"/>
          <w:pgMar w:header="0" w:footer="545" w:top="780" w:bottom="74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940"/>
        <w:gridCol w:w="7772"/>
      </w:tblGrid>
      <w:tr>
        <w:trPr>
          <w:trHeight w:val="936" w:hRule="atLeast"/>
        </w:trPr>
        <w:tc>
          <w:tcPr>
            <w:tcW w:w="811" w:type="dxa"/>
            <w:tcBorders>
              <w:top w:val="single" w:sz="6" w:space="0" w:color="000000"/>
            </w:tcBorders>
          </w:tcPr>
          <w:p>
            <w:pPr>
              <w:pStyle w:val="TableParagraph"/>
              <w:spacing w:before="32"/>
              <w:ind w:left="141"/>
              <w:rPr>
                <w:rFonts w:ascii="Times New Roman"/>
                <w:b/>
                <w:sz w:val="21"/>
              </w:rPr>
            </w:pPr>
            <w:r>
              <w:rPr>
                <w:rFonts w:ascii="Times New Roman"/>
                <w:b/>
                <w:sz w:val="21"/>
              </w:rPr>
              <w:t>10.15</w:t>
            </w:r>
          </w:p>
        </w:tc>
        <w:tc>
          <w:tcPr>
            <w:tcW w:w="1940" w:type="dxa"/>
            <w:tcBorders>
              <w:top w:val="single" w:sz="6" w:space="0" w:color="000000"/>
            </w:tcBorders>
          </w:tcPr>
          <w:p>
            <w:pPr>
              <w:pStyle w:val="TableParagraph"/>
              <w:spacing w:line="258" w:lineRule="exact"/>
              <w:ind w:left="194"/>
              <w:rPr>
                <w:b/>
                <w:sz w:val="21"/>
              </w:rPr>
            </w:pPr>
            <w:r>
              <w:rPr>
                <w:b/>
                <w:sz w:val="21"/>
              </w:rPr>
              <w:t>先天性畸形、变形</w:t>
            </w:r>
          </w:p>
          <w:p>
            <w:pPr>
              <w:pStyle w:val="TableParagraph"/>
              <w:spacing w:before="37"/>
              <w:ind w:left="194"/>
              <w:rPr>
                <w:b/>
                <w:sz w:val="21"/>
              </w:rPr>
            </w:pPr>
            <w:r>
              <w:rPr>
                <w:b/>
                <w:sz w:val="21"/>
              </w:rPr>
              <w:t>或染色体异常</w:t>
            </w:r>
            <w:r>
              <w:rPr>
                <w:b/>
                <w:w w:val="99"/>
                <w:sz w:val="21"/>
              </w:rPr>
              <w:t> </w:t>
            </w:r>
          </w:p>
        </w:tc>
        <w:tc>
          <w:tcPr>
            <w:tcW w:w="7772" w:type="dxa"/>
            <w:tcBorders>
              <w:top w:val="single" w:sz="6" w:space="0" w:color="000000"/>
            </w:tcBorders>
          </w:tcPr>
          <w:p>
            <w:pPr>
              <w:pStyle w:val="TableParagraph"/>
              <w:spacing w:line="258" w:lineRule="exact"/>
              <w:ind w:left="107"/>
              <w:rPr>
                <w:sz w:val="21"/>
              </w:rPr>
            </w:pPr>
            <w:r>
              <w:rPr>
                <w:sz w:val="21"/>
              </w:rPr>
              <w:t>指被保险人出生时就具有的畸形、变形或染色体异常。先天性畸形、变形和染</w:t>
            </w:r>
          </w:p>
          <w:p>
            <w:pPr>
              <w:pStyle w:val="TableParagraph"/>
              <w:spacing w:line="273" w:lineRule="auto" w:before="37"/>
              <w:ind w:left="107" w:right="510"/>
              <w:rPr>
                <w:sz w:val="21"/>
              </w:rPr>
            </w:pPr>
            <w:r>
              <w:rPr>
                <w:spacing w:val="-7"/>
                <w:sz w:val="21"/>
              </w:rPr>
              <w:t>色体异常依照世界卫生组织《疾病和有关健康问题的国际统计分类</w:t>
            </w:r>
            <w:r>
              <w:rPr>
                <w:spacing w:val="-154"/>
                <w:sz w:val="21"/>
              </w:rPr>
              <w:t>》</w:t>
            </w:r>
            <w:r>
              <w:rPr>
                <w:sz w:val="21"/>
              </w:rPr>
              <w:t>（ICD-10） </w:t>
            </w:r>
            <w:r>
              <w:rPr>
                <w:spacing w:val="-1"/>
                <w:sz w:val="21"/>
              </w:rPr>
              <w:t>确定。</w:t>
            </w:r>
            <w:r>
              <w:rPr>
                <w:sz w:val="21"/>
              </w:rPr>
              <w:t> </w:t>
            </w:r>
          </w:p>
        </w:tc>
      </w:tr>
      <w:tr>
        <w:trPr>
          <w:trHeight w:val="307" w:hRule="atLeast"/>
        </w:trPr>
        <w:tc>
          <w:tcPr>
            <w:tcW w:w="811" w:type="dxa"/>
          </w:tcPr>
          <w:p>
            <w:pPr>
              <w:pStyle w:val="TableParagraph"/>
              <w:rPr>
                <w:rFonts w:ascii="Times New Roman"/>
                <w:sz w:val="20"/>
              </w:rPr>
            </w:pPr>
          </w:p>
        </w:tc>
        <w:tc>
          <w:tcPr>
            <w:tcW w:w="1940" w:type="dxa"/>
          </w:tcPr>
          <w:p>
            <w:pPr>
              <w:pStyle w:val="TableParagraph"/>
              <w:spacing w:line="257" w:lineRule="exact"/>
              <w:ind w:left="194"/>
              <w:rPr>
                <w:b/>
                <w:sz w:val="21"/>
              </w:rPr>
            </w:pPr>
            <w:r>
              <w:rPr>
                <w:b/>
                <w:w w:val="99"/>
                <w:sz w:val="21"/>
              </w:rPr>
              <w:t> </w:t>
            </w:r>
          </w:p>
        </w:tc>
        <w:tc>
          <w:tcPr>
            <w:tcW w:w="7772" w:type="dxa"/>
          </w:tcPr>
          <w:p>
            <w:pPr>
              <w:pStyle w:val="TableParagraph"/>
              <w:spacing w:line="257" w:lineRule="exact"/>
              <w:ind w:left="107"/>
              <w:rPr>
                <w:sz w:val="21"/>
              </w:rPr>
            </w:pPr>
            <w:r>
              <w:rPr>
                <w:w w:val="100"/>
                <w:sz w:val="21"/>
              </w:rPr>
              <w:t> </w:t>
            </w:r>
          </w:p>
        </w:tc>
      </w:tr>
      <w:tr>
        <w:trPr>
          <w:trHeight w:val="781" w:hRule="atLeast"/>
        </w:trPr>
        <w:tc>
          <w:tcPr>
            <w:tcW w:w="811" w:type="dxa"/>
          </w:tcPr>
          <w:p>
            <w:pPr>
              <w:pStyle w:val="TableParagraph"/>
              <w:spacing w:before="36"/>
              <w:ind w:left="141"/>
              <w:rPr>
                <w:rFonts w:ascii="Times New Roman"/>
                <w:b/>
                <w:sz w:val="21"/>
              </w:rPr>
            </w:pPr>
            <w:r>
              <w:rPr>
                <w:rFonts w:ascii="Times New Roman"/>
                <w:b/>
                <w:sz w:val="21"/>
              </w:rPr>
              <w:t>10.16</w:t>
            </w:r>
          </w:p>
        </w:tc>
        <w:tc>
          <w:tcPr>
            <w:tcW w:w="1940" w:type="dxa"/>
          </w:tcPr>
          <w:p>
            <w:pPr>
              <w:pStyle w:val="TableParagraph"/>
              <w:spacing w:line="262" w:lineRule="exact"/>
              <w:ind w:left="194"/>
              <w:rPr>
                <w:b/>
                <w:sz w:val="21"/>
              </w:rPr>
            </w:pPr>
            <w:r>
              <w:rPr>
                <w:b/>
                <w:sz w:val="21"/>
              </w:rPr>
              <w:t>未满期净保险费</w:t>
            </w:r>
          </w:p>
        </w:tc>
        <w:tc>
          <w:tcPr>
            <w:tcW w:w="7772" w:type="dxa"/>
          </w:tcPr>
          <w:p>
            <w:pPr>
              <w:pStyle w:val="TableParagraph"/>
              <w:spacing w:line="259" w:lineRule="auto"/>
              <w:ind w:left="107" w:right="671" w:hanging="1"/>
              <w:rPr>
                <w:sz w:val="21"/>
              </w:rPr>
            </w:pPr>
            <w:r>
              <w:rPr>
                <w:spacing w:val="-6"/>
                <w:sz w:val="21"/>
              </w:rPr>
              <w:t>未满期净保险费 = 已交保险费 </w:t>
            </w:r>
            <w:r>
              <w:rPr>
                <w:rFonts w:ascii="Arial" w:hAnsi="Arial" w:eastAsia="Arial"/>
                <w:sz w:val="21"/>
              </w:rPr>
              <w:t>Ï </w:t>
            </w:r>
            <w:r>
              <w:rPr>
                <w:sz w:val="21"/>
              </w:rPr>
              <w:t>（1-25%） </w:t>
            </w:r>
            <w:r>
              <w:rPr>
                <w:rFonts w:ascii="Arial" w:hAnsi="Arial" w:eastAsia="Arial"/>
                <w:sz w:val="21"/>
              </w:rPr>
              <w:t>Ï </w:t>
            </w:r>
            <w:r>
              <w:rPr>
                <w:sz w:val="21"/>
              </w:rPr>
              <w:t>（1</w:t>
            </w:r>
            <w:r>
              <w:rPr>
                <w:spacing w:val="-3"/>
                <w:sz w:val="21"/>
              </w:rPr>
              <w:t>-保险已经过天数/</w:t>
            </w:r>
            <w:r>
              <w:rPr>
                <w:spacing w:val="-2"/>
                <w:sz w:val="21"/>
              </w:rPr>
              <w:t>保险期间</w:t>
            </w:r>
            <w:r>
              <w:rPr>
                <w:spacing w:val="-3"/>
                <w:sz w:val="21"/>
              </w:rPr>
              <w:t>的天数</w:t>
            </w:r>
            <w:r>
              <w:rPr>
                <w:spacing w:val="-106"/>
                <w:sz w:val="21"/>
              </w:rPr>
              <w:t>）</w:t>
            </w:r>
            <w:r>
              <w:rPr>
                <w:spacing w:val="-4"/>
                <w:sz w:val="21"/>
              </w:rPr>
              <w:t>。其中已经过天数不足一天的按一天计算。</w:t>
            </w:r>
            <w:r>
              <w:rPr>
                <w:sz w:val="21"/>
              </w:rPr>
              <w:t> </w:t>
            </w:r>
          </w:p>
        </w:tc>
      </w:tr>
      <w:tr>
        <w:trPr>
          <w:trHeight w:val="1248" w:hRule="atLeast"/>
        </w:trPr>
        <w:tc>
          <w:tcPr>
            <w:tcW w:w="811" w:type="dxa"/>
          </w:tcPr>
          <w:p>
            <w:pPr>
              <w:pStyle w:val="TableParagraph"/>
              <w:spacing w:before="191"/>
              <w:ind w:left="141"/>
              <w:rPr>
                <w:rFonts w:ascii="Times New Roman"/>
                <w:b/>
                <w:sz w:val="21"/>
              </w:rPr>
            </w:pPr>
            <w:r>
              <w:rPr>
                <w:rFonts w:ascii="Times New Roman"/>
                <w:b/>
                <w:sz w:val="21"/>
              </w:rPr>
              <w:t>10.17</w:t>
            </w:r>
          </w:p>
        </w:tc>
        <w:tc>
          <w:tcPr>
            <w:tcW w:w="1940" w:type="dxa"/>
          </w:tcPr>
          <w:p>
            <w:pPr>
              <w:pStyle w:val="TableParagraph"/>
              <w:spacing w:before="142"/>
              <w:ind w:left="194"/>
              <w:rPr>
                <w:b/>
                <w:sz w:val="21"/>
              </w:rPr>
            </w:pPr>
            <w:r>
              <w:rPr>
                <w:b/>
                <w:sz w:val="21"/>
              </w:rPr>
              <w:t>离职</w:t>
            </w:r>
          </w:p>
        </w:tc>
        <w:tc>
          <w:tcPr>
            <w:tcW w:w="7772" w:type="dxa"/>
          </w:tcPr>
          <w:p>
            <w:pPr>
              <w:pStyle w:val="TableParagraph"/>
              <w:spacing w:line="273" w:lineRule="auto" w:before="142"/>
              <w:ind w:left="107" w:right="615"/>
              <w:jc w:val="both"/>
              <w:rPr>
                <w:sz w:val="21"/>
              </w:rPr>
            </w:pPr>
            <w:r>
              <w:rPr>
                <w:spacing w:val="-8"/>
                <w:sz w:val="21"/>
              </w:rPr>
              <w:t>指用人单位与劳动者解除或终止劳动关系的行为，包括到期终止劳动合同、提</w:t>
            </w:r>
            <w:r>
              <w:rPr>
                <w:spacing w:val="-13"/>
                <w:sz w:val="21"/>
              </w:rPr>
              <w:t>前解除劳动合同、解除或终止事实劳动关系、或未经对方同意一方擅自解除或</w:t>
            </w:r>
            <w:r>
              <w:rPr>
                <w:spacing w:val="-6"/>
                <w:sz w:val="21"/>
              </w:rPr>
              <w:t>终止劳动关系等，但不包括依法退休、病退、内部退养行为。</w:t>
            </w:r>
          </w:p>
        </w:tc>
      </w:tr>
      <w:tr>
        <w:trPr>
          <w:trHeight w:val="935" w:hRule="atLeast"/>
        </w:trPr>
        <w:tc>
          <w:tcPr>
            <w:tcW w:w="811" w:type="dxa"/>
          </w:tcPr>
          <w:p>
            <w:pPr>
              <w:pStyle w:val="TableParagraph"/>
              <w:spacing w:before="191"/>
              <w:ind w:left="141"/>
              <w:rPr>
                <w:rFonts w:ascii="Times New Roman"/>
                <w:b/>
                <w:sz w:val="21"/>
              </w:rPr>
            </w:pPr>
            <w:r>
              <w:rPr>
                <w:rFonts w:ascii="Times New Roman"/>
                <w:b/>
                <w:sz w:val="21"/>
              </w:rPr>
              <w:t>10.18</w:t>
            </w:r>
          </w:p>
        </w:tc>
        <w:tc>
          <w:tcPr>
            <w:tcW w:w="1940" w:type="dxa"/>
          </w:tcPr>
          <w:p>
            <w:pPr>
              <w:pStyle w:val="TableParagraph"/>
              <w:spacing w:before="142"/>
              <w:ind w:left="194"/>
              <w:rPr>
                <w:b/>
                <w:sz w:val="21"/>
              </w:rPr>
            </w:pPr>
            <w:r>
              <w:rPr>
                <w:b/>
                <w:sz w:val="21"/>
              </w:rPr>
              <w:t>周岁</w:t>
            </w:r>
          </w:p>
        </w:tc>
        <w:tc>
          <w:tcPr>
            <w:tcW w:w="7772" w:type="dxa"/>
          </w:tcPr>
          <w:p>
            <w:pPr>
              <w:pStyle w:val="TableParagraph"/>
              <w:spacing w:line="273" w:lineRule="auto" w:before="142"/>
              <w:ind w:left="107" w:right="726"/>
              <w:rPr>
                <w:sz w:val="21"/>
              </w:rPr>
            </w:pPr>
            <w:r>
              <w:rPr>
                <w:spacing w:val="-5"/>
                <w:sz w:val="21"/>
              </w:rPr>
              <w:t>指按法定身份证明文件中记载的出生日期计算的年龄，自出生之日起为 </w:t>
            </w:r>
            <w:r>
              <w:rPr>
                <w:sz w:val="21"/>
              </w:rPr>
              <w:t>0</w:t>
            </w:r>
            <w:r>
              <w:rPr>
                <w:spacing w:val="-18"/>
                <w:sz w:val="21"/>
              </w:rPr>
              <w:t> 周</w:t>
            </w:r>
            <w:r>
              <w:rPr>
                <w:spacing w:val="-7"/>
                <w:sz w:val="21"/>
              </w:rPr>
              <w:t>岁，每经过一年增加一岁，不足一年的不计。</w:t>
            </w:r>
            <w:r>
              <w:rPr>
                <w:sz w:val="21"/>
              </w:rPr>
              <w:t> </w:t>
            </w:r>
          </w:p>
        </w:tc>
      </w:tr>
      <w:tr>
        <w:trPr>
          <w:trHeight w:val="935" w:hRule="atLeast"/>
        </w:trPr>
        <w:tc>
          <w:tcPr>
            <w:tcW w:w="811" w:type="dxa"/>
          </w:tcPr>
          <w:p>
            <w:pPr>
              <w:pStyle w:val="TableParagraph"/>
              <w:spacing w:before="191"/>
              <w:ind w:left="141"/>
              <w:rPr>
                <w:rFonts w:ascii="Times New Roman"/>
                <w:b/>
                <w:sz w:val="21"/>
              </w:rPr>
            </w:pPr>
            <w:r>
              <w:rPr>
                <w:rFonts w:ascii="Times New Roman"/>
                <w:b/>
                <w:sz w:val="21"/>
              </w:rPr>
              <w:t>10.19</w:t>
            </w:r>
          </w:p>
        </w:tc>
        <w:tc>
          <w:tcPr>
            <w:tcW w:w="1940" w:type="dxa"/>
          </w:tcPr>
          <w:p>
            <w:pPr>
              <w:pStyle w:val="TableParagraph"/>
              <w:spacing w:before="142"/>
              <w:ind w:left="194"/>
              <w:rPr>
                <w:b/>
                <w:sz w:val="21"/>
              </w:rPr>
            </w:pPr>
            <w:r>
              <w:rPr>
                <w:b/>
                <w:sz w:val="21"/>
              </w:rPr>
              <w:t>法定身份证明</w:t>
            </w:r>
          </w:p>
        </w:tc>
        <w:tc>
          <w:tcPr>
            <w:tcW w:w="7772" w:type="dxa"/>
          </w:tcPr>
          <w:p>
            <w:pPr>
              <w:pStyle w:val="TableParagraph"/>
              <w:spacing w:line="273" w:lineRule="auto" w:before="142"/>
              <w:ind w:left="107" w:right="615"/>
              <w:rPr>
                <w:sz w:val="21"/>
              </w:rPr>
            </w:pPr>
            <w:r>
              <w:rPr>
                <w:spacing w:val="-9"/>
                <w:sz w:val="21"/>
              </w:rPr>
              <w:t>指依据法律规定，由有权机构制作颁发的证明身份的证件、文件等，如：居民</w:t>
            </w:r>
            <w:r>
              <w:rPr>
                <w:spacing w:val="-3"/>
                <w:sz w:val="21"/>
              </w:rPr>
              <w:t>身份证、户口簿、护照、军人证等。</w:t>
            </w:r>
          </w:p>
        </w:tc>
      </w:tr>
      <w:tr>
        <w:trPr>
          <w:trHeight w:val="785" w:hRule="atLeast"/>
        </w:trPr>
        <w:tc>
          <w:tcPr>
            <w:tcW w:w="811" w:type="dxa"/>
          </w:tcPr>
          <w:p>
            <w:pPr>
              <w:pStyle w:val="TableParagraph"/>
              <w:spacing w:before="191"/>
              <w:ind w:left="141"/>
              <w:rPr>
                <w:rFonts w:ascii="Times New Roman"/>
                <w:b/>
                <w:sz w:val="21"/>
              </w:rPr>
            </w:pPr>
            <w:r>
              <w:rPr>
                <w:rFonts w:ascii="Times New Roman"/>
                <w:b/>
                <w:sz w:val="21"/>
              </w:rPr>
              <w:t>10.20</w:t>
            </w:r>
          </w:p>
        </w:tc>
        <w:tc>
          <w:tcPr>
            <w:tcW w:w="1940" w:type="dxa"/>
          </w:tcPr>
          <w:p>
            <w:pPr>
              <w:pStyle w:val="TableParagraph"/>
              <w:spacing w:line="273" w:lineRule="auto" w:before="142"/>
              <w:ind w:left="194" w:right="266"/>
              <w:rPr>
                <w:b/>
                <w:sz w:val="21"/>
              </w:rPr>
            </w:pPr>
            <w:r>
              <w:rPr>
                <w:b/>
                <w:sz w:val="21"/>
              </w:rPr>
              <w:t>肢体机能完全丧失</w:t>
            </w:r>
            <w:r>
              <w:rPr>
                <w:b/>
                <w:w w:val="99"/>
                <w:sz w:val="21"/>
              </w:rPr>
              <w:t> </w:t>
            </w:r>
          </w:p>
        </w:tc>
        <w:tc>
          <w:tcPr>
            <w:tcW w:w="7772" w:type="dxa"/>
          </w:tcPr>
          <w:p>
            <w:pPr>
              <w:pStyle w:val="TableParagraph"/>
              <w:spacing w:line="273" w:lineRule="auto" w:before="142"/>
              <w:ind w:left="107" w:right="617"/>
              <w:rPr>
                <w:sz w:val="24"/>
              </w:rPr>
            </w:pPr>
            <w:r>
              <w:rPr>
                <w:spacing w:val="-8"/>
                <w:sz w:val="21"/>
              </w:rPr>
              <w:t>指肢体的三大关节中的两大关节僵硬，或不能随意识活动。肢体是指包括肩关</w:t>
            </w:r>
            <w:r>
              <w:rPr>
                <w:spacing w:val="-3"/>
                <w:sz w:val="21"/>
              </w:rPr>
              <w:t>节的整个上肢或包括髋关节的整个下肢。</w:t>
            </w:r>
            <w:r>
              <w:rPr>
                <w:sz w:val="24"/>
              </w:rPr>
              <w:t> </w:t>
            </w:r>
          </w:p>
        </w:tc>
      </w:tr>
      <w:tr>
        <w:trPr>
          <w:trHeight w:val="306" w:hRule="atLeast"/>
        </w:trPr>
        <w:tc>
          <w:tcPr>
            <w:tcW w:w="811" w:type="dxa"/>
          </w:tcPr>
          <w:p>
            <w:pPr>
              <w:pStyle w:val="TableParagraph"/>
              <w:rPr>
                <w:rFonts w:ascii="Times New Roman"/>
                <w:sz w:val="20"/>
              </w:rPr>
            </w:pPr>
          </w:p>
        </w:tc>
        <w:tc>
          <w:tcPr>
            <w:tcW w:w="1940" w:type="dxa"/>
          </w:tcPr>
          <w:p>
            <w:pPr>
              <w:pStyle w:val="TableParagraph"/>
              <w:spacing w:line="255" w:lineRule="exact"/>
              <w:ind w:left="194"/>
              <w:rPr>
                <w:b/>
                <w:sz w:val="21"/>
              </w:rPr>
            </w:pPr>
            <w:r>
              <w:rPr>
                <w:b/>
                <w:w w:val="99"/>
                <w:sz w:val="21"/>
              </w:rPr>
              <w:t> </w:t>
            </w:r>
          </w:p>
        </w:tc>
        <w:tc>
          <w:tcPr>
            <w:tcW w:w="7772" w:type="dxa"/>
          </w:tcPr>
          <w:p>
            <w:pPr>
              <w:pStyle w:val="TableParagraph"/>
              <w:spacing w:line="255" w:lineRule="exact"/>
              <w:ind w:left="107"/>
              <w:rPr>
                <w:b/>
                <w:sz w:val="21"/>
              </w:rPr>
            </w:pPr>
            <w:r>
              <w:rPr>
                <w:b/>
                <w:w w:val="99"/>
                <w:sz w:val="21"/>
              </w:rPr>
              <w:t> </w:t>
            </w:r>
          </w:p>
        </w:tc>
      </w:tr>
      <w:tr>
        <w:trPr>
          <w:trHeight w:val="627" w:hRule="atLeast"/>
        </w:trPr>
        <w:tc>
          <w:tcPr>
            <w:tcW w:w="811" w:type="dxa"/>
          </w:tcPr>
          <w:p>
            <w:pPr>
              <w:pStyle w:val="TableParagraph"/>
              <w:spacing w:before="35"/>
              <w:ind w:left="141"/>
              <w:rPr>
                <w:rFonts w:ascii="Times New Roman"/>
                <w:b/>
                <w:sz w:val="21"/>
              </w:rPr>
            </w:pPr>
            <w:r>
              <w:rPr>
                <w:rFonts w:ascii="Times New Roman"/>
                <w:b/>
                <w:sz w:val="21"/>
              </w:rPr>
              <w:t>10.21</w:t>
            </w:r>
          </w:p>
        </w:tc>
        <w:tc>
          <w:tcPr>
            <w:tcW w:w="1940" w:type="dxa"/>
          </w:tcPr>
          <w:p>
            <w:pPr>
              <w:pStyle w:val="TableParagraph"/>
              <w:spacing w:line="261" w:lineRule="exact"/>
              <w:ind w:left="194"/>
              <w:rPr>
                <w:b/>
                <w:sz w:val="21"/>
              </w:rPr>
            </w:pPr>
            <w:r>
              <w:rPr>
                <w:b/>
                <w:sz w:val="21"/>
              </w:rPr>
              <w:t>语言能力完全丧</w:t>
            </w:r>
          </w:p>
          <w:p>
            <w:pPr>
              <w:pStyle w:val="TableParagraph"/>
              <w:spacing w:before="37"/>
              <w:ind w:left="194"/>
              <w:rPr>
                <w:b/>
                <w:sz w:val="21"/>
              </w:rPr>
            </w:pPr>
            <w:r>
              <w:rPr>
                <w:b/>
                <w:sz w:val="21"/>
              </w:rPr>
              <w:t>失</w:t>
            </w:r>
            <w:r>
              <w:rPr>
                <w:b/>
                <w:w w:val="99"/>
                <w:sz w:val="21"/>
              </w:rPr>
              <w:t> </w:t>
            </w:r>
          </w:p>
        </w:tc>
        <w:tc>
          <w:tcPr>
            <w:tcW w:w="7772" w:type="dxa"/>
          </w:tcPr>
          <w:p>
            <w:pPr>
              <w:pStyle w:val="TableParagraph"/>
              <w:spacing w:line="261" w:lineRule="exact"/>
              <w:ind w:left="107"/>
              <w:rPr>
                <w:sz w:val="21"/>
              </w:rPr>
            </w:pPr>
            <w:r>
              <w:rPr>
                <w:sz w:val="21"/>
              </w:rPr>
              <w:t>指无法发出四种语音（包括口唇音、齿舌音、口盖音和喉头音）中的任何三种、</w:t>
            </w:r>
          </w:p>
          <w:p>
            <w:pPr>
              <w:pStyle w:val="TableParagraph"/>
              <w:spacing w:before="37"/>
              <w:ind w:left="107"/>
              <w:rPr>
                <w:sz w:val="21"/>
              </w:rPr>
            </w:pPr>
            <w:r>
              <w:rPr>
                <w:sz w:val="21"/>
              </w:rPr>
              <w:t>或声带全部切除，或因大脑语言中枢受伤害而患失语症。  </w:t>
            </w:r>
          </w:p>
        </w:tc>
      </w:tr>
      <w:tr>
        <w:trPr>
          <w:trHeight w:val="308" w:hRule="atLeast"/>
        </w:trPr>
        <w:tc>
          <w:tcPr>
            <w:tcW w:w="811" w:type="dxa"/>
          </w:tcPr>
          <w:p>
            <w:pPr>
              <w:pStyle w:val="TableParagraph"/>
              <w:rPr>
                <w:rFonts w:ascii="Times New Roman"/>
                <w:sz w:val="20"/>
              </w:rPr>
            </w:pPr>
          </w:p>
        </w:tc>
        <w:tc>
          <w:tcPr>
            <w:tcW w:w="1940" w:type="dxa"/>
          </w:tcPr>
          <w:p>
            <w:pPr>
              <w:pStyle w:val="TableParagraph"/>
              <w:spacing w:line="257" w:lineRule="exact"/>
              <w:ind w:left="194"/>
              <w:rPr>
                <w:b/>
                <w:sz w:val="21"/>
              </w:rPr>
            </w:pPr>
            <w:r>
              <w:rPr>
                <w:b/>
                <w:w w:val="99"/>
                <w:sz w:val="21"/>
              </w:rPr>
              <w:t> </w:t>
            </w:r>
          </w:p>
        </w:tc>
        <w:tc>
          <w:tcPr>
            <w:tcW w:w="7772" w:type="dxa"/>
          </w:tcPr>
          <w:p>
            <w:pPr>
              <w:pStyle w:val="TableParagraph"/>
              <w:spacing w:line="257" w:lineRule="exact"/>
              <w:ind w:left="107"/>
              <w:rPr>
                <w:sz w:val="21"/>
              </w:rPr>
            </w:pPr>
            <w:r>
              <w:rPr>
                <w:w w:val="100"/>
                <w:sz w:val="21"/>
              </w:rPr>
              <w:t> </w:t>
            </w:r>
          </w:p>
        </w:tc>
      </w:tr>
      <w:tr>
        <w:trPr>
          <w:trHeight w:val="627" w:hRule="atLeast"/>
        </w:trPr>
        <w:tc>
          <w:tcPr>
            <w:tcW w:w="811" w:type="dxa"/>
          </w:tcPr>
          <w:p>
            <w:pPr>
              <w:pStyle w:val="TableParagraph"/>
              <w:spacing w:before="35"/>
              <w:ind w:left="141"/>
              <w:rPr>
                <w:rFonts w:ascii="Times New Roman"/>
                <w:b/>
                <w:sz w:val="21"/>
              </w:rPr>
            </w:pPr>
            <w:r>
              <w:rPr>
                <w:rFonts w:ascii="Times New Roman"/>
                <w:b/>
                <w:sz w:val="21"/>
              </w:rPr>
              <w:t>10.22</w:t>
            </w:r>
          </w:p>
        </w:tc>
        <w:tc>
          <w:tcPr>
            <w:tcW w:w="1940" w:type="dxa"/>
          </w:tcPr>
          <w:p>
            <w:pPr>
              <w:pStyle w:val="TableParagraph"/>
              <w:spacing w:line="261" w:lineRule="exact"/>
              <w:ind w:left="194"/>
              <w:rPr>
                <w:b/>
                <w:sz w:val="21"/>
              </w:rPr>
            </w:pPr>
            <w:r>
              <w:rPr>
                <w:b/>
                <w:sz w:val="21"/>
              </w:rPr>
              <w:t>咀嚼吞咽能力完</w:t>
            </w:r>
          </w:p>
          <w:p>
            <w:pPr>
              <w:pStyle w:val="TableParagraph"/>
              <w:spacing w:before="37"/>
              <w:ind w:left="194"/>
              <w:rPr>
                <w:b/>
                <w:sz w:val="21"/>
              </w:rPr>
            </w:pPr>
            <w:r>
              <w:rPr>
                <w:b/>
                <w:sz w:val="21"/>
              </w:rPr>
              <w:t>全丧失</w:t>
            </w:r>
            <w:r>
              <w:rPr>
                <w:b/>
                <w:w w:val="99"/>
                <w:sz w:val="21"/>
              </w:rPr>
              <w:t> </w:t>
            </w:r>
          </w:p>
        </w:tc>
        <w:tc>
          <w:tcPr>
            <w:tcW w:w="7772" w:type="dxa"/>
          </w:tcPr>
          <w:p>
            <w:pPr>
              <w:pStyle w:val="TableParagraph"/>
              <w:spacing w:line="261" w:lineRule="exact"/>
              <w:ind w:left="107"/>
              <w:rPr>
                <w:sz w:val="21"/>
              </w:rPr>
            </w:pPr>
            <w:r>
              <w:rPr>
                <w:sz w:val="21"/>
              </w:rPr>
              <w:t>指因牙齿以外的原因导致器质障碍或机能障碍，以致不能作咀嚼吞咽运动，除</w:t>
            </w:r>
          </w:p>
          <w:p>
            <w:pPr>
              <w:pStyle w:val="TableParagraph"/>
              <w:spacing w:before="37"/>
              <w:ind w:left="107"/>
              <w:rPr>
                <w:sz w:val="21"/>
              </w:rPr>
            </w:pPr>
            <w:r>
              <w:rPr>
                <w:sz w:val="21"/>
              </w:rPr>
              <w:t>流质食物外不能摄取或吞咽的状态。 </w:t>
            </w:r>
          </w:p>
        </w:tc>
      </w:tr>
      <w:tr>
        <w:trPr>
          <w:trHeight w:val="308" w:hRule="atLeast"/>
        </w:trPr>
        <w:tc>
          <w:tcPr>
            <w:tcW w:w="811" w:type="dxa"/>
          </w:tcPr>
          <w:p>
            <w:pPr>
              <w:pStyle w:val="TableParagraph"/>
              <w:rPr>
                <w:rFonts w:ascii="Times New Roman"/>
                <w:sz w:val="20"/>
              </w:rPr>
            </w:pPr>
          </w:p>
        </w:tc>
        <w:tc>
          <w:tcPr>
            <w:tcW w:w="1940" w:type="dxa"/>
          </w:tcPr>
          <w:p>
            <w:pPr>
              <w:pStyle w:val="TableParagraph"/>
              <w:spacing w:line="257" w:lineRule="exact"/>
              <w:ind w:left="194"/>
              <w:rPr>
                <w:b/>
                <w:sz w:val="21"/>
              </w:rPr>
            </w:pPr>
            <w:r>
              <w:rPr>
                <w:b/>
                <w:w w:val="99"/>
                <w:sz w:val="21"/>
              </w:rPr>
              <w:t> </w:t>
            </w:r>
          </w:p>
        </w:tc>
        <w:tc>
          <w:tcPr>
            <w:tcW w:w="7772" w:type="dxa"/>
          </w:tcPr>
          <w:p>
            <w:pPr>
              <w:pStyle w:val="TableParagraph"/>
              <w:spacing w:line="257" w:lineRule="exact"/>
              <w:ind w:left="107"/>
              <w:rPr>
                <w:sz w:val="21"/>
              </w:rPr>
            </w:pPr>
            <w:r>
              <w:rPr>
                <w:w w:val="100"/>
                <w:sz w:val="21"/>
              </w:rPr>
              <w:t> </w:t>
            </w:r>
          </w:p>
        </w:tc>
      </w:tr>
      <w:tr>
        <w:trPr>
          <w:trHeight w:val="1251" w:hRule="atLeast"/>
        </w:trPr>
        <w:tc>
          <w:tcPr>
            <w:tcW w:w="811" w:type="dxa"/>
          </w:tcPr>
          <w:p>
            <w:pPr>
              <w:pStyle w:val="TableParagraph"/>
              <w:spacing w:before="35"/>
              <w:ind w:left="141"/>
              <w:rPr>
                <w:rFonts w:ascii="Times New Roman"/>
                <w:b/>
                <w:sz w:val="21"/>
              </w:rPr>
            </w:pPr>
            <w:r>
              <w:rPr>
                <w:rFonts w:ascii="Times New Roman"/>
                <w:b/>
                <w:sz w:val="21"/>
              </w:rPr>
              <w:t>10.23</w:t>
            </w:r>
          </w:p>
        </w:tc>
        <w:tc>
          <w:tcPr>
            <w:tcW w:w="1940" w:type="dxa"/>
          </w:tcPr>
          <w:p>
            <w:pPr>
              <w:pStyle w:val="TableParagraph"/>
              <w:spacing w:line="261" w:lineRule="exact"/>
              <w:ind w:left="194"/>
              <w:rPr>
                <w:b/>
                <w:sz w:val="21"/>
              </w:rPr>
            </w:pPr>
            <w:r>
              <w:rPr>
                <w:b/>
                <w:sz w:val="21"/>
              </w:rPr>
              <w:t>六项基本日常生</w:t>
            </w:r>
          </w:p>
          <w:p>
            <w:pPr>
              <w:pStyle w:val="TableParagraph"/>
              <w:spacing w:before="37"/>
              <w:ind w:left="194"/>
              <w:rPr>
                <w:b/>
                <w:sz w:val="21"/>
              </w:rPr>
            </w:pPr>
            <w:r>
              <w:rPr>
                <w:b/>
                <w:sz w:val="21"/>
              </w:rPr>
              <w:t>活活动</w:t>
            </w:r>
            <w:r>
              <w:rPr>
                <w:b/>
                <w:w w:val="99"/>
                <w:sz w:val="21"/>
              </w:rPr>
              <w:t> </w:t>
            </w:r>
          </w:p>
        </w:tc>
        <w:tc>
          <w:tcPr>
            <w:tcW w:w="7772" w:type="dxa"/>
          </w:tcPr>
          <w:p>
            <w:pPr>
              <w:pStyle w:val="TableParagraph"/>
              <w:spacing w:line="261" w:lineRule="exact"/>
              <w:ind w:left="107"/>
              <w:rPr>
                <w:sz w:val="21"/>
              </w:rPr>
            </w:pPr>
            <w:r>
              <w:rPr>
                <w:sz w:val="21"/>
              </w:rPr>
              <w:t>六项基本日常生活活动是指：（1）穿衣：自己能够穿衣及脱衣；（2）移动：</w:t>
            </w:r>
          </w:p>
          <w:p>
            <w:pPr>
              <w:pStyle w:val="TableParagraph"/>
              <w:spacing w:line="273" w:lineRule="auto" w:before="37"/>
              <w:ind w:left="107" w:right="613"/>
              <w:jc w:val="both"/>
              <w:rPr>
                <w:sz w:val="21"/>
              </w:rPr>
            </w:pPr>
            <w:r>
              <w:rPr>
                <w:spacing w:val="-4"/>
                <w:sz w:val="21"/>
              </w:rPr>
              <w:t>自己从一个房间到另一个房间；</w:t>
            </w:r>
            <w:r>
              <w:rPr>
                <w:spacing w:val="-12"/>
                <w:sz w:val="21"/>
              </w:rPr>
              <w:t>（3）</w:t>
            </w:r>
            <w:r>
              <w:rPr>
                <w:spacing w:val="-6"/>
                <w:sz w:val="21"/>
              </w:rPr>
              <w:t>行动：自己上下床或上下轮椅；</w:t>
            </w:r>
            <w:r>
              <w:rPr>
                <w:spacing w:val="-12"/>
                <w:sz w:val="21"/>
              </w:rPr>
              <w:t>（4）</w:t>
            </w:r>
            <w:r>
              <w:rPr>
                <w:spacing w:val="-17"/>
                <w:sz w:val="21"/>
              </w:rPr>
              <w:t>如</w:t>
            </w:r>
            <w:r>
              <w:rPr>
                <w:spacing w:val="-3"/>
                <w:sz w:val="21"/>
              </w:rPr>
              <w:t>厕：自己控制进行大小便</w:t>
            </w:r>
            <w:r>
              <w:rPr>
                <w:sz w:val="21"/>
              </w:rPr>
              <w:t>；（5）</w:t>
            </w:r>
            <w:r>
              <w:rPr>
                <w:spacing w:val="-3"/>
                <w:sz w:val="21"/>
              </w:rPr>
              <w:t>进食：自己从已准备好的碗或碟中取食物放</w:t>
            </w:r>
            <w:r>
              <w:rPr>
                <w:spacing w:val="-2"/>
                <w:sz w:val="21"/>
              </w:rPr>
              <w:t>入口中；</w:t>
            </w:r>
            <w:r>
              <w:rPr>
                <w:spacing w:val="-1"/>
                <w:sz w:val="21"/>
              </w:rPr>
              <w:t>（6）</w:t>
            </w:r>
            <w:r>
              <w:rPr>
                <w:spacing w:val="-3"/>
                <w:sz w:val="21"/>
              </w:rPr>
              <w:t>洗澡：自己进行淋浴或盆浴。 </w:t>
            </w:r>
            <w:r>
              <w:rPr>
                <w:sz w:val="21"/>
              </w:rPr>
              <w:t> </w:t>
            </w:r>
          </w:p>
        </w:tc>
      </w:tr>
      <w:tr>
        <w:trPr>
          <w:trHeight w:val="308" w:hRule="atLeast"/>
        </w:trPr>
        <w:tc>
          <w:tcPr>
            <w:tcW w:w="811" w:type="dxa"/>
          </w:tcPr>
          <w:p>
            <w:pPr>
              <w:pStyle w:val="TableParagraph"/>
              <w:rPr>
                <w:rFonts w:ascii="Times New Roman"/>
                <w:sz w:val="20"/>
              </w:rPr>
            </w:pPr>
          </w:p>
        </w:tc>
        <w:tc>
          <w:tcPr>
            <w:tcW w:w="1940" w:type="dxa"/>
          </w:tcPr>
          <w:p>
            <w:pPr>
              <w:pStyle w:val="TableParagraph"/>
              <w:spacing w:line="258" w:lineRule="exact"/>
              <w:ind w:left="194"/>
              <w:rPr>
                <w:b/>
                <w:sz w:val="21"/>
              </w:rPr>
            </w:pPr>
            <w:r>
              <w:rPr>
                <w:b/>
                <w:w w:val="99"/>
                <w:sz w:val="21"/>
              </w:rPr>
              <w:t> </w:t>
            </w:r>
          </w:p>
        </w:tc>
        <w:tc>
          <w:tcPr>
            <w:tcW w:w="7772" w:type="dxa"/>
          </w:tcPr>
          <w:p>
            <w:pPr>
              <w:pStyle w:val="TableParagraph"/>
              <w:spacing w:line="249" w:lineRule="exact"/>
              <w:ind w:left="107"/>
              <w:rPr>
                <w:sz w:val="20"/>
              </w:rPr>
            </w:pPr>
            <w:r>
              <w:rPr>
                <w:w w:val="99"/>
                <w:sz w:val="20"/>
              </w:rPr>
              <w:t> </w:t>
            </w:r>
          </w:p>
        </w:tc>
      </w:tr>
      <w:tr>
        <w:trPr>
          <w:trHeight w:val="576" w:hRule="atLeast"/>
        </w:trPr>
        <w:tc>
          <w:tcPr>
            <w:tcW w:w="811" w:type="dxa"/>
          </w:tcPr>
          <w:p>
            <w:pPr>
              <w:pStyle w:val="TableParagraph"/>
              <w:spacing w:before="35"/>
              <w:ind w:left="141"/>
              <w:rPr>
                <w:rFonts w:ascii="Times New Roman"/>
                <w:b/>
                <w:sz w:val="21"/>
              </w:rPr>
            </w:pPr>
            <w:r>
              <w:rPr>
                <w:rFonts w:ascii="Times New Roman"/>
                <w:b/>
                <w:sz w:val="21"/>
              </w:rPr>
              <w:t>10.24</w:t>
            </w:r>
          </w:p>
        </w:tc>
        <w:tc>
          <w:tcPr>
            <w:tcW w:w="1940" w:type="dxa"/>
          </w:tcPr>
          <w:p>
            <w:pPr>
              <w:pStyle w:val="TableParagraph"/>
              <w:spacing w:line="261" w:lineRule="exact"/>
              <w:ind w:left="194"/>
              <w:rPr>
                <w:b/>
                <w:sz w:val="21"/>
              </w:rPr>
            </w:pPr>
            <w:r>
              <w:rPr>
                <w:b/>
                <w:sz w:val="21"/>
              </w:rPr>
              <w:t>永久不可逆</w:t>
            </w:r>
            <w:r>
              <w:rPr>
                <w:b/>
                <w:w w:val="99"/>
                <w:sz w:val="21"/>
              </w:rPr>
              <w:t> </w:t>
            </w:r>
          </w:p>
        </w:tc>
        <w:tc>
          <w:tcPr>
            <w:tcW w:w="7772" w:type="dxa"/>
          </w:tcPr>
          <w:p>
            <w:pPr>
              <w:pStyle w:val="TableParagraph"/>
              <w:spacing w:line="261" w:lineRule="exact"/>
              <w:ind w:left="107"/>
              <w:rPr>
                <w:sz w:val="21"/>
              </w:rPr>
            </w:pPr>
            <w:r>
              <w:rPr>
                <w:sz w:val="21"/>
              </w:rPr>
              <w:t>指自疾病确诊或意外伤害发生之日起，经过积极治疗 180 天后，仍无法通过现</w:t>
            </w:r>
          </w:p>
          <w:p>
            <w:pPr>
              <w:pStyle w:val="TableParagraph"/>
              <w:spacing w:line="259" w:lineRule="exact" w:before="37"/>
              <w:ind w:left="107"/>
              <w:rPr>
                <w:sz w:val="21"/>
              </w:rPr>
            </w:pPr>
            <w:r>
              <w:rPr>
                <w:sz w:val="21"/>
              </w:rPr>
              <w:t>有医疗手段恢复。 </w:t>
            </w:r>
          </w:p>
        </w:tc>
      </w:tr>
    </w:tbl>
    <w:sectPr>
      <w:pgSz w:w="11910" w:h="16840"/>
      <w:pgMar w:header="0" w:footer="545" w:top="780" w:bottom="74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1.799988pt;margin-top:799.659973pt;width:71.5pt;height:22.3pt;mso-position-horizontal-relative:page;mso-position-vertical-relative:page;z-index:-36664" type="#_x0000_t202" filled="false" stroked="false">
          <v:textbox inset="0,0,0,0">
            <w:txbxContent>
              <w:p>
                <w:pPr>
                  <w:spacing w:line="207" w:lineRule="exact" w:before="12"/>
                  <w:ind w:left="0" w:right="0" w:firstLine="0"/>
                  <w:jc w:val="center"/>
                  <w:rPr>
                    <w:rFonts w:ascii="Times New Roman"/>
                    <w:sz w:val="18"/>
                  </w:rPr>
                </w:pPr>
                <w:r>
                  <w:rPr>
                    <w:rFonts w:ascii="Times New Roman"/>
                    <w:sz w:val="18"/>
                  </w:rPr>
                  <w:t>PUBLIC - 2010-04</w:t>
                </w:r>
              </w:p>
              <w:p>
                <w:pPr>
                  <w:spacing w:line="207" w:lineRule="exact" w:before="0"/>
                  <w:ind w:left="7" w:right="0" w:firstLine="0"/>
                  <w:jc w:val="center"/>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6" w:hanging="420"/>
      </w:pPr>
      <w:rPr>
        <w:rFonts w:hint="default"/>
      </w:rPr>
    </w:lvl>
    <w:lvl w:ilvl="2">
      <w:start w:val="0"/>
      <w:numFmt w:val="bullet"/>
      <w:lvlText w:val="•"/>
      <w:lvlJc w:val="left"/>
      <w:pPr>
        <w:ind w:left="3513" w:hanging="420"/>
      </w:pPr>
      <w:rPr>
        <w:rFonts w:hint="default"/>
      </w:rPr>
    </w:lvl>
    <w:lvl w:ilvl="3">
      <w:start w:val="0"/>
      <w:numFmt w:val="bullet"/>
      <w:lvlText w:val="•"/>
      <w:lvlJc w:val="left"/>
      <w:pPr>
        <w:ind w:left="4419" w:hanging="420"/>
      </w:pPr>
      <w:rPr>
        <w:rFonts w:hint="default"/>
      </w:rPr>
    </w:lvl>
    <w:lvl w:ilvl="4">
      <w:start w:val="0"/>
      <w:numFmt w:val="bullet"/>
      <w:lvlText w:val="•"/>
      <w:lvlJc w:val="left"/>
      <w:pPr>
        <w:ind w:left="5326" w:hanging="420"/>
      </w:pPr>
      <w:rPr>
        <w:rFonts w:hint="default"/>
      </w:rPr>
    </w:lvl>
    <w:lvl w:ilvl="5">
      <w:start w:val="0"/>
      <w:numFmt w:val="bullet"/>
      <w:lvlText w:val="•"/>
      <w:lvlJc w:val="left"/>
      <w:pPr>
        <w:ind w:left="6233" w:hanging="420"/>
      </w:pPr>
      <w:rPr>
        <w:rFonts w:hint="default"/>
      </w:rPr>
    </w:lvl>
    <w:lvl w:ilvl="6">
      <w:start w:val="0"/>
      <w:numFmt w:val="bullet"/>
      <w:lvlText w:val="•"/>
      <w:lvlJc w:val="left"/>
      <w:pPr>
        <w:ind w:left="7139" w:hanging="420"/>
      </w:pPr>
      <w:rPr>
        <w:rFonts w:hint="default"/>
      </w:rPr>
    </w:lvl>
    <w:lvl w:ilvl="7">
      <w:start w:val="0"/>
      <w:numFmt w:val="bullet"/>
      <w:lvlText w:val="•"/>
      <w:lvlJc w:val="left"/>
      <w:pPr>
        <w:ind w:left="8046" w:hanging="420"/>
      </w:pPr>
      <w:rPr>
        <w:rFonts w:hint="default"/>
      </w:rPr>
    </w:lvl>
    <w:lvl w:ilvl="8">
      <w:start w:val="0"/>
      <w:numFmt w:val="bullet"/>
      <w:lvlText w:val="•"/>
      <w:lvlJc w:val="left"/>
      <w:pPr>
        <w:ind w:left="8953" w:hanging="420"/>
      </w:pPr>
      <w:rPr>
        <w:rFonts w:hint="default"/>
      </w:rPr>
    </w:lvl>
  </w:abstractNum>
  <w:abstractNum w:abstractNumId="0">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6" w:hanging="420"/>
      </w:pPr>
      <w:rPr>
        <w:rFonts w:hint="default"/>
      </w:rPr>
    </w:lvl>
    <w:lvl w:ilvl="2">
      <w:start w:val="0"/>
      <w:numFmt w:val="bullet"/>
      <w:lvlText w:val="•"/>
      <w:lvlJc w:val="left"/>
      <w:pPr>
        <w:ind w:left="3513" w:hanging="420"/>
      </w:pPr>
      <w:rPr>
        <w:rFonts w:hint="default"/>
      </w:rPr>
    </w:lvl>
    <w:lvl w:ilvl="3">
      <w:start w:val="0"/>
      <w:numFmt w:val="bullet"/>
      <w:lvlText w:val="•"/>
      <w:lvlJc w:val="left"/>
      <w:pPr>
        <w:ind w:left="4419" w:hanging="420"/>
      </w:pPr>
      <w:rPr>
        <w:rFonts w:hint="default"/>
      </w:rPr>
    </w:lvl>
    <w:lvl w:ilvl="4">
      <w:start w:val="0"/>
      <w:numFmt w:val="bullet"/>
      <w:lvlText w:val="•"/>
      <w:lvlJc w:val="left"/>
      <w:pPr>
        <w:ind w:left="5326" w:hanging="420"/>
      </w:pPr>
      <w:rPr>
        <w:rFonts w:hint="default"/>
      </w:rPr>
    </w:lvl>
    <w:lvl w:ilvl="5">
      <w:start w:val="0"/>
      <w:numFmt w:val="bullet"/>
      <w:lvlText w:val="•"/>
      <w:lvlJc w:val="left"/>
      <w:pPr>
        <w:ind w:left="6233" w:hanging="420"/>
      </w:pPr>
      <w:rPr>
        <w:rFonts w:hint="default"/>
      </w:rPr>
    </w:lvl>
    <w:lvl w:ilvl="6">
      <w:start w:val="0"/>
      <w:numFmt w:val="bullet"/>
      <w:lvlText w:val="•"/>
      <w:lvlJc w:val="left"/>
      <w:pPr>
        <w:ind w:left="7139" w:hanging="420"/>
      </w:pPr>
      <w:rPr>
        <w:rFonts w:hint="default"/>
      </w:rPr>
    </w:lvl>
    <w:lvl w:ilvl="7">
      <w:start w:val="0"/>
      <w:numFmt w:val="bullet"/>
      <w:lvlText w:val="•"/>
      <w:lvlJc w:val="left"/>
      <w:pPr>
        <w:ind w:left="8046" w:hanging="420"/>
      </w:pPr>
      <w:rPr>
        <w:rFonts w:hint="default"/>
      </w:rPr>
    </w:lvl>
    <w:lvl w:ilvl="8">
      <w:start w:val="0"/>
      <w:numFmt w:val="bullet"/>
      <w:lvlText w:val="•"/>
      <w:lvlJc w:val="left"/>
      <w:pPr>
        <w:ind w:left="8953"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29" w:lineRule="exact"/>
      <w:ind w:left="3210" w:right="95"/>
      <w:jc w:val="center"/>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before="21"/>
      <w:ind w:left="169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INSH</dc:creator>
  <cp:keywords>PUBLIC</cp:keywords>
  <dc:title>provision</dc:title>
  <dcterms:created xsi:type="dcterms:W3CDTF">2018-10-19T22:57:09Z</dcterms:created>
  <dcterms:modified xsi:type="dcterms:W3CDTF">2018-10-19T22:57:09Z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2018-10-19T00:00:00Z</vt:filetime>
  </property>
</Properties>
</file>